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6240" w:right="835"/>
        <w:jc w:val="center"/>
      </w:pPr>
      <w:r>
        <w:rPr/>
        <w:drawing>
          <wp:anchor distT="0" distB="0" distL="0" distR="0" allowOverlap="1" layoutInCell="1" locked="0" behindDoc="0" simplePos="0" relativeHeight="0">
            <wp:simplePos x="0" y="0"/>
            <wp:positionH relativeFrom="page">
              <wp:posOffset>5361432</wp:posOffset>
            </wp:positionH>
            <wp:positionV relativeFrom="paragraph">
              <wp:posOffset>200833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上海人寿[2017]疾病保险033号</w:t>
      </w:r>
    </w:p>
    <w:p>
      <w:pPr>
        <w:pStyle w:val="BodyText"/>
        <w:ind w:left="6240" w:right="835"/>
        <w:jc w:val="center"/>
      </w:pPr>
      <w:r>
        <w:rPr/>
        <w:t>请扫描以查询验证条款</w:t>
      </w:r>
    </w:p>
    <w:p>
      <w:pPr>
        <w:pStyle w:val="BodyText"/>
        <w:rPr>
          <w:sz w:val="20"/>
        </w:rPr>
      </w:pPr>
    </w:p>
    <w:p>
      <w:pPr>
        <w:pStyle w:val="BodyText"/>
        <w:rPr>
          <w:sz w:val="20"/>
        </w:rPr>
      </w:pPr>
    </w:p>
    <w:p>
      <w:pPr>
        <w:pStyle w:val="BodyText"/>
        <w:rPr>
          <w:sz w:val="20"/>
        </w:rPr>
      </w:pPr>
    </w:p>
    <w:p>
      <w:pPr>
        <w:spacing w:before="18"/>
        <w:ind w:left="1797" w:right="0" w:firstLine="0"/>
        <w:jc w:val="left"/>
        <w:rPr>
          <w:rFonts w:ascii="微软雅黑" w:eastAsia="微软雅黑" w:hint="eastAsia"/>
          <w:b/>
          <w:sz w:val="36"/>
        </w:rPr>
      </w:pPr>
      <w:r>
        <w:rPr>
          <w:rFonts w:ascii="微软雅黑" w:eastAsia="微软雅黑" w:hint="eastAsia"/>
          <w:b/>
          <w:sz w:val="36"/>
        </w:rPr>
        <w:t>上海人寿附加览海智选重大疾病保险条款</w:t>
      </w:r>
    </w:p>
    <w:p>
      <w:pPr>
        <w:spacing w:before="291"/>
        <w:ind w:left="4128" w:right="0" w:firstLine="0"/>
        <w:jc w:val="left"/>
        <w:rPr>
          <w:rFonts w:ascii="微软雅黑" w:eastAsia="微软雅黑" w:hint="eastAsia"/>
          <w:b/>
          <w:sz w:val="28"/>
        </w:rPr>
      </w:pPr>
      <w:r>
        <w:rPr>
          <w:rFonts w:ascii="微软雅黑" w:eastAsia="微软雅黑" w:hint="eastAsia"/>
          <w:b/>
          <w:sz w:val="28"/>
        </w:rPr>
        <w:t>特别提示</w:t>
      </w:r>
    </w:p>
    <w:p>
      <w:pPr>
        <w:pStyle w:val="BodyText"/>
        <w:spacing w:before="4"/>
        <w:rPr>
          <w:rFonts w:ascii="微软雅黑"/>
          <w:b/>
          <w:sz w:val="29"/>
        </w:rPr>
      </w:pPr>
    </w:p>
    <w:p>
      <w:pPr>
        <w:spacing w:line="301" w:lineRule="exact" w:before="0"/>
        <w:ind w:left="218" w:right="0" w:firstLine="0"/>
        <w:jc w:val="left"/>
        <w:rPr>
          <w:sz w:val="24"/>
        </w:rPr>
      </w:pPr>
      <w:r>
        <w:rPr>
          <w:sz w:val="24"/>
        </w:rPr>
        <w:t>感谢您选择了上海人寿保险股份有限公司。</w:t>
      </w:r>
    </w:p>
    <w:p>
      <w:pPr>
        <w:spacing w:line="388" w:lineRule="auto" w:before="0"/>
        <w:ind w:left="220" w:right="2038" w:hanging="3"/>
        <w:jc w:val="left"/>
        <w:rPr>
          <w:rFonts w:ascii="微软雅黑" w:eastAsia="微软雅黑" w:hint="eastAsia"/>
          <w:b/>
          <w:sz w:val="24"/>
        </w:rPr>
      </w:pPr>
      <w:r>
        <w:rPr/>
        <w:pict>
          <v:shapetype id="_x0000_t202" o:spt="202" coordsize="21600,21600" path="m,l,21600r21600,l21600,xe">
            <v:stroke joinstyle="miter"/>
            <v:path gradientshapeok="t" o:connecttype="rect"/>
          </v:shapetype>
          <v:shape style="position:absolute;margin-left:72.704002pt;margin-top:56.472263pt;width:486.2pt;height:138.7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7"/>
                    <w:gridCol w:w="7869"/>
                  </w:tblGrid>
                  <w:tr>
                    <w:trPr>
                      <w:trHeight w:val="831" w:hRule="atLeast"/>
                    </w:trPr>
                    <w:tc>
                      <w:tcPr>
                        <w:tcW w:w="1388" w:type="dxa"/>
                      </w:tcPr>
                      <w:p>
                        <w:pPr>
                          <w:pStyle w:val="TableParagraph"/>
                          <w:spacing w:line="317" w:lineRule="exact"/>
                          <w:ind w:left="200"/>
                          <w:rPr>
                            <w:rFonts w:ascii="微软雅黑" w:eastAsia="微软雅黑" w:hint="eastAsia"/>
                            <w:b/>
                            <w:sz w:val="24"/>
                          </w:rPr>
                        </w:pPr>
                        <w:r>
                          <w:rPr>
                            <w:rFonts w:ascii="微软雅黑" w:eastAsia="微软雅黑" w:hint="eastAsia"/>
                            <w:b/>
                            <w:sz w:val="24"/>
                          </w:rPr>
                          <w:t>投保人</w:t>
                        </w:r>
                      </w:p>
                    </w:tc>
                    <w:tc>
                      <w:tcPr>
                        <w:tcW w:w="467" w:type="dxa"/>
                      </w:tcPr>
                      <w:p>
                        <w:pPr>
                          <w:pStyle w:val="TableParagraph"/>
                          <w:spacing w:line="269" w:lineRule="exact"/>
                          <w:ind w:right="121"/>
                          <w:jc w:val="right"/>
                          <w:rPr>
                            <w:rFonts w:ascii="微软雅黑"/>
                            <w:b/>
                            <w:sz w:val="24"/>
                          </w:rPr>
                        </w:pPr>
                        <w:r>
                          <w:rPr>
                            <w:rFonts w:ascii="微软雅黑"/>
                            <w:b/>
                            <w:w w:val="175"/>
                            <w:sz w:val="24"/>
                          </w:rPr>
                          <w:t>:</w:t>
                        </w:r>
                      </w:p>
                    </w:tc>
                    <w:tc>
                      <w:tcPr>
                        <w:tcW w:w="7869" w:type="dxa"/>
                      </w:tcPr>
                      <w:p>
                        <w:pPr>
                          <w:pStyle w:val="TableParagraph"/>
                          <w:spacing w:line="239" w:lineRule="exact"/>
                          <w:ind w:left="123"/>
                          <w:rPr>
                            <w:sz w:val="24"/>
                          </w:rPr>
                        </w:pPr>
                        <w:r>
                          <w:rPr>
                            <w:sz w:val="24"/>
                          </w:rPr>
                          <w:t>是指与保险公司订立保险合同的人，按照保险合同负有支付保险费的义</w:t>
                        </w:r>
                      </w:p>
                      <w:p>
                        <w:pPr>
                          <w:pStyle w:val="TableParagraph"/>
                          <w:spacing w:line="313" w:lineRule="exact"/>
                          <w:ind w:left="123"/>
                          <w:rPr>
                            <w:sz w:val="24"/>
                          </w:rPr>
                        </w:pPr>
                        <w:r>
                          <w:rPr>
                            <w:sz w:val="24"/>
                          </w:rPr>
                          <w:t>务。在本附加合同中以“您”代称。</w:t>
                        </w:r>
                      </w:p>
                    </w:tc>
                  </w:tr>
                  <w:tr>
                    <w:trPr>
                      <w:trHeight w:val="1111" w:hRule="atLeast"/>
                    </w:trPr>
                    <w:tc>
                      <w:tcPr>
                        <w:tcW w:w="1388" w:type="dxa"/>
                      </w:tcPr>
                      <w:p>
                        <w:pPr>
                          <w:pStyle w:val="TableParagraph"/>
                          <w:spacing w:before="182"/>
                          <w:ind w:left="200"/>
                          <w:rPr>
                            <w:rFonts w:ascii="微软雅黑" w:eastAsia="微软雅黑" w:hint="eastAsia"/>
                            <w:b/>
                            <w:sz w:val="24"/>
                          </w:rPr>
                        </w:pPr>
                        <w:r>
                          <w:rPr>
                            <w:rFonts w:ascii="微软雅黑" w:eastAsia="微软雅黑" w:hint="eastAsia"/>
                            <w:b/>
                            <w:sz w:val="24"/>
                          </w:rPr>
                          <w:t>被保险人</w:t>
                        </w:r>
                      </w:p>
                    </w:tc>
                    <w:tc>
                      <w:tcPr>
                        <w:tcW w:w="467" w:type="dxa"/>
                      </w:tcPr>
                      <w:p>
                        <w:pPr>
                          <w:pStyle w:val="TableParagraph"/>
                          <w:spacing w:before="134"/>
                          <w:ind w:right="121"/>
                          <w:jc w:val="right"/>
                          <w:rPr>
                            <w:rFonts w:ascii="微软雅黑"/>
                            <w:b/>
                            <w:sz w:val="24"/>
                          </w:rPr>
                        </w:pPr>
                        <w:r>
                          <w:rPr>
                            <w:rFonts w:ascii="微软雅黑"/>
                            <w:b/>
                            <w:w w:val="175"/>
                            <w:sz w:val="24"/>
                          </w:rPr>
                          <w:t>:</w:t>
                        </w:r>
                      </w:p>
                    </w:tc>
                    <w:tc>
                      <w:tcPr>
                        <w:tcW w:w="7869" w:type="dxa"/>
                      </w:tcPr>
                      <w:p>
                        <w:pPr>
                          <w:pStyle w:val="TableParagraph"/>
                          <w:spacing w:line="237" w:lineRule="auto" w:before="208"/>
                          <w:ind w:left="123" w:right="198"/>
                          <w:rPr>
                            <w:sz w:val="24"/>
                          </w:rPr>
                        </w:pPr>
                        <w:r>
                          <w:rPr>
                            <w:spacing w:val="-7"/>
                            <w:sz w:val="24"/>
                          </w:rPr>
                          <w:t>在人身保险合同中是指人身受保险合同保障，享有保险金请求权的人。投保人也可以为自己投保，成为被保险人。</w:t>
                        </w:r>
                      </w:p>
                    </w:tc>
                  </w:tr>
                  <w:tr>
                    <w:trPr>
                      <w:trHeight w:val="831" w:hRule="atLeast"/>
                    </w:trPr>
                    <w:tc>
                      <w:tcPr>
                        <w:tcW w:w="1388" w:type="dxa"/>
                      </w:tcPr>
                      <w:p>
                        <w:pPr>
                          <w:pStyle w:val="TableParagraph"/>
                          <w:spacing w:before="182"/>
                          <w:ind w:left="200"/>
                          <w:rPr>
                            <w:rFonts w:ascii="微软雅黑" w:eastAsia="微软雅黑" w:hint="eastAsia"/>
                            <w:b/>
                            <w:sz w:val="24"/>
                          </w:rPr>
                        </w:pPr>
                        <w:r>
                          <w:rPr>
                            <w:rFonts w:ascii="微软雅黑" w:eastAsia="微软雅黑" w:hint="eastAsia"/>
                            <w:b/>
                            <w:sz w:val="24"/>
                          </w:rPr>
                          <w:t>受益人</w:t>
                        </w:r>
                      </w:p>
                    </w:tc>
                    <w:tc>
                      <w:tcPr>
                        <w:tcW w:w="467" w:type="dxa"/>
                      </w:tcPr>
                      <w:p>
                        <w:pPr>
                          <w:pStyle w:val="TableParagraph"/>
                          <w:spacing w:before="134"/>
                          <w:ind w:right="121"/>
                          <w:jc w:val="right"/>
                          <w:rPr>
                            <w:rFonts w:ascii="微软雅黑"/>
                            <w:b/>
                            <w:sz w:val="24"/>
                          </w:rPr>
                        </w:pPr>
                        <w:r>
                          <w:rPr>
                            <w:rFonts w:ascii="微软雅黑"/>
                            <w:b/>
                            <w:w w:val="175"/>
                            <w:sz w:val="24"/>
                          </w:rPr>
                          <w:t>:</w:t>
                        </w:r>
                      </w:p>
                    </w:tc>
                    <w:tc>
                      <w:tcPr>
                        <w:tcW w:w="7869" w:type="dxa"/>
                      </w:tcPr>
                      <w:p>
                        <w:pPr>
                          <w:pStyle w:val="TableParagraph"/>
                          <w:rPr>
                            <w:sz w:val="18"/>
                          </w:rPr>
                        </w:pPr>
                      </w:p>
                      <w:p>
                        <w:pPr>
                          <w:pStyle w:val="TableParagraph"/>
                          <w:spacing w:line="312" w:lineRule="exact" w:before="1"/>
                          <w:ind w:left="123" w:right="198"/>
                          <w:rPr>
                            <w:sz w:val="24"/>
                          </w:rPr>
                        </w:pPr>
                        <w:r>
                          <w:rPr>
                            <w:spacing w:val="-10"/>
                            <w:sz w:val="24"/>
                          </w:rPr>
                          <w:t>是指人身保险合同中，由被保险人或者投保人指定的，享有保险金请求权的人。除另有约定外，本附加合同的受益人为被保险人本人。</w:t>
                        </w:r>
                      </w:p>
                    </w:tc>
                  </w:tr>
                </w:tbl>
                <w:p>
                  <w:pPr>
                    <w:pStyle w:val="BodyText"/>
                  </w:pPr>
                </w:p>
              </w:txbxContent>
            </v:textbox>
            <w10:wrap type="none"/>
          </v:shape>
        </w:pict>
      </w:r>
      <w:r>
        <w:rPr>
          <w:sz w:val="24"/>
        </w:rPr>
        <w:t>为了方便您更好地理解保险条款，我们提供了以下常用的</w:t>
      </w:r>
      <w:r>
        <w:rPr>
          <w:rFonts w:ascii="微软雅黑" w:eastAsia="微软雅黑" w:hint="eastAsia"/>
          <w:b/>
          <w:sz w:val="24"/>
        </w:rPr>
        <w:t>基本名词释义。基本名词释义：</w:t>
      </w: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spacing w:before="6"/>
        <w:rPr>
          <w:rFonts w:ascii="微软雅黑"/>
          <w:b/>
          <w:sz w:val="29"/>
        </w:rPr>
      </w:pPr>
    </w:p>
    <w:p>
      <w:pPr>
        <w:spacing w:line="363" w:lineRule="exact" w:before="0"/>
        <w:ind w:left="220" w:right="0" w:firstLine="0"/>
        <w:jc w:val="left"/>
        <w:rPr>
          <w:rFonts w:ascii="微软雅黑" w:eastAsia="微软雅黑" w:hint="eastAsia"/>
          <w:b/>
          <w:sz w:val="24"/>
        </w:rPr>
      </w:pPr>
      <w:r>
        <w:rPr>
          <w:rFonts w:ascii="微软雅黑" w:eastAsia="微软雅黑" w:hint="eastAsia"/>
          <w:b/>
          <w:sz w:val="24"/>
        </w:rPr>
        <w:t>您应当特别注意的事项：</w:t>
      </w:r>
    </w:p>
    <w:p>
      <w:pPr>
        <w:pStyle w:val="ListParagraph"/>
        <w:numPr>
          <w:ilvl w:val="0"/>
          <w:numId w:val="1"/>
        </w:numPr>
        <w:tabs>
          <w:tab w:pos="1057" w:val="left" w:leader="none"/>
          <w:tab w:pos="1058" w:val="left" w:leader="none"/>
        </w:tabs>
        <w:spacing w:line="317" w:lineRule="exact" w:before="0" w:after="0"/>
        <w:ind w:left="1058" w:right="0" w:hanging="420"/>
        <w:jc w:val="left"/>
        <w:rPr>
          <w:rFonts w:ascii="微软雅黑" w:eastAsia="微软雅黑" w:hint="eastAsia"/>
          <w:b/>
          <w:sz w:val="24"/>
        </w:rPr>
      </w:pPr>
      <w:r>
        <w:rPr>
          <w:rFonts w:ascii="微软雅黑" w:eastAsia="微软雅黑" w:hint="eastAsia"/>
          <w:b/>
          <w:spacing w:val="-10"/>
          <w:w w:val="95"/>
          <w:sz w:val="24"/>
        </w:rPr>
        <w:t>在部分情况下，我们不承担保险责任</w:t>
      </w:r>
      <w:r>
        <w:rPr>
          <w:rFonts w:ascii="Courier New" w:eastAsia="Courier New"/>
          <w:b/>
          <w:w w:val="95"/>
          <w:sz w:val="24"/>
        </w:rPr>
        <w:t>........</w:t>
      </w:r>
      <w:r>
        <w:rPr>
          <w:rFonts w:ascii="微软雅黑" w:eastAsia="微软雅黑" w:hint="eastAsia"/>
          <w:b/>
          <w:w w:val="95"/>
          <w:sz w:val="24"/>
        </w:rPr>
        <w:t>第八条及其他免除保险人责任的条款</w:t>
      </w:r>
    </w:p>
    <w:p>
      <w:pPr>
        <w:pStyle w:val="ListParagraph"/>
        <w:numPr>
          <w:ilvl w:val="0"/>
          <w:numId w:val="1"/>
        </w:numPr>
        <w:tabs>
          <w:tab w:pos="1057" w:val="left" w:leader="none"/>
          <w:tab w:pos="1058" w:val="left" w:leader="none"/>
        </w:tabs>
        <w:spacing w:line="368" w:lineRule="exact" w:before="0" w:after="0"/>
        <w:ind w:left="1058" w:right="0" w:hanging="420"/>
        <w:jc w:val="left"/>
        <w:rPr>
          <w:rFonts w:ascii="微软雅黑" w:eastAsia="微软雅黑" w:hint="eastAsia"/>
          <w:b/>
          <w:sz w:val="24"/>
        </w:rPr>
      </w:pPr>
      <w:r>
        <w:rPr>
          <w:rFonts w:ascii="微软雅黑" w:eastAsia="微软雅黑" w:hint="eastAsia"/>
          <w:b/>
          <w:spacing w:val="-6"/>
          <w:w w:val="95"/>
          <w:sz w:val="24"/>
        </w:rPr>
        <w:t>解除保险合同会给您造成一定的损失，请您慎重决策</w:t>
      </w:r>
      <w:r>
        <w:rPr>
          <w:rFonts w:ascii="Courier New" w:eastAsia="Courier New"/>
          <w:b/>
          <w:w w:val="95"/>
          <w:sz w:val="24"/>
        </w:rPr>
        <w:t>..................</w:t>
      </w:r>
      <w:r>
        <w:rPr>
          <w:rFonts w:ascii="微软雅黑" w:eastAsia="微软雅黑" w:hint="eastAsia"/>
          <w:b/>
          <w:w w:val="95"/>
          <w:sz w:val="24"/>
        </w:rPr>
        <w:t>第十四条</w:t>
      </w:r>
    </w:p>
    <w:p>
      <w:pPr>
        <w:pStyle w:val="BodyText"/>
        <w:spacing w:before="7"/>
        <w:rPr>
          <w:rFonts w:ascii="微软雅黑"/>
          <w:b/>
          <w:sz w:val="35"/>
        </w:rPr>
      </w:pPr>
    </w:p>
    <w:p>
      <w:pPr>
        <w:spacing w:line="182" w:lineRule="auto" w:before="0"/>
        <w:ind w:left="218" w:right="298" w:firstLine="0"/>
        <w:jc w:val="left"/>
        <w:rPr>
          <w:sz w:val="24"/>
        </w:rPr>
      </w:pPr>
      <w:r>
        <w:rPr>
          <w:spacing w:val="-12"/>
          <w:sz w:val="24"/>
        </w:rPr>
        <w:t>此外，在您阅读本条款正文之前，请先浏览一下</w:t>
      </w:r>
      <w:r>
        <w:rPr>
          <w:rFonts w:ascii="微软雅黑" w:eastAsia="微软雅黑" w:hint="eastAsia"/>
          <w:b/>
          <w:sz w:val="24"/>
        </w:rPr>
        <w:t>目录</w:t>
      </w:r>
      <w:r>
        <w:rPr>
          <w:spacing w:val="-8"/>
          <w:sz w:val="24"/>
        </w:rPr>
        <w:t>，以便对条款结构有一个大致的了解。本条款中的每一部分都关乎到您的切身利益，</w:t>
      </w:r>
      <w:r>
        <w:rPr>
          <w:rFonts w:ascii="微软雅黑" w:eastAsia="微软雅黑" w:hint="eastAsia"/>
          <w:b/>
          <w:spacing w:val="-168"/>
          <w:sz w:val="24"/>
        </w:rPr>
        <w:t>请</w:t>
      </w:r>
      <w:r>
        <w:rPr>
          <w:spacing w:val="-70"/>
          <w:position w:val="-8"/>
          <w:sz w:val="24"/>
        </w:rPr>
        <w:t>．</w:t>
      </w:r>
      <w:r>
        <w:rPr>
          <w:rFonts w:ascii="微软雅黑" w:eastAsia="微软雅黑" w:hint="eastAsia"/>
          <w:b/>
          <w:spacing w:val="-168"/>
          <w:sz w:val="24"/>
        </w:rPr>
        <w:t>务</w:t>
      </w:r>
      <w:r>
        <w:rPr>
          <w:spacing w:val="-73"/>
          <w:position w:val="-8"/>
          <w:sz w:val="24"/>
        </w:rPr>
        <w:t>．</w:t>
      </w:r>
      <w:r>
        <w:rPr>
          <w:rFonts w:ascii="微软雅黑" w:eastAsia="微软雅黑" w:hint="eastAsia"/>
          <w:b/>
          <w:spacing w:val="-168"/>
          <w:sz w:val="24"/>
        </w:rPr>
        <w:t>必</w:t>
      </w:r>
      <w:r>
        <w:rPr>
          <w:spacing w:val="-71"/>
          <w:position w:val="-8"/>
          <w:sz w:val="24"/>
        </w:rPr>
        <w:t>．</w:t>
      </w:r>
      <w:r>
        <w:rPr>
          <w:rFonts w:ascii="微软雅黑" w:eastAsia="微软雅黑" w:hint="eastAsia"/>
          <w:b/>
          <w:spacing w:val="-168"/>
          <w:sz w:val="24"/>
        </w:rPr>
        <w:t>逐</w:t>
      </w:r>
      <w:r>
        <w:rPr>
          <w:spacing w:val="-73"/>
          <w:position w:val="-8"/>
          <w:sz w:val="24"/>
        </w:rPr>
        <w:t>．</w:t>
      </w:r>
      <w:r>
        <w:rPr>
          <w:rFonts w:ascii="微软雅黑" w:eastAsia="微软雅黑" w:hint="eastAsia"/>
          <w:b/>
          <w:spacing w:val="-168"/>
          <w:sz w:val="24"/>
        </w:rPr>
        <w:t>条</w:t>
      </w:r>
      <w:r>
        <w:rPr>
          <w:spacing w:val="-73"/>
          <w:position w:val="-8"/>
          <w:sz w:val="24"/>
        </w:rPr>
        <w:t>．</w:t>
      </w:r>
      <w:r>
        <w:rPr>
          <w:rFonts w:ascii="微软雅黑" w:eastAsia="微软雅黑" w:hint="eastAsia"/>
          <w:b/>
          <w:spacing w:val="-168"/>
          <w:sz w:val="24"/>
        </w:rPr>
        <w:t>仔</w:t>
      </w:r>
      <w:r>
        <w:rPr>
          <w:spacing w:val="-71"/>
          <w:position w:val="-8"/>
          <w:sz w:val="24"/>
        </w:rPr>
        <w:t>．</w:t>
      </w:r>
      <w:r>
        <w:rPr>
          <w:rFonts w:ascii="微软雅黑" w:eastAsia="微软雅黑" w:hint="eastAsia"/>
          <w:b/>
          <w:spacing w:val="-168"/>
          <w:sz w:val="24"/>
        </w:rPr>
        <w:t>细</w:t>
      </w:r>
      <w:r>
        <w:rPr>
          <w:spacing w:val="-73"/>
          <w:position w:val="-8"/>
          <w:sz w:val="24"/>
        </w:rPr>
        <w:t>．</w:t>
      </w:r>
      <w:r>
        <w:rPr>
          <w:rFonts w:ascii="微软雅黑" w:eastAsia="微软雅黑" w:hint="eastAsia"/>
          <w:b/>
          <w:spacing w:val="-168"/>
          <w:sz w:val="24"/>
        </w:rPr>
        <w:t>阅</w:t>
      </w:r>
      <w:r>
        <w:rPr>
          <w:spacing w:val="-71"/>
          <w:position w:val="-8"/>
          <w:sz w:val="24"/>
        </w:rPr>
        <w:t>．</w:t>
      </w:r>
      <w:r>
        <w:rPr>
          <w:rFonts w:ascii="微软雅黑" w:eastAsia="微软雅黑" w:hint="eastAsia"/>
          <w:b/>
          <w:spacing w:val="-168"/>
          <w:sz w:val="24"/>
        </w:rPr>
        <w:t>读</w:t>
      </w:r>
      <w:r>
        <w:rPr>
          <w:spacing w:val="-73"/>
          <w:position w:val="-8"/>
          <w:sz w:val="24"/>
        </w:rPr>
        <w:t>．</w:t>
      </w:r>
      <w:r>
        <w:rPr>
          <w:rFonts w:ascii="微软雅黑" w:eastAsia="微软雅黑" w:hint="eastAsia"/>
          <w:b/>
          <w:spacing w:val="-168"/>
          <w:sz w:val="24"/>
        </w:rPr>
        <w:t>并</w:t>
      </w:r>
      <w:r>
        <w:rPr>
          <w:spacing w:val="-73"/>
          <w:position w:val="-8"/>
          <w:sz w:val="24"/>
        </w:rPr>
        <w:t>．</w:t>
      </w:r>
      <w:r>
        <w:rPr>
          <w:rFonts w:ascii="微软雅黑" w:eastAsia="微软雅黑" w:hint="eastAsia"/>
          <w:b/>
          <w:spacing w:val="-167"/>
          <w:sz w:val="24"/>
        </w:rPr>
        <w:t>关</w:t>
      </w:r>
      <w:r>
        <w:rPr>
          <w:spacing w:val="-72"/>
          <w:position w:val="-8"/>
          <w:sz w:val="24"/>
        </w:rPr>
        <w:t>．</w:t>
      </w:r>
      <w:r>
        <w:rPr>
          <w:rFonts w:ascii="微软雅黑" w:eastAsia="微软雅黑" w:hint="eastAsia"/>
          <w:b/>
          <w:spacing w:val="-167"/>
          <w:sz w:val="24"/>
        </w:rPr>
        <w:t>注</w:t>
      </w:r>
      <w:r>
        <w:rPr>
          <w:spacing w:val="-74"/>
          <w:position w:val="-8"/>
          <w:sz w:val="24"/>
        </w:rPr>
        <w:t>．</w:t>
      </w:r>
      <w:r>
        <w:rPr>
          <w:rFonts w:ascii="微软雅黑" w:eastAsia="微软雅黑" w:hint="eastAsia"/>
          <w:b/>
          <w:spacing w:val="-167"/>
          <w:sz w:val="24"/>
        </w:rPr>
        <w:t>注</w:t>
      </w:r>
      <w:r>
        <w:rPr>
          <w:spacing w:val="-72"/>
          <w:position w:val="-8"/>
          <w:sz w:val="24"/>
        </w:rPr>
        <w:t>．</w:t>
      </w:r>
      <w:r>
        <w:rPr>
          <w:rFonts w:ascii="微软雅黑" w:eastAsia="微软雅黑" w:hint="eastAsia"/>
          <w:b/>
          <w:spacing w:val="-166"/>
          <w:sz w:val="24"/>
        </w:rPr>
        <w:t>释</w:t>
      </w:r>
      <w:r>
        <w:rPr>
          <w:spacing w:val="-75"/>
          <w:position w:val="-8"/>
          <w:sz w:val="24"/>
        </w:rPr>
        <w:t>．</w:t>
      </w:r>
      <w:r>
        <w:rPr>
          <w:rFonts w:ascii="微软雅黑" w:eastAsia="微软雅黑" w:hint="eastAsia"/>
          <w:b/>
          <w:spacing w:val="-166"/>
          <w:sz w:val="24"/>
        </w:rPr>
        <w:t>内</w:t>
      </w:r>
      <w:r>
        <w:rPr>
          <w:spacing w:val="-75"/>
          <w:position w:val="-8"/>
          <w:sz w:val="24"/>
        </w:rPr>
        <w:t>．</w:t>
      </w:r>
      <w:r>
        <w:rPr>
          <w:rFonts w:ascii="微软雅黑" w:eastAsia="微软雅黑" w:hint="eastAsia"/>
          <w:b/>
          <w:spacing w:val="-166"/>
          <w:sz w:val="24"/>
        </w:rPr>
        <w:t>容</w:t>
      </w:r>
      <w:r>
        <w:rPr>
          <w:spacing w:val="-70"/>
          <w:position w:val="-8"/>
          <w:sz w:val="24"/>
        </w:rPr>
        <w:t>．</w:t>
      </w:r>
      <w:r>
        <w:rPr>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BodyText"/>
        <w:spacing w:before="43"/>
        <w:ind w:left="273" w:right="835"/>
        <w:jc w:val="center"/>
      </w:pPr>
      <w:r>
        <w:rPr/>
        <w:t>第 </w:t>
      </w:r>
      <w:r>
        <w:rPr>
          <w:rFonts w:ascii="Times New Roman" w:eastAsia="Times New Roman"/>
        </w:rPr>
        <w:t>1 </w:t>
      </w:r>
      <w:r>
        <w:rPr/>
        <w:t>页，共 </w:t>
      </w:r>
      <w:r>
        <w:rPr>
          <w:rFonts w:ascii="Times New Roman" w:eastAsia="Times New Roman"/>
        </w:rPr>
        <w:t>24 </w:t>
      </w:r>
      <w:r>
        <w:rPr/>
        <w:t>页</w:t>
      </w:r>
    </w:p>
    <w:p>
      <w:pPr>
        <w:spacing w:after="0"/>
        <w:jc w:val="center"/>
        <w:sectPr>
          <w:type w:val="continuous"/>
          <w:pgSz w:w="11910" w:h="16840"/>
          <w:pgMar w:top="1160" w:bottom="280" w:left="1340" w:right="620"/>
        </w:sectPr>
      </w:pPr>
    </w:p>
    <w:p>
      <w:pPr>
        <w:spacing w:line="430" w:lineRule="exact" w:before="0"/>
        <w:ind w:left="4731" w:right="4718" w:firstLine="0"/>
        <w:jc w:val="center"/>
        <w:rPr>
          <w:rFonts w:ascii="微软雅黑" w:eastAsia="微软雅黑" w:hint="eastAsia"/>
          <w:b/>
          <w:sz w:val="32"/>
        </w:rPr>
      </w:pPr>
      <w:r>
        <w:rPr>
          <w:rFonts w:ascii="微软雅黑" w:eastAsia="微软雅黑" w:hint="eastAsia"/>
          <w:b/>
          <w:color w:val="365F91"/>
          <w:sz w:val="32"/>
        </w:rPr>
        <w:t>目录</w:t>
      </w:r>
    </w:p>
    <w:sdt>
      <w:sdtPr>
        <w:docPartObj>
          <w:docPartGallery w:val="Table of Contents"/>
          <w:docPartUnique/>
        </w:docPartObj>
      </w:sdtPr>
      <w:sdtEndPr/>
      <w:sdtContent>
        <w:p>
          <w:pPr>
            <w:pStyle w:val="TOC1"/>
            <w:tabs>
              <w:tab w:pos="1217" w:val="left" w:leader="none"/>
              <w:tab w:pos="10014" w:val="right" w:leader="dot"/>
            </w:tabs>
            <w:spacing w:line="240" w:lineRule="auto" w:before="40"/>
            <w:rPr>
              <w:rFonts w:ascii="Times New Roman" w:eastAsia="Times New Roman"/>
            </w:rPr>
          </w:pPr>
          <w:hyperlink w:history="true" w:anchor="_bookmark0">
            <w:r>
              <w:rPr/>
              <w:t>第一部分</w:t>
              <w:tab/>
              <w:t>您（投保人）与我</w:t>
            </w:r>
            <w:r>
              <w:rPr>
                <w:spacing w:val="-3"/>
              </w:rPr>
              <w:t>们</w:t>
            </w:r>
            <w:r>
              <w:rPr/>
              <w:t>（</w:t>
            </w:r>
            <w:r>
              <w:rPr>
                <w:spacing w:val="-3"/>
              </w:rPr>
              <w:t>上</w:t>
            </w:r>
            <w:r>
              <w:rPr/>
              <w:t>海人寿保险股份有</w:t>
            </w:r>
            <w:r>
              <w:rPr>
                <w:spacing w:val="-3"/>
              </w:rPr>
              <w:t>限</w:t>
            </w:r>
            <w:r>
              <w:rPr/>
              <w:t>公</w:t>
            </w:r>
            <w:r>
              <w:rPr>
                <w:spacing w:val="-3"/>
              </w:rPr>
              <w:t>司</w:t>
            </w:r>
            <w:r>
              <w:rPr/>
              <w:t>）的合同</w:t>
              <w:tab/>
            </w:r>
            <w:r>
              <w:rPr>
                <w:rFonts w:ascii="Times New Roman" w:eastAsia="Times New Roman"/>
              </w:rPr>
              <w:t>3</w:t>
            </w:r>
          </w:hyperlink>
        </w:p>
        <w:p>
          <w:pPr>
            <w:pStyle w:val="TOC2"/>
            <w:tabs>
              <w:tab w:pos="1797" w:val="left" w:leader="none"/>
              <w:tab w:pos="10018" w:val="right" w:leader="dot"/>
            </w:tabs>
            <w:spacing w:before="3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97" w:val="left" w:leader="none"/>
              <w:tab w:pos="10018"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97" w:val="left" w:leader="none"/>
              <w:tab w:pos="10018"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97" w:val="left" w:leader="none"/>
              <w:tab w:pos="10018" w:val="right" w:leader="dot"/>
            </w:tabs>
            <w:spacing w:line="239" w:lineRule="exact"/>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217" w:val="left" w:leader="none"/>
              <w:tab w:pos="10014"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97" w:val="left" w:leader="none"/>
              <w:tab w:pos="10018" w:val="right" w:leader="dot"/>
            </w:tabs>
            <w:spacing w:before="32"/>
            <w:rPr>
              <w:rFonts w:ascii="Times New Roman" w:eastAsia="Times New Roman"/>
            </w:rPr>
          </w:pPr>
          <w:hyperlink w:history="true" w:anchor="_bookmark6">
            <w:r>
              <w:rPr/>
              <w:t>第五条</w:t>
              <w:tab/>
              <w:t>保险金额</w:t>
              <w:tab/>
            </w:r>
            <w:r>
              <w:rPr>
                <w:rFonts w:ascii="Times New Roman" w:eastAsia="Times New Roman"/>
              </w:rPr>
              <w:t>3</w:t>
            </w:r>
          </w:hyperlink>
        </w:p>
        <w:p>
          <w:pPr>
            <w:pStyle w:val="TOC2"/>
            <w:tabs>
              <w:tab w:pos="1797" w:val="left" w:leader="none"/>
              <w:tab w:pos="10018" w:val="right" w:leader="dot"/>
            </w:tabs>
            <w:spacing w:before="62"/>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97" w:val="left" w:leader="none"/>
              <w:tab w:pos="10018" w:val="right" w:leader="dot"/>
            </w:tabs>
            <w:spacing w:before="62"/>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97" w:val="left" w:leader="none"/>
              <w:tab w:pos="10018" w:val="right" w:leader="dot"/>
            </w:tabs>
            <w:spacing w:line="239" w:lineRule="exact" w:before="62"/>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21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97" w:val="left" w:leader="none"/>
              <w:tab w:pos="10018" w:val="right" w:leader="dot"/>
            </w:tabs>
            <w:spacing w:line="239" w:lineRule="exact" w:before="33"/>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217" w:val="left" w:leader="none"/>
              <w:tab w:pos="10014"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97" w:val="left" w:leader="none"/>
              <w:tab w:pos="10018" w:val="right" w:leader="dot"/>
            </w:tabs>
            <w:spacing w:before="33"/>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97" w:val="left" w:leader="none"/>
              <w:tab w:pos="10018" w:val="right" w:leader="dot"/>
            </w:tabs>
            <w:rPr>
              <w:rFonts w:ascii="Times New Roman" w:eastAsia="Times New Roman"/>
            </w:rPr>
          </w:pPr>
          <w:hyperlink w:history="true" w:anchor="_bookmark14">
            <w:r>
              <w:rPr/>
              <w:t>第十一条</w:t>
              <w:tab/>
              <w:t>诉讼时效</w:t>
              <w:tab/>
            </w:r>
            <w:r>
              <w:rPr>
                <w:rFonts w:ascii="Times New Roman" w:eastAsia="Times New Roman"/>
              </w:rPr>
              <w:t>6</w:t>
            </w:r>
          </w:hyperlink>
        </w:p>
        <w:p>
          <w:pPr>
            <w:pStyle w:val="TOC2"/>
            <w:tabs>
              <w:tab w:pos="1797" w:val="left" w:leader="none"/>
              <w:tab w:pos="10018" w:val="right" w:leader="dot"/>
            </w:tabs>
            <w:spacing w:line="239" w:lineRule="exact"/>
            <w:rPr>
              <w:rFonts w:ascii="Times New Roman" w:eastAsia="Times New Roman"/>
            </w:rPr>
          </w:pPr>
          <w:hyperlink w:history="true" w:anchor="_bookmark15">
            <w:r>
              <w:rPr/>
              <w:t>第十二条</w:t>
              <w:tab/>
              <w:t>保险金申请</w:t>
              <w:tab/>
            </w:r>
            <w:r>
              <w:rPr>
                <w:rFonts w:ascii="Times New Roman" w:eastAsia="Times New Roman"/>
              </w:rPr>
              <w:t>6</w:t>
            </w:r>
          </w:hyperlink>
        </w:p>
        <w:p>
          <w:pPr>
            <w:pStyle w:val="TOC1"/>
            <w:tabs>
              <w:tab w:pos="1217" w:val="left" w:leader="none"/>
              <w:tab w:pos="10014"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97" w:val="left" w:leader="none"/>
              <w:tab w:pos="10018" w:val="right" w:leader="dot"/>
            </w:tabs>
            <w:spacing w:before="3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97" w:val="left" w:leader="none"/>
              <w:tab w:pos="10018" w:val="right" w:leader="dot"/>
            </w:tabs>
            <w:spacing w:line="239" w:lineRule="exact" w:before="62"/>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217" w:val="left" w:leader="none"/>
              <w:tab w:pos="10014"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97" w:val="left" w:leader="none"/>
              <w:tab w:pos="10018" w:val="right" w:leader="dot"/>
            </w:tabs>
            <w:spacing w:before="33"/>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97" w:val="left" w:leader="none"/>
              <w:tab w:pos="10018" w:val="right" w:leader="dot"/>
            </w:tabs>
            <w:rPr>
              <w:rFonts w:ascii="Times New Roman" w:eastAsia="Times New Roman"/>
            </w:rPr>
          </w:pPr>
          <w:hyperlink w:history="true" w:anchor="_bookmark21">
            <w:r>
              <w:rPr/>
              <w:t>第十六条</w:t>
              <w:tab/>
              <w:t>重大疾病种类及定义与所属组别</w:t>
              <w:tab/>
            </w:r>
            <w:r>
              <w:rPr>
                <w:rFonts w:ascii="Times New Roman" w:eastAsia="Times New Roman"/>
              </w:rPr>
              <w:t>7</w:t>
            </w:r>
          </w:hyperlink>
        </w:p>
        <w:p>
          <w:pPr>
            <w:pStyle w:val="TOC2"/>
            <w:tabs>
              <w:tab w:pos="1797" w:val="left" w:leader="none"/>
              <w:tab w:pos="10021" w:val="right" w:leader="dot"/>
            </w:tabs>
            <w:rPr>
              <w:rFonts w:ascii="Times New Roman" w:eastAsia="Times New Roman"/>
            </w:rPr>
          </w:pPr>
          <w:hyperlink w:history="true" w:anchor="_bookmark22">
            <w:r>
              <w:rPr/>
              <w:t>第十七条</w:t>
              <w:tab/>
              <w:t>轻症疾病种类及定义与所属组别</w:t>
              <w:tab/>
            </w:r>
            <w:r>
              <w:rPr>
                <w:rFonts w:ascii="Times New Roman" w:eastAsia="Times New Roman"/>
              </w:rPr>
              <w:t>20</w:t>
            </w:r>
          </w:hyperlink>
        </w:p>
      </w:sdtContent>
    </w:sdt>
    <w:p>
      <w:pPr>
        <w:spacing w:after="0"/>
        <w:rPr>
          <w:rFonts w:ascii="Times New Roman" w:eastAsia="Times New Roman"/>
        </w:rPr>
        <w:sectPr>
          <w:footerReference w:type="default" r:id="rId6"/>
          <w:pgSz w:w="11910" w:h="16840"/>
          <w:pgMar w:footer="785" w:header="0" w:top="1460" w:bottom="980" w:left="960" w:right="820"/>
          <w:pgNumType w:start="2"/>
        </w:sectPr>
      </w:pPr>
    </w:p>
    <w:p>
      <w:pPr>
        <w:pStyle w:val="Heading1"/>
        <w:tabs>
          <w:tab w:pos="3096" w:val="left" w:leader="none"/>
        </w:tabs>
        <w:spacing w:before="1"/>
        <w:ind w:left="1678"/>
        <w:jc w:val="left"/>
      </w:pPr>
      <w:bookmarkStart w:name="_bookmark0" w:id="1"/>
      <w:bookmarkEnd w:id="1"/>
      <w:r>
        <w:rPr>
          <w:b w:val="0"/>
        </w:rPr>
      </w:r>
      <w:r>
        <w:rPr/>
        <w:t>第一部分</w:t>
        <w:tab/>
        <w:t>您（投保人）与我们（上海人寿保险股份有限公司）的合同</w:t>
      </w:r>
    </w:p>
    <w:p>
      <w:pPr>
        <w:pStyle w:val="BodyText"/>
        <w:spacing w:before="3"/>
        <w:rPr>
          <w:rFonts w:ascii="微软雅黑"/>
          <w:b/>
          <w:sz w:val="14"/>
        </w:rPr>
      </w:pPr>
    </w:p>
    <w:p>
      <w:pPr>
        <w:pStyle w:val="Heading2"/>
        <w:tabs>
          <w:tab w:pos="969" w:val="left" w:leader="none"/>
        </w:tabs>
        <w:spacing w:before="1"/>
      </w:pPr>
      <w:bookmarkStart w:name="_bookmark1" w:id="2"/>
      <w:bookmarkEnd w:id="2"/>
      <w:r>
        <w:rPr>
          <w:b w:val="0"/>
        </w:rPr>
      </w:r>
      <w:r>
        <w:rPr/>
        <w:t>第一条</w:t>
        <w:tab/>
      </w:r>
      <w:r>
        <w:rPr>
          <w:spacing w:val="-1"/>
        </w:rPr>
        <w:t>保</w:t>
      </w:r>
      <w:r>
        <w:rPr/>
        <w:t>险合同的构成</w:t>
      </w:r>
    </w:p>
    <w:p>
      <w:pPr>
        <w:pStyle w:val="BodyText"/>
        <w:spacing w:line="273" w:lineRule="auto" w:before="12"/>
        <w:ind w:left="117" w:right="217" w:firstLine="420"/>
      </w:pPr>
      <w:r>
        <w:rPr>
          <w:spacing w:val="-6"/>
          <w:w w:val="100"/>
        </w:rPr>
        <w:t>本附加合同依您的申请，附加于您与我们订立的主保险合同</w:t>
      </w:r>
      <w:r>
        <w:rPr>
          <w:spacing w:val="-3"/>
          <w:w w:val="100"/>
        </w:rPr>
        <w:t>（</w:t>
      </w:r>
      <w:r>
        <w:rPr>
          <w:spacing w:val="-17"/>
          <w:w w:val="100"/>
        </w:rPr>
        <w:t>以下简称“主合同”</w:t>
      </w:r>
      <w:r>
        <w:rPr>
          <w:spacing w:val="-14"/>
          <w:w w:val="100"/>
        </w:rPr>
        <w:t>）</w:t>
      </w:r>
      <w:r>
        <w:rPr>
          <w:spacing w:val="-5"/>
          <w:w w:val="100"/>
        </w:rPr>
        <w:t>之上，并经我们审核</w:t>
      </w:r>
      <w:r>
        <w:rPr>
          <w:spacing w:val="-4"/>
        </w:rPr>
        <w:t>同意，在保险单或批注中列明后生效。</w:t>
      </w:r>
    </w:p>
    <w:p>
      <w:pPr>
        <w:pStyle w:val="BodyText"/>
        <w:spacing w:line="273" w:lineRule="auto" w:before="8"/>
        <w:ind w:left="117" w:right="218" w:firstLine="420"/>
        <w:jc w:val="both"/>
      </w:pPr>
      <w:r>
        <w:rPr/>
        <w:t>我们为网上投保的投保人提供电子保单。根据《中华人民共和国合同法》第十一条规定，数据电文是合法的合同表现形式，您向我们在线提交的电子信息与您向我们提交的书面文件具有同等的法律效力，电子保单与纸质保单具有同等法律效力。</w:t>
      </w:r>
    </w:p>
    <w:p>
      <w:pPr>
        <w:pStyle w:val="BodyText"/>
        <w:spacing w:line="273" w:lineRule="auto" w:before="8"/>
        <w:ind w:left="117" w:right="220" w:firstLine="420"/>
      </w:pPr>
      <w:r>
        <w:rPr/>
        <w:t>本附加合同未约定的事项，以主合同为准；若主合同与本附加合同的条款内容互有冲突，则以本附加合同为准。</w:t>
      </w:r>
    </w:p>
    <w:p>
      <w:pPr>
        <w:pStyle w:val="BodyText"/>
        <w:spacing w:before="8"/>
        <w:rPr>
          <w:sz w:val="19"/>
        </w:rPr>
      </w:pPr>
    </w:p>
    <w:p>
      <w:pPr>
        <w:pStyle w:val="Heading2"/>
        <w:tabs>
          <w:tab w:pos="969" w:val="left" w:leader="none"/>
        </w:tabs>
        <w:spacing w:line="338" w:lineRule="exact" w:before="1"/>
      </w:pPr>
      <w:bookmarkStart w:name="_bookmark2" w:id="3"/>
      <w:bookmarkEnd w:id="3"/>
      <w:r>
        <w:rPr>
          <w:b w:val="0"/>
        </w:rPr>
      </w:r>
      <w:r>
        <w:rPr/>
        <w:t>第二条</w:t>
        <w:tab/>
        <w:t>投保范围</w:t>
      </w:r>
    </w:p>
    <w:p>
      <w:pPr>
        <w:pStyle w:val="BodyText"/>
        <w:spacing w:line="338" w:lineRule="exact"/>
        <w:ind w:left="538"/>
      </w:pPr>
      <w:r>
        <w:rPr/>
        <w:t>本附加合同接受的被保险人的投保年龄为出生满 </w:t>
      </w:r>
      <w:r>
        <w:rPr>
          <w:rFonts w:ascii="Times New Roman" w:eastAsia="Times New Roman"/>
        </w:rPr>
        <w:t>28 </w:t>
      </w:r>
      <w:r>
        <w:rPr/>
        <w:t>日至 </w:t>
      </w:r>
      <w:r>
        <w:rPr>
          <w:rFonts w:ascii="Times New Roman" w:eastAsia="Times New Roman"/>
        </w:rPr>
        <w:t>60 </w:t>
      </w:r>
      <w:r>
        <w:rPr>
          <w:rFonts w:ascii="微软雅黑" w:eastAsia="微软雅黑" w:hint="eastAsia"/>
          <w:b/>
        </w:rPr>
        <w:t>周岁</w:t>
      </w:r>
      <w:r>
        <w:rPr>
          <w:rFonts w:ascii="Times New Roman" w:eastAsia="Times New Roman"/>
          <w:b/>
          <w:position w:val="7"/>
          <w:sz w:val="14"/>
        </w:rPr>
        <w:t>1</w:t>
      </w:r>
      <w:r>
        <w:rPr/>
        <w:t>。</w:t>
      </w:r>
    </w:p>
    <w:p>
      <w:pPr>
        <w:pStyle w:val="BodyText"/>
        <w:spacing w:before="12"/>
        <w:rPr>
          <w:sz w:val="19"/>
        </w:rPr>
      </w:pPr>
    </w:p>
    <w:p>
      <w:pPr>
        <w:pStyle w:val="Heading2"/>
        <w:tabs>
          <w:tab w:pos="969" w:val="left" w:leader="none"/>
        </w:tabs>
      </w:pPr>
      <w:bookmarkStart w:name="_bookmark3" w:id="4"/>
      <w:bookmarkEnd w:id="4"/>
      <w:r>
        <w:rPr>
          <w:b w:val="0"/>
        </w:rPr>
      </w:r>
      <w:r>
        <w:rPr/>
        <w:t>第三条</w:t>
        <w:tab/>
        <w:t>保险合同成立与生效</w:t>
      </w:r>
    </w:p>
    <w:p>
      <w:pPr>
        <w:pStyle w:val="BodyText"/>
        <w:spacing w:line="262" w:lineRule="exact" w:before="11"/>
        <w:ind w:left="538"/>
      </w:pPr>
      <w:r>
        <w:rPr/>
        <w:t>您提出保险申请并经我们同意承保，本附加合同成立。</w:t>
      </w:r>
    </w:p>
    <w:p>
      <w:pPr>
        <w:spacing w:line="206" w:lineRule="auto" w:before="38"/>
        <w:ind w:left="117" w:right="107" w:firstLine="422"/>
        <w:jc w:val="left"/>
        <w:rPr>
          <w:sz w:val="21"/>
        </w:rPr>
      </w:pPr>
      <w:r>
        <w:rPr>
          <w:rFonts w:ascii="微软雅黑" w:eastAsia="微软雅黑" w:hint="eastAsia"/>
          <w:b/>
          <w:sz w:val="21"/>
        </w:rPr>
        <w:t>除另有约定外，自本附加合同成立、我们收取首期保险费并签发保险单的次日零时起本附加合同生效， 我们开始承担保险责任，合同生效日期在保险单上载明，保单年度</w:t>
      </w:r>
      <w:r>
        <w:rPr>
          <w:rFonts w:ascii="Times New Roman" w:eastAsia="Times New Roman"/>
          <w:b/>
          <w:position w:val="7"/>
          <w:sz w:val="14"/>
        </w:rPr>
        <w:t>2</w:t>
      </w:r>
      <w:r>
        <w:rPr>
          <w:sz w:val="21"/>
        </w:rPr>
        <w:t>，</w:t>
      </w:r>
      <w:r>
        <w:rPr>
          <w:rFonts w:ascii="微软雅黑" w:eastAsia="微软雅黑" w:hint="eastAsia"/>
          <w:b/>
          <w:sz w:val="21"/>
        </w:rPr>
        <w:t>保险费约定支付日</w:t>
      </w:r>
      <w:r>
        <w:rPr>
          <w:rFonts w:ascii="Times New Roman" w:eastAsia="Times New Roman"/>
          <w:b/>
          <w:position w:val="7"/>
          <w:sz w:val="14"/>
        </w:rPr>
        <w:t>3</w:t>
      </w:r>
      <w:r>
        <w:rPr>
          <w:sz w:val="21"/>
        </w:rPr>
        <w:t>均以该日期计算。</w:t>
      </w:r>
    </w:p>
    <w:p>
      <w:pPr>
        <w:pStyle w:val="BodyText"/>
        <w:spacing w:before="12"/>
        <w:rPr>
          <w:sz w:val="19"/>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11"/>
        <w:ind w:left="542"/>
      </w:pPr>
      <w:r>
        <w:rPr/>
        <w:t>本附加合同的保险期间与主合同保持一致,并在保险单上载明。</w:t>
      </w:r>
    </w:p>
    <w:p>
      <w:pPr>
        <w:pStyle w:val="BodyText"/>
        <w:spacing w:before="1"/>
        <w:rPr>
          <w:sz w:val="19"/>
        </w:rPr>
      </w:pPr>
    </w:p>
    <w:p>
      <w:pPr>
        <w:pStyle w:val="Heading1"/>
        <w:tabs>
          <w:tab w:pos="2210" w:val="left" w:leader="none"/>
        </w:tabs>
        <w:ind w:left="792"/>
      </w:pPr>
      <w:bookmarkStart w:name="_bookmark5" w:id="6"/>
      <w:bookmarkEnd w:id="6"/>
      <w:r>
        <w:rPr>
          <w:b w:val="0"/>
        </w:rPr>
      </w:r>
      <w:r>
        <w:rPr/>
        <w:t>第二部分</w:t>
        <w:tab/>
        <w:t>我们提供哪些保障利益</w:t>
      </w:r>
    </w:p>
    <w:p>
      <w:pPr>
        <w:pStyle w:val="BodyText"/>
        <w:spacing w:before="4"/>
        <w:rPr>
          <w:rFonts w:ascii="微软雅黑"/>
          <w:b/>
          <w:sz w:val="14"/>
        </w:rPr>
      </w:pPr>
    </w:p>
    <w:p>
      <w:pPr>
        <w:pStyle w:val="Heading2"/>
        <w:tabs>
          <w:tab w:pos="969" w:val="left" w:leader="none"/>
        </w:tabs>
      </w:pPr>
      <w:bookmarkStart w:name="_bookmark6" w:id="7"/>
      <w:bookmarkEnd w:id="7"/>
      <w:r>
        <w:rPr>
          <w:b w:val="0"/>
        </w:rPr>
      </w:r>
      <w:r>
        <w:rPr/>
        <w:t>第五条</w:t>
        <w:tab/>
        <w:t>保险金额</w:t>
      </w:r>
    </w:p>
    <w:p>
      <w:pPr>
        <w:pStyle w:val="BodyText"/>
        <w:spacing w:line="273" w:lineRule="auto" w:before="11"/>
        <w:ind w:left="117" w:right="218" w:firstLine="425"/>
      </w:pPr>
      <w:r>
        <w:rPr/>
        <w:t>本附加合同的基本保险金额由您于投保时与我们约定，并在保险单或批注上载明。若该金额发生变更， 则以变更后的金额为基本保险金额。</w:t>
      </w:r>
    </w:p>
    <w:p>
      <w:pPr>
        <w:pStyle w:val="BodyText"/>
        <w:spacing w:before="8"/>
        <w:rPr>
          <w:sz w:val="19"/>
        </w:rPr>
      </w:pPr>
    </w:p>
    <w:p>
      <w:pPr>
        <w:pStyle w:val="Heading2"/>
        <w:tabs>
          <w:tab w:pos="969" w:val="left" w:leader="none"/>
        </w:tabs>
        <w:spacing w:line="337" w:lineRule="exact"/>
      </w:pPr>
      <w:bookmarkStart w:name="_bookmark7" w:id="8"/>
      <w:bookmarkEnd w:id="8"/>
      <w:r>
        <w:rPr>
          <w:b w:val="0"/>
        </w:rPr>
      </w:r>
      <w:r>
        <w:rPr/>
        <w:t>第六条</w:t>
        <w:tab/>
        <w:t>等待期</w:t>
      </w:r>
    </w:p>
    <w:p>
      <w:pPr>
        <w:spacing w:line="206" w:lineRule="auto" w:before="25"/>
        <w:ind w:left="117" w:right="220" w:firstLine="422"/>
        <w:jc w:val="left"/>
        <w:rPr>
          <w:rFonts w:ascii="微软雅黑" w:eastAsia="微软雅黑" w:hint="eastAsia"/>
          <w:b/>
          <w:sz w:val="21"/>
        </w:rPr>
      </w:pPr>
      <w:r>
        <w:rPr>
          <w:rFonts w:ascii="微软雅黑" w:eastAsia="微软雅黑" w:hint="eastAsia"/>
          <w:b/>
          <w:sz w:val="21"/>
        </w:rPr>
        <w:t>自本附加合同生效之日零时起</w:t>
      </w:r>
      <w:r>
        <w:rPr>
          <w:rFonts w:ascii="Times New Roman" w:eastAsia="Times New Roman"/>
          <w:b/>
          <w:sz w:val="21"/>
        </w:rPr>
        <w:t>90</w:t>
      </w:r>
      <w:r>
        <w:rPr>
          <w:rFonts w:ascii="微软雅黑" w:eastAsia="微软雅黑" w:hint="eastAsia"/>
          <w:b/>
          <w:sz w:val="21"/>
        </w:rPr>
        <w:t>日为等待期。如果本附加合同曾一次或者多次恢复效力，则自每次合同恢复效力之日零时起</w:t>
      </w:r>
      <w:r>
        <w:rPr>
          <w:rFonts w:ascii="Times New Roman" w:eastAsia="Times New Roman"/>
          <w:b/>
          <w:sz w:val="21"/>
        </w:rPr>
        <w:t>90</w:t>
      </w:r>
      <w:r>
        <w:rPr>
          <w:rFonts w:ascii="微软雅黑" w:eastAsia="微软雅黑" w:hint="eastAsia"/>
          <w:b/>
          <w:sz w:val="21"/>
        </w:rPr>
        <w:t>日均为等待期。</w:t>
      </w:r>
    </w:p>
    <w:p>
      <w:pPr>
        <w:pStyle w:val="BodyText"/>
        <w:spacing w:before="2"/>
        <w:rPr>
          <w:rFonts w:ascii="微软雅黑"/>
          <w:b/>
          <w:sz w:val="15"/>
        </w:rPr>
      </w:pPr>
    </w:p>
    <w:p>
      <w:pPr>
        <w:pStyle w:val="Heading2"/>
        <w:tabs>
          <w:tab w:pos="969" w:val="left" w:leader="none"/>
        </w:tabs>
      </w:pPr>
      <w:bookmarkStart w:name="_bookmark8" w:id="9"/>
      <w:bookmarkEnd w:id="9"/>
      <w:r>
        <w:rPr>
          <w:b w:val="0"/>
        </w:rPr>
      </w:r>
      <w:r>
        <w:rPr/>
        <w:t>第七条</w:t>
        <w:tab/>
        <w:t>保险责任</w:t>
      </w:r>
    </w:p>
    <w:p>
      <w:pPr>
        <w:pStyle w:val="BodyText"/>
        <w:spacing w:line="223" w:lineRule="auto" w:before="30"/>
        <w:ind w:left="538" w:right="1088"/>
        <w:rPr>
          <w:rFonts w:ascii="微软雅黑" w:eastAsia="微软雅黑" w:hint="eastAsia"/>
          <w:b/>
        </w:rPr>
      </w:pPr>
      <w:r>
        <w:rPr/>
        <w:t>在本附加合同保险期间内且本附加合同有效，我们按照下列约定承担给付相应保险金的责任： </w:t>
      </w:r>
      <w:r>
        <w:rPr>
          <w:rFonts w:ascii="微软雅黑" w:eastAsia="微软雅黑" w:hint="eastAsia"/>
          <w:b/>
        </w:rPr>
        <w:t>一、重大疾病保险金</w:t>
      </w:r>
    </w:p>
    <w:p>
      <w:pPr>
        <w:pStyle w:val="BodyText"/>
        <w:spacing w:line="259" w:lineRule="auto" w:before="11"/>
        <w:ind w:left="117" w:right="220" w:firstLine="420"/>
      </w:pPr>
      <w:r>
        <w:rPr/>
        <w:t>我们将根据本附加合同第十六条定义的重大疾病与重大疾病所属组别，按照下列约定依次承担下述</w:t>
      </w:r>
      <w:r>
        <w:rPr>
          <w:rFonts w:ascii="Times New Roman" w:eastAsia="Times New Roman"/>
        </w:rPr>
        <w:t>1</w:t>
      </w:r>
      <w:r>
        <w:rPr/>
        <w:t>至</w:t>
      </w:r>
      <w:r>
        <w:rPr>
          <w:rFonts w:ascii="Times New Roman" w:eastAsia="Times New Roman"/>
        </w:rPr>
        <w:t>4 </w:t>
      </w:r>
      <w:r>
        <w:rPr/>
        <w:t>项重大疾病保险金责任：</w:t>
      </w:r>
    </w:p>
    <w:p>
      <w:pPr>
        <w:pStyle w:val="BodyText"/>
        <w:spacing w:line="321" w:lineRule="exact"/>
        <w:ind w:left="538"/>
      </w:pPr>
      <w:r>
        <w:rPr>
          <w:rFonts w:ascii="Times New Roman" w:eastAsia="Times New Roman"/>
        </w:rPr>
        <w:t>1</w:t>
      </w:r>
      <w:r>
        <w:rPr/>
        <w:t>．首次重大疾病保险金：在本附加合同有效期内，如果被保险人因</w:t>
      </w:r>
      <w:r>
        <w:rPr>
          <w:rFonts w:ascii="微软雅黑" w:eastAsia="微软雅黑" w:hint="eastAsia"/>
          <w:b/>
        </w:rPr>
        <w:t>意外伤害事故</w:t>
      </w:r>
      <w:r>
        <w:rPr>
          <w:rFonts w:ascii="Times New Roman" w:eastAsia="Times New Roman"/>
          <w:b/>
          <w:position w:val="7"/>
          <w:sz w:val="14"/>
        </w:rPr>
        <w:t>4</w:t>
      </w:r>
      <w:r>
        <w:rPr/>
        <w:t>或等待期后因意外伤</w:t>
      </w:r>
    </w:p>
    <w:p>
      <w:pPr>
        <w:pStyle w:val="BodyText"/>
        <w:rPr>
          <w:sz w:val="20"/>
        </w:rPr>
      </w:pPr>
    </w:p>
    <w:p>
      <w:pPr>
        <w:pStyle w:val="BodyText"/>
        <w:spacing w:before="6"/>
        <w:rPr>
          <w:sz w:val="18"/>
        </w:rPr>
      </w:pPr>
      <w:r>
        <w:rPr/>
        <w:pict>
          <v:line style="position:absolute;mso-position-horizontal-relative:page;mso-position-vertical-relative:paragraph;z-index:1072;mso-wrap-distance-left:0;mso-wrap-distance-right:0" from="53.880001pt,14.289099pt" to="197.930001pt,14.289099pt" stroked="true" strokeweight=".48004pt" strokecolor="#000000">
            <v:stroke dashstyle="solid"/>
            <w10:wrap type="topAndBottom"/>
          </v:line>
        </w:pict>
      </w:r>
    </w:p>
    <w:p>
      <w:pPr>
        <w:spacing w:line="248" w:lineRule="exact" w:before="0"/>
        <w:ind w:left="117" w:right="0" w:firstLine="0"/>
        <w:jc w:val="left"/>
        <w:rPr>
          <w:sz w:val="18"/>
        </w:rPr>
      </w:pPr>
      <w:r>
        <w:rPr>
          <w:rFonts w:ascii="Times New Roman" w:eastAsia="Times New Roman"/>
          <w:position w:val="6"/>
          <w:sz w:val="12"/>
        </w:rPr>
        <w:t>1</w:t>
      </w:r>
      <w:r>
        <w:rPr>
          <w:rFonts w:ascii="Microsoft JhengHei" w:eastAsia="Microsoft JhengHei" w:hint="eastAsia"/>
          <w:b/>
          <w:sz w:val="18"/>
        </w:rPr>
        <w:t>周岁：</w:t>
      </w:r>
      <w:r>
        <w:rPr>
          <w:sz w:val="18"/>
        </w:rPr>
        <w:t>指按照身份证、户口簿、护照、军人证等有效身份证件中记载的出生日期计算的年龄。</w:t>
      </w:r>
    </w:p>
    <w:p>
      <w:pPr>
        <w:pStyle w:val="BodyText"/>
        <w:spacing w:line="305" w:lineRule="exact"/>
        <w:ind w:left="117"/>
      </w:pPr>
      <w:r>
        <w:rPr>
          <w:rFonts w:ascii="Times New Roman" w:eastAsia="Times New Roman"/>
          <w:position w:val="7"/>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6"/>
          <w:sz w:val="12"/>
        </w:rPr>
        <w:t>3</w:t>
      </w:r>
      <w:r>
        <w:rPr>
          <w:rFonts w:ascii="Microsoft JhengHei" w:eastAsia="Microsoft JhengHei" w:hint="eastAsia"/>
          <w:b/>
          <w:sz w:val="21"/>
        </w:rPr>
        <w:t>保险费约定支付日：</w:t>
      </w:r>
      <w:r>
        <w:rPr>
          <w:sz w:val="21"/>
        </w:rPr>
        <w:t>指在本附加合同交费期限内，保险单或批注上列明的合同生效日在每月、每季、每半</w:t>
      </w:r>
    </w:p>
    <w:p>
      <w:pPr>
        <w:pStyle w:val="BodyText"/>
        <w:spacing w:line="234" w:lineRule="exact"/>
        <w:ind w:left="117"/>
      </w:pPr>
      <w:r>
        <w:rPr/>
        <w:t>年或每年（根据交费方式确定）的对应日。如果当月无对应的同一日，则以该月最后一日作为对应日。</w:t>
      </w:r>
    </w:p>
    <w:p>
      <w:pPr>
        <w:spacing w:line="286" w:lineRule="exact" w:before="0"/>
        <w:ind w:left="117" w:right="0" w:firstLine="0"/>
        <w:jc w:val="left"/>
        <w:rPr>
          <w:sz w:val="18"/>
        </w:rPr>
      </w:pPr>
      <w:r>
        <w:rPr>
          <w:rFonts w:ascii="Times New Roman" w:eastAsia="Times New Roman"/>
          <w:position w:val="6"/>
          <w:sz w:val="12"/>
        </w:rPr>
        <w:t>4</w:t>
      </w:r>
      <w:r>
        <w:rPr>
          <w:rFonts w:ascii="Microsoft JhengHei" w:eastAsia="Microsoft JhengHei" w:hint="eastAsia"/>
          <w:b/>
          <w:sz w:val="18"/>
        </w:rPr>
        <w:t>意外伤害事故：</w:t>
      </w:r>
      <w:r>
        <w:rPr>
          <w:sz w:val="18"/>
        </w:rPr>
        <w:t>指外来的、突发的、非本意的、非疾病的使身体受到伤害的客观事件。</w:t>
      </w:r>
    </w:p>
    <w:p>
      <w:pPr>
        <w:spacing w:after="0" w:line="286" w:lineRule="exact"/>
        <w:jc w:val="left"/>
        <w:rPr>
          <w:sz w:val="18"/>
        </w:rPr>
        <w:sectPr>
          <w:pgSz w:w="11910" w:h="16840"/>
          <w:pgMar w:header="0" w:footer="785" w:top="1580" w:bottom="980" w:left="960" w:right="700"/>
        </w:sectPr>
      </w:pPr>
    </w:p>
    <w:p>
      <w:pPr>
        <w:pStyle w:val="BodyText"/>
        <w:spacing w:line="312" w:lineRule="exact" w:before="24"/>
        <w:ind w:left="117" w:right="112"/>
      </w:pPr>
      <w:r>
        <w:rPr>
          <w:spacing w:val="-3"/>
        </w:rPr>
        <w:t>害事故以外的原因导致首次</w:t>
      </w:r>
      <w:r>
        <w:rPr>
          <w:rFonts w:ascii="微软雅黑" w:hAnsi="微软雅黑" w:eastAsia="微软雅黑" w:hint="eastAsia"/>
          <w:b/>
        </w:rPr>
        <w:t>发病</w:t>
      </w:r>
      <w:r>
        <w:rPr>
          <w:rFonts w:ascii="Times New Roman" w:hAnsi="Times New Roman" w:eastAsia="Times New Roman"/>
          <w:b/>
          <w:position w:val="7"/>
          <w:sz w:val="14"/>
        </w:rPr>
        <w:t>5</w:t>
      </w:r>
      <w:r>
        <w:rPr>
          <w:spacing w:val="-3"/>
        </w:rPr>
        <w:t>，并经我们指定或认可的</w:t>
      </w:r>
      <w:r>
        <w:rPr>
          <w:rFonts w:ascii="微软雅黑" w:hAnsi="微软雅黑" w:eastAsia="微软雅黑" w:hint="eastAsia"/>
          <w:b/>
        </w:rPr>
        <w:t>医院</w:t>
      </w:r>
      <w:r>
        <w:rPr>
          <w:rFonts w:ascii="Times New Roman" w:hAnsi="Times New Roman" w:eastAsia="Times New Roman"/>
          <w:b/>
          <w:position w:val="7"/>
          <w:sz w:val="14"/>
        </w:rPr>
        <w:t>6</w:t>
      </w:r>
      <w:r>
        <w:rPr/>
        <w:t>的</w:t>
      </w:r>
      <w:r>
        <w:rPr>
          <w:rFonts w:ascii="微软雅黑" w:hAnsi="微软雅黑" w:eastAsia="微软雅黑" w:hint="eastAsia"/>
          <w:b/>
        </w:rPr>
        <w:t>专科医生</w:t>
      </w:r>
      <w:r>
        <w:rPr>
          <w:rFonts w:ascii="Times New Roman" w:hAnsi="Times New Roman" w:eastAsia="Times New Roman"/>
          <w:b/>
          <w:position w:val="7"/>
          <w:sz w:val="14"/>
        </w:rPr>
        <w:t>7</w:t>
      </w:r>
      <w:r>
        <w:rPr>
          <w:spacing w:val="-3"/>
        </w:rPr>
        <w:t>确诊首次罹患本附加合同约定的</w:t>
      </w:r>
      <w:r>
        <w:rPr>
          <w:spacing w:val="-6"/>
          <w:w w:val="100"/>
        </w:rPr>
        <w:t>一种或多种重大疾病，则我们按下列二者之间数额较大者给付“首次重大疾病保险金”，本项保险责任终止，</w:t>
      </w:r>
      <w:r>
        <w:rPr>
          <w:spacing w:val="-4"/>
        </w:rPr>
        <w:t>同时本附加合同的</w:t>
      </w:r>
      <w:r>
        <w:rPr>
          <w:rFonts w:ascii="微软雅黑" w:hAnsi="微软雅黑" w:eastAsia="微软雅黑" w:hint="eastAsia"/>
          <w:b/>
        </w:rPr>
        <w:t>现金价值</w:t>
      </w:r>
      <w:r>
        <w:rPr>
          <w:rFonts w:ascii="Times New Roman" w:hAnsi="Times New Roman" w:eastAsia="Times New Roman"/>
          <w:b/>
          <w:position w:val="7"/>
          <w:sz w:val="14"/>
        </w:rPr>
        <w:t>8</w:t>
      </w:r>
      <w:r>
        <w:rPr>
          <w:spacing w:val="-2"/>
        </w:rPr>
        <w:t>为零：</w:t>
      </w:r>
    </w:p>
    <w:p>
      <w:pPr>
        <w:pStyle w:val="ListParagraph"/>
        <w:numPr>
          <w:ilvl w:val="0"/>
          <w:numId w:val="2"/>
        </w:numPr>
        <w:tabs>
          <w:tab w:pos="1064" w:val="left" w:leader="none"/>
        </w:tabs>
        <w:spacing w:line="240" w:lineRule="auto" w:before="4" w:after="0"/>
        <w:ind w:left="1063" w:right="0" w:hanging="629"/>
        <w:jc w:val="left"/>
        <w:rPr>
          <w:sz w:val="21"/>
        </w:rPr>
      </w:pPr>
      <w:r>
        <w:rPr>
          <w:spacing w:val="-3"/>
          <w:sz w:val="21"/>
        </w:rPr>
        <w:t>本附加合同的基本保险金额；</w:t>
      </w:r>
    </w:p>
    <w:p>
      <w:pPr>
        <w:pStyle w:val="ListParagraph"/>
        <w:numPr>
          <w:ilvl w:val="0"/>
          <w:numId w:val="2"/>
        </w:numPr>
        <w:tabs>
          <w:tab w:pos="1064" w:val="left" w:leader="none"/>
        </w:tabs>
        <w:spacing w:line="240" w:lineRule="auto" w:before="21" w:after="0"/>
        <w:ind w:left="1063" w:right="0" w:hanging="629"/>
        <w:jc w:val="left"/>
        <w:rPr>
          <w:sz w:val="21"/>
        </w:rPr>
      </w:pPr>
      <w:r>
        <w:rPr>
          <w:spacing w:val="-3"/>
          <w:sz w:val="21"/>
        </w:rPr>
        <w:t>首次发生重大疾病时本附加合同及主合同的保单现金价值之和。</w:t>
      </w:r>
    </w:p>
    <w:p>
      <w:pPr>
        <w:pStyle w:val="BodyText"/>
        <w:spacing w:line="266" w:lineRule="auto" w:before="21"/>
        <w:ind w:left="117" w:right="215" w:firstLine="422"/>
        <w:jc w:val="both"/>
      </w:pPr>
      <w:r>
        <w:rPr>
          <w:rFonts w:ascii="Times New Roman" w:hAnsi="Times New Roman" w:eastAsia="Times New Roman"/>
          <w:spacing w:val="-14"/>
        </w:rPr>
        <w:t>2</w:t>
      </w:r>
      <w:r>
        <w:rPr>
          <w:spacing w:val="-8"/>
        </w:rPr>
        <w:t>．第二次重大疾病保险金：在本附加合同有效期内且自首次重大疾病确诊之日起满一百八十天后，如果被保险人因意外伤害事故或等待期后因意外伤害事故以外的原因导致首次发病，并经我们指定或认可的医院的专科医生确诊首次罹患首次重大疾病所属组别以外其他三组中的一种或多种重大疾病，则我们按基本保险</w:t>
      </w:r>
      <w:r>
        <w:rPr>
          <w:spacing w:val="-12"/>
          <w:w w:val="100"/>
        </w:rPr>
        <w:t>金额给付“第二次重大疾病保险金”，本项保险责任终止。</w:t>
      </w:r>
    </w:p>
    <w:p>
      <w:pPr>
        <w:pStyle w:val="BodyText"/>
        <w:spacing w:line="266" w:lineRule="auto" w:before="13"/>
        <w:ind w:left="117" w:right="217" w:firstLine="420"/>
        <w:jc w:val="both"/>
      </w:pPr>
      <w:r>
        <w:rPr>
          <w:rFonts w:ascii="Times New Roman" w:hAnsi="Times New Roman" w:eastAsia="Times New Roman"/>
          <w:spacing w:val="-13"/>
        </w:rPr>
        <w:t>3</w:t>
      </w:r>
      <w:r>
        <w:rPr>
          <w:spacing w:val="-8"/>
        </w:rPr>
        <w:t>．第三次重大疾病保险金：在本附加合同有效期内且自第二次重大疾病确诊之日起满一百八十天后，如果被保险人因意外伤害事故或等待期后因意外伤害事故以外的原因导致首次发病，并经我们指定或认可的医院的专科医生确诊首次罹患首次重大疾病所属组别及第二次重大疾病所属组别以外其他二组中的一种或多种</w:t>
      </w:r>
      <w:r>
        <w:rPr>
          <w:spacing w:val="-9"/>
          <w:w w:val="100"/>
        </w:rPr>
        <w:t>重大疾病，则我们按基本保险金额给付“第三次重大疾病保险金”，本项保险责任终止。</w:t>
      </w:r>
    </w:p>
    <w:p>
      <w:pPr>
        <w:pStyle w:val="BodyText"/>
        <w:spacing w:line="268" w:lineRule="auto" w:before="14"/>
        <w:ind w:left="117" w:right="215" w:firstLine="420"/>
        <w:jc w:val="both"/>
      </w:pPr>
      <w:r>
        <w:rPr>
          <w:rFonts w:ascii="Times New Roman" w:hAnsi="Times New Roman" w:eastAsia="Times New Roman"/>
          <w:spacing w:val="-13"/>
        </w:rPr>
        <w:t>4</w:t>
      </w:r>
      <w:r>
        <w:rPr>
          <w:spacing w:val="-8"/>
        </w:rPr>
        <w:t>．第四次重大疾病保险金：在本附加合同有效期内且自第三次重大疾病确诊之日起满一百八十天后，如果被保险人因意外伤害事故或等待期后因意外伤害事故以外的原因导致首次发病，并经我们指定或认可的医院的专科医生确诊首次罹患首次重大疾病所属组别、第二次重大疾病所属组别及第三次重大疾病所属组别以</w:t>
      </w:r>
      <w:r>
        <w:rPr>
          <w:spacing w:val="-13"/>
        </w:rPr>
        <w:t>外其他一组中的一种或多种重大疾病，则我们按基本保险金额给付“第四次重大疾病保险金”，本项保险责任</w:t>
      </w:r>
      <w:r>
        <w:rPr>
          <w:spacing w:val="-6"/>
        </w:rPr>
        <w:t>终止，同时主合同及本附加合同终止。</w:t>
      </w:r>
    </w:p>
    <w:p>
      <w:pPr>
        <w:spacing w:line="312" w:lineRule="exact" w:before="0"/>
        <w:ind w:left="540" w:right="0" w:firstLine="0"/>
        <w:jc w:val="left"/>
        <w:rPr>
          <w:rFonts w:ascii="微软雅黑" w:eastAsia="微软雅黑" w:hint="eastAsia"/>
          <w:b/>
          <w:sz w:val="21"/>
        </w:rPr>
      </w:pPr>
      <w:r>
        <w:rPr>
          <w:rFonts w:ascii="微软雅黑" w:eastAsia="微软雅黑" w:hint="eastAsia"/>
          <w:b/>
          <w:sz w:val="21"/>
        </w:rPr>
        <w:t>二、轻症疾病保险金</w:t>
      </w:r>
    </w:p>
    <w:p>
      <w:pPr>
        <w:pStyle w:val="BodyText"/>
        <w:spacing w:line="256" w:lineRule="auto" w:before="11"/>
        <w:ind w:left="117" w:right="220" w:firstLine="420"/>
        <w:jc w:val="both"/>
      </w:pPr>
      <w:r>
        <w:rPr/>
        <w:t>我们将根据本附加合同第十七条定义的轻症疾病与轻症疾病所属组别，按照下列约定依次承担下述</w:t>
      </w:r>
      <w:r>
        <w:rPr>
          <w:rFonts w:ascii="Times New Roman" w:eastAsia="Times New Roman"/>
        </w:rPr>
        <w:t>1</w:t>
      </w:r>
      <w:r>
        <w:rPr/>
        <w:t>至</w:t>
      </w:r>
      <w:r>
        <w:rPr>
          <w:rFonts w:ascii="Times New Roman" w:eastAsia="Times New Roman"/>
        </w:rPr>
        <w:t>3 </w:t>
      </w:r>
      <w:r>
        <w:rPr/>
        <w:t>项轻症疾病保险金责任：</w:t>
      </w:r>
    </w:p>
    <w:p>
      <w:pPr>
        <w:pStyle w:val="BodyText"/>
        <w:spacing w:line="264" w:lineRule="auto" w:before="22"/>
        <w:ind w:left="117" w:right="214" w:firstLine="422"/>
        <w:jc w:val="both"/>
      </w:pPr>
      <w:r>
        <w:rPr>
          <w:rFonts w:ascii="Times New Roman" w:hAnsi="Times New Roman" w:eastAsia="Times New Roman"/>
          <w:spacing w:val="-14"/>
        </w:rPr>
        <w:t>1</w:t>
      </w:r>
      <w:r>
        <w:rPr>
          <w:spacing w:val="-8"/>
        </w:rPr>
        <w:t>．首次轻症疾病保险金：在本附加合同有效期内，如果被保险人因意外伤害事故或等待期后因意外伤害事故以外的原因导致首次发病，并经我们指定或认可的医院的专科医生确诊首次罹患本附加合同约定的一种</w:t>
      </w:r>
      <w:r>
        <w:rPr>
          <w:spacing w:val="-5"/>
          <w:w w:val="100"/>
        </w:rPr>
        <w:t>或多种轻症疾病，则我们按基本保险金额的</w:t>
      </w:r>
      <w:r>
        <w:rPr>
          <w:rFonts w:ascii="Times New Roman" w:hAnsi="Times New Roman" w:eastAsia="Times New Roman"/>
          <w:w w:val="100"/>
        </w:rPr>
        <w:t>3</w:t>
      </w:r>
      <w:r>
        <w:rPr>
          <w:rFonts w:ascii="Times New Roman" w:hAnsi="Times New Roman" w:eastAsia="Times New Roman"/>
          <w:spacing w:val="-3"/>
          <w:w w:val="100"/>
        </w:rPr>
        <w:t>0</w:t>
      </w:r>
      <w:r>
        <w:rPr>
          <w:rFonts w:ascii="Times New Roman" w:hAnsi="Times New Roman" w:eastAsia="Times New Roman"/>
          <w:spacing w:val="-1"/>
          <w:w w:val="100"/>
        </w:rPr>
        <w:t>%</w:t>
      </w:r>
      <w:r>
        <w:rPr>
          <w:spacing w:val="-12"/>
          <w:w w:val="100"/>
        </w:rPr>
        <w:t>给付“首次轻症疾病保险金”，本项保险责任终止。</w:t>
      </w:r>
    </w:p>
    <w:p>
      <w:pPr>
        <w:pStyle w:val="BodyText"/>
        <w:spacing w:line="266" w:lineRule="auto"/>
        <w:ind w:left="117" w:right="215" w:firstLine="422"/>
        <w:jc w:val="both"/>
      </w:pPr>
      <w:r>
        <w:rPr>
          <w:rFonts w:ascii="Times New Roman" w:hAnsi="Times New Roman" w:eastAsia="Times New Roman"/>
          <w:spacing w:val="-14"/>
        </w:rPr>
        <w:t>2</w:t>
      </w:r>
      <w:r>
        <w:rPr>
          <w:spacing w:val="-8"/>
        </w:rPr>
        <w:t>．第二次轻症疾病保险金：在本附加合同有效期内且自首次轻症疾病确诊之日起满一百八十天后，如果被保险人因意外伤害事故或等待期后因意外伤害事故以外的原因导致首次发病，并经我们指定或认可的医院的专科医生确诊首次罹患首次轻症疾病所属组别以外其他三组中的一种或多种轻症疾病，则我们按基本保险</w:t>
      </w:r>
      <w:r>
        <w:rPr>
          <w:spacing w:val="-7"/>
          <w:w w:val="100"/>
        </w:rPr>
        <w:t>金额的</w:t>
      </w:r>
      <w:r>
        <w:rPr>
          <w:rFonts w:ascii="Times New Roman" w:hAnsi="Times New Roman" w:eastAsia="Times New Roman"/>
          <w:w w:val="100"/>
        </w:rPr>
        <w:t>40</w:t>
      </w:r>
      <w:r>
        <w:rPr>
          <w:rFonts w:ascii="Times New Roman" w:hAnsi="Times New Roman" w:eastAsia="Times New Roman"/>
          <w:spacing w:val="-4"/>
          <w:w w:val="100"/>
        </w:rPr>
        <w:t>%</w:t>
      </w:r>
      <w:r>
        <w:rPr>
          <w:spacing w:val="-11"/>
          <w:w w:val="100"/>
        </w:rPr>
        <w:t>给付“第二次轻症疾病保险金”，本项保险责任终止。</w:t>
      </w:r>
    </w:p>
    <w:p>
      <w:pPr>
        <w:pStyle w:val="BodyText"/>
        <w:spacing w:line="266" w:lineRule="auto"/>
        <w:ind w:left="117" w:right="217" w:firstLine="422"/>
        <w:jc w:val="both"/>
      </w:pPr>
      <w:r>
        <w:rPr>
          <w:rFonts w:ascii="Times New Roman" w:hAnsi="Times New Roman" w:eastAsia="Times New Roman"/>
          <w:spacing w:val="-14"/>
        </w:rPr>
        <w:t>3</w:t>
      </w:r>
      <w:r>
        <w:rPr>
          <w:spacing w:val="-9"/>
        </w:rPr>
        <w:t>．第三次轻症疾病保险金：在本附加合同有效期内且自第二次轻症疾病确诊之日起满一百八十天后，如</w:t>
      </w:r>
      <w:r>
        <w:rPr>
          <w:spacing w:val="-3"/>
        </w:rPr>
        <w:t>果被保险人因意外伤害事故或等待期后因意外伤害事故以外的原因导致首次发病，并经我们指定或认可的医院的专科医生确诊首次罹患首次轻症疾病所属组别及第二次轻症疾病所属组别以外其他二组中的一种或多种</w:t>
      </w:r>
      <w:r>
        <w:rPr>
          <w:spacing w:val="-3"/>
          <w:w w:val="100"/>
        </w:rPr>
        <w:t>轻症疾病，则我们按基本保险金额的</w:t>
      </w:r>
      <w:r>
        <w:rPr>
          <w:rFonts w:ascii="Times New Roman" w:hAnsi="Times New Roman" w:eastAsia="Times New Roman"/>
          <w:w w:val="100"/>
        </w:rPr>
        <w:t>50</w:t>
      </w:r>
      <w:r>
        <w:rPr>
          <w:rFonts w:ascii="Times New Roman" w:hAnsi="Times New Roman" w:eastAsia="Times New Roman"/>
          <w:spacing w:val="-4"/>
          <w:w w:val="100"/>
        </w:rPr>
        <w:t>%</w:t>
      </w:r>
      <w:r>
        <w:rPr>
          <w:spacing w:val="-11"/>
          <w:w w:val="100"/>
        </w:rPr>
        <w:t>给付“第三次轻症疾病保险金”，本项保险责任终止。</w:t>
      </w:r>
    </w:p>
    <w:p>
      <w:pPr>
        <w:spacing w:line="271" w:lineRule="exact" w:before="2"/>
        <w:ind w:left="540" w:right="0" w:firstLine="0"/>
        <w:jc w:val="left"/>
        <w:rPr>
          <w:rFonts w:ascii="微软雅黑" w:eastAsia="微软雅黑" w:hint="eastAsia"/>
          <w:b/>
          <w:sz w:val="21"/>
        </w:rPr>
      </w:pPr>
      <w:r>
        <w:rPr>
          <w:rFonts w:ascii="微软雅黑" w:eastAsia="微软雅黑" w:hint="eastAsia"/>
          <w:b/>
          <w:sz w:val="21"/>
          <w:shd w:fill="D9D9D9" w:color="auto" w:val="clear"/>
        </w:rPr>
        <w:t>如果被保险人确诊时同时符合轻症疾病和重大疾病定义的，我们仅给付重大疾病保险金，而不予给付轻</w:t>
      </w:r>
    </w:p>
    <w:p>
      <w:pPr>
        <w:spacing w:line="337" w:lineRule="exact" w:before="0"/>
        <w:ind w:left="117" w:right="0" w:firstLine="0"/>
        <w:jc w:val="left"/>
        <w:rPr>
          <w:rFonts w:ascii="微软雅黑" w:eastAsia="微软雅黑" w:hint="eastAsia"/>
          <w:b/>
          <w:sz w:val="21"/>
        </w:rPr>
      </w:pPr>
      <w:r>
        <w:rPr>
          <w:rFonts w:ascii="微软雅黑" w:eastAsia="微软雅黑" w:hint="eastAsia"/>
          <w:b/>
          <w:sz w:val="21"/>
          <w:shd w:fill="D9D9D9" w:color="auto" w:val="clear"/>
        </w:rPr>
        <w:t>症疾病保险金。</w:t>
      </w:r>
    </w:p>
    <w:p>
      <w:pPr>
        <w:pStyle w:val="BodyText"/>
        <w:spacing w:before="12"/>
        <w:rPr>
          <w:rFonts w:ascii="微软雅黑"/>
          <w:b/>
          <w:sz w:val="15"/>
        </w:rPr>
      </w:pPr>
      <w:r>
        <w:rPr/>
        <w:pict>
          <v:line style="position:absolute;mso-position-horizontal-relative:page;mso-position-vertical-relative:paragraph;z-index:1096;mso-wrap-distance-left:0;mso-wrap-distance-right:0" from="53.880001pt,15.758187pt" to="197.930001pt,15.758187pt" stroked="true" strokeweight=".48004pt" strokecolor="#000000">
            <v:stroke dashstyle="solid"/>
            <w10:wrap type="topAndBottom"/>
          </v:line>
        </w:pict>
      </w:r>
    </w:p>
    <w:p>
      <w:pPr>
        <w:spacing w:line="283" w:lineRule="exact" w:before="0"/>
        <w:ind w:left="117" w:right="0" w:firstLine="0"/>
        <w:jc w:val="left"/>
        <w:rPr>
          <w:sz w:val="18"/>
        </w:rPr>
      </w:pPr>
      <w:r>
        <w:rPr>
          <w:rFonts w:ascii="Times New Roman" w:eastAsia="Times New Roman"/>
          <w:position w:val="6"/>
          <w:sz w:val="12"/>
        </w:rPr>
        <w:t>5</w:t>
      </w:r>
      <w:r>
        <w:rPr>
          <w:rFonts w:ascii="Microsoft JhengHei" w:eastAsia="Microsoft JhengHei" w:hint="eastAsia"/>
          <w:b/>
          <w:sz w:val="18"/>
        </w:rPr>
        <w:t>发病：</w:t>
      </w:r>
      <w:r>
        <w:rPr>
          <w:sz w:val="18"/>
        </w:rPr>
        <w:t>指被保险人出现重大疾病或轻症疾病的前兆或异常的身体状况，或已经显现促使一般人引起关注并寻求诊断、治疗或</w:t>
      </w:r>
    </w:p>
    <w:p>
      <w:pPr>
        <w:spacing w:line="194" w:lineRule="exact" w:before="0"/>
        <w:ind w:left="117" w:right="0" w:firstLine="0"/>
        <w:jc w:val="left"/>
        <w:rPr>
          <w:sz w:val="18"/>
        </w:rPr>
      </w:pPr>
      <w:r>
        <w:rPr>
          <w:sz w:val="18"/>
        </w:rPr>
        <w:t>护理的病症。</w:t>
      </w:r>
    </w:p>
    <w:p>
      <w:pPr>
        <w:spacing w:line="272" w:lineRule="exact" w:before="0"/>
        <w:ind w:left="117" w:right="0" w:firstLine="0"/>
        <w:jc w:val="left"/>
        <w:rPr>
          <w:sz w:val="18"/>
        </w:rPr>
      </w:pPr>
      <w:r>
        <w:rPr>
          <w:rFonts w:ascii="Times New Roman" w:eastAsia="Times New Roman"/>
          <w:position w:val="6"/>
          <w:sz w:val="12"/>
        </w:rPr>
        <w:t>6</w:t>
      </w:r>
      <w:r>
        <w:rPr>
          <w:rFonts w:ascii="Microsoft JhengHei" w:eastAsia="Microsoft JhengHei" w:hint="eastAsia"/>
          <w:b/>
          <w:sz w:val="18"/>
        </w:rPr>
        <w:t>医院：</w:t>
      </w:r>
      <w:r>
        <w:rPr>
          <w:sz w:val="18"/>
        </w:rPr>
        <w:t>指经中华人民共和国卫生部门评审确定的二级或二级以上的公立医院，但不包括精神病院及专供康复、休养、戒毒、</w:t>
      </w:r>
    </w:p>
    <w:p>
      <w:pPr>
        <w:spacing w:line="236" w:lineRule="exact" w:before="10"/>
        <w:ind w:left="117" w:right="226" w:firstLine="0"/>
        <w:jc w:val="left"/>
        <w:rPr>
          <w:sz w:val="18"/>
        </w:rPr>
      </w:pPr>
      <w:r>
        <w:rPr>
          <w:sz w:val="18"/>
        </w:rPr>
        <w:t>戒酒、护理、养老等非以直接诊治病人为目的的医疗机构。该医院必须具有符合国家有关医院管理规则设置标准的医疗设备， 且全天二十四小时有合格医师及护士驻院提供医疗及护理服务。</w:t>
      </w:r>
    </w:p>
    <w:p>
      <w:pPr>
        <w:spacing w:line="282" w:lineRule="exact" w:before="0"/>
        <w:ind w:left="117" w:right="0" w:firstLine="0"/>
        <w:jc w:val="left"/>
        <w:rPr>
          <w:sz w:val="20"/>
        </w:rPr>
      </w:pPr>
      <w:r>
        <w:rPr>
          <w:rFonts w:ascii="Times New Roman" w:eastAsia="Times New Roman"/>
          <w:position w:val="7"/>
          <w:sz w:val="13"/>
        </w:rPr>
        <w:t>7</w:t>
      </w:r>
      <w:r>
        <w:rPr>
          <w:rFonts w:ascii="Microsoft JhengHei" w:eastAsia="Microsoft JhengHei" w:hint="eastAsia"/>
          <w:b/>
          <w:sz w:val="20"/>
        </w:rPr>
        <w:t>专科医生：</w:t>
      </w:r>
      <w:r>
        <w:rPr>
          <w:sz w:val="20"/>
        </w:rPr>
        <w:t>专科医生应当同时满足以下四项资格条件：</w:t>
      </w:r>
    </w:p>
    <w:p>
      <w:pPr>
        <w:spacing w:before="27"/>
        <w:ind w:left="117" w:right="0" w:firstLine="0"/>
        <w:jc w:val="left"/>
        <w:rPr>
          <w:sz w:val="20"/>
        </w:rPr>
      </w:pPr>
      <w:r>
        <w:rPr>
          <w:w w:val="95"/>
          <w:sz w:val="20"/>
        </w:rPr>
        <w:t>（1）具有有效的中华人民共和国《医师资格证书》；</w:t>
      </w:r>
    </w:p>
    <w:p>
      <w:pPr>
        <w:spacing w:before="50"/>
        <w:ind w:left="117" w:right="0" w:firstLine="0"/>
        <w:jc w:val="left"/>
        <w:rPr>
          <w:sz w:val="20"/>
        </w:rPr>
      </w:pPr>
      <w:r>
        <w:rPr>
          <w:w w:val="95"/>
          <w:sz w:val="20"/>
        </w:rPr>
        <w:t>（2）具有有效的中华人民共和国《医师执业证书》，并按期到相关部门登记注册；</w:t>
      </w:r>
    </w:p>
    <w:p>
      <w:pPr>
        <w:spacing w:before="50"/>
        <w:ind w:left="117" w:right="0" w:firstLine="0"/>
        <w:jc w:val="left"/>
        <w:rPr>
          <w:sz w:val="20"/>
        </w:rPr>
      </w:pPr>
      <w:r>
        <w:rPr>
          <w:w w:val="95"/>
          <w:sz w:val="20"/>
        </w:rPr>
        <w:t>（3）具有有效的中华人民共和国主治医师或主治医师以上职称的《医师职称证书》；</w:t>
      </w:r>
    </w:p>
    <w:p>
      <w:pPr>
        <w:spacing w:line="206" w:lineRule="exact" w:before="27"/>
        <w:ind w:left="117" w:right="0" w:firstLine="0"/>
        <w:jc w:val="left"/>
        <w:rPr>
          <w:sz w:val="18"/>
        </w:rPr>
      </w:pPr>
      <w:r>
        <w:rPr>
          <w:sz w:val="18"/>
        </w:rPr>
        <w:t>（4）在二级或二级以上医院的相应科室从事临床工作三年以上。</w:t>
      </w:r>
    </w:p>
    <w:p>
      <w:pPr>
        <w:spacing w:line="273" w:lineRule="exact" w:before="0"/>
        <w:ind w:left="117" w:right="0" w:firstLine="0"/>
        <w:jc w:val="left"/>
        <w:rPr>
          <w:sz w:val="18"/>
        </w:rPr>
      </w:pPr>
      <w:r>
        <w:rPr>
          <w:rFonts w:ascii="Times New Roman" w:eastAsia="Times New Roman"/>
          <w:position w:val="6"/>
          <w:sz w:val="12"/>
        </w:rPr>
        <w:t>8</w:t>
      </w:r>
      <w:r>
        <w:rPr>
          <w:rFonts w:ascii="Microsoft JhengHei" w:eastAsia="Microsoft JhengHei" w:hint="eastAsia"/>
          <w:b/>
          <w:sz w:val="18"/>
        </w:rPr>
        <w:t>现金价值：</w:t>
      </w:r>
      <w:r>
        <w:rPr>
          <w:sz w:val="18"/>
        </w:rPr>
        <w:t>指保险单所具有的价值，通常体现为解除合同时，根据精算原理计算的，由我们退还的那部分金额。保单年度末</w:t>
      </w:r>
    </w:p>
    <w:p>
      <w:pPr>
        <w:spacing w:line="237" w:lineRule="auto" w:before="0"/>
        <w:ind w:left="117" w:right="224" w:firstLine="0"/>
        <w:jc w:val="left"/>
        <w:rPr>
          <w:sz w:val="18"/>
        </w:rPr>
      </w:pPr>
      <w:r>
        <w:rPr>
          <w:sz w:val="18"/>
        </w:rPr>
        <w:t>本附加合同所具有的现金价值在保险单或批注上列明。每个保单年度中，本附加合同所具有的现金价值根据本附加合同实际经过的日数计算。</w:t>
      </w:r>
    </w:p>
    <w:p>
      <w:pPr>
        <w:spacing w:after="0" w:line="237" w:lineRule="auto"/>
        <w:jc w:val="left"/>
        <w:rPr>
          <w:sz w:val="18"/>
        </w:rPr>
        <w:sectPr>
          <w:pgSz w:w="11910" w:h="16840"/>
          <w:pgMar w:header="0" w:footer="785" w:top="1340" w:bottom="980" w:left="960" w:right="700"/>
        </w:sectPr>
      </w:pPr>
    </w:p>
    <w:p>
      <w:pPr>
        <w:spacing w:line="309" w:lineRule="exact" w:before="0"/>
        <w:ind w:left="540" w:right="0" w:firstLine="0"/>
        <w:jc w:val="left"/>
        <w:rPr>
          <w:rFonts w:ascii="微软雅黑" w:eastAsia="微软雅黑" w:hint="eastAsia"/>
          <w:b/>
          <w:sz w:val="21"/>
        </w:rPr>
      </w:pPr>
      <w:r>
        <w:rPr>
          <w:rFonts w:ascii="微软雅黑" w:eastAsia="微软雅黑" w:hint="eastAsia"/>
          <w:b/>
          <w:sz w:val="21"/>
          <w:shd w:fill="D9D9D9" w:color="auto" w:val="clear"/>
        </w:rPr>
        <w:t>如果我们已给付首次重大疾病保险金，则不再承担轻症疾病保险金责任。</w:t>
      </w:r>
    </w:p>
    <w:p>
      <w:pPr>
        <w:pStyle w:val="BodyText"/>
        <w:spacing w:before="2"/>
        <w:rPr>
          <w:rFonts w:ascii="微软雅黑"/>
          <w:b/>
          <w:sz w:val="15"/>
        </w:rPr>
      </w:pPr>
    </w:p>
    <w:p>
      <w:pPr>
        <w:spacing w:before="0"/>
        <w:ind w:left="540" w:right="0" w:firstLine="0"/>
        <w:jc w:val="left"/>
        <w:rPr>
          <w:rFonts w:ascii="微软雅黑" w:eastAsia="微软雅黑" w:hint="eastAsia"/>
          <w:b/>
          <w:sz w:val="21"/>
        </w:rPr>
      </w:pPr>
      <w:r>
        <w:rPr>
          <w:rFonts w:ascii="微软雅黑" w:eastAsia="微软雅黑" w:hint="eastAsia"/>
          <w:b/>
          <w:sz w:val="21"/>
        </w:rPr>
        <w:t>三、重大疾病、轻症疾病豁免保险费</w:t>
      </w:r>
    </w:p>
    <w:p>
      <w:pPr>
        <w:pStyle w:val="BodyText"/>
        <w:spacing w:line="273" w:lineRule="auto" w:before="11"/>
        <w:ind w:left="117" w:right="36" w:firstLine="420"/>
      </w:pPr>
      <w:r>
        <w:rPr/>
        <w:t>在本附加合同有效期内，如果被保险人因意外伤害事故或等待期后因意外伤害事故以外的原因导致首次 发病并经我们指定或认可的医院的专科医生确诊首次罹患本附加合同约定的一种或多种重大疾病或轻症疾病， 我们将豁免本附加合同及主合同自被保险人重大疾病或轻症疾病确诊日后的下一保单年度及以后余下各期的 保险费，但不包含被保险人确诊日之前所欠交的保险费及利息。</w:t>
      </w:r>
    </w:p>
    <w:p>
      <w:pPr>
        <w:spacing w:line="308" w:lineRule="exact" w:before="0"/>
        <w:ind w:left="540" w:right="0" w:firstLine="0"/>
        <w:jc w:val="left"/>
        <w:rPr>
          <w:rFonts w:ascii="微软雅黑" w:eastAsia="微软雅黑" w:hint="eastAsia"/>
          <w:b/>
          <w:sz w:val="21"/>
        </w:rPr>
      </w:pPr>
      <w:r>
        <w:rPr>
          <w:rFonts w:ascii="微软雅黑" w:eastAsia="微软雅黑" w:hint="eastAsia"/>
          <w:b/>
          <w:sz w:val="21"/>
          <w:shd w:fill="D9D9D9" w:color="auto" w:val="clear"/>
        </w:rPr>
        <w:t>被豁免的保险费视为已交纳，同时本附加合同和主合同继续有效。</w:t>
      </w:r>
    </w:p>
    <w:p>
      <w:pPr>
        <w:pStyle w:val="BodyText"/>
        <w:rPr>
          <w:rFonts w:ascii="微软雅黑"/>
          <w:b/>
          <w:sz w:val="20"/>
        </w:rPr>
      </w:pPr>
    </w:p>
    <w:p>
      <w:pPr>
        <w:pStyle w:val="BodyText"/>
        <w:spacing w:before="3"/>
        <w:rPr>
          <w:rFonts w:ascii="微软雅黑"/>
          <w:b/>
          <w:sz w:val="13"/>
        </w:rPr>
      </w:pPr>
    </w:p>
    <w:p>
      <w:pPr>
        <w:pStyle w:val="Heading2"/>
        <w:tabs>
          <w:tab w:pos="969" w:val="left" w:leader="none"/>
        </w:tabs>
        <w:spacing w:line="358" w:lineRule="exact"/>
      </w:pPr>
      <w:bookmarkStart w:name="_bookmark9" w:id="10"/>
      <w:bookmarkEnd w:id="10"/>
      <w:r>
        <w:rPr>
          <w:b w:val="0"/>
        </w:rPr>
      </w:r>
      <w:r>
        <w:rPr/>
        <w:t>第八条</w:t>
        <w:tab/>
        <w:t>责任免除</w:t>
      </w:r>
    </w:p>
    <w:p>
      <w:pPr>
        <w:pStyle w:val="BodyText"/>
        <w:ind w:left="117" w:right="341" w:firstLine="427"/>
      </w:pPr>
      <w:r>
        <w:rPr>
          <w:spacing w:val="-3"/>
          <w:shd w:fill="D9D9D9" w:color="auto" w:val="clear"/>
        </w:rPr>
        <w:t>因下列情形之一导致被保险人罹患本附加合同中所列的重大疾病或轻症疾病的，我们不承担给付各项保险金的责</w:t>
      </w:r>
      <w:r>
        <w:rPr>
          <w:spacing w:val="-102"/>
          <w:shd w:fill="D9D9D9" w:color="auto" w:val="clear"/>
        </w:rPr>
        <w:t>任：</w:t>
      </w:r>
    </w:p>
    <w:p>
      <w:pPr>
        <w:pStyle w:val="ListParagraph"/>
        <w:numPr>
          <w:ilvl w:val="1"/>
          <w:numId w:val="2"/>
        </w:numPr>
        <w:tabs>
          <w:tab w:pos="855" w:val="left" w:leader="none"/>
        </w:tabs>
        <w:spacing w:line="271" w:lineRule="exact" w:before="5" w:after="0"/>
        <w:ind w:left="854" w:right="0" w:hanging="316"/>
        <w:jc w:val="left"/>
        <w:rPr>
          <w:sz w:val="21"/>
        </w:rPr>
      </w:pPr>
      <w:r>
        <w:rPr>
          <w:spacing w:val="-3"/>
          <w:sz w:val="21"/>
          <w:shd w:fill="D9D9D9" w:color="auto" w:val="clear"/>
        </w:rPr>
        <w:t>投保人对被保险人的故意杀害、故意伤害；</w:t>
      </w:r>
    </w:p>
    <w:p>
      <w:pPr>
        <w:pStyle w:val="ListParagraph"/>
        <w:numPr>
          <w:ilvl w:val="1"/>
          <w:numId w:val="2"/>
        </w:numPr>
        <w:tabs>
          <w:tab w:pos="855" w:val="left" w:leader="none"/>
        </w:tabs>
        <w:spacing w:line="274" w:lineRule="exact" w:before="0" w:after="0"/>
        <w:ind w:left="854" w:right="0" w:hanging="316"/>
        <w:jc w:val="left"/>
        <w:rPr>
          <w:sz w:val="21"/>
        </w:rPr>
      </w:pPr>
      <w:r>
        <w:rPr/>
        <w:pict>
          <v:shape style="position:absolute;margin-left:74.903999pt;margin-top:15.113568pt;width:165.65pt;height:13.7pt;mso-position-horizontal-relative:page;mso-position-vertical-relative:paragraph;z-index:-58840" type="#_x0000_t202" filled="true" fillcolor="#d9d9d9" stroked="false">
            <v:textbox inset="0,0,0,0">
              <w:txbxContent>
                <w:p>
                  <w:pPr>
                    <w:pStyle w:val="BodyText"/>
                    <w:spacing w:line="267" w:lineRule="exact"/>
                    <w:ind w:right="-15"/>
                  </w:pPr>
                  <w:r>
                    <w:rPr/>
                    <w:t>3.</w:t>
                  </w:r>
                  <w:r>
                    <w:rPr>
                      <w:spacing w:val="-3"/>
                    </w:rPr>
                    <w:t> 被保险人主动吸食或注射</w:t>
                  </w:r>
                  <w:r>
                    <w:rPr>
                      <w:rFonts w:ascii="Microsoft JhengHei" w:eastAsia="Microsoft JhengHei" w:hint="eastAsia"/>
                      <w:b/>
                    </w:rPr>
                    <w:t>毒品</w:t>
                  </w:r>
                  <w:r>
                    <w:rPr>
                      <w:position w:val="11"/>
                      <w:sz w:val="11"/>
                    </w:rPr>
                    <w:t>9</w:t>
                  </w:r>
                  <w:r>
                    <w:rPr/>
                    <w:t>；</w:t>
                  </w:r>
                </w:p>
              </w:txbxContent>
            </v:textbox>
            <v:fill type="solid"/>
            <w10:wrap type="none"/>
          </v:shape>
        </w:pict>
      </w:r>
      <w:r>
        <w:rPr>
          <w:spacing w:val="-3"/>
          <w:sz w:val="21"/>
          <w:shd w:fill="D9D9D9" w:color="auto" w:val="clear"/>
        </w:rPr>
        <w:t>被保险人故意自伤、故意犯罪或者抗拒依法采取的刑事强制措施；</w:t>
      </w:r>
    </w:p>
    <w:p>
      <w:pPr>
        <w:pStyle w:val="BodyText"/>
        <w:spacing w:before="3"/>
      </w:pPr>
      <w:r>
        <w:rPr/>
        <w:pict>
          <v:shape style="position:absolute;margin-left:74.903999pt;margin-top:15.103524pt;width:390.35pt;height:13.7pt;mso-position-horizontal-relative:page;mso-position-vertical-relative:paragraph;z-index:1120;mso-wrap-distance-left:0;mso-wrap-distance-right:0" type="#_x0000_t202" filled="true" fillcolor="#d9d9d9" stroked="false">
            <v:textbox inset="0,0,0,0">
              <w:txbxContent>
                <w:p>
                  <w:pPr>
                    <w:spacing w:line="267" w:lineRule="exact" w:before="0"/>
                    <w:ind w:left="0" w:right="-15" w:firstLine="0"/>
                    <w:jc w:val="left"/>
                    <w:rPr>
                      <w:sz w:val="21"/>
                    </w:rPr>
                  </w:pPr>
                  <w:r>
                    <w:rPr>
                      <w:sz w:val="21"/>
                    </w:rPr>
                    <w:t>4.</w:t>
                  </w:r>
                  <w:r>
                    <w:rPr>
                      <w:spacing w:val="5"/>
                      <w:sz w:val="21"/>
                    </w:rPr>
                    <w:t> 被保险人</w:t>
                  </w:r>
                  <w:r>
                    <w:rPr>
                      <w:rFonts w:ascii="Microsoft JhengHei" w:eastAsia="Microsoft JhengHei" w:hint="eastAsia"/>
                      <w:b/>
                      <w:sz w:val="21"/>
                    </w:rPr>
                    <w:t>酒后驾驶</w:t>
                  </w:r>
                  <w:r>
                    <w:rPr>
                      <w:position w:val="11"/>
                      <w:sz w:val="11"/>
                    </w:rPr>
                    <w:t>10</w:t>
                  </w:r>
                  <w:r>
                    <w:rPr>
                      <w:sz w:val="21"/>
                    </w:rPr>
                    <w:t>，</w:t>
                  </w:r>
                  <w:r>
                    <w:rPr>
                      <w:rFonts w:ascii="Microsoft JhengHei" w:eastAsia="Microsoft JhengHei" w:hint="eastAsia"/>
                      <w:b/>
                      <w:spacing w:val="-1"/>
                      <w:sz w:val="21"/>
                    </w:rPr>
                    <w:t>无合法有效驾驶证驾驶</w:t>
                  </w:r>
                  <w:r>
                    <w:rPr>
                      <w:position w:val="11"/>
                      <w:sz w:val="11"/>
                    </w:rPr>
                    <w:t>11</w:t>
                  </w:r>
                  <w:r>
                    <w:rPr>
                      <w:spacing w:val="-3"/>
                      <w:sz w:val="21"/>
                    </w:rPr>
                    <w:t>，或驾驶</w:t>
                  </w:r>
                  <w:r>
                    <w:rPr>
                      <w:rFonts w:ascii="Microsoft JhengHei" w:eastAsia="Microsoft JhengHei" w:hint="eastAsia"/>
                      <w:b/>
                      <w:spacing w:val="-1"/>
                      <w:sz w:val="21"/>
                    </w:rPr>
                    <w:t>无有效行驶证</w:t>
                  </w:r>
                  <w:r>
                    <w:rPr>
                      <w:position w:val="11"/>
                      <w:sz w:val="11"/>
                    </w:rPr>
                    <w:t>12</w:t>
                  </w:r>
                  <w:r>
                    <w:rPr>
                      <w:spacing w:val="-1"/>
                      <w:sz w:val="21"/>
                    </w:rPr>
                    <w:t>的机动车；</w:t>
                  </w:r>
                </w:p>
              </w:txbxContent>
            </v:textbox>
            <v:fill type="solid"/>
            <w10:wrap type="topAndBottom"/>
          </v:shape>
        </w:pict>
      </w:r>
    </w:p>
    <w:p>
      <w:pPr>
        <w:pStyle w:val="ListParagraph"/>
        <w:numPr>
          <w:ilvl w:val="0"/>
          <w:numId w:val="3"/>
        </w:numPr>
        <w:tabs>
          <w:tab w:pos="855" w:val="left" w:leader="none"/>
        </w:tabs>
        <w:spacing w:line="225" w:lineRule="exact" w:before="0" w:after="0"/>
        <w:ind w:left="854" w:right="0" w:hanging="316"/>
        <w:jc w:val="left"/>
        <w:rPr>
          <w:sz w:val="21"/>
        </w:rPr>
      </w:pPr>
      <w:r>
        <w:rPr>
          <w:spacing w:val="-3"/>
          <w:sz w:val="21"/>
          <w:shd w:fill="D9D9D9" w:color="auto" w:val="clear"/>
        </w:rPr>
        <w:t>战争、军事冲突、暴乱或武装叛乱；</w:t>
      </w:r>
    </w:p>
    <w:p>
      <w:pPr>
        <w:pStyle w:val="ListParagraph"/>
        <w:numPr>
          <w:ilvl w:val="0"/>
          <w:numId w:val="3"/>
        </w:numPr>
        <w:tabs>
          <w:tab w:pos="855" w:val="left" w:leader="none"/>
        </w:tabs>
        <w:spacing w:line="272" w:lineRule="exact" w:before="0" w:after="0"/>
        <w:ind w:left="854" w:right="0" w:hanging="316"/>
        <w:jc w:val="left"/>
        <w:rPr>
          <w:sz w:val="21"/>
        </w:rPr>
      </w:pPr>
      <w:r>
        <w:rPr>
          <w:spacing w:val="-3"/>
          <w:sz w:val="21"/>
          <w:shd w:fill="D9D9D9" w:color="auto" w:val="clear"/>
        </w:rPr>
        <w:t>核爆炸、核辐射或核污染。</w:t>
      </w:r>
    </w:p>
    <w:p>
      <w:pPr>
        <w:pStyle w:val="BodyText"/>
        <w:spacing w:line="273" w:lineRule="exact"/>
        <w:ind w:left="538"/>
      </w:pPr>
      <w:r>
        <w:rPr/>
        <w:pict>
          <v:shape style="position:absolute;margin-left:74.903999pt;margin-top:15.173562pt;width:248.1pt;height:13.7pt;mso-position-horizontal-relative:page;mso-position-vertical-relative:paragraph;z-index:1144;mso-wrap-distance-left:0;mso-wrap-distance-right:0" type="#_x0000_t202" filled="true" fillcolor="#d9d9d9" stroked="false">
            <v:textbox inset="0,0,0,0">
              <w:txbxContent>
                <w:p>
                  <w:pPr>
                    <w:spacing w:line="267" w:lineRule="exact" w:before="0"/>
                    <w:ind w:left="0" w:right="0" w:firstLine="0"/>
                    <w:jc w:val="left"/>
                    <w:rPr>
                      <w:sz w:val="21"/>
                    </w:rPr>
                  </w:pPr>
                  <w:r>
                    <w:rPr>
                      <w:sz w:val="21"/>
                    </w:rPr>
                    <w:t>8．</w:t>
                  </w:r>
                  <w:r>
                    <w:rPr>
                      <w:rFonts w:ascii="Microsoft JhengHei" w:eastAsia="Microsoft JhengHei" w:hint="eastAsia"/>
                      <w:b/>
                      <w:sz w:val="21"/>
                    </w:rPr>
                    <w:t>遗传性疾病</w:t>
                  </w:r>
                  <w:r>
                    <w:rPr>
                      <w:position w:val="11"/>
                      <w:sz w:val="11"/>
                    </w:rPr>
                    <w:t>13</w:t>
                  </w:r>
                  <w:r>
                    <w:rPr>
                      <w:sz w:val="21"/>
                    </w:rPr>
                    <w:t>，</w:t>
                  </w:r>
                  <w:r>
                    <w:rPr>
                      <w:rFonts w:ascii="Microsoft JhengHei" w:eastAsia="Microsoft JhengHei" w:hint="eastAsia"/>
                      <w:b/>
                      <w:sz w:val="21"/>
                    </w:rPr>
                    <w:t>先天性畸形、变形或染色体异常</w:t>
                  </w:r>
                  <w:r>
                    <w:rPr>
                      <w:position w:val="11"/>
                      <w:sz w:val="11"/>
                    </w:rPr>
                    <w:t>14</w:t>
                  </w:r>
                  <w:r>
                    <w:rPr>
                      <w:sz w:val="21"/>
                    </w:rPr>
                    <w:t>。</w:t>
                  </w:r>
                </w:p>
              </w:txbxContent>
            </v:textbox>
            <v:fill type="solid"/>
            <w10:wrap type="topAndBottom"/>
          </v:shape>
        </w:pict>
      </w:r>
      <w:r>
        <w:rPr>
          <w:shd w:fill="D9D9D9" w:color="auto" w:val="clear"/>
        </w:rPr>
        <w:t>7．被保险人感染艾滋病病毒或患艾滋病；</w:t>
      </w:r>
    </w:p>
    <w:p>
      <w:pPr>
        <w:pStyle w:val="BodyText"/>
        <w:spacing w:line="247" w:lineRule="exact"/>
        <w:ind w:left="538"/>
      </w:pPr>
      <w:r>
        <w:rPr>
          <w:shd w:fill="D9D9D9" w:color="auto" w:val="clear"/>
        </w:rPr>
        <w:t>发Th上述第 1 项情形导致被保险人罹患本附加合同中所列的重大疾病或轻症疾病的，本附加合同终止，</w:t>
      </w:r>
    </w:p>
    <w:p>
      <w:pPr>
        <w:pStyle w:val="BodyText"/>
        <w:spacing w:line="273" w:lineRule="auto" w:before="37"/>
        <w:ind w:left="117" w:right="346"/>
      </w:pPr>
      <w:r>
        <w:rPr>
          <w:spacing w:val="-6"/>
          <w:shd w:fill="D9D9D9" w:color="auto" w:val="clear"/>
        </w:rPr>
        <w:t>投保人已交足 </w:t>
      </w:r>
      <w:r>
        <w:rPr>
          <w:shd w:fill="D9D9D9" w:color="auto" w:val="clear"/>
        </w:rPr>
        <w:t>2</w:t>
      </w:r>
      <w:r>
        <w:rPr>
          <w:spacing w:val="-6"/>
          <w:shd w:fill="D9D9D9" w:color="auto" w:val="clear"/>
        </w:rPr>
        <w:t> 年以上保险费的，我们向被保险人或被保险人的法定继承人</w:t>
      </w:r>
      <w:r>
        <w:rPr>
          <w:shd w:fill="D9D9D9" w:color="auto" w:val="clear"/>
        </w:rPr>
        <w:t>（</w:t>
      </w:r>
      <w:r>
        <w:rPr>
          <w:spacing w:val="-3"/>
          <w:shd w:fill="D9D9D9" w:color="auto" w:val="clear"/>
        </w:rPr>
        <w:t>投保人除外）退还本附加合同</w:t>
      </w:r>
      <w:r>
        <w:rPr>
          <w:spacing w:val="-206"/>
          <w:shd w:fill="D9D9D9" w:color="auto" w:val="clear"/>
        </w:rPr>
        <w:t>的</w:t>
      </w:r>
      <w:r>
        <w:rPr>
          <w:spacing w:val="-3"/>
          <w:shd w:fill="D9D9D9" w:color="auto" w:val="clear"/>
        </w:rPr>
        <w:t>现金价值。</w:t>
      </w:r>
    </w:p>
    <w:p>
      <w:pPr>
        <w:pStyle w:val="BodyText"/>
        <w:spacing w:line="273" w:lineRule="auto" w:before="7"/>
        <w:ind w:left="117" w:right="348" w:firstLine="420"/>
      </w:pPr>
      <w:r>
        <w:rPr>
          <w:shd w:fill="D9D9D9" w:color="auto" w:val="clear"/>
        </w:rPr>
        <w:t>发Th</w:t>
      </w:r>
      <w:r>
        <w:rPr>
          <w:spacing w:val="-3"/>
          <w:shd w:fill="D9D9D9" w:color="auto" w:val="clear"/>
        </w:rPr>
        <w:t>上述其他情形导致被保险人罹患本附加合同中所列的重大疾病或轻症疾病的，本附加合同终止，我</w:t>
      </w:r>
      <w:r>
        <w:rPr>
          <w:spacing w:val="-204"/>
          <w:shd w:fill="D9D9D9" w:color="auto" w:val="clear"/>
        </w:rPr>
        <w:t>们</w:t>
      </w:r>
      <w:r>
        <w:rPr>
          <w:spacing w:val="-3"/>
          <w:shd w:fill="D9D9D9" w:color="auto" w:val="clear"/>
        </w:rPr>
        <w:t>向您退还本附加合同的现金价值。</w:t>
      </w:r>
    </w:p>
    <w:p>
      <w:pPr>
        <w:pStyle w:val="BodyText"/>
        <w:spacing w:before="11"/>
        <w:rPr>
          <w:sz w:val="16"/>
        </w:rPr>
      </w:pPr>
    </w:p>
    <w:p>
      <w:pPr>
        <w:pStyle w:val="Heading1"/>
        <w:tabs>
          <w:tab w:pos="1474" w:val="left" w:leader="none"/>
        </w:tabs>
      </w:pPr>
      <w:bookmarkStart w:name="_bookmark10" w:id="11"/>
      <w:bookmarkEnd w:id="11"/>
      <w:r>
        <w:rPr>
          <w:b w:val="0"/>
        </w:rPr>
      </w:r>
      <w:r>
        <w:rPr/>
        <w:t>第三部分</w:t>
        <w:tab/>
        <w:t>如何支付保险费</w:t>
      </w:r>
    </w:p>
    <w:p>
      <w:pPr>
        <w:pStyle w:val="BodyText"/>
        <w:spacing w:before="4"/>
        <w:rPr>
          <w:rFonts w:ascii="微软雅黑"/>
          <w:b/>
          <w:sz w:val="14"/>
        </w:rPr>
      </w:pPr>
    </w:p>
    <w:p>
      <w:pPr>
        <w:pStyle w:val="Heading2"/>
        <w:tabs>
          <w:tab w:pos="969" w:val="left" w:leader="none"/>
        </w:tabs>
      </w:pPr>
      <w:bookmarkStart w:name="_bookmark11" w:id="12"/>
      <w:bookmarkEnd w:id="12"/>
      <w:r>
        <w:rPr>
          <w:b w:val="0"/>
        </w:rPr>
      </w:r>
      <w:r>
        <w:rPr/>
        <w:t>第九条</w:t>
        <w:tab/>
        <w:t>保险费的支付</w:t>
      </w:r>
    </w:p>
    <w:p>
      <w:pPr>
        <w:pStyle w:val="BodyText"/>
        <w:spacing w:before="11"/>
        <w:ind w:left="538"/>
      </w:pPr>
      <w:r>
        <w:rPr/>
        <w:t>本附加合同保险费交费方式、交费期限及保险费约定支付日与主合同一致。</w:t>
      </w:r>
    </w:p>
    <w:p>
      <w:pPr>
        <w:pStyle w:val="BodyText"/>
        <w:spacing w:before="1"/>
        <w:rPr>
          <w:sz w:val="19"/>
        </w:rPr>
      </w:pPr>
    </w:p>
    <w:p>
      <w:pPr>
        <w:pStyle w:val="Heading1"/>
        <w:tabs>
          <w:tab w:pos="1474" w:val="left" w:leader="none"/>
        </w:tabs>
      </w:pPr>
      <w:bookmarkStart w:name="_bookmark12" w:id="13"/>
      <w:bookmarkEnd w:id="13"/>
      <w:r>
        <w:rPr>
          <w:b w:val="0"/>
        </w:rPr>
      </w:r>
      <w:r>
        <w:rPr/>
        <w:t>第四部分</w:t>
        <w:tab/>
        <w:t>如何申请保险金</w:t>
      </w:r>
    </w:p>
    <w:p>
      <w:pPr>
        <w:pStyle w:val="BodyText"/>
        <w:spacing w:before="4"/>
        <w:rPr>
          <w:rFonts w:ascii="微软雅黑"/>
          <w:b/>
          <w:sz w:val="14"/>
        </w:rPr>
      </w:pPr>
    </w:p>
    <w:p>
      <w:pPr>
        <w:pStyle w:val="Heading2"/>
        <w:tabs>
          <w:tab w:pos="969" w:val="left" w:leader="none"/>
        </w:tabs>
      </w:pPr>
      <w:bookmarkStart w:name="_bookmark13" w:id="14"/>
      <w:bookmarkEnd w:id="14"/>
      <w:r>
        <w:rPr>
          <w:b w:val="0"/>
        </w:rPr>
      </w:r>
      <w:r>
        <w:rPr/>
        <w:t>第十条</w:t>
        <w:tab/>
        <w:t>受益人</w:t>
      </w:r>
    </w:p>
    <w:p>
      <w:pPr>
        <w:pStyle w:val="BodyText"/>
        <w:spacing w:before="11"/>
        <w:ind w:left="538"/>
      </w:pPr>
      <w:r>
        <w:rPr/>
        <w:t>除另有约定外，重大疾病保险金、轻症疾病保险金的受益人为被保险人本人。</w:t>
      </w:r>
    </w:p>
    <w:p>
      <w:pPr>
        <w:pStyle w:val="BodyText"/>
        <w:rPr>
          <w:sz w:val="20"/>
        </w:rPr>
      </w:pPr>
    </w:p>
    <w:p>
      <w:pPr>
        <w:pStyle w:val="BodyText"/>
        <w:rPr>
          <w:sz w:val="20"/>
        </w:rPr>
      </w:pPr>
    </w:p>
    <w:p>
      <w:pPr>
        <w:pStyle w:val="BodyText"/>
        <w:rPr>
          <w:sz w:val="25"/>
        </w:rPr>
      </w:pPr>
      <w:r>
        <w:rPr/>
        <w:pict>
          <v:line style="position:absolute;mso-position-horizontal-relative:page;mso-position-vertical-relative:paragraph;z-index:1168;mso-wrap-distance-left:0;mso-wrap-distance-right:0" from="53.880001pt,18.564531pt" to="197.930001pt,18.564531pt" stroked="true" strokeweight=".47998pt" strokecolor="#000000">
            <v:stroke dashstyle="solid"/>
            <w10:wrap type="topAndBottom"/>
          </v:line>
        </w:pict>
      </w:r>
    </w:p>
    <w:p>
      <w:pPr>
        <w:spacing w:line="281" w:lineRule="exact" w:before="0"/>
        <w:ind w:left="117" w:right="0" w:firstLine="0"/>
        <w:jc w:val="left"/>
        <w:rPr>
          <w:sz w:val="18"/>
        </w:rPr>
      </w:pPr>
      <w:r>
        <w:rPr>
          <w:rFonts w:ascii="Times New Roman" w:eastAsia="Times New Roman"/>
          <w:position w:val="6"/>
          <w:sz w:val="12"/>
        </w:rPr>
        <w:t>9</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w:t>
      </w:r>
    </w:p>
    <w:p>
      <w:pPr>
        <w:spacing w:line="195" w:lineRule="exact" w:before="0"/>
        <w:ind w:left="117" w:right="0" w:firstLine="0"/>
        <w:jc w:val="left"/>
        <w:rPr>
          <w:sz w:val="18"/>
        </w:rPr>
      </w:pPr>
      <w:r>
        <w:rPr>
          <w:sz w:val="18"/>
        </w:rPr>
        <w:t>使人形成瘾癖的麻醉药品和精神药品，但不包括由医生开具并遵医嘱使用的用于治疗疾病但含有毒品成分的处方药品。</w:t>
      </w:r>
    </w:p>
    <w:p>
      <w:pPr>
        <w:spacing w:line="273" w:lineRule="exact" w:before="0"/>
        <w:ind w:left="117" w:right="0" w:firstLine="0"/>
        <w:jc w:val="left"/>
        <w:rPr>
          <w:sz w:val="18"/>
        </w:rPr>
      </w:pPr>
      <w:r>
        <w:rPr>
          <w:rFonts w:ascii="Times New Roman" w:eastAsia="Times New Roman"/>
          <w:position w:val="6"/>
          <w:sz w:val="12"/>
        </w:rPr>
        <w:t>10</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w:t>
      </w:r>
    </w:p>
    <w:p>
      <w:pPr>
        <w:spacing w:line="194" w:lineRule="exact" w:before="0"/>
        <w:ind w:left="117" w:right="0" w:firstLine="0"/>
        <w:jc w:val="left"/>
        <w:rPr>
          <w:sz w:val="18"/>
        </w:rPr>
      </w:pPr>
      <w:r>
        <w:rPr>
          <w:sz w:val="18"/>
        </w:rPr>
        <w:t>理部门依据《道路交通安全法》的规定认定为饮酒后驾驶或醉酒后驾驶。</w:t>
      </w:r>
    </w:p>
    <w:p>
      <w:pPr>
        <w:spacing w:line="272" w:lineRule="exact" w:before="0"/>
        <w:ind w:left="117" w:right="0" w:firstLine="0"/>
        <w:jc w:val="left"/>
        <w:rPr>
          <w:sz w:val="18"/>
        </w:rPr>
      </w:pPr>
      <w:r>
        <w:rPr>
          <w:rFonts w:ascii="Times New Roman" w:eastAsia="Times New Roman"/>
          <w:position w:val="6"/>
          <w:sz w:val="12"/>
        </w:rPr>
        <w:t>11</w:t>
      </w:r>
      <w:r>
        <w:rPr>
          <w:rFonts w:ascii="Microsoft JhengHei" w:eastAsia="Microsoft JhengHei" w:hint="eastAsia"/>
          <w:b/>
          <w:sz w:val="18"/>
        </w:rPr>
        <w:t>无合法有效驾驶证驾驶：</w:t>
      </w:r>
      <w:r>
        <w:rPr>
          <w:spacing w:val="-14"/>
          <w:sz w:val="18"/>
        </w:rPr>
        <w:t>指下列情形之一：</w:t>
      </w:r>
      <w:r>
        <w:rPr>
          <w:sz w:val="18"/>
        </w:rPr>
        <w:t>（</w:t>
      </w:r>
      <w:r>
        <w:rPr>
          <w:spacing w:val="-2"/>
          <w:sz w:val="18"/>
        </w:rPr>
        <w:t>1</w:t>
      </w:r>
      <w:r>
        <w:rPr>
          <w:sz w:val="18"/>
        </w:rPr>
        <w:t>）</w:t>
      </w:r>
      <w:r>
        <w:rPr>
          <w:spacing w:val="-11"/>
          <w:sz w:val="18"/>
        </w:rPr>
        <w:t>没有取得驾驶资格；</w:t>
      </w:r>
      <w:r>
        <w:rPr>
          <w:sz w:val="18"/>
        </w:rPr>
        <w:t>（</w:t>
      </w:r>
      <w:r>
        <w:rPr>
          <w:spacing w:val="-2"/>
          <w:sz w:val="18"/>
        </w:rPr>
        <w:t>2</w:t>
      </w:r>
      <w:r>
        <w:rPr>
          <w:sz w:val="18"/>
        </w:rPr>
        <w:t>）</w:t>
      </w:r>
      <w:r>
        <w:rPr>
          <w:spacing w:val="-6"/>
          <w:sz w:val="18"/>
        </w:rPr>
        <w:t>驾驶与驾驶证准驾车型不相符合的车辆；</w:t>
      </w:r>
      <w:r>
        <w:rPr>
          <w:sz w:val="18"/>
        </w:rPr>
        <w:t>（</w:t>
      </w:r>
      <w:r>
        <w:rPr>
          <w:spacing w:val="-2"/>
          <w:sz w:val="18"/>
        </w:rPr>
        <w:t>3</w:t>
      </w:r>
      <w:r>
        <w:rPr>
          <w:sz w:val="18"/>
        </w:rPr>
        <w:t>）持审</w:t>
      </w:r>
    </w:p>
    <w:p>
      <w:pPr>
        <w:spacing w:line="195" w:lineRule="exact" w:before="0"/>
        <w:ind w:left="117" w:right="0" w:firstLine="0"/>
        <w:jc w:val="left"/>
        <w:rPr>
          <w:sz w:val="18"/>
        </w:rPr>
      </w:pPr>
      <w:r>
        <w:rPr>
          <w:spacing w:val="-9"/>
          <w:sz w:val="18"/>
        </w:rPr>
        <w:t>验不合格的驾驶证驾驶；</w:t>
      </w:r>
      <w:r>
        <w:rPr>
          <w:sz w:val="18"/>
        </w:rPr>
        <w:t>（</w:t>
      </w:r>
      <w:r>
        <w:rPr>
          <w:spacing w:val="-2"/>
          <w:sz w:val="18"/>
        </w:rPr>
        <w:t>4</w:t>
      </w:r>
      <w:r>
        <w:rPr>
          <w:sz w:val="18"/>
        </w:rPr>
        <w:t>）持学习驾驶证学习驾车时，无教练员随车指导，或不按指定时间、路线学习驾车。</w:t>
      </w:r>
    </w:p>
    <w:p>
      <w:pPr>
        <w:spacing w:line="244" w:lineRule="exact" w:before="0"/>
        <w:ind w:left="117" w:right="0" w:firstLine="0"/>
        <w:jc w:val="left"/>
        <w:rPr>
          <w:sz w:val="18"/>
        </w:rPr>
      </w:pPr>
      <w:r>
        <w:rPr>
          <w:rFonts w:ascii="Times New Roman" w:eastAsia="Times New Roman"/>
          <w:position w:val="6"/>
          <w:sz w:val="12"/>
        </w:rPr>
        <w:t>12</w:t>
      </w:r>
      <w:r>
        <w:rPr>
          <w:rFonts w:ascii="Microsoft JhengHei" w:eastAsia="Microsoft JhengHei" w:hint="eastAsia"/>
          <w:b/>
          <w:sz w:val="18"/>
        </w:rPr>
        <w:t>无有效行驶证：</w:t>
      </w:r>
      <w:r>
        <w:rPr>
          <w:spacing w:val="-13"/>
          <w:sz w:val="18"/>
        </w:rPr>
        <w:t>指下列情形之一：</w:t>
      </w:r>
      <w:r>
        <w:rPr>
          <w:sz w:val="18"/>
        </w:rPr>
        <w:t>（</w:t>
      </w:r>
      <w:r>
        <w:rPr>
          <w:spacing w:val="-2"/>
          <w:sz w:val="18"/>
        </w:rPr>
        <w:t>1</w:t>
      </w:r>
      <w:r>
        <w:rPr>
          <w:sz w:val="18"/>
        </w:rPr>
        <w:t>）</w:t>
      </w:r>
      <w:r>
        <w:rPr>
          <w:spacing w:val="-8"/>
          <w:sz w:val="18"/>
        </w:rPr>
        <w:t>机动车被依法注销登记的；</w:t>
      </w:r>
      <w:r>
        <w:rPr>
          <w:sz w:val="18"/>
        </w:rPr>
        <w:t>（</w:t>
      </w:r>
      <w:r>
        <w:rPr>
          <w:spacing w:val="-2"/>
          <w:sz w:val="18"/>
        </w:rPr>
        <w:t>2</w:t>
      </w:r>
      <w:r>
        <w:rPr>
          <w:sz w:val="18"/>
        </w:rPr>
        <w:t>）未依法按时进行或通过机动车安全技术检验。</w:t>
      </w:r>
    </w:p>
    <w:p>
      <w:pPr>
        <w:spacing w:line="261" w:lineRule="exact" w:before="0"/>
        <w:ind w:left="117" w:right="0" w:firstLine="0"/>
        <w:jc w:val="left"/>
        <w:rPr>
          <w:sz w:val="18"/>
        </w:rPr>
      </w:pPr>
      <w:r>
        <w:rPr>
          <w:rFonts w:ascii="Times New Roman" w:eastAsia="Times New Roman"/>
          <w:position w:val="6"/>
          <w:sz w:val="12"/>
        </w:rPr>
        <w:t>13</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w:t>
      </w:r>
    </w:p>
    <w:p>
      <w:pPr>
        <w:spacing w:line="195" w:lineRule="exact" w:before="0"/>
        <w:ind w:left="117" w:right="0" w:firstLine="0"/>
        <w:jc w:val="left"/>
        <w:rPr>
          <w:sz w:val="18"/>
        </w:rPr>
      </w:pPr>
      <w:r>
        <w:rPr>
          <w:sz w:val="18"/>
        </w:rPr>
        <w:t>垂直传递的特征。</w:t>
      </w:r>
    </w:p>
    <w:p>
      <w:pPr>
        <w:spacing w:line="273" w:lineRule="exact" w:before="0"/>
        <w:ind w:left="117" w:right="0" w:firstLine="0"/>
        <w:jc w:val="left"/>
        <w:rPr>
          <w:sz w:val="18"/>
        </w:rPr>
      </w:pPr>
      <w:r>
        <w:rPr>
          <w:rFonts w:ascii="Times New Roman" w:eastAsia="Times New Roman"/>
          <w:position w:val="6"/>
          <w:sz w:val="12"/>
        </w:rPr>
        <w:t>14</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w:t>
      </w:r>
    </w:p>
    <w:p>
      <w:pPr>
        <w:spacing w:line="224" w:lineRule="exact" w:before="0"/>
        <w:ind w:left="117" w:right="0" w:firstLine="0"/>
        <w:jc w:val="left"/>
        <w:rPr>
          <w:sz w:val="18"/>
        </w:rPr>
      </w:pPr>
      <w:r>
        <w:rPr>
          <w:sz w:val="18"/>
        </w:rPr>
        <w:t>照世界卫生组织《疾病和有关健康问题的国际统计分类》（ICD-10）确定。</w:t>
      </w:r>
    </w:p>
    <w:p>
      <w:pPr>
        <w:spacing w:after="0" w:line="224" w:lineRule="exact"/>
        <w:jc w:val="left"/>
        <w:rPr>
          <w:sz w:val="18"/>
        </w:rPr>
        <w:sectPr>
          <w:pgSz w:w="11910" w:h="16840"/>
          <w:pgMar w:header="0" w:footer="785" w:top="1360" w:bottom="980" w:left="960" w:right="600"/>
        </w:sectPr>
      </w:pPr>
    </w:p>
    <w:p>
      <w:pPr>
        <w:pStyle w:val="Heading2"/>
        <w:spacing w:line="309" w:lineRule="exact"/>
      </w:pPr>
      <w:r>
        <w:rPr/>
        <w:t>第十一条 诉讼时效</w:t>
      </w:r>
    </w:p>
    <w:p>
      <w:pPr>
        <w:pStyle w:val="BodyText"/>
        <w:spacing w:before="12"/>
        <w:ind w:left="538"/>
      </w:pPr>
      <w:r>
        <w:rPr>
          <w:spacing w:val="-4"/>
        </w:rPr>
        <w:t>受益人向我们请求给付保险金的诉讼时效期间为 </w:t>
      </w:r>
      <w:r>
        <w:rPr>
          <w:rFonts w:ascii="Times New Roman" w:eastAsia="Times New Roman"/>
        </w:rPr>
        <w:t>2 </w:t>
      </w:r>
      <w:r>
        <w:rPr>
          <w:spacing w:val="-10"/>
        </w:rPr>
        <w:t>年，自其知道或者应当知道保险事故发生之日起计算。</w:t>
      </w:r>
    </w:p>
    <w:p>
      <w:pPr>
        <w:pStyle w:val="BodyText"/>
        <w:spacing w:before="4"/>
        <w:rPr>
          <w:sz w:val="15"/>
        </w:rPr>
      </w:pPr>
    </w:p>
    <w:p>
      <w:pPr>
        <w:pStyle w:val="Heading2"/>
      </w:pPr>
      <w:r>
        <w:rPr/>
        <w:t>第十二条 保险金申请</w:t>
      </w:r>
    </w:p>
    <w:p>
      <w:pPr>
        <w:pStyle w:val="BodyText"/>
        <w:spacing w:line="273" w:lineRule="auto" w:before="11"/>
        <w:ind w:left="117" w:right="220" w:firstLine="420"/>
      </w:pPr>
      <w:r>
        <w:rPr/>
        <w:t>申请重大疾病保险金、轻症疾病保险金的，由相应保险金的受益人作为申请人填写保险金给付申请书， 并提供下列证明和资料：</w:t>
      </w:r>
    </w:p>
    <w:p>
      <w:pPr>
        <w:pStyle w:val="ListParagraph"/>
        <w:numPr>
          <w:ilvl w:val="0"/>
          <w:numId w:val="4"/>
        </w:numPr>
        <w:tabs>
          <w:tab w:pos="957" w:val="left" w:leader="none"/>
          <w:tab w:pos="959" w:val="left" w:leader="none"/>
        </w:tabs>
        <w:spacing w:line="270" w:lineRule="exact" w:before="8" w:after="0"/>
        <w:ind w:left="958" w:right="0" w:hanging="420"/>
        <w:jc w:val="left"/>
        <w:rPr>
          <w:sz w:val="21"/>
        </w:rPr>
      </w:pPr>
      <w:r>
        <w:rPr>
          <w:spacing w:val="-1"/>
          <w:sz w:val="21"/>
        </w:rPr>
        <w:t>保险合同；</w:t>
      </w:r>
    </w:p>
    <w:p>
      <w:pPr>
        <w:pStyle w:val="ListParagraph"/>
        <w:numPr>
          <w:ilvl w:val="0"/>
          <w:numId w:val="4"/>
        </w:numPr>
        <w:tabs>
          <w:tab w:pos="957" w:val="left" w:leader="none"/>
          <w:tab w:pos="959" w:val="left" w:leader="none"/>
        </w:tabs>
        <w:spacing w:line="342" w:lineRule="exact" w:before="0" w:after="0"/>
        <w:ind w:left="958" w:right="0" w:hanging="420"/>
        <w:jc w:val="left"/>
        <w:rPr>
          <w:sz w:val="21"/>
        </w:rPr>
      </w:pPr>
      <w:r>
        <w:rPr>
          <w:spacing w:val="-3"/>
          <w:sz w:val="21"/>
        </w:rPr>
        <w:t>受益人的</w:t>
      </w:r>
      <w:r>
        <w:rPr>
          <w:rFonts w:ascii="微软雅黑" w:eastAsia="微软雅黑" w:hint="eastAsia"/>
          <w:b/>
          <w:sz w:val="21"/>
        </w:rPr>
        <w:t>有效身份证件</w:t>
      </w:r>
      <w:r>
        <w:rPr>
          <w:rFonts w:ascii="Times New Roman" w:eastAsia="Times New Roman"/>
          <w:position w:val="7"/>
          <w:sz w:val="14"/>
        </w:rPr>
        <w:t>15</w:t>
      </w:r>
      <w:r>
        <w:rPr>
          <w:sz w:val="21"/>
        </w:rPr>
        <w:t>；</w:t>
      </w:r>
    </w:p>
    <w:p>
      <w:pPr>
        <w:pStyle w:val="ListParagraph"/>
        <w:numPr>
          <w:ilvl w:val="0"/>
          <w:numId w:val="4"/>
        </w:numPr>
        <w:tabs>
          <w:tab w:pos="957" w:val="left" w:leader="none"/>
          <w:tab w:pos="959" w:val="left" w:leader="none"/>
        </w:tabs>
        <w:spacing w:line="256" w:lineRule="auto" w:before="11" w:after="0"/>
        <w:ind w:left="958" w:right="219" w:hanging="420"/>
        <w:jc w:val="left"/>
        <w:rPr>
          <w:sz w:val="21"/>
        </w:rPr>
      </w:pPr>
      <w:r>
        <w:rPr>
          <w:spacing w:val="-3"/>
          <w:sz w:val="21"/>
        </w:rPr>
        <w:t>我们指定或认可的医院的专科医生出具的附有被保险人病理、血液及其他科学方法检验报告等诊断</w:t>
      </w:r>
      <w:r>
        <w:rPr>
          <w:spacing w:val="-2"/>
          <w:sz w:val="21"/>
        </w:rPr>
        <w:t>证明文件；</w:t>
      </w:r>
    </w:p>
    <w:p>
      <w:pPr>
        <w:pStyle w:val="ListParagraph"/>
        <w:numPr>
          <w:ilvl w:val="0"/>
          <w:numId w:val="4"/>
        </w:numPr>
        <w:tabs>
          <w:tab w:pos="957" w:val="left" w:leader="none"/>
          <w:tab w:pos="959" w:val="left" w:leader="none"/>
        </w:tabs>
        <w:spacing w:line="240" w:lineRule="auto" w:before="22" w:after="0"/>
        <w:ind w:left="958" w:right="0" w:hanging="420"/>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ind w:left="117" w:firstLine="420"/>
      </w:pPr>
      <w:r>
        <w:rPr/>
        <w:t>如果委托他人代为申请，除上述证明和资料外，还须提供相关保险金受益人的授权委托书、受托人有效</w:t>
      </w:r>
    </w:p>
    <w:p>
      <w:pPr>
        <w:pStyle w:val="BodyText"/>
        <w:spacing w:line="312" w:lineRule="exact" w:before="33"/>
        <w:ind w:left="117" w:right="214"/>
        <w:jc w:val="both"/>
      </w:pPr>
      <w:r>
        <w:rPr>
          <w:spacing w:val="-3"/>
        </w:rPr>
        <w:t>身份证件等相关证明文件。保险金作为被保险人遗产时，还须提供可证明继承人享有合法继承权的相关权利</w:t>
      </w:r>
      <w:r>
        <w:rPr>
          <w:spacing w:val="-8"/>
        </w:rPr>
        <w:t>文件。受益人或继承人为未成年人或</w:t>
      </w:r>
      <w:r>
        <w:rPr>
          <w:rFonts w:ascii="微软雅黑" w:eastAsia="微软雅黑" w:hint="eastAsia"/>
          <w:b/>
          <w:spacing w:val="-1"/>
        </w:rPr>
        <w:t>无民事行为能力人</w:t>
      </w:r>
      <w:r>
        <w:rPr>
          <w:rFonts w:ascii="Times New Roman" w:eastAsia="Times New Roman"/>
          <w:position w:val="7"/>
          <w:sz w:val="14"/>
        </w:rPr>
        <w:t>16</w:t>
      </w:r>
      <w:r>
        <w:rPr>
          <w:spacing w:val="-10"/>
        </w:rPr>
        <w:t>时，由其监护人代其申请领取保险金，其监护人还必</w:t>
      </w:r>
      <w:r>
        <w:rPr>
          <w:spacing w:val="-9"/>
        </w:rPr>
        <w:t>须提供受益人或继承人为未成年人或无民事行为能力人的证明和监护人具有合法监护权的证明。以上证明和</w:t>
      </w:r>
      <w:r>
        <w:rPr>
          <w:spacing w:val="-5"/>
        </w:rPr>
        <w:t>资料不完整的，我们将及时一次性通知申请人补充提供有关证明和资料。</w:t>
      </w:r>
    </w:p>
    <w:p>
      <w:pPr>
        <w:pStyle w:val="BodyText"/>
        <w:spacing w:before="7"/>
        <w:rPr>
          <w:sz w:val="16"/>
        </w:rPr>
      </w:pPr>
    </w:p>
    <w:p>
      <w:pPr>
        <w:pStyle w:val="Heading1"/>
        <w:tabs>
          <w:tab w:pos="1574" w:val="left" w:leader="none"/>
        </w:tabs>
        <w:ind w:left="317"/>
      </w:pPr>
      <w:bookmarkStart w:name="_bookmark16" w:id="15"/>
      <w:bookmarkEnd w:id="15"/>
      <w:r>
        <w:rPr>
          <w:b w:val="0"/>
        </w:rPr>
      </w:r>
      <w:r>
        <w:rPr/>
        <w:t>第五部分</w:t>
        <w:tab/>
        <w:t>您还享有哪些权益</w:t>
      </w:r>
    </w:p>
    <w:p>
      <w:pPr>
        <w:pStyle w:val="BodyText"/>
        <w:spacing w:before="3"/>
        <w:rPr>
          <w:rFonts w:ascii="微软雅黑"/>
          <w:b/>
          <w:sz w:val="14"/>
        </w:rPr>
      </w:pPr>
    </w:p>
    <w:p>
      <w:pPr>
        <w:pStyle w:val="Heading2"/>
        <w:spacing w:before="1"/>
      </w:pPr>
      <w:r>
        <w:rPr/>
        <w:t>第十三条 犹豫期</w:t>
      </w:r>
    </w:p>
    <w:p>
      <w:pPr>
        <w:pStyle w:val="BodyText"/>
        <w:spacing w:line="208" w:lineRule="auto" w:before="49"/>
        <w:ind w:left="117" w:right="215" w:firstLine="420"/>
        <w:jc w:val="both"/>
      </w:pPr>
      <w:r>
        <w:rPr/>
        <w:t>您在收到本附加合同并书面签收或者按照我们要求的其他方式对本附加合同进行确认之日起可享有 </w:t>
      </w:r>
      <w:r>
        <w:rPr>
          <w:rFonts w:ascii="Times New Roman" w:eastAsia="Times New Roman"/>
        </w:rPr>
        <w:t>15 </w:t>
      </w:r>
      <w:r>
        <w:rPr/>
        <w:t>日的犹豫期，在犹豫期内要求解除本附加合同的，在我们收齐相关文件和资料后，本附加合同即被解除，</w:t>
      </w:r>
      <w:r>
        <w:rPr>
          <w:rFonts w:ascii="微软雅黑" w:eastAsia="微软雅黑" w:hint="eastAsia"/>
          <w:b/>
        </w:rPr>
        <w:t>我们自始不承担保险责任</w:t>
      </w:r>
      <w:r>
        <w:rPr/>
        <w:t>。我们在扣除 </w:t>
      </w:r>
      <w:r>
        <w:rPr>
          <w:rFonts w:ascii="Times New Roman" w:eastAsia="Times New Roman"/>
        </w:rPr>
        <w:t>10 </w:t>
      </w:r>
      <w:r>
        <w:rPr/>
        <w:t>元工本费后，无息退还已交保险费。</w:t>
      </w:r>
    </w:p>
    <w:p>
      <w:pPr>
        <w:pStyle w:val="BodyText"/>
        <w:spacing w:before="12"/>
        <w:rPr>
          <w:sz w:val="19"/>
        </w:rPr>
      </w:pPr>
    </w:p>
    <w:p>
      <w:pPr>
        <w:pStyle w:val="Heading2"/>
      </w:pPr>
      <w:r>
        <w:rPr/>
        <w:t>第十四条  您解除合同的手续及风险</w:t>
      </w:r>
    </w:p>
    <w:p>
      <w:pPr>
        <w:pStyle w:val="BodyText"/>
        <w:spacing w:line="273" w:lineRule="auto" w:before="11"/>
        <w:ind w:left="117" w:right="219" w:firstLine="420"/>
      </w:pPr>
      <w:r>
        <w:rPr/>
        <w:t>本附加合同不能单独解除，只能与主合同一并解除。如您在犹豫期后申请解除本附加合同，请填写解除合同申请书并向我们提供下列资料：</w:t>
      </w:r>
    </w:p>
    <w:p>
      <w:pPr>
        <w:pStyle w:val="ListParagraph"/>
        <w:numPr>
          <w:ilvl w:val="0"/>
          <w:numId w:val="5"/>
        </w:numPr>
        <w:tabs>
          <w:tab w:pos="957" w:val="left" w:leader="none"/>
          <w:tab w:pos="959" w:val="left" w:leader="none"/>
        </w:tabs>
        <w:spacing w:line="240" w:lineRule="auto" w:before="7" w:after="0"/>
        <w:ind w:left="958" w:right="0" w:hanging="420"/>
        <w:jc w:val="left"/>
        <w:rPr>
          <w:sz w:val="21"/>
        </w:rPr>
      </w:pPr>
      <w:r>
        <w:rPr>
          <w:spacing w:val="-2"/>
          <w:sz w:val="21"/>
        </w:rPr>
        <w:t>保险合同；</w:t>
      </w:r>
    </w:p>
    <w:p>
      <w:pPr>
        <w:pStyle w:val="ListParagraph"/>
        <w:numPr>
          <w:ilvl w:val="0"/>
          <w:numId w:val="5"/>
        </w:numPr>
        <w:tabs>
          <w:tab w:pos="957" w:val="left" w:leader="none"/>
          <w:tab w:pos="959" w:val="left" w:leader="none"/>
        </w:tabs>
        <w:spacing w:line="240" w:lineRule="auto" w:before="21" w:after="0"/>
        <w:ind w:left="958" w:right="0" w:hanging="420"/>
        <w:jc w:val="left"/>
        <w:rPr>
          <w:sz w:val="21"/>
        </w:rPr>
      </w:pPr>
      <w:r>
        <w:rPr>
          <w:spacing w:val="-3"/>
          <w:sz w:val="21"/>
        </w:rPr>
        <w:t>您的有效身份证件。</w:t>
      </w:r>
    </w:p>
    <w:p>
      <w:pPr>
        <w:pStyle w:val="BodyText"/>
        <w:spacing w:line="264" w:lineRule="auto" w:before="21"/>
        <w:ind w:left="117" w:right="214" w:firstLine="420"/>
        <w:jc w:val="both"/>
      </w:pPr>
      <w:r>
        <w:rPr>
          <w:spacing w:val="-9"/>
        </w:rPr>
        <w:t>自我们收到解除合同申请书时起，本附加合同终止。我们自收到解除合同申请书之日起 </w:t>
      </w:r>
      <w:r>
        <w:rPr>
          <w:rFonts w:ascii="Times New Roman" w:eastAsia="Times New Roman"/>
        </w:rPr>
        <w:t>30 </w:t>
      </w:r>
      <w:r>
        <w:rPr>
          <w:spacing w:val="-3"/>
        </w:rPr>
        <w:t>日内向您退还本附加合同的现金价值。这里所提到的现金价值是指本附加合同终止日的现金价值。本附加合同须与主合同同时解除。</w:t>
      </w:r>
    </w:p>
    <w:p>
      <w:pPr>
        <w:spacing w:line="316" w:lineRule="exact" w:before="0"/>
        <w:ind w:left="538" w:right="0" w:firstLine="0"/>
        <w:jc w:val="left"/>
        <w:rPr>
          <w:rFonts w:ascii="微软雅黑" w:eastAsia="微软雅黑" w:hint="eastAsia"/>
          <w:b/>
          <w:sz w:val="21"/>
        </w:rPr>
      </w:pPr>
      <w:r>
        <w:rPr>
          <w:rFonts w:ascii="微软雅黑" w:eastAsia="微软雅黑" w:hint="eastAsia"/>
          <w:b/>
          <w:sz w:val="21"/>
        </w:rPr>
        <w:t>您犹豫期后解除合同会遭受一定损失。</w:t>
      </w:r>
    </w:p>
    <w:p>
      <w:pPr>
        <w:pStyle w:val="BodyText"/>
        <w:rPr>
          <w:rFonts w:ascii="微软雅黑"/>
          <w:b/>
          <w:sz w:val="13"/>
        </w:rPr>
      </w:pPr>
    </w:p>
    <w:p>
      <w:pPr>
        <w:pStyle w:val="Heading1"/>
        <w:tabs>
          <w:tab w:pos="1572" w:val="left" w:leader="none"/>
        </w:tabs>
        <w:ind w:left="314"/>
      </w:pPr>
      <w:bookmarkStart w:name="_bookmark19" w:id="16"/>
      <w:bookmarkEnd w:id="16"/>
      <w:r>
        <w:rPr>
          <w:b w:val="0"/>
        </w:rPr>
      </w:r>
      <w:r>
        <w:rPr/>
        <w:t>第六部分</w:t>
        <w:tab/>
        <w:t>您必须了解的其他事项</w:t>
      </w:r>
    </w:p>
    <w:p>
      <w:pPr>
        <w:pStyle w:val="BodyText"/>
        <w:spacing w:before="4"/>
        <w:rPr>
          <w:rFonts w:ascii="微软雅黑"/>
          <w:b/>
          <w:sz w:val="14"/>
        </w:rPr>
      </w:pPr>
    </w:p>
    <w:p>
      <w:pPr>
        <w:pStyle w:val="Heading2"/>
      </w:pPr>
      <w:r>
        <w:rPr/>
        <w:t>第十五条  保险合同的终止</w:t>
      </w:r>
    </w:p>
    <w:p>
      <w:pPr>
        <w:pStyle w:val="BodyText"/>
        <w:spacing w:before="11"/>
        <w:ind w:left="542"/>
      </w:pPr>
      <w:r>
        <w:rPr/>
        <w:t>除本附加合同另有约定外，本附加合同在发生下列情况之一时自动终止：</w:t>
      </w:r>
    </w:p>
    <w:p>
      <w:pPr>
        <w:pStyle w:val="ListParagraph"/>
        <w:numPr>
          <w:ilvl w:val="0"/>
          <w:numId w:val="6"/>
        </w:numPr>
        <w:tabs>
          <w:tab w:pos="957" w:val="left" w:leader="none"/>
          <w:tab w:pos="959" w:val="left" w:leader="none"/>
        </w:tabs>
        <w:spacing w:line="240" w:lineRule="auto" w:before="37" w:after="0"/>
        <w:ind w:left="958" w:right="0" w:hanging="416"/>
        <w:jc w:val="left"/>
        <w:rPr>
          <w:sz w:val="21"/>
        </w:rPr>
      </w:pPr>
      <w:r>
        <w:rPr>
          <w:spacing w:val="-3"/>
          <w:sz w:val="21"/>
        </w:rPr>
        <w:t>我们已按本附加合同的约定给付四次重大疾病保险金；</w:t>
      </w:r>
    </w:p>
    <w:p>
      <w:pPr>
        <w:pStyle w:val="ListParagraph"/>
        <w:numPr>
          <w:ilvl w:val="0"/>
          <w:numId w:val="6"/>
        </w:numPr>
        <w:tabs>
          <w:tab w:pos="957" w:val="left" w:leader="none"/>
          <w:tab w:pos="959" w:val="left" w:leader="none"/>
        </w:tabs>
        <w:spacing w:line="240" w:lineRule="auto" w:before="21" w:after="0"/>
        <w:ind w:left="958" w:right="0" w:hanging="416"/>
        <w:jc w:val="left"/>
        <w:rPr>
          <w:sz w:val="21"/>
        </w:rPr>
      </w:pPr>
      <w:r>
        <w:rPr>
          <w:spacing w:val="-3"/>
          <w:sz w:val="21"/>
        </w:rPr>
        <w:t>主合同解除或终止；</w:t>
      </w:r>
    </w:p>
    <w:p>
      <w:pPr>
        <w:pStyle w:val="ListParagraph"/>
        <w:numPr>
          <w:ilvl w:val="0"/>
          <w:numId w:val="6"/>
        </w:numPr>
        <w:tabs>
          <w:tab w:pos="957" w:val="left" w:leader="none"/>
          <w:tab w:pos="959" w:val="left" w:leader="none"/>
        </w:tabs>
        <w:spacing w:line="240" w:lineRule="auto" w:before="21" w:after="0"/>
        <w:ind w:left="958" w:right="0" w:hanging="416"/>
        <w:jc w:val="left"/>
        <w:rPr>
          <w:sz w:val="21"/>
        </w:rPr>
      </w:pPr>
      <w:r>
        <w:rPr>
          <w:spacing w:val="-3"/>
          <w:sz w:val="21"/>
        </w:rPr>
        <w:t>本附加合同因其他条款所列情况而终止。</w:t>
      </w:r>
    </w:p>
    <w:p>
      <w:pPr>
        <w:pStyle w:val="BodyText"/>
        <w:spacing w:before="6"/>
        <w:rPr>
          <w:sz w:val="20"/>
        </w:rPr>
      </w:pPr>
      <w:r>
        <w:rPr/>
        <w:pict>
          <v:line style="position:absolute;mso-position-horizontal-relative:page;mso-position-vertical-relative:paragraph;z-index:1216;mso-wrap-distance-left:0;mso-wrap-distance-right:0" from="53.880001pt,15.610233pt" to="197.930001pt,15.610233pt" stroked="true" strokeweight=".48004pt" strokecolor="#000000">
            <v:stroke dashstyle="solid"/>
            <w10:wrap type="topAndBottom"/>
          </v:line>
        </w:pict>
      </w:r>
    </w:p>
    <w:p>
      <w:pPr>
        <w:spacing w:line="255" w:lineRule="exact" w:before="0"/>
        <w:ind w:left="117" w:right="0" w:firstLine="0"/>
        <w:jc w:val="left"/>
        <w:rPr>
          <w:sz w:val="18"/>
        </w:rPr>
      </w:pPr>
      <w:r>
        <w:rPr>
          <w:rFonts w:ascii="Times New Roman" w:eastAsia="Times New Roman"/>
          <w:position w:val="6"/>
          <w:sz w:val="12"/>
        </w:rPr>
        <w:t>15</w:t>
      </w:r>
      <w:r>
        <w:rPr>
          <w:rFonts w:ascii="Microsoft JhengHei" w:eastAsia="Microsoft JhengHei" w:hint="eastAsia"/>
          <w:b/>
          <w:sz w:val="18"/>
        </w:rPr>
        <w:t>有效身份证件：</w:t>
      </w:r>
      <w:r>
        <w:rPr>
          <w:sz w:val="18"/>
        </w:rPr>
        <w:t>指由政府主管部门规定的证明其身份的证件，如居民身份证、军官证、警官证、士兵证等证件。</w:t>
      </w:r>
    </w:p>
    <w:p>
      <w:pPr>
        <w:spacing w:line="263" w:lineRule="exact" w:before="0"/>
        <w:ind w:left="117" w:right="0" w:firstLine="0"/>
        <w:jc w:val="left"/>
        <w:rPr>
          <w:sz w:val="18"/>
        </w:rPr>
      </w:pPr>
      <w:r>
        <w:rPr>
          <w:rFonts w:ascii="Times New Roman" w:eastAsia="Times New Roman"/>
          <w:position w:val="6"/>
          <w:sz w:val="12"/>
        </w:rPr>
        <w:t>16</w:t>
      </w:r>
      <w:r>
        <w:rPr>
          <w:rFonts w:ascii="Microsoft JhengHei" w:eastAsia="Microsoft JhengHei" w:hint="eastAsia"/>
          <w:b/>
          <w:sz w:val="18"/>
        </w:rPr>
        <w:t>无民事行为能力人：</w:t>
      </w:r>
      <w:r>
        <w:rPr>
          <w:sz w:val="18"/>
        </w:rPr>
        <w:t>指不满八周岁的未成年人、八周岁以上不能辨认自己行为的未成年人及不能辨认自己行为的成年人。</w:t>
      </w:r>
    </w:p>
    <w:p>
      <w:pPr>
        <w:spacing w:line="225" w:lineRule="exact" w:before="0"/>
        <w:ind w:left="117" w:right="0" w:firstLine="0"/>
        <w:jc w:val="left"/>
        <w:rPr>
          <w:sz w:val="18"/>
        </w:rPr>
      </w:pPr>
      <w:r>
        <w:rPr>
          <w:sz w:val="18"/>
        </w:rPr>
        <w:t>（根据《中华人民共和国民法总则》第二十条及第二十一条规定）</w:t>
      </w:r>
    </w:p>
    <w:p>
      <w:pPr>
        <w:spacing w:after="0" w:line="225" w:lineRule="exact"/>
        <w:jc w:val="left"/>
        <w:rPr>
          <w:sz w:val="18"/>
        </w:rPr>
        <w:sectPr>
          <w:pgSz w:w="11910" w:h="16840"/>
          <w:pgMar w:header="0" w:footer="785" w:top="1360" w:bottom="980" w:left="960" w:right="700"/>
        </w:sectPr>
      </w:pPr>
    </w:p>
    <w:p>
      <w:pPr>
        <w:pStyle w:val="Heading2"/>
        <w:spacing w:before="38"/>
      </w:pPr>
      <w:r>
        <w:rPr/>
        <w:t>第十六条  重大疾病种类及定义与所属组别</w:t>
      </w:r>
    </w:p>
    <w:p>
      <w:pPr>
        <w:pStyle w:val="BodyText"/>
        <w:spacing w:line="273" w:lineRule="auto" w:before="11"/>
        <w:ind w:left="117" w:right="119" w:firstLine="420"/>
      </w:pPr>
      <w:r>
        <w:rPr/>
        <w:t>本附加合同所保障的重大疾病，是指被保险人经专科医生明确诊断首次发生下列疾病或首次达到下列疾病状态或在医院首次接受下列手术。</w:t>
      </w:r>
    </w:p>
    <w:p>
      <w:pPr>
        <w:pStyle w:val="BodyText"/>
        <w:spacing w:line="256" w:lineRule="auto" w:before="7"/>
        <w:ind w:left="117" w:right="117" w:firstLine="420"/>
      </w:pPr>
      <w:r>
        <w:rPr>
          <w:spacing w:val="-7"/>
        </w:rPr>
        <w:t>本附加合同所保障的重大疾病共 </w:t>
      </w:r>
      <w:r>
        <w:rPr>
          <w:rFonts w:ascii="Times New Roman" w:eastAsia="Times New Roman"/>
        </w:rPr>
        <w:t>80 </w:t>
      </w:r>
      <w:r>
        <w:rPr>
          <w:spacing w:val="-18"/>
        </w:rPr>
        <w:t>种，其中 </w:t>
      </w:r>
      <w:r>
        <w:rPr>
          <w:rFonts w:ascii="Times New Roman" w:eastAsia="Times New Roman"/>
        </w:rPr>
        <w:t>25 </w:t>
      </w:r>
      <w:r>
        <w:rPr>
          <w:spacing w:val="-18"/>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8"/>
        </w:rPr>
        <w:t>日启用的《重大疾病保险的疾病定义</w:t>
      </w:r>
      <w:r>
        <w:rPr>
          <w:spacing w:val="-5"/>
        </w:rPr>
        <w:t>使用规范》中列明的重大疾病，该规范由中国保险行业协会制定，其他为我们增加的重大疾病。</w:t>
      </w:r>
    </w:p>
    <w:p>
      <w:pPr>
        <w:pStyle w:val="BodyText"/>
        <w:spacing w:before="22"/>
        <w:ind w:left="538"/>
      </w:pPr>
      <w:r>
        <w:rPr/>
        <w:t>本附加合同所保障的重大疾病分成四组。</w:t>
      </w:r>
    </w:p>
    <w:p>
      <w:pPr>
        <w:pStyle w:val="BodyText"/>
        <w:spacing w:before="8"/>
        <w:rPr>
          <w:sz w:val="26"/>
        </w:rPr>
      </w:pPr>
    </w:p>
    <w:p>
      <w:pPr>
        <w:pStyle w:val="BodyText"/>
        <w:spacing w:line="256" w:lineRule="auto" w:after="34"/>
        <w:ind w:left="117" w:right="115" w:firstLine="420"/>
      </w:pPr>
      <w:r>
        <w:rPr>
          <w:spacing w:val="-3"/>
        </w:rPr>
        <w:t>一、重大疾病种类及所属组别</w:t>
      </w:r>
      <w:r>
        <w:rPr>
          <w:spacing w:val="-108"/>
        </w:rPr>
        <w:t>（</w:t>
      </w:r>
      <w:r>
        <w:rPr>
          <w:spacing w:val="-4"/>
        </w:rPr>
        <w:t>《重大疾病保险的疾病定义使用规范》中列明的 </w:t>
      </w:r>
      <w:r>
        <w:rPr>
          <w:rFonts w:ascii="Times New Roman" w:eastAsia="Times New Roman"/>
        </w:rPr>
        <w:t>25 </w:t>
      </w:r>
      <w:r>
        <w:rPr>
          <w:spacing w:val="-3"/>
        </w:rPr>
        <w:t>种重大疾病以底纹标注）</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2977"/>
        <w:gridCol w:w="3118"/>
        <w:gridCol w:w="2955"/>
      </w:tblGrid>
      <w:tr>
        <w:trPr>
          <w:trHeight w:val="623" w:hRule="atLeast"/>
        </w:trPr>
        <w:tc>
          <w:tcPr>
            <w:tcW w:w="848"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0"/>
              </w:rPr>
            </w:pPr>
          </w:p>
          <w:p>
            <w:pPr>
              <w:pStyle w:val="TableParagraph"/>
              <w:spacing w:line="316" w:lineRule="auto"/>
              <w:ind w:left="333" w:right="322"/>
              <w:jc w:val="both"/>
              <w:rPr>
                <w:sz w:val="18"/>
              </w:rPr>
            </w:pPr>
            <w:r>
              <w:rPr>
                <w:sz w:val="18"/>
              </w:rPr>
              <w:t>第一组</w:t>
            </w:r>
          </w:p>
          <w:p>
            <w:pPr>
              <w:pStyle w:val="TableParagraph"/>
              <w:spacing w:before="18"/>
              <w:ind w:left="129"/>
              <w:rPr>
                <w:sz w:val="18"/>
              </w:rPr>
            </w:pPr>
            <w:r>
              <w:rPr>
                <w:sz w:val="18"/>
              </w:rPr>
              <w:t>(23 种)</w:t>
            </w:r>
          </w:p>
        </w:tc>
        <w:tc>
          <w:tcPr>
            <w:tcW w:w="2977" w:type="dxa"/>
          </w:tcPr>
          <w:p>
            <w:pPr>
              <w:pStyle w:val="TableParagraph"/>
              <w:spacing w:before="6"/>
              <w:rPr>
                <w:sz w:val="12"/>
              </w:rPr>
            </w:pPr>
          </w:p>
          <w:p>
            <w:pPr>
              <w:pStyle w:val="TableParagraph"/>
              <w:spacing w:before="1"/>
              <w:ind w:left="105"/>
              <w:rPr>
                <w:sz w:val="18"/>
              </w:rPr>
            </w:pPr>
            <w:r>
              <w:rPr>
                <w:sz w:val="18"/>
              </w:rPr>
              <w:t>1.</w:t>
            </w:r>
            <w:r>
              <w:rPr>
                <w:sz w:val="18"/>
                <w:shd w:fill="D9D9D9" w:color="auto" w:val="clear"/>
              </w:rPr>
              <w:t>恶性肿瘤</w:t>
            </w:r>
          </w:p>
        </w:tc>
        <w:tc>
          <w:tcPr>
            <w:tcW w:w="3118" w:type="dxa"/>
          </w:tcPr>
          <w:p>
            <w:pPr>
              <w:pStyle w:val="TableParagraph"/>
              <w:spacing w:before="8"/>
              <w:ind w:left="106"/>
              <w:rPr>
                <w:sz w:val="18"/>
              </w:rPr>
            </w:pPr>
            <w:r>
              <w:rPr>
                <w:sz w:val="18"/>
              </w:rPr>
              <w:t>2.重症急性出血坏死性胰腺炎开腹手</w:t>
            </w:r>
          </w:p>
          <w:p>
            <w:pPr>
              <w:pStyle w:val="TableParagraph"/>
              <w:spacing w:before="76"/>
              <w:ind w:left="106"/>
              <w:rPr>
                <w:sz w:val="18"/>
              </w:rPr>
            </w:pPr>
            <w:r>
              <w:rPr>
                <w:sz w:val="18"/>
              </w:rPr>
              <w:t>术</w:t>
            </w:r>
          </w:p>
        </w:tc>
        <w:tc>
          <w:tcPr>
            <w:tcW w:w="2955" w:type="dxa"/>
          </w:tcPr>
          <w:p>
            <w:pPr>
              <w:pStyle w:val="TableParagraph"/>
              <w:spacing w:before="6"/>
              <w:rPr>
                <w:sz w:val="12"/>
              </w:rPr>
            </w:pPr>
          </w:p>
          <w:p>
            <w:pPr>
              <w:pStyle w:val="TableParagraph"/>
              <w:spacing w:before="1"/>
              <w:ind w:left="107"/>
              <w:rPr>
                <w:sz w:val="18"/>
              </w:rPr>
            </w:pPr>
            <w:r>
              <w:rPr>
                <w:sz w:val="18"/>
              </w:rPr>
              <w:t>3.嗜铬细胞瘤</w:t>
            </w:r>
          </w:p>
        </w:tc>
      </w:tr>
      <w:tr>
        <w:trPr>
          <w:trHeight w:val="626" w:hRule="atLeast"/>
        </w:trPr>
        <w:tc>
          <w:tcPr>
            <w:tcW w:w="848" w:type="dxa"/>
            <w:vMerge/>
            <w:tcBorders>
              <w:top w:val="nil"/>
            </w:tcBorders>
          </w:tcPr>
          <w:p>
            <w:pPr>
              <w:rPr>
                <w:sz w:val="2"/>
                <w:szCs w:val="2"/>
              </w:rPr>
            </w:pPr>
          </w:p>
        </w:tc>
        <w:tc>
          <w:tcPr>
            <w:tcW w:w="2977" w:type="dxa"/>
          </w:tcPr>
          <w:p>
            <w:pPr>
              <w:pStyle w:val="TableParagraph"/>
              <w:spacing w:before="10"/>
              <w:ind w:left="105"/>
              <w:rPr>
                <w:sz w:val="18"/>
              </w:rPr>
            </w:pPr>
            <w:r>
              <w:rPr>
                <w:sz w:val="18"/>
              </w:rPr>
              <w:t>4.</w:t>
            </w:r>
            <w:r>
              <w:rPr>
                <w:sz w:val="18"/>
                <w:shd w:fill="D9D9D9" w:color="auto" w:val="clear"/>
              </w:rPr>
              <w:t>重大器官移植术或造血干细胞移</w:t>
            </w:r>
          </w:p>
          <w:p>
            <w:pPr>
              <w:pStyle w:val="TableParagraph"/>
              <w:spacing w:before="76"/>
              <w:ind w:left="105"/>
              <w:rPr>
                <w:sz w:val="18"/>
              </w:rPr>
            </w:pPr>
            <w:r>
              <w:rPr>
                <w:sz w:val="18"/>
                <w:shd w:fill="D9D9D9" w:color="auto" w:val="clear"/>
              </w:rPr>
              <w:t>植术</w:t>
            </w:r>
          </w:p>
        </w:tc>
        <w:tc>
          <w:tcPr>
            <w:tcW w:w="3118" w:type="dxa"/>
          </w:tcPr>
          <w:p>
            <w:pPr>
              <w:pStyle w:val="TableParagraph"/>
              <w:spacing w:before="9"/>
              <w:rPr>
                <w:sz w:val="12"/>
              </w:rPr>
            </w:pPr>
          </w:p>
          <w:p>
            <w:pPr>
              <w:pStyle w:val="TableParagraph"/>
              <w:spacing w:before="1"/>
              <w:ind w:left="106"/>
              <w:rPr>
                <w:sz w:val="18"/>
              </w:rPr>
            </w:pPr>
            <w:r>
              <w:rPr>
                <w:sz w:val="18"/>
              </w:rPr>
              <w:t>5.严重慢性复发性胰腺炎</w:t>
            </w:r>
          </w:p>
        </w:tc>
        <w:tc>
          <w:tcPr>
            <w:tcW w:w="2955" w:type="dxa"/>
          </w:tcPr>
          <w:p>
            <w:pPr>
              <w:pStyle w:val="TableParagraph"/>
              <w:spacing w:before="9"/>
              <w:rPr>
                <w:sz w:val="12"/>
              </w:rPr>
            </w:pPr>
          </w:p>
          <w:p>
            <w:pPr>
              <w:pStyle w:val="TableParagraph"/>
              <w:spacing w:before="1"/>
              <w:ind w:left="107"/>
              <w:rPr>
                <w:sz w:val="18"/>
              </w:rPr>
            </w:pPr>
            <w:r>
              <w:rPr>
                <w:sz w:val="18"/>
              </w:rPr>
              <w:t>6.严重慢性自身免疫性肝炎</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7.</w:t>
            </w:r>
            <w:r>
              <w:rPr>
                <w:sz w:val="18"/>
                <w:shd w:fill="D9D9D9" w:color="auto" w:val="clear"/>
              </w:rPr>
              <w:t>终末期肾病（或称慢性肾功能衰</w:t>
            </w:r>
          </w:p>
          <w:p>
            <w:pPr>
              <w:pStyle w:val="TableParagraph"/>
              <w:spacing w:before="76"/>
              <w:ind w:left="105"/>
              <w:rPr>
                <w:sz w:val="18"/>
              </w:rPr>
            </w:pPr>
            <w:r>
              <w:rPr>
                <w:sz w:val="18"/>
                <w:shd w:fill="D9D9D9" w:color="auto" w:val="clear"/>
              </w:rPr>
              <w:t>竭尿毒症期）</w:t>
            </w:r>
          </w:p>
        </w:tc>
        <w:tc>
          <w:tcPr>
            <w:tcW w:w="3118" w:type="dxa"/>
          </w:tcPr>
          <w:p>
            <w:pPr>
              <w:pStyle w:val="TableParagraph"/>
              <w:spacing w:before="6"/>
              <w:rPr>
                <w:sz w:val="12"/>
              </w:rPr>
            </w:pPr>
          </w:p>
          <w:p>
            <w:pPr>
              <w:pStyle w:val="TableParagraph"/>
              <w:spacing w:before="1"/>
              <w:ind w:left="106"/>
              <w:rPr>
                <w:sz w:val="18"/>
              </w:rPr>
            </w:pPr>
            <w:r>
              <w:rPr>
                <w:sz w:val="18"/>
              </w:rPr>
              <w:t>8.胰腺移植术</w:t>
            </w:r>
          </w:p>
        </w:tc>
        <w:tc>
          <w:tcPr>
            <w:tcW w:w="2955" w:type="dxa"/>
          </w:tcPr>
          <w:p>
            <w:pPr>
              <w:pStyle w:val="TableParagraph"/>
              <w:spacing w:before="6"/>
              <w:rPr>
                <w:sz w:val="12"/>
              </w:rPr>
            </w:pPr>
          </w:p>
          <w:p>
            <w:pPr>
              <w:pStyle w:val="TableParagraph"/>
              <w:spacing w:before="1"/>
              <w:ind w:left="107"/>
              <w:rPr>
                <w:sz w:val="18"/>
              </w:rPr>
            </w:pPr>
            <w:r>
              <w:rPr>
                <w:sz w:val="18"/>
              </w:rPr>
              <w:t>9.</w:t>
            </w:r>
            <w:r>
              <w:rPr>
                <w:sz w:val="18"/>
                <w:shd w:fill="D9D9D9" w:color="auto" w:val="clear"/>
              </w:rPr>
              <w:t>慢性肝功能衰竭失代偿期</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10.特发性慢性肾上腺皮质功能减</w:t>
            </w:r>
          </w:p>
          <w:p>
            <w:pPr>
              <w:pStyle w:val="TableParagraph"/>
              <w:spacing w:before="76"/>
              <w:ind w:left="105"/>
              <w:rPr>
                <w:sz w:val="18"/>
              </w:rPr>
            </w:pPr>
            <w:r>
              <w:rPr>
                <w:sz w:val="18"/>
              </w:rPr>
              <w:t>退</w:t>
            </w:r>
          </w:p>
        </w:tc>
        <w:tc>
          <w:tcPr>
            <w:tcW w:w="3118" w:type="dxa"/>
          </w:tcPr>
          <w:p>
            <w:pPr>
              <w:pStyle w:val="TableParagraph"/>
              <w:spacing w:before="6"/>
              <w:rPr>
                <w:sz w:val="12"/>
              </w:rPr>
            </w:pPr>
          </w:p>
          <w:p>
            <w:pPr>
              <w:pStyle w:val="TableParagraph"/>
              <w:spacing w:before="1"/>
              <w:ind w:left="106"/>
              <w:rPr>
                <w:sz w:val="18"/>
              </w:rPr>
            </w:pPr>
            <w:r>
              <w:rPr>
                <w:sz w:val="18"/>
              </w:rPr>
              <w:t>11.溶血性尿毒综合征</w:t>
            </w:r>
          </w:p>
        </w:tc>
        <w:tc>
          <w:tcPr>
            <w:tcW w:w="2955" w:type="dxa"/>
          </w:tcPr>
          <w:p>
            <w:pPr>
              <w:pStyle w:val="TableParagraph"/>
              <w:spacing w:before="6"/>
              <w:rPr>
                <w:sz w:val="12"/>
              </w:rPr>
            </w:pPr>
          </w:p>
          <w:p>
            <w:pPr>
              <w:pStyle w:val="TableParagraph"/>
              <w:spacing w:before="1"/>
              <w:ind w:left="107"/>
              <w:rPr>
                <w:sz w:val="18"/>
              </w:rPr>
            </w:pPr>
            <w:r>
              <w:rPr>
                <w:sz w:val="18"/>
              </w:rPr>
              <w:t>12.慢性肺功能衰竭</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13.肾髓质囊性病</w:t>
            </w:r>
          </w:p>
        </w:tc>
        <w:tc>
          <w:tcPr>
            <w:tcW w:w="3118" w:type="dxa"/>
          </w:tcPr>
          <w:p>
            <w:pPr>
              <w:pStyle w:val="TableParagraph"/>
              <w:spacing w:before="8"/>
              <w:ind w:left="106"/>
              <w:rPr>
                <w:sz w:val="18"/>
              </w:rPr>
            </w:pPr>
            <w:r>
              <w:rPr>
                <w:sz w:val="18"/>
              </w:rPr>
              <w:t>14.自体造血干细胞移植</w:t>
            </w:r>
          </w:p>
        </w:tc>
        <w:tc>
          <w:tcPr>
            <w:tcW w:w="2955" w:type="dxa"/>
          </w:tcPr>
          <w:p>
            <w:pPr>
              <w:pStyle w:val="TableParagraph"/>
              <w:spacing w:before="8"/>
              <w:ind w:left="107"/>
              <w:rPr>
                <w:sz w:val="18"/>
              </w:rPr>
            </w:pPr>
            <w:r>
              <w:rPr>
                <w:sz w:val="18"/>
              </w:rPr>
              <w:t>15.严重溃疡性结肠炎</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16.肺淋巴管肌瘤病</w:t>
            </w:r>
          </w:p>
        </w:tc>
        <w:tc>
          <w:tcPr>
            <w:tcW w:w="3118" w:type="dxa"/>
          </w:tcPr>
          <w:p>
            <w:pPr>
              <w:pStyle w:val="TableParagraph"/>
              <w:spacing w:before="8"/>
              <w:ind w:left="106"/>
              <w:rPr>
                <w:sz w:val="18"/>
              </w:rPr>
            </w:pPr>
            <w:r>
              <w:rPr>
                <w:sz w:val="18"/>
              </w:rPr>
              <w:t>17.严重原发性硬化性胆管炎</w:t>
            </w:r>
          </w:p>
        </w:tc>
        <w:tc>
          <w:tcPr>
            <w:tcW w:w="2955" w:type="dxa"/>
          </w:tcPr>
          <w:p>
            <w:pPr>
              <w:pStyle w:val="TableParagraph"/>
              <w:spacing w:before="8"/>
              <w:ind w:left="107"/>
              <w:rPr>
                <w:sz w:val="18"/>
              </w:rPr>
            </w:pPr>
            <w:r>
              <w:rPr>
                <w:sz w:val="18"/>
              </w:rPr>
              <w:t>18.原发性骨髓纤维化</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6"/>
              <w:rPr>
                <w:sz w:val="12"/>
              </w:rPr>
            </w:pPr>
          </w:p>
          <w:p>
            <w:pPr>
              <w:pStyle w:val="TableParagraph"/>
              <w:spacing w:before="1"/>
              <w:ind w:left="105"/>
              <w:rPr>
                <w:sz w:val="18"/>
              </w:rPr>
            </w:pPr>
            <w:r>
              <w:rPr>
                <w:sz w:val="18"/>
              </w:rPr>
              <w:t>19.</w:t>
            </w:r>
            <w:r>
              <w:rPr>
                <w:sz w:val="18"/>
                <w:shd w:fill="D9D9D9" w:color="auto" w:val="clear"/>
              </w:rPr>
              <w:t>重型再生障碍性贫血</w:t>
            </w:r>
          </w:p>
        </w:tc>
        <w:tc>
          <w:tcPr>
            <w:tcW w:w="3118" w:type="dxa"/>
          </w:tcPr>
          <w:p>
            <w:pPr>
              <w:pStyle w:val="TableParagraph"/>
              <w:spacing w:before="6"/>
              <w:rPr>
                <w:sz w:val="12"/>
              </w:rPr>
            </w:pPr>
          </w:p>
          <w:p>
            <w:pPr>
              <w:pStyle w:val="TableParagraph"/>
              <w:spacing w:before="1"/>
              <w:ind w:left="106"/>
              <w:rPr>
                <w:sz w:val="18"/>
              </w:rPr>
            </w:pPr>
            <w:r>
              <w:rPr>
                <w:sz w:val="18"/>
              </w:rPr>
              <w:t>20.Ⅰ型糖尿病严重并发症</w:t>
            </w:r>
          </w:p>
        </w:tc>
        <w:tc>
          <w:tcPr>
            <w:tcW w:w="2955" w:type="dxa"/>
          </w:tcPr>
          <w:p>
            <w:pPr>
              <w:pStyle w:val="TableParagraph"/>
              <w:spacing w:before="8"/>
              <w:ind w:left="107"/>
              <w:rPr>
                <w:sz w:val="18"/>
              </w:rPr>
            </w:pPr>
            <w:r>
              <w:rPr>
                <w:sz w:val="18"/>
              </w:rPr>
              <w:t>21.器官移植致人类免疫缺陷病毒</w:t>
            </w:r>
          </w:p>
          <w:p>
            <w:pPr>
              <w:pStyle w:val="TableParagraph"/>
              <w:spacing w:before="76"/>
              <w:ind w:left="107"/>
              <w:rPr>
                <w:sz w:val="18"/>
              </w:rPr>
            </w:pPr>
            <w:r>
              <w:rPr>
                <w:sz w:val="18"/>
              </w:rPr>
              <w:t>（HIV）感染</w:t>
            </w:r>
          </w:p>
        </w:tc>
      </w:tr>
      <w:tr>
        <w:trPr>
          <w:trHeight w:val="313" w:hRule="atLeast"/>
        </w:trPr>
        <w:tc>
          <w:tcPr>
            <w:tcW w:w="848" w:type="dxa"/>
            <w:vMerge/>
            <w:tcBorders>
              <w:top w:val="nil"/>
            </w:tcBorders>
          </w:tcPr>
          <w:p>
            <w:pPr>
              <w:rPr>
                <w:sz w:val="2"/>
                <w:szCs w:val="2"/>
              </w:rPr>
            </w:pPr>
          </w:p>
        </w:tc>
        <w:tc>
          <w:tcPr>
            <w:tcW w:w="2977" w:type="dxa"/>
          </w:tcPr>
          <w:p>
            <w:pPr>
              <w:pStyle w:val="TableParagraph"/>
              <w:spacing w:before="10"/>
              <w:ind w:left="105"/>
              <w:rPr>
                <w:sz w:val="18"/>
              </w:rPr>
            </w:pPr>
            <w:r>
              <w:rPr>
                <w:sz w:val="18"/>
              </w:rPr>
              <w:t>22.严重甲型及乙型血友病</w:t>
            </w:r>
          </w:p>
        </w:tc>
        <w:tc>
          <w:tcPr>
            <w:tcW w:w="3118" w:type="dxa"/>
          </w:tcPr>
          <w:p>
            <w:pPr>
              <w:pStyle w:val="TableParagraph"/>
              <w:spacing w:before="10"/>
              <w:ind w:left="106"/>
              <w:rPr>
                <w:sz w:val="18"/>
              </w:rPr>
            </w:pPr>
            <w:r>
              <w:rPr>
                <w:sz w:val="18"/>
              </w:rPr>
              <w:t>23.</w:t>
            </w:r>
            <w:r>
              <w:rPr>
                <w:sz w:val="18"/>
                <w:shd w:fill="D9D9D9" w:color="auto" w:val="clear"/>
              </w:rPr>
              <w:t>急性或亚急性重症肝炎</w:t>
            </w:r>
          </w:p>
        </w:tc>
        <w:tc>
          <w:tcPr>
            <w:tcW w:w="2955" w:type="dxa"/>
          </w:tcPr>
          <w:p>
            <w:pPr>
              <w:pStyle w:val="TableParagraph"/>
              <w:rPr>
                <w:rFonts w:ascii="Times New Roman"/>
                <w:sz w:val="18"/>
              </w:rPr>
            </w:pPr>
          </w:p>
        </w:tc>
      </w:tr>
      <w:tr>
        <w:trPr>
          <w:trHeight w:val="311" w:hRule="atLeast"/>
        </w:trPr>
        <w:tc>
          <w:tcPr>
            <w:tcW w:w="848" w:type="dxa"/>
            <w:vMerge w:val="restart"/>
          </w:tcPr>
          <w:p>
            <w:pPr>
              <w:pStyle w:val="TableParagraph"/>
              <w:rPr>
                <w:sz w:val="18"/>
              </w:rPr>
            </w:pPr>
          </w:p>
          <w:p>
            <w:pPr>
              <w:pStyle w:val="TableParagraph"/>
              <w:rPr>
                <w:sz w:val="18"/>
              </w:rPr>
            </w:pPr>
          </w:p>
          <w:p>
            <w:pPr>
              <w:pStyle w:val="TableParagraph"/>
              <w:rPr>
                <w:sz w:val="18"/>
              </w:rPr>
            </w:pPr>
          </w:p>
          <w:p>
            <w:pPr>
              <w:pStyle w:val="TableParagraph"/>
              <w:spacing w:line="316" w:lineRule="auto" w:before="120"/>
              <w:ind w:left="333" w:right="322"/>
              <w:jc w:val="both"/>
              <w:rPr>
                <w:sz w:val="18"/>
              </w:rPr>
            </w:pPr>
            <w:r>
              <w:rPr>
                <w:sz w:val="18"/>
              </w:rPr>
              <w:t>第二组</w:t>
            </w:r>
          </w:p>
          <w:p>
            <w:pPr>
              <w:pStyle w:val="TableParagraph"/>
              <w:spacing w:before="18"/>
              <w:ind w:left="108"/>
              <w:rPr>
                <w:sz w:val="18"/>
              </w:rPr>
            </w:pPr>
            <w:r>
              <w:rPr>
                <w:sz w:val="18"/>
              </w:rPr>
              <w:t>(27 种)</w:t>
            </w:r>
          </w:p>
        </w:tc>
        <w:tc>
          <w:tcPr>
            <w:tcW w:w="2977" w:type="dxa"/>
          </w:tcPr>
          <w:p>
            <w:pPr>
              <w:pStyle w:val="TableParagraph"/>
              <w:spacing w:before="8"/>
              <w:ind w:left="105"/>
              <w:rPr>
                <w:sz w:val="18"/>
              </w:rPr>
            </w:pPr>
            <w:r>
              <w:rPr>
                <w:sz w:val="18"/>
              </w:rPr>
              <w:t>24.</w:t>
            </w:r>
            <w:r>
              <w:rPr>
                <w:sz w:val="18"/>
                <w:shd w:fill="D9D9D9" w:color="auto" w:val="clear"/>
              </w:rPr>
              <w:t>脑中风后遗症</w:t>
            </w:r>
          </w:p>
        </w:tc>
        <w:tc>
          <w:tcPr>
            <w:tcW w:w="3118" w:type="dxa"/>
          </w:tcPr>
          <w:p>
            <w:pPr>
              <w:pStyle w:val="TableParagraph"/>
              <w:spacing w:before="8"/>
              <w:ind w:left="106"/>
              <w:rPr>
                <w:sz w:val="18"/>
              </w:rPr>
            </w:pPr>
            <w:r>
              <w:rPr>
                <w:sz w:val="18"/>
              </w:rPr>
              <w:t>25.</w:t>
            </w:r>
            <w:r>
              <w:rPr>
                <w:sz w:val="18"/>
                <w:shd w:fill="D9D9D9" w:color="auto" w:val="clear"/>
              </w:rPr>
              <w:t>严重脑损伤</w:t>
            </w:r>
          </w:p>
        </w:tc>
        <w:tc>
          <w:tcPr>
            <w:tcW w:w="2955" w:type="dxa"/>
          </w:tcPr>
          <w:p>
            <w:pPr>
              <w:pStyle w:val="TableParagraph"/>
              <w:spacing w:before="8"/>
              <w:ind w:left="107"/>
              <w:rPr>
                <w:sz w:val="18"/>
              </w:rPr>
            </w:pPr>
            <w:r>
              <w:rPr>
                <w:sz w:val="18"/>
              </w:rPr>
              <w:t>26.成骨不全症</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27.</w:t>
            </w:r>
            <w:r>
              <w:rPr>
                <w:sz w:val="18"/>
                <w:shd w:fill="D9D9D9" w:color="auto" w:val="clear"/>
              </w:rPr>
              <w:t>良性脑肿瘤</w:t>
            </w:r>
          </w:p>
        </w:tc>
        <w:tc>
          <w:tcPr>
            <w:tcW w:w="3118" w:type="dxa"/>
          </w:tcPr>
          <w:p>
            <w:pPr>
              <w:pStyle w:val="TableParagraph"/>
              <w:spacing w:before="8"/>
              <w:ind w:left="106"/>
              <w:rPr>
                <w:sz w:val="18"/>
              </w:rPr>
            </w:pPr>
            <w:r>
              <w:rPr>
                <w:sz w:val="18"/>
              </w:rPr>
              <w:t>28.严重全身性重症肌无力</w:t>
            </w:r>
          </w:p>
        </w:tc>
        <w:tc>
          <w:tcPr>
            <w:tcW w:w="2955" w:type="dxa"/>
          </w:tcPr>
          <w:p>
            <w:pPr>
              <w:pStyle w:val="TableParagraph"/>
              <w:spacing w:before="8"/>
              <w:ind w:left="107"/>
              <w:rPr>
                <w:sz w:val="18"/>
              </w:rPr>
            </w:pPr>
            <w:r>
              <w:rPr>
                <w:sz w:val="18"/>
              </w:rPr>
              <w:t>29.进行性核上性麻痹</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30.</w:t>
            </w:r>
            <w:r>
              <w:rPr>
                <w:sz w:val="18"/>
                <w:shd w:fill="D9D9D9" w:color="auto" w:val="clear"/>
              </w:rPr>
              <w:t>脑炎后遗症或脑膜炎后遗症</w:t>
            </w:r>
          </w:p>
        </w:tc>
        <w:tc>
          <w:tcPr>
            <w:tcW w:w="3118" w:type="dxa"/>
          </w:tcPr>
          <w:p>
            <w:pPr>
              <w:pStyle w:val="TableParagraph"/>
              <w:spacing w:before="8"/>
              <w:ind w:left="106"/>
              <w:rPr>
                <w:sz w:val="18"/>
              </w:rPr>
            </w:pPr>
            <w:r>
              <w:rPr>
                <w:sz w:val="18"/>
              </w:rPr>
              <w:t>31.脊髓灰质炎后遗症</w:t>
            </w:r>
          </w:p>
        </w:tc>
        <w:tc>
          <w:tcPr>
            <w:tcW w:w="2955" w:type="dxa"/>
          </w:tcPr>
          <w:p>
            <w:pPr>
              <w:pStyle w:val="TableParagraph"/>
              <w:spacing w:before="8"/>
              <w:ind w:left="107"/>
              <w:rPr>
                <w:sz w:val="18"/>
              </w:rPr>
            </w:pPr>
            <w:r>
              <w:rPr>
                <w:sz w:val="18"/>
              </w:rPr>
              <w:t>32.</w:t>
            </w:r>
            <w:r>
              <w:rPr>
                <w:sz w:val="18"/>
                <w:shd w:fill="D9D9D9" w:color="auto" w:val="clear"/>
              </w:rPr>
              <w:t>深度昏迷</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33.肌营养不良症</w:t>
            </w:r>
          </w:p>
        </w:tc>
        <w:tc>
          <w:tcPr>
            <w:tcW w:w="3118" w:type="dxa"/>
          </w:tcPr>
          <w:p>
            <w:pPr>
              <w:pStyle w:val="TableParagraph"/>
              <w:spacing w:before="8"/>
              <w:ind w:left="106"/>
              <w:rPr>
                <w:sz w:val="18"/>
              </w:rPr>
            </w:pPr>
            <w:r>
              <w:rPr>
                <w:sz w:val="18"/>
              </w:rPr>
              <w:t>34.肾上腺脑白质营养不良</w:t>
            </w:r>
          </w:p>
        </w:tc>
        <w:tc>
          <w:tcPr>
            <w:tcW w:w="2955" w:type="dxa"/>
          </w:tcPr>
          <w:p>
            <w:pPr>
              <w:pStyle w:val="TableParagraph"/>
              <w:spacing w:before="8"/>
              <w:ind w:left="107"/>
              <w:rPr>
                <w:sz w:val="18"/>
              </w:rPr>
            </w:pPr>
            <w:r>
              <w:rPr>
                <w:sz w:val="18"/>
              </w:rPr>
              <w:t>35.</w:t>
            </w:r>
            <w:r>
              <w:rPr>
                <w:sz w:val="18"/>
                <w:shd w:fill="D9D9D9" w:color="auto" w:val="clear"/>
              </w:rPr>
              <w:t>瘫痪</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36.植物人状态</w:t>
            </w:r>
          </w:p>
        </w:tc>
        <w:tc>
          <w:tcPr>
            <w:tcW w:w="3118" w:type="dxa"/>
          </w:tcPr>
          <w:p>
            <w:pPr>
              <w:pStyle w:val="TableParagraph"/>
              <w:spacing w:before="8"/>
              <w:ind w:left="106"/>
              <w:rPr>
                <w:sz w:val="18"/>
              </w:rPr>
            </w:pPr>
            <w:r>
              <w:rPr>
                <w:sz w:val="18"/>
              </w:rPr>
              <w:t>37.结核性脑膜炎</w:t>
            </w:r>
          </w:p>
        </w:tc>
        <w:tc>
          <w:tcPr>
            <w:tcW w:w="2955" w:type="dxa"/>
          </w:tcPr>
          <w:p>
            <w:pPr>
              <w:pStyle w:val="TableParagraph"/>
              <w:spacing w:before="8"/>
              <w:ind w:left="107"/>
              <w:rPr>
                <w:sz w:val="18"/>
              </w:rPr>
            </w:pPr>
            <w:r>
              <w:rPr>
                <w:sz w:val="18"/>
              </w:rPr>
              <w:t>38.</w:t>
            </w:r>
            <w:r>
              <w:rPr>
                <w:sz w:val="18"/>
                <w:shd w:fill="D9D9D9" w:color="auto" w:val="clear"/>
              </w:rPr>
              <w:t>严重帕金森病</w:t>
            </w:r>
          </w:p>
        </w:tc>
      </w:tr>
      <w:tr>
        <w:trPr>
          <w:trHeight w:val="314" w:hRule="atLeast"/>
        </w:trPr>
        <w:tc>
          <w:tcPr>
            <w:tcW w:w="848" w:type="dxa"/>
            <w:vMerge/>
            <w:tcBorders>
              <w:top w:val="nil"/>
            </w:tcBorders>
          </w:tcPr>
          <w:p>
            <w:pPr>
              <w:rPr>
                <w:sz w:val="2"/>
                <w:szCs w:val="2"/>
              </w:rPr>
            </w:pPr>
          </w:p>
        </w:tc>
        <w:tc>
          <w:tcPr>
            <w:tcW w:w="2977" w:type="dxa"/>
          </w:tcPr>
          <w:p>
            <w:pPr>
              <w:pStyle w:val="TableParagraph"/>
              <w:spacing w:before="10"/>
              <w:ind w:left="105"/>
              <w:rPr>
                <w:sz w:val="18"/>
              </w:rPr>
            </w:pPr>
            <w:r>
              <w:rPr>
                <w:sz w:val="18"/>
              </w:rPr>
              <w:t>39.多处臂丛神经根性撕脱</w:t>
            </w:r>
          </w:p>
        </w:tc>
        <w:tc>
          <w:tcPr>
            <w:tcW w:w="3118" w:type="dxa"/>
          </w:tcPr>
          <w:p>
            <w:pPr>
              <w:pStyle w:val="TableParagraph"/>
              <w:spacing w:before="10"/>
              <w:ind w:left="106"/>
              <w:rPr>
                <w:sz w:val="18"/>
              </w:rPr>
            </w:pPr>
            <w:r>
              <w:rPr>
                <w:sz w:val="18"/>
              </w:rPr>
              <w:t>40.</w:t>
            </w:r>
            <w:r>
              <w:rPr>
                <w:sz w:val="18"/>
                <w:shd w:fill="D9D9D9" w:color="auto" w:val="clear"/>
              </w:rPr>
              <w:t>严重运动神经元病</w:t>
            </w:r>
          </w:p>
        </w:tc>
        <w:tc>
          <w:tcPr>
            <w:tcW w:w="2955" w:type="dxa"/>
          </w:tcPr>
          <w:p>
            <w:pPr>
              <w:pStyle w:val="TableParagraph"/>
              <w:spacing w:before="10"/>
              <w:ind w:left="107"/>
              <w:rPr>
                <w:sz w:val="18"/>
              </w:rPr>
            </w:pPr>
            <w:r>
              <w:rPr>
                <w:sz w:val="18"/>
              </w:rPr>
              <w:t>41.克-雅氏病（CJD、人类疯牛病）</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42.因疾病或外伤导致智力缺陷</w:t>
            </w:r>
          </w:p>
        </w:tc>
        <w:tc>
          <w:tcPr>
            <w:tcW w:w="3118" w:type="dxa"/>
          </w:tcPr>
          <w:p>
            <w:pPr>
              <w:pStyle w:val="TableParagraph"/>
              <w:spacing w:before="8"/>
              <w:ind w:left="106"/>
              <w:rPr>
                <w:sz w:val="18"/>
              </w:rPr>
            </w:pPr>
            <w:r>
              <w:rPr>
                <w:sz w:val="18"/>
              </w:rPr>
              <w:t>43.</w:t>
            </w:r>
            <w:r>
              <w:rPr>
                <w:sz w:val="18"/>
                <w:shd w:fill="D9D9D9" w:color="auto" w:val="clear"/>
              </w:rPr>
              <w:t>语言能力丧失</w:t>
            </w:r>
          </w:p>
        </w:tc>
        <w:tc>
          <w:tcPr>
            <w:tcW w:w="2955" w:type="dxa"/>
          </w:tcPr>
          <w:p>
            <w:pPr>
              <w:pStyle w:val="TableParagraph"/>
              <w:spacing w:before="8"/>
              <w:ind w:left="107"/>
              <w:rPr>
                <w:sz w:val="18"/>
              </w:rPr>
            </w:pPr>
            <w:r>
              <w:rPr>
                <w:sz w:val="18"/>
              </w:rPr>
              <w:t>44.神经白塞病</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45.非阿尔茨海默病致严重痴呆</w:t>
            </w:r>
          </w:p>
        </w:tc>
        <w:tc>
          <w:tcPr>
            <w:tcW w:w="3118" w:type="dxa"/>
          </w:tcPr>
          <w:p>
            <w:pPr>
              <w:pStyle w:val="TableParagraph"/>
              <w:spacing w:before="8"/>
              <w:ind w:left="106"/>
              <w:rPr>
                <w:sz w:val="18"/>
              </w:rPr>
            </w:pPr>
            <w:r>
              <w:rPr>
                <w:sz w:val="18"/>
              </w:rPr>
              <w:t>46.严重多发性硬化</w:t>
            </w:r>
          </w:p>
        </w:tc>
        <w:tc>
          <w:tcPr>
            <w:tcW w:w="2955" w:type="dxa"/>
          </w:tcPr>
          <w:p>
            <w:pPr>
              <w:pStyle w:val="TableParagraph"/>
              <w:spacing w:before="8"/>
              <w:ind w:left="107"/>
              <w:rPr>
                <w:sz w:val="18"/>
              </w:rPr>
            </w:pPr>
            <w:r>
              <w:rPr>
                <w:sz w:val="18"/>
              </w:rPr>
              <w:t>47.严重细菌性脑脊髓膜炎</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48.重症手足口病</w:t>
            </w:r>
          </w:p>
        </w:tc>
        <w:tc>
          <w:tcPr>
            <w:tcW w:w="3118" w:type="dxa"/>
          </w:tcPr>
          <w:p>
            <w:pPr>
              <w:pStyle w:val="TableParagraph"/>
              <w:spacing w:before="8"/>
              <w:ind w:left="106"/>
              <w:rPr>
                <w:sz w:val="18"/>
              </w:rPr>
            </w:pPr>
            <w:r>
              <w:rPr>
                <w:sz w:val="18"/>
              </w:rPr>
              <w:t>49.颅脑手术</w:t>
            </w:r>
          </w:p>
        </w:tc>
        <w:tc>
          <w:tcPr>
            <w:tcW w:w="2955" w:type="dxa"/>
          </w:tcPr>
          <w:p>
            <w:pPr>
              <w:pStyle w:val="TableParagraph"/>
              <w:spacing w:before="8"/>
              <w:ind w:left="107"/>
              <w:rPr>
                <w:sz w:val="18"/>
              </w:rPr>
            </w:pPr>
            <w:r>
              <w:rPr>
                <w:sz w:val="18"/>
              </w:rPr>
              <w:t>50.</w:t>
            </w:r>
            <w:r>
              <w:rPr>
                <w:sz w:val="18"/>
                <w:shd w:fill="D9D9D9" w:color="auto" w:val="clear"/>
              </w:rPr>
              <w:t>严重阿尔茨海默病</w:t>
            </w:r>
          </w:p>
        </w:tc>
      </w:tr>
      <w:tr>
        <w:trPr>
          <w:trHeight w:val="311" w:hRule="atLeast"/>
        </w:trPr>
        <w:tc>
          <w:tcPr>
            <w:tcW w:w="848" w:type="dxa"/>
            <w:vMerge w:val="restart"/>
          </w:tcPr>
          <w:p>
            <w:pPr>
              <w:pStyle w:val="TableParagraph"/>
              <w:rPr>
                <w:sz w:val="18"/>
              </w:rPr>
            </w:pPr>
          </w:p>
          <w:p>
            <w:pPr>
              <w:pStyle w:val="TableParagraph"/>
              <w:spacing w:before="5"/>
              <w:rPr>
                <w:sz w:val="20"/>
              </w:rPr>
            </w:pPr>
          </w:p>
          <w:p>
            <w:pPr>
              <w:pStyle w:val="TableParagraph"/>
              <w:spacing w:line="319" w:lineRule="auto"/>
              <w:ind w:left="333" w:right="322"/>
              <w:jc w:val="both"/>
              <w:rPr>
                <w:sz w:val="18"/>
              </w:rPr>
            </w:pPr>
            <w:r>
              <w:rPr>
                <w:sz w:val="18"/>
              </w:rPr>
              <w:t>第三组</w:t>
            </w:r>
          </w:p>
          <w:p>
            <w:pPr>
              <w:pStyle w:val="TableParagraph"/>
              <w:spacing w:before="17"/>
              <w:ind w:left="129"/>
              <w:rPr>
                <w:sz w:val="18"/>
              </w:rPr>
            </w:pPr>
            <w:r>
              <w:rPr>
                <w:sz w:val="18"/>
              </w:rPr>
              <w:t>(17 种)</w:t>
            </w:r>
          </w:p>
        </w:tc>
        <w:tc>
          <w:tcPr>
            <w:tcW w:w="2977" w:type="dxa"/>
          </w:tcPr>
          <w:p>
            <w:pPr>
              <w:pStyle w:val="TableParagraph"/>
              <w:spacing w:before="8"/>
              <w:ind w:left="105"/>
              <w:rPr>
                <w:sz w:val="18"/>
              </w:rPr>
            </w:pPr>
            <w:r>
              <w:rPr>
                <w:sz w:val="18"/>
              </w:rPr>
              <w:t>51.</w:t>
            </w:r>
            <w:r>
              <w:rPr>
                <w:sz w:val="18"/>
                <w:shd w:fill="D9D9D9" w:color="auto" w:val="clear"/>
              </w:rPr>
              <w:t>急性心肌梗塞</w:t>
            </w:r>
          </w:p>
        </w:tc>
        <w:tc>
          <w:tcPr>
            <w:tcW w:w="3118" w:type="dxa"/>
          </w:tcPr>
          <w:p>
            <w:pPr>
              <w:pStyle w:val="TableParagraph"/>
              <w:spacing w:before="8"/>
              <w:ind w:left="106"/>
              <w:rPr>
                <w:sz w:val="18"/>
              </w:rPr>
            </w:pPr>
            <w:r>
              <w:rPr>
                <w:sz w:val="18"/>
              </w:rPr>
              <w:t>52.丝虫感染所致严重象皮病</w:t>
            </w:r>
          </w:p>
        </w:tc>
        <w:tc>
          <w:tcPr>
            <w:tcW w:w="2955" w:type="dxa"/>
          </w:tcPr>
          <w:p>
            <w:pPr>
              <w:pStyle w:val="TableParagraph"/>
              <w:spacing w:before="8"/>
              <w:ind w:left="107"/>
              <w:rPr>
                <w:sz w:val="18"/>
              </w:rPr>
            </w:pPr>
            <w:r>
              <w:rPr>
                <w:sz w:val="18"/>
              </w:rPr>
              <w:t>53.完全性房室传导阻滞</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54.</w:t>
            </w:r>
            <w:r>
              <w:rPr>
                <w:sz w:val="18"/>
                <w:shd w:fill="D9D9D9" w:color="auto" w:val="clear"/>
              </w:rPr>
              <w:t>冠状动脉搭桥术（或称冠状动脉</w:t>
            </w:r>
          </w:p>
          <w:p>
            <w:pPr>
              <w:pStyle w:val="TableParagraph"/>
              <w:spacing w:before="76"/>
              <w:ind w:left="105"/>
              <w:rPr>
                <w:sz w:val="18"/>
              </w:rPr>
            </w:pPr>
            <w:r>
              <w:rPr>
                <w:sz w:val="18"/>
                <w:shd w:fill="D9D9D9" w:color="auto" w:val="clear"/>
              </w:rPr>
              <w:t>旁路移植术）</w:t>
            </w:r>
          </w:p>
        </w:tc>
        <w:tc>
          <w:tcPr>
            <w:tcW w:w="3118" w:type="dxa"/>
          </w:tcPr>
          <w:p>
            <w:pPr>
              <w:pStyle w:val="TableParagraph"/>
              <w:spacing w:before="6"/>
              <w:rPr>
                <w:sz w:val="12"/>
              </w:rPr>
            </w:pPr>
          </w:p>
          <w:p>
            <w:pPr>
              <w:pStyle w:val="TableParagraph"/>
              <w:spacing w:before="1"/>
              <w:ind w:left="106"/>
              <w:rPr>
                <w:sz w:val="18"/>
              </w:rPr>
            </w:pPr>
            <w:r>
              <w:rPr>
                <w:sz w:val="18"/>
              </w:rPr>
              <w:t>55.严重感染性心内膜炎</w:t>
            </w:r>
          </w:p>
        </w:tc>
        <w:tc>
          <w:tcPr>
            <w:tcW w:w="2955" w:type="dxa"/>
          </w:tcPr>
          <w:p>
            <w:pPr>
              <w:pStyle w:val="TableParagraph"/>
              <w:spacing w:before="6"/>
              <w:rPr>
                <w:sz w:val="12"/>
              </w:rPr>
            </w:pPr>
          </w:p>
          <w:p>
            <w:pPr>
              <w:pStyle w:val="TableParagraph"/>
              <w:spacing w:before="1"/>
              <w:ind w:left="107"/>
              <w:rPr>
                <w:sz w:val="18"/>
              </w:rPr>
            </w:pPr>
            <w:r>
              <w:rPr>
                <w:sz w:val="18"/>
              </w:rPr>
              <w:t>56.</w:t>
            </w:r>
            <w:r>
              <w:rPr>
                <w:sz w:val="18"/>
                <w:shd w:fill="D9D9D9" w:color="auto" w:val="clear"/>
              </w:rPr>
              <w:t>心脏瓣膜手术</w:t>
            </w:r>
          </w:p>
        </w:tc>
      </w:tr>
      <w:tr>
        <w:trPr>
          <w:trHeight w:val="313" w:hRule="atLeast"/>
        </w:trPr>
        <w:tc>
          <w:tcPr>
            <w:tcW w:w="848" w:type="dxa"/>
            <w:vMerge/>
            <w:tcBorders>
              <w:top w:val="nil"/>
            </w:tcBorders>
          </w:tcPr>
          <w:p>
            <w:pPr>
              <w:rPr>
                <w:sz w:val="2"/>
                <w:szCs w:val="2"/>
              </w:rPr>
            </w:pPr>
          </w:p>
        </w:tc>
        <w:tc>
          <w:tcPr>
            <w:tcW w:w="2977" w:type="dxa"/>
          </w:tcPr>
          <w:p>
            <w:pPr>
              <w:pStyle w:val="TableParagraph"/>
              <w:spacing w:before="10"/>
              <w:ind w:left="105"/>
              <w:rPr>
                <w:sz w:val="18"/>
              </w:rPr>
            </w:pPr>
            <w:r>
              <w:rPr>
                <w:sz w:val="18"/>
              </w:rPr>
              <w:t>57.严重类风湿性关节炎</w:t>
            </w:r>
          </w:p>
        </w:tc>
        <w:tc>
          <w:tcPr>
            <w:tcW w:w="3118" w:type="dxa"/>
          </w:tcPr>
          <w:p>
            <w:pPr>
              <w:pStyle w:val="TableParagraph"/>
              <w:spacing w:before="10"/>
              <w:ind w:left="106"/>
              <w:rPr>
                <w:sz w:val="18"/>
              </w:rPr>
            </w:pPr>
            <w:r>
              <w:rPr>
                <w:sz w:val="18"/>
              </w:rPr>
              <w:t>58.慢性肺源性心脏病</w:t>
            </w:r>
          </w:p>
        </w:tc>
        <w:tc>
          <w:tcPr>
            <w:tcW w:w="2955" w:type="dxa"/>
          </w:tcPr>
          <w:p>
            <w:pPr>
              <w:pStyle w:val="TableParagraph"/>
              <w:spacing w:before="10"/>
              <w:ind w:left="107"/>
              <w:rPr>
                <w:sz w:val="18"/>
              </w:rPr>
            </w:pPr>
            <w:r>
              <w:rPr>
                <w:sz w:val="18"/>
              </w:rPr>
              <w:t>59.</w:t>
            </w:r>
            <w:r>
              <w:rPr>
                <w:sz w:val="18"/>
                <w:shd w:fill="D9D9D9" w:color="auto" w:val="clear"/>
              </w:rPr>
              <w:t>主动脉手术</w:t>
            </w:r>
          </w:p>
        </w:tc>
      </w:tr>
      <w:tr>
        <w:trPr>
          <w:trHeight w:val="312"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60.严重冠心病</w:t>
            </w:r>
          </w:p>
        </w:tc>
        <w:tc>
          <w:tcPr>
            <w:tcW w:w="3118" w:type="dxa"/>
          </w:tcPr>
          <w:p>
            <w:pPr>
              <w:pStyle w:val="TableParagraph"/>
              <w:spacing w:before="8"/>
              <w:ind w:left="106"/>
              <w:rPr>
                <w:sz w:val="18"/>
              </w:rPr>
            </w:pPr>
            <w:r>
              <w:rPr>
                <w:sz w:val="18"/>
              </w:rPr>
              <w:t>61.严重幼年型类风湿关节炎</w:t>
            </w:r>
          </w:p>
        </w:tc>
        <w:tc>
          <w:tcPr>
            <w:tcW w:w="2955" w:type="dxa"/>
          </w:tcPr>
          <w:p>
            <w:pPr>
              <w:pStyle w:val="TableParagraph"/>
              <w:spacing w:before="8"/>
              <w:ind w:left="107"/>
              <w:rPr>
                <w:sz w:val="18"/>
              </w:rPr>
            </w:pPr>
            <w:r>
              <w:rPr>
                <w:sz w:val="18"/>
              </w:rPr>
              <w:t>62.</w:t>
            </w:r>
            <w:r>
              <w:rPr>
                <w:sz w:val="18"/>
                <w:shd w:fill="D9D9D9" w:color="auto" w:val="clear"/>
              </w:rPr>
              <w:t>严重原发性肺动脉高压</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63.严重心肌炎</w:t>
            </w:r>
          </w:p>
        </w:tc>
        <w:tc>
          <w:tcPr>
            <w:tcW w:w="3118" w:type="dxa"/>
          </w:tcPr>
          <w:p>
            <w:pPr>
              <w:pStyle w:val="TableParagraph"/>
              <w:spacing w:before="8"/>
              <w:ind w:left="106"/>
              <w:rPr>
                <w:sz w:val="18"/>
              </w:rPr>
            </w:pPr>
            <w:r>
              <w:rPr>
                <w:sz w:val="18"/>
              </w:rPr>
              <w:t>64.严重川崎病</w:t>
            </w:r>
          </w:p>
        </w:tc>
        <w:tc>
          <w:tcPr>
            <w:tcW w:w="2955" w:type="dxa"/>
          </w:tcPr>
          <w:p>
            <w:pPr>
              <w:pStyle w:val="TableParagraph"/>
              <w:spacing w:before="8"/>
              <w:ind w:left="107"/>
              <w:rPr>
                <w:sz w:val="18"/>
              </w:rPr>
            </w:pPr>
            <w:r>
              <w:rPr>
                <w:sz w:val="18"/>
              </w:rPr>
              <w:t>65.严重心肌病</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66.严重急性主动脉夹层血肿</w:t>
            </w:r>
          </w:p>
        </w:tc>
        <w:tc>
          <w:tcPr>
            <w:tcW w:w="3118" w:type="dxa"/>
          </w:tcPr>
          <w:p>
            <w:pPr>
              <w:pStyle w:val="TableParagraph"/>
              <w:spacing w:before="8"/>
              <w:ind w:left="106"/>
              <w:rPr>
                <w:sz w:val="18"/>
              </w:rPr>
            </w:pPr>
            <w:r>
              <w:rPr>
                <w:sz w:val="18"/>
              </w:rPr>
              <w:t>67.艾森门格综合征</w:t>
            </w:r>
          </w:p>
        </w:tc>
        <w:tc>
          <w:tcPr>
            <w:tcW w:w="2955" w:type="dxa"/>
          </w:tcPr>
          <w:p>
            <w:pPr>
              <w:pStyle w:val="TableParagraph"/>
              <w:rPr>
                <w:rFonts w:ascii="Times New Roman"/>
                <w:sz w:val="18"/>
              </w:rPr>
            </w:pPr>
          </w:p>
        </w:tc>
      </w:tr>
      <w:tr>
        <w:trPr>
          <w:trHeight w:val="311" w:hRule="atLeast"/>
        </w:trPr>
        <w:tc>
          <w:tcPr>
            <w:tcW w:w="848" w:type="dxa"/>
            <w:vMerge w:val="restart"/>
          </w:tcPr>
          <w:p>
            <w:pPr>
              <w:pStyle w:val="TableParagraph"/>
              <w:spacing w:before="9"/>
              <w:rPr>
                <w:sz w:val="25"/>
              </w:rPr>
            </w:pPr>
          </w:p>
          <w:p>
            <w:pPr>
              <w:pStyle w:val="TableParagraph"/>
              <w:spacing w:line="316" w:lineRule="auto"/>
              <w:ind w:left="333" w:right="322"/>
              <w:jc w:val="both"/>
              <w:rPr>
                <w:sz w:val="18"/>
              </w:rPr>
            </w:pPr>
            <w:r>
              <w:rPr>
                <w:sz w:val="18"/>
              </w:rPr>
              <w:t>第四组</w:t>
            </w:r>
          </w:p>
          <w:p>
            <w:pPr>
              <w:pStyle w:val="TableParagraph"/>
              <w:spacing w:before="18"/>
              <w:ind w:left="129"/>
              <w:rPr>
                <w:sz w:val="18"/>
              </w:rPr>
            </w:pPr>
            <w:r>
              <w:rPr>
                <w:sz w:val="18"/>
              </w:rPr>
              <w:t>(13 种)</w:t>
            </w:r>
          </w:p>
        </w:tc>
        <w:tc>
          <w:tcPr>
            <w:tcW w:w="2977" w:type="dxa"/>
          </w:tcPr>
          <w:p>
            <w:pPr>
              <w:pStyle w:val="TableParagraph"/>
              <w:spacing w:before="8"/>
              <w:ind w:left="105"/>
              <w:rPr>
                <w:sz w:val="18"/>
              </w:rPr>
            </w:pPr>
            <w:r>
              <w:rPr>
                <w:sz w:val="18"/>
              </w:rPr>
              <w:t>68.</w:t>
            </w:r>
            <w:r>
              <w:rPr>
                <w:sz w:val="18"/>
                <w:shd w:fill="D9D9D9" w:color="auto" w:val="clear"/>
              </w:rPr>
              <w:t>严重Ⅲ度烧伤</w:t>
            </w:r>
          </w:p>
        </w:tc>
        <w:tc>
          <w:tcPr>
            <w:tcW w:w="3118" w:type="dxa"/>
          </w:tcPr>
          <w:p>
            <w:pPr>
              <w:pStyle w:val="TableParagraph"/>
              <w:spacing w:before="8"/>
              <w:ind w:left="106"/>
              <w:rPr>
                <w:sz w:val="18"/>
              </w:rPr>
            </w:pPr>
            <w:r>
              <w:rPr>
                <w:sz w:val="18"/>
              </w:rPr>
              <w:t>69. 埃博拉病毒感染</w:t>
            </w:r>
          </w:p>
        </w:tc>
        <w:tc>
          <w:tcPr>
            <w:tcW w:w="2955" w:type="dxa"/>
          </w:tcPr>
          <w:p>
            <w:pPr>
              <w:pStyle w:val="TableParagraph"/>
              <w:spacing w:before="8"/>
              <w:ind w:left="107"/>
              <w:rPr>
                <w:sz w:val="18"/>
              </w:rPr>
            </w:pPr>
            <w:r>
              <w:rPr>
                <w:sz w:val="18"/>
              </w:rPr>
              <w:t>70.</w:t>
            </w:r>
            <w:r>
              <w:rPr>
                <w:sz w:val="18"/>
                <w:shd w:fill="D9D9D9" w:color="auto" w:val="clear"/>
              </w:rPr>
              <w:t>双耳失聪</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6"/>
              <w:rPr>
                <w:sz w:val="12"/>
              </w:rPr>
            </w:pPr>
          </w:p>
          <w:p>
            <w:pPr>
              <w:pStyle w:val="TableParagraph"/>
              <w:spacing w:before="1"/>
              <w:ind w:left="105"/>
              <w:rPr>
                <w:sz w:val="18"/>
              </w:rPr>
            </w:pPr>
            <w:r>
              <w:rPr>
                <w:sz w:val="18"/>
              </w:rPr>
              <w:t>71. 严重肠道疾病并发症</w:t>
            </w:r>
          </w:p>
        </w:tc>
        <w:tc>
          <w:tcPr>
            <w:tcW w:w="3118" w:type="dxa"/>
          </w:tcPr>
          <w:p>
            <w:pPr>
              <w:pStyle w:val="TableParagraph"/>
              <w:spacing w:before="6"/>
              <w:rPr>
                <w:sz w:val="12"/>
              </w:rPr>
            </w:pPr>
          </w:p>
          <w:p>
            <w:pPr>
              <w:pStyle w:val="TableParagraph"/>
              <w:spacing w:before="1"/>
              <w:ind w:left="106"/>
              <w:rPr>
                <w:sz w:val="18"/>
              </w:rPr>
            </w:pPr>
            <w:r>
              <w:rPr>
                <w:sz w:val="18"/>
              </w:rPr>
              <w:t>72.</w:t>
            </w:r>
            <w:r>
              <w:rPr>
                <w:sz w:val="18"/>
                <w:shd w:fill="D9D9D9" w:color="auto" w:val="clear"/>
              </w:rPr>
              <w:t>双目失明</w:t>
            </w:r>
          </w:p>
        </w:tc>
        <w:tc>
          <w:tcPr>
            <w:tcW w:w="2955" w:type="dxa"/>
          </w:tcPr>
          <w:p>
            <w:pPr>
              <w:pStyle w:val="TableParagraph"/>
              <w:spacing w:before="8"/>
              <w:ind w:left="107"/>
              <w:rPr>
                <w:sz w:val="18"/>
              </w:rPr>
            </w:pPr>
            <w:r>
              <w:rPr>
                <w:sz w:val="18"/>
              </w:rPr>
              <w:t>73.输血原因致人类免疫缺陷病毒</w:t>
            </w:r>
          </w:p>
          <w:p>
            <w:pPr>
              <w:pStyle w:val="TableParagraph"/>
              <w:spacing w:before="76"/>
              <w:ind w:left="107"/>
              <w:rPr>
                <w:sz w:val="18"/>
              </w:rPr>
            </w:pPr>
            <w:r>
              <w:rPr>
                <w:sz w:val="18"/>
              </w:rPr>
              <w:t>（HIV）感染</w:t>
            </w:r>
          </w:p>
        </w:tc>
      </w:tr>
      <w:tr>
        <w:trPr>
          <w:trHeight w:val="625" w:hRule="atLeast"/>
        </w:trPr>
        <w:tc>
          <w:tcPr>
            <w:tcW w:w="848" w:type="dxa"/>
            <w:vMerge/>
            <w:tcBorders>
              <w:top w:val="nil"/>
            </w:tcBorders>
          </w:tcPr>
          <w:p>
            <w:pPr>
              <w:rPr>
                <w:sz w:val="2"/>
                <w:szCs w:val="2"/>
              </w:rPr>
            </w:pPr>
          </w:p>
        </w:tc>
        <w:tc>
          <w:tcPr>
            <w:tcW w:w="2977" w:type="dxa"/>
          </w:tcPr>
          <w:p>
            <w:pPr>
              <w:pStyle w:val="TableParagraph"/>
              <w:spacing w:before="9"/>
              <w:rPr>
                <w:sz w:val="12"/>
              </w:rPr>
            </w:pPr>
          </w:p>
          <w:p>
            <w:pPr>
              <w:pStyle w:val="TableParagraph"/>
              <w:ind w:left="105"/>
              <w:rPr>
                <w:sz w:val="18"/>
              </w:rPr>
            </w:pPr>
            <w:r>
              <w:rPr>
                <w:sz w:val="18"/>
              </w:rPr>
              <w:t>74.小肠移植术</w:t>
            </w:r>
          </w:p>
        </w:tc>
        <w:tc>
          <w:tcPr>
            <w:tcW w:w="3118" w:type="dxa"/>
          </w:tcPr>
          <w:p>
            <w:pPr>
              <w:pStyle w:val="TableParagraph"/>
              <w:spacing w:before="9"/>
              <w:rPr>
                <w:sz w:val="12"/>
              </w:rPr>
            </w:pPr>
          </w:p>
          <w:p>
            <w:pPr>
              <w:pStyle w:val="TableParagraph"/>
              <w:ind w:left="106"/>
              <w:rPr>
                <w:sz w:val="18"/>
              </w:rPr>
            </w:pPr>
            <w:r>
              <w:rPr>
                <w:sz w:val="18"/>
              </w:rPr>
              <w:t>75.</w:t>
            </w:r>
            <w:r>
              <w:rPr>
                <w:sz w:val="18"/>
                <w:shd w:fill="D9D9D9" w:color="auto" w:val="clear"/>
              </w:rPr>
              <w:t>多个肢体缺失</w:t>
            </w:r>
          </w:p>
        </w:tc>
        <w:tc>
          <w:tcPr>
            <w:tcW w:w="2955" w:type="dxa"/>
          </w:tcPr>
          <w:p>
            <w:pPr>
              <w:pStyle w:val="TableParagraph"/>
              <w:spacing w:before="10"/>
              <w:ind w:left="107"/>
              <w:rPr>
                <w:sz w:val="18"/>
              </w:rPr>
            </w:pPr>
            <w:r>
              <w:rPr>
                <w:sz w:val="18"/>
              </w:rPr>
              <w:t>76.职业原因致人类免疫缺陷病毒</w:t>
            </w:r>
          </w:p>
          <w:p>
            <w:pPr>
              <w:pStyle w:val="TableParagraph"/>
              <w:spacing w:before="76"/>
              <w:ind w:left="107"/>
              <w:rPr>
                <w:sz w:val="18"/>
              </w:rPr>
            </w:pPr>
            <w:r>
              <w:rPr>
                <w:sz w:val="18"/>
              </w:rPr>
              <w:t>（HIV）感染</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77.失去一肢及一眼</w:t>
            </w:r>
          </w:p>
        </w:tc>
        <w:tc>
          <w:tcPr>
            <w:tcW w:w="3118" w:type="dxa"/>
          </w:tcPr>
          <w:p>
            <w:pPr>
              <w:pStyle w:val="TableParagraph"/>
              <w:spacing w:before="8"/>
              <w:ind w:left="106"/>
              <w:rPr>
                <w:sz w:val="18"/>
              </w:rPr>
            </w:pPr>
            <w:r>
              <w:rPr>
                <w:sz w:val="18"/>
              </w:rPr>
              <w:t>78.严重弥漫性系统性硬皮病</w:t>
            </w:r>
          </w:p>
        </w:tc>
        <w:tc>
          <w:tcPr>
            <w:tcW w:w="2955" w:type="dxa"/>
          </w:tcPr>
          <w:p>
            <w:pPr>
              <w:pStyle w:val="TableParagraph"/>
              <w:spacing w:before="8"/>
              <w:ind w:left="107"/>
              <w:rPr>
                <w:sz w:val="18"/>
              </w:rPr>
            </w:pPr>
            <w:r>
              <w:rPr>
                <w:sz w:val="18"/>
              </w:rPr>
              <w:t>79.溶血性链球菌感染引起的坏疽</w:t>
            </w:r>
          </w:p>
        </w:tc>
      </w:tr>
    </w:tbl>
    <w:p>
      <w:pPr>
        <w:spacing w:after="0"/>
        <w:rPr>
          <w:sz w:val="18"/>
        </w:rPr>
        <w:sectPr>
          <w:pgSz w:w="11910" w:h="16840"/>
          <w:pgMar w:header="0" w:footer="785" w:top="1580" w:bottom="980" w:left="960" w:right="800"/>
        </w:sect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2977"/>
        <w:gridCol w:w="3118"/>
        <w:gridCol w:w="2955"/>
      </w:tblGrid>
      <w:tr>
        <w:trPr>
          <w:trHeight w:val="314" w:hRule="atLeast"/>
        </w:trPr>
        <w:tc>
          <w:tcPr>
            <w:tcW w:w="848" w:type="dxa"/>
          </w:tcPr>
          <w:p>
            <w:pPr>
              <w:pStyle w:val="TableParagraph"/>
              <w:rPr>
                <w:rFonts w:ascii="Times New Roman"/>
                <w:sz w:val="20"/>
              </w:rPr>
            </w:pPr>
          </w:p>
        </w:tc>
        <w:tc>
          <w:tcPr>
            <w:tcW w:w="2977" w:type="dxa"/>
          </w:tcPr>
          <w:p>
            <w:pPr>
              <w:pStyle w:val="TableParagraph"/>
              <w:spacing w:before="10"/>
              <w:ind w:left="105"/>
              <w:rPr>
                <w:sz w:val="18"/>
              </w:rPr>
            </w:pPr>
            <w:r>
              <w:rPr>
                <w:sz w:val="18"/>
              </w:rPr>
              <w:t>80.严重克隆病</w:t>
            </w:r>
          </w:p>
        </w:tc>
        <w:tc>
          <w:tcPr>
            <w:tcW w:w="3118" w:type="dxa"/>
          </w:tcPr>
          <w:p>
            <w:pPr>
              <w:pStyle w:val="TableParagraph"/>
              <w:rPr>
                <w:rFonts w:ascii="Times New Roman"/>
                <w:sz w:val="20"/>
              </w:rPr>
            </w:pPr>
          </w:p>
        </w:tc>
        <w:tc>
          <w:tcPr>
            <w:tcW w:w="2955" w:type="dxa"/>
          </w:tcPr>
          <w:p>
            <w:pPr>
              <w:pStyle w:val="TableParagraph"/>
              <w:rPr>
                <w:rFonts w:ascii="Times New Roman"/>
                <w:sz w:val="20"/>
              </w:rPr>
            </w:pPr>
          </w:p>
        </w:tc>
      </w:tr>
    </w:tbl>
    <w:p>
      <w:pPr>
        <w:pStyle w:val="BodyText"/>
        <w:rPr>
          <w:sz w:val="20"/>
        </w:rPr>
      </w:pPr>
    </w:p>
    <w:p>
      <w:pPr>
        <w:pStyle w:val="BodyText"/>
        <w:spacing w:before="13"/>
        <w:rPr>
          <w:sz w:val="23"/>
        </w:rPr>
      </w:pPr>
    </w:p>
    <w:p>
      <w:pPr>
        <w:pStyle w:val="BodyText"/>
        <w:spacing w:before="36"/>
        <w:ind w:left="538"/>
      </w:pPr>
      <w:r>
        <w:rPr/>
        <w:t>二、重大疾病种类及定义</w:t>
      </w:r>
    </w:p>
    <w:p>
      <w:pPr>
        <w:pStyle w:val="BodyText"/>
        <w:spacing w:before="9"/>
        <w:rPr>
          <w:sz w:val="7"/>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946"/>
        <w:gridCol w:w="7484"/>
      </w:tblGrid>
      <w:tr>
        <w:trPr>
          <w:trHeight w:val="3538" w:hRule="atLeast"/>
        </w:trPr>
        <w:tc>
          <w:tcPr>
            <w:tcW w:w="420" w:type="dxa"/>
          </w:tcPr>
          <w:p>
            <w:pPr>
              <w:pStyle w:val="TableParagraph"/>
              <w:spacing w:line="238" w:lineRule="exact"/>
              <w:ind w:right="106"/>
              <w:jc w:val="right"/>
              <w:rPr>
                <w:rFonts w:ascii="Calibri"/>
                <w:sz w:val="22"/>
              </w:rPr>
            </w:pPr>
            <w:r>
              <w:rPr>
                <w:rFonts w:ascii="Calibri"/>
                <w:w w:val="100"/>
                <w:sz w:val="22"/>
              </w:rPr>
              <w:t>1</w:t>
            </w:r>
          </w:p>
        </w:tc>
        <w:tc>
          <w:tcPr>
            <w:tcW w:w="1946" w:type="dxa"/>
          </w:tcPr>
          <w:p>
            <w:pPr>
              <w:pStyle w:val="TableParagraph"/>
              <w:spacing w:line="236" w:lineRule="exact"/>
              <w:ind w:left="108"/>
              <w:rPr>
                <w:rFonts w:ascii="微软雅黑" w:eastAsia="微软雅黑" w:hint="eastAsia"/>
                <w:b/>
                <w:sz w:val="21"/>
              </w:rPr>
            </w:pPr>
            <w:r>
              <w:rPr>
                <w:rFonts w:ascii="微软雅黑" w:eastAsia="微软雅黑" w:hint="eastAsia"/>
                <w:b/>
                <w:sz w:val="21"/>
              </w:rPr>
              <w:t>恶性肿瘤</w:t>
            </w:r>
          </w:p>
        </w:tc>
        <w:tc>
          <w:tcPr>
            <w:tcW w:w="7484" w:type="dxa"/>
          </w:tcPr>
          <w:p>
            <w:pPr>
              <w:pStyle w:val="TableParagraph"/>
              <w:spacing w:line="211" w:lineRule="exact"/>
              <w:ind w:left="148"/>
              <w:rPr>
                <w:sz w:val="21"/>
              </w:rPr>
            </w:pPr>
            <w:r>
              <w:rPr>
                <w:sz w:val="21"/>
              </w:rPr>
              <w:t>指恶性细胞不受控制的进行性增长和扩散，浸润和破坏周围正常组织，可以经</w:t>
            </w:r>
          </w:p>
          <w:p>
            <w:pPr>
              <w:pStyle w:val="TableParagraph"/>
              <w:spacing w:line="273" w:lineRule="auto" w:before="37"/>
              <w:ind w:left="148" w:right="157"/>
              <w:rPr>
                <w:sz w:val="21"/>
              </w:rPr>
            </w:pPr>
            <w:r>
              <w:rPr>
                <w:sz w:val="21"/>
              </w:rPr>
              <w:t>血管、淋巴管和体腔扩散转移到身体其它部位的疾病。经病理学检查结果明确诊断，临床诊断属于世界卫生组织《疾病和有关健康问题的国际统计分类》</w:t>
            </w:r>
          </w:p>
          <w:p>
            <w:pPr>
              <w:pStyle w:val="TableParagraph"/>
              <w:spacing w:line="262" w:lineRule="exact" w:before="7"/>
              <w:ind w:left="148"/>
              <w:rPr>
                <w:sz w:val="21"/>
              </w:rPr>
            </w:pPr>
            <w:r>
              <w:rPr>
                <w:sz w:val="21"/>
              </w:rPr>
              <w:t>（ICD-10）的恶性肿瘤范畴。</w:t>
            </w:r>
          </w:p>
          <w:p>
            <w:pPr>
              <w:pStyle w:val="TableParagraph"/>
              <w:spacing w:line="325" w:lineRule="exact"/>
              <w:ind w:left="148"/>
              <w:rPr>
                <w:rFonts w:ascii="微软雅黑" w:eastAsia="微软雅黑" w:hint="eastAsia"/>
                <w:b/>
                <w:sz w:val="21"/>
              </w:rPr>
            </w:pPr>
            <w:r>
              <w:rPr>
                <w:rFonts w:ascii="微软雅黑" w:eastAsia="微软雅黑" w:hint="eastAsia"/>
                <w:b/>
                <w:sz w:val="21"/>
                <w:shd w:fill="D9D9D9" w:color="auto" w:val="clear"/>
              </w:rPr>
              <w:t>下列疾病不在本合同保障范围内：</w:t>
            </w:r>
          </w:p>
          <w:p>
            <w:pPr>
              <w:pStyle w:val="TableParagraph"/>
              <w:spacing w:line="312" w:lineRule="exact"/>
              <w:ind w:left="148"/>
              <w:rPr>
                <w:rFonts w:ascii="微软雅黑" w:eastAsia="微软雅黑" w:hint="eastAsia"/>
                <w:b/>
                <w:sz w:val="21"/>
              </w:rPr>
            </w:pPr>
            <w:r>
              <w:rPr>
                <w:rFonts w:ascii="微软雅黑" w:eastAsia="微软雅黑" w:hint="eastAsia"/>
                <w:b/>
                <w:w w:val="95"/>
                <w:sz w:val="21"/>
                <w:shd w:fill="D9D9D9" w:color="auto" w:val="clear"/>
              </w:rPr>
              <w:t>（1）原位癌；</w:t>
            </w:r>
          </w:p>
          <w:p>
            <w:pPr>
              <w:pStyle w:val="TableParagraph"/>
              <w:spacing w:line="312" w:lineRule="exact"/>
              <w:ind w:left="148"/>
              <w:rPr>
                <w:rFonts w:ascii="微软雅黑" w:eastAsia="微软雅黑" w:hint="eastAsia"/>
                <w:b/>
                <w:sz w:val="21"/>
              </w:rPr>
            </w:pPr>
            <w:r>
              <w:rPr>
                <w:rFonts w:ascii="微软雅黑" w:eastAsia="微软雅黑" w:hint="eastAsia"/>
                <w:b/>
                <w:sz w:val="21"/>
                <w:shd w:fill="D9D9D9" w:color="auto" w:val="clear"/>
              </w:rPr>
              <w:t>（2）相当于 Binet 分期方案 A 期程度的慢性淋巴细胞白血病；</w:t>
            </w:r>
          </w:p>
          <w:p>
            <w:pPr>
              <w:pStyle w:val="TableParagraph"/>
              <w:spacing w:line="312" w:lineRule="exact"/>
              <w:ind w:left="148"/>
              <w:rPr>
                <w:rFonts w:ascii="微软雅黑" w:eastAsia="微软雅黑" w:hint="eastAsia"/>
                <w:b/>
                <w:sz w:val="21"/>
              </w:rPr>
            </w:pPr>
            <w:r>
              <w:rPr>
                <w:rFonts w:ascii="微软雅黑" w:eastAsia="微软雅黑" w:hint="eastAsia"/>
                <w:b/>
                <w:sz w:val="21"/>
                <w:shd w:fill="D9D9D9" w:color="auto" w:val="clear"/>
              </w:rPr>
              <w:t>（3）</w:t>
            </w:r>
            <w:r>
              <w:rPr>
                <w:rFonts w:ascii="微软雅黑" w:eastAsia="微软雅黑" w:hint="eastAsia"/>
                <w:b/>
                <w:spacing w:val="-10"/>
                <w:sz w:val="21"/>
                <w:shd w:fill="D9D9D9" w:color="auto" w:val="clear"/>
              </w:rPr>
              <w:t>相当于 </w:t>
            </w:r>
            <w:r>
              <w:rPr>
                <w:rFonts w:ascii="微软雅黑" w:eastAsia="微软雅黑" w:hint="eastAsia"/>
                <w:b/>
                <w:sz w:val="21"/>
                <w:shd w:fill="D9D9D9" w:color="auto" w:val="clear"/>
              </w:rPr>
              <w:t>Ann Arbor</w:t>
            </w:r>
            <w:r>
              <w:rPr>
                <w:rFonts w:ascii="微软雅黑" w:eastAsia="微软雅黑" w:hint="eastAsia"/>
                <w:b/>
                <w:spacing w:val="-15"/>
                <w:sz w:val="21"/>
                <w:shd w:fill="D9D9D9" w:color="auto" w:val="clear"/>
              </w:rPr>
              <w:t> 分期方案 </w:t>
            </w:r>
            <w:r>
              <w:rPr>
                <w:rFonts w:ascii="微软雅黑" w:eastAsia="微软雅黑" w:hint="eastAsia"/>
                <w:b/>
                <w:w w:val="120"/>
                <w:sz w:val="21"/>
                <w:shd w:fill="D9D9D9" w:color="auto" w:val="clear"/>
              </w:rPr>
              <w:t>I</w:t>
            </w:r>
            <w:r>
              <w:rPr>
                <w:rFonts w:ascii="微软雅黑" w:eastAsia="微软雅黑" w:hint="eastAsia"/>
                <w:b/>
                <w:spacing w:val="-53"/>
                <w:w w:val="120"/>
                <w:sz w:val="21"/>
                <w:shd w:fill="D9D9D9" w:color="auto" w:val="clear"/>
              </w:rPr>
              <w:t> </w:t>
            </w:r>
            <w:r>
              <w:rPr>
                <w:rFonts w:ascii="微软雅黑" w:eastAsia="微软雅黑" w:hint="eastAsia"/>
                <w:b/>
                <w:spacing w:val="-1"/>
                <w:sz w:val="21"/>
                <w:shd w:fill="D9D9D9" w:color="auto" w:val="clear"/>
              </w:rPr>
              <w:t>期程度的何杰金氏病；</w:t>
            </w:r>
          </w:p>
          <w:p>
            <w:pPr>
              <w:pStyle w:val="TableParagraph"/>
              <w:spacing w:line="305" w:lineRule="exact"/>
              <w:ind w:left="148"/>
              <w:rPr>
                <w:rFonts w:ascii="微软雅黑" w:eastAsia="微软雅黑" w:hint="eastAsia"/>
                <w:b/>
                <w:sz w:val="21"/>
              </w:rPr>
            </w:pPr>
            <w:r>
              <w:rPr>
                <w:rFonts w:ascii="微软雅黑" w:eastAsia="微软雅黑" w:hint="eastAsia"/>
                <w:b/>
                <w:w w:val="100"/>
                <w:sz w:val="21"/>
                <w:shd w:fill="D9D9D9" w:color="auto" w:val="clear"/>
              </w:rPr>
              <w:t>（</w:t>
            </w:r>
            <w:r>
              <w:rPr>
                <w:rFonts w:ascii="微软雅黑" w:eastAsia="微软雅黑" w:hint="eastAsia"/>
                <w:b/>
                <w:w w:val="81"/>
                <w:sz w:val="21"/>
                <w:shd w:fill="D9D9D9" w:color="auto" w:val="clear"/>
              </w:rPr>
              <w:t>4</w:t>
            </w:r>
            <w:r>
              <w:rPr>
                <w:rFonts w:ascii="微软雅黑" w:eastAsia="微软雅黑" w:hint="eastAsia"/>
                <w:b/>
                <w:w w:val="100"/>
                <w:sz w:val="21"/>
                <w:shd w:fill="D9D9D9" w:color="auto" w:val="clear"/>
              </w:rPr>
              <w:t>）皮肤癌（</w:t>
            </w:r>
            <w:r>
              <w:rPr>
                <w:rFonts w:ascii="微软雅黑" w:eastAsia="微软雅黑" w:hint="eastAsia"/>
                <w:b/>
                <w:spacing w:val="-3"/>
                <w:w w:val="100"/>
                <w:sz w:val="21"/>
                <w:shd w:fill="D9D9D9" w:color="auto" w:val="clear"/>
              </w:rPr>
              <w:t>不包括恶性黑色素瘤及已发生转移的皮肤癌</w:t>
            </w:r>
            <w:r>
              <w:rPr>
                <w:rFonts w:ascii="微软雅黑" w:eastAsia="微软雅黑" w:hint="eastAsia"/>
                <w:b/>
                <w:spacing w:val="-106"/>
                <w:w w:val="100"/>
                <w:sz w:val="21"/>
                <w:shd w:fill="D9D9D9" w:color="auto" w:val="clear"/>
              </w:rPr>
              <w:t>）</w:t>
            </w:r>
            <w:r>
              <w:rPr>
                <w:rFonts w:ascii="微软雅黑" w:eastAsia="微软雅黑" w:hint="eastAsia"/>
                <w:b/>
                <w:w w:val="100"/>
                <w:sz w:val="21"/>
                <w:shd w:fill="D9D9D9" w:color="auto" w:val="clear"/>
              </w:rPr>
              <w:t>；</w:t>
            </w:r>
          </w:p>
          <w:p>
            <w:pPr>
              <w:pStyle w:val="TableParagraph"/>
              <w:spacing w:line="321" w:lineRule="exact"/>
              <w:ind w:left="148"/>
              <w:rPr>
                <w:rFonts w:ascii="微软雅黑" w:eastAsia="微软雅黑" w:hint="eastAsia"/>
                <w:b/>
                <w:sz w:val="21"/>
              </w:rPr>
            </w:pPr>
            <w:r>
              <w:rPr>
                <w:rFonts w:ascii="微软雅黑" w:eastAsia="微软雅黑" w:hint="eastAsia"/>
                <w:b/>
                <w:w w:val="100"/>
                <w:position w:val="1"/>
                <w:sz w:val="21"/>
                <w:shd w:fill="D9D9D9" w:color="auto" w:val="clear"/>
              </w:rPr>
              <w:t>（</w:t>
            </w:r>
            <w:r>
              <w:rPr>
                <w:rFonts w:ascii="微软雅黑" w:eastAsia="微软雅黑" w:hint="eastAsia"/>
                <w:b/>
                <w:w w:val="81"/>
                <w:position w:val="1"/>
                <w:sz w:val="21"/>
                <w:shd w:fill="D9D9D9" w:color="auto" w:val="clear"/>
              </w:rPr>
              <w:t>5</w:t>
            </w:r>
            <w:r>
              <w:rPr>
                <w:rFonts w:ascii="微软雅黑" w:eastAsia="微软雅黑" w:hint="eastAsia"/>
                <w:b/>
                <w:w w:val="100"/>
                <w:position w:val="1"/>
                <w:sz w:val="21"/>
                <w:shd w:fill="D9D9D9" w:color="auto" w:val="clear"/>
              </w:rPr>
              <w:t>）</w:t>
            </w:r>
            <w:r>
              <w:rPr>
                <w:rFonts w:ascii="微软雅黑" w:eastAsia="微软雅黑" w:hint="eastAsia"/>
                <w:b/>
                <w:w w:val="65"/>
                <w:position w:val="1"/>
                <w:sz w:val="22"/>
                <w:shd w:fill="D9D9D9" w:color="auto" w:val="clear"/>
              </w:rPr>
              <w:t>TN</w:t>
            </w:r>
            <w:r>
              <w:rPr>
                <w:rFonts w:ascii="微软雅黑" w:eastAsia="微软雅黑" w:hint="eastAsia"/>
                <w:b/>
                <w:w w:val="46"/>
                <w:position w:val="1"/>
                <w:sz w:val="22"/>
                <w:shd w:fill="D9D9D9" w:color="auto" w:val="clear"/>
              </w:rPr>
              <w:t>M</w:t>
            </w:r>
            <w:r>
              <w:rPr>
                <w:rFonts w:ascii="微软雅黑" w:eastAsia="微软雅黑" w:hint="eastAsia"/>
                <w:b/>
                <w:spacing w:val="-13"/>
                <w:position w:val="1"/>
                <w:sz w:val="22"/>
                <w:shd w:fill="D9D9D9" w:color="auto" w:val="clear"/>
              </w:rPr>
              <w:t> </w:t>
            </w:r>
            <w:r>
              <w:rPr>
                <w:rFonts w:ascii="微软雅黑" w:eastAsia="微软雅黑" w:hint="eastAsia"/>
                <w:b/>
                <w:w w:val="100"/>
                <w:position w:val="1"/>
                <w:sz w:val="21"/>
                <w:shd w:fill="D9D9D9" w:color="auto" w:val="clear"/>
              </w:rPr>
              <w:t>分期为</w:t>
            </w:r>
            <w:r>
              <w:rPr>
                <w:rFonts w:ascii="微软雅黑" w:eastAsia="微软雅黑" w:hint="eastAsia"/>
                <w:b/>
                <w:spacing w:val="-10"/>
                <w:position w:val="1"/>
                <w:sz w:val="21"/>
                <w:shd w:fill="D9D9D9" w:color="auto" w:val="clear"/>
              </w:rPr>
              <w:t> </w:t>
            </w:r>
            <w:r>
              <w:rPr>
                <w:rFonts w:ascii="微软雅黑" w:eastAsia="微软雅黑" w:hint="eastAsia"/>
                <w:b/>
                <w:w w:val="76"/>
                <w:position w:val="1"/>
                <w:sz w:val="22"/>
                <w:shd w:fill="D9D9D9" w:color="auto" w:val="clear"/>
              </w:rPr>
              <w:t>T</w:t>
            </w:r>
            <w:r>
              <w:rPr>
                <w:rFonts w:ascii="微软雅黑" w:eastAsia="微软雅黑" w:hint="eastAsia"/>
                <w:b/>
                <w:w w:val="81"/>
                <w:sz w:val="11"/>
              </w:rPr>
              <w:t>1</w:t>
            </w:r>
            <w:r>
              <w:rPr>
                <w:rFonts w:ascii="微软雅黑" w:eastAsia="微软雅黑" w:hint="eastAsia"/>
                <w:b/>
                <w:w w:val="56"/>
                <w:position w:val="1"/>
                <w:sz w:val="22"/>
                <w:shd w:fill="D9D9D9" w:color="auto" w:val="clear"/>
              </w:rPr>
              <w:t>N</w:t>
            </w:r>
            <w:r>
              <w:rPr>
                <w:rFonts w:ascii="微软雅黑" w:eastAsia="微软雅黑" w:hint="eastAsia"/>
                <w:b/>
                <w:w w:val="81"/>
                <w:sz w:val="11"/>
              </w:rPr>
              <w:t>0</w:t>
            </w:r>
            <w:r>
              <w:rPr>
                <w:rFonts w:ascii="微软雅黑" w:eastAsia="微软雅黑" w:hint="eastAsia"/>
                <w:b/>
                <w:w w:val="46"/>
                <w:position w:val="1"/>
                <w:sz w:val="22"/>
                <w:shd w:fill="D9D9D9" w:color="auto" w:val="clear"/>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100"/>
                <w:position w:val="1"/>
                <w:sz w:val="21"/>
                <w:shd w:fill="D9D9D9" w:color="auto" w:val="clear"/>
              </w:rPr>
              <w:t>期或更轻分期的前列腺癌；</w:t>
            </w:r>
          </w:p>
          <w:p>
            <w:pPr>
              <w:pStyle w:val="TableParagraph"/>
              <w:spacing w:line="336" w:lineRule="exact"/>
              <w:ind w:left="148"/>
              <w:rPr>
                <w:rFonts w:ascii="微软雅黑" w:eastAsia="微软雅黑" w:hint="eastAsia"/>
                <w:b/>
                <w:sz w:val="21"/>
              </w:rPr>
            </w:pPr>
            <w:r>
              <w:rPr>
                <w:rFonts w:ascii="微软雅黑" w:eastAsia="微软雅黑" w:hint="eastAsia"/>
                <w:b/>
                <w:sz w:val="21"/>
                <w:shd w:fill="D9D9D9" w:color="auto" w:val="clear"/>
              </w:rPr>
              <w:t>（6）感染艾滋病病毒或患艾滋病期间所患恶性肿瘤。</w:t>
            </w:r>
          </w:p>
        </w:tc>
      </w:tr>
      <w:tr>
        <w:trPr>
          <w:trHeight w:val="1559" w:hRule="atLeast"/>
        </w:trPr>
        <w:tc>
          <w:tcPr>
            <w:tcW w:w="420" w:type="dxa"/>
          </w:tcPr>
          <w:p>
            <w:pPr>
              <w:pStyle w:val="TableParagraph"/>
              <w:spacing w:before="176"/>
              <w:ind w:right="106"/>
              <w:jc w:val="right"/>
              <w:rPr>
                <w:rFonts w:ascii="Calibri"/>
                <w:sz w:val="22"/>
              </w:rPr>
            </w:pPr>
            <w:r>
              <w:rPr>
                <w:rFonts w:ascii="Calibri"/>
                <w:w w:val="100"/>
                <w:sz w:val="22"/>
              </w:rPr>
              <w:t>2</w:t>
            </w:r>
          </w:p>
        </w:tc>
        <w:tc>
          <w:tcPr>
            <w:tcW w:w="1946" w:type="dxa"/>
          </w:tcPr>
          <w:p>
            <w:pPr>
              <w:pStyle w:val="TableParagraph"/>
              <w:spacing w:line="206" w:lineRule="auto" w:before="131"/>
              <w:ind w:left="108" w:right="145"/>
              <w:rPr>
                <w:rFonts w:ascii="微软雅黑" w:eastAsia="微软雅黑" w:hint="eastAsia"/>
                <w:b/>
                <w:sz w:val="21"/>
              </w:rPr>
            </w:pPr>
            <w:r>
              <w:rPr>
                <w:rFonts w:ascii="微软雅黑" w:eastAsia="微软雅黑" w:hint="eastAsia"/>
                <w:b/>
                <w:sz w:val="21"/>
              </w:rPr>
              <w:t>重症急性出血坏死性胰腺炎开腹手术</w:t>
            </w:r>
          </w:p>
        </w:tc>
        <w:tc>
          <w:tcPr>
            <w:tcW w:w="7484" w:type="dxa"/>
          </w:tcPr>
          <w:p>
            <w:pPr>
              <w:pStyle w:val="TableParagraph"/>
              <w:spacing w:line="273" w:lineRule="auto" w:before="142"/>
              <w:ind w:left="148" w:right="159"/>
              <w:rPr>
                <w:sz w:val="21"/>
              </w:rPr>
            </w:pPr>
            <w:r>
              <w:rPr>
                <w:sz w:val="21"/>
              </w:rPr>
              <w:t>指被保险人被确诊为重症急性出血坏死性胰腺炎，并实际接受了外科剖腹直视手术治疗，进行坏死组织清除、坏死病灶切除或胰腺切除。</w:t>
            </w:r>
          </w:p>
          <w:p>
            <w:pPr>
              <w:pStyle w:val="TableParagraph"/>
              <w:spacing w:line="206" w:lineRule="auto"/>
              <w:ind w:left="148" w:right="178"/>
              <w:rPr>
                <w:rFonts w:ascii="微软雅黑" w:eastAsia="微软雅黑" w:hint="eastAsia"/>
                <w:b/>
                <w:sz w:val="21"/>
              </w:rPr>
            </w:pPr>
            <w:r>
              <w:rPr>
                <w:rFonts w:ascii="微软雅黑" w:eastAsia="微软雅黑" w:hint="eastAsia"/>
                <w:b/>
                <w:sz w:val="21"/>
                <w:shd w:fill="D9D9D9" w:color="auto" w:val="clear"/>
              </w:rPr>
              <w:t>腹腔镜手术治疗、因酗酒或饮酒过量所致的急性坏死性胰腺炎不在本保障范围内。</w:t>
            </w:r>
          </w:p>
        </w:tc>
      </w:tr>
      <w:tr>
        <w:trPr>
          <w:trHeight w:val="1560" w:hRule="atLeast"/>
        </w:trPr>
        <w:tc>
          <w:tcPr>
            <w:tcW w:w="420" w:type="dxa"/>
          </w:tcPr>
          <w:p>
            <w:pPr>
              <w:pStyle w:val="TableParagraph"/>
              <w:spacing w:before="176"/>
              <w:ind w:right="106"/>
              <w:jc w:val="right"/>
              <w:rPr>
                <w:rFonts w:ascii="Calibri"/>
                <w:sz w:val="22"/>
              </w:rPr>
            </w:pPr>
            <w:r>
              <w:rPr>
                <w:rFonts w:ascii="Calibri"/>
                <w:w w:val="100"/>
                <w:sz w:val="22"/>
              </w:rPr>
              <w:t>3</w:t>
            </w:r>
          </w:p>
        </w:tc>
        <w:tc>
          <w:tcPr>
            <w:tcW w:w="1946" w:type="dxa"/>
          </w:tcPr>
          <w:p>
            <w:pPr>
              <w:pStyle w:val="TableParagraph"/>
              <w:spacing w:before="80"/>
              <w:ind w:left="108"/>
              <w:rPr>
                <w:rFonts w:ascii="微软雅黑" w:eastAsia="微软雅黑" w:hint="eastAsia"/>
                <w:b/>
                <w:sz w:val="21"/>
              </w:rPr>
            </w:pPr>
            <w:r>
              <w:rPr>
                <w:rFonts w:ascii="微软雅黑" w:eastAsia="微软雅黑" w:hint="eastAsia"/>
                <w:b/>
                <w:sz w:val="21"/>
              </w:rPr>
              <w:t>嗜铬细胞瘤</w:t>
            </w:r>
          </w:p>
        </w:tc>
        <w:tc>
          <w:tcPr>
            <w:tcW w:w="7484" w:type="dxa"/>
          </w:tcPr>
          <w:p>
            <w:pPr>
              <w:pStyle w:val="TableParagraph"/>
              <w:spacing w:line="273" w:lineRule="auto" w:before="142"/>
              <w:ind w:left="148" w:right="201"/>
              <w:rPr>
                <w:sz w:val="21"/>
              </w:rPr>
            </w:pPr>
            <w:r>
              <w:rPr>
                <w:sz w:val="21"/>
              </w:rPr>
              <w:t>指发生在肾上腺或肾上腺外嗜铬组织的以分泌过多的儿茶酚胺为表现的神经内分泌肿瘤。嗜铬细胞瘤必须明确诊断，并且满足下列所有条件：</w:t>
            </w:r>
          </w:p>
          <w:p>
            <w:pPr>
              <w:pStyle w:val="TableParagraph"/>
              <w:spacing w:before="7"/>
              <w:ind w:left="148"/>
              <w:rPr>
                <w:sz w:val="21"/>
              </w:rPr>
            </w:pPr>
            <w:r>
              <w:rPr>
                <w:sz w:val="21"/>
              </w:rPr>
              <w:t>（1）临床有高血压症候群表现；</w:t>
            </w:r>
          </w:p>
          <w:p>
            <w:pPr>
              <w:pStyle w:val="TableParagraph"/>
              <w:spacing w:before="37"/>
              <w:ind w:left="148"/>
              <w:rPr>
                <w:sz w:val="21"/>
              </w:rPr>
            </w:pPr>
            <w:r>
              <w:rPr>
                <w:sz w:val="21"/>
              </w:rPr>
              <w:t>（2）已经实施了嗜铬细胞瘤切除手术。</w:t>
            </w:r>
          </w:p>
        </w:tc>
      </w:tr>
      <w:tr>
        <w:trPr>
          <w:trHeight w:val="1872" w:hRule="atLeast"/>
        </w:trPr>
        <w:tc>
          <w:tcPr>
            <w:tcW w:w="420" w:type="dxa"/>
          </w:tcPr>
          <w:p>
            <w:pPr>
              <w:pStyle w:val="TableParagraph"/>
              <w:spacing w:before="176"/>
              <w:ind w:right="106"/>
              <w:jc w:val="right"/>
              <w:rPr>
                <w:rFonts w:ascii="Calibri"/>
                <w:sz w:val="22"/>
              </w:rPr>
            </w:pPr>
            <w:r>
              <w:rPr>
                <w:rFonts w:ascii="Calibri"/>
                <w:w w:val="100"/>
                <w:sz w:val="22"/>
              </w:rPr>
              <w:t>4</w:t>
            </w:r>
          </w:p>
        </w:tc>
        <w:tc>
          <w:tcPr>
            <w:tcW w:w="1946" w:type="dxa"/>
          </w:tcPr>
          <w:p>
            <w:pPr>
              <w:pStyle w:val="TableParagraph"/>
              <w:spacing w:line="206" w:lineRule="auto" w:before="131"/>
              <w:ind w:left="108" w:right="145"/>
              <w:rPr>
                <w:rFonts w:ascii="微软雅黑" w:eastAsia="微软雅黑" w:hint="eastAsia"/>
                <w:b/>
                <w:sz w:val="21"/>
              </w:rPr>
            </w:pPr>
            <w:r>
              <w:rPr>
                <w:rFonts w:ascii="微软雅黑" w:eastAsia="微软雅黑" w:hint="eastAsia"/>
                <w:b/>
                <w:sz w:val="21"/>
              </w:rPr>
              <w:t>重大器官移植术或造血干细胞移植术</w:t>
            </w:r>
          </w:p>
        </w:tc>
        <w:tc>
          <w:tcPr>
            <w:tcW w:w="7484" w:type="dxa"/>
          </w:tcPr>
          <w:p>
            <w:pPr>
              <w:pStyle w:val="TableParagraph"/>
              <w:spacing w:line="273" w:lineRule="auto" w:before="143"/>
              <w:ind w:left="148" w:right="197"/>
              <w:jc w:val="both"/>
              <w:rPr>
                <w:sz w:val="21"/>
              </w:rPr>
            </w:pPr>
            <w:r>
              <w:rPr>
                <w:spacing w:val="-4"/>
                <w:sz w:val="21"/>
              </w:rPr>
              <w:t>重大器官移植术，指因相应器官功能衰竭，已经实施了肾脏、肝脏、心脏或肺</w:t>
            </w:r>
            <w:r>
              <w:rPr>
                <w:spacing w:val="-3"/>
                <w:sz w:val="21"/>
              </w:rPr>
              <w:t>脏的异体移植手术。</w:t>
            </w:r>
          </w:p>
          <w:p>
            <w:pPr>
              <w:pStyle w:val="TableParagraph"/>
              <w:spacing w:line="273" w:lineRule="auto" w:before="8"/>
              <w:ind w:left="148" w:right="197"/>
              <w:jc w:val="both"/>
              <w:rPr>
                <w:sz w:val="21"/>
              </w:rPr>
            </w:pPr>
            <w:r>
              <w:rPr>
                <w:spacing w:val="-5"/>
                <w:sz w:val="21"/>
              </w:rPr>
              <w:t>造血干细胞移植术，指因造血功能损害或造血系统恶性肿瘤，已经实施了造血干细胞</w:t>
            </w:r>
            <w:r>
              <w:rPr>
                <w:spacing w:val="-3"/>
                <w:sz w:val="21"/>
              </w:rPr>
              <w:t>（包括骨髓造血干细胞、外周血造血干细胞和脐血造血干细胞）</w:t>
            </w:r>
            <w:r>
              <w:rPr>
                <w:spacing w:val="-2"/>
                <w:sz w:val="21"/>
              </w:rPr>
              <w:t>的异体</w:t>
            </w:r>
            <w:r>
              <w:rPr>
                <w:spacing w:val="-3"/>
                <w:sz w:val="21"/>
              </w:rPr>
              <w:t>移植手术。</w:t>
            </w:r>
          </w:p>
        </w:tc>
      </w:tr>
      <w:tr>
        <w:trPr>
          <w:trHeight w:val="2808" w:hRule="atLeast"/>
        </w:trPr>
        <w:tc>
          <w:tcPr>
            <w:tcW w:w="420" w:type="dxa"/>
          </w:tcPr>
          <w:p>
            <w:pPr>
              <w:pStyle w:val="TableParagraph"/>
              <w:spacing w:before="176"/>
              <w:ind w:right="106"/>
              <w:jc w:val="right"/>
              <w:rPr>
                <w:rFonts w:ascii="Calibri"/>
                <w:sz w:val="22"/>
              </w:rPr>
            </w:pPr>
            <w:r>
              <w:rPr>
                <w:rFonts w:ascii="Calibri"/>
                <w:w w:val="100"/>
                <w:sz w:val="22"/>
              </w:rPr>
              <w:t>5</w:t>
            </w:r>
          </w:p>
        </w:tc>
        <w:tc>
          <w:tcPr>
            <w:tcW w:w="1946" w:type="dxa"/>
          </w:tcPr>
          <w:p>
            <w:pPr>
              <w:pStyle w:val="TableParagraph"/>
              <w:spacing w:line="206" w:lineRule="auto" w:before="131"/>
              <w:ind w:left="108" w:right="145"/>
              <w:rPr>
                <w:rFonts w:ascii="微软雅黑" w:eastAsia="微软雅黑" w:hint="eastAsia"/>
                <w:b/>
                <w:sz w:val="21"/>
              </w:rPr>
            </w:pPr>
            <w:r>
              <w:rPr>
                <w:rFonts w:ascii="微软雅黑" w:eastAsia="微软雅黑" w:hint="eastAsia"/>
                <w:b/>
                <w:sz w:val="21"/>
              </w:rPr>
              <w:t>严重慢性复发性胰腺炎</w:t>
            </w:r>
          </w:p>
        </w:tc>
        <w:tc>
          <w:tcPr>
            <w:tcW w:w="7484" w:type="dxa"/>
          </w:tcPr>
          <w:p>
            <w:pPr>
              <w:pStyle w:val="TableParagraph"/>
              <w:spacing w:line="273" w:lineRule="auto" w:before="142"/>
              <w:ind w:left="148" w:right="197"/>
              <w:jc w:val="both"/>
              <w:rPr>
                <w:sz w:val="21"/>
              </w:rPr>
            </w:pPr>
            <w:r>
              <w:rPr>
                <w:spacing w:val="-5"/>
                <w:sz w:val="21"/>
              </w:rPr>
              <w:t>指慢性反复发作的胰腺炎症导致胰腺的广泛纤维化、坏死、弥漫性钙化及假性囊肿形成，造成胰腺功能障碍出现严重糖尿病和营养不良。必须满足下列所有条件：</w:t>
            </w:r>
          </w:p>
          <w:p>
            <w:pPr>
              <w:pStyle w:val="TableParagraph"/>
              <w:spacing w:before="7"/>
              <w:ind w:left="148"/>
              <w:rPr>
                <w:sz w:val="21"/>
              </w:rPr>
            </w:pPr>
            <w:r>
              <w:rPr>
                <w:sz w:val="21"/>
              </w:rPr>
              <w:t>（1）医疗记录证实存在慢性胰腺炎反复急性发作病史；</w:t>
            </w:r>
          </w:p>
          <w:p>
            <w:pPr>
              <w:pStyle w:val="TableParagraph"/>
              <w:spacing w:line="273" w:lineRule="auto" w:before="37"/>
              <w:ind w:left="148" w:right="179"/>
              <w:rPr>
                <w:sz w:val="21"/>
              </w:rPr>
            </w:pPr>
            <w:r>
              <w:rPr>
                <w:sz w:val="21"/>
              </w:rPr>
              <w:t>（2）CT 显示胰腺广泛钙化或逆行胰胆管造影（ERCP）显示胰管扭曲、扩张和狭窄；</w:t>
            </w:r>
          </w:p>
          <w:p>
            <w:pPr>
              <w:pStyle w:val="TableParagraph"/>
              <w:spacing w:line="223" w:lineRule="auto" w:before="26"/>
              <w:ind w:left="148" w:right="1974"/>
              <w:rPr>
                <w:rFonts w:ascii="微软雅黑" w:eastAsia="微软雅黑" w:hint="eastAsia"/>
                <w:b/>
                <w:sz w:val="21"/>
              </w:rPr>
            </w:pPr>
            <w:r>
              <w:rPr>
                <w:sz w:val="21"/>
              </w:rPr>
              <w:t>（3）</w:t>
            </w:r>
            <w:r>
              <w:rPr>
                <w:spacing w:val="-6"/>
                <w:sz w:val="21"/>
              </w:rPr>
              <w:t>持续接受胰岛素替代治疗和酶替代治疗 </w:t>
            </w:r>
            <w:r>
              <w:rPr>
                <w:sz w:val="21"/>
              </w:rPr>
              <w:t>180</w:t>
            </w:r>
            <w:r>
              <w:rPr>
                <w:spacing w:val="-10"/>
                <w:sz w:val="21"/>
              </w:rPr>
              <w:t> 天以上。</w:t>
            </w:r>
            <w:r>
              <w:rPr>
                <w:rFonts w:ascii="微软雅黑" w:eastAsia="微软雅黑" w:hint="eastAsia"/>
                <w:b/>
                <w:spacing w:val="-9"/>
                <w:sz w:val="21"/>
                <w:shd w:fill="D9D9D9" w:color="auto" w:val="clear"/>
              </w:rPr>
              <w:t>酒精导致的慢性复发性胰腺炎不在本保障范围内。</w:t>
            </w:r>
          </w:p>
        </w:tc>
      </w:tr>
      <w:tr>
        <w:trPr>
          <w:trHeight w:val="1353" w:hRule="atLeast"/>
        </w:trPr>
        <w:tc>
          <w:tcPr>
            <w:tcW w:w="420" w:type="dxa"/>
          </w:tcPr>
          <w:p>
            <w:pPr>
              <w:pStyle w:val="TableParagraph"/>
              <w:spacing w:before="176"/>
              <w:ind w:right="106"/>
              <w:jc w:val="right"/>
              <w:rPr>
                <w:rFonts w:ascii="Calibri"/>
                <w:sz w:val="22"/>
              </w:rPr>
            </w:pPr>
            <w:r>
              <w:rPr>
                <w:rFonts w:ascii="Calibri"/>
                <w:w w:val="100"/>
                <w:sz w:val="22"/>
              </w:rPr>
              <w:t>6</w:t>
            </w:r>
          </w:p>
        </w:tc>
        <w:tc>
          <w:tcPr>
            <w:tcW w:w="1946" w:type="dxa"/>
          </w:tcPr>
          <w:p>
            <w:pPr>
              <w:pStyle w:val="TableParagraph"/>
              <w:spacing w:line="206" w:lineRule="auto" w:before="131"/>
              <w:ind w:left="108" w:right="145"/>
              <w:rPr>
                <w:rFonts w:ascii="微软雅黑" w:eastAsia="微软雅黑" w:hint="eastAsia"/>
                <w:b/>
                <w:sz w:val="21"/>
              </w:rPr>
            </w:pPr>
            <w:r>
              <w:rPr>
                <w:rFonts w:ascii="微软雅黑" w:eastAsia="微软雅黑" w:hint="eastAsia"/>
                <w:b/>
                <w:sz w:val="21"/>
              </w:rPr>
              <w:t>严重慢性自身免疫性肝炎</w:t>
            </w:r>
          </w:p>
        </w:tc>
        <w:tc>
          <w:tcPr>
            <w:tcW w:w="7484" w:type="dxa"/>
          </w:tcPr>
          <w:p>
            <w:pPr>
              <w:pStyle w:val="TableParagraph"/>
              <w:spacing w:line="273" w:lineRule="auto" w:before="142"/>
              <w:ind w:left="148" w:right="197"/>
              <w:jc w:val="both"/>
              <w:rPr>
                <w:sz w:val="21"/>
              </w:rPr>
            </w:pPr>
            <w:r>
              <w:rPr>
                <w:spacing w:val="-4"/>
                <w:sz w:val="21"/>
              </w:rPr>
              <w:t>自身免疫性肝炎是一种原因不明的慢性肝脏的坏死性炎性疾病，机体免疫机制</w:t>
            </w:r>
            <w:r>
              <w:rPr>
                <w:spacing w:val="-5"/>
                <w:sz w:val="21"/>
              </w:rPr>
              <w:t>被破坏，产生针对肝脏自身抗原的抗体导致自身免疫反应，从而破坏肝细胞造</w:t>
            </w:r>
            <w:r>
              <w:rPr>
                <w:spacing w:val="-4"/>
                <w:sz w:val="21"/>
              </w:rPr>
              <w:t>成肝脏炎症坏死，进而发展为肝硬化。必须满足所有以下条件：</w:t>
            </w:r>
          </w:p>
          <w:p>
            <w:pPr>
              <w:pStyle w:val="TableParagraph"/>
              <w:spacing w:line="255" w:lineRule="exact" w:before="7"/>
              <w:ind w:left="148"/>
              <w:jc w:val="both"/>
              <w:rPr>
                <w:sz w:val="21"/>
              </w:rPr>
            </w:pPr>
            <w:r>
              <w:rPr>
                <w:sz w:val="21"/>
              </w:rPr>
              <w:t>（1）高γ球蛋白血症；</w:t>
            </w:r>
          </w:p>
        </w:tc>
      </w:tr>
    </w:tbl>
    <w:p>
      <w:pPr>
        <w:spacing w:after="0" w:line="255" w:lineRule="exact"/>
        <w:jc w:val="both"/>
        <w:rPr>
          <w:sz w:val="21"/>
        </w:rPr>
        <w:sectPr>
          <w:pgSz w:w="11910" w:h="16840"/>
          <w:pgMar w:header="0" w:footer="785" w:top="1380" w:bottom="980" w:left="960" w:right="700"/>
        </w:sectPr>
      </w:pPr>
    </w:p>
    <w:p>
      <w:pPr>
        <w:pStyle w:val="BodyText"/>
        <w:spacing w:line="273" w:lineRule="auto" w:before="8"/>
        <w:ind w:left="2528" w:right="267"/>
      </w:pPr>
      <w:r>
        <w:rPr/>
        <w:t>（2）</w:t>
      </w:r>
      <w:r>
        <w:rPr>
          <w:spacing w:val="-5"/>
        </w:rPr>
        <w:t>血液中存在高水平的自身免疫抗体，如 </w:t>
      </w:r>
      <w:r>
        <w:rPr/>
        <w:t>ANA（</w:t>
      </w:r>
      <w:r>
        <w:rPr>
          <w:spacing w:val="-1"/>
        </w:rPr>
        <w:t>抗核抗体</w:t>
      </w:r>
      <w:r>
        <w:rPr>
          <w:spacing w:val="-108"/>
        </w:rPr>
        <w:t>）</w:t>
      </w:r>
      <w:r>
        <w:rPr/>
        <w:t>、SMA（</w:t>
      </w:r>
      <w:r>
        <w:rPr>
          <w:spacing w:val="-2"/>
        </w:rPr>
        <w:t>抗平滑</w:t>
      </w:r>
      <w:r>
        <w:rPr>
          <w:spacing w:val="-3"/>
        </w:rPr>
        <w:t>肌抗体</w:t>
      </w:r>
      <w:r>
        <w:rPr>
          <w:spacing w:val="-106"/>
        </w:rPr>
        <w:t>）</w:t>
      </w:r>
      <w:r>
        <w:rPr>
          <w:spacing w:val="-18"/>
        </w:rPr>
        <w:t>、抗 </w:t>
      </w:r>
      <w:r>
        <w:rPr/>
        <w:t>LKM1</w:t>
      </w:r>
      <w:r>
        <w:rPr>
          <w:spacing w:val="-12"/>
        </w:rPr>
        <w:t> 抗体或抗</w:t>
      </w:r>
      <w:r>
        <w:rPr/>
        <w:t>-SLA/LP</w:t>
      </w:r>
      <w:r>
        <w:rPr>
          <w:spacing w:val="-14"/>
        </w:rPr>
        <w:t> 抗体；</w:t>
      </w:r>
    </w:p>
    <w:p>
      <w:pPr>
        <w:pStyle w:val="BodyText"/>
        <w:spacing w:before="7"/>
        <w:ind w:left="2528"/>
      </w:pPr>
      <w:r>
        <w:rPr/>
        <w:t>（3）肝脏活检证实免疫性肝炎；</w:t>
      </w:r>
    </w:p>
    <w:p>
      <w:pPr>
        <w:pStyle w:val="BodyText"/>
        <w:spacing w:before="36"/>
        <w:ind w:left="2528"/>
      </w:pPr>
      <w:r>
        <w:rPr/>
        <w:t>（4）临床已经出现腹水、食道静脉曲张和脾肿大等肝硬化表现。</w:t>
      </w:r>
    </w:p>
    <w:p>
      <w:pPr>
        <w:pStyle w:val="BodyText"/>
        <w:spacing w:before="11"/>
        <w:rPr>
          <w:sz w:val="23"/>
        </w:rPr>
      </w:pPr>
    </w:p>
    <w:p>
      <w:pPr>
        <w:spacing w:after="0"/>
        <w:rPr>
          <w:sz w:val="23"/>
        </w:rPr>
        <w:sectPr>
          <w:pgSz w:w="11910" w:h="16840"/>
          <w:pgMar w:header="0" w:footer="785" w:top="1360" w:bottom="980" w:left="1240" w:right="880"/>
        </w:sectPr>
      </w:pPr>
    </w:p>
    <w:p>
      <w:pPr>
        <w:pStyle w:val="ListParagraph"/>
        <w:numPr>
          <w:ilvl w:val="0"/>
          <w:numId w:val="7"/>
        </w:numPr>
        <w:tabs>
          <w:tab w:pos="544" w:val="left" w:leader="none"/>
        </w:tabs>
        <w:spacing w:line="206" w:lineRule="auto" w:before="25" w:after="0"/>
        <w:ind w:left="543" w:right="0" w:hanging="329"/>
        <w:jc w:val="both"/>
        <w:rPr>
          <w:rFonts w:ascii="微软雅黑" w:eastAsia="微软雅黑" w:hint="eastAsia"/>
          <w:b/>
          <w:sz w:val="21"/>
        </w:rPr>
      </w:pPr>
      <w:r>
        <w:rPr>
          <w:rFonts w:ascii="微软雅黑" w:eastAsia="微软雅黑" w:hint="eastAsia"/>
          <w:b/>
          <w:sz w:val="21"/>
        </w:rPr>
        <w:t>终末期肾病（或称慢性肾功能衰竭尿毒症期）</w:t>
      </w:r>
    </w:p>
    <w:p>
      <w:pPr>
        <w:pStyle w:val="BodyText"/>
        <w:spacing w:line="273" w:lineRule="auto" w:before="36"/>
        <w:ind w:left="214" w:right="119"/>
      </w:pPr>
      <w:r>
        <w:rPr/>
        <w:br w:type="column"/>
      </w:r>
      <w:r>
        <w:rPr>
          <w:spacing w:val="-12"/>
        </w:rPr>
        <w:t>指双肾功能慢性不可逆性衰竭，达到尿毒症期，经诊断后已经进行了至少 </w:t>
      </w:r>
      <w:r>
        <w:rPr/>
        <w:t>90</w:t>
      </w:r>
      <w:r>
        <w:rPr>
          <w:spacing w:val="-19"/>
        </w:rPr>
        <w:t> 天</w:t>
      </w:r>
      <w:r>
        <w:rPr>
          <w:spacing w:val="-8"/>
        </w:rPr>
        <w:t>的规律性透析治疗或实施了肾脏移植手术。</w:t>
      </w:r>
    </w:p>
    <w:p>
      <w:pPr>
        <w:spacing w:after="0" w:line="273" w:lineRule="auto"/>
        <w:sectPr>
          <w:type w:val="continuous"/>
          <w:pgSz w:w="11910" w:h="16840"/>
          <w:pgMar w:top="1160" w:bottom="280" w:left="1240" w:right="880"/>
          <w:cols w:num="2" w:equalWidth="0">
            <w:col w:w="2234" w:space="80"/>
            <w:col w:w="7476"/>
          </w:cols>
        </w:sectPr>
      </w:pPr>
    </w:p>
    <w:p>
      <w:pPr>
        <w:pStyle w:val="BodyText"/>
        <w:spacing w:before="12"/>
      </w:pPr>
    </w:p>
    <w:p>
      <w:pPr>
        <w:pStyle w:val="ListParagraph"/>
        <w:numPr>
          <w:ilvl w:val="0"/>
          <w:numId w:val="7"/>
        </w:numPr>
        <w:tabs>
          <w:tab w:pos="543" w:val="left" w:leader="none"/>
          <w:tab w:pos="544" w:val="left" w:leader="none"/>
          <w:tab w:pos="2528" w:val="left" w:leader="none"/>
        </w:tabs>
        <w:spacing w:line="341" w:lineRule="exact" w:before="0" w:after="0"/>
        <w:ind w:left="543" w:right="0" w:hanging="329"/>
        <w:jc w:val="left"/>
        <w:rPr>
          <w:sz w:val="21"/>
        </w:rPr>
      </w:pPr>
      <w:r>
        <w:rPr>
          <w:rFonts w:ascii="微软雅黑" w:eastAsia="微软雅黑" w:hint="eastAsia"/>
          <w:b/>
          <w:sz w:val="21"/>
        </w:rPr>
        <w:t>胰腺移植术</w:t>
        <w:tab/>
      </w:r>
      <w:r>
        <w:rPr>
          <w:spacing w:val="2"/>
          <w:sz w:val="21"/>
        </w:rPr>
        <w:t>胰腺</w:t>
      </w:r>
      <w:r>
        <w:rPr>
          <w:spacing w:val="5"/>
          <w:sz w:val="21"/>
        </w:rPr>
        <w:t>移</w:t>
      </w:r>
      <w:r>
        <w:rPr>
          <w:spacing w:val="2"/>
          <w:sz w:val="21"/>
        </w:rPr>
        <w:t>植术指因胰腺</w:t>
      </w:r>
      <w:r>
        <w:rPr>
          <w:spacing w:val="5"/>
          <w:sz w:val="21"/>
        </w:rPr>
        <w:t>功</w:t>
      </w:r>
      <w:r>
        <w:rPr>
          <w:spacing w:val="2"/>
          <w:sz w:val="21"/>
        </w:rPr>
        <w:t>能衰竭</w:t>
      </w:r>
      <w:r>
        <w:rPr>
          <w:spacing w:val="5"/>
          <w:sz w:val="21"/>
        </w:rPr>
        <w:t>，</w:t>
      </w:r>
      <w:r>
        <w:rPr>
          <w:spacing w:val="2"/>
          <w:sz w:val="21"/>
        </w:rPr>
        <w:t>已经实际接受</w:t>
      </w:r>
      <w:r>
        <w:rPr>
          <w:spacing w:val="5"/>
          <w:sz w:val="21"/>
        </w:rPr>
        <w:t>了</w:t>
      </w:r>
      <w:r>
        <w:rPr>
          <w:spacing w:val="2"/>
          <w:sz w:val="21"/>
        </w:rPr>
        <w:t>在全麻</w:t>
      </w:r>
      <w:r>
        <w:rPr>
          <w:spacing w:val="5"/>
          <w:sz w:val="21"/>
        </w:rPr>
        <w:t>下</w:t>
      </w:r>
      <w:r>
        <w:rPr>
          <w:spacing w:val="2"/>
          <w:sz w:val="21"/>
        </w:rPr>
        <w:t>进行的胰腺的</w:t>
      </w:r>
      <w:r>
        <w:rPr>
          <w:spacing w:val="5"/>
          <w:sz w:val="21"/>
        </w:rPr>
        <w:t>同</w:t>
      </w:r>
      <w:r>
        <w:rPr>
          <w:sz w:val="21"/>
        </w:rPr>
        <w:t>种</w:t>
      </w:r>
    </w:p>
    <w:p>
      <w:pPr>
        <w:pStyle w:val="BodyText"/>
        <w:spacing w:line="262" w:lineRule="exact" w:before="7"/>
        <w:ind w:left="2528"/>
      </w:pPr>
      <w:r>
        <w:rPr/>
        <w:t>（人类）异体器官移植手术。</w:t>
      </w:r>
    </w:p>
    <w:p>
      <w:pPr>
        <w:spacing w:line="350" w:lineRule="exact" w:before="0"/>
        <w:ind w:left="2528" w:right="0" w:firstLine="0"/>
        <w:jc w:val="left"/>
        <w:rPr>
          <w:rFonts w:ascii="微软雅黑" w:eastAsia="微软雅黑" w:hint="eastAsia"/>
          <w:b/>
          <w:sz w:val="21"/>
        </w:rPr>
      </w:pPr>
      <w:r>
        <w:rPr>
          <w:rFonts w:ascii="微软雅黑" w:eastAsia="微软雅黑" w:hint="eastAsia"/>
          <w:b/>
          <w:sz w:val="21"/>
          <w:shd w:fill="D9D9D9" w:color="auto" w:val="clear"/>
        </w:rPr>
        <w:t>胰岛、组织、细胞移植不在本保障范围内。</w:t>
      </w:r>
    </w:p>
    <w:p>
      <w:pPr>
        <w:pStyle w:val="BodyText"/>
        <w:spacing w:before="12"/>
        <w:rPr>
          <w:rFonts w:ascii="微软雅黑"/>
          <w:b/>
          <w:sz w:val="16"/>
        </w:rPr>
      </w:pPr>
    </w:p>
    <w:p>
      <w:pPr>
        <w:spacing w:after="0"/>
        <w:rPr>
          <w:rFonts w:ascii="微软雅黑"/>
          <w:sz w:val="16"/>
        </w:rPr>
        <w:sectPr>
          <w:type w:val="continuous"/>
          <w:pgSz w:w="11910" w:h="16840"/>
          <w:pgMar w:top="1160" w:bottom="280" w:left="1240" w:right="880"/>
        </w:sectPr>
      </w:pPr>
    </w:p>
    <w:p>
      <w:pPr>
        <w:pStyle w:val="ListParagraph"/>
        <w:numPr>
          <w:ilvl w:val="0"/>
          <w:numId w:val="7"/>
        </w:numPr>
        <w:tabs>
          <w:tab w:pos="543" w:val="left" w:leader="none"/>
          <w:tab w:pos="544" w:val="left" w:leader="none"/>
        </w:tabs>
        <w:spacing w:line="204" w:lineRule="auto" w:before="29" w:after="0"/>
        <w:ind w:left="543" w:right="0" w:hanging="329"/>
        <w:jc w:val="left"/>
        <w:rPr>
          <w:rFonts w:ascii="微软雅黑" w:eastAsia="微软雅黑" w:hint="eastAsia"/>
          <w:b/>
          <w:sz w:val="21"/>
        </w:rPr>
      </w:pPr>
      <w:r>
        <w:rPr>
          <w:rFonts w:ascii="微软雅黑" w:eastAsia="微软雅黑" w:hint="eastAsia"/>
          <w:b/>
          <w:sz w:val="21"/>
        </w:rPr>
        <w:t>慢性肝功能衰竭失代偿期</w:t>
      </w:r>
    </w:p>
    <w:p>
      <w:pPr>
        <w:pStyle w:val="BodyText"/>
        <w:spacing w:before="36"/>
        <w:ind w:left="214"/>
      </w:pPr>
      <w:r>
        <w:rPr/>
        <w:br w:type="column"/>
      </w:r>
      <w:r>
        <w:rPr/>
        <w:t>指因慢性肝脏疾病导致肝功能衰竭。须满足下列全部条件：</w:t>
      </w:r>
    </w:p>
    <w:p>
      <w:pPr>
        <w:pStyle w:val="BodyText"/>
        <w:spacing w:before="36"/>
        <w:ind w:left="214"/>
      </w:pPr>
      <w:r>
        <w:rPr/>
        <w:t>（1）持续性黄疸；</w:t>
      </w:r>
    </w:p>
    <w:p>
      <w:pPr>
        <w:pStyle w:val="BodyText"/>
        <w:spacing w:before="36"/>
        <w:ind w:left="214"/>
      </w:pPr>
      <w:r>
        <w:rPr/>
        <w:t>（2）腹水；</w:t>
      </w:r>
    </w:p>
    <w:p>
      <w:pPr>
        <w:pStyle w:val="BodyText"/>
        <w:spacing w:before="36"/>
        <w:ind w:left="214"/>
      </w:pPr>
      <w:r>
        <w:rPr/>
        <w:t>（3）肝性脑病；</w:t>
      </w:r>
    </w:p>
    <w:p>
      <w:pPr>
        <w:pStyle w:val="BodyText"/>
        <w:spacing w:line="262" w:lineRule="exact" w:before="36"/>
        <w:ind w:left="214"/>
      </w:pPr>
      <w:r>
        <w:rPr/>
        <w:t>（4）充血性脾肿大伴脾功能亢进或食管胃底静脉曲张。</w:t>
      </w:r>
    </w:p>
    <w:p>
      <w:pPr>
        <w:spacing w:line="350" w:lineRule="exact" w:before="0"/>
        <w:ind w:left="214" w:right="0" w:firstLine="0"/>
        <w:jc w:val="left"/>
        <w:rPr>
          <w:rFonts w:ascii="微软雅黑" w:eastAsia="微软雅黑" w:hint="eastAsia"/>
          <w:b/>
          <w:sz w:val="21"/>
        </w:rPr>
      </w:pPr>
      <w:r>
        <w:rPr>
          <w:rFonts w:ascii="微软雅黑" w:eastAsia="微软雅黑" w:hint="eastAsia"/>
          <w:b/>
          <w:sz w:val="21"/>
          <w:shd w:fill="D9D9D9" w:color="auto" w:val="clear"/>
        </w:rPr>
        <w:t>因酗酒或药物滥用导致的肝功能衰竭不在本合同保障范围内。</w:t>
      </w:r>
    </w:p>
    <w:p>
      <w:pPr>
        <w:spacing w:after="0" w:line="350" w:lineRule="exact"/>
        <w:jc w:val="left"/>
        <w:rPr>
          <w:rFonts w:ascii="微软雅黑" w:eastAsia="微软雅黑" w:hint="eastAsia"/>
          <w:sz w:val="21"/>
        </w:rPr>
        <w:sectPr>
          <w:type w:val="continuous"/>
          <w:pgSz w:w="11910" w:h="16840"/>
          <w:pgMar w:top="1160" w:bottom="280" w:left="1240" w:right="880"/>
          <w:cols w:num="2" w:equalWidth="0">
            <w:col w:w="2234" w:space="80"/>
            <w:col w:w="7476"/>
          </w:cols>
        </w:sectPr>
      </w:pPr>
    </w:p>
    <w:p>
      <w:pPr>
        <w:pStyle w:val="BodyText"/>
        <w:spacing w:before="11"/>
        <w:rPr>
          <w:rFonts w:ascii="微软雅黑"/>
          <w:b/>
          <w:sz w:val="16"/>
        </w:rPr>
      </w:pPr>
    </w:p>
    <w:p>
      <w:pPr>
        <w:spacing w:after="0"/>
        <w:rPr>
          <w:rFonts w:ascii="微软雅黑"/>
          <w:sz w:val="16"/>
        </w:rPr>
        <w:sectPr>
          <w:type w:val="continuous"/>
          <w:pgSz w:w="11910" w:h="16840"/>
          <w:pgMar w:top="1160" w:bottom="280" w:left="1240" w:right="880"/>
        </w:sectPr>
      </w:pPr>
    </w:p>
    <w:p>
      <w:pPr>
        <w:pStyle w:val="ListParagraph"/>
        <w:numPr>
          <w:ilvl w:val="0"/>
          <w:numId w:val="7"/>
        </w:numPr>
        <w:tabs>
          <w:tab w:pos="543" w:val="left" w:leader="none"/>
          <w:tab w:pos="544" w:val="left" w:leader="none"/>
        </w:tabs>
        <w:spacing w:line="204" w:lineRule="auto" w:before="29" w:after="0"/>
        <w:ind w:left="543" w:right="0" w:hanging="441"/>
        <w:jc w:val="left"/>
        <w:rPr>
          <w:rFonts w:ascii="微软雅黑" w:eastAsia="微软雅黑" w:hint="eastAsia"/>
          <w:b/>
          <w:sz w:val="21"/>
        </w:rPr>
      </w:pPr>
      <w:r>
        <w:rPr>
          <w:rFonts w:ascii="微软雅黑" w:eastAsia="微软雅黑" w:hint="eastAsia"/>
          <w:b/>
          <w:sz w:val="21"/>
        </w:rPr>
        <w:t>特发性慢性肾上腺皮质功能减退</w:t>
      </w:r>
    </w:p>
    <w:p>
      <w:pPr>
        <w:pStyle w:val="BodyText"/>
        <w:spacing w:line="273" w:lineRule="auto" w:before="37"/>
        <w:ind w:left="102" w:right="82"/>
      </w:pPr>
      <w:r>
        <w:rPr/>
        <w:br w:type="column"/>
      </w:r>
      <w:r>
        <w:rPr/>
        <w:t>指自身免疫性肾上腺炎（既往称：特发性肾上腺皮质萎缩）导致肾上腺萎缩和慢性肾上腺皮质功能减退。必须满足下列所有条件：</w:t>
      </w:r>
    </w:p>
    <w:p>
      <w:pPr>
        <w:pStyle w:val="BodyText"/>
        <w:spacing w:before="7"/>
        <w:ind w:left="102"/>
      </w:pPr>
      <w:r>
        <w:rPr/>
        <w:t>（1）明确诊断，符合下列所有诊断标准：</w:t>
      </w:r>
    </w:p>
    <w:p>
      <w:pPr>
        <w:pStyle w:val="BodyText"/>
        <w:spacing w:before="36"/>
        <w:ind w:left="522"/>
      </w:pPr>
      <w:r>
        <w:rPr/>
        <w:t>①血浆促肾上腺皮质激素（ACTH）水平&gt;100pg/ml；</w:t>
      </w:r>
    </w:p>
    <w:p>
      <w:pPr>
        <w:pStyle w:val="BodyText"/>
        <w:spacing w:line="273" w:lineRule="auto" w:before="36"/>
        <w:ind w:left="102" w:right="119" w:firstLine="420"/>
      </w:pPr>
      <w:r>
        <w:rPr/>
        <w:t>②血浆肾素活性、血管紧张素 II 和醛固酮测定结果显示为原发性肾上腺皮质功能减退症；</w:t>
      </w:r>
    </w:p>
    <w:p>
      <w:pPr>
        <w:pStyle w:val="BodyText"/>
        <w:spacing w:line="273" w:lineRule="auto" w:before="7"/>
        <w:ind w:left="102" w:right="116" w:firstLine="420"/>
      </w:pPr>
      <w:r>
        <w:rPr/>
        <w:t>③促肾上腺皮质激素（ACTH）刺激试验显示为原发性肾上腺皮质功能减退症。</w:t>
      </w:r>
    </w:p>
    <w:p>
      <w:pPr>
        <w:pStyle w:val="BodyText"/>
        <w:spacing w:line="262" w:lineRule="exact" w:before="7"/>
        <w:ind w:left="102"/>
      </w:pPr>
      <w:r>
        <w:rPr/>
        <w:t>（2）已经采用皮质类固醇替代治疗 180 天以上。</w:t>
      </w:r>
    </w:p>
    <w:p>
      <w:pPr>
        <w:spacing w:line="206" w:lineRule="auto" w:before="37"/>
        <w:ind w:left="102" w:right="124" w:firstLine="0"/>
        <w:jc w:val="left"/>
        <w:rPr>
          <w:rFonts w:ascii="微软雅黑" w:eastAsia="微软雅黑" w:hint="eastAsia"/>
          <w:b/>
          <w:sz w:val="21"/>
        </w:rPr>
      </w:pPr>
      <w:r>
        <w:rPr>
          <w:rFonts w:ascii="微软雅黑" w:eastAsia="微软雅黑" w:hint="eastAsia"/>
          <w:b/>
          <w:sz w:val="21"/>
          <w:shd w:fill="D9D9D9" w:color="auto" w:val="clear"/>
        </w:rPr>
        <w:t>肾上腺结核、HIV</w:t>
      </w:r>
      <w:r>
        <w:rPr>
          <w:rFonts w:ascii="微软雅黑" w:eastAsia="微软雅黑" w:hint="eastAsia"/>
          <w:b/>
          <w:spacing w:val="-6"/>
          <w:sz w:val="21"/>
          <w:shd w:fill="D9D9D9" w:color="auto" w:val="clear"/>
        </w:rPr>
        <w:t> 感染或艾滋病、感染、肿瘤所致的原发性肾上腺皮质功能减退和继发性肾上腺</w:t>
      </w:r>
      <w:r>
        <w:rPr>
          <w:rFonts w:ascii="微软雅黑" w:eastAsia="微软雅黑" w:hint="eastAsia"/>
          <w:b/>
          <w:spacing w:val="-212"/>
          <w:sz w:val="21"/>
          <w:shd w:fill="D9D9D9" w:color="auto" w:val="clear"/>
        </w:rPr>
        <w:t>皮</w:t>
      </w:r>
      <w:r>
        <w:rPr>
          <w:rFonts w:ascii="微软雅黑" w:eastAsia="微软雅黑" w:hint="eastAsia"/>
          <w:b/>
          <w:spacing w:val="-3"/>
          <w:sz w:val="21"/>
          <w:shd w:fill="D9D9D9" w:color="auto" w:val="clear"/>
        </w:rPr>
        <w:t>质功能减退不在本保障范围内。</w:t>
      </w:r>
    </w:p>
    <w:p>
      <w:pPr>
        <w:spacing w:after="0" w:line="206" w:lineRule="auto"/>
        <w:jc w:val="left"/>
        <w:rPr>
          <w:rFonts w:ascii="微软雅黑" w:eastAsia="微软雅黑" w:hint="eastAsia"/>
          <w:sz w:val="21"/>
        </w:rPr>
        <w:sectPr>
          <w:type w:val="continuous"/>
          <w:pgSz w:w="11910" w:h="16840"/>
          <w:pgMar w:top="1160" w:bottom="280" w:left="1240" w:right="880"/>
          <w:cols w:num="2" w:equalWidth="0">
            <w:col w:w="2234" w:space="193"/>
            <w:col w:w="7363"/>
          </w:cols>
        </w:sectPr>
      </w:pPr>
    </w:p>
    <w:p>
      <w:pPr>
        <w:pStyle w:val="BodyText"/>
        <w:spacing w:before="10"/>
        <w:rPr>
          <w:rFonts w:ascii="微软雅黑"/>
          <w:b/>
          <w:sz w:val="16"/>
        </w:rPr>
      </w:pPr>
    </w:p>
    <w:p>
      <w:pPr>
        <w:pStyle w:val="ListParagraph"/>
        <w:numPr>
          <w:ilvl w:val="0"/>
          <w:numId w:val="7"/>
        </w:numPr>
        <w:tabs>
          <w:tab w:pos="544" w:val="left" w:leader="none"/>
        </w:tabs>
        <w:spacing w:line="312" w:lineRule="exact" w:before="32" w:after="0"/>
        <w:ind w:left="2529" w:right="118" w:hanging="2427"/>
        <w:jc w:val="both"/>
        <w:rPr>
          <w:sz w:val="21"/>
        </w:rPr>
      </w:pPr>
      <w:r>
        <w:rPr>
          <w:rFonts w:ascii="微软雅黑" w:eastAsia="微软雅黑" w:hint="eastAsia"/>
          <w:b/>
          <w:spacing w:val="1"/>
          <w:sz w:val="21"/>
        </w:rPr>
        <w:t>溶血性尿毒综合征   </w:t>
      </w:r>
      <w:r>
        <w:rPr>
          <w:spacing w:val="-5"/>
          <w:sz w:val="21"/>
        </w:rPr>
        <w:t>一种由于感染导致的急性综合征，引起红细胞溶血，肾功能衰竭及尿毒症。溶血尿毒综合征必须由血液和肾脏专科医师诊断，被保险人理赔时年龄在二十五</w:t>
      </w:r>
      <w:r>
        <w:rPr>
          <w:spacing w:val="-4"/>
          <w:sz w:val="21"/>
        </w:rPr>
        <w:t>周岁以下，并且满足下列所有条件：</w:t>
      </w:r>
    </w:p>
    <w:p>
      <w:pPr>
        <w:pStyle w:val="BodyText"/>
        <w:spacing w:before="3"/>
        <w:ind w:left="2528"/>
      </w:pPr>
      <w:r>
        <w:rPr/>
        <w:t>（1）实验室检查确认有溶血性贫血、血尿、尿毒症、血小板减少性紫癜；</w:t>
      </w:r>
    </w:p>
    <w:p>
      <w:pPr>
        <w:pStyle w:val="BodyText"/>
        <w:spacing w:before="36"/>
        <w:ind w:left="2528"/>
      </w:pPr>
      <w:r>
        <w:rPr/>
        <w:pict>
          <v:group style="position:absolute;margin-left:188.449997pt;margin-top:19.013666pt;width:356.7pt;height:13.7pt;mso-position-horizontal-relative:page;mso-position-vertical-relative:paragraph;z-index:1264;mso-wrap-distance-left:0;mso-wrap-distance-right:0" coordorigin="3769,380" coordsize="7134,274">
            <v:rect style="position:absolute;left:3769;top:380;width:7134;height:274" filled="true" fillcolor="#d9d9d9" stroked="false">
              <v:fill type="solid"/>
            </v:rect>
            <v:shape style="position:absolute;left:3769;top:380;width:7134;height:274" type="#_x0000_t202" filled="false" stroked="false">
              <v:textbox inset="0,0,0,0">
                <w:txbxContent>
                  <w:p>
                    <w:pPr>
                      <w:spacing w:line="269" w:lineRule="exact" w:before="0"/>
                      <w:ind w:left="0" w:right="0" w:firstLine="0"/>
                      <w:jc w:val="left"/>
                      <w:rPr>
                        <w:rFonts w:ascii="微软雅黑" w:eastAsia="微软雅黑" w:hint="eastAsia"/>
                        <w:b/>
                        <w:sz w:val="21"/>
                      </w:rPr>
                    </w:pPr>
                    <w:r>
                      <w:rPr>
                        <w:rFonts w:ascii="微软雅黑" w:eastAsia="微软雅黑" w:hint="eastAsia"/>
                        <w:b/>
                        <w:spacing w:val="-5"/>
                        <w:sz w:val="21"/>
                      </w:rPr>
                      <w:t>任何非因感染导致的溶血性贫血，如：自身免疫性溶血性贫血、与红细胞膜缺</w:t>
                    </w:r>
                  </w:p>
                </w:txbxContent>
              </v:textbox>
              <w10:wrap type="none"/>
            </v:shape>
            <w10:wrap type="topAndBottom"/>
          </v:group>
        </w:pict>
      </w:r>
      <w:r>
        <w:rPr/>
        <w:t>（2）因肾脏功能衰竭实施了肾脏透析治疗。</w:t>
      </w:r>
    </w:p>
    <w:p>
      <w:pPr>
        <w:pStyle w:val="BodyText"/>
        <w:ind w:left="2529"/>
        <w:rPr>
          <w:sz w:val="20"/>
        </w:rPr>
      </w:pPr>
      <w:r>
        <w:rPr>
          <w:sz w:val="20"/>
        </w:rPr>
        <w:pict>
          <v:shape style="width:356.7pt;height:13.7pt;mso-position-horizontal-relative:char;mso-position-vertical-relative:line" type="#_x0000_t202" filled="true" fillcolor="#d9d9d9" stroked="false">
            <w10:anchorlock/>
            <v:textbox inset="0,0,0,0">
              <w:txbxContent>
                <w:p>
                  <w:pPr>
                    <w:spacing w:line="269" w:lineRule="exact" w:before="0"/>
                    <w:ind w:left="0" w:right="0" w:firstLine="0"/>
                    <w:jc w:val="left"/>
                    <w:rPr>
                      <w:rFonts w:ascii="微软雅黑" w:eastAsia="微软雅黑" w:hint="eastAsia"/>
                      <w:b/>
                      <w:sz w:val="21"/>
                    </w:rPr>
                  </w:pPr>
                  <w:r>
                    <w:rPr>
                      <w:rFonts w:ascii="微软雅黑" w:eastAsia="微软雅黑" w:hint="eastAsia"/>
                      <w:b/>
                      <w:sz w:val="21"/>
                    </w:rPr>
                    <w:t>陷有关的溶血性贫血、红细胞酶病、血红蛋白病等，不在本保障范围内。</w:t>
                  </w:r>
                </w:p>
              </w:txbxContent>
            </v:textbox>
            <v:fill type="solid"/>
          </v:shape>
        </w:pict>
      </w:r>
      <w:r>
        <w:rPr>
          <w:sz w:val="20"/>
        </w:rPr>
      </w:r>
    </w:p>
    <w:p>
      <w:pPr>
        <w:pStyle w:val="BodyText"/>
        <w:spacing w:before="3"/>
        <w:rPr>
          <w:sz w:val="20"/>
        </w:rPr>
      </w:pPr>
    </w:p>
    <w:p>
      <w:pPr>
        <w:pStyle w:val="ListParagraph"/>
        <w:numPr>
          <w:ilvl w:val="0"/>
          <w:numId w:val="7"/>
        </w:numPr>
        <w:tabs>
          <w:tab w:pos="543" w:val="left" w:leader="none"/>
          <w:tab w:pos="544" w:val="left" w:leader="none"/>
          <w:tab w:pos="2528" w:val="left" w:leader="none"/>
        </w:tabs>
        <w:spacing w:line="312" w:lineRule="exact" w:before="32" w:after="0"/>
        <w:ind w:left="2529" w:right="118" w:hanging="2427"/>
        <w:jc w:val="left"/>
        <w:rPr>
          <w:sz w:val="21"/>
        </w:rPr>
      </w:pPr>
      <w:r>
        <w:rPr>
          <w:rFonts w:ascii="微软雅黑" w:eastAsia="微软雅黑" w:hint="eastAsia"/>
          <w:b/>
          <w:sz w:val="21"/>
        </w:rPr>
        <w:t>慢性肺功能衰竭</w:t>
        <w:tab/>
      </w:r>
      <w:r>
        <w:rPr>
          <w:sz w:val="21"/>
        </w:rPr>
        <w:t>慢性</w:t>
      </w:r>
      <w:r>
        <w:rPr>
          <w:spacing w:val="-3"/>
          <w:sz w:val="21"/>
        </w:rPr>
        <w:t>肺</w:t>
      </w:r>
      <w:r>
        <w:rPr>
          <w:sz w:val="21"/>
        </w:rPr>
        <w:t>部</w:t>
      </w:r>
      <w:r>
        <w:rPr>
          <w:spacing w:val="-3"/>
          <w:sz w:val="21"/>
        </w:rPr>
        <w:t>疾</w:t>
      </w:r>
      <w:r>
        <w:rPr>
          <w:sz w:val="21"/>
        </w:rPr>
        <w:t>病</w:t>
      </w:r>
      <w:r>
        <w:rPr>
          <w:spacing w:val="-3"/>
          <w:sz w:val="21"/>
        </w:rPr>
        <w:t>导</w:t>
      </w:r>
      <w:r>
        <w:rPr>
          <w:sz w:val="21"/>
        </w:rPr>
        <w:t>致</w:t>
      </w:r>
      <w:r>
        <w:rPr>
          <w:spacing w:val="-3"/>
          <w:sz w:val="21"/>
        </w:rPr>
        <w:t>永</w:t>
      </w:r>
      <w:r>
        <w:rPr>
          <w:sz w:val="21"/>
        </w:rPr>
        <w:t>久</w:t>
      </w:r>
      <w:r>
        <w:rPr>
          <w:spacing w:val="-3"/>
          <w:sz w:val="21"/>
        </w:rPr>
        <w:t>不</w:t>
      </w:r>
      <w:r>
        <w:rPr>
          <w:sz w:val="21"/>
        </w:rPr>
        <w:t>可逆</w:t>
      </w:r>
      <w:r>
        <w:rPr>
          <w:spacing w:val="-3"/>
          <w:sz w:val="21"/>
        </w:rPr>
        <w:t>性</w:t>
      </w:r>
      <w:r>
        <w:rPr>
          <w:sz w:val="21"/>
        </w:rPr>
        <w:t>的</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r>
      <w:r>
        <w:rPr>
          <w:spacing w:val="-10"/>
          <w:sz w:val="21"/>
        </w:rPr>
        <w:t>。</w:t>
      </w:r>
      <w:r>
        <w:rPr>
          <w:sz w:val="21"/>
        </w:rPr>
        <w:t>慢</w:t>
      </w:r>
      <w:r>
        <w:rPr>
          <w:spacing w:val="-3"/>
          <w:sz w:val="21"/>
        </w:rPr>
        <w:t>性</w:t>
      </w:r>
      <w:r>
        <w:rPr>
          <w:sz w:val="21"/>
        </w:rPr>
        <w:t>呼</w:t>
      </w:r>
      <w:r>
        <w:rPr>
          <w:spacing w:val="-3"/>
          <w:sz w:val="21"/>
        </w:rPr>
        <w:t>吸</w:t>
      </w:r>
      <w:r>
        <w:rPr>
          <w:sz w:val="21"/>
        </w:rPr>
        <w:t>功</w:t>
      </w:r>
      <w:r>
        <w:rPr>
          <w:spacing w:val="-3"/>
          <w:sz w:val="21"/>
        </w:rPr>
        <w:t>能</w:t>
      </w:r>
      <w:r>
        <w:rPr>
          <w:sz w:val="21"/>
        </w:rPr>
        <w:t>衰</w:t>
      </w:r>
      <w:r>
        <w:rPr>
          <w:spacing w:val="-3"/>
          <w:sz w:val="21"/>
        </w:rPr>
        <w:t>竭必</w:t>
      </w:r>
      <w:r>
        <w:rPr>
          <w:sz w:val="21"/>
        </w:rPr>
        <w:t>须 明确</w:t>
      </w:r>
      <w:r>
        <w:rPr>
          <w:spacing w:val="-3"/>
          <w:sz w:val="21"/>
        </w:rPr>
        <w:t>诊</w:t>
      </w:r>
      <w:r>
        <w:rPr>
          <w:sz w:val="21"/>
        </w:rPr>
        <w:t>断</w:t>
      </w:r>
      <w:r>
        <w:rPr>
          <w:spacing w:val="-3"/>
          <w:sz w:val="21"/>
        </w:rPr>
        <w:t>且</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条件：</w:t>
      </w:r>
    </w:p>
    <w:p>
      <w:pPr>
        <w:pStyle w:val="BodyText"/>
        <w:spacing w:before="3"/>
        <w:ind w:left="2528"/>
      </w:pPr>
      <w:r>
        <w:rPr/>
        <w:t>（1）休息时出现呼吸困难；</w:t>
      </w:r>
    </w:p>
    <w:p>
      <w:pPr>
        <w:pStyle w:val="BodyText"/>
        <w:spacing w:before="36"/>
        <w:ind w:left="2528"/>
      </w:pPr>
      <w:r>
        <w:rPr>
          <w:position w:val="1"/>
        </w:rPr>
        <w:t>（2）动脉血氧分压（PaO</w:t>
      </w:r>
      <w:r>
        <w:rPr>
          <w:sz w:val="11"/>
        </w:rPr>
        <w:t>2</w:t>
      </w:r>
      <w:r>
        <w:rPr>
          <w:position w:val="1"/>
        </w:rPr>
        <w:t>）&lt; 50mmHg；</w:t>
      </w:r>
    </w:p>
    <w:p>
      <w:pPr>
        <w:pStyle w:val="BodyText"/>
        <w:spacing w:before="37"/>
        <w:ind w:left="2528"/>
      </w:pPr>
      <w:r>
        <w:rPr>
          <w:position w:val="1"/>
        </w:rPr>
        <w:t>（3）动脉血氧饱和度（SaO</w:t>
      </w:r>
      <w:r>
        <w:rPr>
          <w:sz w:val="11"/>
        </w:rPr>
        <w:t>2</w:t>
      </w:r>
      <w:r>
        <w:rPr>
          <w:position w:val="1"/>
        </w:rPr>
        <w:t>）&lt; 80％；</w:t>
      </w:r>
    </w:p>
    <w:p>
      <w:pPr>
        <w:spacing w:after="0"/>
        <w:sectPr>
          <w:type w:val="continuous"/>
          <w:pgSz w:w="11910" w:h="16840"/>
          <w:pgMar w:top="1160" w:bottom="280" w:left="1240" w:right="880"/>
        </w:sectPr>
      </w:pPr>
    </w:p>
    <w:p>
      <w:pPr>
        <w:pStyle w:val="BodyText"/>
        <w:spacing w:before="8"/>
        <w:ind w:left="2528"/>
      </w:pPr>
      <w:r>
        <w:rPr/>
        <w:t>（4）因缺氧必须接受持续的输氧治疗。</w:t>
      </w:r>
    </w:p>
    <w:p>
      <w:pPr>
        <w:pStyle w:val="BodyText"/>
        <w:spacing w:before="12"/>
      </w:pPr>
    </w:p>
    <w:p>
      <w:pPr>
        <w:pStyle w:val="ListParagraph"/>
        <w:numPr>
          <w:ilvl w:val="0"/>
          <w:numId w:val="7"/>
        </w:numPr>
        <w:tabs>
          <w:tab w:pos="543" w:val="left" w:leader="none"/>
          <w:tab w:pos="544" w:val="left" w:leader="none"/>
          <w:tab w:pos="2528" w:val="left" w:leader="none"/>
        </w:tabs>
        <w:spacing w:line="244" w:lineRule="auto" w:before="0" w:after="0"/>
        <w:ind w:left="2529" w:right="139" w:hanging="2427"/>
        <w:jc w:val="left"/>
        <w:rPr>
          <w:sz w:val="21"/>
        </w:rPr>
      </w:pPr>
      <w:r>
        <w:rPr>
          <w:rFonts w:ascii="微软雅黑" w:eastAsia="微软雅黑" w:hint="eastAsia"/>
          <w:b/>
          <w:sz w:val="21"/>
        </w:rPr>
        <w:t>肾髓质囊性病</w:t>
        <w:tab/>
      </w:r>
      <w:r>
        <w:rPr>
          <w:sz w:val="21"/>
        </w:rPr>
        <w:t>肾髓</w:t>
      </w:r>
      <w:r>
        <w:rPr>
          <w:spacing w:val="-3"/>
          <w:sz w:val="21"/>
        </w:rPr>
        <w:t>质</w:t>
      </w:r>
      <w:r>
        <w:rPr>
          <w:sz w:val="21"/>
        </w:rPr>
        <w:t>囊</w:t>
      </w:r>
      <w:r>
        <w:rPr>
          <w:spacing w:val="-3"/>
          <w:sz w:val="21"/>
        </w:rPr>
        <w:t>性</w:t>
      </w:r>
      <w:r>
        <w:rPr>
          <w:sz w:val="21"/>
        </w:rPr>
        <w:t>病</w:t>
      </w:r>
      <w:r>
        <w:rPr>
          <w:spacing w:val="-8"/>
          <w:sz w:val="21"/>
        </w:rPr>
        <w:t>，</w:t>
      </w:r>
      <w:r>
        <w:rPr>
          <w:sz w:val="21"/>
        </w:rPr>
        <w:t>一</w:t>
      </w:r>
      <w:r>
        <w:rPr>
          <w:spacing w:val="-3"/>
          <w:sz w:val="21"/>
        </w:rPr>
        <w:t>种</w:t>
      </w:r>
      <w:r>
        <w:rPr>
          <w:sz w:val="21"/>
        </w:rPr>
        <w:t>遗</w:t>
      </w:r>
      <w:r>
        <w:rPr>
          <w:spacing w:val="-3"/>
          <w:sz w:val="21"/>
        </w:rPr>
        <w:t>传</w:t>
      </w:r>
      <w:r>
        <w:rPr>
          <w:sz w:val="21"/>
        </w:rPr>
        <w:t>性肾</w:t>
      </w:r>
      <w:r>
        <w:rPr>
          <w:spacing w:val="-3"/>
          <w:sz w:val="21"/>
        </w:rPr>
        <w:t>脏</w:t>
      </w:r>
      <w:r>
        <w:rPr>
          <w:sz w:val="21"/>
        </w:rPr>
        <w:t>疾</w:t>
      </w:r>
      <w:r>
        <w:rPr>
          <w:spacing w:val="-3"/>
          <w:sz w:val="21"/>
        </w:rPr>
        <w:t>病</w:t>
      </w:r>
      <w:r>
        <w:rPr>
          <w:spacing w:val="-5"/>
          <w:sz w:val="21"/>
        </w:rPr>
        <w:t>，</w:t>
      </w:r>
      <w:r>
        <w:rPr>
          <w:spacing w:val="-3"/>
          <w:sz w:val="21"/>
        </w:rPr>
        <w:t>特</w:t>
      </w:r>
      <w:r>
        <w:rPr>
          <w:sz w:val="21"/>
        </w:rPr>
        <w:t>点</w:t>
      </w:r>
      <w:r>
        <w:rPr>
          <w:spacing w:val="-3"/>
          <w:sz w:val="21"/>
        </w:rPr>
        <w:t>为</w:t>
      </w:r>
      <w:r>
        <w:rPr>
          <w:sz w:val="21"/>
        </w:rPr>
        <w:t>肾</w:t>
      </w:r>
      <w:r>
        <w:rPr>
          <w:spacing w:val="-3"/>
          <w:sz w:val="21"/>
        </w:rPr>
        <w:t>髓</w:t>
      </w:r>
      <w:r>
        <w:rPr>
          <w:sz w:val="21"/>
        </w:rPr>
        <w:t>质多</w:t>
      </w:r>
      <w:r>
        <w:rPr>
          <w:spacing w:val="-3"/>
          <w:sz w:val="21"/>
        </w:rPr>
        <w:t>发</w:t>
      </w:r>
      <w:r>
        <w:rPr>
          <w:sz w:val="21"/>
        </w:rPr>
        <w:t>大</w:t>
      </w:r>
      <w:r>
        <w:rPr>
          <w:spacing w:val="-3"/>
          <w:sz w:val="21"/>
        </w:rPr>
        <w:t>小</w:t>
      </w:r>
      <w:r>
        <w:rPr>
          <w:sz w:val="21"/>
        </w:rPr>
        <w:t>不</w:t>
      </w:r>
      <w:r>
        <w:rPr>
          <w:spacing w:val="-3"/>
          <w:sz w:val="21"/>
        </w:rPr>
        <w:t>等</w:t>
      </w:r>
      <w:r>
        <w:rPr>
          <w:sz w:val="21"/>
        </w:rPr>
        <w:t>的</w:t>
      </w:r>
      <w:r>
        <w:rPr>
          <w:spacing w:val="-3"/>
          <w:sz w:val="21"/>
        </w:rPr>
        <w:t>囊</w:t>
      </w:r>
      <w:r>
        <w:rPr>
          <w:sz w:val="21"/>
        </w:rPr>
        <w:t>肿</w:t>
      </w:r>
      <w:r>
        <w:rPr>
          <w:spacing w:val="-3"/>
          <w:sz w:val="21"/>
        </w:rPr>
        <w:t>并</w:t>
      </w:r>
      <w:r>
        <w:rPr>
          <w:sz w:val="21"/>
        </w:rPr>
        <w:t>且 伴有</w:t>
      </w:r>
      <w:r>
        <w:rPr>
          <w:spacing w:val="-3"/>
          <w:sz w:val="21"/>
        </w:rPr>
        <w:t>小</w:t>
      </w:r>
      <w:r>
        <w:rPr>
          <w:sz w:val="21"/>
        </w:rPr>
        <w:t>管</w:t>
      </w:r>
      <w:r>
        <w:rPr>
          <w:spacing w:val="-3"/>
          <w:sz w:val="21"/>
        </w:rPr>
        <w:t>炎</w:t>
      </w:r>
      <w:r>
        <w:rPr>
          <w:sz w:val="21"/>
        </w:rPr>
        <w:t>症</w:t>
      </w:r>
      <w:r>
        <w:rPr>
          <w:spacing w:val="-3"/>
          <w:sz w:val="21"/>
        </w:rPr>
        <w:t>和</w:t>
      </w:r>
      <w:r>
        <w:rPr>
          <w:sz w:val="21"/>
        </w:rPr>
        <w:t>间</w:t>
      </w:r>
      <w:r>
        <w:rPr>
          <w:spacing w:val="-3"/>
          <w:sz w:val="21"/>
        </w:rPr>
        <w:t>质</w:t>
      </w:r>
      <w:r>
        <w:rPr>
          <w:sz w:val="21"/>
        </w:rPr>
        <w:t>性</w:t>
      </w:r>
      <w:r>
        <w:rPr>
          <w:spacing w:val="-3"/>
          <w:sz w:val="21"/>
        </w:rPr>
        <w:t>肾</w:t>
      </w:r>
      <w:r>
        <w:rPr>
          <w:sz w:val="21"/>
        </w:rPr>
        <w:t>炎。</w:t>
      </w:r>
      <w:r>
        <w:rPr>
          <w:spacing w:val="-3"/>
          <w:sz w:val="21"/>
        </w:rPr>
        <w:t>必</w:t>
      </w:r>
      <w:r>
        <w:rPr>
          <w:sz w:val="21"/>
        </w:rPr>
        <w:t>须</w:t>
      </w:r>
      <w:r>
        <w:rPr>
          <w:spacing w:val="-3"/>
          <w:sz w:val="21"/>
        </w:rPr>
        <w:t>满</w:t>
      </w:r>
      <w:r>
        <w:rPr>
          <w:sz w:val="21"/>
        </w:rPr>
        <w:t>足</w:t>
      </w:r>
      <w:r>
        <w:rPr>
          <w:spacing w:val="-3"/>
          <w:sz w:val="21"/>
        </w:rPr>
        <w:t>下</w:t>
      </w:r>
      <w:r>
        <w:rPr>
          <w:sz w:val="21"/>
        </w:rPr>
        <w:t>列</w:t>
      </w:r>
      <w:r>
        <w:rPr>
          <w:spacing w:val="-3"/>
          <w:sz w:val="21"/>
        </w:rPr>
        <w:t>所</w:t>
      </w:r>
      <w:r>
        <w:rPr>
          <w:sz w:val="21"/>
        </w:rPr>
        <w:t>有</w:t>
      </w:r>
      <w:r>
        <w:rPr>
          <w:spacing w:val="-3"/>
          <w:sz w:val="21"/>
        </w:rPr>
        <w:t>条</w:t>
      </w:r>
      <w:r>
        <w:rPr>
          <w:sz w:val="21"/>
        </w:rPr>
        <w:t>件：</w:t>
      </w:r>
    </w:p>
    <w:p>
      <w:pPr>
        <w:pStyle w:val="BodyText"/>
        <w:spacing w:before="33"/>
        <w:ind w:left="2528"/>
      </w:pPr>
      <w:r>
        <w:rPr/>
        <w:t>（1）经肾组织活检明确诊断；</w:t>
      </w:r>
    </w:p>
    <w:p>
      <w:pPr>
        <w:pStyle w:val="BodyText"/>
        <w:spacing w:before="37"/>
        <w:ind w:left="2528"/>
      </w:pPr>
      <w:r>
        <w:rPr/>
        <w:t>（2）临床有肾脏衰竭和肾小管功能障碍表现；</w:t>
      </w:r>
    </w:p>
    <w:p>
      <w:pPr>
        <w:spacing w:line="223" w:lineRule="auto" w:before="56"/>
        <w:ind w:left="2528" w:right="3597" w:firstLine="0"/>
        <w:jc w:val="left"/>
        <w:rPr>
          <w:rFonts w:ascii="微软雅黑" w:eastAsia="微软雅黑" w:hint="eastAsia"/>
          <w:b/>
          <w:sz w:val="21"/>
        </w:rPr>
      </w:pPr>
      <w:r>
        <w:rPr>
          <w:sz w:val="21"/>
        </w:rPr>
        <w:t>（3）影像学证据显示肾髓质多发囊肿。</w:t>
      </w:r>
      <w:r>
        <w:rPr>
          <w:rFonts w:ascii="微软雅黑" w:eastAsia="微软雅黑" w:hint="eastAsia"/>
          <w:b/>
          <w:sz w:val="21"/>
          <w:shd w:fill="D9D9D9" w:color="auto" w:val="clear"/>
        </w:rPr>
        <w:t>其他肾脏囊性病变不在本保障范围内。</w:t>
      </w:r>
    </w:p>
    <w:p>
      <w:pPr>
        <w:pStyle w:val="BodyText"/>
        <w:spacing w:before="11"/>
        <w:ind w:left="2528"/>
      </w:pPr>
      <w:r>
        <w:rPr/>
        <w:t>（本附加合同责任免除条款第八项不适用于此病种。）</w:t>
      </w:r>
    </w:p>
    <w:p>
      <w:pPr>
        <w:pStyle w:val="BodyText"/>
        <w:spacing w:before="11"/>
        <w:rPr>
          <w:sz w:val="23"/>
        </w:rPr>
      </w:pPr>
    </w:p>
    <w:p>
      <w:pPr>
        <w:spacing w:after="0"/>
        <w:rPr>
          <w:sz w:val="23"/>
        </w:rPr>
        <w:sectPr>
          <w:pgSz w:w="11910" w:h="16840"/>
          <w:pgMar w:header="0" w:footer="785" w:top="1360" w:bottom="980" w:left="1240" w:right="860"/>
        </w:sectPr>
      </w:pPr>
    </w:p>
    <w:p>
      <w:pPr>
        <w:pStyle w:val="ListParagraph"/>
        <w:numPr>
          <w:ilvl w:val="0"/>
          <w:numId w:val="7"/>
        </w:numPr>
        <w:tabs>
          <w:tab w:pos="543" w:val="left" w:leader="none"/>
          <w:tab w:pos="544" w:val="left" w:leader="none"/>
        </w:tabs>
        <w:spacing w:line="204" w:lineRule="auto" w:before="29" w:after="0"/>
        <w:ind w:left="543" w:right="0" w:hanging="441"/>
        <w:jc w:val="left"/>
        <w:rPr>
          <w:rFonts w:ascii="微软雅黑" w:eastAsia="微软雅黑" w:hint="eastAsia"/>
          <w:b/>
          <w:sz w:val="21"/>
        </w:rPr>
      </w:pPr>
      <w:r>
        <w:rPr>
          <w:rFonts w:ascii="微软雅黑" w:eastAsia="微软雅黑" w:hint="eastAsia"/>
          <w:b/>
          <w:sz w:val="21"/>
        </w:rPr>
        <w:t>自体造血干细胞移植</w:t>
      </w:r>
    </w:p>
    <w:p>
      <w:pPr>
        <w:pStyle w:val="BodyText"/>
        <w:spacing w:line="273" w:lineRule="auto" w:before="36"/>
        <w:ind w:left="102" w:right="138"/>
      </w:pPr>
      <w:r>
        <w:rPr/>
        <w:br w:type="column"/>
      </w:r>
      <w:r>
        <w:rPr/>
        <w:t>被保险人因急性白血病、恶性淋巴瘤或多发性骨髓瘤实际接受了自体造血干细胞移植。</w:t>
      </w:r>
    </w:p>
    <w:p>
      <w:pPr>
        <w:spacing w:line="283" w:lineRule="exact" w:before="0"/>
        <w:ind w:left="102" w:right="0" w:firstLine="0"/>
        <w:jc w:val="left"/>
        <w:rPr>
          <w:rFonts w:ascii="微软雅黑" w:eastAsia="微软雅黑" w:hint="eastAsia"/>
          <w:b/>
          <w:sz w:val="21"/>
        </w:rPr>
      </w:pPr>
      <w:r>
        <w:rPr>
          <w:rFonts w:ascii="微软雅黑" w:eastAsia="微软雅黑" w:hint="eastAsia"/>
          <w:b/>
          <w:sz w:val="21"/>
          <w:shd w:fill="D9D9D9" w:color="auto" w:val="clear"/>
        </w:rPr>
        <w:t>以下情况不在本保障范围内：</w:t>
      </w:r>
    </w:p>
    <w:p>
      <w:pPr>
        <w:spacing w:line="312" w:lineRule="exact" w:before="0"/>
        <w:ind w:left="102" w:right="0" w:firstLine="0"/>
        <w:jc w:val="left"/>
        <w:rPr>
          <w:rFonts w:ascii="微软雅黑" w:eastAsia="微软雅黑" w:hint="eastAsia"/>
          <w:b/>
          <w:sz w:val="21"/>
        </w:rPr>
      </w:pPr>
      <w:r>
        <w:rPr>
          <w:rFonts w:ascii="微软雅黑" w:eastAsia="微软雅黑" w:hint="eastAsia"/>
          <w:b/>
          <w:sz w:val="21"/>
          <w:shd w:fill="D9D9D9" w:color="auto" w:val="clear"/>
        </w:rPr>
        <w:t>（1）因上述所列疾病以外疾病接受自体造血干细胞移植；</w:t>
      </w:r>
    </w:p>
    <w:p>
      <w:pPr>
        <w:spacing w:line="337" w:lineRule="exact" w:before="0"/>
        <w:ind w:left="102" w:right="0" w:firstLine="0"/>
        <w:jc w:val="left"/>
        <w:rPr>
          <w:rFonts w:ascii="微软雅黑" w:eastAsia="微软雅黑" w:hint="eastAsia"/>
          <w:b/>
          <w:sz w:val="21"/>
        </w:rPr>
      </w:pPr>
      <w:r>
        <w:rPr>
          <w:rFonts w:ascii="微软雅黑" w:eastAsia="微软雅黑" w:hint="eastAsia"/>
          <w:b/>
          <w:w w:val="95"/>
          <w:sz w:val="21"/>
          <w:shd w:fill="D9D9D9" w:color="auto" w:val="clear"/>
        </w:rPr>
        <w:t>（2）非造血干细胞移植。</w:t>
      </w:r>
    </w:p>
    <w:p>
      <w:pPr>
        <w:spacing w:after="0" w:line="337" w:lineRule="exact"/>
        <w:jc w:val="left"/>
        <w:rPr>
          <w:rFonts w:ascii="微软雅黑" w:eastAsia="微软雅黑" w:hint="eastAsia"/>
          <w:sz w:val="21"/>
        </w:rPr>
        <w:sectPr>
          <w:type w:val="continuous"/>
          <w:pgSz w:w="11910" w:h="16840"/>
          <w:pgMar w:top="1160" w:bottom="280" w:left="1240" w:right="860"/>
          <w:cols w:num="2" w:equalWidth="0">
            <w:col w:w="2234" w:space="193"/>
            <w:col w:w="7383"/>
          </w:cols>
        </w:sectPr>
      </w:pPr>
    </w:p>
    <w:p>
      <w:pPr>
        <w:pStyle w:val="BodyText"/>
        <w:spacing w:before="11"/>
        <w:rPr>
          <w:rFonts w:ascii="微软雅黑"/>
          <w:b/>
          <w:sz w:val="16"/>
        </w:rPr>
      </w:pPr>
    </w:p>
    <w:p>
      <w:pPr>
        <w:pStyle w:val="ListParagraph"/>
        <w:numPr>
          <w:ilvl w:val="0"/>
          <w:numId w:val="7"/>
        </w:numPr>
        <w:tabs>
          <w:tab w:pos="544" w:val="left" w:leader="none"/>
        </w:tabs>
        <w:spacing w:line="312" w:lineRule="exact" w:before="32" w:after="0"/>
        <w:ind w:left="2529" w:right="129" w:hanging="2427"/>
        <w:jc w:val="both"/>
        <w:rPr>
          <w:sz w:val="21"/>
        </w:rPr>
      </w:pPr>
      <w:r>
        <w:rPr>
          <w:rFonts w:ascii="微软雅黑" w:eastAsia="微软雅黑" w:hint="eastAsia"/>
          <w:b/>
          <w:spacing w:val="3"/>
          <w:sz w:val="21"/>
        </w:rPr>
        <w:t>严重溃疡性结肠炎   </w:t>
      </w:r>
      <w:r>
        <w:rPr>
          <w:spacing w:val="1"/>
          <w:sz w:val="21"/>
        </w:rPr>
        <w:t>本保单所保障的溃疡性结肠炎是指伴有致命性电解质紊乱的急性暴发性溃疡</w:t>
      </w:r>
      <w:r>
        <w:rPr>
          <w:spacing w:val="-5"/>
          <w:sz w:val="21"/>
        </w:rPr>
        <w:t>性结肠炎，病变累及全结肠，表现为严重的血便和系统性症状体征，治疗通常</w:t>
      </w:r>
      <w:r>
        <w:rPr>
          <w:spacing w:val="-4"/>
          <w:sz w:val="21"/>
        </w:rPr>
        <w:t>采取全结肠切除和回肠造瘘术。溃疡性结肠炎必须根据组织病理学特点诊断， </w:t>
      </w:r>
      <w:r>
        <w:rPr>
          <w:spacing w:val="-3"/>
          <w:sz w:val="21"/>
        </w:rPr>
        <w:t>并且被保险人已经接受了结肠切除和回肠造瘘术。</w:t>
      </w:r>
    </w:p>
    <w:p>
      <w:pPr>
        <w:pStyle w:val="BodyText"/>
        <w:spacing w:before="4"/>
        <w:rPr>
          <w:sz w:val="19"/>
        </w:rPr>
      </w:pPr>
    </w:p>
    <w:p>
      <w:pPr>
        <w:pStyle w:val="ListParagraph"/>
        <w:numPr>
          <w:ilvl w:val="0"/>
          <w:numId w:val="7"/>
        </w:numPr>
        <w:tabs>
          <w:tab w:pos="544" w:val="left" w:leader="none"/>
        </w:tabs>
        <w:spacing w:line="256" w:lineRule="auto" w:before="0" w:after="0"/>
        <w:ind w:left="2529" w:right="138" w:hanging="2427"/>
        <w:jc w:val="both"/>
        <w:rPr>
          <w:sz w:val="21"/>
        </w:rPr>
      </w:pPr>
      <w:r>
        <w:rPr>
          <w:rFonts w:ascii="微软雅黑" w:eastAsia="微软雅黑" w:hint="eastAsia"/>
          <w:b/>
          <w:spacing w:val="3"/>
          <w:sz w:val="21"/>
        </w:rPr>
        <w:t>肺淋巴管肌瘤病     </w:t>
      </w:r>
      <w:r>
        <w:rPr>
          <w:spacing w:val="-4"/>
          <w:sz w:val="21"/>
        </w:rPr>
        <w:t>肺淋巴管肌瘤病是一种弥漫性肺部疾病，其特征性病理表现为囊性病变及不成熟的平滑肌细胞和血管周围上皮细胞异常增生形成多发结节。必须满足下列所</w:t>
      </w:r>
      <w:r>
        <w:rPr>
          <w:spacing w:val="-3"/>
          <w:sz w:val="21"/>
        </w:rPr>
        <w:t>有条件：</w:t>
      </w:r>
    </w:p>
    <w:p>
      <w:pPr>
        <w:pStyle w:val="BodyText"/>
        <w:spacing w:before="22"/>
        <w:ind w:left="2528"/>
      </w:pPr>
      <w:r>
        <w:rPr/>
        <w:t>（1）经组织病理学检查明确诊断；</w:t>
      </w:r>
    </w:p>
    <w:p>
      <w:pPr>
        <w:pStyle w:val="BodyText"/>
        <w:spacing w:before="37"/>
        <w:ind w:left="2528"/>
      </w:pPr>
      <w:r>
        <w:rPr/>
        <w:t>（2）CT 显示双肺弥漫性囊性改变；</w:t>
      </w:r>
    </w:p>
    <w:p>
      <w:pPr>
        <w:pStyle w:val="BodyText"/>
        <w:spacing w:before="36"/>
        <w:ind w:left="2528"/>
      </w:pPr>
      <w:r>
        <w:rPr/>
        <w:t>（3）肺功能检查显示 FEV1 和 DLCO（CO 弥散功能）下降；</w:t>
      </w:r>
    </w:p>
    <w:p>
      <w:pPr>
        <w:pStyle w:val="BodyText"/>
        <w:spacing w:line="262" w:lineRule="exact" w:before="36"/>
        <w:ind w:left="2528"/>
      </w:pPr>
      <w:r>
        <w:rPr/>
        <w:t>（4）动脉血气分析显示低氧血症。</w:t>
      </w:r>
    </w:p>
    <w:p>
      <w:pPr>
        <w:spacing w:line="350" w:lineRule="exact" w:before="0"/>
        <w:ind w:left="2528" w:right="0" w:firstLine="0"/>
        <w:jc w:val="left"/>
        <w:rPr>
          <w:rFonts w:ascii="微软雅黑" w:eastAsia="微软雅黑" w:hint="eastAsia"/>
          <w:b/>
          <w:sz w:val="21"/>
        </w:rPr>
      </w:pPr>
      <w:r>
        <w:rPr>
          <w:rFonts w:ascii="微软雅黑" w:eastAsia="微软雅黑" w:hint="eastAsia"/>
          <w:b/>
          <w:sz w:val="21"/>
          <w:shd w:fill="D9D9D9" w:color="auto" w:val="clear"/>
        </w:rPr>
        <w:t>疑似肺淋巴管肌瘤病不在本保障范围内。</w:t>
      </w:r>
    </w:p>
    <w:p>
      <w:pPr>
        <w:pStyle w:val="BodyText"/>
        <w:spacing w:before="11"/>
        <w:rPr>
          <w:rFonts w:ascii="微软雅黑"/>
          <w:b/>
          <w:sz w:val="16"/>
        </w:rPr>
      </w:pPr>
    </w:p>
    <w:p>
      <w:pPr>
        <w:spacing w:after="0"/>
        <w:rPr>
          <w:rFonts w:ascii="微软雅黑"/>
          <w:sz w:val="16"/>
        </w:rPr>
        <w:sectPr>
          <w:type w:val="continuous"/>
          <w:pgSz w:w="11910" w:h="16840"/>
          <w:pgMar w:top="1160" w:bottom="280" w:left="1240" w:right="860"/>
        </w:sectPr>
      </w:pPr>
    </w:p>
    <w:p>
      <w:pPr>
        <w:pStyle w:val="ListParagraph"/>
        <w:numPr>
          <w:ilvl w:val="0"/>
          <w:numId w:val="7"/>
        </w:numPr>
        <w:tabs>
          <w:tab w:pos="543" w:val="left" w:leader="none"/>
          <w:tab w:pos="544" w:val="left" w:leader="none"/>
        </w:tabs>
        <w:spacing w:line="204" w:lineRule="auto" w:before="29" w:after="0"/>
        <w:ind w:left="543" w:right="0" w:hanging="441"/>
        <w:jc w:val="left"/>
        <w:rPr>
          <w:rFonts w:ascii="微软雅黑" w:eastAsia="微软雅黑" w:hint="eastAsia"/>
          <w:b/>
          <w:sz w:val="21"/>
        </w:rPr>
      </w:pPr>
      <w:r>
        <w:rPr>
          <w:rFonts w:ascii="微软雅黑" w:eastAsia="微软雅黑" w:hint="eastAsia"/>
          <w:b/>
          <w:sz w:val="21"/>
        </w:rPr>
        <w:t>严重原发性硬化性胆管炎</w:t>
      </w:r>
    </w:p>
    <w:p>
      <w:pPr>
        <w:pStyle w:val="BodyText"/>
        <w:spacing w:line="273" w:lineRule="auto" w:before="37"/>
        <w:ind w:left="102" w:right="143"/>
      </w:pPr>
      <w:r>
        <w:rPr/>
        <w:br w:type="column"/>
      </w:r>
      <w:r>
        <w:rPr/>
        <w:t>为一种特发型淤胆性疾病，特点为肝内及肝外胆道系统胆管壁增厚和管腔狭窄。必须满足下列所有条件：</w:t>
      </w:r>
    </w:p>
    <w:p>
      <w:pPr>
        <w:pStyle w:val="BodyText"/>
        <w:spacing w:before="8"/>
        <w:ind w:left="102"/>
      </w:pPr>
      <w:r>
        <w:rPr/>
        <w:t>（1）诊断由逆行胰胆管造影（ERCP）或经皮胆管造影（PTC）确认；</w:t>
      </w:r>
    </w:p>
    <w:p>
      <w:pPr>
        <w:pStyle w:val="BodyText"/>
        <w:spacing w:before="37"/>
        <w:ind w:left="102"/>
      </w:pPr>
      <w:r>
        <w:rPr/>
        <w:t>（2）持续性黄疸伴碱性磷酸酶（ALP）显著升高；</w:t>
      </w:r>
    </w:p>
    <w:p>
      <w:pPr>
        <w:pStyle w:val="BodyText"/>
        <w:spacing w:before="37"/>
        <w:ind w:left="102"/>
      </w:pPr>
      <w:r>
        <w:rPr/>
        <w:t>（3）出现继发性胆汁性肝硬化和门静脉高压。</w:t>
      </w:r>
    </w:p>
    <w:p>
      <w:pPr>
        <w:spacing w:after="0"/>
        <w:sectPr>
          <w:type w:val="continuous"/>
          <w:pgSz w:w="11910" w:h="16840"/>
          <w:pgMar w:top="1160" w:bottom="280" w:left="1240" w:right="860"/>
          <w:cols w:num="2" w:equalWidth="0">
            <w:col w:w="2234" w:space="193"/>
            <w:col w:w="7383"/>
          </w:cols>
        </w:sectPr>
      </w:pPr>
    </w:p>
    <w:p>
      <w:pPr>
        <w:pStyle w:val="BodyText"/>
        <w:spacing w:before="12"/>
        <w:rPr>
          <w:sz w:val="23"/>
        </w:rPr>
      </w:pPr>
    </w:p>
    <w:p>
      <w:pPr>
        <w:pStyle w:val="ListParagraph"/>
        <w:numPr>
          <w:ilvl w:val="0"/>
          <w:numId w:val="7"/>
        </w:numPr>
        <w:tabs>
          <w:tab w:pos="543" w:val="left" w:leader="none"/>
          <w:tab w:pos="544" w:val="left" w:leader="none"/>
          <w:tab w:pos="2528" w:val="left" w:leader="none"/>
        </w:tabs>
        <w:spacing w:line="312" w:lineRule="exact" w:before="32" w:after="0"/>
        <w:ind w:left="2529" w:right="139" w:hanging="2427"/>
        <w:jc w:val="left"/>
        <w:rPr>
          <w:sz w:val="21"/>
        </w:rPr>
      </w:pPr>
      <w:r>
        <w:rPr>
          <w:rFonts w:ascii="微软雅黑" w:eastAsia="微软雅黑" w:hint="eastAsia"/>
          <w:b/>
          <w:sz w:val="21"/>
        </w:rPr>
        <w:t>原发性骨髓纤维化</w:t>
        <w:tab/>
      </w:r>
      <w:r>
        <w:rPr>
          <w:sz w:val="21"/>
        </w:rPr>
        <w:t>原发</w:t>
      </w:r>
      <w:r>
        <w:rPr>
          <w:spacing w:val="-3"/>
          <w:sz w:val="21"/>
        </w:rPr>
        <w:t>性</w:t>
      </w:r>
      <w:r>
        <w:rPr>
          <w:sz w:val="21"/>
        </w:rPr>
        <w:t>骨</w:t>
      </w:r>
      <w:r>
        <w:rPr>
          <w:spacing w:val="-3"/>
          <w:sz w:val="21"/>
        </w:rPr>
        <w:t>髓</w:t>
      </w:r>
      <w:r>
        <w:rPr>
          <w:sz w:val="21"/>
        </w:rPr>
        <w:t>纤</w:t>
      </w:r>
      <w:r>
        <w:rPr>
          <w:spacing w:val="-3"/>
          <w:sz w:val="21"/>
        </w:rPr>
        <w:t>维</w:t>
      </w:r>
      <w:r>
        <w:rPr>
          <w:sz w:val="21"/>
        </w:rPr>
        <w:t>化</w:t>
      </w:r>
      <w:r>
        <w:rPr>
          <w:spacing w:val="-3"/>
          <w:sz w:val="21"/>
        </w:rPr>
        <w:t>以</w:t>
      </w:r>
      <w:r>
        <w:rPr>
          <w:sz w:val="21"/>
        </w:rPr>
        <w:t>骨</w:t>
      </w:r>
      <w:r>
        <w:rPr>
          <w:spacing w:val="-3"/>
          <w:sz w:val="21"/>
        </w:rPr>
        <w:t>髓</w:t>
      </w:r>
      <w:r>
        <w:rPr>
          <w:sz w:val="21"/>
        </w:rPr>
        <w:t>纤维</w:t>
      </w:r>
      <w:r>
        <w:rPr>
          <w:spacing w:val="-3"/>
          <w:sz w:val="21"/>
        </w:rPr>
        <w:t>增</w:t>
      </w:r>
      <w:r>
        <w:rPr>
          <w:sz w:val="21"/>
        </w:rPr>
        <w:t>生</w:t>
      </w:r>
      <w:r>
        <w:rPr>
          <w:spacing w:val="-3"/>
          <w:sz w:val="21"/>
        </w:rPr>
        <w:t>和</w:t>
      </w:r>
      <w:r>
        <w:rPr>
          <w:sz w:val="21"/>
        </w:rPr>
        <w:t>髓</w:t>
      </w:r>
      <w:r>
        <w:rPr>
          <w:spacing w:val="-3"/>
          <w:sz w:val="21"/>
        </w:rPr>
        <w:t>外</w:t>
      </w:r>
      <w:r>
        <w:rPr>
          <w:sz w:val="21"/>
        </w:rPr>
        <w:t>造</w:t>
      </w:r>
      <w:r>
        <w:rPr>
          <w:spacing w:val="-3"/>
          <w:sz w:val="21"/>
        </w:rPr>
        <w:t>血</w:t>
      </w:r>
      <w:r>
        <w:rPr>
          <w:sz w:val="21"/>
        </w:rPr>
        <w:t>为</w:t>
      </w:r>
      <w:r>
        <w:rPr>
          <w:spacing w:val="-3"/>
          <w:sz w:val="21"/>
        </w:rPr>
        <w:t>特</w:t>
      </w:r>
      <w:r>
        <w:rPr>
          <w:sz w:val="21"/>
        </w:rPr>
        <w:t>点</w:t>
      </w:r>
      <w:r>
        <w:rPr>
          <w:spacing w:val="-5"/>
          <w:sz w:val="21"/>
        </w:rPr>
        <w:t>，</w:t>
      </w:r>
      <w:r>
        <w:rPr>
          <w:spacing w:val="-3"/>
          <w:sz w:val="21"/>
        </w:rPr>
        <w:t>表</w:t>
      </w:r>
      <w:r>
        <w:rPr>
          <w:sz w:val="21"/>
        </w:rPr>
        <w:t>现</w:t>
      </w:r>
      <w:r>
        <w:rPr>
          <w:spacing w:val="-3"/>
          <w:sz w:val="21"/>
        </w:rPr>
        <w:t>为</w:t>
      </w:r>
      <w:r>
        <w:rPr>
          <w:sz w:val="21"/>
        </w:rPr>
        <w:t>进</w:t>
      </w:r>
      <w:r>
        <w:rPr>
          <w:spacing w:val="-3"/>
          <w:sz w:val="21"/>
        </w:rPr>
        <w:t>行</w:t>
      </w:r>
      <w:r>
        <w:rPr>
          <w:sz w:val="21"/>
        </w:rPr>
        <w:t>性</w:t>
      </w:r>
      <w:r>
        <w:rPr>
          <w:spacing w:val="-3"/>
          <w:sz w:val="21"/>
        </w:rPr>
        <w:t>贫</w:t>
      </w:r>
      <w:r>
        <w:rPr>
          <w:sz w:val="21"/>
        </w:rPr>
        <w:t>血</w:t>
      </w:r>
      <w:r>
        <w:rPr>
          <w:spacing w:val="-8"/>
          <w:sz w:val="21"/>
        </w:rPr>
        <w:t>、</w:t>
      </w:r>
      <w:r>
        <w:rPr>
          <w:sz w:val="21"/>
        </w:rPr>
        <w:t>脾 肿大</w:t>
      </w:r>
      <w:r>
        <w:rPr>
          <w:spacing w:val="-3"/>
          <w:sz w:val="21"/>
        </w:rPr>
        <w:t>、</w:t>
      </w:r>
      <w:r>
        <w:rPr>
          <w:sz w:val="21"/>
        </w:rPr>
        <w:t>外</w:t>
      </w:r>
      <w:r>
        <w:rPr>
          <w:spacing w:val="-3"/>
          <w:sz w:val="21"/>
        </w:rPr>
        <w:t>周</w:t>
      </w:r>
      <w:r>
        <w:rPr>
          <w:sz w:val="21"/>
        </w:rPr>
        <w:t>血</w:t>
      </w:r>
      <w:r>
        <w:rPr>
          <w:spacing w:val="-3"/>
          <w:sz w:val="21"/>
        </w:rPr>
        <w:t>幼</w:t>
      </w:r>
      <w:r>
        <w:rPr>
          <w:sz w:val="21"/>
        </w:rPr>
        <w:t>稚</w:t>
      </w:r>
      <w:r>
        <w:rPr>
          <w:spacing w:val="-3"/>
          <w:sz w:val="21"/>
        </w:rPr>
        <w:t>细</w:t>
      </w:r>
      <w:r>
        <w:rPr>
          <w:sz w:val="21"/>
        </w:rPr>
        <w:t>胞</w:t>
      </w:r>
      <w:r>
        <w:rPr>
          <w:spacing w:val="-3"/>
          <w:sz w:val="21"/>
        </w:rPr>
        <w:t>等</w:t>
      </w:r>
      <w:r>
        <w:rPr>
          <w:sz w:val="21"/>
        </w:rPr>
        <w:t>等。</w:t>
      </w:r>
    </w:p>
    <w:p>
      <w:pPr>
        <w:pStyle w:val="BodyText"/>
        <w:spacing w:line="273" w:lineRule="auto" w:before="4"/>
        <w:ind w:left="2528" w:right="138"/>
      </w:pPr>
      <w:r>
        <w:rPr/>
        <w:t>被保险人须经由骨髓活检明确诊断为原发性骨髓纤维化，并满足下列所有条件且持续 180 天：</w:t>
      </w:r>
    </w:p>
    <w:p>
      <w:pPr>
        <w:pStyle w:val="BodyText"/>
        <w:spacing w:line="260" w:lineRule="exact"/>
        <w:ind w:left="2528"/>
      </w:pPr>
      <w:r>
        <w:rPr/>
        <w:t>（1）血红蛋白&lt;100g/l；</w:t>
      </w:r>
    </w:p>
    <w:p>
      <w:pPr>
        <w:pStyle w:val="BodyText"/>
        <w:spacing w:line="272" w:lineRule="exact"/>
        <w:ind w:left="2528"/>
      </w:pPr>
      <w:r>
        <w:rPr/>
        <w:t>（2）白细胞计数&gt;25×10</w:t>
      </w:r>
      <w:r>
        <w:rPr>
          <w:position w:val="11"/>
          <w:sz w:val="11"/>
        </w:rPr>
        <w:t>9</w:t>
      </w:r>
      <w:r>
        <w:rPr/>
        <w:t>/L；</w:t>
      </w:r>
    </w:p>
    <w:p>
      <w:pPr>
        <w:pStyle w:val="BodyText"/>
        <w:spacing w:line="272" w:lineRule="exact"/>
        <w:ind w:left="2528"/>
      </w:pPr>
      <w:r>
        <w:rPr/>
        <w:t>（3）外周血原始细胞≥1%；</w:t>
      </w:r>
    </w:p>
    <w:p>
      <w:pPr>
        <w:pStyle w:val="BodyText"/>
        <w:spacing w:line="252" w:lineRule="exact"/>
        <w:ind w:left="2528"/>
      </w:pPr>
      <w:r>
        <w:rPr/>
        <w:t>（4）血小板计数&lt;100×10</w:t>
      </w:r>
      <w:r>
        <w:rPr>
          <w:position w:val="11"/>
          <w:sz w:val="11"/>
        </w:rPr>
        <w:t>9</w:t>
      </w:r>
      <w:r>
        <w:rPr/>
        <w:t>/L。</w:t>
      </w:r>
    </w:p>
    <w:p>
      <w:pPr>
        <w:spacing w:line="340" w:lineRule="exact" w:before="0"/>
        <w:ind w:left="2528" w:right="0" w:firstLine="0"/>
        <w:jc w:val="left"/>
        <w:rPr>
          <w:rFonts w:ascii="微软雅黑" w:eastAsia="微软雅黑" w:hint="eastAsia"/>
          <w:b/>
          <w:sz w:val="21"/>
        </w:rPr>
      </w:pPr>
      <w:r>
        <w:rPr>
          <w:rFonts w:ascii="微软雅黑" w:eastAsia="微软雅黑" w:hint="eastAsia"/>
          <w:b/>
          <w:sz w:val="21"/>
          <w:shd w:fill="D9D9D9" w:color="auto" w:val="clear"/>
        </w:rPr>
        <w:t>恶性肿瘤、中毒、放射线和感染所致的继发性骨髓纤维化不在本保障范围内。</w:t>
      </w:r>
    </w:p>
    <w:p>
      <w:pPr>
        <w:spacing w:after="0" w:line="340" w:lineRule="exact"/>
        <w:jc w:val="left"/>
        <w:rPr>
          <w:rFonts w:ascii="微软雅黑" w:eastAsia="微软雅黑" w:hint="eastAsia"/>
          <w:sz w:val="21"/>
        </w:rPr>
        <w:sectPr>
          <w:type w:val="continuous"/>
          <w:pgSz w:w="11910" w:h="16840"/>
          <w:pgMar w:top="1160" w:bottom="280" w:left="1240" w:right="860"/>
        </w:sect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1999"/>
        <w:gridCol w:w="7492"/>
      </w:tblGrid>
      <w:tr>
        <w:trPr>
          <w:trHeight w:val="2304" w:hRule="atLeast"/>
        </w:trPr>
        <w:tc>
          <w:tcPr>
            <w:tcW w:w="534" w:type="dxa"/>
          </w:tcPr>
          <w:p>
            <w:pPr>
              <w:pStyle w:val="TableParagraph"/>
              <w:spacing w:line="230" w:lineRule="exact"/>
              <w:ind w:right="106"/>
              <w:jc w:val="right"/>
              <w:rPr>
                <w:rFonts w:ascii="Calibri"/>
                <w:sz w:val="22"/>
              </w:rPr>
            </w:pPr>
            <w:r>
              <w:rPr>
                <w:rFonts w:ascii="Calibri"/>
                <w:sz w:val="22"/>
              </w:rPr>
              <w:t>19</w:t>
            </w:r>
          </w:p>
        </w:tc>
        <w:tc>
          <w:tcPr>
            <w:tcW w:w="1999" w:type="dxa"/>
          </w:tcPr>
          <w:p>
            <w:pPr>
              <w:pStyle w:val="TableParagraph"/>
              <w:spacing w:line="203" w:lineRule="exact"/>
              <w:ind w:left="107"/>
              <w:rPr>
                <w:rFonts w:ascii="微软雅黑" w:eastAsia="微软雅黑" w:hint="eastAsia"/>
                <w:b/>
                <w:sz w:val="21"/>
              </w:rPr>
            </w:pPr>
            <w:r>
              <w:rPr>
                <w:rFonts w:ascii="微软雅黑" w:eastAsia="微软雅黑" w:hint="eastAsia"/>
                <w:b/>
                <w:sz w:val="21"/>
              </w:rPr>
              <w:t>重型再生障碍性贫</w:t>
            </w:r>
          </w:p>
          <w:p>
            <w:pPr>
              <w:pStyle w:val="TableParagraph"/>
              <w:spacing w:line="338" w:lineRule="exact"/>
              <w:ind w:left="107"/>
              <w:rPr>
                <w:rFonts w:ascii="微软雅黑" w:eastAsia="微软雅黑" w:hint="eastAsia"/>
                <w:b/>
                <w:sz w:val="21"/>
              </w:rPr>
            </w:pPr>
            <w:r>
              <w:rPr>
                <w:rFonts w:ascii="微软雅黑" w:eastAsia="微软雅黑" w:hint="eastAsia"/>
                <w:b/>
                <w:w w:val="100"/>
                <w:sz w:val="21"/>
              </w:rPr>
              <w:t>血</w:t>
            </w:r>
          </w:p>
        </w:tc>
        <w:tc>
          <w:tcPr>
            <w:tcW w:w="7492" w:type="dxa"/>
          </w:tcPr>
          <w:p>
            <w:pPr>
              <w:pStyle w:val="TableParagraph"/>
              <w:spacing w:line="203" w:lineRule="exact"/>
              <w:ind w:left="93"/>
              <w:rPr>
                <w:sz w:val="21"/>
              </w:rPr>
            </w:pPr>
            <w:r>
              <w:rPr>
                <w:sz w:val="21"/>
              </w:rPr>
              <w:t>指因骨髓造血功能慢性持续性衰竭导致的贫血、中性粒细胞减少及血小板减</w:t>
            </w:r>
          </w:p>
          <w:p>
            <w:pPr>
              <w:pStyle w:val="TableParagraph"/>
              <w:spacing w:before="37"/>
              <w:ind w:left="93"/>
              <w:rPr>
                <w:sz w:val="21"/>
              </w:rPr>
            </w:pPr>
            <w:r>
              <w:rPr>
                <w:sz w:val="21"/>
              </w:rPr>
              <w:t>少。须满足下列全部条件：</w:t>
            </w:r>
          </w:p>
          <w:p>
            <w:pPr>
              <w:pStyle w:val="TableParagraph"/>
              <w:spacing w:before="36"/>
              <w:ind w:left="93"/>
              <w:rPr>
                <w:sz w:val="21"/>
              </w:rPr>
            </w:pPr>
            <w:r>
              <w:rPr>
                <w:sz w:val="21"/>
              </w:rPr>
              <w:t>（1）骨髓穿刺检查或骨髓活检结果支持诊断；</w:t>
            </w:r>
          </w:p>
          <w:p>
            <w:pPr>
              <w:pStyle w:val="TableParagraph"/>
              <w:spacing w:before="36"/>
              <w:ind w:left="93"/>
              <w:rPr>
                <w:sz w:val="21"/>
              </w:rPr>
            </w:pPr>
            <w:r>
              <w:rPr>
                <w:sz w:val="21"/>
              </w:rPr>
              <w:t>（2）外周血象须具备以下三项条件：</w:t>
            </w:r>
          </w:p>
          <w:p>
            <w:pPr>
              <w:pStyle w:val="TableParagraph"/>
              <w:spacing w:before="50"/>
              <w:ind w:left="513"/>
              <w:rPr>
                <w:sz w:val="21"/>
              </w:rPr>
            </w:pPr>
            <w:r>
              <w:rPr>
                <w:sz w:val="21"/>
              </w:rPr>
              <w:t>①中性粒细胞绝对值</w:t>
            </w:r>
            <w:r>
              <w:rPr>
                <w:rFonts w:ascii="Symbol" w:hAnsi="Symbol" w:eastAsia="Symbol"/>
                <w:sz w:val="21"/>
              </w:rPr>
              <w:t></w:t>
            </w:r>
            <w:r>
              <w:rPr>
                <w:rFonts w:ascii="Times New Roman" w:hAnsi="Times New Roman" w:eastAsia="Times New Roman"/>
                <w:sz w:val="21"/>
              </w:rPr>
              <w:t> 0.5</w:t>
            </w:r>
            <w:r>
              <w:rPr>
                <w:rFonts w:ascii="Symbol" w:hAnsi="Symbol" w:eastAsia="Symbol"/>
                <w:sz w:val="21"/>
              </w:rPr>
              <w:t></w:t>
            </w:r>
            <w:r>
              <w:rPr>
                <w:rFonts w:ascii="Times New Roman" w:hAnsi="Times New Roman" w:eastAsia="Times New Roman"/>
                <w:sz w:val="21"/>
              </w:rPr>
              <w:t>10</w:t>
            </w:r>
            <w:r>
              <w:rPr>
                <w:rFonts w:ascii="Times New Roman" w:hAnsi="Times New Roman" w:eastAsia="Times New Roman"/>
                <w:position w:val="9"/>
                <w:sz w:val="12"/>
              </w:rPr>
              <w:t>9  </w:t>
            </w:r>
            <w:r>
              <w:rPr>
                <w:rFonts w:ascii="Times New Roman" w:hAnsi="Times New Roman" w:eastAsia="Times New Roman"/>
                <w:sz w:val="21"/>
              </w:rPr>
              <w:t>/ </w:t>
            </w:r>
            <w:r>
              <w:rPr>
                <w:rFonts w:ascii="Times New Roman" w:hAnsi="Times New Roman" w:eastAsia="Times New Roman"/>
                <w:i/>
                <w:sz w:val="21"/>
              </w:rPr>
              <w:t>L </w:t>
            </w:r>
            <w:r>
              <w:rPr>
                <w:sz w:val="21"/>
              </w:rPr>
              <w:t>；</w:t>
            </w:r>
          </w:p>
          <w:p>
            <w:pPr>
              <w:pStyle w:val="TableParagraph"/>
              <w:spacing w:before="9"/>
              <w:ind w:left="513"/>
              <w:rPr>
                <w:sz w:val="21"/>
              </w:rPr>
            </w:pPr>
            <w:r>
              <w:rPr>
                <w:sz w:val="21"/>
              </w:rPr>
              <w:t>②网织红细胞</w:t>
            </w:r>
            <w:r>
              <w:rPr>
                <w:rFonts w:ascii="Symbol" w:hAnsi="Symbol" w:eastAsia="Symbol"/>
                <w:sz w:val="20"/>
              </w:rPr>
              <w:t></w:t>
            </w:r>
            <w:r>
              <w:rPr>
                <w:rFonts w:ascii="Times New Roman" w:hAnsi="Times New Roman" w:eastAsia="Times New Roman"/>
                <w:sz w:val="20"/>
              </w:rPr>
              <w:t> 1% </w:t>
            </w:r>
            <w:r>
              <w:rPr>
                <w:sz w:val="21"/>
              </w:rPr>
              <w:t>；</w:t>
            </w:r>
          </w:p>
          <w:p>
            <w:pPr>
              <w:pStyle w:val="TableParagraph"/>
              <w:spacing w:before="34"/>
              <w:ind w:left="513"/>
              <w:rPr>
                <w:rFonts w:ascii="Times New Roman" w:hAnsi="Times New Roman"/>
                <w:i/>
                <w:sz w:val="21"/>
              </w:rPr>
            </w:pPr>
            <w:r>
              <w:rPr>
                <w:w w:val="105"/>
                <w:sz w:val="21"/>
              </w:rPr>
              <w:t>③血小板绝对值</w:t>
            </w:r>
            <w:r>
              <w:rPr>
                <w:rFonts w:ascii="Symbol" w:hAnsi="Symbol"/>
                <w:w w:val="105"/>
                <w:sz w:val="21"/>
              </w:rPr>
              <w:t></w:t>
            </w:r>
            <w:r>
              <w:rPr>
                <w:rFonts w:ascii="Times New Roman" w:hAnsi="Times New Roman"/>
                <w:w w:val="105"/>
                <w:sz w:val="21"/>
              </w:rPr>
              <w:t> 20 </w:t>
            </w:r>
            <w:r>
              <w:rPr>
                <w:rFonts w:ascii="Symbol" w:hAnsi="Symbol"/>
                <w:w w:val="105"/>
                <w:sz w:val="21"/>
              </w:rPr>
              <w:t></w:t>
            </w:r>
            <w:r>
              <w:rPr>
                <w:rFonts w:ascii="Times New Roman" w:hAnsi="Times New Roman"/>
                <w:w w:val="105"/>
                <w:sz w:val="21"/>
              </w:rPr>
              <w:t>10</w:t>
            </w:r>
            <w:r>
              <w:rPr>
                <w:rFonts w:ascii="Times New Roman" w:hAnsi="Times New Roman"/>
                <w:w w:val="105"/>
                <w:position w:val="9"/>
                <w:sz w:val="12"/>
              </w:rPr>
              <w:t>9 </w:t>
            </w:r>
            <w:r>
              <w:rPr>
                <w:rFonts w:ascii="Times New Roman" w:hAnsi="Times New Roman"/>
                <w:w w:val="105"/>
                <w:sz w:val="21"/>
              </w:rPr>
              <w:t>/ </w:t>
            </w:r>
            <w:r>
              <w:rPr>
                <w:rFonts w:ascii="Times New Roman" w:hAnsi="Times New Roman"/>
                <w:i/>
                <w:w w:val="105"/>
                <w:sz w:val="21"/>
              </w:rPr>
              <w:t>L</w:t>
            </w:r>
          </w:p>
        </w:tc>
      </w:tr>
      <w:tr>
        <w:trPr>
          <w:trHeight w:val="2793" w:hRule="atLeast"/>
        </w:trPr>
        <w:tc>
          <w:tcPr>
            <w:tcW w:w="534" w:type="dxa"/>
          </w:tcPr>
          <w:p>
            <w:pPr>
              <w:pStyle w:val="TableParagraph"/>
              <w:spacing w:before="153"/>
              <w:ind w:right="106"/>
              <w:jc w:val="right"/>
              <w:rPr>
                <w:rFonts w:ascii="Calibri"/>
                <w:sz w:val="22"/>
              </w:rPr>
            </w:pPr>
            <w:r>
              <w:rPr>
                <w:rFonts w:ascii="Calibri"/>
                <w:sz w:val="22"/>
              </w:rPr>
              <w:t>20</w:t>
            </w:r>
          </w:p>
        </w:tc>
        <w:tc>
          <w:tcPr>
            <w:tcW w:w="1999" w:type="dxa"/>
          </w:tcPr>
          <w:p>
            <w:pPr>
              <w:pStyle w:val="TableParagraph"/>
              <w:spacing w:line="206" w:lineRule="auto" w:before="108"/>
              <w:ind w:left="107" w:right="199"/>
              <w:rPr>
                <w:rFonts w:ascii="微软雅黑" w:hAnsi="微软雅黑" w:eastAsia="微软雅黑" w:hint="eastAsia"/>
                <w:b/>
                <w:sz w:val="21"/>
              </w:rPr>
            </w:pPr>
            <w:r>
              <w:rPr>
                <w:rFonts w:ascii="微软雅黑" w:hAnsi="微软雅黑" w:eastAsia="微软雅黑" w:hint="eastAsia"/>
                <w:b/>
                <w:sz w:val="21"/>
              </w:rPr>
              <w:t>Ⅰ型糖尿病严重并发症</w:t>
            </w:r>
          </w:p>
        </w:tc>
        <w:tc>
          <w:tcPr>
            <w:tcW w:w="7492" w:type="dxa"/>
          </w:tcPr>
          <w:p>
            <w:pPr>
              <w:pStyle w:val="TableParagraph"/>
              <w:spacing w:line="273" w:lineRule="auto" w:before="120"/>
              <w:ind w:left="93" w:right="259"/>
              <w:jc w:val="both"/>
              <w:rPr>
                <w:sz w:val="21"/>
              </w:rPr>
            </w:pPr>
            <w:r>
              <w:rPr>
                <w:spacing w:val="1"/>
                <w:sz w:val="21"/>
              </w:rPr>
              <w:t>Ⅰ型糖尿病的特征为由于胰岛素分泌绝对不足引起严重胰岛素缺乏导致慢性</w:t>
            </w:r>
            <w:r>
              <w:rPr>
                <w:spacing w:val="-4"/>
                <w:sz w:val="21"/>
              </w:rPr>
              <w:t>血糖升高，需要依赖外源性胰岛素进行机体的葡萄糖代谢和维持生命。被保险</w:t>
            </w:r>
            <w:r>
              <w:rPr>
                <w:spacing w:val="-6"/>
                <w:sz w:val="21"/>
              </w:rPr>
              <w:t>人的Ⅰ型糖尿病必须明确诊断，而且有血胰岛素测定及血 </w:t>
            </w:r>
            <w:r>
              <w:rPr>
                <w:sz w:val="21"/>
              </w:rPr>
              <w:t>C</w:t>
            </w:r>
            <w:r>
              <w:rPr>
                <w:spacing w:val="-20"/>
                <w:sz w:val="21"/>
              </w:rPr>
              <w:t> 肽或尿 </w:t>
            </w:r>
            <w:r>
              <w:rPr>
                <w:sz w:val="21"/>
              </w:rPr>
              <w:t>C</w:t>
            </w:r>
            <w:r>
              <w:rPr>
                <w:spacing w:val="-11"/>
                <w:sz w:val="21"/>
              </w:rPr>
              <w:t> 肽测定结</w:t>
            </w:r>
            <w:r>
              <w:rPr>
                <w:spacing w:val="-6"/>
                <w:sz w:val="21"/>
              </w:rPr>
              <w:t>果支持诊断，并且满足下列所有条件：</w:t>
            </w:r>
          </w:p>
          <w:p>
            <w:pPr>
              <w:pStyle w:val="TableParagraph"/>
              <w:spacing w:before="7"/>
              <w:ind w:left="93"/>
              <w:jc w:val="both"/>
              <w:rPr>
                <w:sz w:val="21"/>
              </w:rPr>
            </w:pPr>
            <w:r>
              <w:rPr>
                <w:sz w:val="21"/>
              </w:rPr>
              <w:t>（1）已经持续性地接受外源性胰岛素注射治疗连续 180 天以上；</w:t>
            </w:r>
          </w:p>
          <w:p>
            <w:pPr>
              <w:pStyle w:val="TableParagraph"/>
              <w:spacing w:before="37"/>
              <w:ind w:left="93"/>
              <w:jc w:val="both"/>
              <w:rPr>
                <w:sz w:val="21"/>
              </w:rPr>
            </w:pPr>
            <w:r>
              <w:rPr>
                <w:sz w:val="21"/>
              </w:rPr>
              <w:t>（2）因需要已经接受了下列治疗：</w:t>
            </w:r>
          </w:p>
          <w:p>
            <w:pPr>
              <w:pStyle w:val="TableParagraph"/>
              <w:spacing w:before="37"/>
              <w:ind w:left="513"/>
              <w:rPr>
                <w:sz w:val="21"/>
              </w:rPr>
            </w:pPr>
            <w:r>
              <w:rPr>
                <w:sz w:val="21"/>
              </w:rPr>
              <w:t>①因严重心律失常植入了心脏起搏器；</w:t>
            </w:r>
          </w:p>
          <w:p>
            <w:pPr>
              <w:pStyle w:val="TableParagraph"/>
              <w:spacing w:before="37"/>
              <w:ind w:left="513"/>
              <w:rPr>
                <w:sz w:val="21"/>
              </w:rPr>
            </w:pPr>
            <w:r>
              <w:rPr>
                <w:sz w:val="21"/>
              </w:rPr>
              <w:t>②因坏疽自跖趾关节或以上切除了一趾或多趾。</w:t>
            </w:r>
          </w:p>
        </w:tc>
      </w:tr>
      <w:tr>
        <w:trPr>
          <w:trHeight w:val="2496" w:hRule="atLeast"/>
        </w:trPr>
        <w:tc>
          <w:tcPr>
            <w:tcW w:w="534" w:type="dxa"/>
          </w:tcPr>
          <w:p>
            <w:pPr>
              <w:pStyle w:val="TableParagraph"/>
              <w:spacing w:before="168"/>
              <w:ind w:right="106"/>
              <w:jc w:val="right"/>
              <w:rPr>
                <w:rFonts w:ascii="Calibri"/>
                <w:sz w:val="22"/>
              </w:rPr>
            </w:pPr>
            <w:r>
              <w:rPr>
                <w:rFonts w:ascii="Calibri"/>
                <w:sz w:val="22"/>
              </w:rPr>
              <w:t>21</w:t>
            </w:r>
          </w:p>
        </w:tc>
        <w:tc>
          <w:tcPr>
            <w:tcW w:w="1999" w:type="dxa"/>
          </w:tcPr>
          <w:p>
            <w:pPr>
              <w:pStyle w:val="TableParagraph"/>
              <w:spacing w:line="206" w:lineRule="auto" w:before="123"/>
              <w:ind w:left="107" w:right="94"/>
              <w:jc w:val="both"/>
              <w:rPr>
                <w:rFonts w:ascii="微软雅黑" w:eastAsia="微软雅黑" w:hint="eastAsia"/>
                <w:b/>
                <w:sz w:val="21"/>
              </w:rPr>
            </w:pPr>
            <w:r>
              <w:rPr>
                <w:rFonts w:ascii="微软雅黑" w:eastAsia="微软雅黑" w:hint="eastAsia"/>
                <w:b/>
                <w:sz w:val="21"/>
              </w:rPr>
              <w:t>器官移植致人类免</w:t>
            </w:r>
            <w:r>
              <w:rPr>
                <w:rFonts w:ascii="微软雅黑" w:eastAsia="微软雅黑" w:hint="eastAsia"/>
                <w:b/>
                <w:w w:val="95"/>
                <w:sz w:val="21"/>
              </w:rPr>
              <w:t>疫缺陷病毒（HIV） </w:t>
            </w:r>
            <w:r>
              <w:rPr>
                <w:rFonts w:ascii="微软雅黑" w:eastAsia="微软雅黑" w:hint="eastAsia"/>
                <w:b/>
                <w:sz w:val="21"/>
              </w:rPr>
              <w:t>感染</w:t>
            </w:r>
          </w:p>
        </w:tc>
        <w:tc>
          <w:tcPr>
            <w:tcW w:w="7492" w:type="dxa"/>
          </w:tcPr>
          <w:p>
            <w:pPr>
              <w:pStyle w:val="TableParagraph"/>
              <w:spacing w:line="273" w:lineRule="auto" w:before="134"/>
              <w:ind w:left="93" w:right="259"/>
              <w:rPr>
                <w:sz w:val="21"/>
              </w:rPr>
            </w:pPr>
            <w:r>
              <w:rPr>
                <w:spacing w:val="-6"/>
                <w:sz w:val="21"/>
              </w:rPr>
              <w:t>被保险人因接受器官移植感染上人类免疫缺陷病毒</w:t>
            </w:r>
            <w:r>
              <w:rPr>
                <w:spacing w:val="-12"/>
                <w:sz w:val="21"/>
              </w:rPr>
              <w:t>（HIV）</w:t>
            </w:r>
            <w:r>
              <w:rPr>
                <w:spacing w:val="-3"/>
                <w:sz w:val="21"/>
              </w:rPr>
              <w:t>并且满足下列全部条件：</w:t>
            </w:r>
          </w:p>
          <w:p>
            <w:pPr>
              <w:pStyle w:val="TableParagraph"/>
              <w:spacing w:before="7"/>
              <w:ind w:left="93"/>
              <w:rPr>
                <w:sz w:val="21"/>
              </w:rPr>
            </w:pPr>
            <w:r>
              <w:rPr>
                <w:sz w:val="21"/>
              </w:rPr>
              <w:t>（1）在保障起始日或复效日之后，被保险人接受器官移植，并因此感染 HIV；</w:t>
            </w:r>
          </w:p>
          <w:p>
            <w:pPr>
              <w:pStyle w:val="TableParagraph"/>
              <w:spacing w:before="37"/>
              <w:ind w:left="93"/>
              <w:rPr>
                <w:sz w:val="21"/>
              </w:rPr>
            </w:pPr>
            <w:r>
              <w:rPr>
                <w:sz w:val="21"/>
              </w:rPr>
              <w:t>（2）实施器官移植的医院为三级甲等医院;</w:t>
            </w:r>
          </w:p>
          <w:p>
            <w:pPr>
              <w:pStyle w:val="TableParagraph"/>
              <w:spacing w:line="223" w:lineRule="auto" w:before="56"/>
              <w:ind w:left="93" w:right="257"/>
              <w:rPr>
                <w:rFonts w:ascii="微软雅黑" w:eastAsia="微软雅黑" w:hint="eastAsia"/>
                <w:b/>
                <w:sz w:val="21"/>
              </w:rPr>
            </w:pPr>
            <w:r>
              <w:rPr>
                <w:sz w:val="21"/>
              </w:rPr>
              <w:t>（3）实施移植医院出具具有法律效力的证明确认移植器官来自 HIV 感染者； </w:t>
            </w:r>
            <w:r>
              <w:rPr>
                <w:rFonts w:ascii="微软雅黑" w:eastAsia="微软雅黑" w:hint="eastAsia"/>
                <w:b/>
                <w:w w:val="95"/>
                <w:sz w:val="21"/>
                <w:shd w:fill="D9D9D9" w:color="auto" w:val="clear"/>
              </w:rPr>
              <w:t>在任何治愈艾滋病（AIDS）或阻止  HIV  病毒作用的疗法被发现以后，或能防止</w:t>
            </w:r>
          </w:p>
          <w:p>
            <w:pPr>
              <w:pStyle w:val="TableParagraph"/>
              <w:spacing w:line="312" w:lineRule="exact"/>
              <w:ind w:left="93"/>
              <w:rPr>
                <w:rFonts w:ascii="微软雅黑" w:eastAsia="微软雅黑" w:hint="eastAsia"/>
                <w:b/>
                <w:sz w:val="21"/>
              </w:rPr>
            </w:pPr>
            <w:r>
              <w:rPr>
                <w:rFonts w:ascii="微软雅黑" w:eastAsia="微软雅黑" w:hint="eastAsia"/>
                <w:b/>
                <w:w w:val="95"/>
                <w:sz w:val="21"/>
                <w:shd w:fill="D9D9D9" w:color="auto" w:val="clear"/>
              </w:rPr>
              <w:t>AIDS    发生的医疗方法被研究出来以后，本保障将不再予以赔付。</w:t>
            </w:r>
          </w:p>
        </w:tc>
      </w:tr>
      <w:tr>
        <w:trPr>
          <w:trHeight w:val="1248" w:hRule="atLeast"/>
        </w:trPr>
        <w:tc>
          <w:tcPr>
            <w:tcW w:w="534" w:type="dxa"/>
          </w:tcPr>
          <w:p>
            <w:pPr>
              <w:pStyle w:val="TableParagraph"/>
              <w:spacing w:before="168"/>
              <w:ind w:right="106"/>
              <w:jc w:val="right"/>
              <w:rPr>
                <w:rFonts w:ascii="Calibri"/>
                <w:sz w:val="22"/>
              </w:rPr>
            </w:pPr>
            <w:r>
              <w:rPr>
                <w:rFonts w:ascii="Calibri"/>
                <w:sz w:val="22"/>
              </w:rPr>
              <w:t>22</w:t>
            </w:r>
          </w:p>
        </w:tc>
        <w:tc>
          <w:tcPr>
            <w:tcW w:w="1999" w:type="dxa"/>
          </w:tcPr>
          <w:p>
            <w:pPr>
              <w:pStyle w:val="TableParagraph"/>
              <w:spacing w:line="206" w:lineRule="auto" w:before="123"/>
              <w:ind w:left="107" w:right="199"/>
              <w:rPr>
                <w:rFonts w:ascii="微软雅黑" w:eastAsia="微软雅黑" w:hint="eastAsia"/>
                <w:b/>
                <w:sz w:val="21"/>
              </w:rPr>
            </w:pPr>
            <w:r>
              <w:rPr>
                <w:rFonts w:ascii="微软雅黑" w:eastAsia="微软雅黑" w:hint="eastAsia"/>
                <w:b/>
                <w:sz w:val="21"/>
              </w:rPr>
              <w:t>严重甲型及乙型血友病</w:t>
            </w:r>
          </w:p>
        </w:tc>
        <w:tc>
          <w:tcPr>
            <w:tcW w:w="7492" w:type="dxa"/>
          </w:tcPr>
          <w:p>
            <w:pPr>
              <w:pStyle w:val="TableParagraph"/>
              <w:spacing w:before="135"/>
              <w:ind w:left="93"/>
              <w:rPr>
                <w:sz w:val="21"/>
              </w:rPr>
            </w:pPr>
            <w:r>
              <w:rPr>
                <w:sz w:val="21"/>
              </w:rPr>
              <w:t>被保人必须是患上严重甲型血友病（缺乏 VIII 凝血因子）或严重乙型血友病</w:t>
            </w:r>
          </w:p>
          <w:p>
            <w:pPr>
              <w:pStyle w:val="TableParagraph"/>
              <w:spacing w:line="273" w:lineRule="auto" w:before="37"/>
              <w:ind w:left="93" w:right="292"/>
              <w:rPr>
                <w:sz w:val="21"/>
              </w:rPr>
            </w:pPr>
            <w:r>
              <w:rPr>
                <w:w w:val="100"/>
                <w:sz w:val="21"/>
              </w:rPr>
              <w:t>（缺乏</w:t>
            </w:r>
            <w:r>
              <w:rPr>
                <w:sz w:val="21"/>
              </w:rPr>
              <w:t> </w:t>
            </w:r>
            <w:r>
              <w:rPr>
                <w:w w:val="100"/>
                <w:sz w:val="21"/>
              </w:rPr>
              <w:t>IX</w:t>
            </w:r>
            <w:r>
              <w:rPr>
                <w:sz w:val="21"/>
              </w:rPr>
              <w:t> </w:t>
            </w:r>
            <w:r>
              <w:rPr>
                <w:spacing w:val="-3"/>
                <w:w w:val="100"/>
                <w:sz w:val="21"/>
              </w:rPr>
              <w:t>凝血因子</w:t>
            </w:r>
            <w:r>
              <w:rPr>
                <w:spacing w:val="-106"/>
                <w:w w:val="100"/>
                <w:sz w:val="21"/>
              </w:rPr>
              <w:t>）</w:t>
            </w:r>
            <w:r>
              <w:rPr>
                <w:spacing w:val="-3"/>
                <w:w w:val="100"/>
                <w:sz w:val="21"/>
              </w:rPr>
              <w:t>，而凝血因子</w:t>
            </w:r>
            <w:r>
              <w:rPr>
                <w:spacing w:val="-3"/>
                <w:sz w:val="21"/>
              </w:rPr>
              <w:t> </w:t>
            </w:r>
            <w:r>
              <w:rPr>
                <w:spacing w:val="-3"/>
                <w:w w:val="100"/>
                <w:sz w:val="21"/>
              </w:rPr>
              <w:t>V</w:t>
            </w:r>
            <w:r>
              <w:rPr>
                <w:w w:val="100"/>
                <w:sz w:val="21"/>
              </w:rPr>
              <w:t>III</w:t>
            </w:r>
            <w:r>
              <w:rPr>
                <w:spacing w:val="-55"/>
                <w:sz w:val="21"/>
              </w:rPr>
              <w:t> </w:t>
            </w:r>
            <w:r>
              <w:rPr>
                <w:spacing w:val="-3"/>
                <w:w w:val="100"/>
                <w:sz w:val="21"/>
              </w:rPr>
              <w:t>或凝血因子</w:t>
            </w:r>
            <w:r>
              <w:rPr>
                <w:spacing w:val="-3"/>
                <w:sz w:val="21"/>
              </w:rPr>
              <w:t> </w:t>
            </w:r>
            <w:r>
              <w:rPr>
                <w:w w:val="100"/>
                <w:sz w:val="21"/>
              </w:rPr>
              <w:t>IX</w:t>
            </w:r>
            <w:r>
              <w:rPr>
                <w:spacing w:val="-55"/>
                <w:sz w:val="21"/>
              </w:rPr>
              <w:t> </w:t>
            </w:r>
            <w:r>
              <w:rPr>
                <w:spacing w:val="-3"/>
                <w:w w:val="100"/>
                <w:sz w:val="21"/>
              </w:rPr>
              <w:t>的活性水平少于百分</w:t>
            </w:r>
            <w:r>
              <w:rPr>
                <w:spacing w:val="-3"/>
                <w:sz w:val="21"/>
              </w:rPr>
              <w:t>之一。诊断必须由本公司认可医院的血液病专科医生确诊。</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23</w:t>
            </w:r>
          </w:p>
        </w:tc>
        <w:tc>
          <w:tcPr>
            <w:tcW w:w="1999" w:type="dxa"/>
          </w:tcPr>
          <w:p>
            <w:pPr>
              <w:pStyle w:val="TableParagraph"/>
              <w:spacing w:line="206" w:lineRule="auto" w:before="123"/>
              <w:ind w:left="107" w:right="199"/>
              <w:rPr>
                <w:rFonts w:ascii="微软雅黑" w:eastAsia="微软雅黑" w:hint="eastAsia"/>
                <w:b/>
                <w:sz w:val="21"/>
              </w:rPr>
            </w:pPr>
            <w:r>
              <w:rPr>
                <w:rFonts w:ascii="微软雅黑" w:eastAsia="微软雅黑" w:hint="eastAsia"/>
                <w:b/>
                <w:sz w:val="21"/>
              </w:rPr>
              <w:t>急性或亚急性重症肝炎</w:t>
            </w:r>
          </w:p>
        </w:tc>
        <w:tc>
          <w:tcPr>
            <w:tcW w:w="7492" w:type="dxa"/>
          </w:tcPr>
          <w:p>
            <w:pPr>
              <w:pStyle w:val="TableParagraph"/>
              <w:spacing w:line="273" w:lineRule="auto" w:before="134"/>
              <w:ind w:left="93" w:right="259"/>
              <w:rPr>
                <w:sz w:val="21"/>
              </w:rPr>
            </w:pPr>
            <w:r>
              <w:rPr>
                <w:sz w:val="21"/>
              </w:rPr>
              <w:t>指因肝炎病毒感染引起肝脏组织弥漫性坏死，导致急性肝功能衰竭，且经血清学或病毒学检查证实，并须满足下列全部条件：</w:t>
            </w:r>
          </w:p>
          <w:p>
            <w:pPr>
              <w:pStyle w:val="TableParagraph"/>
              <w:spacing w:before="7"/>
              <w:ind w:left="93"/>
              <w:rPr>
                <w:sz w:val="21"/>
              </w:rPr>
            </w:pPr>
            <w:r>
              <w:rPr>
                <w:sz w:val="21"/>
              </w:rPr>
              <w:t>（1）重度黄疸或黄疸迅速加重；</w:t>
            </w:r>
          </w:p>
          <w:p>
            <w:pPr>
              <w:pStyle w:val="TableParagraph"/>
              <w:spacing w:before="37"/>
              <w:ind w:left="93"/>
              <w:rPr>
                <w:sz w:val="21"/>
              </w:rPr>
            </w:pPr>
            <w:r>
              <w:rPr>
                <w:sz w:val="21"/>
              </w:rPr>
              <w:t>（2）肝性脑病；</w:t>
            </w:r>
          </w:p>
          <w:p>
            <w:pPr>
              <w:pStyle w:val="TableParagraph"/>
              <w:spacing w:before="37"/>
              <w:ind w:left="93"/>
              <w:rPr>
                <w:sz w:val="21"/>
              </w:rPr>
            </w:pPr>
            <w:r>
              <w:rPr>
                <w:sz w:val="21"/>
              </w:rPr>
              <w:t>（3）B 超或其他影像学检查显示肝脏体积急速萎缩；</w:t>
            </w:r>
          </w:p>
          <w:p>
            <w:pPr>
              <w:pStyle w:val="TableParagraph"/>
              <w:spacing w:before="37"/>
              <w:ind w:left="93"/>
              <w:rPr>
                <w:sz w:val="21"/>
              </w:rPr>
            </w:pPr>
            <w:r>
              <w:rPr>
                <w:sz w:val="21"/>
              </w:rPr>
              <w:t>（4）肝功能指标进行性恶化。</w:t>
            </w:r>
          </w:p>
        </w:tc>
      </w:tr>
      <w:tr>
        <w:trPr>
          <w:trHeight w:val="1978" w:hRule="atLeast"/>
        </w:trPr>
        <w:tc>
          <w:tcPr>
            <w:tcW w:w="534" w:type="dxa"/>
          </w:tcPr>
          <w:p>
            <w:pPr>
              <w:pStyle w:val="TableParagraph"/>
              <w:spacing w:before="168"/>
              <w:ind w:right="106"/>
              <w:jc w:val="right"/>
              <w:rPr>
                <w:rFonts w:ascii="Calibri"/>
                <w:sz w:val="22"/>
              </w:rPr>
            </w:pPr>
            <w:r>
              <w:rPr>
                <w:rFonts w:ascii="Calibri"/>
                <w:sz w:val="22"/>
              </w:rPr>
              <w:t>24</w:t>
            </w:r>
          </w:p>
        </w:tc>
        <w:tc>
          <w:tcPr>
            <w:tcW w:w="1999" w:type="dxa"/>
          </w:tcPr>
          <w:p>
            <w:pPr>
              <w:pStyle w:val="TableParagraph"/>
              <w:spacing w:before="72"/>
              <w:ind w:left="107"/>
              <w:rPr>
                <w:rFonts w:ascii="微软雅黑" w:eastAsia="微软雅黑" w:hint="eastAsia"/>
                <w:b/>
                <w:sz w:val="21"/>
              </w:rPr>
            </w:pPr>
            <w:r>
              <w:rPr>
                <w:rFonts w:ascii="微软雅黑" w:eastAsia="微软雅黑" w:hint="eastAsia"/>
                <w:b/>
                <w:sz w:val="21"/>
              </w:rPr>
              <w:t>脑中风后遗症</w:t>
            </w:r>
          </w:p>
        </w:tc>
        <w:tc>
          <w:tcPr>
            <w:tcW w:w="7492" w:type="dxa"/>
          </w:tcPr>
          <w:p>
            <w:pPr>
              <w:pStyle w:val="TableParagraph"/>
              <w:spacing w:line="273" w:lineRule="auto" w:before="134"/>
              <w:ind w:left="93" w:right="259"/>
              <w:jc w:val="both"/>
              <w:rPr>
                <w:sz w:val="21"/>
              </w:rPr>
            </w:pPr>
            <w:r>
              <w:rPr>
                <w:spacing w:val="-5"/>
                <w:sz w:val="21"/>
              </w:rPr>
              <w:t>指因脑血管的突发病变引起脑血管出血、栓塞或梗塞，并导致神经系统永久性</w:t>
            </w:r>
            <w:r>
              <w:rPr>
                <w:spacing w:val="-7"/>
                <w:sz w:val="21"/>
              </w:rPr>
              <w:t>的功能障碍。神经系统永久性的功能障碍，指疾病确诊 </w:t>
            </w:r>
            <w:r>
              <w:rPr>
                <w:sz w:val="21"/>
              </w:rPr>
              <w:t>180</w:t>
            </w:r>
            <w:r>
              <w:rPr>
                <w:spacing w:val="-8"/>
                <w:sz w:val="21"/>
              </w:rPr>
              <w:t> 天后，仍遗留下列</w:t>
            </w:r>
            <w:r>
              <w:rPr>
                <w:spacing w:val="-5"/>
                <w:sz w:val="21"/>
              </w:rPr>
              <w:t>一种或一种以上障碍：</w:t>
            </w:r>
          </w:p>
          <w:p>
            <w:pPr>
              <w:pStyle w:val="TableParagraph"/>
              <w:spacing w:before="7"/>
              <w:ind w:left="93"/>
              <w:jc w:val="both"/>
              <w:rPr>
                <w:sz w:val="21"/>
              </w:rPr>
            </w:pPr>
            <w:r>
              <w:rPr>
                <w:sz w:val="21"/>
              </w:rPr>
              <w:t>（1）一肢或一肢以上肢体机能完全丧失；</w:t>
            </w:r>
          </w:p>
          <w:p>
            <w:pPr>
              <w:pStyle w:val="TableParagraph"/>
              <w:spacing w:line="262" w:lineRule="exact" w:before="37"/>
              <w:ind w:left="93"/>
              <w:jc w:val="both"/>
              <w:rPr>
                <w:sz w:val="21"/>
              </w:rPr>
            </w:pPr>
            <w:r>
              <w:rPr>
                <w:sz w:val="21"/>
              </w:rPr>
              <w:t>（2）语言能力或咀嚼吞咽能力完全丧失；</w:t>
            </w:r>
          </w:p>
          <w:p>
            <w:pPr>
              <w:pStyle w:val="TableParagraph"/>
              <w:spacing w:line="313" w:lineRule="exact"/>
              <w:ind w:left="93"/>
              <w:jc w:val="both"/>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17</w:t>
            </w:r>
            <w:r>
              <w:rPr>
                <w:sz w:val="21"/>
              </w:rPr>
              <w:t>中的三项</w:t>
            </w:r>
          </w:p>
        </w:tc>
      </w:tr>
    </w:tbl>
    <w:p>
      <w:pPr>
        <w:pStyle w:val="BodyText"/>
        <w:spacing w:before="14"/>
        <w:rPr>
          <w:rFonts w:ascii="微软雅黑"/>
          <w:b/>
          <w:sz w:val="11"/>
        </w:rPr>
      </w:pPr>
      <w:r>
        <w:rPr/>
        <w:pict>
          <v:line style="position:absolute;mso-position-horizontal-relative:page;mso-position-vertical-relative:paragraph;z-index:1312;mso-wrap-distance-left:0;mso-wrap-distance-right:0" from="53.880001pt,12.40001pt" to="197.930001pt,12.40001pt" stroked="true" strokeweight=".47998pt" strokecolor="#000000">
            <v:stroke dashstyle="solid"/>
            <w10:wrap type="topAndBottom"/>
          </v:line>
        </w:pict>
      </w:r>
    </w:p>
    <w:p>
      <w:pPr>
        <w:spacing w:line="346" w:lineRule="exact" w:before="0"/>
        <w:ind w:left="117" w:right="0" w:firstLine="0"/>
        <w:jc w:val="left"/>
        <w:rPr>
          <w:rFonts w:ascii="Microsoft JhengHei" w:eastAsia="Microsoft JhengHei" w:hint="eastAsia"/>
          <w:b/>
          <w:sz w:val="20"/>
        </w:rPr>
      </w:pPr>
      <w:r>
        <w:rPr>
          <w:rFonts w:ascii="Times New Roman" w:eastAsia="Times New Roman"/>
          <w:position w:val="7"/>
          <w:sz w:val="13"/>
        </w:rPr>
        <w:t>17</w:t>
      </w:r>
      <w:r>
        <w:rPr>
          <w:rFonts w:ascii="Microsoft JhengHei" w:eastAsia="Microsoft JhengHei" w:hint="eastAsia"/>
          <w:b/>
          <w:sz w:val="20"/>
        </w:rPr>
        <w:t>六项基本日常生活活动：</w:t>
      </w:r>
    </w:p>
    <w:p>
      <w:pPr>
        <w:spacing w:before="27"/>
        <w:ind w:left="117" w:right="0" w:firstLine="0"/>
        <w:jc w:val="left"/>
        <w:rPr>
          <w:sz w:val="20"/>
        </w:rPr>
      </w:pPr>
      <w:r>
        <w:rPr>
          <w:w w:val="95"/>
          <w:sz w:val="20"/>
        </w:rPr>
        <w:t>（1）穿衣：自己能够穿衣及脱衣；</w:t>
      </w:r>
    </w:p>
    <w:p>
      <w:pPr>
        <w:spacing w:before="49"/>
        <w:ind w:left="117" w:right="0" w:firstLine="0"/>
        <w:jc w:val="left"/>
        <w:rPr>
          <w:sz w:val="20"/>
        </w:rPr>
      </w:pPr>
      <w:r>
        <w:rPr>
          <w:w w:val="95"/>
          <w:sz w:val="20"/>
        </w:rPr>
        <w:t>（2）移动：自己从一个房间到另一个房间；</w:t>
      </w:r>
    </w:p>
    <w:p>
      <w:pPr>
        <w:spacing w:after="0"/>
        <w:jc w:val="left"/>
        <w:rPr>
          <w:sz w:val="20"/>
        </w:rPr>
        <w:sectPr>
          <w:pgSz w:w="11910" w:h="16840"/>
          <w:pgMar w:header="0" w:footer="785" w:top="1440" w:bottom="980" w:left="960" w:right="640"/>
        </w:sect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1946"/>
        <w:gridCol w:w="7485"/>
      </w:tblGrid>
      <w:tr>
        <w:trPr>
          <w:trHeight w:val="417" w:hRule="atLeast"/>
        </w:trPr>
        <w:tc>
          <w:tcPr>
            <w:tcW w:w="534" w:type="dxa"/>
          </w:tcPr>
          <w:p>
            <w:pPr>
              <w:pStyle w:val="TableParagraph"/>
              <w:rPr>
                <w:rFonts w:ascii="Times New Roman"/>
                <w:sz w:val="20"/>
              </w:rPr>
            </w:pPr>
          </w:p>
        </w:tc>
        <w:tc>
          <w:tcPr>
            <w:tcW w:w="1946" w:type="dxa"/>
          </w:tcPr>
          <w:p>
            <w:pPr>
              <w:pStyle w:val="TableParagraph"/>
              <w:rPr>
                <w:rFonts w:ascii="Times New Roman"/>
                <w:sz w:val="20"/>
              </w:rPr>
            </w:pPr>
          </w:p>
        </w:tc>
        <w:tc>
          <w:tcPr>
            <w:tcW w:w="7485" w:type="dxa"/>
          </w:tcPr>
          <w:p>
            <w:pPr>
              <w:pStyle w:val="TableParagraph"/>
              <w:spacing w:line="203" w:lineRule="exact"/>
              <w:ind w:left="146"/>
              <w:rPr>
                <w:sz w:val="21"/>
              </w:rPr>
            </w:pPr>
            <w:r>
              <w:rPr>
                <w:sz w:val="21"/>
              </w:rPr>
              <w:t>或三项以上。</w:t>
            </w:r>
          </w:p>
        </w:tc>
      </w:tr>
      <w:tr>
        <w:trPr>
          <w:trHeight w:val="2808" w:hRule="atLeast"/>
        </w:trPr>
        <w:tc>
          <w:tcPr>
            <w:tcW w:w="534" w:type="dxa"/>
          </w:tcPr>
          <w:p>
            <w:pPr>
              <w:pStyle w:val="TableParagraph"/>
              <w:spacing w:before="168"/>
              <w:ind w:right="106"/>
              <w:jc w:val="right"/>
              <w:rPr>
                <w:rFonts w:ascii="Calibri"/>
                <w:sz w:val="22"/>
              </w:rPr>
            </w:pPr>
            <w:r>
              <w:rPr>
                <w:rFonts w:ascii="Calibri"/>
                <w:sz w:val="22"/>
              </w:rPr>
              <w:t>25</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严重脑损伤</w:t>
            </w:r>
          </w:p>
        </w:tc>
        <w:tc>
          <w:tcPr>
            <w:tcW w:w="7485" w:type="dxa"/>
          </w:tcPr>
          <w:p>
            <w:pPr>
              <w:pStyle w:val="TableParagraph"/>
              <w:spacing w:line="273" w:lineRule="auto" w:before="135"/>
              <w:ind w:left="146" w:right="199"/>
              <w:rPr>
                <w:sz w:val="21"/>
              </w:rPr>
            </w:pPr>
            <w:r>
              <w:rPr>
                <w:spacing w:val="-5"/>
                <w:sz w:val="21"/>
              </w:rPr>
              <w:t>指因头部遭受机械性外力，引起脑重要部位损伤，导致神经系统永久性的功能</w:t>
            </w:r>
            <w:r>
              <w:rPr>
                <w:spacing w:val="-5"/>
                <w:w w:val="100"/>
                <w:sz w:val="21"/>
              </w:rPr>
              <w:t>障碍。须由头颅断层扫描</w:t>
            </w:r>
            <w:r>
              <w:rPr>
                <w:w w:val="100"/>
                <w:sz w:val="21"/>
              </w:rPr>
              <w:t>（CT</w:t>
            </w:r>
            <w:r>
              <w:rPr>
                <w:spacing w:val="-106"/>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）或正电子发射断层扫描</w:t>
            </w:r>
          </w:p>
          <w:p>
            <w:pPr>
              <w:pStyle w:val="TableParagraph"/>
              <w:spacing w:line="273" w:lineRule="auto" w:before="8"/>
              <w:ind w:left="146" w:right="158"/>
              <w:rPr>
                <w:sz w:val="21"/>
              </w:rPr>
            </w:pPr>
            <w:r>
              <w:rPr>
                <w:sz w:val="21"/>
              </w:rPr>
              <w:t>（PET）等影像学检查证实。神经性系统永久性的功能障碍，指脑损伤 180 天后，仍遗留下列一种或一种以上障碍：</w:t>
            </w:r>
          </w:p>
          <w:p>
            <w:pPr>
              <w:pStyle w:val="TableParagraph"/>
              <w:spacing w:before="8"/>
              <w:ind w:left="146"/>
              <w:rPr>
                <w:sz w:val="21"/>
              </w:rPr>
            </w:pPr>
            <w:r>
              <w:rPr>
                <w:sz w:val="21"/>
              </w:rPr>
              <w:t>（1）一肢或一肢以上肢体机能完全丧失；</w:t>
            </w:r>
          </w:p>
          <w:p>
            <w:pPr>
              <w:pStyle w:val="TableParagraph"/>
              <w:spacing w:before="37"/>
              <w:ind w:left="146"/>
              <w:rPr>
                <w:sz w:val="21"/>
              </w:rPr>
            </w:pPr>
            <w:r>
              <w:rPr>
                <w:sz w:val="21"/>
              </w:rPr>
              <w:t>（2）语言能力或咀嚼吞咽能力完全丧失；</w:t>
            </w:r>
          </w:p>
          <w:p>
            <w:pPr>
              <w:pStyle w:val="TableParagraph"/>
              <w:spacing w:line="273" w:lineRule="auto" w:before="37"/>
              <w:ind w:left="146" w:right="295"/>
              <w:rPr>
                <w:sz w:val="21"/>
              </w:rPr>
            </w:pPr>
            <w:r>
              <w:rPr>
                <w:sz w:val="21"/>
              </w:rPr>
              <w:t>（3）自主生活能力完全丧失，无法独立完成六项基本日常生活活动中的三项或三项以上。</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26</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成骨不全症</w:t>
            </w:r>
          </w:p>
        </w:tc>
        <w:tc>
          <w:tcPr>
            <w:tcW w:w="7485" w:type="dxa"/>
          </w:tcPr>
          <w:p>
            <w:pPr>
              <w:pStyle w:val="TableParagraph"/>
              <w:spacing w:line="273" w:lineRule="auto" w:before="134"/>
              <w:ind w:left="146" w:right="199"/>
              <w:jc w:val="both"/>
              <w:rPr>
                <w:sz w:val="21"/>
              </w:rPr>
            </w:pPr>
            <w:r>
              <w:rPr>
                <w:spacing w:val="-6"/>
                <w:sz w:val="21"/>
              </w:rPr>
              <w:t>骨生长不全症是一种胶原病，特征为骨易碎，骨质疏松和易骨折。该病有 </w:t>
            </w:r>
            <w:r>
              <w:rPr>
                <w:sz w:val="21"/>
              </w:rPr>
              <w:t>4</w:t>
            </w:r>
            <w:r>
              <w:rPr>
                <w:spacing w:val="-19"/>
                <w:sz w:val="21"/>
              </w:rPr>
              <w:t> 种类型：I 型、</w:t>
            </w:r>
            <w:r>
              <w:rPr>
                <w:sz w:val="21"/>
              </w:rPr>
              <w:t>II</w:t>
            </w:r>
            <w:r>
              <w:rPr>
                <w:spacing w:val="-18"/>
                <w:sz w:val="21"/>
              </w:rPr>
              <w:t> 型、</w:t>
            </w:r>
            <w:r>
              <w:rPr>
                <w:sz w:val="21"/>
              </w:rPr>
              <w:t>III</w:t>
            </w:r>
            <w:r>
              <w:rPr>
                <w:spacing w:val="-18"/>
                <w:sz w:val="21"/>
              </w:rPr>
              <w:t> 型、</w:t>
            </w:r>
            <w:r>
              <w:rPr>
                <w:sz w:val="21"/>
              </w:rPr>
              <w:t>IV</w:t>
            </w:r>
            <w:r>
              <w:rPr>
                <w:spacing w:val="-13"/>
                <w:sz w:val="21"/>
              </w:rPr>
              <w:t> 型。本保障范围仅涉及 </w:t>
            </w:r>
            <w:r>
              <w:rPr>
                <w:sz w:val="21"/>
              </w:rPr>
              <w:t>III</w:t>
            </w:r>
            <w:r>
              <w:rPr>
                <w:spacing w:val="-9"/>
                <w:sz w:val="21"/>
              </w:rPr>
              <w:t> 型成骨不全症，其</w:t>
            </w:r>
            <w:r>
              <w:rPr>
                <w:spacing w:val="-13"/>
                <w:sz w:val="21"/>
              </w:rPr>
              <w:t>主要临床特点有：发展迟缓、多发性骨折、进行性脊柱后侧凸及听力损害。</w:t>
            </w:r>
            <w:r>
              <w:rPr>
                <w:sz w:val="21"/>
              </w:rPr>
              <w:t>III </w:t>
            </w:r>
            <w:r>
              <w:rPr>
                <w:spacing w:val="-3"/>
                <w:sz w:val="21"/>
              </w:rPr>
              <w:t>型成骨不全的诊断必须根据身体检查，家族史，</w:t>
            </w:r>
            <w:r>
              <w:rPr>
                <w:sz w:val="21"/>
              </w:rPr>
              <w:t>X</w:t>
            </w:r>
            <w:r>
              <w:rPr>
                <w:spacing w:val="-3"/>
                <w:sz w:val="21"/>
              </w:rPr>
              <w:t> 线检查和皮肤活检报告资料确诊，并经专科医生出具诊断证明。</w:t>
            </w:r>
          </w:p>
          <w:p>
            <w:pPr>
              <w:pStyle w:val="TableParagraph"/>
              <w:spacing w:before="7"/>
              <w:ind w:left="146"/>
              <w:jc w:val="both"/>
              <w:rPr>
                <w:sz w:val="21"/>
              </w:rPr>
            </w:pPr>
            <w:r>
              <w:rPr>
                <w:sz w:val="21"/>
              </w:rPr>
              <w:t>(本附加合同责任免除条款第八项不适用于此病种。)</w:t>
            </w:r>
          </w:p>
        </w:tc>
      </w:tr>
      <w:tr>
        <w:trPr>
          <w:trHeight w:val="2496" w:hRule="atLeast"/>
        </w:trPr>
        <w:tc>
          <w:tcPr>
            <w:tcW w:w="534" w:type="dxa"/>
          </w:tcPr>
          <w:p>
            <w:pPr>
              <w:pStyle w:val="TableParagraph"/>
              <w:spacing w:before="168"/>
              <w:ind w:right="106"/>
              <w:jc w:val="right"/>
              <w:rPr>
                <w:rFonts w:ascii="Calibri"/>
                <w:sz w:val="22"/>
              </w:rPr>
            </w:pPr>
            <w:r>
              <w:rPr>
                <w:rFonts w:ascii="Calibri"/>
                <w:sz w:val="22"/>
              </w:rPr>
              <w:t>27</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良性脑肿瘤</w:t>
            </w:r>
          </w:p>
        </w:tc>
        <w:tc>
          <w:tcPr>
            <w:tcW w:w="7485" w:type="dxa"/>
          </w:tcPr>
          <w:p>
            <w:pPr>
              <w:pStyle w:val="TableParagraph"/>
              <w:spacing w:line="273" w:lineRule="auto" w:before="134"/>
              <w:ind w:left="146" w:right="200"/>
              <w:jc w:val="both"/>
              <w:rPr>
                <w:sz w:val="21"/>
              </w:rPr>
            </w:pPr>
            <w:r>
              <w:rPr>
                <w:spacing w:val="-4"/>
                <w:sz w:val="21"/>
              </w:rPr>
              <w:t>指脑的良性肿瘤，已经引起颅内压增高，临床表现为视神经乳头水肿、精神症</w:t>
            </w:r>
            <w:r>
              <w:rPr>
                <w:spacing w:val="-11"/>
                <w:w w:val="100"/>
                <w:sz w:val="21"/>
              </w:rPr>
              <w:t>状、癫痫及运动感觉障碍等，并危及生命。须由头颅断层扫描</w:t>
            </w:r>
            <w:r>
              <w:rPr>
                <w:spacing w:val="-3"/>
                <w:w w:val="100"/>
                <w:sz w:val="21"/>
              </w:rPr>
              <w:t>（</w:t>
            </w:r>
            <w:r>
              <w:rPr>
                <w:w w:val="100"/>
                <w:sz w:val="21"/>
              </w:rPr>
              <w:t>CT</w:t>
            </w:r>
            <w:r>
              <w:rPr>
                <w:spacing w:val="-108"/>
                <w:w w:val="100"/>
                <w:sz w:val="21"/>
              </w:rPr>
              <w:t>）</w:t>
            </w:r>
            <w:r>
              <w:rPr>
                <w:spacing w:val="-8"/>
                <w:w w:val="100"/>
                <w:sz w:val="21"/>
              </w:rPr>
              <w:t>、核磁共振</w:t>
            </w:r>
            <w:r>
              <w:rPr>
                <w:spacing w:val="-2"/>
                <w:sz w:val="21"/>
              </w:rPr>
              <w:t>检查</w:t>
            </w:r>
            <w:r>
              <w:rPr>
                <w:spacing w:val="-1"/>
                <w:sz w:val="21"/>
              </w:rPr>
              <w:t>（MRI）</w:t>
            </w:r>
            <w:r>
              <w:rPr>
                <w:spacing w:val="-3"/>
                <w:sz w:val="21"/>
              </w:rPr>
              <w:t>或正电子发射断层扫描</w:t>
            </w:r>
            <w:r>
              <w:rPr>
                <w:sz w:val="21"/>
              </w:rPr>
              <w:t>（PET）</w:t>
            </w:r>
            <w:r>
              <w:rPr>
                <w:spacing w:val="-4"/>
                <w:sz w:val="21"/>
              </w:rPr>
              <w:t>等影像学检查证实，并须满足下列</w:t>
            </w:r>
            <w:r>
              <w:rPr>
                <w:spacing w:val="-3"/>
                <w:sz w:val="21"/>
              </w:rPr>
              <w:t>至少一项条件：</w:t>
            </w:r>
          </w:p>
          <w:p>
            <w:pPr>
              <w:pStyle w:val="TableParagraph"/>
              <w:spacing w:before="7"/>
              <w:ind w:left="146"/>
              <w:jc w:val="both"/>
              <w:rPr>
                <w:sz w:val="21"/>
              </w:rPr>
            </w:pPr>
            <w:r>
              <w:rPr>
                <w:sz w:val="21"/>
              </w:rPr>
              <w:t>（1）实际实施了开颅进行的脑肿瘤完全切除或部分切除的手术；</w:t>
            </w:r>
          </w:p>
          <w:p>
            <w:pPr>
              <w:pStyle w:val="TableParagraph"/>
              <w:spacing w:line="262" w:lineRule="exact" w:before="37"/>
              <w:ind w:left="146"/>
              <w:jc w:val="both"/>
              <w:rPr>
                <w:sz w:val="21"/>
              </w:rPr>
            </w:pPr>
            <w:r>
              <w:rPr>
                <w:sz w:val="21"/>
              </w:rPr>
              <w:t>（2）实际实施了对脑肿瘤进行的放射治疗。</w:t>
            </w:r>
          </w:p>
          <w:p>
            <w:pPr>
              <w:pStyle w:val="TableParagraph"/>
              <w:spacing w:line="350" w:lineRule="exact"/>
              <w:ind w:left="146"/>
              <w:jc w:val="both"/>
              <w:rPr>
                <w:rFonts w:ascii="微软雅黑" w:eastAsia="微软雅黑" w:hint="eastAsia"/>
                <w:b/>
                <w:sz w:val="21"/>
              </w:rPr>
            </w:pPr>
            <w:r>
              <w:rPr>
                <w:rFonts w:ascii="微软雅黑" w:eastAsia="微软雅黑" w:hint="eastAsia"/>
                <w:b/>
                <w:sz w:val="21"/>
                <w:shd w:fill="D9D9D9" w:color="auto" w:val="clear"/>
              </w:rPr>
              <w:t>脑垂体瘤、脑囊肿、脑血管性疾病不在本合同保障范围内。</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28</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严重全身性重症肌无力</w:t>
            </w:r>
          </w:p>
        </w:tc>
        <w:tc>
          <w:tcPr>
            <w:tcW w:w="7485" w:type="dxa"/>
          </w:tcPr>
          <w:p>
            <w:pPr>
              <w:pStyle w:val="TableParagraph"/>
              <w:spacing w:line="273" w:lineRule="auto" w:before="135"/>
              <w:ind w:left="146" w:right="199"/>
              <w:jc w:val="both"/>
              <w:rPr>
                <w:sz w:val="21"/>
              </w:rPr>
            </w:pPr>
            <w:r>
              <w:rPr>
                <w:spacing w:val="-4"/>
                <w:sz w:val="21"/>
              </w:rPr>
              <w:t>重症肌无力是一种神经肌肉接头传递障碍所致的疾病，表现为局部或全身骨骼</w:t>
            </w:r>
            <w:r>
              <w:rPr>
                <w:spacing w:val="-3"/>
                <w:sz w:val="21"/>
              </w:rPr>
              <w:t>肌</w:t>
            </w:r>
            <w:r>
              <w:rPr>
                <w:sz w:val="21"/>
              </w:rPr>
              <w:t>（</w:t>
            </w:r>
            <w:r>
              <w:rPr>
                <w:spacing w:val="-3"/>
                <w:sz w:val="21"/>
              </w:rPr>
              <w:t>特别是眼外肌</w:t>
            </w:r>
            <w:r>
              <w:rPr>
                <w:spacing w:val="-5"/>
                <w:sz w:val="21"/>
              </w:rPr>
              <w:t>）</w:t>
            </w:r>
            <w:r>
              <w:rPr>
                <w:spacing w:val="-3"/>
                <w:sz w:val="21"/>
              </w:rPr>
              <w:t>极易疲劳。疾病可以累及呼吸肌、上肢或下肢的近端肌群或全身肌肉，必须满足下列所有条件：</w:t>
            </w:r>
          </w:p>
          <w:p>
            <w:pPr>
              <w:pStyle w:val="TableParagraph"/>
              <w:spacing w:before="8"/>
              <w:ind w:left="146"/>
              <w:rPr>
                <w:sz w:val="21"/>
              </w:rPr>
            </w:pPr>
            <w:r>
              <w:rPr>
                <w:sz w:val="21"/>
              </w:rPr>
              <w:t>（1）经药物治疗和胸腺切除治疗一年以上仍无法控制病情；</w:t>
            </w:r>
          </w:p>
          <w:p>
            <w:pPr>
              <w:pStyle w:val="TableParagraph"/>
              <w:spacing w:line="273" w:lineRule="auto" w:before="37"/>
              <w:ind w:left="146" w:right="295"/>
              <w:jc w:val="both"/>
              <w:rPr>
                <w:sz w:val="21"/>
              </w:rPr>
            </w:pPr>
            <w:r>
              <w:rPr>
                <w:sz w:val="21"/>
              </w:rPr>
              <w:t>（2）自主生活能力完全丧失，无法独立完成六项基本日常生活活动中的三项或三项以上。</w:t>
            </w:r>
          </w:p>
        </w:tc>
      </w:tr>
      <w:tr>
        <w:trPr>
          <w:trHeight w:val="1549" w:hRule="atLeast"/>
        </w:trPr>
        <w:tc>
          <w:tcPr>
            <w:tcW w:w="534" w:type="dxa"/>
          </w:tcPr>
          <w:p>
            <w:pPr>
              <w:pStyle w:val="TableParagraph"/>
              <w:spacing w:before="168"/>
              <w:ind w:right="106"/>
              <w:jc w:val="right"/>
              <w:rPr>
                <w:rFonts w:ascii="Calibri"/>
                <w:sz w:val="22"/>
              </w:rPr>
            </w:pPr>
            <w:r>
              <w:rPr>
                <w:rFonts w:ascii="Calibri"/>
                <w:sz w:val="22"/>
              </w:rPr>
              <w:t>29</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进行性核上性麻痹</w:t>
            </w:r>
          </w:p>
        </w:tc>
        <w:tc>
          <w:tcPr>
            <w:tcW w:w="7485" w:type="dxa"/>
          </w:tcPr>
          <w:p>
            <w:pPr>
              <w:pStyle w:val="TableParagraph"/>
              <w:spacing w:line="273" w:lineRule="auto" w:before="134"/>
              <w:ind w:left="146" w:right="199"/>
              <w:jc w:val="both"/>
              <w:rPr>
                <w:sz w:val="21"/>
              </w:rPr>
            </w:pPr>
            <w:r>
              <w:rPr>
                <w:sz w:val="21"/>
              </w:rPr>
              <w:t>进行性核上性麻痹是中枢神经系统变性性疾病，临床表现为眼球运动障碍、假性球麻痹、帕金森综合征等。被保险人自主生活能力完全丧失，无法独立完成六项基本日常生活活动中的三项或三项以上，日常生活必须持续受到他人监护。</w:t>
            </w:r>
          </w:p>
        </w:tc>
      </w:tr>
      <w:tr>
        <w:trPr>
          <w:trHeight w:val="973" w:hRule="atLeast"/>
        </w:trPr>
        <w:tc>
          <w:tcPr>
            <w:tcW w:w="534" w:type="dxa"/>
          </w:tcPr>
          <w:p>
            <w:pPr>
              <w:pStyle w:val="TableParagraph"/>
              <w:spacing w:before="179"/>
              <w:ind w:right="106"/>
              <w:jc w:val="right"/>
              <w:rPr>
                <w:rFonts w:ascii="Calibri"/>
                <w:sz w:val="22"/>
              </w:rPr>
            </w:pPr>
            <w:r>
              <w:rPr>
                <w:rFonts w:ascii="Calibri"/>
                <w:sz w:val="22"/>
              </w:rPr>
              <w:t>30</w:t>
            </w:r>
          </w:p>
        </w:tc>
        <w:tc>
          <w:tcPr>
            <w:tcW w:w="1946" w:type="dxa"/>
          </w:tcPr>
          <w:p>
            <w:pPr>
              <w:pStyle w:val="TableParagraph"/>
              <w:spacing w:line="206" w:lineRule="auto" w:before="134"/>
              <w:ind w:left="107" w:right="146"/>
              <w:rPr>
                <w:rFonts w:ascii="微软雅黑" w:eastAsia="微软雅黑" w:hint="eastAsia"/>
                <w:b/>
                <w:sz w:val="21"/>
              </w:rPr>
            </w:pPr>
            <w:r>
              <w:rPr>
                <w:rFonts w:ascii="微软雅黑" w:eastAsia="微软雅黑" w:hint="eastAsia"/>
                <w:b/>
                <w:sz w:val="21"/>
              </w:rPr>
              <w:t>脑炎后遗症或脑膜炎后遗症</w:t>
            </w:r>
          </w:p>
        </w:tc>
        <w:tc>
          <w:tcPr>
            <w:tcW w:w="7485" w:type="dxa"/>
          </w:tcPr>
          <w:p>
            <w:pPr>
              <w:pStyle w:val="TableParagraph"/>
              <w:spacing w:before="124"/>
              <w:ind w:left="146" w:right="162"/>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line="263" w:lineRule="exact" w:before="17"/>
              <w:ind w:left="146"/>
              <w:rPr>
                <w:sz w:val="21"/>
              </w:rPr>
            </w:pPr>
            <w:r>
              <w:rPr>
                <w:sz w:val="21"/>
              </w:rPr>
              <w:t>（1）一肢或一肢以上肢体机能完全丧失；</w:t>
            </w:r>
          </w:p>
        </w:tc>
      </w:tr>
    </w:tbl>
    <w:p>
      <w:pPr>
        <w:pStyle w:val="BodyText"/>
        <w:spacing w:before="8"/>
        <w:rPr>
          <w:sz w:val="25"/>
        </w:rPr>
      </w:pPr>
      <w:r>
        <w:rPr/>
        <w:pict>
          <v:line style="position:absolute;mso-position-horizontal-relative:page;mso-position-vertical-relative:paragraph;z-index:1336;mso-wrap-distance-left:0;mso-wrap-distance-right:0" from="53.880001pt,18.999981pt" to="197.930001pt,18.999981pt" stroked="true" strokeweight=".48004pt" strokecolor="#000000">
            <v:stroke dashstyle="solid"/>
            <w10:wrap type="topAndBottom"/>
          </v:line>
        </w:pict>
      </w:r>
    </w:p>
    <w:p>
      <w:pPr>
        <w:spacing w:before="61"/>
        <w:ind w:left="117" w:right="0" w:firstLine="0"/>
        <w:jc w:val="left"/>
        <w:rPr>
          <w:sz w:val="20"/>
        </w:rPr>
      </w:pPr>
      <w:r>
        <w:rPr>
          <w:w w:val="95"/>
          <w:sz w:val="20"/>
        </w:rPr>
        <w:t>（3）行动：自己上下床或上下轮椅；</w:t>
      </w:r>
    </w:p>
    <w:p>
      <w:pPr>
        <w:spacing w:before="50"/>
        <w:ind w:left="117" w:right="0" w:firstLine="0"/>
        <w:jc w:val="left"/>
        <w:rPr>
          <w:sz w:val="20"/>
        </w:rPr>
      </w:pPr>
      <w:r>
        <w:rPr>
          <w:w w:val="95"/>
          <w:sz w:val="20"/>
        </w:rPr>
        <w:t>（4）如厕：自己控制进行大小便；</w:t>
      </w:r>
    </w:p>
    <w:p>
      <w:pPr>
        <w:spacing w:before="50"/>
        <w:ind w:left="117" w:right="0" w:firstLine="0"/>
        <w:jc w:val="left"/>
        <w:rPr>
          <w:sz w:val="20"/>
        </w:rPr>
      </w:pPr>
      <w:r>
        <w:rPr>
          <w:w w:val="95"/>
          <w:sz w:val="20"/>
        </w:rPr>
        <w:t>（5）进食：自己从已准备好的碗或碟中取食物放入口中；</w:t>
      </w:r>
    </w:p>
    <w:p>
      <w:pPr>
        <w:spacing w:before="26"/>
        <w:ind w:left="117" w:right="0" w:firstLine="0"/>
        <w:jc w:val="left"/>
        <w:rPr>
          <w:sz w:val="20"/>
        </w:rPr>
      </w:pPr>
      <w:r>
        <w:rPr>
          <w:w w:val="95"/>
          <w:sz w:val="20"/>
        </w:rPr>
        <w:t>（6）洗澡：自己进行淋浴或盆浴。</w:t>
      </w:r>
    </w:p>
    <w:p>
      <w:pPr>
        <w:spacing w:after="0"/>
        <w:jc w:val="left"/>
        <w:rPr>
          <w:sz w:val="20"/>
        </w:rPr>
        <w:sectPr>
          <w:footerReference w:type="default" r:id="rId7"/>
          <w:pgSz w:w="11910" w:h="16840"/>
          <w:pgMar w:footer="705" w:header="0" w:top="1440" w:bottom="900" w:left="960" w:right="700"/>
          <w:pgNumType w:start="12"/>
        </w:sectPr>
      </w:pPr>
    </w:p>
    <w:p>
      <w:pPr>
        <w:pStyle w:val="BodyText"/>
        <w:spacing w:before="8"/>
        <w:ind w:left="2528"/>
      </w:pPr>
      <w:r>
        <w:rPr/>
        <w:t>（2）语言能力或咀嚼吞咽能力完全丧失；</w:t>
      </w:r>
    </w:p>
    <w:p>
      <w:pPr>
        <w:pStyle w:val="BodyText"/>
        <w:spacing w:line="273" w:lineRule="auto" w:before="37"/>
        <w:ind w:left="2528" w:right="119"/>
      </w:pPr>
      <w:r>
        <w:rPr>
          <w:spacing w:val="-20"/>
        </w:rPr>
        <w:t>（3）</w:t>
      </w:r>
      <w:r>
        <w:rPr>
          <w:spacing w:val="-8"/>
        </w:rPr>
        <w:t>自主生活能力完全丧失，无法独立完成六项基本日常生活活动中的三项或</w:t>
      </w:r>
      <w:r>
        <w:rPr>
          <w:spacing w:val="-5"/>
        </w:rPr>
        <w:t>三项以上。</w:t>
      </w:r>
    </w:p>
    <w:p>
      <w:pPr>
        <w:pStyle w:val="BodyText"/>
        <w:spacing w:before="1"/>
        <w:rPr>
          <w:sz w:val="24"/>
        </w:rPr>
      </w:pPr>
    </w:p>
    <w:p>
      <w:pPr>
        <w:pStyle w:val="ListParagraph"/>
        <w:numPr>
          <w:ilvl w:val="0"/>
          <w:numId w:val="8"/>
        </w:numPr>
        <w:tabs>
          <w:tab w:pos="544" w:val="left" w:leader="none"/>
        </w:tabs>
        <w:spacing w:line="312" w:lineRule="exact" w:before="0" w:after="0"/>
        <w:ind w:left="2529" w:right="118" w:hanging="2427"/>
        <w:jc w:val="both"/>
        <w:rPr>
          <w:sz w:val="21"/>
        </w:rPr>
      </w:pPr>
      <w:r>
        <w:rPr>
          <w:rFonts w:ascii="微软雅黑" w:eastAsia="微软雅黑" w:hint="eastAsia"/>
          <w:b/>
          <w:spacing w:val="1"/>
          <w:sz w:val="21"/>
        </w:rPr>
        <w:t>脊髓灰质炎后遗症  </w:t>
      </w:r>
      <w:r>
        <w:rPr>
          <w:spacing w:val="-4"/>
          <w:sz w:val="21"/>
        </w:rPr>
        <w:t>脊髓灰质炎是由于脊髓灰质炎病毒感染所致的瘫痪性疾病，临床表现为运动功</w:t>
      </w:r>
      <w:r>
        <w:rPr>
          <w:spacing w:val="-6"/>
          <w:sz w:val="21"/>
        </w:rPr>
        <w:t>能损害或呼吸无力。脊髓灰质炎必须明确诊断。</w:t>
      </w:r>
      <w:r>
        <w:rPr>
          <w:rFonts w:ascii="微软雅黑" w:eastAsia="微软雅黑" w:hint="eastAsia"/>
          <w:b/>
          <w:spacing w:val="-2"/>
          <w:sz w:val="21"/>
          <w:shd w:fill="D9D9D9" w:color="auto" w:val="clear"/>
        </w:rPr>
        <w:t>本保单仅对脊髓灰质炎造成的</w:t>
      </w:r>
      <w:r>
        <w:rPr>
          <w:rFonts w:ascii="微软雅黑" w:eastAsia="微软雅黑" w:hint="eastAsia"/>
          <w:b/>
          <w:spacing w:val="-206"/>
          <w:sz w:val="21"/>
          <w:shd w:fill="D9D9D9" w:color="auto" w:val="clear"/>
        </w:rPr>
        <w:t>神</w:t>
      </w:r>
      <w:r>
        <w:rPr>
          <w:rFonts w:ascii="微软雅黑" w:eastAsia="微软雅黑" w:hint="eastAsia"/>
          <w:b/>
          <w:spacing w:val="1"/>
          <w:sz w:val="21"/>
          <w:shd w:fill="D9D9D9" w:color="auto" w:val="clear"/>
        </w:rPr>
        <w:t>经系统功能损害导致被保险人一肢或一肢以上肢体机能永久完全丧失的情  </w:t>
      </w:r>
      <w:r>
        <w:rPr>
          <w:rFonts w:ascii="微软雅黑" w:eastAsia="微软雅黑" w:hint="eastAsia"/>
          <w:b/>
          <w:sz w:val="21"/>
          <w:shd w:fill="D9D9D9" w:color="auto" w:val="clear"/>
        </w:rPr>
        <w:t>况予以理赔。</w:t>
      </w:r>
      <w:r>
        <w:rPr>
          <w:spacing w:val="-6"/>
          <w:sz w:val="21"/>
        </w:rPr>
        <w:t>肢体机能永久完全丧失，指疾病确诊 </w:t>
      </w:r>
      <w:r>
        <w:rPr>
          <w:sz w:val="21"/>
        </w:rPr>
        <w:t>180</w:t>
      </w:r>
      <w:r>
        <w:rPr>
          <w:spacing w:val="-8"/>
          <w:sz w:val="21"/>
        </w:rPr>
        <w:t> 天后，每肢三大关节中</w:t>
      </w:r>
      <w:r>
        <w:rPr>
          <w:spacing w:val="-5"/>
          <w:sz w:val="21"/>
        </w:rPr>
        <w:t>的两大关节仍然完全僵硬，或不能随意识活动。</w:t>
      </w:r>
    </w:p>
    <w:p>
      <w:pPr>
        <w:pStyle w:val="BodyText"/>
        <w:spacing w:before="5"/>
        <w:rPr>
          <w:sz w:val="19"/>
        </w:rPr>
      </w:pPr>
    </w:p>
    <w:p>
      <w:pPr>
        <w:pStyle w:val="ListParagraph"/>
        <w:numPr>
          <w:ilvl w:val="0"/>
          <w:numId w:val="8"/>
        </w:numPr>
        <w:tabs>
          <w:tab w:pos="544" w:val="left" w:leader="none"/>
          <w:tab w:pos="2528" w:val="left" w:leader="none"/>
        </w:tabs>
        <w:spacing w:line="256" w:lineRule="auto" w:before="0" w:after="0"/>
        <w:ind w:left="2529" w:right="119" w:hanging="2427"/>
        <w:jc w:val="both"/>
        <w:rPr>
          <w:sz w:val="21"/>
        </w:rPr>
      </w:pPr>
      <w:r>
        <w:rPr>
          <w:rFonts w:ascii="微软雅黑" w:eastAsia="微软雅黑" w:hint="eastAsia"/>
          <w:b/>
          <w:sz w:val="21"/>
        </w:rPr>
        <w:t>深度昏迷</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意识</w:t>
      </w:r>
      <w:r>
        <w:rPr>
          <w:spacing w:val="-3"/>
          <w:sz w:val="21"/>
        </w:rPr>
        <w:t>丧</w:t>
      </w:r>
      <w:r>
        <w:rPr>
          <w:sz w:val="21"/>
        </w:rPr>
        <w:t>失</w:t>
      </w:r>
      <w:r>
        <w:rPr>
          <w:spacing w:val="-8"/>
          <w:sz w:val="21"/>
        </w:rPr>
        <w:t>，</w:t>
      </w:r>
      <w:r>
        <w:rPr>
          <w:sz w:val="21"/>
        </w:rPr>
        <w:t>对</w:t>
      </w:r>
      <w:r>
        <w:rPr>
          <w:spacing w:val="-3"/>
          <w:sz w:val="21"/>
        </w:rPr>
        <w:t>外</w:t>
      </w:r>
      <w:r>
        <w:rPr>
          <w:sz w:val="21"/>
        </w:rPr>
        <w:t>界</w:t>
      </w:r>
      <w:r>
        <w:rPr>
          <w:spacing w:val="-3"/>
          <w:sz w:val="21"/>
        </w:rPr>
        <w:t>刺</w:t>
      </w:r>
      <w:r>
        <w:rPr>
          <w:sz w:val="21"/>
        </w:rPr>
        <w:t>激</w:t>
      </w:r>
      <w:r>
        <w:rPr>
          <w:spacing w:val="-3"/>
          <w:sz w:val="21"/>
        </w:rPr>
        <w:t>和</w:t>
      </w:r>
      <w:r>
        <w:rPr>
          <w:sz w:val="21"/>
        </w:rPr>
        <w:t>体内</w:t>
      </w:r>
      <w:r>
        <w:rPr>
          <w:spacing w:val="-3"/>
          <w:sz w:val="21"/>
        </w:rPr>
        <w:t>需</w:t>
      </w:r>
      <w:r>
        <w:rPr>
          <w:sz w:val="21"/>
        </w:rPr>
        <w:t>求</w:t>
      </w:r>
      <w:r>
        <w:rPr>
          <w:spacing w:val="-3"/>
          <w:sz w:val="21"/>
        </w:rPr>
        <w:t>均</w:t>
      </w:r>
      <w:r>
        <w:rPr>
          <w:sz w:val="21"/>
        </w:rPr>
        <w:t>无</w:t>
      </w:r>
      <w:r>
        <w:rPr>
          <w:spacing w:val="-3"/>
          <w:sz w:val="21"/>
        </w:rPr>
        <w:t>反</w:t>
      </w:r>
      <w:r>
        <w:rPr>
          <w:sz w:val="21"/>
        </w:rPr>
        <w:t>应</w:t>
      </w:r>
      <w:r>
        <w:rPr>
          <w:spacing w:val="-8"/>
          <w:sz w:val="21"/>
        </w:rPr>
        <w:t>，</w:t>
      </w:r>
      <w:r>
        <w:rPr>
          <w:sz w:val="21"/>
        </w:rPr>
        <w:t>昏</w:t>
      </w:r>
      <w:r>
        <w:rPr>
          <w:spacing w:val="-3"/>
          <w:sz w:val="21"/>
        </w:rPr>
        <w:t>迷</w:t>
      </w:r>
      <w:r>
        <w:rPr>
          <w:sz w:val="21"/>
        </w:rPr>
        <w:t>程 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3"/>
          <w:sz w:val="21"/>
        </w:rPr>
        <w:t>级</w:t>
      </w:r>
      <w:r>
        <w:rPr>
          <w:sz w:val="21"/>
        </w:rPr>
        <w:t>（Glasgow coma scale）结</w:t>
      </w:r>
      <w:r>
        <w:rPr>
          <w:spacing w:val="-3"/>
          <w:sz w:val="21"/>
        </w:rPr>
        <w:t>果</w:t>
      </w:r>
      <w:r>
        <w:rPr>
          <w:sz w:val="21"/>
        </w:rPr>
        <w:t>为</w:t>
      </w:r>
      <w:r>
        <w:rPr>
          <w:spacing w:val="-50"/>
          <w:sz w:val="21"/>
        </w:rPr>
        <w:t> </w:t>
      </w:r>
      <w:r>
        <w:rPr>
          <w:sz w:val="21"/>
        </w:rPr>
        <w:t>5</w:t>
      </w:r>
      <w:r>
        <w:rPr>
          <w:spacing w:val="-51"/>
          <w:sz w:val="21"/>
        </w:rPr>
        <w:t> </w:t>
      </w:r>
      <w:r>
        <w:rPr>
          <w:spacing w:val="-3"/>
          <w:sz w:val="21"/>
        </w:rPr>
        <w:t>分</w:t>
      </w:r>
      <w:r>
        <w:rPr>
          <w:sz w:val="21"/>
        </w:rPr>
        <w:t>或</w:t>
      </w:r>
      <w:r>
        <w:rPr>
          <w:spacing w:val="-51"/>
          <w:sz w:val="21"/>
        </w:rPr>
        <w:t> </w:t>
      </w:r>
      <w:r>
        <w:rPr>
          <w:sz w:val="21"/>
        </w:rPr>
        <w:t>5</w:t>
      </w:r>
      <w:r>
        <w:rPr>
          <w:spacing w:val="-53"/>
          <w:sz w:val="21"/>
        </w:rPr>
        <w:t> </w:t>
      </w:r>
      <w:r>
        <w:rPr>
          <w:sz w:val="21"/>
        </w:rPr>
        <w:t>分</w:t>
      </w:r>
      <w:r>
        <w:rPr>
          <w:spacing w:val="-3"/>
          <w:sz w:val="21"/>
        </w:rPr>
        <w:t>以</w:t>
      </w:r>
      <w:r>
        <w:rPr>
          <w:sz w:val="21"/>
        </w:rPr>
        <w:t>下</w:t>
      </w:r>
      <w:r>
        <w:rPr>
          <w:spacing w:val="-3"/>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他生</w:t>
      </w:r>
      <w:r>
        <w:rPr>
          <w:spacing w:val="-3"/>
          <w:sz w:val="21"/>
        </w:rPr>
        <w:t>命</w:t>
      </w:r>
      <w:r>
        <w:rPr>
          <w:sz w:val="21"/>
        </w:rPr>
        <w:t>维</w:t>
      </w:r>
      <w:r>
        <w:rPr>
          <w:spacing w:val="-3"/>
          <w:sz w:val="21"/>
        </w:rPr>
        <w:t>持系</w:t>
      </w:r>
      <w:r>
        <w:rPr>
          <w:sz w:val="21"/>
        </w:rPr>
        <w:t>统</w:t>
      </w:r>
      <w:r>
        <w:rPr>
          <w:spacing w:val="-39"/>
          <w:sz w:val="21"/>
        </w:rPr>
        <w:t> </w:t>
      </w:r>
      <w:r>
        <w:rPr>
          <w:sz w:val="21"/>
        </w:rPr>
        <w:t>96</w:t>
      </w:r>
      <w:r>
        <w:rPr>
          <w:spacing w:val="-41"/>
          <w:sz w:val="21"/>
        </w:rPr>
        <w:t> </w:t>
      </w:r>
      <w:r>
        <w:rPr>
          <w:sz w:val="21"/>
        </w:rPr>
        <w:t>小</w:t>
      </w:r>
      <w:r>
        <w:rPr>
          <w:spacing w:val="-3"/>
          <w:sz w:val="21"/>
        </w:rPr>
        <w:t>时以</w:t>
      </w:r>
      <w:r>
        <w:rPr>
          <w:sz w:val="21"/>
        </w:rPr>
        <w:t>上。</w:t>
      </w:r>
    </w:p>
    <w:p>
      <w:pPr>
        <w:spacing w:line="323" w:lineRule="exact" w:before="0"/>
        <w:ind w:left="2528" w:right="0" w:firstLine="0"/>
        <w:jc w:val="left"/>
        <w:rPr>
          <w:rFonts w:ascii="微软雅黑" w:eastAsia="微软雅黑" w:hint="eastAsia"/>
          <w:b/>
          <w:sz w:val="21"/>
        </w:rPr>
      </w:pPr>
      <w:r>
        <w:rPr>
          <w:rFonts w:ascii="微软雅黑" w:eastAsia="微软雅黑" w:hint="eastAsia"/>
          <w:b/>
          <w:sz w:val="21"/>
          <w:shd w:fill="D9D9D9" w:color="auto" w:val="clear"/>
        </w:rPr>
        <w:t>因酗酒或药物滥用导致的深度昏迷不在本合同保障范围内。</w:t>
      </w:r>
    </w:p>
    <w:p>
      <w:pPr>
        <w:pStyle w:val="BodyText"/>
        <w:spacing w:before="2"/>
        <w:rPr>
          <w:rFonts w:ascii="微软雅黑"/>
          <w:b/>
          <w:sz w:val="15"/>
        </w:rPr>
      </w:pPr>
    </w:p>
    <w:p>
      <w:pPr>
        <w:pStyle w:val="ListParagraph"/>
        <w:numPr>
          <w:ilvl w:val="0"/>
          <w:numId w:val="8"/>
        </w:numPr>
        <w:tabs>
          <w:tab w:pos="544" w:val="left" w:leader="none"/>
          <w:tab w:pos="2528" w:val="left" w:leader="none"/>
        </w:tabs>
        <w:spacing w:line="256" w:lineRule="auto" w:before="0" w:after="0"/>
        <w:ind w:left="2529" w:right="118" w:hanging="2427"/>
        <w:jc w:val="both"/>
        <w:rPr>
          <w:sz w:val="21"/>
        </w:rPr>
      </w:pPr>
      <w:r>
        <w:rPr>
          <w:rFonts w:ascii="微软雅黑" w:eastAsia="微软雅黑" w:hint="eastAsia"/>
          <w:b/>
          <w:sz w:val="21"/>
        </w:rPr>
        <w:t>肌营养不良症</w:t>
        <w:tab/>
      </w:r>
      <w:r>
        <w:rPr>
          <w:sz w:val="21"/>
        </w:rPr>
        <w:t>肌营</w:t>
      </w:r>
      <w:r>
        <w:rPr>
          <w:spacing w:val="-3"/>
          <w:sz w:val="21"/>
        </w:rPr>
        <w:t>养</w:t>
      </w:r>
      <w:r>
        <w:rPr>
          <w:sz w:val="21"/>
        </w:rPr>
        <w:t>不</w:t>
      </w:r>
      <w:r>
        <w:rPr>
          <w:spacing w:val="-3"/>
          <w:sz w:val="21"/>
        </w:rPr>
        <w:t>良</w:t>
      </w:r>
      <w:r>
        <w:rPr>
          <w:sz w:val="21"/>
        </w:rPr>
        <w:t>症</w:t>
      </w:r>
      <w:r>
        <w:rPr>
          <w:spacing w:val="-3"/>
          <w:sz w:val="21"/>
        </w:rPr>
        <w:t>是</w:t>
      </w:r>
      <w:r>
        <w:rPr>
          <w:sz w:val="21"/>
        </w:rPr>
        <w:t>一</w:t>
      </w:r>
      <w:r>
        <w:rPr>
          <w:spacing w:val="-3"/>
          <w:sz w:val="21"/>
        </w:rPr>
        <w:t>组</w:t>
      </w:r>
      <w:r>
        <w:rPr>
          <w:sz w:val="21"/>
        </w:rPr>
        <w:t>遗</w:t>
      </w:r>
      <w:r>
        <w:rPr>
          <w:spacing w:val="-3"/>
          <w:sz w:val="21"/>
        </w:rPr>
        <w:t>传</w:t>
      </w:r>
      <w:r>
        <w:rPr>
          <w:sz w:val="21"/>
        </w:rPr>
        <w:t>性肌</w:t>
      </w:r>
      <w:r>
        <w:rPr>
          <w:spacing w:val="-3"/>
          <w:sz w:val="21"/>
        </w:rPr>
        <w:t>肉</w:t>
      </w:r>
      <w:r>
        <w:rPr>
          <w:sz w:val="21"/>
        </w:rPr>
        <w:t>变</w:t>
      </w:r>
      <w:r>
        <w:rPr>
          <w:spacing w:val="-3"/>
          <w:sz w:val="21"/>
        </w:rPr>
        <w:t>性</w:t>
      </w:r>
      <w:r>
        <w:rPr>
          <w:sz w:val="21"/>
        </w:rPr>
        <w:t>性</w:t>
      </w:r>
      <w:r>
        <w:rPr>
          <w:spacing w:val="-3"/>
          <w:sz w:val="21"/>
        </w:rPr>
        <w:t>病变</w:t>
      </w:r>
      <w:r>
        <w:rPr>
          <w:spacing w:val="-8"/>
          <w:sz w:val="21"/>
        </w:rPr>
        <w:t>，</w:t>
      </w:r>
      <w:r>
        <w:rPr>
          <w:spacing w:val="-3"/>
          <w:sz w:val="21"/>
        </w:rPr>
        <w:t>临床</w:t>
      </w:r>
      <w:r>
        <w:rPr>
          <w:sz w:val="21"/>
        </w:rPr>
        <w:t>特征</w:t>
      </w:r>
      <w:r>
        <w:rPr>
          <w:spacing w:val="-3"/>
          <w:sz w:val="21"/>
        </w:rPr>
        <w:t>为</w:t>
      </w:r>
      <w:r>
        <w:rPr>
          <w:sz w:val="21"/>
        </w:rPr>
        <w:t>与</w:t>
      </w:r>
      <w:r>
        <w:rPr>
          <w:spacing w:val="-3"/>
          <w:sz w:val="21"/>
        </w:rPr>
        <w:t>神</w:t>
      </w:r>
      <w:r>
        <w:rPr>
          <w:sz w:val="21"/>
        </w:rPr>
        <w:t>经</w:t>
      </w:r>
      <w:r>
        <w:rPr>
          <w:spacing w:val="-3"/>
          <w:sz w:val="21"/>
        </w:rPr>
        <w:t>系</w:t>
      </w:r>
      <w:r>
        <w:rPr>
          <w:sz w:val="21"/>
        </w:rPr>
        <w:t>统</w:t>
      </w:r>
      <w:r>
        <w:rPr>
          <w:spacing w:val="-3"/>
          <w:sz w:val="21"/>
        </w:rPr>
        <w:t>无</w:t>
      </w:r>
      <w:r>
        <w:rPr>
          <w:sz w:val="21"/>
        </w:rPr>
        <w:t>关</w:t>
      </w:r>
      <w:r>
        <w:rPr>
          <w:spacing w:val="-3"/>
          <w:sz w:val="21"/>
        </w:rPr>
        <w:t>的</w:t>
      </w:r>
      <w:r>
        <w:rPr>
          <w:sz w:val="21"/>
        </w:rPr>
        <w:t>肌 肉无</w:t>
      </w:r>
      <w:r>
        <w:rPr>
          <w:spacing w:val="-3"/>
          <w:sz w:val="21"/>
        </w:rPr>
        <w:t>力</w:t>
      </w:r>
      <w:r>
        <w:rPr>
          <w:sz w:val="21"/>
        </w:rPr>
        <w:t>和</w:t>
      </w:r>
      <w:r>
        <w:rPr>
          <w:spacing w:val="-3"/>
          <w:sz w:val="21"/>
        </w:rPr>
        <w:t>肌</w:t>
      </w:r>
      <w:r>
        <w:rPr>
          <w:sz w:val="21"/>
        </w:rPr>
        <w:t>肉</w:t>
      </w:r>
      <w:r>
        <w:rPr>
          <w:spacing w:val="-3"/>
          <w:sz w:val="21"/>
        </w:rPr>
        <w:t>萎</w:t>
      </w:r>
      <w:r>
        <w:rPr>
          <w:sz w:val="21"/>
        </w:rPr>
        <w:t>缩</w:t>
      </w:r>
      <w:r>
        <w:rPr>
          <w:spacing w:val="-8"/>
          <w:sz w:val="21"/>
        </w:rPr>
        <w:t>。</w:t>
      </w:r>
      <w:r>
        <w:rPr>
          <w:sz w:val="21"/>
        </w:rPr>
        <w:t>须</w:t>
      </w:r>
      <w:r>
        <w:rPr>
          <w:spacing w:val="-3"/>
          <w:sz w:val="21"/>
        </w:rPr>
        <w:t>满</w:t>
      </w:r>
      <w:r>
        <w:rPr>
          <w:sz w:val="21"/>
        </w:rPr>
        <w:t>足自</w:t>
      </w:r>
      <w:r>
        <w:rPr>
          <w:spacing w:val="-3"/>
          <w:sz w:val="21"/>
        </w:rPr>
        <w:t>主</w:t>
      </w:r>
      <w:r>
        <w:rPr>
          <w:sz w:val="21"/>
        </w:rPr>
        <w:t>生</w:t>
      </w:r>
      <w:r>
        <w:rPr>
          <w:spacing w:val="-3"/>
          <w:sz w:val="21"/>
        </w:rPr>
        <w:t>活</w:t>
      </w:r>
      <w:r>
        <w:rPr>
          <w:sz w:val="21"/>
        </w:rPr>
        <w:t>能</w:t>
      </w:r>
      <w:r>
        <w:rPr>
          <w:spacing w:val="-3"/>
          <w:sz w:val="21"/>
        </w:rPr>
        <w:t>力</w:t>
      </w:r>
      <w:r>
        <w:rPr>
          <w:sz w:val="21"/>
        </w:rPr>
        <w:t>完</w:t>
      </w:r>
      <w:r>
        <w:rPr>
          <w:spacing w:val="-3"/>
          <w:sz w:val="21"/>
        </w:rPr>
        <w:t>全</w:t>
      </w:r>
      <w:r>
        <w:rPr>
          <w:sz w:val="21"/>
        </w:rPr>
        <w:t>丧</w:t>
      </w:r>
      <w:r>
        <w:rPr>
          <w:spacing w:val="-3"/>
          <w:sz w:val="21"/>
        </w:rPr>
        <w:t>失</w:t>
      </w:r>
      <w:r>
        <w:rPr>
          <w:spacing w:val="-5"/>
          <w:sz w:val="21"/>
        </w:rPr>
        <w:t>，</w:t>
      </w:r>
      <w:r>
        <w:rPr>
          <w:sz w:val="21"/>
        </w:rPr>
        <w:t>无</w:t>
      </w:r>
      <w:r>
        <w:rPr>
          <w:spacing w:val="-3"/>
          <w:sz w:val="21"/>
        </w:rPr>
        <w:t>法</w:t>
      </w:r>
      <w:r>
        <w:rPr>
          <w:sz w:val="21"/>
        </w:rPr>
        <w:t>独</w:t>
      </w:r>
      <w:r>
        <w:rPr>
          <w:spacing w:val="-3"/>
          <w:sz w:val="21"/>
        </w:rPr>
        <w:t>立</w:t>
      </w:r>
      <w:r>
        <w:rPr>
          <w:sz w:val="21"/>
        </w:rPr>
        <w:t>完</w:t>
      </w:r>
      <w:r>
        <w:rPr>
          <w:spacing w:val="-3"/>
          <w:sz w:val="21"/>
        </w:rPr>
        <w:t>成</w:t>
      </w:r>
      <w:r>
        <w:rPr>
          <w:sz w:val="21"/>
        </w:rPr>
        <w:t>六</w:t>
      </w:r>
      <w:r>
        <w:rPr>
          <w:spacing w:val="-3"/>
          <w:sz w:val="21"/>
        </w:rPr>
        <w:t>项</w:t>
      </w:r>
      <w:r>
        <w:rPr>
          <w:sz w:val="21"/>
        </w:rPr>
        <w:t>基</w:t>
      </w:r>
      <w:r>
        <w:rPr>
          <w:spacing w:val="-3"/>
          <w:sz w:val="21"/>
        </w:rPr>
        <w:t>本</w:t>
      </w:r>
      <w:r>
        <w:rPr>
          <w:sz w:val="21"/>
        </w:rPr>
        <w:t>日常生</w:t>
      </w:r>
      <w:r>
        <w:rPr>
          <w:spacing w:val="-3"/>
          <w:sz w:val="21"/>
        </w:rPr>
        <w:t>活</w:t>
      </w:r>
      <w:r>
        <w:rPr>
          <w:sz w:val="21"/>
        </w:rPr>
        <w:t>活</w:t>
      </w:r>
      <w:r>
        <w:rPr>
          <w:spacing w:val="-3"/>
          <w:sz w:val="21"/>
        </w:rPr>
        <w:t>动</w:t>
      </w:r>
      <w:r>
        <w:rPr>
          <w:sz w:val="21"/>
        </w:rPr>
        <w:t>中</w:t>
      </w:r>
      <w:r>
        <w:rPr>
          <w:spacing w:val="-3"/>
          <w:sz w:val="21"/>
        </w:rPr>
        <w:t>的</w:t>
      </w:r>
      <w:r>
        <w:rPr>
          <w:sz w:val="21"/>
        </w:rPr>
        <w:t>三</w:t>
      </w:r>
      <w:r>
        <w:rPr>
          <w:spacing w:val="-3"/>
          <w:sz w:val="21"/>
        </w:rPr>
        <w:t>项</w:t>
      </w:r>
      <w:r>
        <w:rPr>
          <w:sz w:val="21"/>
        </w:rPr>
        <w:t>或</w:t>
      </w:r>
      <w:r>
        <w:rPr>
          <w:spacing w:val="-3"/>
          <w:sz w:val="21"/>
        </w:rPr>
        <w:t>三</w:t>
      </w:r>
      <w:r>
        <w:rPr>
          <w:sz w:val="21"/>
        </w:rPr>
        <w:t>项以</w:t>
      </w:r>
      <w:r>
        <w:rPr>
          <w:spacing w:val="-3"/>
          <w:sz w:val="21"/>
        </w:rPr>
        <w:t>上</w:t>
      </w:r>
      <w:r>
        <w:rPr>
          <w:sz w:val="21"/>
        </w:rPr>
        <w:t>。</w:t>
      </w:r>
    </w:p>
    <w:p>
      <w:pPr>
        <w:pStyle w:val="BodyText"/>
        <w:spacing w:before="10"/>
        <w:rPr>
          <w:sz w:val="22"/>
        </w:rPr>
      </w:pPr>
    </w:p>
    <w:p>
      <w:pPr>
        <w:spacing w:after="0"/>
        <w:rPr>
          <w:sz w:val="22"/>
        </w:rPr>
        <w:sectPr>
          <w:pgSz w:w="11910" w:h="16840"/>
          <w:pgMar w:header="0" w:footer="705" w:top="1360" w:bottom="980" w:left="1240" w:right="880"/>
        </w:sectPr>
      </w:pPr>
    </w:p>
    <w:p>
      <w:pPr>
        <w:pStyle w:val="ListParagraph"/>
        <w:numPr>
          <w:ilvl w:val="0"/>
          <w:numId w:val="8"/>
        </w:numPr>
        <w:tabs>
          <w:tab w:pos="543" w:val="left" w:leader="none"/>
          <w:tab w:pos="544" w:val="left" w:leader="none"/>
        </w:tabs>
        <w:spacing w:line="204" w:lineRule="auto" w:before="29" w:after="0"/>
        <w:ind w:left="543" w:right="0" w:hanging="441"/>
        <w:jc w:val="left"/>
        <w:rPr>
          <w:rFonts w:ascii="微软雅黑" w:eastAsia="微软雅黑" w:hint="eastAsia"/>
          <w:b/>
          <w:sz w:val="21"/>
        </w:rPr>
      </w:pPr>
      <w:r>
        <w:rPr>
          <w:rFonts w:ascii="微软雅黑" w:eastAsia="微软雅黑" w:hint="eastAsia"/>
          <w:b/>
          <w:sz w:val="21"/>
        </w:rPr>
        <w:t>肾上腺脑白质营养不良</w:t>
      </w:r>
    </w:p>
    <w:p>
      <w:pPr>
        <w:pStyle w:val="BodyText"/>
        <w:spacing w:line="266" w:lineRule="auto" w:before="36"/>
        <w:ind w:left="102" w:right="119"/>
        <w:jc w:val="both"/>
      </w:pPr>
      <w:r>
        <w:rPr/>
        <w:br w:type="column"/>
      </w:r>
      <w:r>
        <w:rPr>
          <w:spacing w:val="-5"/>
        </w:rPr>
        <w:t>指一种最常见的过氧化物酶体病，主要累及肾上腺和脑白质，主要表现为进行性的精神运动障碍，视力及听力下降和</w:t>
      </w:r>
      <w:r>
        <w:rPr>
          <w:spacing w:val="-3"/>
        </w:rPr>
        <w:t>（</w:t>
      </w:r>
      <w:r>
        <w:rPr/>
        <w:t>或</w:t>
      </w:r>
      <w:r>
        <w:rPr>
          <w:spacing w:val="-5"/>
        </w:rPr>
        <w:t>）</w:t>
      </w:r>
      <w:r>
        <w:rPr>
          <w:spacing w:val="-4"/>
        </w:rPr>
        <w:t>肾上腺皮质功能低下等。须经专</w:t>
      </w:r>
      <w:r>
        <w:rPr>
          <w:spacing w:val="-5"/>
        </w:rPr>
        <w:t>科医生诊断，且已经造成自主生活能力完全丧失，无法独立完成六项基本日常</w:t>
      </w:r>
      <w:r>
        <w:rPr>
          <w:spacing w:val="-7"/>
        </w:rPr>
        <w:t>生活活动中的三项或三项以上，持续至少 </w:t>
      </w:r>
      <w:r>
        <w:rPr>
          <w:rFonts w:ascii="Calibri" w:eastAsia="Calibri"/>
        </w:rPr>
        <w:t>180 </w:t>
      </w:r>
      <w:r>
        <w:rPr>
          <w:spacing w:val="-3"/>
        </w:rPr>
        <w:t>天。本附加合同仅对三周岁以上的被保险人予以理赔。</w:t>
      </w:r>
    </w:p>
    <w:p>
      <w:pPr>
        <w:pStyle w:val="BodyText"/>
        <w:spacing w:before="14"/>
        <w:ind w:left="102"/>
        <w:jc w:val="both"/>
      </w:pPr>
      <w:r>
        <w:rPr/>
        <w:t>（本附加合同责任免除条款第八项不适用于此病种。）</w:t>
      </w:r>
    </w:p>
    <w:p>
      <w:pPr>
        <w:spacing w:after="0"/>
        <w:jc w:val="both"/>
        <w:sectPr>
          <w:type w:val="continuous"/>
          <w:pgSz w:w="11910" w:h="16840"/>
          <w:pgMar w:top="1160" w:bottom="280" w:left="1240" w:right="880"/>
          <w:cols w:num="2" w:equalWidth="0">
            <w:col w:w="2234" w:space="193"/>
            <w:col w:w="7363"/>
          </w:cols>
        </w:sectPr>
      </w:pPr>
    </w:p>
    <w:p>
      <w:pPr>
        <w:pStyle w:val="BodyText"/>
        <w:spacing w:before="12"/>
        <w:rPr>
          <w:sz w:val="23"/>
        </w:rPr>
      </w:pPr>
    </w:p>
    <w:p>
      <w:pPr>
        <w:pStyle w:val="ListParagraph"/>
        <w:numPr>
          <w:ilvl w:val="0"/>
          <w:numId w:val="8"/>
        </w:numPr>
        <w:tabs>
          <w:tab w:pos="544" w:val="left" w:leader="none"/>
          <w:tab w:pos="2528" w:val="left" w:leader="none"/>
        </w:tabs>
        <w:spacing w:line="312" w:lineRule="exact" w:before="32" w:after="0"/>
        <w:ind w:left="2529" w:right="118" w:hanging="2427"/>
        <w:jc w:val="both"/>
        <w:rPr>
          <w:sz w:val="21"/>
        </w:rPr>
      </w:pPr>
      <w:r>
        <w:rPr>
          <w:rFonts w:ascii="微软雅黑" w:eastAsia="微软雅黑" w:hint="eastAsia"/>
          <w:b/>
          <w:sz w:val="21"/>
        </w:rPr>
        <w:t>瘫痪</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丧失</w:t>
      </w:r>
      <w:r>
        <w:rPr>
          <w:spacing w:val="-8"/>
          <w:sz w:val="21"/>
        </w:rPr>
        <w:t>。</w:t>
      </w:r>
      <w:r>
        <w:rPr>
          <w:spacing w:val="-3"/>
          <w:sz w:val="21"/>
        </w:rPr>
        <w:t>肢</w:t>
      </w:r>
      <w:r>
        <w:rPr>
          <w:sz w:val="21"/>
        </w:rPr>
        <w:t>体</w:t>
      </w:r>
      <w:r>
        <w:rPr>
          <w:spacing w:val="-3"/>
          <w:sz w:val="21"/>
        </w:rPr>
        <w:t>机能</w:t>
      </w:r>
      <w:r>
        <w:rPr>
          <w:sz w:val="21"/>
        </w:rPr>
        <w:t>永 久完</w:t>
      </w:r>
      <w:r>
        <w:rPr>
          <w:spacing w:val="-3"/>
          <w:sz w:val="21"/>
        </w:rPr>
        <w:t>全</w:t>
      </w:r>
      <w:r>
        <w:rPr>
          <w:sz w:val="21"/>
        </w:rPr>
        <w:t>丧</w:t>
      </w:r>
      <w:r>
        <w:rPr>
          <w:spacing w:val="-3"/>
          <w:sz w:val="21"/>
        </w:rPr>
        <w:t>失</w:t>
      </w:r>
      <w:r>
        <w:rPr>
          <w:spacing w:val="-5"/>
          <w:sz w:val="21"/>
        </w:rPr>
        <w:t>，</w:t>
      </w:r>
      <w:r>
        <w:rPr>
          <w:spacing w:val="-3"/>
          <w:sz w:val="21"/>
        </w:rPr>
        <w:t>指</w:t>
      </w:r>
      <w:r>
        <w:rPr>
          <w:sz w:val="21"/>
        </w:rPr>
        <w:t>疾</w:t>
      </w:r>
      <w:r>
        <w:rPr>
          <w:spacing w:val="-3"/>
          <w:sz w:val="21"/>
        </w:rPr>
        <w:t>病</w:t>
      </w:r>
      <w:r>
        <w:rPr>
          <w:sz w:val="21"/>
        </w:rPr>
        <w:t>确诊</w:t>
      </w:r>
      <w:r>
        <w:rPr>
          <w:spacing w:val="-47"/>
          <w:sz w:val="21"/>
        </w:rPr>
        <w:t> </w:t>
      </w:r>
      <w:r>
        <w:rPr>
          <w:sz w:val="21"/>
        </w:rPr>
        <w:t>180</w:t>
      </w:r>
      <w:r>
        <w:rPr>
          <w:spacing w:val="-45"/>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47"/>
          <w:sz w:val="21"/>
        </w:rPr>
        <w:t> </w:t>
      </w:r>
      <w:r>
        <w:rPr>
          <w:sz w:val="21"/>
        </w:rPr>
        <w:t>180</w:t>
      </w:r>
      <w:r>
        <w:rPr>
          <w:spacing w:val="-44"/>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w:t>
      </w:r>
      <w:r>
        <w:rPr>
          <w:spacing w:val="-3"/>
          <w:sz w:val="21"/>
        </w:rPr>
        <w:t>关</w:t>
      </w:r>
      <w:r>
        <w:rPr>
          <w:sz w:val="21"/>
        </w:rPr>
        <w:t>节中的两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w:t>
      </w:r>
      <w:r>
        <w:rPr>
          <w:spacing w:val="-3"/>
          <w:sz w:val="21"/>
        </w:rPr>
        <w:t>硬</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BodyText"/>
        <w:spacing w:before="4"/>
        <w:rPr>
          <w:sz w:val="19"/>
        </w:rPr>
      </w:pPr>
    </w:p>
    <w:p>
      <w:pPr>
        <w:pStyle w:val="ListParagraph"/>
        <w:numPr>
          <w:ilvl w:val="0"/>
          <w:numId w:val="8"/>
        </w:numPr>
        <w:tabs>
          <w:tab w:pos="544" w:val="left" w:leader="none"/>
          <w:tab w:pos="2528" w:val="left" w:leader="none"/>
        </w:tabs>
        <w:spacing w:line="261" w:lineRule="auto" w:before="0" w:after="0"/>
        <w:ind w:left="2529" w:right="118" w:hanging="2427"/>
        <w:jc w:val="both"/>
        <w:rPr>
          <w:sz w:val="21"/>
        </w:rPr>
      </w:pPr>
      <w:r>
        <w:rPr>
          <w:rFonts w:ascii="微软雅黑" w:eastAsia="微软雅黑" w:hint="eastAsia"/>
          <w:b/>
          <w:sz w:val="21"/>
        </w:rPr>
        <w:t>植物人状态</w:t>
        <w:tab/>
      </w:r>
      <w:r>
        <w:rPr>
          <w:sz w:val="21"/>
        </w:rPr>
        <w:t>植物人状态系指由于严重颅脑外伤造成大脑</w:t>
      </w:r>
      <w:r>
        <w:rPr>
          <w:spacing w:val="5"/>
          <w:sz w:val="21"/>
        </w:rPr>
        <w:t>和</w:t>
      </w:r>
      <w:r>
        <w:rPr>
          <w:sz w:val="21"/>
        </w:rPr>
        <w:t>/或脑干严重损害导致完全永久 性的</w:t>
      </w:r>
      <w:r>
        <w:rPr>
          <w:spacing w:val="-3"/>
          <w:sz w:val="21"/>
        </w:rPr>
        <w:t>对</w:t>
      </w:r>
      <w:r>
        <w:rPr>
          <w:sz w:val="21"/>
        </w:rPr>
        <w:t>自</w:t>
      </w:r>
      <w:r>
        <w:rPr>
          <w:spacing w:val="-3"/>
          <w:sz w:val="21"/>
        </w:rPr>
        <w:t>身</w:t>
      </w:r>
      <w:r>
        <w:rPr>
          <w:sz w:val="21"/>
        </w:rPr>
        <w:t>和</w:t>
      </w:r>
      <w:r>
        <w:rPr>
          <w:spacing w:val="-3"/>
          <w:sz w:val="21"/>
        </w:rPr>
        <w:t>环</w:t>
      </w:r>
      <w:r>
        <w:rPr>
          <w:sz w:val="21"/>
        </w:rPr>
        <w:t>境</w:t>
      </w:r>
      <w:r>
        <w:rPr>
          <w:spacing w:val="-3"/>
          <w:sz w:val="21"/>
        </w:rPr>
        <w:t>的</w:t>
      </w:r>
      <w:r>
        <w:rPr>
          <w:sz w:val="21"/>
        </w:rPr>
        <w:t>意</w:t>
      </w:r>
      <w:r>
        <w:rPr>
          <w:spacing w:val="-3"/>
          <w:sz w:val="21"/>
        </w:rPr>
        <w:t>识</w:t>
      </w:r>
      <w:r>
        <w:rPr>
          <w:sz w:val="21"/>
        </w:rPr>
        <w:t>丧失</w:t>
      </w:r>
      <w:r>
        <w:rPr>
          <w:spacing w:val="-3"/>
          <w:sz w:val="21"/>
        </w:rPr>
        <w:t>和</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功</w:t>
      </w:r>
      <w:r>
        <w:rPr>
          <w:spacing w:val="-3"/>
          <w:sz w:val="21"/>
        </w:rPr>
        <w:t>能</w:t>
      </w:r>
      <w:r>
        <w:rPr>
          <w:sz w:val="21"/>
        </w:rPr>
        <w:t>丧</w:t>
      </w:r>
      <w:r>
        <w:rPr>
          <w:spacing w:val="-3"/>
          <w:sz w:val="21"/>
        </w:rPr>
        <w:t>失</w:t>
      </w:r>
      <w:r>
        <w:rPr>
          <w:spacing w:val="-8"/>
          <w:sz w:val="21"/>
        </w:rPr>
        <w:t>，</w:t>
      </w:r>
      <w:r>
        <w:rPr>
          <w:spacing w:val="-3"/>
          <w:sz w:val="21"/>
        </w:rPr>
        <w:t>仅</w:t>
      </w:r>
      <w:r>
        <w:rPr>
          <w:sz w:val="21"/>
        </w:rPr>
        <w:t>残</w:t>
      </w:r>
      <w:r>
        <w:rPr>
          <w:spacing w:val="-3"/>
          <w:sz w:val="21"/>
        </w:rPr>
        <w:t>存</w:t>
      </w:r>
      <w:r>
        <w:rPr>
          <w:sz w:val="21"/>
        </w:rPr>
        <w:t>植</w:t>
      </w:r>
      <w:r>
        <w:rPr>
          <w:spacing w:val="-3"/>
          <w:sz w:val="21"/>
        </w:rPr>
        <w:t>物</w:t>
      </w:r>
      <w:r>
        <w:rPr>
          <w:sz w:val="21"/>
        </w:rPr>
        <w:t>神</w:t>
      </w:r>
      <w:r>
        <w:rPr>
          <w:spacing w:val="-3"/>
          <w:sz w:val="21"/>
        </w:rPr>
        <w:t>经功</w:t>
      </w:r>
      <w:r>
        <w:rPr>
          <w:sz w:val="21"/>
        </w:rPr>
        <w:t>能的疾</w:t>
      </w:r>
      <w:r>
        <w:rPr>
          <w:spacing w:val="-3"/>
          <w:sz w:val="21"/>
        </w:rPr>
        <w:t>病</w:t>
      </w:r>
      <w:r>
        <w:rPr>
          <w:sz w:val="21"/>
        </w:rPr>
        <w:t>状</w:t>
      </w:r>
      <w:r>
        <w:rPr>
          <w:spacing w:val="-3"/>
          <w:sz w:val="21"/>
        </w:rPr>
        <w:t>态</w:t>
      </w:r>
      <w:r>
        <w:rPr>
          <w:spacing w:val="-5"/>
          <w:sz w:val="21"/>
        </w:rPr>
        <w:t>。</w:t>
      </w:r>
      <w:r>
        <w:rPr>
          <w:spacing w:val="-3"/>
          <w:sz w:val="21"/>
        </w:rPr>
        <w:t>诊</w:t>
      </w:r>
      <w:r>
        <w:rPr>
          <w:sz w:val="21"/>
        </w:rPr>
        <w:t>断</w:t>
      </w:r>
      <w:r>
        <w:rPr>
          <w:spacing w:val="-3"/>
          <w:sz w:val="21"/>
        </w:rPr>
        <w:t>必</w:t>
      </w:r>
      <w:r>
        <w:rPr>
          <w:sz w:val="21"/>
        </w:rPr>
        <w:t>须</w:t>
      </w:r>
      <w:r>
        <w:rPr>
          <w:spacing w:val="-3"/>
          <w:sz w:val="21"/>
        </w:rPr>
        <w:t>明</w:t>
      </w:r>
      <w:r>
        <w:rPr>
          <w:sz w:val="21"/>
        </w:rPr>
        <w:t>确并</w:t>
      </w:r>
      <w:r>
        <w:rPr>
          <w:spacing w:val="-3"/>
          <w:sz w:val="21"/>
        </w:rPr>
        <w:t>且</w:t>
      </w:r>
      <w:r>
        <w:rPr>
          <w:sz w:val="21"/>
        </w:rPr>
        <w:t>具</w:t>
      </w:r>
      <w:r>
        <w:rPr>
          <w:spacing w:val="-3"/>
          <w:sz w:val="21"/>
        </w:rPr>
        <w:t>有</w:t>
      </w:r>
      <w:r>
        <w:rPr>
          <w:sz w:val="21"/>
        </w:rPr>
        <w:t>严</w:t>
      </w:r>
      <w:r>
        <w:rPr>
          <w:spacing w:val="-3"/>
          <w:sz w:val="21"/>
        </w:rPr>
        <w:t>重</w:t>
      </w:r>
      <w:r>
        <w:rPr>
          <w:sz w:val="21"/>
        </w:rPr>
        <w:t>颅</w:t>
      </w:r>
      <w:r>
        <w:rPr>
          <w:spacing w:val="-3"/>
          <w:sz w:val="21"/>
        </w:rPr>
        <w:t>脑</w:t>
      </w:r>
      <w:r>
        <w:rPr>
          <w:sz w:val="21"/>
        </w:rPr>
        <w:t>外</w:t>
      </w:r>
      <w:r>
        <w:rPr>
          <w:spacing w:val="-3"/>
          <w:sz w:val="21"/>
        </w:rPr>
        <w:t>伤</w:t>
      </w:r>
      <w:r>
        <w:rPr>
          <w:sz w:val="21"/>
        </w:rPr>
        <w:t>和脑</w:t>
      </w:r>
      <w:r>
        <w:rPr>
          <w:spacing w:val="-3"/>
          <w:sz w:val="21"/>
        </w:rPr>
        <w:t>损</w:t>
      </w:r>
      <w:r>
        <w:rPr>
          <w:sz w:val="21"/>
        </w:rPr>
        <w:t>害</w:t>
      </w:r>
      <w:r>
        <w:rPr>
          <w:spacing w:val="-3"/>
          <w:sz w:val="21"/>
        </w:rPr>
        <w:t>的</w:t>
      </w:r>
      <w:r>
        <w:rPr>
          <w:sz w:val="21"/>
        </w:rPr>
        <w:t>证</w:t>
      </w:r>
      <w:r>
        <w:rPr>
          <w:spacing w:val="-3"/>
          <w:sz w:val="21"/>
        </w:rPr>
        <w:t>据</w:t>
      </w:r>
      <w:r>
        <w:rPr>
          <w:spacing w:val="-5"/>
          <w:sz w:val="21"/>
        </w:rPr>
        <w:t>。</w:t>
      </w:r>
      <w:r>
        <w:rPr>
          <w:spacing w:val="-3"/>
          <w:sz w:val="21"/>
        </w:rPr>
        <w:t>植</w:t>
      </w:r>
      <w:r>
        <w:rPr>
          <w:sz w:val="21"/>
        </w:rPr>
        <w:t>物</w:t>
      </w:r>
      <w:r>
        <w:rPr>
          <w:spacing w:val="-3"/>
          <w:sz w:val="21"/>
        </w:rPr>
        <w:t>人</w:t>
      </w:r>
      <w:r>
        <w:rPr>
          <w:sz w:val="21"/>
        </w:rPr>
        <w:t>状态必</w:t>
      </w:r>
      <w:r>
        <w:rPr>
          <w:spacing w:val="-3"/>
          <w:sz w:val="21"/>
        </w:rPr>
        <w:t>须持</w:t>
      </w:r>
      <w:r>
        <w:rPr>
          <w:sz w:val="21"/>
        </w:rPr>
        <w:t>续</w:t>
      </w:r>
      <w:r>
        <w:rPr>
          <w:spacing w:val="-44"/>
          <w:sz w:val="21"/>
        </w:rPr>
        <w:t> </w:t>
      </w:r>
      <w:r>
        <w:rPr>
          <w:sz w:val="21"/>
        </w:rPr>
        <w:t>30</w:t>
      </w:r>
      <w:r>
        <w:rPr>
          <w:spacing w:val="-46"/>
          <w:sz w:val="21"/>
        </w:rPr>
        <w:t> </w:t>
      </w:r>
      <w:r>
        <w:rPr>
          <w:sz w:val="21"/>
        </w:rPr>
        <w:t>天</w:t>
      </w:r>
      <w:r>
        <w:rPr>
          <w:spacing w:val="-3"/>
          <w:sz w:val="21"/>
        </w:rPr>
        <w:t>以</w:t>
      </w:r>
      <w:r>
        <w:rPr>
          <w:sz w:val="21"/>
        </w:rPr>
        <w:t>上</w:t>
      </w:r>
      <w:r>
        <w:rPr>
          <w:spacing w:val="-3"/>
          <w:sz w:val="21"/>
        </w:rPr>
        <w:t>方可</w:t>
      </w:r>
      <w:r>
        <w:rPr>
          <w:sz w:val="21"/>
        </w:rPr>
        <w:t>申请</w:t>
      </w:r>
      <w:r>
        <w:rPr>
          <w:spacing w:val="-3"/>
          <w:sz w:val="21"/>
        </w:rPr>
        <w:t>理</w:t>
      </w:r>
      <w:r>
        <w:rPr>
          <w:sz w:val="21"/>
        </w:rPr>
        <w:t>赔。</w:t>
      </w:r>
    </w:p>
    <w:p>
      <w:pPr>
        <w:pStyle w:val="BodyText"/>
        <w:spacing w:before="5"/>
        <w:rPr>
          <w:sz w:val="20"/>
        </w:rPr>
      </w:pPr>
    </w:p>
    <w:p>
      <w:pPr>
        <w:pStyle w:val="ListParagraph"/>
        <w:numPr>
          <w:ilvl w:val="0"/>
          <w:numId w:val="8"/>
        </w:numPr>
        <w:tabs>
          <w:tab w:pos="543" w:val="left" w:leader="none"/>
          <w:tab w:pos="544" w:val="left" w:leader="none"/>
          <w:tab w:pos="2528" w:val="left" w:leader="none"/>
        </w:tabs>
        <w:spacing w:line="240" w:lineRule="auto" w:before="0" w:after="0"/>
        <w:ind w:left="2529" w:right="0" w:hanging="2427"/>
        <w:jc w:val="left"/>
        <w:rPr>
          <w:sz w:val="21"/>
        </w:rPr>
      </w:pPr>
      <w:r>
        <w:rPr>
          <w:rFonts w:ascii="微软雅黑" w:eastAsia="微软雅黑" w:hint="eastAsia"/>
          <w:b/>
          <w:sz w:val="21"/>
        </w:rPr>
        <w:t>结核性脑膜炎</w:t>
        <w:tab/>
      </w:r>
      <w:r>
        <w:rPr>
          <w:sz w:val="21"/>
        </w:rPr>
        <w:t>由结</w:t>
      </w:r>
      <w:r>
        <w:rPr>
          <w:spacing w:val="-3"/>
          <w:sz w:val="21"/>
        </w:rPr>
        <w:t>核</w:t>
      </w:r>
      <w:r>
        <w:rPr>
          <w:sz w:val="21"/>
        </w:rPr>
        <w:t>杆</w:t>
      </w:r>
      <w:r>
        <w:rPr>
          <w:spacing w:val="-3"/>
          <w:sz w:val="21"/>
        </w:rPr>
        <w:t>菌</w:t>
      </w:r>
      <w:r>
        <w:rPr>
          <w:sz w:val="21"/>
        </w:rPr>
        <w:t>引</w:t>
      </w:r>
      <w:r>
        <w:rPr>
          <w:spacing w:val="-3"/>
          <w:sz w:val="21"/>
        </w:rPr>
        <w:t>起</w:t>
      </w:r>
      <w:r>
        <w:rPr>
          <w:sz w:val="21"/>
        </w:rPr>
        <w:t>的</w:t>
      </w:r>
      <w:r>
        <w:rPr>
          <w:spacing w:val="-3"/>
          <w:sz w:val="21"/>
        </w:rPr>
        <w:t>脑</w:t>
      </w:r>
      <w:r>
        <w:rPr>
          <w:sz w:val="21"/>
        </w:rPr>
        <w:t>膜</w:t>
      </w:r>
      <w:r>
        <w:rPr>
          <w:spacing w:val="-3"/>
          <w:sz w:val="21"/>
        </w:rPr>
        <w:t>和</w:t>
      </w:r>
      <w:r>
        <w:rPr>
          <w:sz w:val="21"/>
        </w:rPr>
        <w:t>脊膜</w:t>
      </w:r>
      <w:r>
        <w:rPr>
          <w:spacing w:val="-3"/>
          <w:sz w:val="21"/>
        </w:rPr>
        <w:t>的</w:t>
      </w:r>
      <w:r>
        <w:rPr>
          <w:sz w:val="21"/>
        </w:rPr>
        <w:t>非</w:t>
      </w:r>
      <w:r>
        <w:rPr>
          <w:spacing w:val="-3"/>
          <w:sz w:val="21"/>
        </w:rPr>
        <w:t>化</w:t>
      </w:r>
      <w:r>
        <w:rPr>
          <w:sz w:val="21"/>
        </w:rPr>
        <w:t>脓</w:t>
      </w:r>
      <w:r>
        <w:rPr>
          <w:spacing w:val="-3"/>
          <w:sz w:val="21"/>
        </w:rPr>
        <w:t>性</w:t>
      </w:r>
      <w:r>
        <w:rPr>
          <w:sz w:val="21"/>
        </w:rPr>
        <w:t>炎</w:t>
      </w:r>
      <w:r>
        <w:rPr>
          <w:spacing w:val="-3"/>
          <w:sz w:val="21"/>
        </w:rPr>
        <w:t>症</w:t>
      </w:r>
      <w:r>
        <w:rPr>
          <w:sz w:val="21"/>
        </w:rPr>
        <w:t>性</w:t>
      </w:r>
      <w:r>
        <w:rPr>
          <w:spacing w:val="-3"/>
          <w:sz w:val="21"/>
        </w:rPr>
        <w:t>疾</w:t>
      </w:r>
      <w:r>
        <w:rPr>
          <w:sz w:val="21"/>
        </w:rPr>
        <w:t>病。</w:t>
      </w:r>
      <w:r>
        <w:rPr>
          <w:spacing w:val="-3"/>
          <w:sz w:val="21"/>
        </w:rPr>
        <w:t>需</w:t>
      </w:r>
      <w:r>
        <w:rPr>
          <w:sz w:val="21"/>
        </w:rPr>
        <w:t>满</w:t>
      </w:r>
      <w:r>
        <w:rPr>
          <w:spacing w:val="-3"/>
          <w:sz w:val="21"/>
        </w:rPr>
        <w:t>足</w:t>
      </w:r>
      <w:r>
        <w:rPr>
          <w:sz w:val="21"/>
        </w:rPr>
        <w:t>以</w:t>
      </w:r>
      <w:r>
        <w:rPr>
          <w:spacing w:val="-3"/>
          <w:sz w:val="21"/>
        </w:rPr>
        <w:t>下</w:t>
      </w:r>
      <w:r>
        <w:rPr>
          <w:sz w:val="21"/>
        </w:rPr>
        <w:t>全</w:t>
      </w:r>
      <w:r>
        <w:rPr>
          <w:spacing w:val="-3"/>
          <w:sz w:val="21"/>
        </w:rPr>
        <w:t>部条件</w:t>
      </w:r>
      <w:r>
        <w:rPr>
          <w:sz w:val="21"/>
        </w:rPr>
        <w:t>：</w:t>
      </w:r>
    </w:p>
    <w:p>
      <w:pPr>
        <w:pStyle w:val="BodyText"/>
        <w:spacing w:before="7"/>
        <w:ind w:left="2528"/>
      </w:pPr>
      <w:r>
        <w:rPr/>
        <w:t>（1）出现颅内压明显增高，表现头痛、呕吐和视乳头水肿；</w:t>
      </w:r>
    </w:p>
    <w:p>
      <w:pPr>
        <w:pStyle w:val="BodyText"/>
        <w:spacing w:before="37"/>
        <w:ind w:left="2528"/>
      </w:pPr>
      <w:r>
        <w:rPr/>
        <w:t>（2）出现部分性、全身性癫痫发作或癫痫持续状态；</w:t>
      </w:r>
    </w:p>
    <w:p>
      <w:pPr>
        <w:pStyle w:val="BodyText"/>
        <w:spacing w:before="36"/>
        <w:ind w:left="2528"/>
      </w:pPr>
      <w:r>
        <w:rPr/>
        <w:t>（3）昏睡或意识模糊；</w:t>
      </w:r>
    </w:p>
    <w:p>
      <w:pPr>
        <w:pStyle w:val="BodyText"/>
        <w:spacing w:before="36"/>
        <w:ind w:left="2528"/>
      </w:pPr>
      <w:r>
        <w:rPr/>
        <w:t>（4）视力减退、复视和面神经麻痹。</w:t>
      </w:r>
    </w:p>
    <w:p>
      <w:pPr>
        <w:pStyle w:val="BodyText"/>
        <w:spacing w:before="11"/>
      </w:pPr>
    </w:p>
    <w:p>
      <w:pPr>
        <w:pStyle w:val="ListParagraph"/>
        <w:numPr>
          <w:ilvl w:val="0"/>
          <w:numId w:val="8"/>
        </w:numPr>
        <w:tabs>
          <w:tab w:pos="544" w:val="left" w:leader="none"/>
          <w:tab w:pos="2528" w:val="left" w:leader="none"/>
        </w:tabs>
        <w:spacing w:line="244" w:lineRule="auto" w:before="0" w:after="0"/>
        <w:ind w:left="2529" w:right="121" w:hanging="2427"/>
        <w:jc w:val="both"/>
        <w:rPr>
          <w:sz w:val="21"/>
        </w:rPr>
      </w:pPr>
      <w:r>
        <w:rPr>
          <w:rFonts w:ascii="微软雅黑" w:eastAsia="微软雅黑" w:hint="eastAsia"/>
          <w:b/>
          <w:sz w:val="21"/>
        </w:rPr>
        <w:t>严重帕金森病</w:t>
        <w:tab/>
      </w:r>
      <w:r>
        <w:rPr>
          <w:sz w:val="21"/>
        </w:rPr>
        <w:t>是一</w:t>
      </w:r>
      <w:r>
        <w:rPr>
          <w:spacing w:val="-3"/>
          <w:sz w:val="21"/>
        </w:rPr>
        <w:t>种</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的</w:t>
      </w:r>
      <w:r>
        <w:rPr>
          <w:spacing w:val="-3"/>
          <w:sz w:val="21"/>
        </w:rPr>
        <w:t>退</w:t>
      </w:r>
      <w:r>
        <w:rPr>
          <w:sz w:val="21"/>
        </w:rPr>
        <w:t>行性</w:t>
      </w:r>
      <w:r>
        <w:rPr>
          <w:spacing w:val="-3"/>
          <w:sz w:val="21"/>
        </w:rPr>
        <w:t>疾病，临</w:t>
      </w:r>
      <w:r>
        <w:rPr>
          <w:sz w:val="21"/>
        </w:rPr>
        <w:t>床</w:t>
      </w:r>
      <w:r>
        <w:rPr>
          <w:spacing w:val="-3"/>
          <w:sz w:val="21"/>
        </w:rPr>
        <w:t>表</w:t>
      </w:r>
      <w:r>
        <w:rPr>
          <w:sz w:val="21"/>
        </w:rPr>
        <w:t>现</w:t>
      </w:r>
      <w:r>
        <w:rPr>
          <w:spacing w:val="-3"/>
          <w:sz w:val="21"/>
        </w:rPr>
        <w:t>为震</w:t>
      </w:r>
      <w:r>
        <w:rPr>
          <w:sz w:val="21"/>
        </w:rPr>
        <w:t>颤麻</w:t>
      </w:r>
      <w:r>
        <w:rPr>
          <w:spacing w:val="-3"/>
          <w:sz w:val="21"/>
        </w:rPr>
        <w:t>痹</w:t>
      </w:r>
      <w:r>
        <w:rPr>
          <w:spacing w:val="-5"/>
          <w:sz w:val="21"/>
        </w:rPr>
        <w:t>、</w:t>
      </w:r>
      <w:r>
        <w:rPr>
          <w:sz w:val="21"/>
        </w:rPr>
        <w:t>共</w:t>
      </w:r>
      <w:r>
        <w:rPr>
          <w:spacing w:val="-3"/>
          <w:sz w:val="21"/>
        </w:rPr>
        <w:t>济</w:t>
      </w:r>
      <w:r>
        <w:rPr>
          <w:sz w:val="21"/>
        </w:rPr>
        <w:t>失</w:t>
      </w:r>
      <w:r>
        <w:rPr>
          <w:spacing w:val="-3"/>
          <w:sz w:val="21"/>
        </w:rPr>
        <w:t>调</w:t>
      </w:r>
      <w:r>
        <w:rPr>
          <w:sz w:val="21"/>
        </w:rPr>
        <w:t>等</w:t>
      </w:r>
      <w:r>
        <w:rPr>
          <w:spacing w:val="-5"/>
          <w:sz w:val="21"/>
        </w:rPr>
        <w:t>。</w:t>
      </w:r>
      <w:r>
        <w:rPr>
          <w:spacing w:val="-3"/>
          <w:sz w:val="21"/>
        </w:rPr>
        <w:t>须</w:t>
      </w:r>
      <w:r>
        <w:rPr>
          <w:sz w:val="21"/>
        </w:rPr>
        <w:t>满 足下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BodyText"/>
        <w:spacing w:before="32"/>
        <w:ind w:left="2528"/>
      </w:pPr>
      <w:r>
        <w:rPr/>
        <w:t>（1）药物治疗无法控制病情；</w:t>
      </w:r>
    </w:p>
    <w:p>
      <w:pPr>
        <w:pStyle w:val="BodyText"/>
        <w:spacing w:before="36"/>
        <w:ind w:left="2528"/>
      </w:pPr>
      <w:r>
        <w:rPr/>
        <w:t>（2）自主生活能力完全丧失，无法独立完成六项基本日常生活活动中的三项或</w:t>
      </w:r>
    </w:p>
    <w:p>
      <w:pPr>
        <w:spacing w:after="0"/>
        <w:sectPr>
          <w:type w:val="continuous"/>
          <w:pgSz w:w="11910" w:h="16840"/>
          <w:pgMar w:top="1160" w:bottom="280" w:left="1240" w:right="8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1978"/>
        <w:gridCol w:w="7558"/>
      </w:tblGrid>
      <w:tr>
        <w:trPr>
          <w:trHeight w:val="730" w:hRule="atLeast"/>
        </w:trPr>
        <w:tc>
          <w:tcPr>
            <w:tcW w:w="534" w:type="dxa"/>
          </w:tcPr>
          <w:p>
            <w:pPr>
              <w:pStyle w:val="TableParagraph"/>
              <w:rPr>
                <w:rFonts w:ascii="Times New Roman"/>
                <w:sz w:val="20"/>
              </w:rPr>
            </w:pPr>
          </w:p>
        </w:tc>
        <w:tc>
          <w:tcPr>
            <w:tcW w:w="1978" w:type="dxa"/>
          </w:tcPr>
          <w:p>
            <w:pPr>
              <w:pStyle w:val="TableParagraph"/>
              <w:rPr>
                <w:rFonts w:ascii="Times New Roman"/>
                <w:sz w:val="20"/>
              </w:rPr>
            </w:pPr>
          </w:p>
        </w:tc>
        <w:tc>
          <w:tcPr>
            <w:tcW w:w="7558" w:type="dxa"/>
          </w:tcPr>
          <w:p>
            <w:pPr>
              <w:pStyle w:val="TableParagraph"/>
              <w:spacing w:line="191" w:lineRule="exact"/>
              <w:ind w:left="114"/>
              <w:rPr>
                <w:sz w:val="21"/>
              </w:rPr>
            </w:pPr>
            <w:r>
              <w:rPr>
                <w:sz w:val="21"/>
              </w:rPr>
              <w:t>三项以上。</w:t>
            </w:r>
          </w:p>
          <w:p>
            <w:pPr>
              <w:pStyle w:val="TableParagraph"/>
              <w:spacing w:line="350" w:lineRule="exact"/>
              <w:ind w:left="114"/>
              <w:rPr>
                <w:rFonts w:ascii="微软雅黑" w:eastAsia="微软雅黑" w:hint="eastAsia"/>
                <w:b/>
                <w:sz w:val="21"/>
              </w:rPr>
            </w:pPr>
            <w:r>
              <w:rPr>
                <w:rFonts w:ascii="微软雅黑" w:eastAsia="微软雅黑" w:hint="eastAsia"/>
                <w:b/>
                <w:sz w:val="21"/>
                <w:shd w:fill="D9D9D9" w:color="auto" w:val="clear"/>
              </w:rPr>
              <w:t>继发性帕金森综合症不在本合同保障范围内。</w:t>
            </w:r>
          </w:p>
        </w:tc>
      </w:tr>
      <w:tr>
        <w:trPr>
          <w:trHeight w:val="1247" w:hRule="atLeast"/>
        </w:trPr>
        <w:tc>
          <w:tcPr>
            <w:tcW w:w="534" w:type="dxa"/>
          </w:tcPr>
          <w:p>
            <w:pPr>
              <w:pStyle w:val="TableParagraph"/>
              <w:spacing w:before="168"/>
              <w:ind w:right="106"/>
              <w:jc w:val="right"/>
              <w:rPr>
                <w:rFonts w:ascii="Calibri"/>
                <w:sz w:val="22"/>
              </w:rPr>
            </w:pPr>
            <w:r>
              <w:rPr>
                <w:rFonts w:ascii="Calibri"/>
                <w:sz w:val="22"/>
              </w:rPr>
              <w:t>39</w:t>
            </w:r>
          </w:p>
        </w:tc>
        <w:tc>
          <w:tcPr>
            <w:tcW w:w="1978" w:type="dxa"/>
          </w:tcPr>
          <w:p>
            <w:pPr>
              <w:pStyle w:val="TableParagraph"/>
              <w:spacing w:line="206" w:lineRule="auto" w:before="123"/>
              <w:ind w:left="107" w:right="178"/>
              <w:rPr>
                <w:rFonts w:ascii="微软雅黑" w:eastAsia="微软雅黑" w:hint="eastAsia"/>
                <w:b/>
                <w:sz w:val="21"/>
              </w:rPr>
            </w:pPr>
            <w:r>
              <w:rPr>
                <w:rFonts w:ascii="微软雅黑" w:eastAsia="微软雅黑" w:hint="eastAsia"/>
                <w:b/>
                <w:sz w:val="21"/>
              </w:rPr>
              <w:t>多处臂丛神经根性撕脱</w:t>
            </w:r>
          </w:p>
        </w:tc>
        <w:tc>
          <w:tcPr>
            <w:tcW w:w="7558" w:type="dxa"/>
          </w:tcPr>
          <w:p>
            <w:pPr>
              <w:pStyle w:val="TableParagraph"/>
              <w:spacing w:line="273" w:lineRule="auto" w:before="134"/>
              <w:ind w:left="114" w:right="304"/>
              <w:jc w:val="both"/>
              <w:rPr>
                <w:sz w:val="21"/>
              </w:rPr>
            </w:pPr>
            <w:r>
              <w:rPr>
                <w:spacing w:val="-4"/>
                <w:sz w:val="21"/>
              </w:rPr>
              <w:t>于疾病或意外导致至少两根臂丛神经根性撕脱，所造成的手臂感觉功能与运动</w:t>
            </w:r>
            <w:r>
              <w:rPr>
                <w:spacing w:val="-5"/>
                <w:sz w:val="21"/>
              </w:rPr>
              <w:t>功能完全永久性丧失。该病须由医院专科医生明确诊断，并且有电生理检查结</w:t>
            </w:r>
            <w:r>
              <w:rPr>
                <w:spacing w:val="-4"/>
                <w:sz w:val="21"/>
              </w:rPr>
              <w:t>果证实。</w:t>
            </w:r>
          </w:p>
        </w:tc>
      </w:tr>
      <w:tr>
        <w:trPr>
          <w:trHeight w:val="1555" w:hRule="atLeast"/>
        </w:trPr>
        <w:tc>
          <w:tcPr>
            <w:tcW w:w="534" w:type="dxa"/>
          </w:tcPr>
          <w:p>
            <w:pPr>
              <w:pStyle w:val="TableParagraph"/>
              <w:spacing w:before="168"/>
              <w:ind w:right="106"/>
              <w:jc w:val="right"/>
              <w:rPr>
                <w:rFonts w:ascii="Calibri"/>
                <w:sz w:val="22"/>
              </w:rPr>
            </w:pPr>
            <w:r>
              <w:rPr>
                <w:rFonts w:ascii="Calibri"/>
                <w:sz w:val="22"/>
              </w:rPr>
              <w:t>40</w:t>
            </w:r>
          </w:p>
        </w:tc>
        <w:tc>
          <w:tcPr>
            <w:tcW w:w="1978" w:type="dxa"/>
          </w:tcPr>
          <w:p>
            <w:pPr>
              <w:pStyle w:val="TableParagraph"/>
              <w:spacing w:before="72"/>
              <w:ind w:left="107"/>
              <w:rPr>
                <w:rFonts w:ascii="微软雅黑" w:eastAsia="微软雅黑" w:hint="eastAsia"/>
                <w:b/>
                <w:sz w:val="21"/>
              </w:rPr>
            </w:pPr>
            <w:r>
              <w:rPr>
                <w:rFonts w:ascii="微软雅黑" w:eastAsia="微软雅黑" w:hint="eastAsia"/>
                <w:b/>
                <w:sz w:val="21"/>
              </w:rPr>
              <w:t>严重运动神经元病</w:t>
            </w:r>
          </w:p>
        </w:tc>
        <w:tc>
          <w:tcPr>
            <w:tcW w:w="7558" w:type="dxa"/>
          </w:tcPr>
          <w:p>
            <w:pPr>
              <w:pStyle w:val="TableParagraph"/>
              <w:spacing w:line="273" w:lineRule="auto" w:before="134"/>
              <w:ind w:left="114" w:right="304"/>
              <w:jc w:val="both"/>
              <w:rPr>
                <w:sz w:val="21"/>
              </w:rPr>
            </w:pPr>
            <w:r>
              <w:rPr>
                <w:sz w:val="21"/>
              </w:rPr>
              <w:t>是一组中枢神经系统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5" w:hRule="atLeast"/>
        </w:trPr>
        <w:tc>
          <w:tcPr>
            <w:tcW w:w="534" w:type="dxa"/>
          </w:tcPr>
          <w:p>
            <w:pPr>
              <w:pStyle w:val="TableParagraph"/>
              <w:spacing w:before="173"/>
              <w:ind w:right="106"/>
              <w:jc w:val="right"/>
              <w:rPr>
                <w:rFonts w:ascii="Calibri"/>
                <w:sz w:val="22"/>
              </w:rPr>
            </w:pPr>
            <w:r>
              <w:rPr>
                <w:rFonts w:ascii="Calibri"/>
                <w:sz w:val="22"/>
              </w:rPr>
              <w:t>41</w:t>
            </w:r>
          </w:p>
        </w:tc>
        <w:tc>
          <w:tcPr>
            <w:tcW w:w="1978" w:type="dxa"/>
          </w:tcPr>
          <w:p>
            <w:pPr>
              <w:pStyle w:val="TableParagraph"/>
              <w:spacing w:line="206" w:lineRule="auto" w:before="128"/>
              <w:ind w:left="107" w:right="114"/>
              <w:rPr>
                <w:rFonts w:ascii="微软雅黑" w:eastAsia="微软雅黑" w:hint="eastAsia"/>
                <w:b/>
                <w:sz w:val="21"/>
              </w:rPr>
            </w:pPr>
            <w:r>
              <w:rPr>
                <w:rFonts w:ascii="微软雅黑" w:eastAsia="微软雅黑" w:hint="eastAsia"/>
                <w:b/>
                <w:sz w:val="21"/>
              </w:rPr>
              <w:t>克</w:t>
            </w:r>
            <w:r>
              <w:rPr>
                <w:rFonts w:ascii="Arial" w:eastAsia="Arial"/>
                <w:b/>
                <w:sz w:val="21"/>
              </w:rPr>
              <w:t>-</w:t>
            </w:r>
            <w:r>
              <w:rPr>
                <w:rFonts w:ascii="微软雅黑" w:eastAsia="微软雅黑" w:hint="eastAsia"/>
                <w:b/>
                <w:sz w:val="21"/>
              </w:rPr>
              <w:t>雅氏病（</w:t>
            </w:r>
            <w:r>
              <w:rPr>
                <w:rFonts w:ascii="Arial" w:eastAsia="Arial"/>
                <w:b/>
                <w:sz w:val="21"/>
              </w:rPr>
              <w:t>CJD</w:t>
            </w:r>
            <w:r>
              <w:rPr>
                <w:rFonts w:ascii="微软雅黑" w:eastAsia="微软雅黑" w:hint="eastAsia"/>
                <w:b/>
                <w:sz w:val="21"/>
              </w:rPr>
              <w:t>、人类疯牛病）</w:t>
            </w:r>
          </w:p>
        </w:tc>
        <w:tc>
          <w:tcPr>
            <w:tcW w:w="7558" w:type="dxa"/>
          </w:tcPr>
          <w:p>
            <w:pPr>
              <w:pStyle w:val="TableParagraph"/>
              <w:spacing w:line="273" w:lineRule="auto" w:before="139"/>
              <w:ind w:left="114" w:right="304"/>
              <w:jc w:val="both"/>
              <w:rPr>
                <w:sz w:val="21"/>
              </w:rPr>
            </w:pPr>
            <w:r>
              <w:rPr>
                <w:sz w:val="21"/>
              </w:rPr>
              <w:t>CJD</w:t>
            </w:r>
            <w:r>
              <w:rPr>
                <w:spacing w:val="-3"/>
                <w:sz w:val="21"/>
              </w:rPr>
              <w:t> 是一种传染性海绵状脑病，临床表现为快速进行性痴呆、肌阵挛和特征性</w:t>
            </w:r>
            <w:r>
              <w:rPr>
                <w:spacing w:val="-6"/>
                <w:sz w:val="21"/>
              </w:rPr>
              <w:t>脑电图变化。本病须经三级医院的专科医师根据 </w:t>
            </w:r>
            <w:r>
              <w:rPr>
                <w:sz w:val="21"/>
              </w:rPr>
              <w:t>WHO</w:t>
            </w:r>
            <w:r>
              <w:rPr>
                <w:spacing w:val="-8"/>
                <w:sz w:val="21"/>
              </w:rPr>
              <w:t> 诊断标准明确诊断，并且</w:t>
            </w:r>
            <w:r>
              <w:rPr>
                <w:spacing w:val="-6"/>
                <w:sz w:val="21"/>
              </w:rPr>
              <w:t>被保险人永久不可逆丧失自主生活能力，无法独立完成六项基本日常生活活动</w:t>
            </w:r>
            <w:r>
              <w:rPr>
                <w:spacing w:val="-4"/>
                <w:sz w:val="21"/>
              </w:rPr>
              <w:t>中的三项或三项以上。</w:t>
            </w:r>
          </w:p>
        </w:tc>
      </w:tr>
      <w:tr>
        <w:trPr>
          <w:trHeight w:val="4056" w:hRule="atLeast"/>
        </w:trPr>
        <w:tc>
          <w:tcPr>
            <w:tcW w:w="534" w:type="dxa"/>
          </w:tcPr>
          <w:p>
            <w:pPr>
              <w:pStyle w:val="TableParagraph"/>
              <w:spacing w:before="168"/>
              <w:ind w:right="106"/>
              <w:jc w:val="right"/>
              <w:rPr>
                <w:rFonts w:ascii="Calibri"/>
                <w:sz w:val="22"/>
              </w:rPr>
            </w:pPr>
            <w:r>
              <w:rPr>
                <w:rFonts w:ascii="Calibri"/>
                <w:sz w:val="22"/>
              </w:rPr>
              <w:t>42</w:t>
            </w:r>
          </w:p>
        </w:tc>
        <w:tc>
          <w:tcPr>
            <w:tcW w:w="1978" w:type="dxa"/>
          </w:tcPr>
          <w:p>
            <w:pPr>
              <w:pStyle w:val="TableParagraph"/>
              <w:spacing w:line="206" w:lineRule="auto" w:before="123"/>
              <w:ind w:left="107" w:right="178"/>
              <w:rPr>
                <w:rFonts w:ascii="微软雅黑" w:eastAsia="微软雅黑" w:hint="eastAsia"/>
                <w:b/>
                <w:sz w:val="21"/>
              </w:rPr>
            </w:pPr>
            <w:r>
              <w:rPr>
                <w:rFonts w:ascii="微软雅黑" w:eastAsia="微软雅黑" w:hint="eastAsia"/>
                <w:b/>
                <w:sz w:val="21"/>
              </w:rPr>
              <w:t>因疾病或外伤导致智力缺陷</w:t>
            </w:r>
          </w:p>
        </w:tc>
        <w:tc>
          <w:tcPr>
            <w:tcW w:w="7558" w:type="dxa"/>
          </w:tcPr>
          <w:p>
            <w:pPr>
              <w:pStyle w:val="TableParagraph"/>
              <w:spacing w:line="273" w:lineRule="auto" w:before="134"/>
              <w:ind w:left="114" w:right="295"/>
              <w:rPr>
                <w:sz w:val="21"/>
              </w:rPr>
            </w:pPr>
            <w:r>
              <w:rPr>
                <w:spacing w:val="-3"/>
                <w:sz w:val="21"/>
              </w:rPr>
              <w:t>因严重头部创伤或疾病造成被保险人智力低常</w:t>
            </w:r>
            <w:r>
              <w:rPr>
                <w:sz w:val="21"/>
              </w:rPr>
              <w:t>（</w:t>
            </w:r>
            <w:r>
              <w:rPr>
                <w:spacing w:val="-3"/>
                <w:sz w:val="21"/>
              </w:rPr>
              <w:t>智力低于常态</w:t>
            </w:r>
            <w:r>
              <w:rPr>
                <w:sz w:val="21"/>
              </w:rPr>
              <w:t>）</w:t>
            </w:r>
            <w:r>
              <w:rPr>
                <w:spacing w:val="-3"/>
                <w:sz w:val="21"/>
              </w:rPr>
              <w:t>或智力残疾。</w:t>
            </w:r>
            <w:r>
              <w:rPr>
                <w:spacing w:val="-7"/>
                <w:w w:val="100"/>
                <w:sz w:val="21"/>
              </w:rPr>
              <w:t>根据智商</w:t>
            </w:r>
            <w:r>
              <w:rPr>
                <w:w w:val="100"/>
                <w:sz w:val="21"/>
              </w:rPr>
              <w:t>（</w:t>
            </w:r>
            <w:r>
              <w:rPr>
                <w:spacing w:val="-3"/>
                <w:w w:val="100"/>
                <w:sz w:val="21"/>
              </w:rPr>
              <w:t>I</w:t>
            </w:r>
            <w:r>
              <w:rPr>
                <w:w w:val="100"/>
                <w:sz w:val="21"/>
              </w:rPr>
              <w:t>Q</w:t>
            </w:r>
            <w:r>
              <w:rPr>
                <w:spacing w:val="-17"/>
                <w:w w:val="100"/>
                <w:sz w:val="21"/>
              </w:rPr>
              <w:t>）</w:t>
            </w:r>
            <w:r>
              <w:rPr>
                <w:spacing w:val="-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w:t>
            </w:r>
            <w:r>
              <w:rPr>
                <w:w w:val="100"/>
                <w:sz w:val="21"/>
              </w:rPr>
              <w:t>70</w:t>
            </w:r>
            <w:r>
              <w:rPr>
                <w:spacing w:val="-106"/>
                <w:w w:val="100"/>
                <w:sz w:val="21"/>
              </w:rPr>
              <w:t>）</w:t>
            </w:r>
            <w:r>
              <w:rPr>
                <w:spacing w:val="-14"/>
                <w:w w:val="100"/>
                <w:sz w:val="21"/>
              </w:rPr>
              <w:t>；中度</w:t>
            </w:r>
            <w:r>
              <w:rPr>
                <w:w w:val="100"/>
                <w:sz w:val="21"/>
              </w:rPr>
              <w:t>（IQ</w:t>
            </w:r>
            <w:r>
              <w:rPr>
                <w:spacing w:val="-3"/>
                <w:w w:val="100"/>
                <w:sz w:val="21"/>
              </w:rPr>
              <w:t>3</w:t>
            </w:r>
            <w:r>
              <w:rPr>
                <w:spacing w:val="-1"/>
                <w:w w:val="100"/>
                <w:sz w:val="21"/>
              </w:rPr>
              <w:t>5</w:t>
            </w:r>
            <w:r>
              <w:rPr>
                <w:w w:val="100"/>
                <w:sz w:val="21"/>
              </w:rPr>
              <w:t>-5</w:t>
            </w:r>
            <w:r>
              <w:rPr>
                <w:spacing w:val="-3"/>
                <w:w w:val="100"/>
                <w:sz w:val="21"/>
              </w:rPr>
              <w:t>0</w:t>
            </w:r>
            <w:r>
              <w:rPr>
                <w:spacing w:val="-106"/>
                <w:w w:val="100"/>
                <w:sz w:val="21"/>
              </w:rPr>
              <w:t>）</w:t>
            </w:r>
            <w:r>
              <w:rPr>
                <w:spacing w:val="-13"/>
                <w:w w:val="100"/>
                <w:sz w:val="21"/>
              </w:rPr>
              <w:t>；重度</w:t>
            </w:r>
            <w:r>
              <w:rPr>
                <w:w w:val="100"/>
                <w:sz w:val="21"/>
              </w:rPr>
              <w:t>（</w:t>
            </w:r>
            <w:r>
              <w:rPr>
                <w:spacing w:val="-3"/>
                <w:w w:val="100"/>
                <w:sz w:val="21"/>
              </w:rPr>
              <w:t>I</w:t>
            </w:r>
            <w:r>
              <w:rPr>
                <w:w w:val="100"/>
                <w:sz w:val="21"/>
              </w:rPr>
              <w:t>Q</w:t>
            </w:r>
            <w:r>
              <w:rPr>
                <w:spacing w:val="-3"/>
                <w:w w:val="100"/>
                <w:sz w:val="21"/>
              </w:rPr>
              <w:t>2</w:t>
            </w:r>
            <w:r>
              <w:rPr>
                <w:spacing w:val="-1"/>
                <w:w w:val="100"/>
                <w:sz w:val="21"/>
              </w:rPr>
              <w:t>0</w:t>
            </w:r>
            <w:r>
              <w:rPr>
                <w:w w:val="100"/>
                <w:sz w:val="21"/>
              </w:rPr>
              <w:t>-</w:t>
            </w:r>
          </w:p>
          <w:p>
            <w:pPr>
              <w:pStyle w:val="TableParagraph"/>
              <w:spacing w:line="312" w:lineRule="exact" w:before="2"/>
              <w:ind w:left="114" w:right="304"/>
              <w:jc w:val="both"/>
              <w:rPr>
                <w:sz w:val="21"/>
              </w:rPr>
            </w:pPr>
            <w:r>
              <w:rPr>
                <w:w w:val="100"/>
                <w:sz w:val="21"/>
              </w:rPr>
              <w:t>35</w:t>
            </w:r>
            <w:r>
              <w:rPr>
                <w:spacing w:val="-8"/>
                <w:w w:val="100"/>
                <w:sz w:val="21"/>
              </w:rPr>
              <w:t>）</w:t>
            </w:r>
            <w:r>
              <w:rPr>
                <w:spacing w:val="-4"/>
                <w:w w:val="100"/>
                <w:sz w:val="21"/>
              </w:rPr>
              <w:t>和极重度</w:t>
            </w:r>
            <w:r>
              <w:rPr>
                <w:spacing w:val="-1"/>
                <w:w w:val="100"/>
                <w:sz w:val="21"/>
              </w:rPr>
              <w:t>（</w:t>
            </w:r>
            <w:r>
              <w:rPr>
                <w:w w:val="100"/>
                <w:sz w:val="21"/>
              </w:rPr>
              <w:t>I</w:t>
            </w:r>
            <w:r>
              <w:rPr>
                <w:spacing w:val="-3"/>
                <w:w w:val="100"/>
                <w:sz w:val="21"/>
              </w:rPr>
              <w:t>Q</w:t>
            </w:r>
            <w:r>
              <w:rPr>
                <w:w w:val="100"/>
                <w:sz w:val="21"/>
              </w:rPr>
              <w:t>&lt;2</w:t>
            </w:r>
            <w:r>
              <w:rPr>
                <w:spacing w:val="-1"/>
                <w:w w:val="100"/>
                <w:sz w:val="21"/>
              </w:rPr>
              <w:t>0</w:t>
            </w:r>
            <w:r>
              <w:rPr>
                <w:spacing w:val="-108"/>
                <w:w w:val="100"/>
                <w:sz w:val="21"/>
              </w:rPr>
              <w:t>）</w:t>
            </w:r>
            <w:r>
              <w:rPr>
                <w:spacing w:val="-8"/>
                <w:w w:val="100"/>
                <w:sz w:val="21"/>
              </w:rPr>
              <w:t>。</w:t>
            </w:r>
            <w:r>
              <w:rPr>
                <w:rFonts w:ascii="微软雅黑" w:eastAsia="微软雅黑" w:hint="eastAsia"/>
                <w:b/>
                <w:w w:val="100"/>
                <w:sz w:val="21"/>
                <w:shd w:fill="D9D9D9" w:color="auto" w:val="clear"/>
              </w:rPr>
              <w:t>智商</w:t>
            </w:r>
            <w:r>
              <w:rPr>
                <w:rFonts w:ascii="微软雅黑" w:eastAsia="微软雅黑" w:hint="eastAsia"/>
                <w:b/>
                <w:sz w:val="21"/>
                <w:shd w:fill="D9D9D9" w:color="auto" w:val="clear"/>
              </w:rPr>
              <w:t> </w:t>
            </w:r>
            <w:r>
              <w:rPr>
                <w:rFonts w:ascii="微软雅黑" w:eastAsia="微软雅黑" w:hint="eastAsia"/>
                <w:b/>
                <w:w w:val="81"/>
                <w:sz w:val="21"/>
                <w:shd w:fill="D9D9D9" w:color="auto" w:val="clear"/>
              </w:rPr>
              <w:t>70</w:t>
            </w:r>
            <w:r>
              <w:rPr>
                <w:rFonts w:ascii="微软雅黑" w:eastAsia="微软雅黑" w:hint="eastAsia"/>
                <w:b/>
                <w:w w:val="115"/>
                <w:sz w:val="21"/>
                <w:shd w:fill="D9D9D9" w:color="auto" w:val="clear"/>
              </w:rPr>
              <w:t>-</w:t>
            </w:r>
            <w:r>
              <w:rPr>
                <w:rFonts w:ascii="微软雅黑" w:eastAsia="微软雅黑" w:hint="eastAsia"/>
                <w:b/>
                <w:w w:val="81"/>
                <w:sz w:val="21"/>
                <w:shd w:fill="D9D9D9" w:color="auto" w:val="clear"/>
              </w:rPr>
              <w:t>85</w:t>
            </w:r>
            <w:r>
              <w:rPr>
                <w:rFonts w:ascii="微软雅黑" w:eastAsia="微软雅黑" w:hint="eastAsia"/>
                <w:b/>
                <w:sz w:val="21"/>
                <w:shd w:fill="D9D9D9" w:color="auto" w:val="clear"/>
              </w:rPr>
              <w:t> </w:t>
            </w:r>
            <w:r>
              <w:rPr>
                <w:rFonts w:ascii="微软雅黑" w:eastAsia="微软雅黑" w:hint="eastAsia"/>
                <w:b/>
                <w:spacing w:val="-4"/>
                <w:w w:val="100"/>
                <w:sz w:val="21"/>
                <w:shd w:fill="D9D9D9" w:color="auto" w:val="clear"/>
              </w:rPr>
              <w:t>为智力临界低常，不在保障范围内。</w:t>
            </w:r>
            <w:r>
              <w:rPr>
                <w:spacing w:val="-5"/>
                <w:w w:val="100"/>
                <w:sz w:val="21"/>
              </w:rPr>
              <w:t>智商</w:t>
            </w:r>
            <w:r>
              <w:rPr>
                <w:spacing w:val="-4"/>
                <w:sz w:val="21"/>
              </w:rPr>
              <w:t>的检测必须由本公司认可的专职心理测验工作者进行，心理测验工作者必须持有由心理测量专业委员会资格认定书。根据被保险人年龄采用对应的智力量表</w:t>
            </w:r>
            <w:r>
              <w:rPr>
                <w:spacing w:val="-3"/>
                <w:sz w:val="21"/>
              </w:rPr>
              <w:t>如韦克斯勒智力量表</w:t>
            </w:r>
            <w:r>
              <w:rPr>
                <w:sz w:val="21"/>
              </w:rPr>
              <w:t>（</w:t>
            </w:r>
            <w:r>
              <w:rPr>
                <w:spacing w:val="-3"/>
                <w:sz w:val="21"/>
              </w:rPr>
              <w:t>儿童智力量表或成人智力量表</w:t>
            </w:r>
            <w:r>
              <w:rPr>
                <w:spacing w:val="-106"/>
                <w:sz w:val="21"/>
              </w:rPr>
              <w:t>）</w:t>
            </w:r>
            <w:r>
              <w:rPr>
                <w:sz w:val="21"/>
              </w:rPr>
              <w:t>。</w:t>
            </w:r>
          </w:p>
          <w:p>
            <w:pPr>
              <w:pStyle w:val="TableParagraph"/>
              <w:spacing w:before="3"/>
              <w:ind w:left="114"/>
              <w:rPr>
                <w:sz w:val="21"/>
              </w:rPr>
            </w:pPr>
            <w:r>
              <w:rPr>
                <w:sz w:val="21"/>
              </w:rPr>
              <w:t>理赔时必须满足下列全部条件：</w:t>
            </w:r>
          </w:p>
          <w:p>
            <w:pPr>
              <w:pStyle w:val="TableParagraph"/>
              <w:spacing w:before="36"/>
              <w:ind w:left="114"/>
              <w:rPr>
                <w:sz w:val="21"/>
              </w:rPr>
            </w:pPr>
            <w:r>
              <w:rPr>
                <w:sz w:val="21"/>
              </w:rPr>
              <w:t>（1）被保险人大于或等于六周岁，且在做智力鉴定并确诊时小于二十五周岁；</w:t>
            </w:r>
          </w:p>
          <w:p>
            <w:pPr>
              <w:pStyle w:val="TableParagraph"/>
              <w:spacing w:before="37"/>
              <w:ind w:left="114"/>
              <w:rPr>
                <w:sz w:val="21"/>
              </w:rPr>
            </w:pPr>
            <w:r>
              <w:rPr>
                <w:sz w:val="21"/>
              </w:rPr>
              <w:t>（2）主任医师确诊被保险人由于严重头部创伤或疾病造成智力低下；</w:t>
            </w:r>
          </w:p>
          <w:p>
            <w:pPr>
              <w:pStyle w:val="TableParagraph"/>
              <w:spacing w:line="273" w:lineRule="auto" w:before="37"/>
              <w:ind w:left="114" w:right="312"/>
              <w:rPr>
                <w:sz w:val="21"/>
              </w:rPr>
            </w:pPr>
            <w:r>
              <w:rPr>
                <w:sz w:val="21"/>
              </w:rPr>
              <w:t>（3）专职合格心理检测工作者适时做的心理检测证实被保险人智力低常（轻</w:t>
            </w:r>
            <w:r>
              <w:rPr>
                <w:spacing w:val="-3"/>
                <w:w w:val="100"/>
                <w:sz w:val="21"/>
              </w:rPr>
              <w:t>度、中度、重度或极重度</w:t>
            </w:r>
            <w:r>
              <w:rPr>
                <w:spacing w:val="-108"/>
                <w:w w:val="100"/>
                <w:sz w:val="21"/>
              </w:rPr>
              <w:t>）</w:t>
            </w:r>
            <w:r>
              <w:rPr>
                <w:w w:val="100"/>
                <w:sz w:val="21"/>
              </w:rPr>
              <w:t>；</w:t>
            </w:r>
          </w:p>
          <w:p>
            <w:pPr>
              <w:pStyle w:val="TableParagraph"/>
              <w:spacing w:before="7"/>
              <w:ind w:left="114"/>
              <w:rPr>
                <w:sz w:val="21"/>
              </w:rPr>
            </w:pPr>
            <w:r>
              <w:rPr>
                <w:sz w:val="21"/>
              </w:rPr>
              <w:t>（4）被保险人的智力低常自确认日起持续 180 天以上。</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43</w:t>
            </w:r>
          </w:p>
        </w:tc>
        <w:tc>
          <w:tcPr>
            <w:tcW w:w="1978" w:type="dxa"/>
          </w:tcPr>
          <w:p>
            <w:pPr>
              <w:pStyle w:val="TableParagraph"/>
              <w:spacing w:before="72"/>
              <w:ind w:left="107"/>
              <w:rPr>
                <w:rFonts w:ascii="微软雅黑" w:eastAsia="微软雅黑" w:hint="eastAsia"/>
                <w:b/>
                <w:sz w:val="21"/>
              </w:rPr>
            </w:pPr>
            <w:r>
              <w:rPr>
                <w:rFonts w:ascii="微软雅黑" w:eastAsia="微软雅黑" w:hint="eastAsia"/>
                <w:b/>
                <w:sz w:val="21"/>
              </w:rPr>
              <w:t>语言能力丧失</w:t>
            </w:r>
          </w:p>
        </w:tc>
        <w:tc>
          <w:tcPr>
            <w:tcW w:w="7558" w:type="dxa"/>
          </w:tcPr>
          <w:p>
            <w:pPr>
              <w:pStyle w:val="TableParagraph"/>
              <w:spacing w:line="273" w:lineRule="auto" w:before="134"/>
              <w:ind w:left="114" w:right="304"/>
              <w:jc w:val="both"/>
              <w:rPr>
                <w:sz w:val="21"/>
              </w:rPr>
            </w:pPr>
            <w:r>
              <w:rPr>
                <w:spacing w:val="-8"/>
                <w:sz w:val="21"/>
              </w:rPr>
              <w:t>指因疾病或意外伤害导致完全丧失语言能力，经过积极治疗至少 </w:t>
            </w:r>
            <w:r>
              <w:rPr>
                <w:sz w:val="21"/>
              </w:rPr>
              <w:t>12</w:t>
            </w:r>
            <w:r>
              <w:rPr>
                <w:spacing w:val="-33"/>
                <w:sz w:val="21"/>
              </w:rPr>
              <w:t> 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308" w:lineRule="exact"/>
              <w:ind w:left="114"/>
              <w:rPr>
                <w:rFonts w:ascii="微软雅黑" w:eastAsia="微软雅黑" w:hint="eastAsia"/>
                <w:b/>
                <w:sz w:val="21"/>
              </w:rPr>
            </w:pPr>
            <w:r>
              <w:rPr>
                <w:rFonts w:ascii="微软雅黑" w:eastAsia="微软雅黑" w:hint="eastAsia"/>
                <w:b/>
                <w:sz w:val="21"/>
                <w:shd w:fill="D9D9D9" w:color="auto" w:val="clear"/>
              </w:rPr>
              <w:t>精神心理因素所致的语言能力丧失不在本合同保障范围内。</w:t>
            </w:r>
          </w:p>
          <w:p>
            <w:pPr>
              <w:pStyle w:val="TableParagraph"/>
              <w:spacing w:line="213" w:lineRule="auto" w:before="42"/>
              <w:ind w:left="114" w:right="304"/>
              <w:jc w:val="both"/>
              <w:rPr>
                <w:rFonts w:ascii="微软雅黑" w:eastAsia="微软雅黑" w:hint="eastAsia"/>
                <w:b/>
                <w:sz w:val="21"/>
              </w:rPr>
            </w:pPr>
            <w:r>
              <w:rPr>
                <w:spacing w:val="-3"/>
                <w:sz w:val="21"/>
              </w:rPr>
              <w:t>本合同仅对三周岁以上的</w:t>
            </w:r>
            <w:hyperlink r:id="rId8">
              <w:r>
                <w:rPr>
                  <w:spacing w:val="-1"/>
                  <w:sz w:val="21"/>
                </w:rPr>
                <w:t>被保险</w:t>
              </w:r>
            </w:hyperlink>
            <w:r>
              <w:rPr>
                <w:spacing w:val="-2"/>
                <w:sz w:val="21"/>
              </w:rPr>
              <w:t>人予以</w:t>
            </w:r>
            <w:hyperlink r:id="rId8">
              <w:r>
                <w:rPr>
                  <w:spacing w:val="-3"/>
                  <w:sz w:val="21"/>
                </w:rPr>
                <w:t>理赔</w:t>
              </w:r>
            </w:hyperlink>
            <w:r>
              <w:rPr>
                <w:spacing w:val="-4"/>
                <w:sz w:val="21"/>
              </w:rPr>
              <w:t>，并需提供被保险人三周岁以后的</w:t>
            </w:r>
            <w:r>
              <w:rPr>
                <w:spacing w:val="-5"/>
                <w:sz w:val="21"/>
              </w:rPr>
              <w:t>语言能力丧失诊断及相关检查报告。</w:t>
            </w:r>
            <w:r>
              <w:rPr>
                <w:rFonts w:ascii="微软雅黑" w:eastAsia="微软雅黑" w:hint="eastAsia"/>
                <w:b/>
                <w:spacing w:val="-3"/>
                <w:sz w:val="21"/>
                <w:shd w:fill="D9D9D9" w:color="auto" w:val="clear"/>
              </w:rPr>
              <w:t>先天性失聪导致的语言能力丧失不在本合</w:t>
            </w:r>
            <w:r>
              <w:rPr>
                <w:rFonts w:ascii="微软雅黑" w:eastAsia="微软雅黑" w:hint="eastAsia"/>
                <w:b/>
                <w:spacing w:val="-209"/>
                <w:sz w:val="21"/>
                <w:shd w:fill="D9D9D9" w:color="auto" w:val="clear"/>
              </w:rPr>
              <w:t>同</w:t>
            </w:r>
            <w:hyperlink r:id="rId8">
              <w:r>
                <w:rPr>
                  <w:rFonts w:ascii="微软雅黑" w:eastAsia="微软雅黑" w:hint="eastAsia"/>
                  <w:b/>
                  <w:sz w:val="21"/>
                  <w:shd w:fill="D9D9D9" w:color="auto" w:val="clear"/>
                </w:rPr>
                <w:t>保障</w:t>
              </w:r>
            </w:hyperlink>
            <w:r>
              <w:rPr>
                <w:rFonts w:ascii="微软雅黑" w:eastAsia="微软雅黑" w:hint="eastAsia"/>
                <w:b/>
                <w:sz w:val="21"/>
                <w:shd w:fill="D9D9D9" w:color="auto" w:val="clear"/>
              </w:rPr>
              <w:t>范围内。</w:t>
            </w:r>
          </w:p>
        </w:tc>
      </w:tr>
      <w:tr>
        <w:trPr>
          <w:trHeight w:val="2289" w:hRule="atLeast"/>
        </w:trPr>
        <w:tc>
          <w:tcPr>
            <w:tcW w:w="534" w:type="dxa"/>
          </w:tcPr>
          <w:p>
            <w:pPr>
              <w:pStyle w:val="TableParagraph"/>
              <w:spacing w:before="168"/>
              <w:ind w:right="106"/>
              <w:jc w:val="right"/>
              <w:rPr>
                <w:rFonts w:ascii="Calibri"/>
                <w:sz w:val="22"/>
              </w:rPr>
            </w:pPr>
            <w:r>
              <w:rPr>
                <w:rFonts w:ascii="Calibri"/>
                <w:sz w:val="22"/>
              </w:rPr>
              <w:t>44</w:t>
            </w:r>
          </w:p>
        </w:tc>
        <w:tc>
          <w:tcPr>
            <w:tcW w:w="1978" w:type="dxa"/>
          </w:tcPr>
          <w:p>
            <w:pPr>
              <w:pStyle w:val="TableParagraph"/>
              <w:spacing w:before="72"/>
              <w:ind w:left="107"/>
              <w:rPr>
                <w:rFonts w:ascii="微软雅黑" w:eastAsia="微软雅黑" w:hint="eastAsia"/>
                <w:b/>
                <w:sz w:val="21"/>
              </w:rPr>
            </w:pPr>
            <w:r>
              <w:rPr>
                <w:rFonts w:ascii="微软雅黑" w:eastAsia="微软雅黑" w:hint="eastAsia"/>
                <w:b/>
                <w:sz w:val="21"/>
              </w:rPr>
              <w:t>神经白塞病</w:t>
            </w:r>
          </w:p>
        </w:tc>
        <w:tc>
          <w:tcPr>
            <w:tcW w:w="7558" w:type="dxa"/>
          </w:tcPr>
          <w:p>
            <w:pPr>
              <w:pStyle w:val="TableParagraph"/>
              <w:spacing w:line="273" w:lineRule="auto" w:before="135"/>
              <w:ind w:left="114" w:right="199"/>
              <w:rPr>
                <w:sz w:val="21"/>
              </w:rPr>
            </w:pPr>
            <w:r>
              <w:rPr>
                <w:spacing w:val="-5"/>
                <w:sz w:val="21"/>
              </w:rPr>
              <w:t>白塞病是一种慢性全身性血管炎症性疾病，主要表现为复发性口腔溃疡、生殖</w:t>
            </w:r>
            <w:r>
              <w:rPr>
                <w:spacing w:val="-13"/>
                <w:sz w:val="21"/>
              </w:rPr>
              <w:t>器溃疡、眼炎及皮肤损害，并可累及大血管、神经系统、消化道、肺、肾等等。</w:t>
            </w:r>
            <w:r>
              <w:rPr>
                <w:spacing w:val="-7"/>
                <w:sz w:val="21"/>
              </w:rPr>
              <w:t>累及神经系统损害的白塞病称为神经白塞病。神经白塞病必须明确诊断，并且</w:t>
            </w:r>
            <w:r>
              <w:rPr>
                <w:spacing w:val="-4"/>
                <w:sz w:val="21"/>
              </w:rPr>
              <w:t>已经造成永久不可逆的神经系统 功能损害。永久不可逆的神经系统损害指被</w:t>
            </w:r>
            <w:r>
              <w:rPr>
                <w:spacing w:val="-10"/>
                <w:sz w:val="21"/>
              </w:rPr>
              <w:t>保险人持续 </w:t>
            </w:r>
            <w:r>
              <w:rPr>
                <w:sz w:val="21"/>
              </w:rPr>
              <w:t>180</w:t>
            </w:r>
            <w:r>
              <w:rPr>
                <w:spacing w:val="-8"/>
                <w:sz w:val="21"/>
              </w:rPr>
              <w:t> 天无法独立完成下列基本日常生活活动之一：</w:t>
            </w:r>
          </w:p>
          <w:p>
            <w:pPr>
              <w:pStyle w:val="TableParagraph"/>
              <w:spacing w:before="7"/>
              <w:ind w:left="114"/>
              <w:rPr>
                <w:sz w:val="21"/>
              </w:rPr>
            </w:pPr>
            <w:r>
              <w:rPr>
                <w:sz w:val="21"/>
              </w:rPr>
              <w:t>（1）移动：自己从一个房间到另一个房间；</w:t>
            </w:r>
          </w:p>
          <w:p>
            <w:pPr>
              <w:pStyle w:val="TableParagraph"/>
              <w:spacing w:line="263" w:lineRule="exact" w:before="36"/>
              <w:ind w:left="114"/>
              <w:rPr>
                <w:sz w:val="21"/>
              </w:rPr>
            </w:pPr>
            <w:r>
              <w:rPr>
                <w:sz w:val="21"/>
              </w:rPr>
              <w:t>（2）进食：自己从已准备好的碗或碟中取食物放入口中。</w:t>
            </w:r>
          </w:p>
        </w:tc>
      </w:tr>
    </w:tbl>
    <w:p>
      <w:pPr>
        <w:spacing w:after="0" w:line="263" w:lineRule="exact"/>
        <w:rPr>
          <w:sz w:val="21"/>
        </w:rPr>
        <w:sectPr>
          <w:pgSz w:w="11910" w:h="16840"/>
          <w:pgMar w:header="0" w:footer="705" w:top="1440" w:bottom="900" w:left="104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1946"/>
        <w:gridCol w:w="7590"/>
      </w:tblGrid>
      <w:tr>
        <w:trPr>
          <w:trHeight w:val="1978" w:hRule="atLeast"/>
        </w:trPr>
        <w:tc>
          <w:tcPr>
            <w:tcW w:w="534" w:type="dxa"/>
          </w:tcPr>
          <w:p>
            <w:pPr>
              <w:pStyle w:val="TableParagraph"/>
              <w:spacing w:line="230" w:lineRule="exact"/>
              <w:ind w:right="106"/>
              <w:jc w:val="right"/>
              <w:rPr>
                <w:rFonts w:ascii="Calibri"/>
                <w:sz w:val="22"/>
              </w:rPr>
            </w:pPr>
            <w:r>
              <w:rPr>
                <w:rFonts w:ascii="Calibri"/>
                <w:sz w:val="22"/>
              </w:rPr>
              <w:t>45</w:t>
            </w:r>
          </w:p>
        </w:tc>
        <w:tc>
          <w:tcPr>
            <w:tcW w:w="1946" w:type="dxa"/>
          </w:tcPr>
          <w:p>
            <w:pPr>
              <w:pStyle w:val="TableParagraph"/>
              <w:spacing w:line="203" w:lineRule="exact"/>
              <w:ind w:left="107"/>
              <w:rPr>
                <w:rFonts w:ascii="微软雅黑" w:eastAsia="微软雅黑" w:hint="eastAsia"/>
                <w:b/>
                <w:sz w:val="21"/>
              </w:rPr>
            </w:pPr>
            <w:r>
              <w:rPr>
                <w:rFonts w:ascii="微软雅黑" w:eastAsia="微软雅黑" w:hint="eastAsia"/>
                <w:b/>
                <w:sz w:val="21"/>
              </w:rPr>
              <w:t>非阿尔茨海默病致</w:t>
            </w:r>
          </w:p>
          <w:p>
            <w:pPr>
              <w:pStyle w:val="TableParagraph"/>
              <w:spacing w:line="338" w:lineRule="exact"/>
              <w:ind w:left="107"/>
              <w:rPr>
                <w:rFonts w:ascii="微软雅黑" w:eastAsia="微软雅黑" w:hint="eastAsia"/>
                <w:b/>
                <w:sz w:val="21"/>
              </w:rPr>
            </w:pPr>
            <w:r>
              <w:rPr>
                <w:rFonts w:ascii="微软雅黑" w:eastAsia="微软雅黑" w:hint="eastAsia"/>
                <w:b/>
                <w:sz w:val="21"/>
              </w:rPr>
              <w:t>严重痴呆</w:t>
            </w:r>
          </w:p>
        </w:tc>
        <w:tc>
          <w:tcPr>
            <w:tcW w:w="7590" w:type="dxa"/>
          </w:tcPr>
          <w:p>
            <w:pPr>
              <w:pStyle w:val="TableParagraph"/>
              <w:spacing w:line="203" w:lineRule="exact"/>
              <w:ind w:left="146"/>
              <w:rPr>
                <w:sz w:val="21"/>
              </w:rPr>
            </w:pPr>
            <w:r>
              <w:rPr>
                <w:sz w:val="21"/>
              </w:rPr>
              <w:t>指因阿尔茨海默病以外的脑的器质性疾病造成脑功能衰竭导致永久不可逆性</w:t>
            </w:r>
          </w:p>
          <w:p>
            <w:pPr>
              <w:pStyle w:val="TableParagraph"/>
              <w:spacing w:line="273" w:lineRule="auto" w:before="37"/>
              <w:ind w:left="146" w:right="199"/>
              <w:rPr>
                <w:sz w:val="21"/>
              </w:rPr>
            </w:pPr>
            <w:r>
              <w:rPr>
                <w:spacing w:val="-5"/>
                <w:sz w:val="21"/>
              </w:rPr>
              <w:t>的严重痴呆，临床表现为明显的认知能力障碍、行为异常和社交能力减退。被保险人自主生活能力完全丧失，无法独立完成六项基本日常生活活动中的三项</w:t>
            </w:r>
            <w:r>
              <w:rPr>
                <w:spacing w:val="-13"/>
                <w:sz w:val="21"/>
              </w:rPr>
              <w:t>或三项以上，日常生活必须持续受到他人监护。导致痴呆的疾病必须明确诊断， </w:t>
            </w:r>
            <w:r>
              <w:rPr>
                <w:spacing w:val="-6"/>
                <w:sz w:val="21"/>
              </w:rPr>
              <w:t>且由完整的临床、实验室和影像学检查结果证实。</w:t>
            </w:r>
          </w:p>
          <w:p>
            <w:pPr>
              <w:pStyle w:val="TableParagraph"/>
              <w:spacing w:line="308" w:lineRule="exact"/>
              <w:ind w:left="146"/>
              <w:rPr>
                <w:rFonts w:ascii="微软雅黑" w:eastAsia="微软雅黑" w:hint="eastAsia"/>
                <w:b/>
                <w:sz w:val="21"/>
              </w:rPr>
            </w:pPr>
            <w:r>
              <w:rPr>
                <w:rFonts w:ascii="微软雅黑" w:eastAsia="微软雅黑" w:hint="eastAsia"/>
                <w:b/>
                <w:sz w:val="21"/>
                <w:shd w:fill="D9D9D9" w:color="auto" w:val="clear"/>
              </w:rPr>
              <w:t>神经官能症</w:t>
            </w:r>
            <w:r>
              <w:rPr>
                <w:rFonts w:ascii="微软雅黑" w:eastAsia="微软雅黑" w:hint="eastAsia"/>
                <w:b/>
                <w:w w:val="155"/>
                <w:sz w:val="21"/>
                <w:shd w:fill="D9D9D9" w:color="auto" w:val="clear"/>
              </w:rPr>
              <w:t>,</w:t>
            </w:r>
            <w:r>
              <w:rPr>
                <w:rFonts w:ascii="微软雅黑" w:eastAsia="微软雅黑" w:hint="eastAsia"/>
                <w:b/>
                <w:sz w:val="21"/>
                <w:shd w:fill="D9D9D9" w:color="auto" w:val="clear"/>
              </w:rPr>
              <w:t>精神疾病及酒精中毒所致脑损害不在本保障范围内。</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46</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严重多发性硬化</w:t>
            </w:r>
          </w:p>
        </w:tc>
        <w:tc>
          <w:tcPr>
            <w:tcW w:w="7590" w:type="dxa"/>
          </w:tcPr>
          <w:p>
            <w:pPr>
              <w:pStyle w:val="TableParagraph"/>
              <w:spacing w:line="273" w:lineRule="auto" w:before="134"/>
              <w:ind w:left="146" w:right="304"/>
              <w:jc w:val="both"/>
              <w:rPr>
                <w:sz w:val="21"/>
              </w:rPr>
            </w:pPr>
            <w:r>
              <w:rPr>
                <w:spacing w:val="-5"/>
                <w:sz w:val="21"/>
              </w:rPr>
              <w:t>多发性硬化为中枢神经系统白质多灶性脱髓鞘病变，病变有时累及灰质。多发</w:t>
            </w:r>
            <w:r>
              <w:rPr>
                <w:spacing w:val="-6"/>
                <w:sz w:val="21"/>
              </w:rPr>
              <w:t>性硬化必须明确诊断，并且已经造成永久不可逆的神经系统功能损害。永久不</w:t>
            </w:r>
            <w:r>
              <w:rPr>
                <w:spacing w:val="-7"/>
                <w:sz w:val="21"/>
              </w:rPr>
              <w:t>可逆的神经系统损害指被保险人持续 </w:t>
            </w:r>
            <w:r>
              <w:rPr>
                <w:sz w:val="21"/>
              </w:rPr>
              <w:t>180</w:t>
            </w:r>
            <w:r>
              <w:rPr>
                <w:spacing w:val="-8"/>
                <w:sz w:val="21"/>
              </w:rPr>
              <w:t> 天无法独立完成下列基本日常生活活</w:t>
            </w:r>
            <w:r>
              <w:rPr>
                <w:spacing w:val="-6"/>
                <w:sz w:val="21"/>
              </w:rPr>
              <w:t>动之一：</w:t>
            </w:r>
          </w:p>
          <w:p>
            <w:pPr>
              <w:pStyle w:val="TableParagraph"/>
              <w:spacing w:before="7"/>
              <w:ind w:left="146"/>
              <w:jc w:val="both"/>
              <w:rPr>
                <w:sz w:val="21"/>
              </w:rPr>
            </w:pPr>
            <w:r>
              <w:rPr>
                <w:sz w:val="21"/>
              </w:rPr>
              <w:t>（1）移动：自己从一个房间到另一个房间；</w:t>
            </w:r>
          </w:p>
          <w:p>
            <w:pPr>
              <w:pStyle w:val="TableParagraph"/>
              <w:spacing w:before="37"/>
              <w:ind w:left="146"/>
              <w:jc w:val="both"/>
              <w:rPr>
                <w:sz w:val="21"/>
              </w:rPr>
            </w:pPr>
            <w:r>
              <w:rPr>
                <w:sz w:val="21"/>
              </w:rPr>
              <w:t>（2）进食：自己从已准备好的碗或碟中取食物放入口中。</w:t>
            </w:r>
          </w:p>
        </w:tc>
      </w:tr>
      <w:tr>
        <w:trPr>
          <w:trHeight w:val="1872" w:hRule="atLeast"/>
        </w:trPr>
        <w:tc>
          <w:tcPr>
            <w:tcW w:w="534" w:type="dxa"/>
          </w:tcPr>
          <w:p>
            <w:pPr>
              <w:pStyle w:val="TableParagraph"/>
              <w:spacing w:before="168"/>
              <w:ind w:right="106"/>
              <w:jc w:val="right"/>
              <w:rPr>
                <w:rFonts w:ascii="Calibri"/>
                <w:sz w:val="22"/>
              </w:rPr>
            </w:pPr>
            <w:r>
              <w:rPr>
                <w:rFonts w:ascii="Calibri"/>
                <w:sz w:val="22"/>
              </w:rPr>
              <w:t>47</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严重细菌性脑脊髓膜炎</w:t>
            </w:r>
          </w:p>
        </w:tc>
        <w:tc>
          <w:tcPr>
            <w:tcW w:w="7590" w:type="dxa"/>
          </w:tcPr>
          <w:p>
            <w:pPr>
              <w:pStyle w:val="TableParagraph"/>
              <w:spacing w:before="135"/>
              <w:ind w:left="146"/>
              <w:rPr>
                <w:sz w:val="21"/>
              </w:rPr>
            </w:pPr>
            <w:r>
              <w:rPr>
                <w:sz w:val="21"/>
              </w:rPr>
              <w:t>指因脑膜炎双球菌感染引起脑脊髓膜化脓性病变，且导致永久性神经损害</w:t>
            </w:r>
          </w:p>
          <w:p>
            <w:pPr>
              <w:pStyle w:val="TableParagraph"/>
              <w:spacing w:before="37"/>
              <w:ind w:left="146"/>
              <w:rPr>
                <w:sz w:val="21"/>
              </w:rPr>
            </w:pPr>
            <w:r>
              <w:rPr>
                <w:w w:val="100"/>
                <w:sz w:val="21"/>
              </w:rPr>
              <w:t>（注</w:t>
            </w:r>
            <w:r>
              <w:rPr>
                <w:spacing w:val="-108"/>
                <w:w w:val="100"/>
                <w:sz w:val="21"/>
              </w:rPr>
              <w:t>）</w:t>
            </w:r>
            <w:r>
              <w:rPr>
                <w:spacing w:val="-2"/>
                <w:w w:val="100"/>
                <w:sz w:val="21"/>
              </w:rPr>
              <w:t>，持续</w:t>
            </w:r>
            <w:r>
              <w:rPr>
                <w:spacing w:val="-2"/>
                <w:sz w:val="21"/>
              </w:rPr>
              <w:t> </w:t>
            </w:r>
            <w:r>
              <w:rPr>
                <w:rFonts w:ascii="Calibri" w:eastAsia="Calibri"/>
                <w:w w:val="100"/>
                <w:sz w:val="21"/>
              </w:rPr>
              <w:t>90</w:t>
            </w:r>
            <w:r>
              <w:rPr>
                <w:rFonts w:ascii="Calibri" w:eastAsia="Calibri"/>
                <w:spacing w:val="3"/>
                <w:sz w:val="21"/>
              </w:rPr>
              <w:t>  </w:t>
            </w:r>
            <w:r>
              <w:rPr>
                <w:spacing w:val="-3"/>
                <w:w w:val="100"/>
                <w:sz w:val="21"/>
              </w:rPr>
              <w:t>天以上，并且脑脊液检查显示脑膜炎双球菌阳性。</w:t>
            </w:r>
          </w:p>
          <w:p>
            <w:pPr>
              <w:pStyle w:val="TableParagraph"/>
              <w:spacing w:line="259" w:lineRule="auto" w:before="10"/>
              <w:ind w:left="146" w:right="199"/>
              <w:rPr>
                <w:sz w:val="21"/>
              </w:rPr>
            </w:pPr>
            <w:r>
              <w:rPr>
                <w:spacing w:val="-17"/>
                <w:sz w:val="21"/>
              </w:rPr>
              <w:t>注：永久性神经损害是指由细菌性脑脊髓膜炎引起的耳聋、失明、动眼神经麻痹、</w:t>
            </w:r>
            <w:r>
              <w:rPr>
                <w:spacing w:val="-5"/>
                <w:sz w:val="21"/>
              </w:rPr>
              <w:t>瘫痪、脑积水、智力或 性情中度以上的损害，且上述症状持续 </w:t>
            </w:r>
            <w:r>
              <w:rPr>
                <w:rFonts w:ascii="Calibri" w:eastAsia="Calibri"/>
                <w:sz w:val="21"/>
              </w:rPr>
              <w:t>90</w:t>
            </w:r>
            <w:r>
              <w:rPr>
                <w:sz w:val="21"/>
              </w:rPr>
              <w:t>天以上仍无</w:t>
            </w:r>
            <w:r>
              <w:rPr>
                <w:spacing w:val="-1"/>
                <w:sz w:val="21"/>
              </w:rPr>
              <w:t>改善迹象。</w:t>
            </w:r>
          </w:p>
        </w:tc>
      </w:tr>
      <w:tr>
        <w:trPr>
          <w:trHeight w:val="1872" w:hRule="atLeast"/>
        </w:trPr>
        <w:tc>
          <w:tcPr>
            <w:tcW w:w="534" w:type="dxa"/>
          </w:tcPr>
          <w:p>
            <w:pPr>
              <w:pStyle w:val="TableParagraph"/>
              <w:spacing w:before="168"/>
              <w:ind w:right="106"/>
              <w:jc w:val="right"/>
              <w:rPr>
                <w:rFonts w:ascii="Calibri"/>
                <w:sz w:val="22"/>
              </w:rPr>
            </w:pPr>
            <w:r>
              <w:rPr>
                <w:rFonts w:ascii="Calibri"/>
                <w:sz w:val="22"/>
              </w:rPr>
              <w:t>48</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重症手足口病</w:t>
            </w:r>
          </w:p>
        </w:tc>
        <w:tc>
          <w:tcPr>
            <w:tcW w:w="7590" w:type="dxa"/>
          </w:tcPr>
          <w:p>
            <w:pPr>
              <w:pStyle w:val="TableParagraph"/>
              <w:spacing w:line="273" w:lineRule="auto" w:before="134"/>
              <w:ind w:left="146" w:right="285"/>
              <w:rPr>
                <w:sz w:val="21"/>
              </w:rPr>
            </w:pPr>
            <w:r>
              <w:rPr>
                <w:sz w:val="21"/>
              </w:rPr>
              <w:t>重症手足口病：是由肠道病毒引起的急性传染病，主要症状表现为手、足、口腔等部位的斑丘疹、疱疹。重症手足口病必须符合下列全部条件：</w:t>
            </w:r>
          </w:p>
          <w:p>
            <w:pPr>
              <w:pStyle w:val="TableParagraph"/>
              <w:spacing w:before="7"/>
              <w:ind w:left="146"/>
              <w:rPr>
                <w:sz w:val="21"/>
              </w:rPr>
            </w:pPr>
            <w:r>
              <w:rPr>
                <w:sz w:val="21"/>
              </w:rPr>
              <w:t>（1）经专科医生诊断为手足口病；</w:t>
            </w:r>
          </w:p>
          <w:p>
            <w:pPr>
              <w:pStyle w:val="TableParagraph"/>
              <w:spacing w:before="37"/>
              <w:ind w:left="146"/>
              <w:rPr>
                <w:sz w:val="21"/>
              </w:rPr>
            </w:pPr>
            <w:r>
              <w:rPr>
                <w:sz w:val="21"/>
              </w:rPr>
              <w:t>（2）伴有所列危重并发症之一：脑膜炎、脑炎、脑脊髓炎、肺水肿或心肌炎；</w:t>
            </w:r>
          </w:p>
          <w:p>
            <w:pPr>
              <w:pStyle w:val="TableParagraph"/>
              <w:spacing w:before="37"/>
              <w:ind w:left="146"/>
              <w:rPr>
                <w:sz w:val="21"/>
              </w:rPr>
            </w:pPr>
            <w:r>
              <w:rPr>
                <w:sz w:val="21"/>
              </w:rPr>
              <w:t>（3）接受了住院治疗。</w:t>
            </w:r>
          </w:p>
        </w:tc>
      </w:tr>
      <w:tr>
        <w:trPr>
          <w:trHeight w:val="1872" w:hRule="atLeast"/>
        </w:trPr>
        <w:tc>
          <w:tcPr>
            <w:tcW w:w="534" w:type="dxa"/>
          </w:tcPr>
          <w:p>
            <w:pPr>
              <w:pStyle w:val="TableParagraph"/>
              <w:spacing w:before="168"/>
              <w:ind w:right="106"/>
              <w:jc w:val="right"/>
              <w:rPr>
                <w:rFonts w:ascii="Calibri"/>
                <w:sz w:val="22"/>
              </w:rPr>
            </w:pPr>
            <w:r>
              <w:rPr>
                <w:rFonts w:ascii="Calibri"/>
                <w:sz w:val="22"/>
              </w:rPr>
              <w:t>49</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颅脑手术</w:t>
            </w:r>
          </w:p>
        </w:tc>
        <w:tc>
          <w:tcPr>
            <w:tcW w:w="7590" w:type="dxa"/>
          </w:tcPr>
          <w:p>
            <w:pPr>
              <w:pStyle w:val="TableParagraph"/>
              <w:spacing w:line="273" w:lineRule="auto" w:before="135"/>
              <w:ind w:left="146" w:right="304"/>
              <w:jc w:val="both"/>
              <w:rPr>
                <w:sz w:val="21"/>
              </w:rPr>
            </w:pPr>
            <w:r>
              <w:rPr>
                <w:spacing w:val="-4"/>
                <w:sz w:val="21"/>
              </w:rPr>
              <w:t>指因外伤、颅内肿瘤或脑动脉瘤破裂，被保险人实际接受了在全麻下进行的颅</w:t>
            </w:r>
            <w:r>
              <w:rPr>
                <w:spacing w:val="-3"/>
                <w:sz w:val="21"/>
              </w:rPr>
              <w:t>骨切开手术，以清除脑内血肿、切除肿瘤或夹闭破裂动脉瘤的手术治疗。</w:t>
            </w:r>
          </w:p>
          <w:p>
            <w:pPr>
              <w:pStyle w:val="TableParagraph"/>
              <w:spacing w:line="206" w:lineRule="auto"/>
              <w:ind w:left="146" w:right="305"/>
              <w:jc w:val="both"/>
              <w:rPr>
                <w:rFonts w:ascii="微软雅黑" w:eastAsia="微软雅黑" w:hint="eastAsia"/>
                <w:b/>
                <w:sz w:val="21"/>
              </w:rPr>
            </w:pPr>
            <w:r>
              <w:rPr>
                <w:rFonts w:ascii="微软雅黑" w:eastAsia="微软雅黑" w:hint="eastAsia"/>
                <w:b/>
                <w:spacing w:val="-5"/>
                <w:sz w:val="21"/>
                <w:shd w:fill="D9D9D9" w:color="auto" w:val="clear"/>
              </w:rPr>
              <w:t>颅骨打孔手术、硬膜下血肿清除术、未破裂动脉瘤预防性手术、动脉瘤栓塞手</w:t>
            </w:r>
            <w:r>
              <w:rPr>
                <w:rFonts w:ascii="微软雅黑" w:eastAsia="微软雅黑" w:hint="eastAsia"/>
                <w:b/>
                <w:spacing w:val="-8"/>
                <w:sz w:val="21"/>
                <w:shd w:fill="D9D9D9" w:color="auto" w:val="clear"/>
              </w:rPr>
              <w:t>术、</w:t>
            </w:r>
            <w:r>
              <w:rPr>
                <w:rFonts w:ascii="微软雅黑" w:eastAsia="微软雅黑" w:hint="eastAsia"/>
                <w:b/>
                <w:spacing w:val="-17"/>
                <w:sz w:val="21"/>
                <w:shd w:fill="D9D9D9" w:color="auto" w:val="clear"/>
              </w:rPr>
              <w:t>血管内手术、颅骨切开或切除减压术、脑积水脑脊液分流手术、经蝶骨肿瘤</w:t>
            </w:r>
            <w:r>
              <w:rPr>
                <w:rFonts w:ascii="微软雅黑" w:eastAsia="微软雅黑" w:hint="eastAsia"/>
                <w:b/>
                <w:spacing w:val="-12"/>
                <w:sz w:val="21"/>
                <w:shd w:fill="D9D9D9" w:color="auto" w:val="clear"/>
              </w:rPr>
              <w:t>切除术及其他原因的开颅手术不在本保障范围内。</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50</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严重阿尔茨海默病</w:t>
            </w:r>
          </w:p>
        </w:tc>
        <w:tc>
          <w:tcPr>
            <w:tcW w:w="7590" w:type="dxa"/>
          </w:tcPr>
          <w:p>
            <w:pPr>
              <w:pStyle w:val="TableParagraph"/>
              <w:spacing w:line="273" w:lineRule="auto" w:before="134"/>
              <w:ind w:left="146" w:right="199"/>
              <w:rPr>
                <w:sz w:val="21"/>
              </w:rPr>
            </w:pPr>
            <w:r>
              <w:rPr>
                <w:spacing w:val="-5"/>
                <w:sz w:val="21"/>
              </w:rPr>
              <w:t>指因大脑进行性、不可逆性改变导致智能严重衰退或丧失，临床表现为明显的</w:t>
            </w:r>
            <w:r>
              <w:rPr>
                <w:spacing w:val="-13"/>
                <w:sz w:val="21"/>
              </w:rPr>
              <w:t>认知能力障碍、行为异常和社交能力减退，其日常生活必须持续受到他人监护。</w:t>
            </w:r>
            <w:r>
              <w:rPr>
                <w:spacing w:val="-6"/>
                <w:w w:val="100"/>
                <w:sz w:val="21"/>
              </w:rPr>
              <w:t>须从头颅断层扫描</w:t>
            </w:r>
            <w:r>
              <w:rPr>
                <w:spacing w:val="-1"/>
                <w:w w:val="100"/>
                <w:sz w:val="21"/>
              </w:rPr>
              <w:t>（</w:t>
            </w:r>
            <w:r>
              <w:rPr>
                <w:spacing w:val="-3"/>
                <w:w w:val="100"/>
                <w:sz w:val="21"/>
              </w:rPr>
              <w:t>C</w:t>
            </w:r>
            <w:r>
              <w:rPr>
                <w:w w:val="100"/>
                <w:sz w:val="21"/>
              </w:rPr>
              <w:t>T</w:t>
            </w:r>
            <w:r>
              <w:rPr>
                <w:spacing w:val="-106"/>
                <w:w w:val="100"/>
                <w:sz w:val="21"/>
              </w:rPr>
              <w:t>）</w:t>
            </w:r>
            <w:r>
              <w:rPr>
                <w:spacing w:val="-3"/>
                <w:w w:val="100"/>
                <w:sz w:val="21"/>
              </w:rPr>
              <w:t>、核磁共振检查</w:t>
            </w:r>
            <w:r>
              <w:rPr>
                <w:spacing w:val="-1"/>
                <w:w w:val="100"/>
                <w:sz w:val="21"/>
              </w:rPr>
              <w:t>（</w:t>
            </w:r>
            <w:r>
              <w:rPr>
                <w:spacing w:val="-3"/>
                <w:w w:val="100"/>
                <w:sz w:val="21"/>
              </w:rPr>
              <w:t>M</w:t>
            </w:r>
            <w:r>
              <w:rPr>
                <w:w w:val="100"/>
                <w:sz w:val="21"/>
              </w:rPr>
              <w:t>R</w:t>
            </w:r>
            <w:r>
              <w:rPr>
                <w:spacing w:val="-1"/>
                <w:w w:val="100"/>
                <w:sz w:val="21"/>
              </w:rPr>
              <w:t>I</w:t>
            </w:r>
            <w:r>
              <w:rPr>
                <w:spacing w:val="-5"/>
                <w:w w:val="100"/>
                <w:sz w:val="21"/>
              </w:rPr>
              <w:t>）</w:t>
            </w:r>
            <w:r>
              <w:rPr>
                <w:spacing w:val="-3"/>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等影像学检查证实，且自主生活能力完全丧失，无法独立完成六项基本日常生</w:t>
            </w:r>
            <w:r>
              <w:rPr>
                <w:spacing w:val="-4"/>
                <w:sz w:val="21"/>
              </w:rPr>
              <w:t>活活动中的三项或三项以上。</w:t>
            </w:r>
          </w:p>
          <w:p>
            <w:pPr>
              <w:pStyle w:val="TableParagraph"/>
              <w:spacing w:line="309" w:lineRule="exact"/>
              <w:ind w:left="146"/>
              <w:rPr>
                <w:rFonts w:ascii="微软雅黑" w:eastAsia="微软雅黑" w:hint="eastAsia"/>
                <w:b/>
                <w:sz w:val="21"/>
              </w:rPr>
            </w:pPr>
            <w:r>
              <w:rPr>
                <w:rFonts w:ascii="微软雅黑" w:eastAsia="微软雅黑" w:hint="eastAsia"/>
                <w:b/>
                <w:sz w:val="21"/>
                <w:shd w:fill="D9D9D9" w:color="auto" w:val="clear"/>
              </w:rPr>
              <w:t>神经官能症和精神疾病不在本合同保障范围内。</w:t>
            </w:r>
          </w:p>
        </w:tc>
      </w:tr>
      <w:tr>
        <w:trPr>
          <w:trHeight w:val="2073" w:hRule="atLeast"/>
        </w:trPr>
        <w:tc>
          <w:tcPr>
            <w:tcW w:w="534" w:type="dxa"/>
          </w:tcPr>
          <w:p>
            <w:pPr>
              <w:pStyle w:val="TableParagraph"/>
              <w:spacing w:before="168"/>
              <w:ind w:right="106"/>
              <w:jc w:val="right"/>
              <w:rPr>
                <w:rFonts w:ascii="Calibri"/>
                <w:sz w:val="22"/>
              </w:rPr>
            </w:pPr>
            <w:r>
              <w:rPr>
                <w:rFonts w:ascii="Calibri"/>
                <w:sz w:val="22"/>
              </w:rPr>
              <w:t>51</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急性心肌梗塞</w:t>
            </w:r>
          </w:p>
        </w:tc>
        <w:tc>
          <w:tcPr>
            <w:tcW w:w="7590" w:type="dxa"/>
          </w:tcPr>
          <w:p>
            <w:pPr>
              <w:pStyle w:val="TableParagraph"/>
              <w:spacing w:before="6"/>
              <w:rPr>
                <w:sz w:val="14"/>
              </w:rPr>
            </w:pPr>
          </w:p>
          <w:p>
            <w:pPr>
              <w:pStyle w:val="TableParagraph"/>
              <w:spacing w:line="314" w:lineRule="auto"/>
              <w:ind w:left="146" w:right="267"/>
              <w:rPr>
                <w:sz w:val="21"/>
              </w:rPr>
            </w:pPr>
            <w:r>
              <w:rPr>
                <w:sz w:val="21"/>
              </w:rPr>
              <w:t>指因冠状动脉阻塞导致的相应区域供血不足造成部分心肌坏死。须满足下列至少三项条件：</w:t>
            </w:r>
          </w:p>
          <w:p>
            <w:pPr>
              <w:pStyle w:val="TableParagraph"/>
              <w:spacing w:line="240" w:lineRule="exact"/>
              <w:ind w:left="146"/>
              <w:rPr>
                <w:sz w:val="21"/>
              </w:rPr>
            </w:pPr>
            <w:r>
              <w:rPr>
                <w:sz w:val="21"/>
              </w:rPr>
              <w:t>（1）典型临床表现，例如急性胸痛等；</w:t>
            </w:r>
          </w:p>
          <w:p>
            <w:pPr>
              <w:pStyle w:val="TableParagraph"/>
              <w:spacing w:before="38"/>
              <w:ind w:left="146"/>
              <w:rPr>
                <w:sz w:val="21"/>
              </w:rPr>
            </w:pPr>
            <w:r>
              <w:rPr>
                <w:sz w:val="21"/>
              </w:rPr>
              <w:t>（2）新近的心电图改变提示急性心肌梗塞；</w:t>
            </w:r>
          </w:p>
          <w:p>
            <w:pPr>
              <w:pStyle w:val="TableParagraph"/>
              <w:spacing w:line="310" w:lineRule="atLeast" w:before="2"/>
              <w:ind w:left="146" w:right="304"/>
              <w:rPr>
                <w:sz w:val="21"/>
              </w:rPr>
            </w:pPr>
            <w:r>
              <w:rPr>
                <w:spacing w:val="-20"/>
                <w:sz w:val="21"/>
              </w:rPr>
              <w:t>（3）</w:t>
            </w:r>
            <w:r>
              <w:rPr>
                <w:spacing w:val="-7"/>
                <w:sz w:val="21"/>
              </w:rPr>
              <w:t>心肌酶或肌钙蛋白有诊断意义的升高，或呈符合急性心肌梗塞的动态性变化；</w:t>
            </w:r>
          </w:p>
        </w:tc>
      </w:tr>
    </w:tbl>
    <w:p>
      <w:pPr>
        <w:spacing w:after="0" w:line="310" w:lineRule="atLeast"/>
        <w:rPr>
          <w:sz w:val="21"/>
        </w:rPr>
        <w:sectPr>
          <w:pgSz w:w="11910" w:h="16840"/>
          <w:pgMar w:header="0" w:footer="705" w:top="1440" w:bottom="900" w:left="104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1946"/>
        <w:gridCol w:w="7590"/>
      </w:tblGrid>
      <w:tr>
        <w:trPr>
          <w:trHeight w:val="417" w:hRule="atLeast"/>
        </w:trPr>
        <w:tc>
          <w:tcPr>
            <w:tcW w:w="534" w:type="dxa"/>
          </w:tcPr>
          <w:p>
            <w:pPr>
              <w:pStyle w:val="TableParagraph"/>
              <w:rPr>
                <w:rFonts w:ascii="Times New Roman"/>
                <w:sz w:val="20"/>
              </w:rPr>
            </w:pPr>
          </w:p>
        </w:tc>
        <w:tc>
          <w:tcPr>
            <w:tcW w:w="1946" w:type="dxa"/>
          </w:tcPr>
          <w:p>
            <w:pPr>
              <w:pStyle w:val="TableParagraph"/>
              <w:rPr>
                <w:rFonts w:ascii="Times New Roman"/>
                <w:sz w:val="20"/>
              </w:rPr>
            </w:pPr>
          </w:p>
        </w:tc>
        <w:tc>
          <w:tcPr>
            <w:tcW w:w="7590" w:type="dxa"/>
          </w:tcPr>
          <w:p>
            <w:pPr>
              <w:pStyle w:val="TableParagraph"/>
              <w:spacing w:line="203" w:lineRule="exact"/>
              <w:ind w:left="20" w:right="74"/>
              <w:jc w:val="center"/>
              <w:rPr>
                <w:sz w:val="21"/>
              </w:rPr>
            </w:pPr>
            <w:r>
              <w:rPr>
                <w:sz w:val="21"/>
              </w:rPr>
              <w:t>（4）发病 90 天后，经检查证实左心室功能降低，如左心室射血分数低于 50%。</w:t>
            </w:r>
          </w:p>
        </w:tc>
      </w:tr>
      <w:tr>
        <w:trPr>
          <w:trHeight w:val="1248" w:hRule="atLeast"/>
        </w:trPr>
        <w:tc>
          <w:tcPr>
            <w:tcW w:w="534" w:type="dxa"/>
          </w:tcPr>
          <w:p>
            <w:pPr>
              <w:pStyle w:val="TableParagraph"/>
              <w:spacing w:before="168"/>
              <w:ind w:right="106"/>
              <w:jc w:val="right"/>
              <w:rPr>
                <w:rFonts w:ascii="Calibri"/>
                <w:sz w:val="22"/>
              </w:rPr>
            </w:pPr>
            <w:r>
              <w:rPr>
                <w:rFonts w:ascii="Calibri"/>
                <w:sz w:val="22"/>
              </w:rPr>
              <w:t>52</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丝虫感染所致严重象皮病</w:t>
            </w:r>
          </w:p>
        </w:tc>
        <w:tc>
          <w:tcPr>
            <w:tcW w:w="7590" w:type="dxa"/>
          </w:tcPr>
          <w:p>
            <w:pPr>
              <w:pStyle w:val="TableParagraph"/>
              <w:spacing w:line="273" w:lineRule="auto" w:before="135"/>
              <w:ind w:left="146" w:right="304"/>
              <w:jc w:val="both"/>
              <w:rPr>
                <w:sz w:val="21"/>
              </w:rPr>
            </w:pPr>
            <w:r>
              <w:rPr>
                <w:spacing w:val="-4"/>
                <w:sz w:val="21"/>
              </w:rPr>
              <w:t>指因丝虫感染导致淋巴循环阻塞出现严重淋巴水肿，达到国际淋巴学会淋巴肿</w:t>
            </w:r>
            <w:r>
              <w:rPr>
                <w:spacing w:val="-11"/>
                <w:sz w:val="21"/>
              </w:rPr>
              <w:t>分期第 </w:t>
            </w:r>
            <w:r>
              <w:rPr>
                <w:sz w:val="21"/>
              </w:rPr>
              <w:t>III</w:t>
            </w:r>
            <w:r>
              <w:rPr>
                <w:spacing w:val="-8"/>
                <w:sz w:val="21"/>
              </w:rPr>
              <w:t> 期，临床表现为肢体象皮肿，患肢较健肢增粗 </w:t>
            </w:r>
            <w:r>
              <w:rPr>
                <w:sz w:val="21"/>
              </w:rPr>
              <w:t>30</w:t>
            </w:r>
            <w:r>
              <w:rPr>
                <w:spacing w:val="-3"/>
                <w:sz w:val="21"/>
              </w:rPr>
              <w:t>%以上，日常生活不能自理。</w:t>
            </w:r>
          </w:p>
        </w:tc>
      </w:tr>
      <w:tr>
        <w:trPr>
          <w:trHeight w:val="2496" w:hRule="atLeast"/>
        </w:trPr>
        <w:tc>
          <w:tcPr>
            <w:tcW w:w="534" w:type="dxa"/>
          </w:tcPr>
          <w:p>
            <w:pPr>
              <w:pStyle w:val="TableParagraph"/>
              <w:spacing w:before="168"/>
              <w:ind w:right="106"/>
              <w:jc w:val="right"/>
              <w:rPr>
                <w:rFonts w:ascii="Calibri"/>
                <w:sz w:val="22"/>
              </w:rPr>
            </w:pPr>
            <w:r>
              <w:rPr>
                <w:rFonts w:ascii="Calibri"/>
                <w:sz w:val="22"/>
              </w:rPr>
              <w:t>53</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完全性房室传导阻滞</w:t>
            </w:r>
          </w:p>
        </w:tc>
        <w:tc>
          <w:tcPr>
            <w:tcW w:w="7590" w:type="dxa"/>
          </w:tcPr>
          <w:p>
            <w:pPr>
              <w:pStyle w:val="TableParagraph"/>
              <w:spacing w:line="273" w:lineRule="auto" w:before="134"/>
              <w:ind w:left="146" w:right="304"/>
              <w:jc w:val="both"/>
              <w:rPr>
                <w:sz w:val="21"/>
              </w:rPr>
            </w:pPr>
            <w:r>
              <w:rPr>
                <w:spacing w:val="-4"/>
                <w:sz w:val="21"/>
              </w:rPr>
              <w:t>指因慢性心脏疾病导致完全性房室传导阻滞。完全性房室传导阻滞是心房的激</w:t>
            </w:r>
            <w:r>
              <w:rPr>
                <w:spacing w:val="-5"/>
                <w:sz w:val="21"/>
              </w:rPr>
              <w:t>动不能正常地传导到心室，造成心室率过于缓慢，出现心力衰竭和因大脑供血</w:t>
            </w:r>
            <w:r>
              <w:rPr>
                <w:spacing w:val="-4"/>
                <w:sz w:val="21"/>
              </w:rPr>
              <w:t>不足导致的晕厥、阿-斯综合征。必须明确诊断并且满足下列所有条件：</w:t>
            </w:r>
          </w:p>
          <w:p>
            <w:pPr>
              <w:pStyle w:val="TableParagraph"/>
              <w:spacing w:before="7"/>
              <w:ind w:left="146"/>
              <w:jc w:val="both"/>
              <w:rPr>
                <w:sz w:val="21"/>
              </w:rPr>
            </w:pPr>
            <w:r>
              <w:rPr>
                <w:sz w:val="21"/>
              </w:rPr>
              <w:t>（1）患有慢性心脏疾病；</w:t>
            </w:r>
          </w:p>
          <w:p>
            <w:pPr>
              <w:pStyle w:val="TableParagraph"/>
              <w:spacing w:before="37"/>
              <w:ind w:left="146"/>
              <w:jc w:val="both"/>
              <w:rPr>
                <w:sz w:val="21"/>
              </w:rPr>
            </w:pPr>
            <w:r>
              <w:rPr>
                <w:sz w:val="21"/>
              </w:rPr>
              <w:t>（2）曾经有晕厥、阿-斯综合征发作；</w:t>
            </w:r>
          </w:p>
          <w:p>
            <w:pPr>
              <w:pStyle w:val="TableParagraph"/>
              <w:spacing w:before="37"/>
              <w:ind w:left="146"/>
              <w:jc w:val="both"/>
              <w:rPr>
                <w:sz w:val="21"/>
              </w:rPr>
            </w:pPr>
            <w:r>
              <w:rPr>
                <w:sz w:val="21"/>
              </w:rPr>
              <w:t>（3）心电图表现为持续室性逸搏心律，心室率持续低于 40 次/分；</w:t>
            </w:r>
          </w:p>
          <w:p>
            <w:pPr>
              <w:pStyle w:val="TableParagraph"/>
              <w:spacing w:before="37"/>
              <w:ind w:left="146"/>
              <w:jc w:val="both"/>
              <w:rPr>
                <w:sz w:val="21"/>
              </w:rPr>
            </w:pPr>
            <w:r>
              <w:rPr>
                <w:sz w:val="21"/>
              </w:rPr>
              <w:t>（4）已经植入永久性心脏起搏器。</w:t>
            </w:r>
          </w:p>
        </w:tc>
      </w:tr>
      <w:tr>
        <w:trPr>
          <w:trHeight w:val="1560" w:hRule="atLeast"/>
        </w:trPr>
        <w:tc>
          <w:tcPr>
            <w:tcW w:w="534" w:type="dxa"/>
          </w:tcPr>
          <w:p>
            <w:pPr>
              <w:pStyle w:val="TableParagraph"/>
              <w:spacing w:before="168"/>
              <w:ind w:right="106"/>
              <w:jc w:val="right"/>
              <w:rPr>
                <w:rFonts w:ascii="Calibri"/>
                <w:sz w:val="22"/>
              </w:rPr>
            </w:pPr>
            <w:r>
              <w:rPr>
                <w:rFonts w:ascii="Calibri"/>
                <w:sz w:val="22"/>
              </w:rPr>
              <w:t>54</w:t>
            </w:r>
          </w:p>
        </w:tc>
        <w:tc>
          <w:tcPr>
            <w:tcW w:w="1946" w:type="dxa"/>
          </w:tcPr>
          <w:p>
            <w:pPr>
              <w:pStyle w:val="TableParagraph"/>
              <w:spacing w:line="337" w:lineRule="exact" w:before="72"/>
              <w:ind w:left="107"/>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5"/>
              <w:ind w:left="107" w:right="146"/>
              <w:rPr>
                <w:rFonts w:ascii="微软雅黑" w:eastAsia="微软雅黑" w:hint="eastAsia"/>
                <w:b/>
                <w:sz w:val="21"/>
              </w:rPr>
            </w:pPr>
            <w:r>
              <w:rPr>
                <w:rFonts w:ascii="微软雅黑" w:eastAsia="微软雅黑" w:hint="eastAsia"/>
                <w:b/>
                <w:sz w:val="21"/>
              </w:rPr>
              <w:t>（或称冠状动脉旁路移植术）</w:t>
            </w:r>
          </w:p>
        </w:tc>
        <w:tc>
          <w:tcPr>
            <w:tcW w:w="7590" w:type="dxa"/>
          </w:tcPr>
          <w:p>
            <w:pPr>
              <w:pStyle w:val="TableParagraph"/>
              <w:spacing w:line="273" w:lineRule="auto" w:before="135"/>
              <w:ind w:left="146" w:right="308"/>
              <w:rPr>
                <w:sz w:val="21"/>
              </w:rPr>
            </w:pPr>
            <w:r>
              <w:rPr>
                <w:sz w:val="21"/>
              </w:rPr>
              <w:t>指为治疗严重的冠心病，实际实施了开胸进行的冠状动脉血管旁路移植的手术。</w:t>
            </w:r>
          </w:p>
          <w:p>
            <w:pPr>
              <w:pStyle w:val="TableParagraph"/>
              <w:spacing w:line="206" w:lineRule="auto"/>
              <w:ind w:left="146" w:right="268"/>
              <w:rPr>
                <w:rFonts w:ascii="微软雅黑" w:eastAsia="微软雅黑" w:hint="eastAsia"/>
                <w:b/>
                <w:sz w:val="21"/>
              </w:rPr>
            </w:pPr>
            <w:r>
              <w:rPr>
                <w:rFonts w:ascii="微软雅黑" w:eastAsia="微软雅黑" w:hint="eastAsia"/>
                <w:b/>
                <w:sz w:val="21"/>
                <w:shd w:fill="D9D9D9" w:color="auto" w:val="clear"/>
              </w:rPr>
              <w:t>冠状动脉支架植入术、心导管球囊扩张术、激光射频技术及其他非开胸的介入手术、腔镜手术不在本合同保障范围内。</w:t>
            </w:r>
          </w:p>
        </w:tc>
      </w:tr>
      <w:tr>
        <w:trPr>
          <w:trHeight w:val="2496" w:hRule="atLeast"/>
        </w:trPr>
        <w:tc>
          <w:tcPr>
            <w:tcW w:w="534" w:type="dxa"/>
          </w:tcPr>
          <w:p>
            <w:pPr>
              <w:pStyle w:val="TableParagraph"/>
              <w:spacing w:before="168"/>
              <w:ind w:right="106"/>
              <w:jc w:val="right"/>
              <w:rPr>
                <w:rFonts w:ascii="Calibri"/>
                <w:sz w:val="22"/>
              </w:rPr>
            </w:pPr>
            <w:r>
              <w:rPr>
                <w:rFonts w:ascii="Calibri"/>
                <w:sz w:val="22"/>
              </w:rPr>
              <w:t>55</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严重感染性心内膜炎</w:t>
            </w:r>
          </w:p>
        </w:tc>
        <w:tc>
          <w:tcPr>
            <w:tcW w:w="7590" w:type="dxa"/>
          </w:tcPr>
          <w:p>
            <w:pPr>
              <w:pStyle w:val="TableParagraph"/>
              <w:spacing w:line="273" w:lineRule="auto" w:before="134"/>
              <w:ind w:left="146" w:right="267"/>
              <w:rPr>
                <w:sz w:val="21"/>
              </w:rPr>
            </w:pPr>
            <w:r>
              <w:rPr>
                <w:sz w:val="21"/>
              </w:rPr>
              <w:t>感染性心内膜炎是指因细菌或其他致病菌感染造成心脏内膜感染，瓣膜为最常受累部位，引起心脏瓣膜关闭不全。必须满足下列至少三项条件：</w:t>
            </w:r>
          </w:p>
          <w:p>
            <w:pPr>
              <w:pStyle w:val="TableParagraph"/>
              <w:spacing w:before="7"/>
              <w:ind w:left="146"/>
              <w:rPr>
                <w:sz w:val="21"/>
              </w:rPr>
            </w:pPr>
            <w:r>
              <w:rPr>
                <w:sz w:val="21"/>
              </w:rPr>
              <w:t>（1）急性或亚急性感染性心内膜炎临床表现；</w:t>
            </w:r>
          </w:p>
          <w:p>
            <w:pPr>
              <w:pStyle w:val="TableParagraph"/>
              <w:spacing w:before="37"/>
              <w:ind w:left="146"/>
              <w:rPr>
                <w:sz w:val="21"/>
              </w:rPr>
            </w:pPr>
            <w:r>
              <w:rPr>
                <w:sz w:val="21"/>
              </w:rPr>
              <w:t>（2）血培养病原体阳性；</w:t>
            </w:r>
          </w:p>
          <w:p>
            <w:pPr>
              <w:pStyle w:val="TableParagraph"/>
              <w:spacing w:before="37"/>
              <w:ind w:left="146"/>
              <w:rPr>
                <w:sz w:val="21"/>
              </w:rPr>
            </w:pPr>
            <w:r>
              <w:rPr>
                <w:sz w:val="21"/>
              </w:rPr>
              <w:t>（3）心功能衰竭并实际接受了心脏瓣膜置换手术；</w:t>
            </w:r>
          </w:p>
          <w:p>
            <w:pPr>
              <w:pStyle w:val="TableParagraph"/>
              <w:spacing w:line="223" w:lineRule="auto" w:before="56"/>
              <w:ind w:left="146" w:right="2503"/>
              <w:rPr>
                <w:rFonts w:ascii="微软雅黑" w:eastAsia="微软雅黑" w:hint="eastAsia"/>
                <w:b/>
                <w:sz w:val="21"/>
              </w:rPr>
            </w:pPr>
            <w:r>
              <w:rPr>
                <w:sz w:val="21"/>
              </w:rPr>
              <w:t>（4）并发动脉栓塞导致脑梗塞、肾梗塞或心肌梗塞。</w:t>
            </w:r>
            <w:r>
              <w:rPr>
                <w:rFonts w:ascii="微软雅黑" w:eastAsia="微软雅黑" w:hint="eastAsia"/>
                <w:b/>
                <w:sz w:val="21"/>
                <w:shd w:fill="D9D9D9" w:color="auto" w:val="clear"/>
              </w:rPr>
              <w:t>药物滥用者所患感染性心内膜炎不在本保障范围内。</w:t>
            </w:r>
          </w:p>
        </w:tc>
      </w:tr>
      <w:tr>
        <w:trPr>
          <w:trHeight w:val="635" w:hRule="atLeast"/>
        </w:trPr>
        <w:tc>
          <w:tcPr>
            <w:tcW w:w="534" w:type="dxa"/>
          </w:tcPr>
          <w:p>
            <w:pPr>
              <w:pStyle w:val="TableParagraph"/>
              <w:spacing w:before="168"/>
              <w:ind w:right="106"/>
              <w:jc w:val="right"/>
              <w:rPr>
                <w:rFonts w:ascii="Calibri"/>
                <w:sz w:val="22"/>
              </w:rPr>
            </w:pPr>
            <w:r>
              <w:rPr>
                <w:rFonts w:ascii="Calibri"/>
                <w:sz w:val="22"/>
              </w:rPr>
              <w:t>56</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心脏瓣膜手术</w:t>
            </w:r>
          </w:p>
        </w:tc>
        <w:tc>
          <w:tcPr>
            <w:tcW w:w="7590" w:type="dxa"/>
          </w:tcPr>
          <w:p>
            <w:pPr>
              <w:pStyle w:val="TableParagraph"/>
              <w:spacing w:before="134"/>
              <w:ind w:left="20" w:right="170"/>
              <w:jc w:val="center"/>
              <w:rPr>
                <w:sz w:val="21"/>
              </w:rPr>
            </w:pPr>
            <w:r>
              <w:rPr>
                <w:sz w:val="21"/>
              </w:rPr>
              <w:t>指为治疗心脏瓣膜疾病，实际实施了开胸进行的心脏瓣膜置换或修复的手术。</w:t>
            </w:r>
          </w:p>
        </w:tc>
      </w:tr>
      <w:tr>
        <w:trPr>
          <w:trHeight w:val="3421" w:hRule="atLeast"/>
        </w:trPr>
        <w:tc>
          <w:tcPr>
            <w:tcW w:w="534" w:type="dxa"/>
          </w:tcPr>
          <w:p>
            <w:pPr>
              <w:pStyle w:val="TableParagraph"/>
              <w:spacing w:before="156"/>
              <w:ind w:right="106"/>
              <w:jc w:val="right"/>
              <w:rPr>
                <w:rFonts w:ascii="Calibri"/>
                <w:sz w:val="22"/>
              </w:rPr>
            </w:pPr>
            <w:r>
              <w:rPr>
                <w:rFonts w:ascii="Calibri"/>
                <w:sz w:val="22"/>
              </w:rPr>
              <w:t>57</w:t>
            </w:r>
          </w:p>
        </w:tc>
        <w:tc>
          <w:tcPr>
            <w:tcW w:w="1946" w:type="dxa"/>
          </w:tcPr>
          <w:p>
            <w:pPr>
              <w:pStyle w:val="TableParagraph"/>
              <w:spacing w:line="206" w:lineRule="auto" w:before="111"/>
              <w:ind w:left="107" w:right="146"/>
              <w:rPr>
                <w:rFonts w:ascii="微软雅黑" w:eastAsia="微软雅黑" w:hint="eastAsia"/>
                <w:b/>
                <w:sz w:val="21"/>
              </w:rPr>
            </w:pPr>
            <w:r>
              <w:rPr>
                <w:rFonts w:ascii="微软雅黑" w:eastAsia="微软雅黑" w:hint="eastAsia"/>
                <w:b/>
                <w:sz w:val="21"/>
              </w:rPr>
              <w:t>严重类风湿性关节炎</w:t>
            </w:r>
          </w:p>
        </w:tc>
        <w:tc>
          <w:tcPr>
            <w:tcW w:w="7590" w:type="dxa"/>
          </w:tcPr>
          <w:p>
            <w:pPr>
              <w:pStyle w:val="TableParagraph"/>
              <w:spacing w:line="273" w:lineRule="auto" w:before="123"/>
              <w:ind w:left="146" w:right="295"/>
              <w:jc w:val="both"/>
              <w:rPr>
                <w:sz w:val="21"/>
              </w:rPr>
            </w:pPr>
            <w:r>
              <w:rPr>
                <w:spacing w:val="-3"/>
                <w:sz w:val="21"/>
              </w:rPr>
              <w:t>类风湿性关节炎为广泛分布的慢性进行性多关节病变，表现为关节严重变形， 侵犯至少三个主要关节或关节组【如：双手（</w:t>
            </w:r>
            <w:r>
              <w:rPr>
                <w:spacing w:val="-2"/>
                <w:sz w:val="21"/>
              </w:rPr>
              <w:t>多手指</w:t>
            </w:r>
            <w:r>
              <w:rPr>
                <w:sz w:val="21"/>
              </w:rPr>
              <w:t>）</w:t>
            </w:r>
            <w:r>
              <w:rPr>
                <w:spacing w:val="-3"/>
                <w:sz w:val="21"/>
              </w:rPr>
              <w:t>关节、双足</w:t>
            </w:r>
            <w:r>
              <w:rPr>
                <w:sz w:val="21"/>
              </w:rPr>
              <w:t>（</w:t>
            </w:r>
            <w:r>
              <w:rPr>
                <w:spacing w:val="-3"/>
                <w:sz w:val="21"/>
              </w:rPr>
              <w:t>多足趾</w:t>
            </w:r>
            <w:r>
              <w:rPr>
                <w:sz w:val="21"/>
              </w:rPr>
              <w:t>） </w:t>
            </w:r>
            <w:r>
              <w:rPr>
                <w:spacing w:val="-19"/>
                <w:sz w:val="21"/>
              </w:rPr>
              <w:t>关节、双腕关节、双膝关节和双髋关节】。类风湿性关节炎必须明确诊断并且已</w:t>
            </w:r>
            <w:r>
              <w:rPr>
                <w:spacing w:val="-7"/>
                <w:sz w:val="21"/>
              </w:rPr>
              <w:t>经达到类风湿性关节炎功能分类 </w:t>
            </w:r>
            <w:r>
              <w:rPr>
                <w:sz w:val="21"/>
              </w:rPr>
              <w:t>IV</w:t>
            </w:r>
            <w:r>
              <w:rPr>
                <w:spacing w:val="-3"/>
                <w:sz w:val="21"/>
              </w:rPr>
              <w:t> 级的永久不可逆性关节功能障碍（</w:t>
            </w:r>
            <w:r>
              <w:rPr>
                <w:spacing w:val="-2"/>
                <w:sz w:val="21"/>
              </w:rPr>
              <w:t>生活不</w:t>
            </w:r>
            <w:r>
              <w:rPr>
                <w:spacing w:val="-3"/>
                <w:sz w:val="21"/>
              </w:rPr>
              <w:t>能自理，且丧失活动能力</w:t>
            </w:r>
            <w:r>
              <w:rPr>
                <w:spacing w:val="-108"/>
                <w:sz w:val="21"/>
              </w:rPr>
              <w:t>）</w:t>
            </w:r>
            <w:r>
              <w:rPr>
                <w:sz w:val="21"/>
              </w:rPr>
              <w:t>。</w:t>
            </w:r>
          </w:p>
          <w:p>
            <w:pPr>
              <w:pStyle w:val="TableParagraph"/>
              <w:spacing w:before="7"/>
              <w:ind w:left="146"/>
              <w:jc w:val="both"/>
              <w:rPr>
                <w:sz w:val="21"/>
              </w:rPr>
            </w:pPr>
            <w:r>
              <w:rPr>
                <w:sz w:val="21"/>
              </w:rPr>
              <w:t>美国风湿病学会类风湿性关节炎分级：</w:t>
            </w:r>
          </w:p>
          <w:p>
            <w:pPr>
              <w:pStyle w:val="TableParagraph"/>
              <w:numPr>
                <w:ilvl w:val="0"/>
                <w:numId w:val="9"/>
              </w:numPr>
              <w:tabs>
                <w:tab w:pos="306" w:val="left" w:leader="none"/>
              </w:tabs>
              <w:spacing w:line="240" w:lineRule="auto" w:before="36" w:after="0"/>
              <w:ind w:left="305" w:right="0" w:hanging="159"/>
              <w:jc w:val="both"/>
              <w:rPr>
                <w:sz w:val="21"/>
              </w:rPr>
            </w:pPr>
            <w:r>
              <w:rPr>
                <w:spacing w:val="-3"/>
                <w:sz w:val="21"/>
              </w:rPr>
              <w:t>级：关节能自由活动，能完成平常的任务而无妨碍。</w:t>
            </w:r>
          </w:p>
          <w:p>
            <w:pPr>
              <w:pStyle w:val="TableParagraph"/>
              <w:numPr>
                <w:ilvl w:val="0"/>
                <w:numId w:val="9"/>
              </w:numPr>
              <w:tabs>
                <w:tab w:pos="411" w:val="left" w:leader="none"/>
              </w:tabs>
              <w:spacing w:line="240" w:lineRule="auto" w:before="36" w:after="0"/>
              <w:ind w:left="410" w:right="0" w:hanging="264"/>
              <w:jc w:val="both"/>
              <w:rPr>
                <w:sz w:val="21"/>
              </w:rPr>
            </w:pPr>
            <w:r>
              <w:rPr>
                <w:spacing w:val="-3"/>
                <w:sz w:val="21"/>
              </w:rPr>
              <w:t>级：关节活动中度限制，一个或几个关节疼痛不适，但能料理日常生活。</w:t>
            </w:r>
          </w:p>
          <w:p>
            <w:pPr>
              <w:pStyle w:val="TableParagraph"/>
              <w:numPr>
                <w:ilvl w:val="0"/>
                <w:numId w:val="9"/>
              </w:numPr>
              <w:tabs>
                <w:tab w:pos="517" w:val="left" w:leader="none"/>
              </w:tabs>
              <w:spacing w:line="240" w:lineRule="auto" w:before="37" w:after="0"/>
              <w:ind w:left="516" w:right="0" w:hanging="370"/>
              <w:jc w:val="both"/>
              <w:rPr>
                <w:sz w:val="21"/>
              </w:rPr>
            </w:pPr>
            <w:r>
              <w:rPr>
                <w:spacing w:val="-3"/>
                <w:sz w:val="21"/>
              </w:rPr>
              <w:t>级：关节活动显著限制，不能胜任工作，料理生活也有困难。</w:t>
            </w:r>
          </w:p>
          <w:p>
            <w:pPr>
              <w:pStyle w:val="TableParagraph"/>
              <w:numPr>
                <w:ilvl w:val="0"/>
                <w:numId w:val="9"/>
              </w:numPr>
              <w:tabs>
                <w:tab w:pos="411" w:val="left" w:leader="none"/>
              </w:tabs>
              <w:spacing w:line="240" w:lineRule="auto" w:before="37" w:after="0"/>
              <w:ind w:left="410" w:right="0" w:hanging="264"/>
              <w:jc w:val="both"/>
              <w:rPr>
                <w:sz w:val="21"/>
              </w:rPr>
            </w:pPr>
            <w:r>
              <w:rPr>
                <w:spacing w:val="-16"/>
                <w:sz w:val="21"/>
              </w:rPr>
              <w:t>级：大部分或完全失去活动能力，病人长期卧床或依赖轮椅，生活不能自理。</w:t>
            </w:r>
          </w:p>
        </w:tc>
      </w:tr>
      <w:tr>
        <w:trPr>
          <w:trHeight w:val="1353" w:hRule="atLeast"/>
        </w:trPr>
        <w:tc>
          <w:tcPr>
            <w:tcW w:w="534" w:type="dxa"/>
          </w:tcPr>
          <w:p>
            <w:pPr>
              <w:pStyle w:val="TableParagraph"/>
              <w:spacing w:before="168"/>
              <w:ind w:right="106"/>
              <w:jc w:val="right"/>
              <w:rPr>
                <w:rFonts w:ascii="Calibri"/>
                <w:sz w:val="22"/>
              </w:rPr>
            </w:pPr>
            <w:r>
              <w:rPr>
                <w:rFonts w:ascii="Calibri"/>
                <w:sz w:val="22"/>
              </w:rPr>
              <w:t>58</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慢性肺源性心脏病</w:t>
            </w:r>
          </w:p>
        </w:tc>
        <w:tc>
          <w:tcPr>
            <w:tcW w:w="7590" w:type="dxa"/>
          </w:tcPr>
          <w:p>
            <w:pPr>
              <w:pStyle w:val="TableParagraph"/>
              <w:spacing w:line="310" w:lineRule="atLeast" w:before="99"/>
              <w:ind w:left="146" w:right="304"/>
              <w:jc w:val="both"/>
              <w:rPr>
                <w:sz w:val="21"/>
              </w:rPr>
            </w:pPr>
            <w:r>
              <w:rPr>
                <w:spacing w:val="1"/>
                <w:sz w:val="21"/>
              </w:rPr>
              <w:t>指被保人因慢性肺部疾病导致慢性肺源性心脏病并且引起慢性心功能损害造</w:t>
            </w:r>
            <w:r>
              <w:rPr>
                <w:spacing w:val="-4"/>
                <w:sz w:val="21"/>
              </w:rPr>
              <w:t>成永久不可逆性的心功能衰竭。心功能衰竭程度达到纽约心脏病学会的心功能</w:t>
            </w:r>
            <w:r>
              <w:rPr>
                <w:spacing w:val="-7"/>
                <w:sz w:val="21"/>
              </w:rPr>
              <w:t>分级标准之心功能 </w:t>
            </w:r>
            <w:r>
              <w:rPr>
                <w:sz w:val="21"/>
              </w:rPr>
              <w:t>IV</w:t>
            </w:r>
            <w:r>
              <w:rPr>
                <w:spacing w:val="-14"/>
                <w:sz w:val="21"/>
              </w:rPr>
              <w:t> 级。被保险人永久不可逆性的体力活动能力受限，不能从</w:t>
            </w:r>
            <w:r>
              <w:rPr>
                <w:spacing w:val="-7"/>
                <w:sz w:val="21"/>
              </w:rPr>
              <w:t>事任何体力活动。</w:t>
            </w:r>
          </w:p>
        </w:tc>
      </w:tr>
    </w:tbl>
    <w:p>
      <w:pPr>
        <w:spacing w:after="0" w:line="310" w:lineRule="atLeast"/>
        <w:jc w:val="both"/>
        <w:rPr>
          <w:sz w:val="21"/>
        </w:rPr>
        <w:sectPr>
          <w:pgSz w:w="11910" w:h="16840"/>
          <w:pgMar w:header="0" w:footer="705" w:top="1440" w:bottom="900" w:left="104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1946"/>
        <w:gridCol w:w="7489"/>
      </w:tblGrid>
      <w:tr>
        <w:trPr>
          <w:trHeight w:val="1354" w:hRule="atLeast"/>
        </w:trPr>
        <w:tc>
          <w:tcPr>
            <w:tcW w:w="534" w:type="dxa"/>
          </w:tcPr>
          <w:p>
            <w:pPr>
              <w:pStyle w:val="TableParagraph"/>
              <w:spacing w:line="230" w:lineRule="exact"/>
              <w:ind w:right="106"/>
              <w:jc w:val="right"/>
              <w:rPr>
                <w:rFonts w:ascii="Calibri"/>
                <w:sz w:val="22"/>
              </w:rPr>
            </w:pPr>
            <w:r>
              <w:rPr>
                <w:rFonts w:ascii="Calibri"/>
                <w:sz w:val="22"/>
              </w:rPr>
              <w:t>59</w:t>
            </w:r>
          </w:p>
        </w:tc>
        <w:tc>
          <w:tcPr>
            <w:tcW w:w="1946" w:type="dxa"/>
          </w:tcPr>
          <w:p>
            <w:pPr>
              <w:pStyle w:val="TableParagraph"/>
              <w:spacing w:line="229" w:lineRule="exact"/>
              <w:ind w:left="107"/>
              <w:rPr>
                <w:rFonts w:ascii="微软雅黑" w:eastAsia="微软雅黑" w:hint="eastAsia"/>
                <w:b/>
                <w:sz w:val="21"/>
              </w:rPr>
            </w:pPr>
            <w:r>
              <w:rPr>
                <w:rFonts w:ascii="微软雅黑" w:eastAsia="微软雅黑" w:hint="eastAsia"/>
                <w:b/>
                <w:sz w:val="21"/>
              </w:rPr>
              <w:t>主动脉手术</w:t>
            </w:r>
          </w:p>
        </w:tc>
        <w:tc>
          <w:tcPr>
            <w:tcW w:w="7489" w:type="dxa"/>
          </w:tcPr>
          <w:p>
            <w:pPr>
              <w:pStyle w:val="TableParagraph"/>
              <w:spacing w:line="203" w:lineRule="exact"/>
              <w:ind w:left="146"/>
              <w:rPr>
                <w:sz w:val="21"/>
              </w:rPr>
            </w:pPr>
            <w:r>
              <w:rPr>
                <w:sz w:val="21"/>
              </w:rPr>
              <w:t>指为治疗主动脉疾病，实际实施了开胸或开腹进行的切除、置换、修补病损主</w:t>
            </w:r>
          </w:p>
          <w:p>
            <w:pPr>
              <w:pStyle w:val="TableParagraph"/>
              <w:spacing w:line="273" w:lineRule="auto" w:before="37"/>
              <w:ind w:left="146" w:right="184"/>
              <w:rPr>
                <w:sz w:val="21"/>
              </w:rPr>
            </w:pPr>
            <w:r>
              <w:rPr>
                <w:sz w:val="21"/>
              </w:rPr>
              <w:t>动脉血管的手术。主动脉指胸主动脉和腹主动脉，不包括胸主动脉和腹主动脉的分支血管。</w:t>
            </w:r>
          </w:p>
          <w:p>
            <w:pPr>
              <w:pStyle w:val="TableParagraph"/>
              <w:spacing w:line="308" w:lineRule="exact"/>
              <w:ind w:left="146"/>
              <w:rPr>
                <w:rFonts w:ascii="微软雅黑" w:eastAsia="微软雅黑" w:hint="eastAsia"/>
                <w:b/>
                <w:sz w:val="21"/>
              </w:rPr>
            </w:pPr>
            <w:r>
              <w:rPr>
                <w:rFonts w:ascii="微软雅黑" w:eastAsia="微软雅黑" w:hint="eastAsia"/>
                <w:b/>
                <w:sz w:val="21"/>
                <w:shd w:fill="D9D9D9" w:color="auto" w:val="clear"/>
              </w:rPr>
              <w:t>动脉内血管成形术不在本合同保障范围内。</w:t>
            </w:r>
          </w:p>
        </w:tc>
      </w:tr>
      <w:tr>
        <w:trPr>
          <w:trHeight w:val="1560" w:hRule="atLeast"/>
        </w:trPr>
        <w:tc>
          <w:tcPr>
            <w:tcW w:w="534" w:type="dxa"/>
          </w:tcPr>
          <w:p>
            <w:pPr>
              <w:pStyle w:val="TableParagraph"/>
              <w:spacing w:before="168"/>
              <w:ind w:right="106"/>
              <w:jc w:val="right"/>
              <w:rPr>
                <w:rFonts w:ascii="Calibri"/>
                <w:sz w:val="22"/>
              </w:rPr>
            </w:pPr>
            <w:r>
              <w:rPr>
                <w:rFonts w:ascii="Calibri"/>
                <w:sz w:val="22"/>
              </w:rPr>
              <w:t>60</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严重冠心病</w:t>
            </w:r>
          </w:p>
        </w:tc>
        <w:tc>
          <w:tcPr>
            <w:tcW w:w="7489" w:type="dxa"/>
          </w:tcPr>
          <w:p>
            <w:pPr>
              <w:pStyle w:val="TableParagraph"/>
              <w:spacing w:before="134"/>
              <w:ind w:left="146"/>
              <w:rPr>
                <w:sz w:val="21"/>
              </w:rPr>
            </w:pPr>
            <w:r>
              <w:rPr>
                <w:sz w:val="21"/>
              </w:rPr>
              <w:t>指被保险人经由冠状动脉造影检查明确诊断为三支主要血管严重狭窄性病变</w:t>
            </w:r>
          </w:p>
          <w:p>
            <w:pPr>
              <w:pStyle w:val="TableParagraph"/>
              <w:spacing w:line="273" w:lineRule="auto" w:before="36"/>
              <w:ind w:left="146" w:right="201"/>
              <w:rPr>
                <w:sz w:val="21"/>
              </w:rPr>
            </w:pPr>
            <w:r>
              <w:rPr>
                <w:sz w:val="21"/>
              </w:rPr>
              <w:t>（</w:t>
            </w:r>
            <w:r>
              <w:rPr>
                <w:spacing w:val="-2"/>
                <w:sz w:val="21"/>
              </w:rPr>
              <w:t>至少一支血管管腔直径减少 </w:t>
            </w:r>
            <w:r>
              <w:rPr>
                <w:sz w:val="21"/>
              </w:rPr>
              <w:t>75</w:t>
            </w:r>
            <w:r>
              <w:rPr>
                <w:spacing w:val="-3"/>
                <w:sz w:val="21"/>
              </w:rPr>
              <w:t>％以上和其他两支血管管腔直径减少 </w:t>
            </w:r>
            <w:r>
              <w:rPr>
                <w:sz w:val="21"/>
              </w:rPr>
              <w:t>60％以上</w:t>
            </w:r>
            <w:r>
              <w:rPr>
                <w:spacing w:val="-106"/>
                <w:sz w:val="21"/>
              </w:rPr>
              <w:t>）</w:t>
            </w:r>
            <w:r>
              <w:rPr>
                <w:spacing w:val="-3"/>
                <w:sz w:val="21"/>
              </w:rPr>
              <w:t>。冠状动脉主要血管指左冠状动脉主干、前降支、左旋支及右冠状动脉。前降支、左旋支及右冠状动脉的分支血管的狭窄不作为本保障的衡量指标。</w:t>
            </w:r>
          </w:p>
        </w:tc>
      </w:tr>
      <w:tr>
        <w:trPr>
          <w:trHeight w:val="1560" w:hRule="atLeast"/>
        </w:trPr>
        <w:tc>
          <w:tcPr>
            <w:tcW w:w="534" w:type="dxa"/>
          </w:tcPr>
          <w:p>
            <w:pPr>
              <w:pStyle w:val="TableParagraph"/>
              <w:spacing w:before="168"/>
              <w:ind w:right="106"/>
              <w:jc w:val="right"/>
              <w:rPr>
                <w:rFonts w:ascii="Calibri"/>
                <w:sz w:val="22"/>
              </w:rPr>
            </w:pPr>
            <w:r>
              <w:rPr>
                <w:rFonts w:ascii="Calibri"/>
                <w:sz w:val="22"/>
              </w:rPr>
              <w:t>61</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严重幼年型类风湿关节炎</w:t>
            </w:r>
          </w:p>
        </w:tc>
        <w:tc>
          <w:tcPr>
            <w:tcW w:w="7489" w:type="dxa"/>
          </w:tcPr>
          <w:p>
            <w:pPr>
              <w:pStyle w:val="TableParagraph"/>
              <w:spacing w:line="273" w:lineRule="auto" w:before="134"/>
              <w:ind w:left="146" w:right="166"/>
              <w:rPr>
                <w:sz w:val="21"/>
              </w:rPr>
            </w:pPr>
            <w:r>
              <w:rPr>
                <w:sz w:val="21"/>
              </w:rPr>
              <w:t>幼年型类风湿关节炎是一种儿童期发病的慢性关节炎，其特点为在高热和系统性病征出现数月后发生关节炎。</w:t>
            </w:r>
          </w:p>
          <w:p>
            <w:pPr>
              <w:pStyle w:val="TableParagraph"/>
              <w:spacing w:line="206" w:lineRule="auto"/>
              <w:ind w:left="146" w:right="214"/>
              <w:rPr>
                <w:rFonts w:ascii="微软雅黑" w:eastAsia="微软雅黑" w:hint="eastAsia"/>
                <w:b/>
                <w:sz w:val="21"/>
              </w:rPr>
            </w:pPr>
            <w:r>
              <w:rPr>
                <w:rFonts w:ascii="微软雅黑" w:eastAsia="微软雅黑" w:hint="eastAsia"/>
                <w:b/>
                <w:sz w:val="21"/>
                <w:shd w:fill="D9D9D9" w:color="auto" w:val="clear"/>
              </w:rPr>
              <w:t>本保单仅对实际接受了膝关节或髋关节置换手术治疗的严重的幼年型类风湿关节炎予以理赔。</w:t>
            </w:r>
          </w:p>
        </w:tc>
      </w:tr>
      <w:tr>
        <w:trPr>
          <w:trHeight w:val="1247" w:hRule="atLeast"/>
        </w:trPr>
        <w:tc>
          <w:tcPr>
            <w:tcW w:w="534" w:type="dxa"/>
          </w:tcPr>
          <w:p>
            <w:pPr>
              <w:pStyle w:val="TableParagraph"/>
              <w:spacing w:before="168"/>
              <w:ind w:right="106"/>
              <w:jc w:val="right"/>
              <w:rPr>
                <w:rFonts w:ascii="Calibri"/>
                <w:sz w:val="22"/>
              </w:rPr>
            </w:pPr>
            <w:r>
              <w:rPr>
                <w:rFonts w:ascii="Calibri"/>
                <w:sz w:val="22"/>
              </w:rPr>
              <w:t>62</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严重原发性肺动脉高压</w:t>
            </w:r>
          </w:p>
        </w:tc>
        <w:tc>
          <w:tcPr>
            <w:tcW w:w="7489" w:type="dxa"/>
          </w:tcPr>
          <w:p>
            <w:pPr>
              <w:pStyle w:val="TableParagraph"/>
              <w:spacing w:line="273" w:lineRule="auto" w:before="134"/>
              <w:ind w:left="146" w:right="2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63</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严重心肌炎</w:t>
            </w:r>
          </w:p>
        </w:tc>
        <w:tc>
          <w:tcPr>
            <w:tcW w:w="7489" w:type="dxa"/>
          </w:tcPr>
          <w:p>
            <w:pPr>
              <w:pStyle w:val="TableParagraph"/>
              <w:spacing w:line="273" w:lineRule="auto" w:before="134"/>
              <w:ind w:left="146" w:right="207"/>
              <w:rPr>
                <w:sz w:val="21"/>
              </w:rPr>
            </w:pPr>
            <w:r>
              <w:rPr>
                <w:sz w:val="21"/>
              </w:rPr>
              <w:t>指被保人因严重心肌炎症性病变导致心功能损害造成持续的永久不可逆性的心功能衰竭。必须满足下列所有条件：</w:t>
            </w:r>
          </w:p>
          <w:p>
            <w:pPr>
              <w:pStyle w:val="TableParagraph"/>
              <w:spacing w:line="273" w:lineRule="auto" w:before="7"/>
              <w:ind w:left="146" w:right="199"/>
              <w:rPr>
                <w:sz w:val="21"/>
              </w:rPr>
            </w:pPr>
            <w:r>
              <w:rPr>
                <w:sz w:val="21"/>
              </w:rPr>
              <w:t>（1）</w:t>
            </w:r>
            <w:r>
              <w:rPr>
                <w:spacing w:val="-5"/>
                <w:sz w:val="21"/>
              </w:rPr>
              <w:t>心功能衰竭程度达到纽约心脏病学会的心功能分级标准之心功能 </w:t>
            </w:r>
            <w:r>
              <w:rPr>
                <w:sz w:val="21"/>
              </w:rPr>
              <w:t>IV</w:t>
            </w:r>
            <w:r>
              <w:rPr>
                <w:spacing w:val="-15"/>
                <w:sz w:val="21"/>
              </w:rPr>
              <w:t> 级， </w:t>
            </w:r>
            <w:r>
              <w:rPr>
                <w:spacing w:val="-7"/>
                <w:sz w:val="21"/>
              </w:rPr>
              <w:t>或左室射血分数低于 </w:t>
            </w:r>
            <w:r>
              <w:rPr>
                <w:sz w:val="21"/>
              </w:rPr>
              <w:t>30%；</w:t>
            </w:r>
          </w:p>
          <w:p>
            <w:pPr>
              <w:pStyle w:val="TableParagraph"/>
              <w:spacing w:before="7"/>
              <w:ind w:left="146"/>
              <w:rPr>
                <w:sz w:val="21"/>
              </w:rPr>
            </w:pPr>
            <w:r>
              <w:rPr>
                <w:sz w:val="21"/>
              </w:rPr>
              <w:t>（2）持续不间断 180 天以上；</w:t>
            </w:r>
          </w:p>
          <w:p>
            <w:pPr>
              <w:pStyle w:val="TableParagraph"/>
              <w:spacing w:before="36"/>
              <w:ind w:left="146"/>
              <w:rPr>
                <w:sz w:val="21"/>
              </w:rPr>
            </w:pPr>
            <w:r>
              <w:rPr>
                <w:sz w:val="21"/>
              </w:rPr>
              <w:t>被保险人永久不可逆性的体力活动能力受限，不能从事任何体力活动。</w:t>
            </w:r>
          </w:p>
        </w:tc>
      </w:tr>
      <w:tr>
        <w:trPr>
          <w:trHeight w:val="1872" w:hRule="atLeast"/>
        </w:trPr>
        <w:tc>
          <w:tcPr>
            <w:tcW w:w="534" w:type="dxa"/>
          </w:tcPr>
          <w:p>
            <w:pPr>
              <w:pStyle w:val="TableParagraph"/>
              <w:spacing w:before="168"/>
              <w:ind w:right="106"/>
              <w:jc w:val="right"/>
              <w:rPr>
                <w:rFonts w:ascii="Calibri"/>
                <w:sz w:val="22"/>
              </w:rPr>
            </w:pPr>
            <w:r>
              <w:rPr>
                <w:rFonts w:ascii="Calibri"/>
                <w:sz w:val="22"/>
              </w:rPr>
              <w:t>64</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严重川崎病</w:t>
            </w:r>
          </w:p>
        </w:tc>
        <w:tc>
          <w:tcPr>
            <w:tcW w:w="7489" w:type="dxa"/>
          </w:tcPr>
          <w:p>
            <w:pPr>
              <w:pStyle w:val="TableParagraph"/>
              <w:spacing w:line="273" w:lineRule="auto" w:before="135"/>
              <w:ind w:left="146" w:right="203"/>
              <w:jc w:val="both"/>
              <w:rPr>
                <w:sz w:val="21"/>
              </w:rPr>
            </w:pPr>
            <w:r>
              <w:rPr>
                <w:spacing w:val="-5"/>
                <w:sz w:val="21"/>
              </w:rPr>
              <w:t>是一种血管炎综合征，临床表现为急性发热，皮肤粘膜病损和淋巴结肿大。本</w:t>
            </w:r>
            <w:r>
              <w:rPr>
                <w:spacing w:val="-6"/>
                <w:sz w:val="21"/>
              </w:rPr>
              <w:t>病须经专科医生明确诊断，同时须由血管造影或超声心动图检查证实，满足下</w:t>
            </w:r>
            <w:r>
              <w:rPr>
                <w:spacing w:val="-4"/>
                <w:sz w:val="21"/>
              </w:rPr>
              <w:t>列至少一项条件：</w:t>
            </w:r>
          </w:p>
          <w:p>
            <w:pPr>
              <w:pStyle w:val="TableParagraph"/>
              <w:spacing w:before="8"/>
              <w:ind w:left="146"/>
              <w:jc w:val="both"/>
              <w:rPr>
                <w:sz w:val="21"/>
              </w:rPr>
            </w:pPr>
            <w:r>
              <w:rPr>
                <w:sz w:val="21"/>
              </w:rPr>
              <w:t>（1）伴有冠状动脉瘤，且冠状动脉瘤于最初急性发病后持续至少 180 天；</w:t>
            </w:r>
          </w:p>
          <w:p>
            <w:pPr>
              <w:pStyle w:val="TableParagraph"/>
              <w:spacing w:before="37"/>
              <w:ind w:left="146"/>
              <w:jc w:val="both"/>
              <w:rPr>
                <w:sz w:val="21"/>
              </w:rPr>
            </w:pPr>
            <w:r>
              <w:rPr>
                <w:sz w:val="21"/>
              </w:rPr>
              <w:t>（2）伴有冠状动脉瘤，且实际接受了对冠状动脉瘤进行的手术治疗。</w:t>
            </w:r>
          </w:p>
        </w:tc>
      </w:tr>
      <w:tr>
        <w:trPr>
          <w:trHeight w:val="1248" w:hRule="atLeast"/>
        </w:trPr>
        <w:tc>
          <w:tcPr>
            <w:tcW w:w="534" w:type="dxa"/>
          </w:tcPr>
          <w:p>
            <w:pPr>
              <w:pStyle w:val="TableParagraph"/>
              <w:spacing w:before="168"/>
              <w:ind w:right="106"/>
              <w:jc w:val="right"/>
              <w:rPr>
                <w:rFonts w:ascii="Calibri"/>
                <w:sz w:val="22"/>
              </w:rPr>
            </w:pPr>
            <w:r>
              <w:rPr>
                <w:rFonts w:ascii="Calibri"/>
                <w:sz w:val="22"/>
              </w:rPr>
              <w:t>65</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严重心肌病</w:t>
            </w:r>
          </w:p>
        </w:tc>
        <w:tc>
          <w:tcPr>
            <w:tcW w:w="7489" w:type="dxa"/>
          </w:tcPr>
          <w:p>
            <w:pPr>
              <w:pStyle w:val="TableParagraph"/>
              <w:spacing w:line="273" w:lineRule="auto" w:before="134"/>
              <w:ind w:left="146" w:right="203"/>
              <w:jc w:val="both"/>
              <w:rPr>
                <w:sz w:val="21"/>
              </w:rPr>
            </w:pPr>
            <w:r>
              <w:rPr>
                <w:spacing w:val="-4"/>
                <w:sz w:val="21"/>
              </w:rPr>
              <w:t>指被保人因心肌病导致慢性心功能损害造成永久不可逆性的心功能衰竭。心功</w:t>
            </w:r>
            <w:r>
              <w:rPr>
                <w:spacing w:val="-3"/>
                <w:sz w:val="21"/>
              </w:rPr>
              <w:t>能衰竭程度达到纽约心脏病学会的心功能分级标准之心功能 </w:t>
            </w:r>
            <w:r>
              <w:rPr>
                <w:sz w:val="21"/>
              </w:rPr>
              <w:t>IV</w:t>
            </w:r>
            <w:r>
              <w:rPr>
                <w:spacing w:val="-1"/>
                <w:sz w:val="21"/>
              </w:rPr>
              <w:t> 级。被保险人</w:t>
            </w:r>
            <w:r>
              <w:rPr>
                <w:spacing w:val="-3"/>
                <w:sz w:val="21"/>
              </w:rPr>
              <w:t>永久不可逆性的体力活动能力受限，不能从事任何体力活动。</w:t>
            </w:r>
          </w:p>
        </w:tc>
      </w:tr>
      <w:tr>
        <w:trPr>
          <w:trHeight w:val="2914" w:hRule="atLeast"/>
        </w:trPr>
        <w:tc>
          <w:tcPr>
            <w:tcW w:w="534" w:type="dxa"/>
          </w:tcPr>
          <w:p>
            <w:pPr>
              <w:pStyle w:val="TableParagraph"/>
              <w:spacing w:before="168"/>
              <w:ind w:right="106"/>
              <w:jc w:val="right"/>
              <w:rPr>
                <w:rFonts w:ascii="Calibri"/>
                <w:sz w:val="22"/>
              </w:rPr>
            </w:pPr>
            <w:r>
              <w:rPr>
                <w:rFonts w:ascii="Calibri"/>
                <w:sz w:val="22"/>
              </w:rPr>
              <w:t>66</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严重急性主动脉夹层血肿</w:t>
            </w:r>
          </w:p>
        </w:tc>
        <w:tc>
          <w:tcPr>
            <w:tcW w:w="7489" w:type="dxa"/>
          </w:tcPr>
          <w:p>
            <w:pPr>
              <w:pStyle w:val="TableParagraph"/>
              <w:spacing w:line="273" w:lineRule="auto" w:before="134"/>
              <w:ind w:left="146" w:right="203"/>
              <w:jc w:val="both"/>
              <w:rPr>
                <w:sz w:val="21"/>
              </w:rPr>
            </w:pPr>
            <w:r>
              <w:rPr>
                <w:sz w:val="21"/>
              </w:rPr>
              <w:t>指主动脉壁在受到某些病理因素破坏后，高速、高压的主动脉血流将其内膜撕裂，以致主动脉腔内的血流通过主动脉内膜的破裂口进入主动脉内壁而形成血肿。急性主动脉夹层血肿必须明确诊断，并且满足下列所有条件：</w:t>
            </w:r>
          </w:p>
          <w:p>
            <w:pPr>
              <w:pStyle w:val="TableParagraph"/>
              <w:spacing w:before="7"/>
              <w:ind w:left="146"/>
              <w:rPr>
                <w:sz w:val="21"/>
              </w:rPr>
            </w:pPr>
            <w:r>
              <w:rPr>
                <w:sz w:val="21"/>
              </w:rPr>
              <w:t>（1）有典型的临床表现；</w:t>
            </w:r>
          </w:p>
          <w:p>
            <w:pPr>
              <w:pStyle w:val="TableParagraph"/>
              <w:spacing w:line="273" w:lineRule="auto" w:before="37"/>
              <w:ind w:left="146" w:right="203"/>
              <w:jc w:val="both"/>
              <w:rPr>
                <w:sz w:val="21"/>
              </w:rPr>
            </w:pPr>
            <w:r>
              <w:rPr>
                <w:w w:val="100"/>
                <w:sz w:val="21"/>
              </w:rPr>
              <w:t>（</w:t>
            </w:r>
            <w:r>
              <w:rPr>
                <w:spacing w:val="-3"/>
                <w:w w:val="100"/>
                <w:sz w:val="21"/>
              </w:rPr>
              <w:t>2</w:t>
            </w:r>
            <w:r>
              <w:rPr>
                <w:spacing w:val="-53"/>
                <w:w w:val="100"/>
                <w:sz w:val="21"/>
              </w:rPr>
              <w:t>）</w:t>
            </w:r>
            <w:r>
              <w:rPr>
                <w:spacing w:val="-8"/>
                <w:w w:val="100"/>
                <w:sz w:val="21"/>
              </w:rPr>
              <w:t>有电子计算机断层扫描</w:t>
            </w:r>
            <w:r>
              <w:rPr>
                <w:spacing w:val="-3"/>
                <w:w w:val="100"/>
                <w:sz w:val="21"/>
              </w:rPr>
              <w:t>（</w:t>
            </w:r>
            <w:r>
              <w:rPr>
                <w:w w:val="100"/>
                <w:sz w:val="21"/>
              </w:rPr>
              <w:t>CT</w:t>
            </w:r>
            <w:r>
              <w:rPr>
                <w:spacing w:val="-108"/>
                <w:w w:val="100"/>
                <w:sz w:val="21"/>
              </w:rPr>
              <w:t>）</w:t>
            </w:r>
            <w:r>
              <w:rPr>
                <w:spacing w:val="-20"/>
                <w:w w:val="100"/>
                <w:sz w:val="21"/>
              </w:rPr>
              <w:t>、磁共振扫描</w:t>
            </w:r>
            <w:r>
              <w:rPr>
                <w:spacing w:val="-3"/>
                <w:w w:val="100"/>
                <w:sz w:val="21"/>
              </w:rPr>
              <w:t>（</w:t>
            </w:r>
            <w:r>
              <w:rPr>
                <w:w w:val="100"/>
                <w:sz w:val="21"/>
              </w:rPr>
              <w:t>MR</w:t>
            </w:r>
            <w:r>
              <w:rPr>
                <w:spacing w:val="-3"/>
                <w:w w:val="100"/>
                <w:sz w:val="21"/>
              </w:rPr>
              <w:t>I</w:t>
            </w:r>
            <w:r>
              <w:rPr>
                <w:spacing w:val="-106"/>
                <w:w w:val="100"/>
                <w:sz w:val="21"/>
              </w:rPr>
              <w:t>）</w:t>
            </w:r>
            <w:r>
              <w:rPr>
                <w:spacing w:val="-16"/>
                <w:w w:val="100"/>
                <w:sz w:val="21"/>
              </w:rPr>
              <w:t>、磁共振血管造影</w:t>
            </w:r>
            <w:r>
              <w:rPr>
                <w:w w:val="100"/>
                <w:sz w:val="21"/>
              </w:rPr>
              <w:t>（MR</w:t>
            </w:r>
            <w:r>
              <w:rPr>
                <w:spacing w:val="-3"/>
                <w:w w:val="100"/>
                <w:sz w:val="21"/>
              </w:rPr>
              <w:t>A</w:t>
            </w:r>
            <w:r>
              <w:rPr>
                <w:spacing w:val="-106"/>
                <w:w w:val="100"/>
                <w:sz w:val="21"/>
              </w:rPr>
              <w:t>））</w:t>
            </w:r>
            <w:r>
              <w:rPr>
                <w:spacing w:val="-3"/>
                <w:sz w:val="21"/>
              </w:rPr>
              <w:t>等影像学证据支持诊断；</w:t>
            </w:r>
          </w:p>
          <w:p>
            <w:pPr>
              <w:pStyle w:val="TableParagraph"/>
              <w:spacing w:line="273" w:lineRule="auto" w:before="7"/>
              <w:ind w:left="146" w:right="211"/>
              <w:jc w:val="both"/>
              <w:rPr>
                <w:sz w:val="21"/>
              </w:rPr>
            </w:pPr>
            <w:r>
              <w:rPr>
                <w:sz w:val="21"/>
              </w:rPr>
              <w:t>（3）被保险人实际接受了急诊条件下进行的传统或微创开胸或开腹主动脉手术。</w:t>
            </w:r>
          </w:p>
          <w:p>
            <w:pPr>
              <w:pStyle w:val="TableParagraph"/>
              <w:spacing w:line="271" w:lineRule="exact"/>
              <w:ind w:left="146"/>
              <w:jc w:val="both"/>
              <w:rPr>
                <w:rFonts w:ascii="微软雅黑" w:eastAsia="微软雅黑" w:hint="eastAsia"/>
                <w:b/>
                <w:sz w:val="21"/>
              </w:rPr>
            </w:pPr>
            <w:r>
              <w:rPr>
                <w:rFonts w:ascii="微软雅黑" w:eastAsia="微软雅黑" w:hint="eastAsia"/>
                <w:b/>
                <w:sz w:val="21"/>
                <w:shd w:fill="D9D9D9" w:color="auto" w:val="clear"/>
              </w:rPr>
              <w:t>慢性期主动脉夹层择期手术、经导管主动脉内介入手术治疗不在本保障范围</w:t>
            </w:r>
          </w:p>
        </w:tc>
      </w:tr>
    </w:tbl>
    <w:p>
      <w:pPr>
        <w:spacing w:after="0" w:line="271" w:lineRule="exact"/>
        <w:jc w:val="both"/>
        <w:rPr>
          <w:rFonts w:ascii="微软雅黑" w:eastAsia="微软雅黑" w:hint="eastAsia"/>
          <w:sz w:val="21"/>
        </w:rPr>
        <w:sectPr>
          <w:pgSz w:w="11910" w:h="16840"/>
          <w:pgMar w:header="0" w:footer="705" w:top="1440" w:bottom="900" w:left="1040" w:right="6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2014"/>
        <w:gridCol w:w="7416"/>
      </w:tblGrid>
      <w:tr>
        <w:trPr>
          <w:trHeight w:val="417" w:hRule="atLeast"/>
        </w:trPr>
        <w:tc>
          <w:tcPr>
            <w:tcW w:w="534" w:type="dxa"/>
          </w:tcPr>
          <w:p>
            <w:pPr>
              <w:pStyle w:val="TableParagraph"/>
              <w:rPr>
                <w:rFonts w:ascii="Times New Roman"/>
                <w:sz w:val="20"/>
              </w:rPr>
            </w:pPr>
          </w:p>
        </w:tc>
        <w:tc>
          <w:tcPr>
            <w:tcW w:w="2014" w:type="dxa"/>
          </w:tcPr>
          <w:p>
            <w:pPr>
              <w:pStyle w:val="TableParagraph"/>
              <w:rPr>
                <w:rFonts w:ascii="Times New Roman"/>
                <w:sz w:val="20"/>
              </w:rPr>
            </w:pPr>
          </w:p>
        </w:tc>
        <w:tc>
          <w:tcPr>
            <w:tcW w:w="7416" w:type="dxa"/>
          </w:tcPr>
          <w:p>
            <w:pPr>
              <w:pStyle w:val="TableParagraph"/>
              <w:spacing w:line="229" w:lineRule="exact"/>
              <w:ind w:left="78"/>
              <w:rPr>
                <w:rFonts w:ascii="微软雅黑" w:eastAsia="微软雅黑" w:hint="eastAsia"/>
                <w:b/>
                <w:sz w:val="21"/>
              </w:rPr>
            </w:pPr>
            <w:r>
              <w:rPr>
                <w:rFonts w:ascii="微软雅黑" w:eastAsia="微软雅黑" w:hint="eastAsia"/>
                <w:b/>
                <w:sz w:val="21"/>
                <w:shd w:fill="D9D9D9" w:color="auto" w:val="clear"/>
              </w:rPr>
              <w:t>内。</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67</w:t>
            </w:r>
          </w:p>
        </w:tc>
        <w:tc>
          <w:tcPr>
            <w:tcW w:w="2014" w:type="dxa"/>
          </w:tcPr>
          <w:p>
            <w:pPr>
              <w:pStyle w:val="TableParagraph"/>
              <w:spacing w:before="72"/>
              <w:ind w:left="107"/>
              <w:rPr>
                <w:rFonts w:ascii="微软雅黑" w:eastAsia="微软雅黑" w:hint="eastAsia"/>
                <w:b/>
                <w:sz w:val="21"/>
              </w:rPr>
            </w:pPr>
            <w:r>
              <w:rPr>
                <w:rFonts w:ascii="微软雅黑" w:eastAsia="微软雅黑" w:hint="eastAsia"/>
                <w:b/>
                <w:sz w:val="21"/>
              </w:rPr>
              <w:t>艾森门格综合征</w:t>
            </w:r>
          </w:p>
        </w:tc>
        <w:tc>
          <w:tcPr>
            <w:tcW w:w="7416" w:type="dxa"/>
          </w:tcPr>
          <w:p>
            <w:pPr>
              <w:pStyle w:val="TableParagraph"/>
              <w:spacing w:line="273" w:lineRule="auto" w:before="135"/>
              <w:ind w:left="78" w:right="161"/>
              <w:rPr>
                <w:sz w:val="21"/>
              </w:rPr>
            </w:pPr>
            <w:r>
              <w:rPr>
                <w:sz w:val="21"/>
              </w:rPr>
              <w:t>因心脏病导致的严重肺动脉高压及右向左分流。诊断必须由心脏专科医生经超声心动图和心导管检查证实及需符合以下所有标准：</w:t>
            </w:r>
          </w:p>
          <w:p>
            <w:pPr>
              <w:pStyle w:val="TableParagraph"/>
              <w:spacing w:before="8"/>
              <w:ind w:left="78"/>
              <w:rPr>
                <w:sz w:val="21"/>
              </w:rPr>
            </w:pPr>
            <w:r>
              <w:rPr>
                <w:sz w:val="21"/>
              </w:rPr>
              <w:t>（1）平均肺动脉压高于 40mmHg；</w:t>
            </w:r>
          </w:p>
          <w:p>
            <w:pPr>
              <w:pStyle w:val="TableParagraph"/>
              <w:spacing w:before="37"/>
              <w:ind w:left="78"/>
              <w:rPr>
                <w:sz w:val="21"/>
              </w:rPr>
            </w:pPr>
            <w:r>
              <w:rPr>
                <w:w w:val="100"/>
                <w:sz w:val="21"/>
              </w:rPr>
              <w:t>（2</w:t>
            </w:r>
            <w:r>
              <w:rPr>
                <w:spacing w:val="-3"/>
                <w:w w:val="100"/>
                <w:sz w:val="21"/>
              </w:rPr>
              <w:t>）肺血管阻力高于</w:t>
            </w:r>
            <w:r>
              <w:rPr>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2"/>
                <w:sz w:val="21"/>
              </w:rPr>
              <w:t> </w:t>
            </w:r>
            <w:r>
              <w:rPr>
                <w:w w:val="100"/>
                <w:sz w:val="21"/>
              </w:rPr>
              <w:t>单位</w:t>
            </w:r>
            <w:r>
              <w:rPr>
                <w:spacing w:val="-108"/>
                <w:w w:val="100"/>
                <w:sz w:val="21"/>
              </w:rPr>
              <w:t>）</w:t>
            </w:r>
            <w:r>
              <w:rPr>
                <w:w w:val="100"/>
                <w:sz w:val="21"/>
              </w:rPr>
              <w:t>；</w:t>
            </w:r>
          </w:p>
          <w:p>
            <w:pPr>
              <w:pStyle w:val="TableParagraph"/>
              <w:spacing w:before="37"/>
              <w:ind w:left="78"/>
              <w:rPr>
                <w:sz w:val="21"/>
              </w:rPr>
            </w:pPr>
            <w:r>
              <w:rPr>
                <w:sz w:val="21"/>
              </w:rPr>
              <w:t>（3）正常肺微血管楔压低于 15mmHg；</w:t>
            </w:r>
          </w:p>
          <w:p>
            <w:pPr>
              <w:pStyle w:val="TableParagraph"/>
              <w:spacing w:before="37"/>
              <w:ind w:left="78"/>
              <w:rPr>
                <w:sz w:val="21"/>
              </w:rPr>
            </w:pPr>
            <w:r>
              <w:rPr>
                <w:sz w:val="21"/>
              </w:rPr>
              <w:t>（本附加合同责任免除条款第八项不适用于此病种。）</w:t>
            </w:r>
          </w:p>
        </w:tc>
      </w:tr>
      <w:tr>
        <w:trPr>
          <w:trHeight w:val="936" w:hRule="atLeast"/>
        </w:trPr>
        <w:tc>
          <w:tcPr>
            <w:tcW w:w="534" w:type="dxa"/>
          </w:tcPr>
          <w:p>
            <w:pPr>
              <w:pStyle w:val="TableParagraph"/>
              <w:spacing w:before="168"/>
              <w:ind w:right="106"/>
              <w:jc w:val="right"/>
              <w:rPr>
                <w:rFonts w:ascii="Calibri"/>
                <w:sz w:val="22"/>
              </w:rPr>
            </w:pPr>
            <w:r>
              <w:rPr>
                <w:rFonts w:ascii="Calibri"/>
                <w:sz w:val="22"/>
              </w:rPr>
              <w:t>68</w:t>
            </w:r>
          </w:p>
        </w:tc>
        <w:tc>
          <w:tcPr>
            <w:tcW w:w="2014" w:type="dxa"/>
          </w:tcPr>
          <w:p>
            <w:pPr>
              <w:pStyle w:val="TableParagraph"/>
              <w:spacing w:before="72"/>
              <w:ind w:left="107"/>
              <w:rPr>
                <w:rFonts w:ascii="微软雅黑" w:hAnsi="微软雅黑" w:eastAsia="微软雅黑" w:hint="eastAsia"/>
                <w:b/>
                <w:sz w:val="21"/>
              </w:rPr>
            </w:pPr>
            <w:r>
              <w:rPr>
                <w:rFonts w:ascii="微软雅黑" w:hAnsi="微软雅黑" w:eastAsia="微软雅黑" w:hint="eastAsia"/>
                <w:b/>
                <w:sz w:val="21"/>
              </w:rPr>
              <w:t>严重Ⅲ度烧伤</w:t>
            </w:r>
          </w:p>
        </w:tc>
        <w:tc>
          <w:tcPr>
            <w:tcW w:w="7416" w:type="dxa"/>
          </w:tcPr>
          <w:p>
            <w:pPr>
              <w:pStyle w:val="TableParagraph"/>
              <w:spacing w:line="273" w:lineRule="auto" w:before="134"/>
              <w:ind w:left="78" w:right="198"/>
              <w:rPr>
                <w:sz w:val="21"/>
              </w:rPr>
            </w:pPr>
            <w:r>
              <w:rPr>
                <w:spacing w:val="-12"/>
                <w:sz w:val="21"/>
              </w:rPr>
              <w:t>指烧伤程度为Ⅲ度，且Ⅲ度烧伤的面积达到全身体表面积的 </w:t>
            </w:r>
            <w:r>
              <w:rPr>
                <w:sz w:val="21"/>
              </w:rPr>
              <w:t>20</w:t>
            </w:r>
            <w:r>
              <w:rPr>
                <w:spacing w:val="-14"/>
                <w:sz w:val="21"/>
              </w:rPr>
              <w:t>%或 </w:t>
            </w:r>
            <w:r>
              <w:rPr>
                <w:sz w:val="21"/>
              </w:rPr>
              <w:t>20</w:t>
            </w:r>
            <w:r>
              <w:rPr>
                <w:spacing w:val="-12"/>
                <w:sz w:val="21"/>
              </w:rPr>
              <w:t>%以上。体</w:t>
            </w:r>
            <w:r>
              <w:rPr>
                <w:spacing w:val="-6"/>
                <w:sz w:val="21"/>
              </w:rPr>
              <w:t>表面积根据《中国新九分法》计算。</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69</w:t>
            </w:r>
          </w:p>
        </w:tc>
        <w:tc>
          <w:tcPr>
            <w:tcW w:w="2014" w:type="dxa"/>
          </w:tcPr>
          <w:p>
            <w:pPr>
              <w:pStyle w:val="TableParagraph"/>
              <w:spacing w:before="72"/>
              <w:ind w:left="107"/>
              <w:rPr>
                <w:rFonts w:ascii="微软雅黑" w:eastAsia="微软雅黑" w:hint="eastAsia"/>
                <w:b/>
                <w:sz w:val="21"/>
              </w:rPr>
            </w:pPr>
            <w:r>
              <w:rPr>
                <w:rFonts w:ascii="微软雅黑" w:eastAsia="微软雅黑" w:hint="eastAsia"/>
                <w:b/>
                <w:sz w:val="21"/>
              </w:rPr>
              <w:t>埃博拉病毒感染</w:t>
            </w:r>
          </w:p>
        </w:tc>
        <w:tc>
          <w:tcPr>
            <w:tcW w:w="7416" w:type="dxa"/>
          </w:tcPr>
          <w:p>
            <w:pPr>
              <w:pStyle w:val="TableParagraph"/>
              <w:spacing w:line="273" w:lineRule="auto" w:before="134"/>
              <w:ind w:left="78" w:right="198"/>
              <w:jc w:val="both"/>
              <w:rPr>
                <w:sz w:val="21"/>
              </w:rPr>
            </w:pPr>
            <w:r>
              <w:rPr>
                <w:spacing w:val="-4"/>
                <w:sz w:val="21"/>
              </w:rPr>
              <w:t>指埃博拉病毒感染导致的急性出血性传染病。埃博拉病毒病必须经国家认可的</w:t>
            </w:r>
            <w:r>
              <w:rPr>
                <w:spacing w:val="1"/>
                <w:sz w:val="21"/>
              </w:rPr>
              <w:t>有合法资质的传染病专家确诊并且已上报国家疾病控制中心并接受了隔离和</w:t>
            </w:r>
            <w:r>
              <w:rPr>
                <w:spacing w:val="-3"/>
                <w:sz w:val="21"/>
              </w:rPr>
              <w:t>治疗，必须满足以下所有条件：</w:t>
            </w:r>
          </w:p>
          <w:p>
            <w:pPr>
              <w:pStyle w:val="TableParagraph"/>
              <w:spacing w:before="7"/>
              <w:ind w:left="78"/>
              <w:jc w:val="both"/>
              <w:rPr>
                <w:sz w:val="21"/>
              </w:rPr>
            </w:pPr>
            <w:r>
              <w:rPr>
                <w:sz w:val="21"/>
              </w:rPr>
              <w:t>（1）实验室检查证据证实存在埃博拉病毒感染；</w:t>
            </w:r>
          </w:p>
          <w:p>
            <w:pPr>
              <w:pStyle w:val="TableParagraph"/>
              <w:spacing w:line="262" w:lineRule="exact" w:before="37"/>
              <w:ind w:left="78"/>
              <w:jc w:val="both"/>
              <w:rPr>
                <w:sz w:val="21"/>
              </w:rPr>
            </w:pPr>
            <w:r>
              <w:rPr>
                <w:sz w:val="21"/>
              </w:rPr>
              <w:t>（2）存在持续 30 天以上广泛出血的临床表现。</w:t>
            </w:r>
          </w:p>
          <w:p>
            <w:pPr>
              <w:pStyle w:val="TableParagraph"/>
              <w:spacing w:line="350" w:lineRule="exact"/>
              <w:ind w:left="78"/>
              <w:jc w:val="both"/>
              <w:rPr>
                <w:rFonts w:ascii="微软雅黑" w:eastAsia="微软雅黑" w:hint="eastAsia"/>
                <w:b/>
                <w:sz w:val="21"/>
              </w:rPr>
            </w:pPr>
            <w:r>
              <w:rPr>
                <w:rFonts w:ascii="微软雅黑" w:eastAsia="微软雅黑" w:hint="eastAsia"/>
                <w:b/>
                <w:sz w:val="21"/>
                <w:shd w:fill="D9D9D9" w:color="auto" w:val="clear"/>
              </w:rPr>
              <w:t>埃博拉病毒感染疑似病例，在确诊之前已经死亡的病例不在本保障范围内。</w:t>
            </w:r>
          </w:p>
        </w:tc>
      </w:tr>
      <w:tr>
        <w:trPr>
          <w:trHeight w:val="2184" w:hRule="atLeast"/>
        </w:trPr>
        <w:tc>
          <w:tcPr>
            <w:tcW w:w="534" w:type="dxa"/>
          </w:tcPr>
          <w:p>
            <w:pPr>
              <w:pStyle w:val="TableParagraph"/>
              <w:spacing w:before="168"/>
              <w:ind w:right="106"/>
              <w:jc w:val="right"/>
              <w:rPr>
                <w:rFonts w:ascii="Calibri"/>
                <w:sz w:val="22"/>
              </w:rPr>
            </w:pPr>
            <w:r>
              <w:rPr>
                <w:rFonts w:ascii="Calibri"/>
                <w:sz w:val="22"/>
              </w:rPr>
              <w:t>70</w:t>
            </w:r>
          </w:p>
        </w:tc>
        <w:tc>
          <w:tcPr>
            <w:tcW w:w="2014" w:type="dxa"/>
          </w:tcPr>
          <w:p>
            <w:pPr>
              <w:pStyle w:val="TableParagraph"/>
              <w:spacing w:before="72"/>
              <w:ind w:left="107"/>
              <w:rPr>
                <w:rFonts w:ascii="微软雅黑" w:eastAsia="微软雅黑" w:hint="eastAsia"/>
                <w:b/>
                <w:sz w:val="21"/>
              </w:rPr>
            </w:pPr>
            <w:r>
              <w:rPr>
                <w:rFonts w:ascii="微软雅黑" w:eastAsia="微软雅黑" w:hint="eastAsia"/>
                <w:b/>
                <w:sz w:val="21"/>
              </w:rPr>
              <w:t>双耳失聪</w:t>
            </w:r>
          </w:p>
        </w:tc>
        <w:tc>
          <w:tcPr>
            <w:tcW w:w="7416" w:type="dxa"/>
          </w:tcPr>
          <w:p>
            <w:pPr>
              <w:pStyle w:val="TableParagraph"/>
              <w:spacing w:line="273" w:lineRule="auto" w:before="134"/>
              <w:ind w:left="78" w:right="201"/>
              <w:jc w:val="both"/>
              <w:rPr>
                <w:sz w:val="21"/>
              </w:rPr>
            </w:pPr>
            <w:r>
              <w:rPr>
                <w:spacing w:val="-7"/>
                <w:sz w:val="21"/>
              </w:rPr>
              <w:t>指因疾病或意外伤害导致双耳听力永久不可逆性丧失，在 </w:t>
            </w:r>
            <w:r>
              <w:rPr>
                <w:sz w:val="21"/>
              </w:rPr>
              <w:t>500</w:t>
            </w:r>
            <w:r>
              <w:rPr>
                <w:spacing w:val="-20"/>
                <w:sz w:val="21"/>
              </w:rPr>
              <w:t> 赫兹、</w:t>
            </w:r>
            <w:r>
              <w:rPr>
                <w:sz w:val="21"/>
              </w:rPr>
              <w:t>1000</w:t>
            </w:r>
            <w:r>
              <w:rPr>
                <w:spacing w:val="-18"/>
                <w:sz w:val="21"/>
              </w:rPr>
              <w:t> 赫兹</w:t>
            </w:r>
            <w:r>
              <w:rPr>
                <w:spacing w:val="-23"/>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p>
            <w:pPr>
              <w:pStyle w:val="TableParagraph"/>
              <w:spacing w:line="213" w:lineRule="auto" w:before="37"/>
              <w:ind w:left="78" w:right="198"/>
              <w:jc w:val="both"/>
              <w:rPr>
                <w:rFonts w:ascii="微软雅黑" w:eastAsia="微软雅黑" w:hint="eastAsia"/>
                <w:b/>
                <w:sz w:val="21"/>
              </w:rPr>
            </w:pPr>
            <w:r>
              <w:rPr>
                <w:spacing w:val="-3"/>
                <w:sz w:val="21"/>
              </w:rPr>
              <w:t>本合同仅对三周岁以上的</w:t>
            </w:r>
            <w:hyperlink r:id="rId8">
              <w:r>
                <w:rPr>
                  <w:spacing w:val="-1"/>
                  <w:sz w:val="21"/>
                </w:rPr>
                <w:t>被保险</w:t>
              </w:r>
            </w:hyperlink>
            <w:r>
              <w:rPr>
                <w:spacing w:val="-2"/>
                <w:sz w:val="21"/>
              </w:rPr>
              <w:t>人予以</w:t>
            </w:r>
            <w:hyperlink r:id="rId8">
              <w:r>
                <w:rPr>
                  <w:spacing w:val="-3"/>
                  <w:sz w:val="21"/>
                </w:rPr>
                <w:t>理赔</w:t>
              </w:r>
            </w:hyperlink>
            <w:r>
              <w:rPr>
                <w:spacing w:val="-4"/>
                <w:sz w:val="21"/>
              </w:rPr>
              <w:t>，并需提供被保险人三周岁以后的</w:t>
            </w:r>
            <w:r>
              <w:rPr>
                <w:spacing w:val="-5"/>
                <w:sz w:val="21"/>
              </w:rPr>
              <w:t>听力丧失诊断及相关检查报告。</w:t>
            </w:r>
            <w:r>
              <w:rPr>
                <w:rFonts w:ascii="微软雅黑" w:eastAsia="微软雅黑" w:hint="eastAsia"/>
                <w:b/>
                <w:spacing w:val="-2"/>
                <w:sz w:val="21"/>
                <w:shd w:fill="D9D9D9" w:color="auto" w:val="clear"/>
              </w:rPr>
              <w:t>先天性疾病所致的听力丧失不在本合同</w:t>
            </w:r>
            <w:hyperlink r:id="rId8">
              <w:r>
                <w:rPr>
                  <w:rFonts w:ascii="微软雅黑" w:eastAsia="微软雅黑" w:hint="eastAsia"/>
                  <w:b/>
                  <w:spacing w:val="-2"/>
                  <w:sz w:val="21"/>
                  <w:shd w:fill="D9D9D9" w:color="auto" w:val="clear"/>
                </w:rPr>
                <w:t>保障</w:t>
              </w:r>
            </w:hyperlink>
            <w:r>
              <w:rPr>
                <w:rFonts w:ascii="微软雅黑" w:eastAsia="微软雅黑" w:hint="eastAsia"/>
                <w:b/>
                <w:sz w:val="21"/>
                <w:shd w:fill="D9D9D9" w:color="auto" w:val="clear"/>
              </w:rPr>
              <w:t>范围内。</w:t>
            </w:r>
          </w:p>
        </w:tc>
      </w:tr>
      <w:tr>
        <w:trPr>
          <w:trHeight w:val="1248" w:hRule="atLeast"/>
        </w:trPr>
        <w:tc>
          <w:tcPr>
            <w:tcW w:w="534" w:type="dxa"/>
          </w:tcPr>
          <w:p>
            <w:pPr>
              <w:pStyle w:val="TableParagraph"/>
              <w:spacing w:before="168"/>
              <w:ind w:right="106"/>
              <w:jc w:val="right"/>
              <w:rPr>
                <w:rFonts w:ascii="Calibri"/>
                <w:sz w:val="22"/>
              </w:rPr>
            </w:pPr>
            <w:r>
              <w:rPr>
                <w:rFonts w:ascii="Calibri"/>
                <w:sz w:val="22"/>
              </w:rPr>
              <w:t>71</w:t>
            </w:r>
          </w:p>
        </w:tc>
        <w:tc>
          <w:tcPr>
            <w:tcW w:w="2014" w:type="dxa"/>
          </w:tcPr>
          <w:p>
            <w:pPr>
              <w:pStyle w:val="TableParagraph"/>
              <w:spacing w:line="206" w:lineRule="auto" w:before="123"/>
              <w:ind w:left="107" w:right="214"/>
              <w:rPr>
                <w:rFonts w:ascii="微软雅黑" w:eastAsia="微软雅黑" w:hint="eastAsia"/>
                <w:b/>
                <w:sz w:val="21"/>
              </w:rPr>
            </w:pPr>
            <w:r>
              <w:rPr>
                <w:rFonts w:ascii="微软雅黑" w:eastAsia="微软雅黑" w:hint="eastAsia"/>
                <w:b/>
                <w:sz w:val="21"/>
              </w:rPr>
              <w:t>严重肠道疾病并发症</w:t>
            </w:r>
          </w:p>
        </w:tc>
        <w:tc>
          <w:tcPr>
            <w:tcW w:w="7416" w:type="dxa"/>
          </w:tcPr>
          <w:p>
            <w:pPr>
              <w:pStyle w:val="TableParagraph"/>
              <w:spacing w:before="135"/>
              <w:ind w:left="78"/>
              <w:rPr>
                <w:sz w:val="21"/>
              </w:rPr>
            </w:pPr>
            <w:r>
              <w:rPr>
                <w:sz w:val="21"/>
              </w:rPr>
              <w:t>严重肠道疾病或外伤导致小肠损害并发症，必须满足以下所有条件：</w:t>
            </w:r>
          </w:p>
          <w:p>
            <w:pPr>
              <w:pStyle w:val="TableParagraph"/>
              <w:spacing w:before="37"/>
              <w:ind w:left="78"/>
              <w:rPr>
                <w:sz w:val="21"/>
              </w:rPr>
            </w:pPr>
            <w:r>
              <w:rPr>
                <w:sz w:val="21"/>
              </w:rPr>
              <w:t>（1）至少切除了三分之二小肠；</w:t>
            </w:r>
          </w:p>
          <w:p>
            <w:pPr>
              <w:pStyle w:val="TableParagraph"/>
              <w:spacing w:before="37"/>
              <w:ind w:left="78"/>
              <w:rPr>
                <w:sz w:val="21"/>
              </w:rPr>
            </w:pPr>
            <w:r>
              <w:rPr>
                <w:sz w:val="21"/>
              </w:rPr>
              <w:t>（2）完全肠外营养支持 3 个月以上。</w:t>
            </w:r>
          </w:p>
        </w:tc>
      </w:tr>
      <w:tr>
        <w:trPr>
          <w:trHeight w:val="3120" w:hRule="atLeast"/>
        </w:trPr>
        <w:tc>
          <w:tcPr>
            <w:tcW w:w="534" w:type="dxa"/>
          </w:tcPr>
          <w:p>
            <w:pPr>
              <w:pStyle w:val="TableParagraph"/>
              <w:spacing w:before="168"/>
              <w:ind w:right="106"/>
              <w:jc w:val="right"/>
              <w:rPr>
                <w:rFonts w:ascii="Calibri"/>
                <w:sz w:val="22"/>
              </w:rPr>
            </w:pPr>
            <w:r>
              <w:rPr>
                <w:rFonts w:ascii="Calibri"/>
                <w:sz w:val="22"/>
              </w:rPr>
              <w:t>72</w:t>
            </w:r>
          </w:p>
        </w:tc>
        <w:tc>
          <w:tcPr>
            <w:tcW w:w="2014" w:type="dxa"/>
          </w:tcPr>
          <w:p>
            <w:pPr>
              <w:pStyle w:val="TableParagraph"/>
              <w:spacing w:before="72"/>
              <w:ind w:left="107"/>
              <w:rPr>
                <w:rFonts w:ascii="微软雅黑" w:eastAsia="微软雅黑" w:hint="eastAsia"/>
                <w:b/>
                <w:sz w:val="21"/>
              </w:rPr>
            </w:pPr>
            <w:r>
              <w:rPr>
                <w:rFonts w:ascii="微软雅黑" w:eastAsia="微软雅黑" w:hint="eastAsia"/>
                <w:b/>
                <w:sz w:val="21"/>
              </w:rPr>
              <w:t>双目失明</w:t>
            </w:r>
          </w:p>
        </w:tc>
        <w:tc>
          <w:tcPr>
            <w:tcW w:w="7416" w:type="dxa"/>
          </w:tcPr>
          <w:p>
            <w:pPr>
              <w:pStyle w:val="TableParagraph"/>
              <w:spacing w:line="273" w:lineRule="auto" w:before="134"/>
              <w:ind w:left="78" w:right="161"/>
              <w:rPr>
                <w:sz w:val="21"/>
              </w:rPr>
            </w:pPr>
            <w:r>
              <w:rPr>
                <w:sz w:val="21"/>
              </w:rPr>
              <w:t>指因疾病或意外伤害导致双眼视力永久不可逆性丧失，双眼中较好眼须满足下列至少一项条件：</w:t>
            </w:r>
          </w:p>
          <w:p>
            <w:pPr>
              <w:pStyle w:val="TableParagraph"/>
              <w:spacing w:before="7"/>
              <w:ind w:left="78"/>
              <w:rPr>
                <w:sz w:val="21"/>
              </w:rPr>
            </w:pPr>
            <w:r>
              <w:rPr>
                <w:sz w:val="21"/>
              </w:rPr>
              <w:t>（1）眼球缺失或摘除；</w:t>
            </w:r>
          </w:p>
          <w:p>
            <w:pPr>
              <w:pStyle w:val="TableParagraph"/>
              <w:spacing w:line="273" w:lineRule="auto" w:before="37"/>
              <w:ind w:left="78" w:right="242"/>
              <w:rPr>
                <w:sz w:val="21"/>
              </w:rPr>
            </w:pPr>
            <w:r>
              <w:rPr>
                <w:sz w:val="21"/>
              </w:rPr>
              <w:t>（2）</w:t>
            </w:r>
            <w:r>
              <w:rPr>
                <w:spacing w:val="-7"/>
                <w:sz w:val="21"/>
              </w:rPr>
              <w:t>矫正视力低于 </w:t>
            </w:r>
            <w:r>
              <w:rPr>
                <w:sz w:val="21"/>
              </w:rPr>
              <w:t>0.02（</w:t>
            </w:r>
            <w:r>
              <w:rPr>
                <w:spacing w:val="-3"/>
                <w:sz w:val="21"/>
              </w:rPr>
              <w:t>采用国际标准视力表，如果使用其他视力表应进行</w:t>
            </w:r>
            <w:r>
              <w:rPr>
                <w:spacing w:val="-3"/>
                <w:w w:val="100"/>
                <w:sz w:val="21"/>
              </w:rPr>
              <w:t>换算</w:t>
            </w:r>
            <w:r>
              <w:rPr>
                <w:spacing w:val="-108"/>
                <w:w w:val="100"/>
                <w:sz w:val="21"/>
              </w:rPr>
              <w:t>）</w:t>
            </w:r>
            <w:r>
              <w:rPr>
                <w:w w:val="100"/>
                <w:sz w:val="21"/>
              </w:rPr>
              <w:t>；</w:t>
            </w:r>
          </w:p>
          <w:p>
            <w:pPr>
              <w:pStyle w:val="TableParagraph"/>
              <w:spacing w:before="7"/>
              <w:ind w:left="78"/>
              <w:rPr>
                <w:sz w:val="21"/>
              </w:rPr>
            </w:pPr>
            <w:r>
              <w:rPr>
                <w:sz w:val="21"/>
              </w:rPr>
              <w:t>（3）视野半径小于 5 度。</w:t>
            </w:r>
          </w:p>
          <w:p>
            <w:pPr>
              <w:pStyle w:val="TableParagraph"/>
              <w:spacing w:line="213" w:lineRule="auto" w:before="66"/>
              <w:ind w:left="78" w:right="198"/>
              <w:jc w:val="both"/>
              <w:rPr>
                <w:rFonts w:ascii="微软雅黑" w:eastAsia="微软雅黑" w:hint="eastAsia"/>
                <w:b/>
                <w:sz w:val="21"/>
              </w:rPr>
            </w:pPr>
            <w:r>
              <w:rPr>
                <w:spacing w:val="-3"/>
                <w:sz w:val="21"/>
              </w:rPr>
              <w:t>本合同仅对三周岁以上的</w:t>
            </w:r>
            <w:hyperlink r:id="rId8">
              <w:r>
                <w:rPr>
                  <w:spacing w:val="-1"/>
                  <w:sz w:val="21"/>
                </w:rPr>
                <w:t>被保险</w:t>
              </w:r>
            </w:hyperlink>
            <w:r>
              <w:rPr>
                <w:spacing w:val="-2"/>
                <w:sz w:val="21"/>
              </w:rPr>
              <w:t>人予以</w:t>
            </w:r>
            <w:hyperlink r:id="rId8">
              <w:r>
                <w:rPr>
                  <w:spacing w:val="-3"/>
                  <w:sz w:val="21"/>
                </w:rPr>
                <w:t>理赔</w:t>
              </w:r>
            </w:hyperlink>
            <w:r>
              <w:rPr>
                <w:spacing w:val="-4"/>
                <w:sz w:val="21"/>
              </w:rPr>
              <w:t>，并需提供被保险人三周岁以后的</w:t>
            </w:r>
            <w:r>
              <w:rPr>
                <w:spacing w:val="-5"/>
                <w:sz w:val="21"/>
              </w:rPr>
              <w:t>视力丧失诊断及相关检查报告。</w:t>
            </w:r>
            <w:r>
              <w:rPr>
                <w:rFonts w:ascii="微软雅黑" w:eastAsia="微软雅黑" w:hint="eastAsia"/>
                <w:b/>
                <w:spacing w:val="-2"/>
                <w:sz w:val="21"/>
                <w:shd w:fill="D9D9D9" w:color="auto" w:val="clear"/>
              </w:rPr>
              <w:t>先天性疾病所致的视力丧失不在本合同</w:t>
            </w:r>
            <w:hyperlink r:id="rId8">
              <w:r>
                <w:rPr>
                  <w:rFonts w:ascii="微软雅黑" w:eastAsia="微软雅黑" w:hint="eastAsia"/>
                  <w:b/>
                  <w:spacing w:val="-2"/>
                  <w:sz w:val="21"/>
                  <w:shd w:fill="D9D9D9" w:color="auto" w:val="clear"/>
                </w:rPr>
                <w:t>保障</w:t>
              </w:r>
            </w:hyperlink>
            <w:r>
              <w:rPr>
                <w:rFonts w:ascii="微软雅黑" w:eastAsia="微软雅黑" w:hint="eastAsia"/>
                <w:b/>
                <w:sz w:val="21"/>
                <w:shd w:fill="D9D9D9" w:color="auto" w:val="clear"/>
              </w:rPr>
              <w:t>范围内。</w:t>
            </w:r>
          </w:p>
        </w:tc>
      </w:tr>
      <w:tr>
        <w:trPr>
          <w:trHeight w:val="1665" w:hRule="atLeast"/>
        </w:trPr>
        <w:tc>
          <w:tcPr>
            <w:tcW w:w="534" w:type="dxa"/>
          </w:tcPr>
          <w:p>
            <w:pPr>
              <w:pStyle w:val="TableParagraph"/>
              <w:spacing w:before="168"/>
              <w:ind w:right="106"/>
              <w:jc w:val="right"/>
              <w:rPr>
                <w:rFonts w:ascii="Calibri"/>
                <w:sz w:val="22"/>
              </w:rPr>
            </w:pPr>
            <w:r>
              <w:rPr>
                <w:rFonts w:ascii="Calibri"/>
                <w:sz w:val="22"/>
              </w:rPr>
              <w:t>73</w:t>
            </w:r>
          </w:p>
        </w:tc>
        <w:tc>
          <w:tcPr>
            <w:tcW w:w="2014" w:type="dxa"/>
          </w:tcPr>
          <w:p>
            <w:pPr>
              <w:pStyle w:val="TableParagraph"/>
              <w:spacing w:line="206" w:lineRule="auto" w:before="123"/>
              <w:ind w:left="107" w:right="78"/>
              <w:jc w:val="both"/>
              <w:rPr>
                <w:rFonts w:ascii="微软雅黑" w:eastAsia="微软雅黑" w:hint="eastAsia"/>
                <w:b/>
                <w:sz w:val="21"/>
              </w:rPr>
            </w:pPr>
            <w:r>
              <w:rPr>
                <w:rFonts w:ascii="微软雅黑" w:eastAsia="微软雅黑" w:hint="eastAsia"/>
                <w:b/>
                <w:sz w:val="21"/>
              </w:rPr>
              <w:t>输血原因致人类免疫缺陷病毒（</w:t>
            </w:r>
            <w:r>
              <w:rPr>
                <w:rFonts w:ascii="Arial" w:eastAsia="Arial"/>
                <w:b/>
                <w:sz w:val="21"/>
              </w:rPr>
              <w:t>HIV</w:t>
            </w:r>
            <w:r>
              <w:rPr>
                <w:rFonts w:ascii="微软雅黑" w:eastAsia="微软雅黑" w:hint="eastAsia"/>
                <w:b/>
                <w:sz w:val="21"/>
              </w:rPr>
              <w:t>） 感染</w:t>
            </w:r>
          </w:p>
        </w:tc>
        <w:tc>
          <w:tcPr>
            <w:tcW w:w="7416" w:type="dxa"/>
          </w:tcPr>
          <w:p>
            <w:pPr>
              <w:pStyle w:val="TableParagraph"/>
              <w:spacing w:before="134"/>
              <w:ind w:left="78"/>
              <w:rPr>
                <w:sz w:val="21"/>
              </w:rPr>
            </w:pPr>
            <w:r>
              <w:rPr>
                <w:sz w:val="21"/>
              </w:rPr>
              <w:t>被保险人因输血感染上人类免疫缺陷病毒（HIV）并且满足下列全部条件：</w:t>
            </w:r>
          </w:p>
          <w:p>
            <w:pPr>
              <w:pStyle w:val="TableParagraph"/>
              <w:spacing w:before="36"/>
              <w:ind w:left="78"/>
              <w:rPr>
                <w:sz w:val="21"/>
              </w:rPr>
            </w:pPr>
            <w:r>
              <w:rPr>
                <w:sz w:val="21"/>
              </w:rPr>
              <w:t>（1）在保障起始日或复效日之后，被保险人因输血而感染 HIV；</w:t>
            </w:r>
          </w:p>
          <w:p>
            <w:pPr>
              <w:pStyle w:val="TableParagraph"/>
              <w:spacing w:line="273" w:lineRule="auto" w:before="36"/>
              <w:ind w:left="78" w:right="206"/>
              <w:rPr>
                <w:sz w:val="21"/>
              </w:rPr>
            </w:pPr>
            <w:r>
              <w:rPr>
                <w:sz w:val="21"/>
              </w:rPr>
              <w:t>（2）提供输血治疗的输血中心或医院出具该项输血感染属医疗责任事故的报告，或者法院终审裁定为医疗责任；</w:t>
            </w:r>
          </w:p>
          <w:p>
            <w:pPr>
              <w:pStyle w:val="TableParagraph"/>
              <w:spacing w:line="263" w:lineRule="exact" w:before="7"/>
              <w:ind w:left="78"/>
              <w:rPr>
                <w:sz w:val="21"/>
              </w:rPr>
            </w:pPr>
            <w:r>
              <w:rPr>
                <w:sz w:val="21"/>
              </w:rPr>
              <w:t>（3）受感染的被保险人不是血友病患者。</w:t>
            </w:r>
          </w:p>
        </w:tc>
      </w:tr>
    </w:tbl>
    <w:p>
      <w:pPr>
        <w:spacing w:after="0" w:line="263" w:lineRule="exact"/>
        <w:rPr>
          <w:sz w:val="21"/>
        </w:rPr>
        <w:sectPr>
          <w:pgSz w:w="11910" w:h="16840"/>
          <w:pgMar w:header="0" w:footer="705" w:top="1440" w:bottom="900" w:left="1040" w:right="700"/>
        </w:sectPr>
      </w:pPr>
    </w:p>
    <w:p>
      <w:pPr>
        <w:spacing w:line="283" w:lineRule="exact" w:before="0"/>
        <w:ind w:left="2589" w:right="0" w:firstLine="0"/>
        <w:jc w:val="left"/>
        <w:rPr>
          <w:rFonts w:ascii="微软雅黑" w:eastAsia="微软雅黑" w:hint="eastAsia"/>
          <w:b/>
          <w:sz w:val="21"/>
        </w:rPr>
      </w:pPr>
      <w:r>
        <w:rPr>
          <w:rFonts w:ascii="微软雅黑" w:eastAsia="微软雅黑" w:hint="eastAsia"/>
          <w:b/>
          <w:w w:val="95"/>
          <w:sz w:val="21"/>
          <w:shd w:fill="D9D9D9" w:color="auto" w:val="clear"/>
        </w:rPr>
        <w:t>在任何治愈艾滋病（AIDS）或阻止  HIV  病毒作用的疗法被发现以后，或能防止</w:t>
      </w:r>
    </w:p>
    <w:p>
      <w:pPr>
        <w:spacing w:line="312" w:lineRule="exact" w:before="0"/>
        <w:ind w:left="2589" w:right="0" w:firstLine="0"/>
        <w:jc w:val="left"/>
        <w:rPr>
          <w:rFonts w:ascii="微软雅黑" w:eastAsia="微软雅黑" w:hint="eastAsia"/>
          <w:b/>
          <w:sz w:val="21"/>
        </w:rPr>
      </w:pPr>
      <w:r>
        <w:rPr>
          <w:rFonts w:ascii="微软雅黑" w:eastAsia="微软雅黑" w:hint="eastAsia"/>
          <w:b/>
          <w:w w:val="95"/>
          <w:sz w:val="21"/>
          <w:shd w:fill="D9D9D9" w:color="auto" w:val="clear"/>
        </w:rPr>
        <w:t>AIDS    发生的医疗方法被研究出来以后，本保障将不再予以赔付。</w:t>
      </w:r>
    </w:p>
    <w:p>
      <w:pPr>
        <w:spacing w:line="225" w:lineRule="auto" w:before="0"/>
        <w:ind w:left="2589" w:right="159" w:firstLine="0"/>
        <w:jc w:val="both"/>
        <w:rPr>
          <w:sz w:val="21"/>
        </w:rPr>
      </w:pPr>
      <w:r>
        <w:rPr>
          <w:rFonts w:ascii="微软雅黑" w:eastAsia="微软雅黑" w:hint="eastAsia"/>
          <w:b/>
          <w:spacing w:val="-2"/>
          <w:sz w:val="21"/>
          <w:shd w:fill="D9D9D9" w:color="auto" w:val="clear"/>
        </w:rPr>
        <w:t>任何因其他传播方式</w:t>
      </w:r>
      <w:r>
        <w:rPr>
          <w:rFonts w:ascii="微软雅黑" w:eastAsia="微软雅黑" w:hint="eastAsia"/>
          <w:b/>
          <w:sz w:val="21"/>
          <w:shd w:fill="D9D9D9" w:color="auto" w:val="clear"/>
        </w:rPr>
        <w:t>（</w:t>
      </w:r>
      <w:r>
        <w:rPr>
          <w:rFonts w:ascii="微软雅黑" w:eastAsia="微软雅黑" w:hint="eastAsia"/>
          <w:b/>
          <w:spacing w:val="-4"/>
          <w:sz w:val="21"/>
          <w:shd w:fill="D9D9D9" w:color="auto" w:val="clear"/>
        </w:rPr>
        <w:t>包括：性传播或静脉注射毒品</w:t>
      </w:r>
      <w:r>
        <w:rPr>
          <w:rFonts w:ascii="微软雅黑" w:eastAsia="微软雅黑" w:hint="eastAsia"/>
          <w:b/>
          <w:spacing w:val="-13"/>
          <w:sz w:val="21"/>
          <w:shd w:fill="D9D9D9" w:color="auto" w:val="clear"/>
        </w:rPr>
        <w:t>）</w:t>
      </w:r>
      <w:r>
        <w:rPr>
          <w:rFonts w:ascii="微软雅黑" w:eastAsia="微软雅黑" w:hint="eastAsia"/>
          <w:b/>
          <w:spacing w:val="-7"/>
          <w:sz w:val="21"/>
          <w:shd w:fill="D9D9D9" w:color="auto" w:val="clear"/>
        </w:rPr>
        <w:t>导致的 </w:t>
      </w:r>
      <w:r>
        <w:rPr>
          <w:rFonts w:ascii="微软雅黑" w:eastAsia="微软雅黑" w:hint="eastAsia"/>
          <w:b/>
          <w:sz w:val="21"/>
          <w:shd w:fill="D9D9D9" w:color="auto" w:val="clear"/>
        </w:rPr>
        <w:t>HIV</w:t>
      </w:r>
      <w:r>
        <w:rPr>
          <w:rFonts w:ascii="微软雅黑" w:eastAsia="微软雅黑" w:hint="eastAsia"/>
          <w:b/>
          <w:spacing w:val="-6"/>
          <w:sz w:val="21"/>
          <w:shd w:fill="D9D9D9" w:color="auto" w:val="clear"/>
        </w:rPr>
        <w:t> 感染不在本</w:t>
      </w:r>
      <w:r>
        <w:rPr>
          <w:rFonts w:ascii="微软雅黑" w:eastAsia="微软雅黑" w:hint="eastAsia"/>
          <w:b/>
          <w:spacing w:val="-7"/>
          <w:sz w:val="21"/>
          <w:shd w:fill="D9D9D9" w:color="auto" w:val="clear"/>
        </w:rPr>
        <w:t>保障范围内。</w:t>
      </w:r>
      <w:r>
        <w:rPr>
          <w:spacing w:val="-17"/>
          <w:sz w:val="21"/>
        </w:rPr>
        <w:t>保险公司必须拥有获得使用被保险人的所有血液样本的权利和能够</w:t>
      </w:r>
      <w:r>
        <w:rPr>
          <w:spacing w:val="-5"/>
          <w:sz w:val="21"/>
        </w:rPr>
        <w:t>对这些样本进行独立检验的权利。</w:t>
      </w:r>
    </w:p>
    <w:p>
      <w:pPr>
        <w:pStyle w:val="BodyText"/>
        <w:spacing w:before="40"/>
        <w:ind w:left="2589"/>
      </w:pPr>
      <w:r>
        <w:rPr/>
        <w:t>（本附加合同责任免除条款第七项不适用于此病种。）</w:t>
      </w:r>
    </w:p>
    <w:p>
      <w:pPr>
        <w:pStyle w:val="BodyText"/>
        <w:spacing w:before="11"/>
      </w:pPr>
    </w:p>
    <w:p>
      <w:pPr>
        <w:pStyle w:val="ListParagraph"/>
        <w:numPr>
          <w:ilvl w:val="0"/>
          <w:numId w:val="10"/>
        </w:numPr>
        <w:tabs>
          <w:tab w:pos="604" w:val="left" w:leader="none"/>
          <w:tab w:pos="2588" w:val="left" w:leader="none"/>
        </w:tabs>
        <w:spacing w:line="256" w:lineRule="auto" w:before="0" w:after="0"/>
        <w:ind w:left="2589" w:right="149" w:hanging="2427"/>
        <w:jc w:val="both"/>
        <w:rPr>
          <w:sz w:val="21"/>
        </w:rPr>
      </w:pPr>
      <w:r>
        <w:rPr>
          <w:rFonts w:ascii="微软雅黑" w:eastAsia="微软雅黑" w:hint="eastAsia"/>
          <w:b/>
          <w:sz w:val="21"/>
        </w:rPr>
        <w:t>小肠移植术</w:t>
        <w:tab/>
      </w:r>
      <w:r>
        <w:rPr>
          <w:sz w:val="21"/>
        </w:rPr>
        <w:t>小肠</w:t>
      </w:r>
      <w:r>
        <w:rPr>
          <w:spacing w:val="-3"/>
          <w:sz w:val="21"/>
        </w:rPr>
        <w:t>移</w:t>
      </w:r>
      <w:r>
        <w:rPr>
          <w:sz w:val="21"/>
        </w:rPr>
        <w:t>植</w:t>
      </w:r>
      <w:r>
        <w:rPr>
          <w:spacing w:val="-3"/>
          <w:sz w:val="21"/>
        </w:rPr>
        <w:t>术</w:t>
      </w:r>
      <w:r>
        <w:rPr>
          <w:sz w:val="21"/>
        </w:rPr>
        <w:t>指</w:t>
      </w:r>
      <w:r>
        <w:rPr>
          <w:spacing w:val="-3"/>
          <w:sz w:val="21"/>
        </w:rPr>
        <w:t>因</w:t>
      </w:r>
      <w:r>
        <w:rPr>
          <w:sz w:val="21"/>
        </w:rPr>
        <w:t>疾</w:t>
      </w:r>
      <w:r>
        <w:rPr>
          <w:spacing w:val="-3"/>
          <w:sz w:val="21"/>
        </w:rPr>
        <w:t>病</w:t>
      </w:r>
      <w:r>
        <w:rPr>
          <w:sz w:val="21"/>
        </w:rPr>
        <w:t>或</w:t>
      </w:r>
      <w:r>
        <w:rPr>
          <w:spacing w:val="-3"/>
          <w:sz w:val="21"/>
        </w:rPr>
        <w:t>外</w:t>
      </w:r>
      <w:r>
        <w:rPr>
          <w:sz w:val="21"/>
        </w:rPr>
        <w:t>伤导</w:t>
      </w:r>
      <w:r>
        <w:rPr>
          <w:spacing w:val="-3"/>
          <w:sz w:val="21"/>
        </w:rPr>
        <w:t>致</w:t>
      </w:r>
      <w:r>
        <w:rPr>
          <w:sz w:val="21"/>
        </w:rPr>
        <w:t>严</w:t>
      </w:r>
      <w:r>
        <w:rPr>
          <w:spacing w:val="-3"/>
          <w:sz w:val="21"/>
        </w:rPr>
        <w:t>重</w:t>
      </w:r>
      <w:r>
        <w:rPr>
          <w:sz w:val="21"/>
        </w:rPr>
        <w:t>小</w:t>
      </w:r>
      <w:r>
        <w:rPr>
          <w:spacing w:val="-3"/>
          <w:sz w:val="21"/>
        </w:rPr>
        <w:t>肠</w:t>
      </w:r>
      <w:r>
        <w:rPr>
          <w:sz w:val="21"/>
        </w:rPr>
        <w:t>损</w:t>
      </w:r>
      <w:r>
        <w:rPr>
          <w:spacing w:val="-3"/>
          <w:sz w:val="21"/>
        </w:rPr>
        <w:t>害</w:t>
      </w:r>
      <w:r>
        <w:rPr>
          <w:sz w:val="21"/>
        </w:rPr>
        <w:t>不</w:t>
      </w:r>
      <w:r>
        <w:rPr>
          <w:spacing w:val="-3"/>
          <w:sz w:val="21"/>
        </w:rPr>
        <w:t>得</w:t>
      </w:r>
      <w:r>
        <w:rPr>
          <w:sz w:val="21"/>
        </w:rPr>
        <w:t>不切</w:t>
      </w:r>
      <w:r>
        <w:rPr>
          <w:spacing w:val="-3"/>
          <w:sz w:val="21"/>
        </w:rPr>
        <w:t>除</w:t>
      </w:r>
      <w:r>
        <w:rPr>
          <w:sz w:val="21"/>
        </w:rPr>
        <w:t>三</w:t>
      </w:r>
      <w:r>
        <w:rPr>
          <w:spacing w:val="-3"/>
          <w:sz w:val="21"/>
        </w:rPr>
        <w:t>分</w:t>
      </w:r>
      <w:r>
        <w:rPr>
          <w:sz w:val="21"/>
        </w:rPr>
        <w:t>之</w:t>
      </w:r>
      <w:r>
        <w:rPr>
          <w:spacing w:val="-3"/>
          <w:sz w:val="21"/>
        </w:rPr>
        <w:t>二</w:t>
      </w:r>
      <w:r>
        <w:rPr>
          <w:sz w:val="21"/>
        </w:rPr>
        <w:t>以</w:t>
      </w:r>
      <w:r>
        <w:rPr>
          <w:spacing w:val="-3"/>
          <w:sz w:val="21"/>
        </w:rPr>
        <w:t>上</w:t>
      </w:r>
      <w:r>
        <w:rPr>
          <w:sz w:val="21"/>
        </w:rPr>
        <w:t>肠</w:t>
      </w:r>
      <w:r>
        <w:rPr>
          <w:spacing w:val="-3"/>
          <w:sz w:val="21"/>
        </w:rPr>
        <w:t>段</w:t>
      </w:r>
      <w:r>
        <w:rPr>
          <w:sz w:val="21"/>
        </w:rPr>
        <w:t>， 为了</w:t>
      </w:r>
      <w:r>
        <w:rPr>
          <w:spacing w:val="-3"/>
          <w:sz w:val="21"/>
        </w:rPr>
        <w:t>维</w:t>
      </w:r>
      <w:r>
        <w:rPr>
          <w:sz w:val="21"/>
        </w:rPr>
        <w:t>持</w:t>
      </w:r>
      <w:r>
        <w:rPr>
          <w:spacing w:val="-3"/>
          <w:sz w:val="21"/>
        </w:rPr>
        <w:t>生</w:t>
      </w:r>
      <w:r>
        <w:rPr>
          <w:sz w:val="21"/>
        </w:rPr>
        <w:t>理</w:t>
      </w:r>
      <w:r>
        <w:rPr>
          <w:spacing w:val="-3"/>
          <w:sz w:val="21"/>
        </w:rPr>
        <w:t>功</w:t>
      </w:r>
      <w:r>
        <w:rPr>
          <w:sz w:val="21"/>
        </w:rPr>
        <w:t>能</w:t>
      </w:r>
      <w:r>
        <w:rPr>
          <w:spacing w:val="-3"/>
          <w:sz w:val="21"/>
        </w:rPr>
        <w:t>的</w:t>
      </w:r>
      <w:r>
        <w:rPr>
          <w:sz w:val="21"/>
        </w:rPr>
        <w:t>需</w:t>
      </w:r>
      <w:r>
        <w:rPr>
          <w:spacing w:val="-3"/>
          <w:sz w:val="21"/>
        </w:rPr>
        <w:t>要</w:t>
      </w:r>
      <w:r>
        <w:rPr>
          <w:sz w:val="21"/>
        </w:rPr>
        <w:t>已经</w:t>
      </w:r>
      <w:r>
        <w:rPr>
          <w:spacing w:val="-3"/>
          <w:sz w:val="21"/>
        </w:rPr>
        <w:t>实</w:t>
      </w:r>
      <w:r>
        <w:rPr>
          <w:sz w:val="21"/>
        </w:rPr>
        <w:t>际</w:t>
      </w:r>
      <w:r>
        <w:rPr>
          <w:spacing w:val="-3"/>
          <w:sz w:val="21"/>
        </w:rPr>
        <w:t>接</w:t>
      </w:r>
      <w:r>
        <w:rPr>
          <w:sz w:val="21"/>
        </w:rPr>
        <w:t>受</w:t>
      </w:r>
      <w:r>
        <w:rPr>
          <w:spacing w:val="-3"/>
          <w:sz w:val="21"/>
        </w:rPr>
        <w:t>了</w:t>
      </w:r>
      <w:r>
        <w:rPr>
          <w:sz w:val="21"/>
        </w:rPr>
        <w:t>小</w:t>
      </w:r>
      <w:r>
        <w:rPr>
          <w:spacing w:val="-3"/>
          <w:sz w:val="21"/>
        </w:rPr>
        <w:t>肠</w:t>
      </w:r>
      <w:r>
        <w:rPr>
          <w:sz w:val="21"/>
        </w:rPr>
        <w:t>的</w:t>
      </w:r>
      <w:r>
        <w:rPr>
          <w:spacing w:val="-3"/>
          <w:sz w:val="21"/>
        </w:rPr>
        <w:t>同</w:t>
      </w:r>
      <w:r>
        <w:rPr>
          <w:spacing w:val="-5"/>
          <w:sz w:val="21"/>
        </w:rPr>
        <w:t>种</w:t>
      </w:r>
      <w:r>
        <w:rPr>
          <w:sz w:val="21"/>
        </w:rPr>
        <w:t>（</w:t>
      </w:r>
      <w:r>
        <w:rPr>
          <w:spacing w:val="-3"/>
          <w:sz w:val="21"/>
        </w:rPr>
        <w:t>人</w:t>
      </w:r>
      <w:r>
        <w:rPr>
          <w:sz w:val="21"/>
        </w:rPr>
        <w:t>类</w:t>
      </w:r>
      <w:r>
        <w:rPr>
          <w:spacing w:val="-5"/>
          <w:sz w:val="21"/>
        </w:rPr>
        <w:t>）</w:t>
      </w:r>
      <w:r>
        <w:rPr>
          <w:spacing w:val="-3"/>
          <w:sz w:val="21"/>
        </w:rPr>
        <w:t>异</w:t>
      </w:r>
      <w:r>
        <w:rPr>
          <w:sz w:val="21"/>
        </w:rPr>
        <w:t>体</w:t>
      </w:r>
      <w:r>
        <w:rPr>
          <w:spacing w:val="-3"/>
          <w:sz w:val="21"/>
        </w:rPr>
        <w:t>器</w:t>
      </w:r>
      <w:r>
        <w:rPr>
          <w:sz w:val="21"/>
        </w:rPr>
        <w:t>官</w:t>
      </w:r>
      <w:r>
        <w:rPr>
          <w:spacing w:val="-3"/>
          <w:sz w:val="21"/>
        </w:rPr>
        <w:t>移植</w:t>
      </w:r>
      <w:r>
        <w:rPr>
          <w:sz w:val="21"/>
        </w:rPr>
        <w:t>手术。</w:t>
      </w:r>
    </w:p>
    <w:p>
      <w:pPr>
        <w:pStyle w:val="BodyText"/>
        <w:spacing w:before="10"/>
        <w:rPr>
          <w:sz w:val="20"/>
        </w:rPr>
      </w:pPr>
    </w:p>
    <w:p>
      <w:pPr>
        <w:pStyle w:val="ListParagraph"/>
        <w:numPr>
          <w:ilvl w:val="0"/>
          <w:numId w:val="10"/>
        </w:numPr>
        <w:tabs>
          <w:tab w:pos="604" w:val="left" w:leader="none"/>
          <w:tab w:pos="2588" w:val="left" w:leader="none"/>
        </w:tabs>
        <w:spacing w:line="244" w:lineRule="auto" w:before="0" w:after="0"/>
        <w:ind w:left="2589" w:right="158" w:hanging="2427"/>
        <w:jc w:val="both"/>
        <w:rPr>
          <w:sz w:val="21"/>
        </w:rPr>
      </w:pPr>
      <w:r>
        <w:rPr>
          <w:rFonts w:ascii="微软雅黑" w:eastAsia="微软雅黑" w:hint="eastAsia"/>
          <w:b/>
          <w:sz w:val="21"/>
        </w:rPr>
        <w:t>多个肢体缺失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两个</w:t>
      </w:r>
      <w:r>
        <w:rPr>
          <w:spacing w:val="-3"/>
          <w:sz w:val="21"/>
        </w:rPr>
        <w:t>或</w:t>
      </w:r>
      <w:r>
        <w:rPr>
          <w:sz w:val="21"/>
        </w:rPr>
        <w:t>两</w:t>
      </w:r>
      <w:r>
        <w:rPr>
          <w:spacing w:val="-3"/>
          <w:sz w:val="21"/>
        </w:rPr>
        <w:t>个</w:t>
      </w:r>
      <w:r>
        <w:rPr>
          <w:sz w:val="21"/>
        </w:rPr>
        <w:t>以</w:t>
      </w:r>
      <w:r>
        <w:rPr>
          <w:spacing w:val="-3"/>
          <w:sz w:val="21"/>
        </w:rPr>
        <w:t>上</w:t>
      </w:r>
      <w:r>
        <w:rPr>
          <w:sz w:val="21"/>
        </w:rPr>
        <w:t>肢</w:t>
      </w:r>
      <w:r>
        <w:rPr>
          <w:spacing w:val="-3"/>
          <w:sz w:val="21"/>
        </w:rPr>
        <w:t>体</w:t>
      </w:r>
      <w:r>
        <w:rPr>
          <w:sz w:val="21"/>
        </w:rPr>
        <w:t>自</w:t>
      </w:r>
      <w:r>
        <w:rPr>
          <w:spacing w:val="-3"/>
          <w:sz w:val="21"/>
        </w:rPr>
        <w:t>腕</w:t>
      </w:r>
      <w:r>
        <w:rPr>
          <w:sz w:val="21"/>
        </w:rPr>
        <w:t>关节</w:t>
      </w:r>
      <w:r>
        <w:rPr>
          <w:spacing w:val="-3"/>
          <w:sz w:val="21"/>
        </w:rPr>
        <w:t>或</w:t>
      </w:r>
      <w:r>
        <w:rPr>
          <w:sz w:val="21"/>
        </w:rPr>
        <w:t>踝</w:t>
      </w:r>
      <w:r>
        <w:rPr>
          <w:spacing w:val="-3"/>
          <w:sz w:val="21"/>
        </w:rPr>
        <w:t>关</w:t>
      </w:r>
      <w:r>
        <w:rPr>
          <w:sz w:val="21"/>
        </w:rPr>
        <w:t>节</w:t>
      </w:r>
      <w:r>
        <w:rPr>
          <w:spacing w:val="-3"/>
          <w:sz w:val="21"/>
        </w:rPr>
        <w:t>近</w:t>
      </w:r>
      <w:r>
        <w:rPr>
          <w:spacing w:val="-10"/>
          <w:sz w:val="21"/>
        </w:rPr>
        <w:t>端</w:t>
      </w:r>
      <w:r>
        <w:rPr>
          <w:sz w:val="21"/>
        </w:rPr>
        <w:t>（</w:t>
      </w:r>
      <w:r>
        <w:rPr>
          <w:spacing w:val="-3"/>
          <w:sz w:val="21"/>
        </w:rPr>
        <w:t>靠近</w:t>
      </w:r>
      <w:r>
        <w:rPr>
          <w:sz w:val="21"/>
        </w:rPr>
        <w:t>躯 干端</w:t>
      </w:r>
      <w:r>
        <w:rPr>
          <w:spacing w:val="-3"/>
          <w:sz w:val="21"/>
        </w:rPr>
        <w:t>）</w:t>
      </w:r>
      <w:r>
        <w:rPr>
          <w:sz w:val="21"/>
        </w:rPr>
        <w:t>以</w:t>
      </w:r>
      <w:r>
        <w:rPr>
          <w:spacing w:val="-3"/>
          <w:sz w:val="21"/>
        </w:rPr>
        <w:t>上</w:t>
      </w:r>
      <w:r>
        <w:rPr>
          <w:sz w:val="21"/>
        </w:rPr>
        <w:t>完</w:t>
      </w:r>
      <w:r>
        <w:rPr>
          <w:spacing w:val="-3"/>
          <w:sz w:val="21"/>
        </w:rPr>
        <w:t>全</w:t>
      </w:r>
      <w:r>
        <w:rPr>
          <w:sz w:val="21"/>
        </w:rPr>
        <w:t>性</w:t>
      </w:r>
      <w:r>
        <w:rPr>
          <w:spacing w:val="-3"/>
          <w:sz w:val="21"/>
        </w:rPr>
        <w:t>断</w:t>
      </w:r>
      <w:r>
        <w:rPr>
          <w:sz w:val="21"/>
        </w:rPr>
        <w:t>离。</w:t>
      </w:r>
    </w:p>
    <w:p>
      <w:pPr>
        <w:pStyle w:val="BodyText"/>
        <w:spacing w:before="8"/>
        <w:rPr>
          <w:sz w:val="23"/>
        </w:rPr>
      </w:pPr>
    </w:p>
    <w:p>
      <w:pPr>
        <w:spacing w:after="0"/>
        <w:rPr>
          <w:sz w:val="23"/>
        </w:rPr>
        <w:sectPr>
          <w:pgSz w:w="11910" w:h="16840"/>
          <w:pgMar w:header="0" w:footer="705" w:top="1360" w:bottom="900" w:left="1180" w:right="840"/>
        </w:sectPr>
      </w:pPr>
    </w:p>
    <w:p>
      <w:pPr>
        <w:pStyle w:val="ListParagraph"/>
        <w:numPr>
          <w:ilvl w:val="0"/>
          <w:numId w:val="10"/>
        </w:numPr>
        <w:tabs>
          <w:tab w:pos="604" w:val="left" w:leader="none"/>
        </w:tabs>
        <w:spacing w:line="206" w:lineRule="auto" w:before="25" w:after="0"/>
        <w:ind w:left="603" w:right="0" w:hanging="441"/>
        <w:jc w:val="both"/>
        <w:rPr>
          <w:rFonts w:ascii="微软雅黑" w:eastAsia="微软雅黑" w:hint="eastAsia"/>
          <w:b/>
          <w:sz w:val="21"/>
        </w:rPr>
      </w:pPr>
      <w:r>
        <w:rPr>
          <w:rFonts w:ascii="微软雅黑" w:eastAsia="微软雅黑" w:hint="eastAsia"/>
          <w:b/>
          <w:spacing w:val="6"/>
          <w:sz w:val="21"/>
        </w:rPr>
        <w:t>职业原因致人类免</w:t>
      </w:r>
      <w:r>
        <w:rPr>
          <w:rFonts w:ascii="微软雅黑" w:eastAsia="微软雅黑" w:hint="eastAsia"/>
          <w:b/>
          <w:spacing w:val="-1"/>
          <w:sz w:val="21"/>
        </w:rPr>
        <w:t>疫缺陷病毒</w:t>
      </w:r>
      <w:r>
        <w:rPr>
          <w:rFonts w:ascii="微软雅黑" w:eastAsia="微软雅黑" w:hint="eastAsia"/>
          <w:b/>
          <w:sz w:val="21"/>
        </w:rPr>
        <w:t>（</w:t>
      </w:r>
      <w:r>
        <w:rPr>
          <w:rFonts w:ascii="Arial" w:eastAsia="Arial"/>
          <w:b/>
          <w:sz w:val="21"/>
        </w:rPr>
        <w:t>HIV</w:t>
      </w:r>
      <w:r>
        <w:rPr>
          <w:rFonts w:ascii="微软雅黑" w:eastAsia="微软雅黑" w:hint="eastAsia"/>
          <w:b/>
          <w:sz w:val="21"/>
        </w:rPr>
        <w:t>） 感染</w:t>
      </w:r>
    </w:p>
    <w:p>
      <w:pPr>
        <w:pStyle w:val="BodyText"/>
        <w:spacing w:line="273" w:lineRule="auto" w:before="36"/>
        <w:ind w:left="118" w:right="158"/>
        <w:jc w:val="both"/>
      </w:pPr>
      <w:r>
        <w:rPr/>
        <w:br w:type="column"/>
      </w:r>
      <w:r>
        <w:rPr>
          <w:spacing w:val="-4"/>
        </w:rPr>
        <w:t>被保险人的职业归属于下列职业列表内的职业，在其常规职业工作过程中遭遇</w:t>
      </w:r>
      <w:r>
        <w:rPr>
          <w:spacing w:val="-12"/>
          <w:w w:val="100"/>
        </w:rPr>
        <w:t>外伤，或者职业需要处理血液或者其他体液时感染上人类免疫缺陷病毒</w:t>
      </w:r>
      <w:r>
        <w:rPr>
          <w:spacing w:val="-3"/>
          <w:w w:val="100"/>
        </w:rPr>
        <w:t>（</w:t>
      </w:r>
      <w:r>
        <w:rPr>
          <w:w w:val="100"/>
        </w:rPr>
        <w:t>HI</w:t>
      </w:r>
      <w:r>
        <w:rPr>
          <w:spacing w:val="-3"/>
          <w:w w:val="100"/>
        </w:rPr>
        <w:t>V</w:t>
      </w:r>
      <w:r>
        <w:rPr>
          <w:spacing w:val="-106"/>
          <w:w w:val="100"/>
        </w:rPr>
        <w:t>）。</w:t>
      </w:r>
      <w:r>
        <w:rPr>
          <w:spacing w:val="-3"/>
        </w:rPr>
        <w:t>必须满足下列全部条件：</w:t>
      </w:r>
    </w:p>
    <w:p>
      <w:pPr>
        <w:pStyle w:val="BodyText"/>
        <w:spacing w:before="7"/>
        <w:ind w:left="118"/>
      </w:pPr>
      <w:r>
        <w:rPr/>
        <w:t>（1）感染必须是在被保险人正在从事其职业工作中发生；</w:t>
      </w:r>
    </w:p>
    <w:p>
      <w:pPr>
        <w:pStyle w:val="BodyText"/>
        <w:spacing w:before="37"/>
        <w:ind w:left="118"/>
      </w:pPr>
      <w:r>
        <w:rPr/>
        <w:t>（2）血清转化必须出现在事故发生后的 6 个月以内；</w:t>
      </w:r>
    </w:p>
    <w:p>
      <w:pPr>
        <w:pStyle w:val="BodyText"/>
        <w:spacing w:line="273" w:lineRule="auto" w:before="37"/>
        <w:ind w:left="118" w:right="159"/>
      </w:pPr>
      <w:r>
        <w:rPr>
          <w:spacing w:val="-20"/>
        </w:rPr>
        <w:t>（3）</w:t>
      </w:r>
      <w:r>
        <w:rPr>
          <w:spacing w:val="-5"/>
        </w:rPr>
        <w:t>必须提供被保险人在所报事故发生后的 </w:t>
      </w:r>
      <w:r>
        <w:rPr/>
        <w:t>5</w:t>
      </w:r>
      <w:r>
        <w:rPr>
          <w:spacing w:val="-12"/>
        </w:rPr>
        <w:t> 天以内进行的检查报告，该报告</w:t>
      </w:r>
      <w:r>
        <w:rPr>
          <w:spacing w:val="-10"/>
        </w:rPr>
        <w:t>必须显示被保险人血液 </w:t>
      </w:r>
      <w:r>
        <w:rPr/>
        <w:t>HIV</w:t>
      </w:r>
      <w:r>
        <w:rPr>
          <w:spacing w:val="-10"/>
        </w:rPr>
        <w:t> 病毒阴性和</w:t>
      </w:r>
      <w:r>
        <w:rPr>
          <w:spacing w:val="-3"/>
        </w:rPr>
        <w:t>/</w:t>
      </w:r>
      <w:r>
        <w:rPr>
          <w:spacing w:val="-25"/>
        </w:rPr>
        <w:t>或 </w:t>
      </w:r>
      <w:r>
        <w:rPr/>
        <w:t>HIV</w:t>
      </w:r>
      <w:r>
        <w:rPr>
          <w:spacing w:val="-10"/>
        </w:rPr>
        <w:t> 抗体阴性；</w:t>
      </w:r>
    </w:p>
    <w:p>
      <w:pPr>
        <w:pStyle w:val="BodyText"/>
        <w:spacing w:line="273" w:lineRule="auto" w:before="7"/>
        <w:ind w:left="118" w:right="159"/>
      </w:pPr>
      <w:r>
        <w:rPr/>
        <w:pict>
          <v:shape style="position:absolute;margin-left:206.449997pt;margin-top:32.173706pt;width:254.25pt;height:81.05pt;mso-position-horizontal-relative:page;mso-position-vertical-relative:paragraph;z-index:13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2439"/>
                  </w:tblGrid>
                  <w:tr>
                    <w:trPr>
                      <w:trHeight w:val="311" w:hRule="atLeast"/>
                    </w:trPr>
                    <w:tc>
                      <w:tcPr>
                        <w:tcW w:w="2631" w:type="dxa"/>
                      </w:tcPr>
                      <w:p>
                        <w:pPr>
                          <w:pStyle w:val="TableParagraph"/>
                          <w:spacing w:line="262" w:lineRule="exact"/>
                          <w:ind w:left="467"/>
                          <w:rPr>
                            <w:sz w:val="21"/>
                          </w:rPr>
                        </w:pPr>
                        <w:r>
                          <w:rPr>
                            <w:sz w:val="21"/>
                          </w:rPr>
                          <w:t>职业列表：</w:t>
                        </w:r>
                      </w:p>
                    </w:tc>
                    <w:tc>
                      <w:tcPr>
                        <w:tcW w:w="2439" w:type="dxa"/>
                      </w:tcPr>
                      <w:p>
                        <w:pPr>
                          <w:pStyle w:val="TableParagraph"/>
                          <w:rPr>
                            <w:rFonts w:ascii="Times New Roman"/>
                            <w:sz w:val="20"/>
                          </w:rPr>
                        </w:pPr>
                      </w:p>
                    </w:tc>
                  </w:tr>
                  <w:tr>
                    <w:trPr>
                      <w:trHeight w:val="314" w:hRule="atLeast"/>
                    </w:trPr>
                    <w:tc>
                      <w:tcPr>
                        <w:tcW w:w="2631" w:type="dxa"/>
                      </w:tcPr>
                      <w:p>
                        <w:pPr>
                          <w:pStyle w:val="TableParagraph"/>
                          <w:spacing w:line="265" w:lineRule="exact"/>
                          <w:ind w:left="467"/>
                          <w:rPr>
                            <w:sz w:val="21"/>
                          </w:rPr>
                        </w:pPr>
                        <w:r>
                          <w:rPr>
                            <w:sz w:val="21"/>
                          </w:rPr>
                          <w:t>医生（包括牙医）</w:t>
                        </w:r>
                      </w:p>
                    </w:tc>
                    <w:tc>
                      <w:tcPr>
                        <w:tcW w:w="2439" w:type="dxa"/>
                      </w:tcPr>
                      <w:p>
                        <w:pPr>
                          <w:pStyle w:val="TableParagraph"/>
                          <w:spacing w:line="265" w:lineRule="exact"/>
                          <w:ind w:left="467"/>
                          <w:rPr>
                            <w:sz w:val="21"/>
                          </w:rPr>
                        </w:pPr>
                        <w:r>
                          <w:rPr>
                            <w:sz w:val="21"/>
                          </w:rPr>
                          <w:t>护士</w:t>
                        </w:r>
                      </w:p>
                    </w:tc>
                  </w:tr>
                  <w:tr>
                    <w:trPr>
                      <w:trHeight w:val="311" w:hRule="atLeast"/>
                    </w:trPr>
                    <w:tc>
                      <w:tcPr>
                        <w:tcW w:w="2631" w:type="dxa"/>
                      </w:tcPr>
                      <w:p>
                        <w:pPr>
                          <w:pStyle w:val="TableParagraph"/>
                          <w:spacing w:line="262" w:lineRule="exact"/>
                          <w:ind w:left="467"/>
                          <w:rPr>
                            <w:sz w:val="21"/>
                          </w:rPr>
                        </w:pPr>
                        <w:r>
                          <w:rPr>
                            <w:sz w:val="21"/>
                          </w:rPr>
                          <w:t>医院化验室工作人员</w:t>
                        </w:r>
                      </w:p>
                    </w:tc>
                    <w:tc>
                      <w:tcPr>
                        <w:tcW w:w="2439" w:type="dxa"/>
                      </w:tcPr>
                      <w:p>
                        <w:pPr>
                          <w:pStyle w:val="TableParagraph"/>
                          <w:spacing w:line="262" w:lineRule="exact"/>
                          <w:ind w:left="467"/>
                          <w:rPr>
                            <w:sz w:val="21"/>
                          </w:rPr>
                        </w:pPr>
                        <w:r>
                          <w:rPr>
                            <w:sz w:val="21"/>
                          </w:rPr>
                          <w:t>医院护工</w:t>
                        </w:r>
                      </w:p>
                    </w:tc>
                  </w:tr>
                  <w:tr>
                    <w:trPr>
                      <w:trHeight w:val="311" w:hRule="atLeast"/>
                    </w:trPr>
                    <w:tc>
                      <w:tcPr>
                        <w:tcW w:w="2631" w:type="dxa"/>
                      </w:tcPr>
                      <w:p>
                        <w:pPr>
                          <w:pStyle w:val="TableParagraph"/>
                          <w:spacing w:line="262" w:lineRule="exact"/>
                          <w:ind w:left="467"/>
                          <w:rPr>
                            <w:sz w:val="21"/>
                          </w:rPr>
                        </w:pPr>
                        <w:r>
                          <w:rPr>
                            <w:sz w:val="21"/>
                          </w:rPr>
                          <w:t>救护车工作人员</w:t>
                        </w:r>
                      </w:p>
                    </w:tc>
                    <w:tc>
                      <w:tcPr>
                        <w:tcW w:w="2439" w:type="dxa"/>
                      </w:tcPr>
                      <w:p>
                        <w:pPr>
                          <w:pStyle w:val="TableParagraph"/>
                          <w:spacing w:line="262" w:lineRule="exact"/>
                          <w:ind w:left="467"/>
                          <w:rPr>
                            <w:sz w:val="21"/>
                          </w:rPr>
                        </w:pPr>
                        <w:r>
                          <w:rPr>
                            <w:sz w:val="21"/>
                          </w:rPr>
                          <w:t>助产士</w:t>
                        </w:r>
                      </w:p>
                    </w:tc>
                  </w:tr>
                  <w:tr>
                    <w:trPr>
                      <w:trHeight w:val="311" w:hRule="atLeast"/>
                    </w:trPr>
                    <w:tc>
                      <w:tcPr>
                        <w:tcW w:w="2631" w:type="dxa"/>
                      </w:tcPr>
                      <w:p>
                        <w:pPr>
                          <w:pStyle w:val="TableParagraph"/>
                          <w:spacing w:line="262" w:lineRule="exact"/>
                          <w:ind w:left="467"/>
                          <w:rPr>
                            <w:sz w:val="21"/>
                          </w:rPr>
                        </w:pPr>
                        <w:r>
                          <w:rPr>
                            <w:sz w:val="21"/>
                          </w:rPr>
                          <w:t>警察（包括狱警）</w:t>
                        </w:r>
                      </w:p>
                    </w:tc>
                    <w:tc>
                      <w:tcPr>
                        <w:tcW w:w="2439" w:type="dxa"/>
                      </w:tcPr>
                      <w:p>
                        <w:pPr>
                          <w:pStyle w:val="TableParagraph"/>
                          <w:spacing w:line="262" w:lineRule="exact"/>
                          <w:ind w:left="467"/>
                          <w:rPr>
                            <w:sz w:val="21"/>
                          </w:rPr>
                        </w:pPr>
                        <w:r>
                          <w:rPr>
                            <w:sz w:val="21"/>
                          </w:rPr>
                          <w:t>消防人员</w:t>
                        </w:r>
                      </w:p>
                    </w:tc>
                  </w:tr>
                </w:tbl>
                <w:p>
                  <w:pPr>
                    <w:pStyle w:val="BodyText"/>
                  </w:pPr>
                </w:p>
              </w:txbxContent>
            </v:textbox>
            <w10:wrap type="none"/>
          </v:shape>
        </w:pict>
      </w:r>
      <w:r>
        <w:rPr/>
        <w:t>（4）</w:t>
      </w:r>
      <w:r>
        <w:rPr>
          <w:spacing w:val="-7"/>
        </w:rPr>
        <w:t>必须在事故发生后的 </w:t>
      </w:r>
      <w:r>
        <w:rPr/>
        <w:t>12</w:t>
      </w:r>
      <w:r>
        <w:rPr>
          <w:spacing w:val="-11"/>
        </w:rPr>
        <w:t> 个月内证实被保险人体内存在 </w:t>
      </w:r>
      <w:r>
        <w:rPr/>
        <w:t>HIV</w:t>
      </w:r>
      <w:r>
        <w:rPr>
          <w:spacing w:val="-15"/>
        </w:rPr>
        <w:t> 病毒或者 </w:t>
      </w:r>
      <w:r>
        <w:rPr/>
        <w:t>HIV 抗体。</w:t>
      </w:r>
    </w:p>
    <w:p>
      <w:pPr>
        <w:spacing w:after="0" w:line="273" w:lineRule="auto"/>
        <w:sectPr>
          <w:type w:val="continuous"/>
          <w:pgSz w:w="11910" w:h="16840"/>
          <w:pgMar w:top="1160" w:bottom="280" w:left="1180" w:right="840"/>
          <w:cols w:num="2" w:equalWidth="0">
            <w:col w:w="2431" w:space="40"/>
            <w:col w:w="7419"/>
          </w:cols>
        </w:sectPr>
      </w:pPr>
    </w:p>
    <w:p>
      <w:pPr>
        <w:pStyle w:val="BodyText"/>
        <w:rPr>
          <w:sz w:val="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gridCol w:w="1840"/>
        <w:gridCol w:w="7440"/>
      </w:tblGrid>
      <w:tr>
        <w:trPr>
          <w:trHeight w:val="321" w:hRule="atLeast"/>
        </w:trPr>
        <w:tc>
          <w:tcPr>
            <w:tcW w:w="2224" w:type="dxa"/>
            <w:gridSpan w:val="2"/>
            <w:vMerge w:val="restart"/>
          </w:tcPr>
          <w:p>
            <w:pPr>
              <w:pStyle w:val="TableParagraph"/>
              <w:rPr>
                <w:rFonts w:ascii="Times New Roman"/>
                <w:sz w:val="20"/>
              </w:rPr>
            </w:pPr>
          </w:p>
        </w:tc>
        <w:tc>
          <w:tcPr>
            <w:tcW w:w="7440" w:type="dxa"/>
            <w:vMerge w:val="restart"/>
          </w:tcPr>
          <w:p>
            <w:pPr>
              <w:pStyle w:val="TableParagraph"/>
              <w:rPr>
                <w:rFonts w:ascii="Times New Roman"/>
                <w:sz w:val="20"/>
              </w:rPr>
            </w:pPr>
          </w:p>
        </w:tc>
      </w:tr>
      <w:tr>
        <w:trPr>
          <w:trHeight w:val="324" w:hRule="atLeast"/>
        </w:trPr>
        <w:tc>
          <w:tcPr>
            <w:tcW w:w="2224" w:type="dxa"/>
            <w:gridSpan w:val="2"/>
            <w:vMerge/>
            <w:tcBorders>
              <w:top w:val="nil"/>
            </w:tcBorders>
          </w:tcPr>
          <w:p>
            <w:pPr>
              <w:rPr>
                <w:sz w:val="2"/>
                <w:szCs w:val="2"/>
              </w:rPr>
            </w:pPr>
          </w:p>
        </w:tc>
        <w:tc>
          <w:tcPr>
            <w:tcW w:w="7440" w:type="dxa"/>
            <w:vMerge/>
            <w:tcBorders>
              <w:top w:val="nil"/>
            </w:tcBorders>
          </w:tcPr>
          <w:p>
            <w:pPr>
              <w:rPr>
                <w:sz w:val="2"/>
                <w:szCs w:val="2"/>
              </w:rPr>
            </w:pPr>
          </w:p>
        </w:tc>
      </w:tr>
      <w:tr>
        <w:trPr>
          <w:trHeight w:val="321" w:hRule="atLeast"/>
        </w:trPr>
        <w:tc>
          <w:tcPr>
            <w:tcW w:w="2224" w:type="dxa"/>
            <w:gridSpan w:val="2"/>
            <w:vMerge/>
            <w:tcBorders>
              <w:top w:val="nil"/>
            </w:tcBorders>
          </w:tcPr>
          <w:p>
            <w:pPr>
              <w:rPr>
                <w:sz w:val="2"/>
                <w:szCs w:val="2"/>
              </w:rPr>
            </w:pPr>
          </w:p>
        </w:tc>
        <w:tc>
          <w:tcPr>
            <w:tcW w:w="7440" w:type="dxa"/>
            <w:vMerge/>
            <w:tcBorders>
              <w:top w:val="nil"/>
            </w:tcBorders>
          </w:tcPr>
          <w:p>
            <w:pPr>
              <w:rPr>
                <w:sz w:val="2"/>
                <w:szCs w:val="2"/>
              </w:rPr>
            </w:pPr>
          </w:p>
        </w:tc>
      </w:tr>
      <w:tr>
        <w:trPr>
          <w:trHeight w:val="321" w:hRule="atLeast"/>
        </w:trPr>
        <w:tc>
          <w:tcPr>
            <w:tcW w:w="2224" w:type="dxa"/>
            <w:gridSpan w:val="2"/>
            <w:vMerge/>
            <w:tcBorders>
              <w:top w:val="nil"/>
            </w:tcBorders>
          </w:tcPr>
          <w:p>
            <w:pPr>
              <w:rPr>
                <w:sz w:val="2"/>
                <w:szCs w:val="2"/>
              </w:rPr>
            </w:pPr>
          </w:p>
        </w:tc>
        <w:tc>
          <w:tcPr>
            <w:tcW w:w="7440" w:type="dxa"/>
            <w:vMerge/>
            <w:tcBorders>
              <w:top w:val="nil"/>
            </w:tcBorders>
          </w:tcPr>
          <w:p>
            <w:pPr>
              <w:rPr>
                <w:sz w:val="2"/>
                <w:szCs w:val="2"/>
              </w:rPr>
            </w:pPr>
          </w:p>
        </w:tc>
      </w:tr>
      <w:tr>
        <w:trPr>
          <w:trHeight w:val="321" w:hRule="atLeast"/>
        </w:trPr>
        <w:tc>
          <w:tcPr>
            <w:tcW w:w="2224" w:type="dxa"/>
            <w:gridSpan w:val="2"/>
            <w:vMerge/>
            <w:tcBorders>
              <w:top w:val="nil"/>
            </w:tcBorders>
          </w:tcPr>
          <w:p>
            <w:pPr>
              <w:rPr>
                <w:sz w:val="2"/>
                <w:szCs w:val="2"/>
              </w:rPr>
            </w:pPr>
          </w:p>
        </w:tc>
        <w:tc>
          <w:tcPr>
            <w:tcW w:w="7440" w:type="dxa"/>
            <w:vMerge/>
            <w:tcBorders>
              <w:top w:val="nil"/>
            </w:tcBorders>
          </w:tcPr>
          <w:p>
            <w:pPr>
              <w:rPr>
                <w:sz w:val="2"/>
                <w:szCs w:val="2"/>
              </w:rPr>
            </w:pPr>
          </w:p>
        </w:tc>
      </w:tr>
      <w:tr>
        <w:trPr>
          <w:trHeight w:val="317" w:hRule="atLeast"/>
        </w:trPr>
        <w:tc>
          <w:tcPr>
            <w:tcW w:w="2224" w:type="dxa"/>
            <w:gridSpan w:val="2"/>
            <w:vMerge/>
            <w:tcBorders>
              <w:top w:val="nil"/>
            </w:tcBorders>
          </w:tcPr>
          <w:p>
            <w:pPr>
              <w:rPr>
                <w:sz w:val="2"/>
                <w:szCs w:val="2"/>
              </w:rPr>
            </w:pPr>
          </w:p>
        </w:tc>
        <w:tc>
          <w:tcPr>
            <w:tcW w:w="7440" w:type="dxa"/>
          </w:tcPr>
          <w:p>
            <w:pPr>
              <w:pStyle w:val="TableParagraph"/>
              <w:spacing w:line="293" w:lineRule="exact"/>
              <w:ind w:left="252"/>
              <w:rPr>
                <w:rFonts w:ascii="微软雅黑" w:eastAsia="微软雅黑" w:hint="eastAsia"/>
                <w:b/>
                <w:sz w:val="21"/>
              </w:rPr>
            </w:pPr>
            <w:r>
              <w:rPr>
                <w:rFonts w:ascii="微软雅黑" w:eastAsia="微软雅黑" w:hint="eastAsia"/>
                <w:b/>
                <w:w w:val="95"/>
                <w:sz w:val="21"/>
                <w:shd w:fill="D9D9D9" w:color="auto" w:val="clear"/>
              </w:rPr>
              <w:t>在任何治愈艾滋病（AIDS）或阻止  HIV  病毒作用的疗法被发现以后，或能防止</w:t>
            </w:r>
          </w:p>
        </w:tc>
      </w:tr>
      <w:tr>
        <w:trPr>
          <w:trHeight w:val="311" w:hRule="atLeast"/>
        </w:trPr>
        <w:tc>
          <w:tcPr>
            <w:tcW w:w="2224" w:type="dxa"/>
            <w:gridSpan w:val="2"/>
            <w:vMerge/>
            <w:tcBorders>
              <w:top w:val="nil"/>
            </w:tcBorders>
          </w:tcPr>
          <w:p>
            <w:pPr>
              <w:rPr>
                <w:sz w:val="2"/>
                <w:szCs w:val="2"/>
              </w:rPr>
            </w:pPr>
          </w:p>
        </w:tc>
        <w:tc>
          <w:tcPr>
            <w:tcW w:w="7440" w:type="dxa"/>
          </w:tcPr>
          <w:p>
            <w:pPr>
              <w:pStyle w:val="TableParagraph"/>
              <w:spacing w:line="287" w:lineRule="exact"/>
              <w:ind w:left="252"/>
              <w:rPr>
                <w:rFonts w:ascii="微软雅黑" w:eastAsia="微软雅黑" w:hint="eastAsia"/>
                <w:b/>
                <w:sz w:val="21"/>
              </w:rPr>
            </w:pPr>
            <w:r>
              <w:rPr>
                <w:rFonts w:ascii="微软雅黑" w:eastAsia="微软雅黑" w:hint="eastAsia"/>
                <w:b/>
                <w:w w:val="95"/>
                <w:sz w:val="21"/>
                <w:shd w:fill="D9D9D9" w:color="auto" w:val="clear"/>
              </w:rPr>
              <w:t>AIDS    发生的医疗方法被研究出来以后，本保障将不再予以赔付。</w:t>
            </w:r>
          </w:p>
        </w:tc>
      </w:tr>
      <w:tr>
        <w:trPr>
          <w:trHeight w:val="312" w:hRule="atLeast"/>
        </w:trPr>
        <w:tc>
          <w:tcPr>
            <w:tcW w:w="2224" w:type="dxa"/>
            <w:gridSpan w:val="2"/>
            <w:vMerge/>
            <w:tcBorders>
              <w:top w:val="nil"/>
            </w:tcBorders>
          </w:tcPr>
          <w:p>
            <w:pPr>
              <w:rPr>
                <w:sz w:val="2"/>
                <w:szCs w:val="2"/>
              </w:rPr>
            </w:pPr>
          </w:p>
        </w:tc>
        <w:tc>
          <w:tcPr>
            <w:tcW w:w="7440" w:type="dxa"/>
          </w:tcPr>
          <w:p>
            <w:pPr>
              <w:pStyle w:val="TableParagraph"/>
              <w:spacing w:line="287" w:lineRule="exact"/>
              <w:ind w:left="252"/>
              <w:rPr>
                <w:rFonts w:ascii="微软雅黑" w:eastAsia="微软雅黑" w:hint="eastAsia"/>
                <w:b/>
                <w:sz w:val="21"/>
              </w:rPr>
            </w:pPr>
            <w:r>
              <w:rPr>
                <w:rFonts w:ascii="微软雅黑" w:eastAsia="微软雅黑" w:hint="eastAsia"/>
                <w:b/>
                <w:spacing w:val="-2"/>
                <w:sz w:val="21"/>
                <w:shd w:fill="D9D9D9" w:color="auto" w:val="clear"/>
              </w:rPr>
              <w:t>任何因其他传播方式</w:t>
            </w:r>
            <w:r>
              <w:rPr>
                <w:rFonts w:ascii="微软雅黑" w:eastAsia="微软雅黑" w:hint="eastAsia"/>
                <w:b/>
                <w:spacing w:val="-3"/>
                <w:sz w:val="21"/>
                <w:shd w:fill="D9D9D9" w:color="auto" w:val="clear"/>
              </w:rPr>
              <w:t>（</w:t>
            </w:r>
            <w:r>
              <w:rPr>
                <w:rFonts w:ascii="微软雅黑" w:eastAsia="微软雅黑" w:hint="eastAsia"/>
                <w:b/>
                <w:spacing w:val="-5"/>
                <w:sz w:val="21"/>
                <w:shd w:fill="D9D9D9" w:color="auto" w:val="clear"/>
              </w:rPr>
              <w:t>包括：输血、性传播或静脉注射毒品</w:t>
            </w:r>
            <w:r>
              <w:rPr>
                <w:rFonts w:ascii="微软雅黑" w:eastAsia="微软雅黑" w:hint="eastAsia"/>
                <w:b/>
                <w:spacing w:val="-10"/>
                <w:sz w:val="21"/>
                <w:shd w:fill="D9D9D9" w:color="auto" w:val="clear"/>
              </w:rPr>
              <w:t>）</w:t>
            </w:r>
            <w:r>
              <w:rPr>
                <w:rFonts w:ascii="微软雅黑" w:eastAsia="微软雅黑" w:hint="eastAsia"/>
                <w:b/>
                <w:spacing w:val="-8"/>
                <w:sz w:val="21"/>
                <w:shd w:fill="D9D9D9" w:color="auto" w:val="clear"/>
              </w:rPr>
              <w:t>导致的 </w:t>
            </w:r>
            <w:r>
              <w:rPr>
                <w:rFonts w:ascii="微软雅黑" w:eastAsia="微软雅黑" w:hint="eastAsia"/>
                <w:b/>
                <w:sz w:val="21"/>
                <w:shd w:fill="D9D9D9" w:color="auto" w:val="clear"/>
              </w:rPr>
              <w:t>HIV</w:t>
            </w:r>
            <w:r>
              <w:rPr>
                <w:rFonts w:ascii="微软雅黑" w:eastAsia="微软雅黑" w:hint="eastAsia"/>
                <w:b/>
                <w:spacing w:val="-12"/>
                <w:sz w:val="21"/>
                <w:shd w:fill="D9D9D9" w:color="auto" w:val="clear"/>
              </w:rPr>
              <w:t> 感染</w:t>
            </w:r>
          </w:p>
        </w:tc>
      </w:tr>
      <w:tr>
        <w:trPr>
          <w:trHeight w:val="312" w:hRule="atLeast"/>
        </w:trPr>
        <w:tc>
          <w:tcPr>
            <w:tcW w:w="2224" w:type="dxa"/>
            <w:gridSpan w:val="2"/>
            <w:vMerge/>
            <w:tcBorders>
              <w:top w:val="nil"/>
            </w:tcBorders>
          </w:tcPr>
          <w:p>
            <w:pPr>
              <w:rPr>
                <w:sz w:val="2"/>
                <w:szCs w:val="2"/>
              </w:rPr>
            </w:pPr>
          </w:p>
        </w:tc>
        <w:tc>
          <w:tcPr>
            <w:tcW w:w="7440" w:type="dxa"/>
          </w:tcPr>
          <w:p>
            <w:pPr>
              <w:pStyle w:val="TableParagraph"/>
              <w:spacing w:line="287" w:lineRule="exact"/>
              <w:ind w:left="252"/>
              <w:rPr>
                <w:sz w:val="21"/>
              </w:rPr>
            </w:pPr>
            <w:r>
              <w:rPr>
                <w:rFonts w:ascii="微软雅黑" w:eastAsia="微软雅黑" w:hint="eastAsia"/>
                <w:b/>
                <w:sz w:val="21"/>
                <w:shd w:fill="D9D9D9" w:color="auto" w:val="clear"/>
              </w:rPr>
              <w:t>不在本保障范围内。</w:t>
            </w:r>
            <w:r>
              <w:rPr>
                <w:sz w:val="21"/>
              </w:rPr>
              <w:t>保险公司必须拥有获得使用被保险人的所有血液样本的权</w:t>
            </w:r>
          </w:p>
        </w:tc>
      </w:tr>
      <w:tr>
        <w:trPr>
          <w:trHeight w:val="311" w:hRule="atLeast"/>
        </w:trPr>
        <w:tc>
          <w:tcPr>
            <w:tcW w:w="2224" w:type="dxa"/>
            <w:gridSpan w:val="2"/>
            <w:vMerge/>
            <w:tcBorders>
              <w:top w:val="nil"/>
            </w:tcBorders>
          </w:tcPr>
          <w:p>
            <w:pPr>
              <w:rPr>
                <w:sz w:val="2"/>
                <w:szCs w:val="2"/>
              </w:rPr>
            </w:pPr>
          </w:p>
        </w:tc>
        <w:tc>
          <w:tcPr>
            <w:tcW w:w="7440" w:type="dxa"/>
          </w:tcPr>
          <w:p>
            <w:pPr>
              <w:pStyle w:val="TableParagraph"/>
              <w:spacing w:line="261" w:lineRule="exact"/>
              <w:ind w:left="252"/>
              <w:rPr>
                <w:sz w:val="21"/>
              </w:rPr>
            </w:pPr>
            <w:r>
              <w:rPr>
                <w:sz w:val="21"/>
              </w:rPr>
              <w:t>利和能够对这些样本进行独立检验的权利。</w:t>
            </w:r>
          </w:p>
        </w:tc>
      </w:tr>
      <w:tr>
        <w:trPr>
          <w:trHeight w:val="468" w:hRule="atLeast"/>
        </w:trPr>
        <w:tc>
          <w:tcPr>
            <w:tcW w:w="2224" w:type="dxa"/>
            <w:gridSpan w:val="2"/>
            <w:vMerge/>
            <w:tcBorders>
              <w:top w:val="nil"/>
            </w:tcBorders>
          </w:tcPr>
          <w:p>
            <w:pPr>
              <w:rPr>
                <w:sz w:val="2"/>
                <w:szCs w:val="2"/>
              </w:rPr>
            </w:pPr>
          </w:p>
        </w:tc>
        <w:tc>
          <w:tcPr>
            <w:tcW w:w="7440" w:type="dxa"/>
          </w:tcPr>
          <w:p>
            <w:pPr>
              <w:pStyle w:val="TableParagraph"/>
              <w:spacing w:line="261" w:lineRule="exact"/>
              <w:ind w:left="252"/>
              <w:rPr>
                <w:sz w:val="21"/>
              </w:rPr>
            </w:pPr>
            <w:r>
              <w:rPr>
                <w:sz w:val="21"/>
              </w:rPr>
              <w:t>（本附加合同责任免除条款第七项不适用于此病种。）</w:t>
            </w:r>
          </w:p>
        </w:tc>
      </w:tr>
      <w:tr>
        <w:trPr>
          <w:trHeight w:val="780" w:hRule="atLeast"/>
        </w:trPr>
        <w:tc>
          <w:tcPr>
            <w:tcW w:w="384" w:type="dxa"/>
          </w:tcPr>
          <w:p>
            <w:pPr>
              <w:pStyle w:val="TableParagraph"/>
              <w:spacing w:before="176"/>
              <w:ind w:left="50"/>
              <w:rPr>
                <w:rFonts w:ascii="Calibri"/>
                <w:sz w:val="22"/>
              </w:rPr>
            </w:pPr>
            <w:r>
              <w:rPr>
                <w:rFonts w:ascii="Calibri"/>
                <w:sz w:val="22"/>
              </w:rPr>
              <w:t>77</w:t>
            </w:r>
          </w:p>
        </w:tc>
        <w:tc>
          <w:tcPr>
            <w:tcW w:w="1840" w:type="dxa"/>
          </w:tcPr>
          <w:p>
            <w:pPr>
              <w:pStyle w:val="TableParagraph"/>
              <w:spacing w:before="80"/>
              <w:ind w:left="107"/>
              <w:rPr>
                <w:rFonts w:ascii="微软雅黑" w:eastAsia="微软雅黑" w:hint="eastAsia"/>
                <w:b/>
                <w:sz w:val="21"/>
              </w:rPr>
            </w:pPr>
            <w:r>
              <w:rPr>
                <w:rFonts w:ascii="微软雅黑" w:eastAsia="微软雅黑" w:hint="eastAsia"/>
                <w:b/>
                <w:sz w:val="21"/>
              </w:rPr>
              <w:t>失去一肢及一眼</w:t>
            </w:r>
          </w:p>
        </w:tc>
        <w:tc>
          <w:tcPr>
            <w:tcW w:w="7440" w:type="dxa"/>
          </w:tcPr>
          <w:p>
            <w:pPr>
              <w:pStyle w:val="TableParagraph"/>
              <w:spacing w:line="273" w:lineRule="auto" w:before="142"/>
              <w:ind w:left="252" w:right="23"/>
              <w:rPr>
                <w:sz w:val="21"/>
              </w:rPr>
            </w:pPr>
            <w:r>
              <w:rPr>
                <w:sz w:val="21"/>
              </w:rPr>
              <w:t>被保险人因同一次意外伤害事件导致一肢体丧失和一眼视力丧失。必须满足下列所有条件：</w:t>
            </w:r>
          </w:p>
        </w:tc>
      </w:tr>
      <w:tr>
        <w:trPr>
          <w:trHeight w:val="312" w:hRule="atLeast"/>
        </w:trPr>
        <w:tc>
          <w:tcPr>
            <w:tcW w:w="384" w:type="dxa"/>
          </w:tcPr>
          <w:p>
            <w:pPr>
              <w:pStyle w:val="TableParagraph"/>
              <w:rPr>
                <w:rFonts w:ascii="Times New Roman"/>
                <w:sz w:val="20"/>
              </w:rPr>
            </w:pPr>
          </w:p>
        </w:tc>
        <w:tc>
          <w:tcPr>
            <w:tcW w:w="1840" w:type="dxa"/>
          </w:tcPr>
          <w:p>
            <w:pPr>
              <w:pStyle w:val="TableParagraph"/>
              <w:rPr>
                <w:rFonts w:ascii="Times New Roman"/>
                <w:sz w:val="20"/>
              </w:rPr>
            </w:pPr>
          </w:p>
        </w:tc>
        <w:tc>
          <w:tcPr>
            <w:tcW w:w="7440" w:type="dxa"/>
          </w:tcPr>
          <w:p>
            <w:pPr>
              <w:pStyle w:val="TableParagraph"/>
              <w:spacing w:line="261" w:lineRule="exact"/>
              <w:ind w:left="252"/>
              <w:rPr>
                <w:sz w:val="21"/>
              </w:rPr>
            </w:pPr>
            <w:r>
              <w:rPr>
                <w:sz w:val="21"/>
              </w:rPr>
              <w:t>（1）一肢体丧失指任何一肢体自腕关节或踝关节近端（靠近躯干端）以上完</w:t>
            </w:r>
          </w:p>
        </w:tc>
      </w:tr>
      <w:tr>
        <w:trPr>
          <w:trHeight w:val="312" w:hRule="atLeast"/>
        </w:trPr>
        <w:tc>
          <w:tcPr>
            <w:tcW w:w="384" w:type="dxa"/>
          </w:tcPr>
          <w:p>
            <w:pPr>
              <w:pStyle w:val="TableParagraph"/>
              <w:rPr>
                <w:rFonts w:ascii="Times New Roman"/>
                <w:sz w:val="20"/>
              </w:rPr>
            </w:pPr>
          </w:p>
        </w:tc>
        <w:tc>
          <w:tcPr>
            <w:tcW w:w="1840" w:type="dxa"/>
          </w:tcPr>
          <w:p>
            <w:pPr>
              <w:pStyle w:val="TableParagraph"/>
              <w:rPr>
                <w:rFonts w:ascii="Times New Roman"/>
                <w:sz w:val="20"/>
              </w:rPr>
            </w:pPr>
          </w:p>
        </w:tc>
        <w:tc>
          <w:tcPr>
            <w:tcW w:w="7440" w:type="dxa"/>
          </w:tcPr>
          <w:p>
            <w:pPr>
              <w:pStyle w:val="TableParagraph"/>
              <w:spacing w:line="261" w:lineRule="exact"/>
              <w:ind w:left="252"/>
              <w:rPr>
                <w:sz w:val="21"/>
              </w:rPr>
            </w:pPr>
            <w:r>
              <w:rPr>
                <w:sz w:val="21"/>
              </w:rPr>
              <w:t>全性断离。</w:t>
            </w:r>
          </w:p>
        </w:tc>
      </w:tr>
      <w:tr>
        <w:trPr>
          <w:trHeight w:val="311" w:hRule="atLeast"/>
        </w:trPr>
        <w:tc>
          <w:tcPr>
            <w:tcW w:w="384" w:type="dxa"/>
          </w:tcPr>
          <w:p>
            <w:pPr>
              <w:pStyle w:val="TableParagraph"/>
              <w:rPr>
                <w:rFonts w:ascii="Times New Roman"/>
                <w:sz w:val="20"/>
              </w:rPr>
            </w:pPr>
          </w:p>
        </w:tc>
        <w:tc>
          <w:tcPr>
            <w:tcW w:w="1840" w:type="dxa"/>
          </w:tcPr>
          <w:p>
            <w:pPr>
              <w:pStyle w:val="TableParagraph"/>
              <w:rPr>
                <w:rFonts w:ascii="Times New Roman"/>
                <w:sz w:val="20"/>
              </w:rPr>
            </w:pPr>
          </w:p>
        </w:tc>
        <w:tc>
          <w:tcPr>
            <w:tcW w:w="7440" w:type="dxa"/>
          </w:tcPr>
          <w:p>
            <w:pPr>
              <w:pStyle w:val="TableParagraph"/>
              <w:spacing w:line="261" w:lineRule="exact"/>
              <w:ind w:left="252"/>
              <w:rPr>
                <w:sz w:val="21"/>
              </w:rPr>
            </w:pPr>
            <w:r>
              <w:rPr>
                <w:sz w:val="21"/>
              </w:rPr>
              <w:t>（2）一眼视力丧失指一只眼视力永久不可逆性丧失，患眼须满足下列至少一</w:t>
            </w:r>
          </w:p>
        </w:tc>
      </w:tr>
      <w:tr>
        <w:trPr>
          <w:trHeight w:val="261" w:hRule="atLeast"/>
        </w:trPr>
        <w:tc>
          <w:tcPr>
            <w:tcW w:w="384" w:type="dxa"/>
          </w:tcPr>
          <w:p>
            <w:pPr>
              <w:pStyle w:val="TableParagraph"/>
              <w:rPr>
                <w:rFonts w:ascii="Times New Roman"/>
                <w:sz w:val="18"/>
              </w:rPr>
            </w:pPr>
          </w:p>
        </w:tc>
        <w:tc>
          <w:tcPr>
            <w:tcW w:w="1840" w:type="dxa"/>
          </w:tcPr>
          <w:p>
            <w:pPr>
              <w:pStyle w:val="TableParagraph"/>
              <w:rPr>
                <w:rFonts w:ascii="Times New Roman"/>
                <w:sz w:val="18"/>
              </w:rPr>
            </w:pPr>
          </w:p>
        </w:tc>
        <w:tc>
          <w:tcPr>
            <w:tcW w:w="7440" w:type="dxa"/>
          </w:tcPr>
          <w:p>
            <w:pPr>
              <w:pStyle w:val="TableParagraph"/>
              <w:spacing w:line="242" w:lineRule="exact"/>
              <w:ind w:left="252"/>
              <w:rPr>
                <w:sz w:val="21"/>
              </w:rPr>
            </w:pPr>
            <w:r>
              <w:rPr>
                <w:sz w:val="21"/>
              </w:rPr>
              <w:t>项条件：</w:t>
            </w:r>
          </w:p>
        </w:tc>
      </w:tr>
    </w:tbl>
    <w:p>
      <w:pPr>
        <w:pStyle w:val="BodyText"/>
        <w:spacing w:before="35"/>
        <w:ind w:left="3009"/>
      </w:pPr>
      <w:r>
        <w:rPr/>
        <w:t>① 眼球摘除；</w:t>
      </w:r>
    </w:p>
    <w:p>
      <w:pPr>
        <w:pStyle w:val="BodyText"/>
        <w:spacing w:line="273" w:lineRule="auto" w:before="36"/>
        <w:ind w:left="3369" w:right="161" w:hanging="360"/>
      </w:pPr>
      <w:r>
        <w:rPr/>
        <w:t>② 矫正视力低于 0.02（</w:t>
      </w:r>
      <w:r>
        <w:rPr>
          <w:spacing w:val="-3"/>
        </w:rPr>
        <w:t>采用国际标准视力表，如果使用其它视力表应进</w:t>
      </w:r>
      <w:r>
        <w:rPr>
          <w:spacing w:val="-3"/>
          <w:w w:val="100"/>
        </w:rPr>
        <w:t>行换算</w:t>
      </w:r>
      <w:r>
        <w:rPr>
          <w:spacing w:val="-106"/>
          <w:w w:val="100"/>
        </w:rPr>
        <w:t>）</w:t>
      </w:r>
      <w:r>
        <w:rPr>
          <w:w w:val="100"/>
        </w:rPr>
        <w:t>；</w:t>
      </w:r>
    </w:p>
    <w:p>
      <w:pPr>
        <w:pStyle w:val="BodyText"/>
        <w:spacing w:before="7"/>
        <w:ind w:left="3009"/>
      </w:pPr>
      <w:r>
        <w:rPr/>
        <w:t>③ 视野半径小于 5 度。</w:t>
      </w:r>
    </w:p>
    <w:p>
      <w:pPr>
        <w:spacing w:after="0"/>
        <w:sectPr>
          <w:type w:val="continuous"/>
          <w:pgSz w:w="11910" w:h="16840"/>
          <w:pgMar w:top="1160" w:bottom="280" w:left="1180" w:right="840"/>
        </w:sect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gridCol w:w="1946"/>
        <w:gridCol w:w="7344"/>
      </w:tblGrid>
      <w:tr>
        <w:trPr>
          <w:trHeight w:val="261" w:hRule="atLeast"/>
        </w:trPr>
        <w:tc>
          <w:tcPr>
            <w:tcW w:w="2330" w:type="dxa"/>
            <w:gridSpan w:val="2"/>
            <w:vMerge w:val="restart"/>
          </w:tcPr>
          <w:p>
            <w:pPr>
              <w:pStyle w:val="TableParagraph"/>
              <w:rPr>
                <w:rFonts w:ascii="Times New Roman"/>
                <w:sz w:val="20"/>
              </w:rPr>
            </w:pPr>
          </w:p>
        </w:tc>
        <w:tc>
          <w:tcPr>
            <w:tcW w:w="7344" w:type="dxa"/>
          </w:tcPr>
          <w:p>
            <w:pPr>
              <w:pStyle w:val="TableParagraph"/>
              <w:spacing w:line="203" w:lineRule="exact"/>
              <w:ind w:left="146"/>
              <w:rPr>
                <w:sz w:val="21"/>
              </w:rPr>
            </w:pPr>
            <w:r>
              <w:rPr>
                <w:sz w:val="21"/>
              </w:rPr>
              <w:t>除眼球摘除以外，被保险人申请理赔时年龄必须在三周岁以上，并且提供理赔</w:t>
            </w:r>
          </w:p>
        </w:tc>
      </w:tr>
      <w:tr>
        <w:trPr>
          <w:trHeight w:val="468" w:hRule="atLeast"/>
        </w:trPr>
        <w:tc>
          <w:tcPr>
            <w:tcW w:w="2330" w:type="dxa"/>
            <w:gridSpan w:val="2"/>
            <w:vMerge/>
            <w:tcBorders>
              <w:top w:val="nil"/>
            </w:tcBorders>
          </w:tcPr>
          <w:p>
            <w:pPr>
              <w:rPr>
                <w:sz w:val="2"/>
                <w:szCs w:val="2"/>
              </w:rPr>
            </w:pPr>
          </w:p>
        </w:tc>
        <w:tc>
          <w:tcPr>
            <w:tcW w:w="7344" w:type="dxa"/>
          </w:tcPr>
          <w:p>
            <w:pPr>
              <w:pStyle w:val="TableParagraph"/>
              <w:spacing w:line="254" w:lineRule="exact"/>
              <w:ind w:left="146"/>
              <w:rPr>
                <w:sz w:val="21"/>
              </w:rPr>
            </w:pPr>
            <w:r>
              <w:rPr>
                <w:sz w:val="21"/>
              </w:rPr>
              <w:t>当时的视力丧失诊断及检查证据。</w:t>
            </w:r>
          </w:p>
        </w:tc>
      </w:tr>
      <w:tr>
        <w:trPr>
          <w:trHeight w:val="780" w:hRule="atLeast"/>
        </w:trPr>
        <w:tc>
          <w:tcPr>
            <w:tcW w:w="384" w:type="dxa"/>
          </w:tcPr>
          <w:p>
            <w:pPr>
              <w:pStyle w:val="TableParagraph"/>
              <w:spacing w:before="168"/>
              <w:ind w:left="32" w:right="88"/>
              <w:jc w:val="center"/>
              <w:rPr>
                <w:rFonts w:ascii="Calibri"/>
                <w:sz w:val="22"/>
              </w:rPr>
            </w:pPr>
            <w:r>
              <w:rPr>
                <w:rFonts w:ascii="Calibri"/>
                <w:sz w:val="22"/>
              </w:rPr>
              <w:t>78</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严重弥漫性系统性硬皮病</w:t>
            </w:r>
          </w:p>
        </w:tc>
        <w:tc>
          <w:tcPr>
            <w:tcW w:w="7344" w:type="dxa"/>
          </w:tcPr>
          <w:p>
            <w:pPr>
              <w:pStyle w:val="TableParagraph"/>
              <w:spacing w:line="273" w:lineRule="auto" w:before="134"/>
              <w:ind w:left="146" w:right="49"/>
              <w:rPr>
                <w:sz w:val="21"/>
              </w:rPr>
            </w:pPr>
            <w:r>
              <w:rPr>
                <w:sz w:val="21"/>
              </w:rPr>
              <w:t>一种系统性胶原血管病引起进行性的皮肤、血管和内脏器官的弥漫性纤维化。诊断必须明确并由活检和血清学证据支持并且疾病已经影响到心脏、肺或肾脏</w:t>
            </w:r>
          </w:p>
        </w:tc>
      </w:tr>
      <w:tr>
        <w:trPr>
          <w:trHeight w:val="311"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54" w:lineRule="exact"/>
              <w:ind w:left="146"/>
              <w:rPr>
                <w:sz w:val="21"/>
              </w:rPr>
            </w:pPr>
            <w:r>
              <w:rPr>
                <w:sz w:val="21"/>
              </w:rPr>
              <w:t>等内脏器官并且达到下列标准之一。</w:t>
            </w:r>
          </w:p>
        </w:tc>
      </w:tr>
      <w:tr>
        <w:trPr>
          <w:trHeight w:val="312"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54" w:lineRule="exact"/>
              <w:ind w:left="146"/>
              <w:rPr>
                <w:sz w:val="21"/>
              </w:rPr>
            </w:pPr>
            <w:r>
              <w:rPr>
                <w:sz w:val="21"/>
              </w:rPr>
              <w:t>（1）肺纤维化，已经出现肺动脉高压、肺心病；</w:t>
            </w:r>
          </w:p>
        </w:tc>
      </w:tr>
      <w:tr>
        <w:trPr>
          <w:trHeight w:val="312"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54" w:lineRule="exact"/>
              <w:ind w:left="146"/>
              <w:rPr>
                <w:sz w:val="21"/>
              </w:rPr>
            </w:pPr>
            <w:r>
              <w:rPr>
                <w:sz w:val="21"/>
              </w:rPr>
              <w:t>（2）心脏损害，心脏功能衰竭程度达到纽约心脏病学会的心功能分级标准之</w:t>
            </w:r>
          </w:p>
        </w:tc>
      </w:tr>
      <w:tr>
        <w:trPr>
          <w:trHeight w:val="312"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54" w:lineRule="exact"/>
              <w:ind w:left="146"/>
              <w:rPr>
                <w:sz w:val="21"/>
              </w:rPr>
            </w:pPr>
            <w:r>
              <w:rPr>
                <w:sz w:val="21"/>
              </w:rPr>
              <w:t>心功能 IV 级；</w:t>
            </w:r>
          </w:p>
        </w:tc>
      </w:tr>
      <w:tr>
        <w:trPr>
          <w:trHeight w:val="312"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54" w:lineRule="exact"/>
              <w:ind w:left="146"/>
              <w:rPr>
                <w:sz w:val="21"/>
              </w:rPr>
            </w:pPr>
            <w:r>
              <w:rPr>
                <w:sz w:val="21"/>
              </w:rPr>
              <w:t>（3）肾脏损害，已经出现肾功能衰竭。</w:t>
            </w:r>
          </w:p>
        </w:tc>
      </w:tr>
      <w:tr>
        <w:trPr>
          <w:trHeight w:val="311"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79" w:lineRule="exact"/>
              <w:ind w:left="146"/>
              <w:rPr>
                <w:rFonts w:ascii="微软雅黑" w:eastAsia="微软雅黑" w:hint="eastAsia"/>
                <w:b/>
                <w:sz w:val="21"/>
              </w:rPr>
            </w:pPr>
            <w:r>
              <w:rPr>
                <w:rFonts w:ascii="微软雅黑" w:eastAsia="微软雅黑" w:hint="eastAsia"/>
                <w:b/>
                <w:sz w:val="21"/>
                <w:shd w:fill="D9D9D9" w:color="auto" w:val="clear"/>
              </w:rPr>
              <w:t>下列疾病不在本保障范围内：</w:t>
            </w:r>
          </w:p>
        </w:tc>
      </w:tr>
      <w:tr>
        <w:trPr>
          <w:trHeight w:val="312"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79" w:lineRule="exact"/>
              <w:ind w:left="146"/>
              <w:rPr>
                <w:rFonts w:ascii="微软雅黑" w:eastAsia="微软雅黑" w:hint="eastAsia"/>
                <w:b/>
                <w:sz w:val="21"/>
              </w:rPr>
            </w:pPr>
            <w:r>
              <w:rPr>
                <w:rFonts w:ascii="微软雅黑" w:eastAsia="微软雅黑" w:hint="eastAsia"/>
                <w:b/>
                <w:w w:val="95"/>
                <w:sz w:val="21"/>
                <w:shd w:fill="D9D9D9" w:color="auto" w:val="clear"/>
              </w:rPr>
              <w:t>（1）局限硬皮病；</w:t>
            </w:r>
          </w:p>
        </w:tc>
      </w:tr>
      <w:tr>
        <w:trPr>
          <w:trHeight w:val="312"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79" w:lineRule="exact"/>
              <w:ind w:left="146"/>
              <w:rPr>
                <w:rFonts w:ascii="微软雅黑" w:eastAsia="微软雅黑" w:hint="eastAsia"/>
                <w:b/>
                <w:sz w:val="21"/>
              </w:rPr>
            </w:pPr>
            <w:r>
              <w:rPr>
                <w:rFonts w:ascii="微软雅黑" w:eastAsia="微软雅黑" w:hint="eastAsia"/>
                <w:b/>
                <w:w w:val="95"/>
                <w:sz w:val="21"/>
                <w:shd w:fill="D9D9D9" w:color="auto" w:val="clear"/>
              </w:rPr>
              <w:t>（2）嗜酸细胞筋膜炎；</w:t>
            </w:r>
          </w:p>
        </w:tc>
      </w:tr>
      <w:tr>
        <w:trPr>
          <w:trHeight w:val="468"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79" w:lineRule="exact"/>
              <w:ind w:left="146"/>
              <w:rPr>
                <w:rFonts w:ascii="微软雅黑" w:eastAsia="微软雅黑" w:hint="eastAsia"/>
                <w:b/>
                <w:sz w:val="21"/>
              </w:rPr>
            </w:pPr>
            <w:r>
              <w:rPr>
                <w:rFonts w:ascii="微软雅黑" w:eastAsia="微软雅黑" w:hint="eastAsia"/>
                <w:b/>
                <w:w w:val="90"/>
                <w:sz w:val="21"/>
                <w:shd w:fill="D9D9D9" w:color="auto" w:val="clear"/>
              </w:rPr>
              <w:t>（3）CREST 综合征。</w:t>
            </w:r>
          </w:p>
        </w:tc>
      </w:tr>
      <w:tr>
        <w:trPr>
          <w:trHeight w:val="780" w:hRule="atLeast"/>
        </w:trPr>
        <w:tc>
          <w:tcPr>
            <w:tcW w:w="384" w:type="dxa"/>
          </w:tcPr>
          <w:p>
            <w:pPr>
              <w:pStyle w:val="TableParagraph"/>
              <w:spacing w:before="168"/>
              <w:ind w:left="32" w:right="88"/>
              <w:jc w:val="center"/>
              <w:rPr>
                <w:rFonts w:ascii="Calibri"/>
                <w:sz w:val="22"/>
              </w:rPr>
            </w:pPr>
            <w:r>
              <w:rPr>
                <w:rFonts w:ascii="Calibri"/>
                <w:sz w:val="22"/>
              </w:rPr>
              <w:t>79</w:t>
            </w:r>
          </w:p>
        </w:tc>
        <w:tc>
          <w:tcPr>
            <w:tcW w:w="1946" w:type="dxa"/>
          </w:tcPr>
          <w:p>
            <w:pPr>
              <w:pStyle w:val="TableParagraph"/>
              <w:spacing w:line="206" w:lineRule="auto" w:before="123"/>
              <w:ind w:left="107" w:right="146"/>
              <w:rPr>
                <w:rFonts w:ascii="微软雅黑" w:eastAsia="微软雅黑" w:hint="eastAsia"/>
                <w:b/>
                <w:sz w:val="21"/>
              </w:rPr>
            </w:pPr>
            <w:r>
              <w:rPr>
                <w:rFonts w:ascii="微软雅黑" w:eastAsia="微软雅黑" w:hint="eastAsia"/>
                <w:b/>
                <w:sz w:val="21"/>
              </w:rPr>
              <w:t>溶血性链球菌感染引起的坏疽</w:t>
            </w:r>
          </w:p>
        </w:tc>
        <w:tc>
          <w:tcPr>
            <w:tcW w:w="7344" w:type="dxa"/>
          </w:tcPr>
          <w:p>
            <w:pPr>
              <w:pStyle w:val="TableParagraph"/>
              <w:spacing w:line="273" w:lineRule="auto" w:before="134"/>
              <w:ind w:left="146" w:right="58"/>
              <w:rPr>
                <w:sz w:val="21"/>
              </w:rPr>
            </w:pPr>
            <w:r>
              <w:rPr>
                <w:sz w:val="21"/>
              </w:rPr>
              <w:t>由于急性溶血性链球菌感染导致广泛的皮肤、皮下组织和深层组织的坏死。必须满足以下所有条件：</w:t>
            </w:r>
          </w:p>
        </w:tc>
      </w:tr>
      <w:tr>
        <w:trPr>
          <w:trHeight w:val="311"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54" w:lineRule="exact"/>
              <w:ind w:left="146"/>
              <w:rPr>
                <w:sz w:val="21"/>
              </w:rPr>
            </w:pPr>
            <w:r>
              <w:rPr>
                <w:sz w:val="21"/>
              </w:rPr>
              <w:t>（1）细菌培养证实致病菌为溶血性链球菌；</w:t>
            </w:r>
          </w:p>
        </w:tc>
      </w:tr>
      <w:tr>
        <w:trPr>
          <w:trHeight w:val="468" w:hRule="atLeast"/>
        </w:trPr>
        <w:tc>
          <w:tcPr>
            <w:tcW w:w="384" w:type="dxa"/>
          </w:tcPr>
          <w:p>
            <w:pPr>
              <w:pStyle w:val="TableParagraph"/>
              <w:rPr>
                <w:rFonts w:ascii="Times New Roman"/>
                <w:sz w:val="20"/>
              </w:rPr>
            </w:pPr>
          </w:p>
        </w:tc>
        <w:tc>
          <w:tcPr>
            <w:tcW w:w="1946" w:type="dxa"/>
          </w:tcPr>
          <w:p>
            <w:pPr>
              <w:pStyle w:val="TableParagraph"/>
              <w:rPr>
                <w:rFonts w:ascii="Times New Roman"/>
                <w:sz w:val="20"/>
              </w:rPr>
            </w:pPr>
          </w:p>
        </w:tc>
        <w:tc>
          <w:tcPr>
            <w:tcW w:w="7344" w:type="dxa"/>
          </w:tcPr>
          <w:p>
            <w:pPr>
              <w:pStyle w:val="TableParagraph"/>
              <w:spacing w:line="254" w:lineRule="exact"/>
              <w:ind w:left="146"/>
              <w:rPr>
                <w:sz w:val="21"/>
              </w:rPr>
            </w:pPr>
            <w:r>
              <w:rPr>
                <w:spacing w:val="-1"/>
                <w:sz w:val="21"/>
              </w:rPr>
              <w:t>（2）</w:t>
            </w:r>
            <w:r>
              <w:rPr>
                <w:spacing w:val="-3"/>
                <w:sz w:val="21"/>
              </w:rPr>
              <w:t>受感染肢体被截肢（自腕关节或踝关节近端</w:t>
            </w:r>
            <w:r>
              <w:rPr>
                <w:spacing w:val="-108"/>
                <w:sz w:val="21"/>
              </w:rPr>
              <w:t>）</w:t>
            </w:r>
            <w:r>
              <w:rPr>
                <w:sz w:val="21"/>
              </w:rPr>
              <w:t>。</w:t>
            </w:r>
          </w:p>
        </w:tc>
      </w:tr>
      <w:tr>
        <w:trPr>
          <w:trHeight w:val="780" w:hRule="atLeast"/>
        </w:trPr>
        <w:tc>
          <w:tcPr>
            <w:tcW w:w="384" w:type="dxa"/>
          </w:tcPr>
          <w:p>
            <w:pPr>
              <w:pStyle w:val="TableParagraph"/>
              <w:spacing w:before="168"/>
              <w:ind w:left="32" w:right="88"/>
              <w:jc w:val="center"/>
              <w:rPr>
                <w:rFonts w:ascii="Calibri"/>
                <w:sz w:val="22"/>
              </w:rPr>
            </w:pPr>
            <w:r>
              <w:rPr>
                <w:rFonts w:ascii="Calibri"/>
                <w:sz w:val="22"/>
              </w:rPr>
              <w:t>80</w:t>
            </w:r>
          </w:p>
        </w:tc>
        <w:tc>
          <w:tcPr>
            <w:tcW w:w="1946" w:type="dxa"/>
          </w:tcPr>
          <w:p>
            <w:pPr>
              <w:pStyle w:val="TableParagraph"/>
              <w:spacing w:before="72"/>
              <w:ind w:left="107"/>
              <w:rPr>
                <w:rFonts w:ascii="微软雅黑" w:eastAsia="微软雅黑" w:hint="eastAsia"/>
                <w:b/>
                <w:sz w:val="21"/>
              </w:rPr>
            </w:pPr>
            <w:r>
              <w:rPr>
                <w:rFonts w:ascii="微软雅黑" w:eastAsia="微软雅黑" w:hint="eastAsia"/>
                <w:b/>
                <w:sz w:val="21"/>
              </w:rPr>
              <w:t>严重克隆病</w:t>
            </w:r>
          </w:p>
        </w:tc>
        <w:tc>
          <w:tcPr>
            <w:tcW w:w="7344" w:type="dxa"/>
          </w:tcPr>
          <w:p>
            <w:pPr>
              <w:pStyle w:val="TableParagraph"/>
              <w:spacing w:line="273" w:lineRule="auto" w:before="134"/>
              <w:ind w:left="146" w:right="58"/>
              <w:rPr>
                <w:sz w:val="21"/>
              </w:rPr>
            </w:pPr>
            <w:r>
              <w:rPr>
                <w:sz w:val="21"/>
              </w:rPr>
              <w:t>克隆病是一种慢性肉芽肿性肠炎，具有特征性的克隆病病理组织学变化。诊断必须由病理检查结果证实。被保险人所患的克隆病必须已经造成瘘管形成并伴</w:t>
            </w:r>
          </w:p>
        </w:tc>
      </w:tr>
      <w:tr>
        <w:trPr>
          <w:trHeight w:val="261" w:hRule="atLeast"/>
        </w:trPr>
        <w:tc>
          <w:tcPr>
            <w:tcW w:w="384" w:type="dxa"/>
          </w:tcPr>
          <w:p>
            <w:pPr>
              <w:pStyle w:val="TableParagraph"/>
              <w:rPr>
                <w:rFonts w:ascii="Times New Roman"/>
                <w:sz w:val="18"/>
              </w:rPr>
            </w:pPr>
          </w:p>
        </w:tc>
        <w:tc>
          <w:tcPr>
            <w:tcW w:w="1946" w:type="dxa"/>
          </w:tcPr>
          <w:p>
            <w:pPr>
              <w:pStyle w:val="TableParagraph"/>
              <w:rPr>
                <w:rFonts w:ascii="Times New Roman"/>
                <w:sz w:val="18"/>
              </w:rPr>
            </w:pPr>
          </w:p>
        </w:tc>
        <w:tc>
          <w:tcPr>
            <w:tcW w:w="7344" w:type="dxa"/>
          </w:tcPr>
          <w:p>
            <w:pPr>
              <w:pStyle w:val="TableParagraph"/>
              <w:spacing w:line="242" w:lineRule="exact"/>
              <w:ind w:left="146"/>
              <w:rPr>
                <w:sz w:val="21"/>
              </w:rPr>
            </w:pPr>
            <w:r>
              <w:rPr>
                <w:sz w:val="21"/>
              </w:rPr>
              <w:t>有肠梗阻或肠穿孔。</w:t>
            </w:r>
          </w:p>
        </w:tc>
      </w:tr>
    </w:tbl>
    <w:p>
      <w:pPr>
        <w:pStyle w:val="BodyText"/>
        <w:rPr>
          <w:sz w:val="20"/>
        </w:rPr>
      </w:pPr>
    </w:p>
    <w:p>
      <w:pPr>
        <w:pStyle w:val="BodyText"/>
        <w:spacing w:before="2"/>
        <w:rPr>
          <w:sz w:val="27"/>
        </w:rPr>
      </w:pPr>
    </w:p>
    <w:p>
      <w:pPr>
        <w:pStyle w:val="Heading2"/>
        <w:spacing w:line="337" w:lineRule="exact"/>
      </w:pPr>
      <w:r>
        <w:rPr/>
        <w:t>第十七条  轻症疾病种类及定义与所属组别</w:t>
      </w:r>
    </w:p>
    <w:p>
      <w:pPr>
        <w:pStyle w:val="BodyText"/>
        <w:spacing w:line="273" w:lineRule="auto" w:before="11"/>
        <w:ind w:left="117" w:right="119" w:firstLine="420"/>
      </w:pPr>
      <w:r>
        <w:rPr/>
        <w:t>本附加合同所保障的轻症疾病，是指被保险人经专科医生明确诊断首次发生下列疾病或首次达到下列疾病状态或在医院首次接受下列手术。</w:t>
      </w:r>
    </w:p>
    <w:p>
      <w:pPr>
        <w:pStyle w:val="BodyText"/>
        <w:spacing w:line="256" w:lineRule="auto" w:before="7" w:after="35"/>
        <w:ind w:left="538" w:right="4815"/>
      </w:pPr>
      <w:r>
        <w:rPr/>
        <w:t>本附加合同所保障的轻症疾病共 </w:t>
      </w:r>
      <w:r>
        <w:rPr>
          <w:rFonts w:ascii="Times New Roman" w:eastAsia="Times New Roman"/>
        </w:rPr>
        <w:t>30 </w:t>
      </w:r>
      <w:r>
        <w:rPr/>
        <w:t>种，分成四组。一、轻症疾病种类及所属组别</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2693"/>
        <w:gridCol w:w="3168"/>
        <w:gridCol w:w="3046"/>
      </w:tblGrid>
      <w:tr>
        <w:trPr>
          <w:trHeight w:val="311" w:hRule="atLeast"/>
        </w:trPr>
        <w:tc>
          <w:tcPr>
            <w:tcW w:w="989" w:type="dxa"/>
            <w:vMerge w:val="restart"/>
          </w:tcPr>
          <w:p>
            <w:pPr>
              <w:pStyle w:val="TableParagraph"/>
              <w:spacing w:line="316" w:lineRule="auto" w:before="8"/>
              <w:ind w:left="403" w:right="393"/>
              <w:jc w:val="both"/>
              <w:rPr>
                <w:sz w:val="18"/>
              </w:rPr>
            </w:pPr>
            <w:r>
              <w:rPr>
                <w:sz w:val="18"/>
              </w:rPr>
              <w:t>第一组</w:t>
            </w:r>
          </w:p>
          <w:p>
            <w:pPr>
              <w:pStyle w:val="TableParagraph"/>
              <w:spacing w:before="19"/>
              <w:ind w:left="247"/>
              <w:rPr>
                <w:sz w:val="18"/>
              </w:rPr>
            </w:pPr>
            <w:r>
              <w:rPr>
                <w:sz w:val="18"/>
              </w:rPr>
              <w:t>(7 种)</w:t>
            </w:r>
          </w:p>
        </w:tc>
        <w:tc>
          <w:tcPr>
            <w:tcW w:w="2693" w:type="dxa"/>
          </w:tcPr>
          <w:p>
            <w:pPr>
              <w:pStyle w:val="TableParagraph"/>
              <w:spacing w:before="8"/>
              <w:ind w:left="105"/>
              <w:rPr>
                <w:sz w:val="18"/>
              </w:rPr>
            </w:pPr>
            <w:r>
              <w:rPr>
                <w:sz w:val="18"/>
              </w:rPr>
              <w:t>1.极早期恶性肿瘤或恶性病变</w:t>
            </w:r>
          </w:p>
        </w:tc>
        <w:tc>
          <w:tcPr>
            <w:tcW w:w="3168" w:type="dxa"/>
          </w:tcPr>
          <w:p>
            <w:pPr>
              <w:pStyle w:val="TableParagraph"/>
              <w:spacing w:before="8"/>
              <w:ind w:left="108"/>
              <w:rPr>
                <w:sz w:val="18"/>
              </w:rPr>
            </w:pPr>
            <w:r>
              <w:rPr>
                <w:sz w:val="18"/>
              </w:rPr>
              <w:t>2.单侧肺脏切除</w:t>
            </w:r>
          </w:p>
        </w:tc>
        <w:tc>
          <w:tcPr>
            <w:tcW w:w="3046" w:type="dxa"/>
          </w:tcPr>
          <w:p>
            <w:pPr>
              <w:pStyle w:val="TableParagraph"/>
              <w:spacing w:before="8"/>
              <w:ind w:left="108"/>
              <w:rPr>
                <w:sz w:val="18"/>
              </w:rPr>
            </w:pPr>
            <w:r>
              <w:rPr>
                <w:sz w:val="18"/>
              </w:rPr>
              <w:t>3.慢性肾功能障碍</w:t>
            </w:r>
          </w:p>
        </w:tc>
      </w:tr>
      <w:tr>
        <w:trPr>
          <w:trHeight w:val="313" w:hRule="atLeast"/>
        </w:trPr>
        <w:tc>
          <w:tcPr>
            <w:tcW w:w="989" w:type="dxa"/>
            <w:vMerge/>
            <w:tcBorders>
              <w:top w:val="nil"/>
            </w:tcBorders>
          </w:tcPr>
          <w:p>
            <w:pPr>
              <w:rPr>
                <w:sz w:val="2"/>
                <w:szCs w:val="2"/>
              </w:rPr>
            </w:pPr>
          </w:p>
        </w:tc>
        <w:tc>
          <w:tcPr>
            <w:tcW w:w="2693" w:type="dxa"/>
          </w:tcPr>
          <w:p>
            <w:pPr>
              <w:pStyle w:val="TableParagraph"/>
              <w:spacing w:before="10"/>
              <w:ind w:left="105"/>
              <w:rPr>
                <w:sz w:val="18"/>
              </w:rPr>
            </w:pPr>
            <w:r>
              <w:rPr>
                <w:sz w:val="18"/>
              </w:rPr>
              <w:t>4.肝脏手术</w:t>
            </w:r>
          </w:p>
        </w:tc>
        <w:tc>
          <w:tcPr>
            <w:tcW w:w="3168" w:type="dxa"/>
          </w:tcPr>
          <w:p>
            <w:pPr>
              <w:pStyle w:val="TableParagraph"/>
              <w:spacing w:before="10"/>
              <w:ind w:left="108"/>
              <w:rPr>
                <w:sz w:val="18"/>
              </w:rPr>
            </w:pPr>
            <w:r>
              <w:rPr>
                <w:sz w:val="18"/>
              </w:rPr>
              <w:t>5.双侧卵巢或双侧睾丸切除术</w:t>
            </w:r>
          </w:p>
        </w:tc>
        <w:tc>
          <w:tcPr>
            <w:tcW w:w="3046" w:type="dxa"/>
          </w:tcPr>
          <w:p>
            <w:pPr>
              <w:pStyle w:val="TableParagraph"/>
              <w:spacing w:before="10"/>
              <w:ind w:left="108"/>
              <w:rPr>
                <w:sz w:val="18"/>
              </w:rPr>
            </w:pPr>
            <w:r>
              <w:rPr>
                <w:sz w:val="18"/>
              </w:rPr>
              <w:t>6.胆道重建手术</w:t>
            </w:r>
          </w:p>
        </w:tc>
      </w:tr>
      <w:tr>
        <w:trPr>
          <w:trHeight w:val="601" w:hRule="atLeast"/>
        </w:trPr>
        <w:tc>
          <w:tcPr>
            <w:tcW w:w="989" w:type="dxa"/>
            <w:vMerge/>
            <w:tcBorders>
              <w:top w:val="nil"/>
            </w:tcBorders>
          </w:tcPr>
          <w:p>
            <w:pPr>
              <w:rPr>
                <w:sz w:val="2"/>
                <w:szCs w:val="2"/>
              </w:rPr>
            </w:pPr>
          </w:p>
        </w:tc>
        <w:tc>
          <w:tcPr>
            <w:tcW w:w="2693" w:type="dxa"/>
          </w:tcPr>
          <w:p>
            <w:pPr>
              <w:pStyle w:val="TableParagraph"/>
              <w:spacing w:before="154"/>
              <w:ind w:left="105"/>
              <w:rPr>
                <w:sz w:val="18"/>
              </w:rPr>
            </w:pPr>
            <w:r>
              <w:rPr>
                <w:sz w:val="18"/>
              </w:rPr>
              <w:t>7.病毒性肝炎导致的肝硬化</w:t>
            </w:r>
          </w:p>
        </w:tc>
        <w:tc>
          <w:tcPr>
            <w:tcW w:w="3168" w:type="dxa"/>
          </w:tcPr>
          <w:p>
            <w:pPr>
              <w:pStyle w:val="TableParagraph"/>
              <w:rPr>
                <w:rFonts w:ascii="Times New Roman"/>
                <w:sz w:val="20"/>
              </w:rPr>
            </w:pPr>
          </w:p>
        </w:tc>
        <w:tc>
          <w:tcPr>
            <w:tcW w:w="3046" w:type="dxa"/>
          </w:tcPr>
          <w:p>
            <w:pPr>
              <w:pStyle w:val="TableParagraph"/>
              <w:rPr>
                <w:rFonts w:ascii="Times New Roman"/>
                <w:sz w:val="20"/>
              </w:rPr>
            </w:pPr>
          </w:p>
        </w:tc>
      </w:tr>
      <w:tr>
        <w:trPr>
          <w:trHeight w:val="626" w:hRule="atLeast"/>
        </w:trPr>
        <w:tc>
          <w:tcPr>
            <w:tcW w:w="989" w:type="dxa"/>
            <w:vMerge w:val="restart"/>
          </w:tcPr>
          <w:p>
            <w:pPr>
              <w:pStyle w:val="TableParagraph"/>
              <w:spacing w:line="316" w:lineRule="auto" w:before="20"/>
              <w:ind w:left="403" w:right="393"/>
              <w:jc w:val="both"/>
              <w:rPr>
                <w:sz w:val="18"/>
              </w:rPr>
            </w:pPr>
            <w:r>
              <w:rPr>
                <w:sz w:val="18"/>
              </w:rPr>
              <w:t>第二组</w:t>
            </w:r>
          </w:p>
          <w:p>
            <w:pPr>
              <w:pStyle w:val="TableParagraph"/>
              <w:spacing w:before="19"/>
              <w:ind w:left="108"/>
              <w:rPr>
                <w:sz w:val="18"/>
              </w:rPr>
            </w:pPr>
            <w:r>
              <w:rPr>
                <w:sz w:val="18"/>
              </w:rPr>
              <w:t>（9 种）</w:t>
            </w:r>
          </w:p>
        </w:tc>
        <w:tc>
          <w:tcPr>
            <w:tcW w:w="2693" w:type="dxa"/>
          </w:tcPr>
          <w:p>
            <w:pPr>
              <w:pStyle w:val="TableParagraph"/>
              <w:spacing w:before="9"/>
              <w:rPr>
                <w:sz w:val="12"/>
              </w:rPr>
            </w:pPr>
          </w:p>
          <w:p>
            <w:pPr>
              <w:pStyle w:val="TableParagraph"/>
              <w:ind w:left="105"/>
              <w:rPr>
                <w:sz w:val="18"/>
              </w:rPr>
            </w:pPr>
            <w:r>
              <w:rPr>
                <w:sz w:val="18"/>
              </w:rPr>
              <w:t>8.轻微脑中风</w:t>
            </w:r>
          </w:p>
        </w:tc>
        <w:tc>
          <w:tcPr>
            <w:tcW w:w="3168" w:type="dxa"/>
          </w:tcPr>
          <w:p>
            <w:pPr>
              <w:pStyle w:val="TableParagraph"/>
              <w:spacing w:before="10"/>
              <w:ind w:left="108"/>
              <w:rPr>
                <w:sz w:val="18"/>
              </w:rPr>
            </w:pPr>
            <w:r>
              <w:rPr>
                <w:sz w:val="18"/>
              </w:rPr>
              <w:t>9.</w:t>
            </w:r>
            <w:r>
              <w:rPr>
                <w:spacing w:val="-11"/>
                <w:sz w:val="18"/>
              </w:rPr>
              <w:t>脑垂体瘤、脑囊肿、脑动脉瘤及脑血</w:t>
            </w:r>
          </w:p>
          <w:p>
            <w:pPr>
              <w:pStyle w:val="TableParagraph"/>
              <w:spacing w:before="76"/>
              <w:ind w:left="108"/>
              <w:rPr>
                <w:sz w:val="18"/>
              </w:rPr>
            </w:pPr>
            <w:r>
              <w:rPr>
                <w:sz w:val="18"/>
              </w:rPr>
              <w:t>管瘤</w:t>
            </w:r>
          </w:p>
        </w:tc>
        <w:tc>
          <w:tcPr>
            <w:tcW w:w="3046" w:type="dxa"/>
          </w:tcPr>
          <w:p>
            <w:pPr>
              <w:pStyle w:val="TableParagraph"/>
              <w:spacing w:before="9"/>
              <w:rPr>
                <w:sz w:val="12"/>
              </w:rPr>
            </w:pPr>
          </w:p>
          <w:p>
            <w:pPr>
              <w:pStyle w:val="TableParagraph"/>
              <w:ind w:left="108"/>
              <w:rPr>
                <w:sz w:val="18"/>
              </w:rPr>
            </w:pPr>
            <w:r>
              <w:rPr>
                <w:sz w:val="18"/>
              </w:rPr>
              <w:t>10.轻度脑炎或脑膜炎后遗症</w:t>
            </w:r>
          </w:p>
        </w:tc>
      </w:tr>
      <w:tr>
        <w:trPr>
          <w:trHeight w:val="312" w:hRule="atLeast"/>
        </w:trPr>
        <w:tc>
          <w:tcPr>
            <w:tcW w:w="989" w:type="dxa"/>
            <w:vMerge/>
            <w:tcBorders>
              <w:top w:val="nil"/>
            </w:tcBorders>
          </w:tcPr>
          <w:p>
            <w:pPr>
              <w:rPr>
                <w:sz w:val="2"/>
                <w:szCs w:val="2"/>
              </w:rPr>
            </w:pPr>
          </w:p>
        </w:tc>
        <w:tc>
          <w:tcPr>
            <w:tcW w:w="2693" w:type="dxa"/>
          </w:tcPr>
          <w:p>
            <w:pPr>
              <w:pStyle w:val="TableParagraph"/>
              <w:spacing w:before="8"/>
              <w:ind w:left="105"/>
              <w:rPr>
                <w:sz w:val="18"/>
              </w:rPr>
            </w:pPr>
            <w:r>
              <w:rPr>
                <w:sz w:val="18"/>
              </w:rPr>
              <w:t>11.深度昏迷 </w:t>
            </w:r>
            <w:r>
              <w:rPr>
                <w:rFonts w:ascii="Times New Roman" w:eastAsia="Times New Roman"/>
                <w:sz w:val="18"/>
              </w:rPr>
              <w:t>72  </w:t>
            </w:r>
            <w:r>
              <w:rPr>
                <w:sz w:val="18"/>
              </w:rPr>
              <w:t>小时</w:t>
            </w:r>
          </w:p>
        </w:tc>
        <w:tc>
          <w:tcPr>
            <w:tcW w:w="3168" w:type="dxa"/>
          </w:tcPr>
          <w:p>
            <w:pPr>
              <w:pStyle w:val="TableParagraph"/>
              <w:spacing w:before="8"/>
              <w:ind w:left="108"/>
              <w:rPr>
                <w:sz w:val="18"/>
              </w:rPr>
            </w:pPr>
            <w:r>
              <w:rPr>
                <w:sz w:val="18"/>
              </w:rPr>
              <w:t>12.中度瘫痪</w:t>
            </w:r>
          </w:p>
        </w:tc>
        <w:tc>
          <w:tcPr>
            <w:tcW w:w="3046" w:type="dxa"/>
          </w:tcPr>
          <w:p>
            <w:pPr>
              <w:pStyle w:val="TableParagraph"/>
              <w:spacing w:before="8"/>
              <w:ind w:left="108"/>
              <w:rPr>
                <w:sz w:val="18"/>
              </w:rPr>
            </w:pPr>
            <w:r>
              <w:rPr>
                <w:sz w:val="18"/>
              </w:rPr>
              <w:t>13.早期运动神经性疾病</w:t>
            </w:r>
          </w:p>
        </w:tc>
      </w:tr>
      <w:tr>
        <w:trPr>
          <w:trHeight w:val="311" w:hRule="atLeast"/>
        </w:trPr>
        <w:tc>
          <w:tcPr>
            <w:tcW w:w="989" w:type="dxa"/>
            <w:vMerge/>
            <w:tcBorders>
              <w:top w:val="nil"/>
            </w:tcBorders>
          </w:tcPr>
          <w:p>
            <w:pPr>
              <w:rPr>
                <w:sz w:val="2"/>
                <w:szCs w:val="2"/>
              </w:rPr>
            </w:pPr>
          </w:p>
        </w:tc>
        <w:tc>
          <w:tcPr>
            <w:tcW w:w="2693" w:type="dxa"/>
          </w:tcPr>
          <w:p>
            <w:pPr>
              <w:pStyle w:val="TableParagraph"/>
              <w:spacing w:before="8"/>
              <w:ind w:left="105"/>
              <w:rPr>
                <w:sz w:val="18"/>
              </w:rPr>
            </w:pPr>
            <w:r>
              <w:rPr>
                <w:sz w:val="18"/>
              </w:rPr>
              <w:t>14.重度头部外伤</w:t>
            </w:r>
          </w:p>
        </w:tc>
        <w:tc>
          <w:tcPr>
            <w:tcW w:w="3168" w:type="dxa"/>
          </w:tcPr>
          <w:p>
            <w:pPr>
              <w:pStyle w:val="TableParagraph"/>
              <w:spacing w:before="8"/>
              <w:ind w:left="108"/>
              <w:rPr>
                <w:sz w:val="18"/>
              </w:rPr>
            </w:pPr>
            <w:r>
              <w:rPr>
                <w:sz w:val="18"/>
              </w:rPr>
              <w:t>15.植入大脑内分流器</w:t>
            </w:r>
          </w:p>
        </w:tc>
        <w:tc>
          <w:tcPr>
            <w:tcW w:w="3046" w:type="dxa"/>
          </w:tcPr>
          <w:p>
            <w:pPr>
              <w:pStyle w:val="TableParagraph"/>
              <w:spacing w:before="8"/>
              <w:ind w:left="108"/>
              <w:rPr>
                <w:sz w:val="18"/>
              </w:rPr>
            </w:pPr>
            <w:r>
              <w:rPr>
                <w:sz w:val="18"/>
              </w:rPr>
              <w:t>16.中度阿尔茨海默病</w:t>
            </w:r>
          </w:p>
        </w:tc>
      </w:tr>
      <w:tr>
        <w:trPr>
          <w:trHeight w:val="311" w:hRule="atLeast"/>
        </w:trPr>
        <w:tc>
          <w:tcPr>
            <w:tcW w:w="989" w:type="dxa"/>
            <w:vMerge w:val="restart"/>
          </w:tcPr>
          <w:p>
            <w:pPr>
              <w:pStyle w:val="TableParagraph"/>
              <w:spacing w:before="3"/>
              <w:rPr>
                <w:sz w:val="13"/>
              </w:rPr>
            </w:pPr>
          </w:p>
          <w:p>
            <w:pPr>
              <w:pStyle w:val="TableParagraph"/>
              <w:spacing w:line="316" w:lineRule="auto"/>
              <w:ind w:left="403" w:right="393"/>
              <w:jc w:val="both"/>
              <w:rPr>
                <w:sz w:val="18"/>
              </w:rPr>
            </w:pPr>
            <w:r>
              <w:rPr>
                <w:sz w:val="18"/>
              </w:rPr>
              <w:t>第三组</w:t>
            </w:r>
          </w:p>
          <w:p>
            <w:pPr>
              <w:pStyle w:val="TableParagraph"/>
              <w:spacing w:before="18"/>
              <w:ind w:left="108"/>
              <w:rPr>
                <w:sz w:val="18"/>
              </w:rPr>
            </w:pPr>
            <w:r>
              <w:rPr>
                <w:sz w:val="18"/>
              </w:rPr>
              <w:t>（8 种）</w:t>
            </w:r>
          </w:p>
        </w:tc>
        <w:tc>
          <w:tcPr>
            <w:tcW w:w="2693" w:type="dxa"/>
          </w:tcPr>
          <w:p>
            <w:pPr>
              <w:pStyle w:val="TableParagraph"/>
              <w:spacing w:before="8"/>
              <w:ind w:left="105"/>
              <w:rPr>
                <w:sz w:val="18"/>
              </w:rPr>
            </w:pPr>
            <w:r>
              <w:rPr>
                <w:sz w:val="18"/>
              </w:rPr>
              <w:t>17.不典型心肌梗塞</w:t>
            </w:r>
          </w:p>
        </w:tc>
        <w:tc>
          <w:tcPr>
            <w:tcW w:w="3168" w:type="dxa"/>
          </w:tcPr>
          <w:p>
            <w:pPr>
              <w:pStyle w:val="TableParagraph"/>
              <w:spacing w:before="8"/>
              <w:ind w:left="108"/>
              <w:rPr>
                <w:sz w:val="18"/>
              </w:rPr>
            </w:pPr>
            <w:r>
              <w:rPr>
                <w:sz w:val="18"/>
              </w:rPr>
              <w:t>18.冠状动脉介入手术（非开胸手术）</w:t>
            </w:r>
          </w:p>
        </w:tc>
        <w:tc>
          <w:tcPr>
            <w:tcW w:w="3046" w:type="dxa"/>
          </w:tcPr>
          <w:p>
            <w:pPr>
              <w:pStyle w:val="TableParagraph"/>
              <w:spacing w:before="8"/>
              <w:ind w:left="108"/>
              <w:rPr>
                <w:sz w:val="18"/>
              </w:rPr>
            </w:pPr>
            <w:r>
              <w:rPr>
                <w:sz w:val="18"/>
              </w:rPr>
              <w:t>19.</w:t>
            </w:r>
            <w:r>
              <w:rPr>
                <w:spacing w:val="-7"/>
                <w:sz w:val="18"/>
              </w:rPr>
              <w:t>心脏瓣膜介入手术</w:t>
            </w:r>
            <w:r>
              <w:rPr>
                <w:sz w:val="18"/>
              </w:rPr>
              <w:t>（</w:t>
            </w:r>
            <w:r>
              <w:rPr>
                <w:spacing w:val="-1"/>
                <w:sz w:val="18"/>
              </w:rPr>
              <w:t>非开胸手术</w:t>
            </w:r>
            <w:r>
              <w:rPr>
                <w:sz w:val="18"/>
              </w:rPr>
              <w:t>）</w:t>
            </w:r>
          </w:p>
        </w:tc>
      </w:tr>
      <w:tr>
        <w:trPr>
          <w:trHeight w:val="623" w:hRule="atLeast"/>
        </w:trPr>
        <w:tc>
          <w:tcPr>
            <w:tcW w:w="989" w:type="dxa"/>
            <w:vMerge/>
            <w:tcBorders>
              <w:top w:val="nil"/>
            </w:tcBorders>
          </w:tcPr>
          <w:p>
            <w:pPr>
              <w:rPr>
                <w:sz w:val="2"/>
                <w:szCs w:val="2"/>
              </w:rPr>
            </w:pPr>
          </w:p>
        </w:tc>
        <w:tc>
          <w:tcPr>
            <w:tcW w:w="2693" w:type="dxa"/>
          </w:tcPr>
          <w:p>
            <w:pPr>
              <w:pStyle w:val="TableParagraph"/>
              <w:spacing w:before="6"/>
              <w:rPr>
                <w:sz w:val="12"/>
              </w:rPr>
            </w:pPr>
          </w:p>
          <w:p>
            <w:pPr>
              <w:pStyle w:val="TableParagraph"/>
              <w:spacing w:before="1"/>
              <w:ind w:left="105"/>
              <w:rPr>
                <w:sz w:val="18"/>
              </w:rPr>
            </w:pPr>
            <w:r>
              <w:rPr>
                <w:sz w:val="18"/>
              </w:rPr>
              <w:t>20.继发性肺动脉高压</w:t>
            </w:r>
          </w:p>
        </w:tc>
        <w:tc>
          <w:tcPr>
            <w:tcW w:w="3168" w:type="dxa"/>
          </w:tcPr>
          <w:p>
            <w:pPr>
              <w:pStyle w:val="TableParagraph"/>
              <w:spacing w:before="8"/>
              <w:ind w:left="108"/>
              <w:rPr>
                <w:sz w:val="18"/>
              </w:rPr>
            </w:pPr>
            <w:r>
              <w:rPr>
                <w:sz w:val="18"/>
              </w:rPr>
              <w:t>21.特定周围动脉疾病的血管介入治</w:t>
            </w:r>
          </w:p>
          <w:p>
            <w:pPr>
              <w:pStyle w:val="TableParagraph"/>
              <w:spacing w:before="76"/>
              <w:ind w:left="108"/>
              <w:rPr>
                <w:sz w:val="18"/>
              </w:rPr>
            </w:pPr>
            <w:r>
              <w:rPr>
                <w:sz w:val="18"/>
              </w:rPr>
              <w:t>疗</w:t>
            </w:r>
          </w:p>
        </w:tc>
        <w:tc>
          <w:tcPr>
            <w:tcW w:w="3046" w:type="dxa"/>
          </w:tcPr>
          <w:p>
            <w:pPr>
              <w:pStyle w:val="TableParagraph"/>
              <w:spacing w:before="6"/>
              <w:rPr>
                <w:sz w:val="12"/>
              </w:rPr>
            </w:pPr>
          </w:p>
          <w:p>
            <w:pPr>
              <w:pStyle w:val="TableParagraph"/>
              <w:spacing w:before="1"/>
              <w:ind w:left="108"/>
              <w:rPr>
                <w:sz w:val="18"/>
              </w:rPr>
            </w:pPr>
            <w:r>
              <w:rPr>
                <w:sz w:val="18"/>
              </w:rPr>
              <w:t>22.心包膜切除术</w:t>
            </w:r>
          </w:p>
        </w:tc>
      </w:tr>
      <w:tr>
        <w:trPr>
          <w:trHeight w:val="623" w:hRule="atLeast"/>
        </w:trPr>
        <w:tc>
          <w:tcPr>
            <w:tcW w:w="989" w:type="dxa"/>
            <w:vMerge/>
            <w:tcBorders>
              <w:top w:val="nil"/>
            </w:tcBorders>
          </w:tcPr>
          <w:p>
            <w:pPr>
              <w:rPr>
                <w:sz w:val="2"/>
                <w:szCs w:val="2"/>
              </w:rPr>
            </w:pPr>
          </w:p>
        </w:tc>
        <w:tc>
          <w:tcPr>
            <w:tcW w:w="2693" w:type="dxa"/>
          </w:tcPr>
          <w:p>
            <w:pPr>
              <w:pStyle w:val="TableParagraph"/>
              <w:spacing w:before="6"/>
              <w:rPr>
                <w:sz w:val="12"/>
              </w:rPr>
            </w:pPr>
          </w:p>
          <w:p>
            <w:pPr>
              <w:pStyle w:val="TableParagraph"/>
              <w:spacing w:before="1"/>
              <w:ind w:left="105"/>
              <w:rPr>
                <w:sz w:val="18"/>
              </w:rPr>
            </w:pPr>
            <w:r>
              <w:rPr>
                <w:sz w:val="18"/>
              </w:rPr>
              <w:t>23.植入心脏起搏器</w:t>
            </w:r>
          </w:p>
        </w:tc>
        <w:tc>
          <w:tcPr>
            <w:tcW w:w="3168" w:type="dxa"/>
          </w:tcPr>
          <w:p>
            <w:pPr>
              <w:pStyle w:val="TableParagraph"/>
              <w:spacing w:before="8"/>
              <w:ind w:left="108"/>
              <w:rPr>
                <w:sz w:val="18"/>
              </w:rPr>
            </w:pPr>
            <w:r>
              <w:rPr>
                <w:sz w:val="18"/>
              </w:rPr>
              <w:t>24.于颈动脉进行血管成形术或内膜</w:t>
            </w:r>
          </w:p>
          <w:p>
            <w:pPr>
              <w:pStyle w:val="TableParagraph"/>
              <w:spacing w:before="76"/>
              <w:ind w:left="108"/>
              <w:rPr>
                <w:sz w:val="18"/>
              </w:rPr>
            </w:pPr>
            <w:r>
              <w:rPr>
                <w:sz w:val="18"/>
              </w:rPr>
              <w:t>切除术</w:t>
            </w:r>
          </w:p>
        </w:tc>
        <w:tc>
          <w:tcPr>
            <w:tcW w:w="3046" w:type="dxa"/>
          </w:tcPr>
          <w:p>
            <w:pPr>
              <w:pStyle w:val="TableParagraph"/>
              <w:rPr>
                <w:rFonts w:ascii="Times New Roman"/>
                <w:sz w:val="20"/>
              </w:rPr>
            </w:pPr>
          </w:p>
        </w:tc>
      </w:tr>
      <w:tr>
        <w:trPr>
          <w:trHeight w:val="313" w:hRule="atLeast"/>
        </w:trPr>
        <w:tc>
          <w:tcPr>
            <w:tcW w:w="989" w:type="dxa"/>
            <w:vMerge w:val="restart"/>
          </w:tcPr>
          <w:p>
            <w:pPr>
              <w:pStyle w:val="TableParagraph"/>
              <w:spacing w:before="15"/>
              <w:ind w:left="7"/>
              <w:jc w:val="center"/>
              <w:rPr>
                <w:sz w:val="18"/>
              </w:rPr>
            </w:pPr>
            <w:r>
              <w:rPr>
                <w:sz w:val="18"/>
              </w:rPr>
              <w:t>第</w:t>
            </w:r>
          </w:p>
          <w:p>
            <w:pPr>
              <w:pStyle w:val="TableParagraph"/>
              <w:spacing w:before="76"/>
              <w:ind w:left="7"/>
              <w:jc w:val="center"/>
              <w:rPr>
                <w:sz w:val="18"/>
              </w:rPr>
            </w:pPr>
            <w:r>
              <w:rPr>
                <w:sz w:val="18"/>
              </w:rPr>
              <w:t>四</w:t>
            </w:r>
          </w:p>
        </w:tc>
        <w:tc>
          <w:tcPr>
            <w:tcW w:w="2693" w:type="dxa"/>
          </w:tcPr>
          <w:p>
            <w:pPr>
              <w:pStyle w:val="TableParagraph"/>
              <w:spacing w:before="10"/>
              <w:ind w:left="105"/>
              <w:rPr>
                <w:sz w:val="18"/>
              </w:rPr>
            </w:pPr>
            <w:r>
              <w:rPr>
                <w:sz w:val="18"/>
              </w:rPr>
              <w:t>25.可逆性再生障碍性贫血</w:t>
            </w:r>
          </w:p>
        </w:tc>
        <w:tc>
          <w:tcPr>
            <w:tcW w:w="3168" w:type="dxa"/>
          </w:tcPr>
          <w:p>
            <w:pPr>
              <w:pStyle w:val="TableParagraph"/>
              <w:spacing w:before="10"/>
              <w:ind w:left="108"/>
              <w:rPr>
                <w:sz w:val="18"/>
              </w:rPr>
            </w:pPr>
            <w:r>
              <w:rPr>
                <w:sz w:val="18"/>
              </w:rPr>
              <w:t>26.较小面积Ⅲ度烧伤</w:t>
            </w:r>
          </w:p>
        </w:tc>
        <w:tc>
          <w:tcPr>
            <w:tcW w:w="3046" w:type="dxa"/>
          </w:tcPr>
          <w:p>
            <w:pPr>
              <w:pStyle w:val="TableParagraph"/>
              <w:spacing w:before="10"/>
              <w:ind w:left="108"/>
              <w:rPr>
                <w:sz w:val="18"/>
              </w:rPr>
            </w:pPr>
            <w:r>
              <w:rPr>
                <w:sz w:val="18"/>
              </w:rPr>
              <w:t>27.视力严重受损</w:t>
            </w:r>
          </w:p>
        </w:tc>
      </w:tr>
      <w:tr>
        <w:trPr>
          <w:trHeight w:val="311" w:hRule="atLeast"/>
        </w:trPr>
        <w:tc>
          <w:tcPr>
            <w:tcW w:w="989" w:type="dxa"/>
            <w:vMerge/>
            <w:tcBorders>
              <w:top w:val="nil"/>
            </w:tcBorders>
          </w:tcPr>
          <w:p>
            <w:pPr>
              <w:rPr>
                <w:sz w:val="2"/>
                <w:szCs w:val="2"/>
              </w:rPr>
            </w:pPr>
          </w:p>
        </w:tc>
        <w:tc>
          <w:tcPr>
            <w:tcW w:w="2693" w:type="dxa"/>
          </w:tcPr>
          <w:p>
            <w:pPr>
              <w:pStyle w:val="TableParagraph"/>
              <w:spacing w:before="8"/>
              <w:ind w:left="105"/>
              <w:rPr>
                <w:sz w:val="18"/>
              </w:rPr>
            </w:pPr>
            <w:r>
              <w:rPr>
                <w:sz w:val="18"/>
              </w:rPr>
              <w:t>28.一肢缺失</w:t>
            </w:r>
          </w:p>
        </w:tc>
        <w:tc>
          <w:tcPr>
            <w:tcW w:w="3168" w:type="dxa"/>
          </w:tcPr>
          <w:p>
            <w:pPr>
              <w:pStyle w:val="TableParagraph"/>
              <w:spacing w:before="8"/>
              <w:ind w:left="108"/>
              <w:rPr>
                <w:sz w:val="18"/>
              </w:rPr>
            </w:pPr>
            <w:r>
              <w:rPr>
                <w:sz w:val="18"/>
              </w:rPr>
              <w:t>29.人工耳蜗植入术</w:t>
            </w:r>
          </w:p>
        </w:tc>
        <w:tc>
          <w:tcPr>
            <w:tcW w:w="3046" w:type="dxa"/>
          </w:tcPr>
          <w:p>
            <w:pPr>
              <w:pStyle w:val="TableParagraph"/>
              <w:spacing w:before="8"/>
              <w:ind w:left="108"/>
              <w:rPr>
                <w:sz w:val="18"/>
              </w:rPr>
            </w:pPr>
            <w:r>
              <w:rPr>
                <w:sz w:val="18"/>
              </w:rPr>
              <w:t>30.单眼失明</w:t>
            </w:r>
          </w:p>
        </w:tc>
      </w:tr>
    </w:tbl>
    <w:p>
      <w:pPr>
        <w:spacing w:after="0"/>
        <w:rPr>
          <w:sz w:val="18"/>
        </w:rPr>
        <w:sectPr>
          <w:pgSz w:w="11910" w:h="16840"/>
          <w:pgMar w:header="0" w:footer="705" w:top="1440" w:bottom="980" w:left="960" w:right="800"/>
        </w:sect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2693"/>
        <w:gridCol w:w="3168"/>
        <w:gridCol w:w="3046"/>
      </w:tblGrid>
      <w:tr>
        <w:trPr>
          <w:trHeight w:val="626" w:hRule="atLeast"/>
        </w:trPr>
        <w:tc>
          <w:tcPr>
            <w:tcW w:w="989" w:type="dxa"/>
          </w:tcPr>
          <w:p>
            <w:pPr>
              <w:pStyle w:val="TableParagraph"/>
              <w:spacing w:before="10"/>
              <w:ind w:left="7"/>
              <w:jc w:val="center"/>
              <w:rPr>
                <w:sz w:val="18"/>
              </w:rPr>
            </w:pPr>
            <w:r>
              <w:rPr>
                <w:sz w:val="18"/>
              </w:rPr>
              <w:t>组</w:t>
            </w:r>
          </w:p>
          <w:p>
            <w:pPr>
              <w:pStyle w:val="TableParagraph"/>
              <w:spacing w:before="74"/>
              <w:ind w:left="68" w:right="151"/>
              <w:jc w:val="center"/>
              <w:rPr>
                <w:sz w:val="18"/>
              </w:rPr>
            </w:pPr>
            <w:r>
              <w:rPr>
                <w:sz w:val="18"/>
              </w:rPr>
              <w:t>（6 种）</w:t>
            </w:r>
          </w:p>
        </w:tc>
        <w:tc>
          <w:tcPr>
            <w:tcW w:w="2693" w:type="dxa"/>
          </w:tcPr>
          <w:p>
            <w:pPr>
              <w:pStyle w:val="TableParagraph"/>
              <w:rPr>
                <w:rFonts w:ascii="Times New Roman"/>
                <w:sz w:val="20"/>
              </w:rPr>
            </w:pPr>
          </w:p>
        </w:tc>
        <w:tc>
          <w:tcPr>
            <w:tcW w:w="3168" w:type="dxa"/>
          </w:tcPr>
          <w:p>
            <w:pPr>
              <w:pStyle w:val="TableParagraph"/>
              <w:rPr>
                <w:rFonts w:ascii="Times New Roman"/>
                <w:sz w:val="20"/>
              </w:rPr>
            </w:pPr>
          </w:p>
        </w:tc>
        <w:tc>
          <w:tcPr>
            <w:tcW w:w="3046" w:type="dxa"/>
          </w:tcPr>
          <w:p>
            <w:pPr>
              <w:pStyle w:val="TableParagraph"/>
              <w:rPr>
                <w:rFonts w:ascii="Times New Roman"/>
                <w:sz w:val="20"/>
              </w:rPr>
            </w:pPr>
          </w:p>
        </w:tc>
      </w:tr>
    </w:tbl>
    <w:p>
      <w:pPr>
        <w:pStyle w:val="BodyText"/>
        <w:spacing w:before="1"/>
        <w:rPr>
          <w:sz w:val="20"/>
        </w:rPr>
      </w:pPr>
    </w:p>
    <w:p>
      <w:pPr>
        <w:pStyle w:val="BodyText"/>
        <w:spacing w:before="37"/>
        <w:ind w:left="538"/>
      </w:pPr>
      <w:r>
        <w:rPr/>
        <w:t>二 、轻症疾病种类及定义</w:t>
      </w:r>
    </w:p>
    <w:p>
      <w:pPr>
        <w:pStyle w:val="BodyText"/>
        <w:spacing w:before="9"/>
        <w:rPr>
          <w:sz w:val="7"/>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038"/>
        <w:gridCol w:w="7496"/>
      </w:tblGrid>
      <w:tr>
        <w:trPr>
          <w:trHeight w:val="1977" w:hRule="atLeast"/>
        </w:trPr>
        <w:tc>
          <w:tcPr>
            <w:tcW w:w="419" w:type="dxa"/>
          </w:tcPr>
          <w:p>
            <w:pPr>
              <w:pStyle w:val="TableParagraph"/>
              <w:spacing w:line="238" w:lineRule="exact"/>
              <w:ind w:right="105"/>
              <w:jc w:val="right"/>
              <w:rPr>
                <w:rFonts w:ascii="Calibri"/>
                <w:b/>
                <w:sz w:val="22"/>
              </w:rPr>
            </w:pPr>
            <w:r>
              <w:rPr>
                <w:rFonts w:ascii="Calibri"/>
                <w:b/>
                <w:w w:val="100"/>
                <w:sz w:val="22"/>
              </w:rPr>
              <w:t>1</w:t>
            </w:r>
          </w:p>
        </w:tc>
        <w:tc>
          <w:tcPr>
            <w:tcW w:w="2038" w:type="dxa"/>
          </w:tcPr>
          <w:p>
            <w:pPr>
              <w:pStyle w:val="TableParagraph"/>
              <w:spacing w:line="211" w:lineRule="exact"/>
              <w:ind w:left="107"/>
              <w:rPr>
                <w:rFonts w:ascii="微软雅黑" w:eastAsia="微软雅黑" w:hint="eastAsia"/>
                <w:b/>
                <w:sz w:val="21"/>
              </w:rPr>
            </w:pPr>
            <w:r>
              <w:rPr>
                <w:rFonts w:ascii="微软雅黑" w:eastAsia="微软雅黑" w:hint="eastAsia"/>
                <w:b/>
                <w:sz w:val="21"/>
              </w:rPr>
              <w:t>极早期恶性肿瘤或</w:t>
            </w:r>
          </w:p>
          <w:p>
            <w:pPr>
              <w:pStyle w:val="TableParagraph"/>
              <w:spacing w:line="337" w:lineRule="exact"/>
              <w:ind w:left="107"/>
              <w:rPr>
                <w:rFonts w:ascii="微软雅黑" w:eastAsia="微软雅黑" w:hint="eastAsia"/>
                <w:b/>
                <w:sz w:val="21"/>
              </w:rPr>
            </w:pPr>
            <w:r>
              <w:rPr>
                <w:rFonts w:ascii="微软雅黑" w:eastAsia="微软雅黑" w:hint="eastAsia"/>
                <w:b/>
                <w:sz w:val="21"/>
              </w:rPr>
              <w:t>恶性病变</w:t>
            </w:r>
          </w:p>
        </w:tc>
        <w:tc>
          <w:tcPr>
            <w:tcW w:w="7496" w:type="dxa"/>
          </w:tcPr>
          <w:p>
            <w:pPr>
              <w:pStyle w:val="TableParagraph"/>
              <w:spacing w:line="211" w:lineRule="exact"/>
              <w:ind w:left="54"/>
              <w:rPr>
                <w:sz w:val="21"/>
              </w:rPr>
            </w:pPr>
            <w:r>
              <w:rPr>
                <w:sz w:val="21"/>
              </w:rPr>
              <w:t>指经组织病理学检查被明确诊断为下列恶性病变，并且接受了相应的治疗。</w:t>
            </w:r>
          </w:p>
          <w:p>
            <w:pPr>
              <w:pStyle w:val="TableParagraph"/>
              <w:spacing w:before="37"/>
              <w:ind w:left="54"/>
              <w:rPr>
                <w:sz w:val="21"/>
              </w:rPr>
            </w:pPr>
            <w:r>
              <w:rPr>
                <w:sz w:val="21"/>
              </w:rPr>
              <w:t>（1）原位癌；</w:t>
            </w:r>
          </w:p>
          <w:p>
            <w:pPr>
              <w:pStyle w:val="TableParagraph"/>
              <w:spacing w:before="37"/>
              <w:ind w:left="54"/>
              <w:rPr>
                <w:sz w:val="21"/>
              </w:rPr>
            </w:pPr>
            <w:r>
              <w:rPr>
                <w:sz w:val="21"/>
              </w:rPr>
              <w:t>（2）相当于 Binet 分期方案 A 期程度的慢性淋巴细胞白血病；</w:t>
            </w:r>
          </w:p>
          <w:p>
            <w:pPr>
              <w:pStyle w:val="TableParagraph"/>
              <w:spacing w:before="37"/>
              <w:ind w:left="54"/>
              <w:rPr>
                <w:sz w:val="21"/>
              </w:rPr>
            </w:pPr>
            <w:r>
              <w:rPr>
                <w:sz w:val="21"/>
              </w:rPr>
              <w:t>（3）相当于 Ann Arbor 分期方案 I 期程度的何杰金氏病；</w:t>
            </w:r>
          </w:p>
          <w:p>
            <w:pPr>
              <w:pStyle w:val="TableParagraph"/>
              <w:spacing w:before="37"/>
              <w:ind w:left="5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5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w:t>
            </w:r>
            <w:r>
              <w:rPr>
                <w:spacing w:val="53"/>
                <w:sz w:val="11"/>
              </w:rPr>
              <w:t> </w:t>
            </w:r>
            <w:r>
              <w:rPr>
                <w:spacing w:val="-3"/>
                <w:position w:val="1"/>
                <w:sz w:val="21"/>
              </w:rPr>
              <w:t>期或更轻分期的前列腺癌。</w:t>
            </w:r>
          </w:p>
        </w:tc>
      </w:tr>
      <w:tr>
        <w:trPr>
          <w:trHeight w:val="936" w:hRule="atLeast"/>
        </w:trPr>
        <w:tc>
          <w:tcPr>
            <w:tcW w:w="419" w:type="dxa"/>
          </w:tcPr>
          <w:p>
            <w:pPr>
              <w:pStyle w:val="TableParagraph"/>
              <w:spacing w:before="176"/>
              <w:ind w:right="105"/>
              <w:jc w:val="right"/>
              <w:rPr>
                <w:rFonts w:ascii="Calibri"/>
                <w:b/>
                <w:sz w:val="22"/>
              </w:rPr>
            </w:pPr>
            <w:r>
              <w:rPr>
                <w:rFonts w:ascii="Calibri"/>
                <w:b/>
                <w:w w:val="100"/>
                <w:sz w:val="22"/>
              </w:rPr>
              <w:t>2</w:t>
            </w:r>
          </w:p>
        </w:tc>
        <w:tc>
          <w:tcPr>
            <w:tcW w:w="2038" w:type="dxa"/>
          </w:tcPr>
          <w:p>
            <w:pPr>
              <w:pStyle w:val="TableParagraph"/>
              <w:spacing w:before="80"/>
              <w:ind w:left="107"/>
              <w:rPr>
                <w:rFonts w:ascii="微软雅黑" w:eastAsia="微软雅黑" w:hint="eastAsia"/>
                <w:b/>
                <w:sz w:val="21"/>
              </w:rPr>
            </w:pPr>
            <w:r>
              <w:rPr>
                <w:rFonts w:ascii="微软雅黑" w:eastAsia="微软雅黑" w:hint="eastAsia"/>
                <w:b/>
                <w:sz w:val="21"/>
              </w:rPr>
              <w:t>单侧肺脏切除</w:t>
            </w:r>
          </w:p>
        </w:tc>
        <w:tc>
          <w:tcPr>
            <w:tcW w:w="7496" w:type="dxa"/>
          </w:tcPr>
          <w:p>
            <w:pPr>
              <w:pStyle w:val="TableParagraph"/>
              <w:spacing w:line="206" w:lineRule="auto" w:before="131"/>
              <w:ind w:left="54" w:right="495"/>
              <w:rPr>
                <w:rFonts w:ascii="微软雅黑" w:eastAsia="微软雅黑" w:hint="eastAsia"/>
                <w:b/>
                <w:sz w:val="21"/>
              </w:rPr>
            </w:pPr>
            <w:r>
              <w:rPr>
                <w:spacing w:val="-3"/>
                <w:sz w:val="21"/>
              </w:rPr>
              <w:t>因疾病或意外事故实际实施的一侧肺脏切除术。</w:t>
            </w:r>
            <w:r>
              <w:rPr>
                <w:rFonts w:ascii="微软雅黑" w:eastAsia="微软雅黑" w:hint="eastAsia"/>
                <w:b/>
                <w:spacing w:val="-1"/>
                <w:sz w:val="21"/>
                <w:shd w:fill="D9D9D9" w:color="auto" w:val="clear"/>
              </w:rPr>
              <w:t>部分切除手术和肺脏捐献引起的手术不在保障</w:t>
            </w:r>
            <w:r>
              <w:rPr>
                <w:rFonts w:ascii="微软雅黑" w:eastAsia="微软雅黑" w:hint="eastAsia"/>
                <w:b/>
                <w:spacing w:val="-211"/>
                <w:sz w:val="21"/>
                <w:shd w:fill="D9D9D9" w:color="auto" w:val="clear"/>
              </w:rPr>
              <w:t>范</w:t>
            </w:r>
            <w:r>
              <w:rPr>
                <w:rFonts w:ascii="微软雅黑" w:eastAsia="微软雅黑" w:hint="eastAsia"/>
                <w:b/>
                <w:spacing w:val="-2"/>
                <w:sz w:val="21"/>
                <w:shd w:fill="D9D9D9" w:color="auto" w:val="clear"/>
              </w:rPr>
              <w:t>围内。</w:t>
            </w:r>
          </w:p>
        </w:tc>
      </w:tr>
      <w:tr>
        <w:trPr>
          <w:trHeight w:val="2184" w:hRule="atLeast"/>
        </w:trPr>
        <w:tc>
          <w:tcPr>
            <w:tcW w:w="419" w:type="dxa"/>
          </w:tcPr>
          <w:p>
            <w:pPr>
              <w:pStyle w:val="TableParagraph"/>
              <w:spacing w:before="176"/>
              <w:ind w:right="105"/>
              <w:jc w:val="right"/>
              <w:rPr>
                <w:rFonts w:ascii="Calibri"/>
                <w:b/>
                <w:sz w:val="22"/>
              </w:rPr>
            </w:pPr>
            <w:r>
              <w:rPr>
                <w:rFonts w:ascii="Calibri"/>
                <w:b/>
                <w:w w:val="100"/>
                <w:sz w:val="22"/>
              </w:rPr>
              <w:t>3</w:t>
            </w:r>
          </w:p>
        </w:tc>
        <w:tc>
          <w:tcPr>
            <w:tcW w:w="2038" w:type="dxa"/>
          </w:tcPr>
          <w:p>
            <w:pPr>
              <w:pStyle w:val="TableParagraph"/>
              <w:spacing w:before="80"/>
              <w:ind w:left="107"/>
              <w:rPr>
                <w:rFonts w:ascii="微软雅黑" w:eastAsia="微软雅黑" w:hint="eastAsia"/>
                <w:b/>
                <w:sz w:val="21"/>
              </w:rPr>
            </w:pPr>
            <w:r>
              <w:rPr>
                <w:rFonts w:ascii="微软雅黑" w:eastAsia="微软雅黑" w:hint="eastAsia"/>
                <w:b/>
                <w:sz w:val="21"/>
              </w:rPr>
              <w:t>慢性肾功能障碍</w:t>
            </w:r>
          </w:p>
        </w:tc>
        <w:tc>
          <w:tcPr>
            <w:tcW w:w="7496" w:type="dxa"/>
          </w:tcPr>
          <w:p>
            <w:pPr>
              <w:pStyle w:val="TableParagraph"/>
              <w:spacing w:before="143"/>
              <w:ind w:left="54"/>
              <w:rPr>
                <w:sz w:val="21"/>
              </w:rPr>
            </w:pPr>
            <w:r>
              <w:rPr>
                <w:sz w:val="21"/>
              </w:rPr>
              <w:t>慢性肾功能障碍是指慢性肾功能不全的晚期，但未达到本合同所指重大疾病</w:t>
            </w:r>
          </w:p>
          <w:p>
            <w:pPr>
              <w:pStyle w:val="TableParagraph"/>
              <w:spacing w:line="273" w:lineRule="auto" w:before="37"/>
              <w:ind w:left="54" w:right="302"/>
              <w:rPr>
                <w:sz w:val="21"/>
              </w:rPr>
            </w:pPr>
            <w:r>
              <w:rPr>
                <w:spacing w:val="-9"/>
                <w:sz w:val="21"/>
              </w:rPr>
              <w:t>“终末期肾病</w:t>
            </w:r>
            <w:r>
              <w:rPr>
                <w:spacing w:val="-3"/>
                <w:sz w:val="21"/>
              </w:rPr>
              <w:t>（或称慢性肾功能衰竭尿毒症期</w:t>
            </w:r>
            <w:r>
              <w:rPr>
                <w:spacing w:val="-73"/>
                <w:sz w:val="21"/>
              </w:rPr>
              <w:t>）</w:t>
            </w:r>
            <w:r>
              <w:rPr>
                <w:spacing w:val="-13"/>
                <w:sz w:val="21"/>
              </w:rPr>
              <w:t>”的标准，必须满足下列全部条件：</w:t>
            </w:r>
          </w:p>
          <w:p>
            <w:pPr>
              <w:pStyle w:val="TableParagraph"/>
              <w:spacing w:line="273" w:lineRule="auto" w:before="7"/>
              <w:ind w:left="54" w:right="297"/>
              <w:rPr>
                <w:sz w:val="21"/>
              </w:rPr>
            </w:pPr>
            <w:r>
              <w:rPr>
                <w:sz w:val="21"/>
              </w:rPr>
              <w:t>（1）肾小球滤过率（使用 MDRD 公式或 Cockcroft-Gault 公式计算的结果） 低于 30ml./min/1.73 平方米，且此状态须持续至少 180 天；</w:t>
            </w:r>
          </w:p>
          <w:p>
            <w:pPr>
              <w:pStyle w:val="TableParagraph"/>
              <w:spacing w:before="7"/>
              <w:ind w:left="54"/>
              <w:rPr>
                <w:sz w:val="21"/>
              </w:rPr>
            </w:pPr>
            <w:r>
              <w:rPr>
                <w:sz w:val="21"/>
              </w:rPr>
              <w:t>（2）慢性肾功能障碍的诊断必须由专科医生确诊。</w:t>
            </w:r>
          </w:p>
        </w:tc>
      </w:tr>
      <w:tr>
        <w:trPr>
          <w:trHeight w:val="936" w:hRule="atLeast"/>
        </w:trPr>
        <w:tc>
          <w:tcPr>
            <w:tcW w:w="419" w:type="dxa"/>
          </w:tcPr>
          <w:p>
            <w:pPr>
              <w:pStyle w:val="TableParagraph"/>
              <w:spacing w:before="176"/>
              <w:ind w:right="105"/>
              <w:jc w:val="right"/>
              <w:rPr>
                <w:rFonts w:ascii="Calibri"/>
                <w:b/>
                <w:sz w:val="22"/>
              </w:rPr>
            </w:pPr>
            <w:r>
              <w:rPr>
                <w:rFonts w:ascii="Calibri"/>
                <w:b/>
                <w:w w:val="100"/>
                <w:sz w:val="22"/>
              </w:rPr>
              <w:t>4</w:t>
            </w:r>
          </w:p>
        </w:tc>
        <w:tc>
          <w:tcPr>
            <w:tcW w:w="2038" w:type="dxa"/>
          </w:tcPr>
          <w:p>
            <w:pPr>
              <w:pStyle w:val="TableParagraph"/>
              <w:spacing w:before="80"/>
              <w:ind w:left="107"/>
              <w:rPr>
                <w:rFonts w:ascii="微软雅黑" w:eastAsia="微软雅黑" w:hint="eastAsia"/>
                <w:b/>
                <w:sz w:val="21"/>
              </w:rPr>
            </w:pPr>
            <w:r>
              <w:rPr>
                <w:rFonts w:ascii="微软雅黑" w:eastAsia="微软雅黑" w:hint="eastAsia"/>
                <w:b/>
                <w:sz w:val="21"/>
              </w:rPr>
              <w:t>肝脏手术</w:t>
            </w:r>
          </w:p>
        </w:tc>
        <w:tc>
          <w:tcPr>
            <w:tcW w:w="7496" w:type="dxa"/>
          </w:tcPr>
          <w:p>
            <w:pPr>
              <w:pStyle w:val="TableParagraph"/>
              <w:spacing w:line="273" w:lineRule="auto" w:before="142"/>
              <w:ind w:left="54" w:right="265"/>
              <w:rPr>
                <w:sz w:val="21"/>
              </w:rPr>
            </w:pPr>
            <w:r>
              <w:rPr>
                <w:sz w:val="21"/>
              </w:rPr>
              <w:t>指因疾病或意外事故实际实施的肝脏部分切除术，手术须有至少一个完整的肝叶切除。</w:t>
            </w:r>
          </w:p>
        </w:tc>
      </w:tr>
      <w:tr>
        <w:trPr>
          <w:trHeight w:val="936" w:hRule="atLeast"/>
        </w:trPr>
        <w:tc>
          <w:tcPr>
            <w:tcW w:w="419" w:type="dxa"/>
          </w:tcPr>
          <w:p>
            <w:pPr>
              <w:pStyle w:val="TableParagraph"/>
              <w:spacing w:before="176"/>
              <w:ind w:right="105"/>
              <w:jc w:val="right"/>
              <w:rPr>
                <w:rFonts w:ascii="Calibri"/>
                <w:b/>
                <w:sz w:val="22"/>
              </w:rPr>
            </w:pPr>
            <w:r>
              <w:rPr>
                <w:rFonts w:ascii="Calibri"/>
                <w:b/>
                <w:w w:val="100"/>
                <w:sz w:val="22"/>
              </w:rPr>
              <w:t>5</w:t>
            </w:r>
          </w:p>
        </w:tc>
        <w:tc>
          <w:tcPr>
            <w:tcW w:w="2038" w:type="dxa"/>
          </w:tcPr>
          <w:p>
            <w:pPr>
              <w:pStyle w:val="TableParagraph"/>
              <w:spacing w:line="206" w:lineRule="auto" w:before="131"/>
              <w:ind w:left="107" w:right="158"/>
              <w:rPr>
                <w:rFonts w:ascii="微软雅黑" w:eastAsia="微软雅黑" w:hint="eastAsia"/>
                <w:b/>
                <w:sz w:val="21"/>
              </w:rPr>
            </w:pPr>
            <w:r>
              <w:rPr>
                <w:rFonts w:ascii="微软雅黑" w:eastAsia="微软雅黑" w:hint="eastAsia"/>
                <w:b/>
                <w:sz w:val="21"/>
              </w:rPr>
              <w:t>双侧卵巢或双侧睾丸切除术</w:t>
            </w:r>
          </w:p>
        </w:tc>
        <w:tc>
          <w:tcPr>
            <w:tcW w:w="7496" w:type="dxa"/>
          </w:tcPr>
          <w:p>
            <w:pPr>
              <w:pStyle w:val="TableParagraph"/>
              <w:spacing w:line="206" w:lineRule="auto" w:before="131"/>
              <w:ind w:left="54" w:right="262"/>
              <w:rPr>
                <w:rFonts w:ascii="微软雅黑" w:eastAsia="微软雅黑" w:hint="eastAsia"/>
                <w:b/>
                <w:sz w:val="21"/>
              </w:rPr>
            </w:pPr>
            <w:r>
              <w:rPr>
                <w:sz w:val="21"/>
              </w:rPr>
              <w:t>指为治疗疾病实际接受了双侧卵巢或双侧睾丸完全切除手术。</w:t>
            </w:r>
            <w:r>
              <w:rPr>
                <w:rFonts w:ascii="微软雅黑" w:eastAsia="微软雅黑" w:hint="eastAsia"/>
                <w:b/>
                <w:sz w:val="21"/>
                <w:shd w:fill="D9D9D9" w:color="auto" w:val="clear"/>
              </w:rPr>
              <w:t>部分卵巢或睾丸切除不在保障范围。</w:t>
            </w:r>
          </w:p>
        </w:tc>
      </w:tr>
      <w:tr>
        <w:trPr>
          <w:trHeight w:val="936" w:hRule="atLeast"/>
        </w:trPr>
        <w:tc>
          <w:tcPr>
            <w:tcW w:w="419" w:type="dxa"/>
          </w:tcPr>
          <w:p>
            <w:pPr>
              <w:pStyle w:val="TableParagraph"/>
              <w:spacing w:before="176"/>
              <w:ind w:right="105"/>
              <w:jc w:val="right"/>
              <w:rPr>
                <w:rFonts w:ascii="Calibri"/>
                <w:b/>
                <w:sz w:val="22"/>
              </w:rPr>
            </w:pPr>
            <w:r>
              <w:rPr>
                <w:rFonts w:ascii="Calibri"/>
                <w:b/>
                <w:w w:val="100"/>
                <w:sz w:val="22"/>
              </w:rPr>
              <w:t>6</w:t>
            </w:r>
          </w:p>
        </w:tc>
        <w:tc>
          <w:tcPr>
            <w:tcW w:w="2038" w:type="dxa"/>
          </w:tcPr>
          <w:p>
            <w:pPr>
              <w:pStyle w:val="TableParagraph"/>
              <w:spacing w:before="80"/>
              <w:ind w:left="107"/>
              <w:rPr>
                <w:rFonts w:ascii="微软雅黑" w:eastAsia="微软雅黑" w:hint="eastAsia"/>
                <w:b/>
                <w:sz w:val="21"/>
              </w:rPr>
            </w:pPr>
            <w:r>
              <w:rPr>
                <w:rFonts w:ascii="微软雅黑" w:eastAsia="微软雅黑" w:hint="eastAsia"/>
                <w:b/>
                <w:sz w:val="21"/>
              </w:rPr>
              <w:t>胆道重建手术</w:t>
            </w:r>
          </w:p>
        </w:tc>
        <w:tc>
          <w:tcPr>
            <w:tcW w:w="7496" w:type="dxa"/>
          </w:tcPr>
          <w:p>
            <w:pPr>
              <w:pStyle w:val="TableParagraph"/>
              <w:spacing w:line="223" w:lineRule="auto" w:before="162"/>
              <w:ind w:left="54" w:right="265"/>
              <w:rPr>
                <w:rFonts w:ascii="微软雅黑" w:eastAsia="微软雅黑" w:hint="eastAsia"/>
                <w:b/>
                <w:sz w:val="21"/>
              </w:rPr>
            </w:pPr>
            <w:r>
              <w:rPr>
                <w:sz w:val="21"/>
              </w:rPr>
              <w:t>指因疾病或胆道创伤导致接受涉及胆总管小肠吻合术的胆道重建手术。手术必须在专科医生认为是医疗所需的情况下进行。</w:t>
            </w:r>
            <w:r>
              <w:rPr>
                <w:rFonts w:ascii="微软雅黑" w:eastAsia="微软雅黑" w:hint="eastAsia"/>
                <w:b/>
                <w:sz w:val="21"/>
                <w:shd w:fill="D9D9D9" w:color="auto" w:val="clear"/>
              </w:rPr>
              <w:t>胆道闭锁不在保障范围内。</w:t>
            </w:r>
          </w:p>
        </w:tc>
      </w:tr>
      <w:tr>
        <w:trPr>
          <w:trHeight w:val="1872" w:hRule="atLeast"/>
        </w:trPr>
        <w:tc>
          <w:tcPr>
            <w:tcW w:w="419" w:type="dxa"/>
          </w:tcPr>
          <w:p>
            <w:pPr>
              <w:pStyle w:val="TableParagraph"/>
              <w:spacing w:before="176"/>
              <w:ind w:right="105"/>
              <w:jc w:val="right"/>
              <w:rPr>
                <w:rFonts w:ascii="Calibri"/>
                <w:b/>
                <w:sz w:val="22"/>
              </w:rPr>
            </w:pPr>
            <w:r>
              <w:rPr>
                <w:rFonts w:ascii="Calibri"/>
                <w:b/>
                <w:w w:val="100"/>
                <w:sz w:val="22"/>
              </w:rPr>
              <w:t>7</w:t>
            </w:r>
          </w:p>
        </w:tc>
        <w:tc>
          <w:tcPr>
            <w:tcW w:w="2038" w:type="dxa"/>
          </w:tcPr>
          <w:p>
            <w:pPr>
              <w:pStyle w:val="TableParagraph"/>
              <w:spacing w:line="206" w:lineRule="auto" w:before="131"/>
              <w:ind w:left="107" w:right="158"/>
              <w:rPr>
                <w:rFonts w:ascii="微软雅黑" w:eastAsia="微软雅黑" w:hint="eastAsia"/>
                <w:b/>
                <w:sz w:val="21"/>
              </w:rPr>
            </w:pPr>
            <w:r>
              <w:rPr>
                <w:rFonts w:ascii="微软雅黑" w:eastAsia="微软雅黑" w:hint="eastAsia"/>
                <w:b/>
                <w:sz w:val="21"/>
              </w:rPr>
              <w:t>病毒性肝炎导致的肝硬化</w:t>
            </w:r>
          </w:p>
        </w:tc>
        <w:tc>
          <w:tcPr>
            <w:tcW w:w="7496" w:type="dxa"/>
          </w:tcPr>
          <w:p>
            <w:pPr>
              <w:pStyle w:val="TableParagraph"/>
              <w:spacing w:line="273" w:lineRule="auto" w:before="142"/>
              <w:ind w:left="54" w:right="307"/>
              <w:rPr>
                <w:sz w:val="21"/>
              </w:rPr>
            </w:pPr>
            <w:r>
              <w:rPr>
                <w:sz w:val="21"/>
              </w:rPr>
              <w:t>因肝炎病毒感染的肝脏慢性炎症并发展为肝硬化。理赔时须满足下列全部条件：</w:t>
            </w:r>
          </w:p>
          <w:p>
            <w:pPr>
              <w:pStyle w:val="TableParagraph"/>
              <w:spacing w:before="7"/>
              <w:ind w:left="54"/>
              <w:rPr>
                <w:sz w:val="21"/>
              </w:rPr>
            </w:pPr>
            <w:r>
              <w:rPr>
                <w:sz w:val="21"/>
              </w:rPr>
              <w:t>（1）被保人有感染慢性肝炎病毒的血清学及实验室检查报告等临床证据；</w:t>
            </w:r>
          </w:p>
          <w:p>
            <w:pPr>
              <w:pStyle w:val="TableParagraph"/>
              <w:spacing w:line="273" w:lineRule="auto" w:before="37"/>
              <w:ind w:left="54" w:right="156"/>
              <w:rPr>
                <w:sz w:val="21"/>
              </w:rPr>
            </w:pPr>
            <w:r>
              <w:rPr>
                <w:sz w:val="21"/>
              </w:rPr>
              <w:t>（2）必须由本公司认可医院的消化科专科医生基于肝脏组织病理学检查报告、临床表现及病史对肝炎病毒感染导致肝硬化作出明确诊断。</w:t>
            </w:r>
          </w:p>
        </w:tc>
      </w:tr>
      <w:tr>
        <w:trPr>
          <w:trHeight w:val="1872" w:hRule="atLeast"/>
        </w:trPr>
        <w:tc>
          <w:tcPr>
            <w:tcW w:w="419" w:type="dxa"/>
          </w:tcPr>
          <w:p>
            <w:pPr>
              <w:pStyle w:val="TableParagraph"/>
              <w:spacing w:before="176"/>
              <w:ind w:right="105"/>
              <w:jc w:val="right"/>
              <w:rPr>
                <w:rFonts w:ascii="Calibri"/>
                <w:b/>
                <w:sz w:val="22"/>
              </w:rPr>
            </w:pPr>
            <w:r>
              <w:rPr>
                <w:rFonts w:ascii="Calibri"/>
                <w:b/>
                <w:w w:val="100"/>
                <w:sz w:val="22"/>
              </w:rPr>
              <w:t>8</w:t>
            </w:r>
          </w:p>
        </w:tc>
        <w:tc>
          <w:tcPr>
            <w:tcW w:w="2038" w:type="dxa"/>
          </w:tcPr>
          <w:p>
            <w:pPr>
              <w:pStyle w:val="TableParagraph"/>
              <w:spacing w:before="80"/>
              <w:ind w:left="107"/>
              <w:rPr>
                <w:rFonts w:ascii="微软雅黑" w:eastAsia="微软雅黑" w:hint="eastAsia"/>
                <w:b/>
                <w:sz w:val="21"/>
              </w:rPr>
            </w:pPr>
            <w:r>
              <w:rPr>
                <w:rFonts w:ascii="微软雅黑" w:eastAsia="微软雅黑" w:hint="eastAsia"/>
                <w:b/>
                <w:sz w:val="21"/>
              </w:rPr>
              <w:t>轻微脑中风</w:t>
            </w:r>
          </w:p>
        </w:tc>
        <w:tc>
          <w:tcPr>
            <w:tcW w:w="7496" w:type="dxa"/>
          </w:tcPr>
          <w:p>
            <w:pPr>
              <w:pStyle w:val="TableParagraph"/>
              <w:spacing w:line="273" w:lineRule="auto" w:before="143"/>
              <w:ind w:left="54" w:right="293"/>
              <w:jc w:val="both"/>
              <w:rPr>
                <w:sz w:val="21"/>
              </w:rPr>
            </w:pPr>
            <w:r>
              <w:rPr>
                <w:spacing w:val="-3"/>
                <w:sz w:val="21"/>
              </w:rPr>
              <w:t>实际发生了脑血管的突发病变出现神经系统功能障碍表现，并接受住院治疗， </w:t>
            </w:r>
            <w:r>
              <w:rPr>
                <w:spacing w:val="-7"/>
                <w:w w:val="100"/>
                <w:sz w:val="21"/>
              </w:rPr>
              <w:t>头颅断层扫描</w:t>
            </w:r>
            <w:r>
              <w:rPr>
                <w:spacing w:val="-1"/>
                <w:w w:val="100"/>
                <w:sz w:val="21"/>
              </w:rPr>
              <w:t>（</w:t>
            </w:r>
            <w:r>
              <w:rPr>
                <w:w w:val="100"/>
                <w:sz w:val="21"/>
              </w:rPr>
              <w:t>C</w:t>
            </w:r>
            <w:r>
              <w:rPr>
                <w:spacing w:val="-3"/>
                <w:w w:val="100"/>
                <w:sz w:val="21"/>
              </w:rPr>
              <w:t>T</w:t>
            </w:r>
            <w:r>
              <w:rPr>
                <w:spacing w:val="-108"/>
                <w:w w:val="100"/>
                <w:sz w:val="21"/>
              </w:rPr>
              <w:t>）</w:t>
            </w:r>
            <w:r>
              <w:rPr>
                <w:w w:val="100"/>
                <w:sz w:val="21"/>
              </w:rPr>
              <w:t>、</w:t>
            </w:r>
            <w:r>
              <w:rPr>
                <w:sz w:val="21"/>
              </w:rPr>
              <w:t> </w:t>
            </w:r>
            <w:r>
              <w:rPr>
                <w:spacing w:val="-8"/>
                <w:w w:val="100"/>
                <w:sz w:val="21"/>
              </w:rPr>
              <w:t>核磁共振</w:t>
            </w:r>
            <w:r>
              <w:rPr>
                <w:spacing w:val="-2"/>
                <w:w w:val="100"/>
                <w:sz w:val="21"/>
              </w:rPr>
              <w:t>（</w:t>
            </w:r>
            <w:r>
              <w:rPr>
                <w:w w:val="100"/>
                <w:sz w:val="21"/>
              </w:rPr>
              <w:t>MR</w:t>
            </w:r>
            <w:r>
              <w:rPr>
                <w:spacing w:val="-3"/>
                <w:w w:val="100"/>
                <w:sz w:val="21"/>
              </w:rPr>
              <w:t>I</w:t>
            </w:r>
            <w:r>
              <w:rPr>
                <w:spacing w:val="-25"/>
                <w:w w:val="100"/>
                <w:sz w:val="21"/>
              </w:rPr>
              <w:t>）</w:t>
            </w:r>
            <w:r>
              <w:rPr>
                <w:spacing w:val="-5"/>
                <w:w w:val="100"/>
                <w:sz w:val="21"/>
              </w:rPr>
              <w:t>等影像学检查证实存在对应病灶，确诊</w:t>
            </w:r>
            <w:r>
              <w:rPr>
                <w:sz w:val="21"/>
              </w:rPr>
              <w:t>为脑出血、脑栓塞或脑梗塞，在确诊 180</w:t>
            </w:r>
            <w:r>
              <w:rPr>
                <w:spacing w:val="-1"/>
                <w:sz w:val="21"/>
              </w:rPr>
              <w:t> 天后仍然遗留一肢或一肢以上肢体</w:t>
            </w:r>
            <w:r>
              <w:rPr>
                <w:spacing w:val="-5"/>
                <w:sz w:val="21"/>
              </w:rPr>
              <w:t>肌力Ⅲ级或Ⅲ级以下的运动功能障碍，但未达到本合同所指重大疾病“脑中风</w:t>
            </w:r>
            <w:r>
              <w:rPr>
                <w:spacing w:val="-4"/>
                <w:sz w:val="21"/>
              </w:rPr>
              <w:t>后遗症”的给付标准。</w:t>
            </w:r>
          </w:p>
        </w:tc>
      </w:tr>
      <w:tr>
        <w:trPr>
          <w:trHeight w:val="1041" w:hRule="atLeast"/>
        </w:trPr>
        <w:tc>
          <w:tcPr>
            <w:tcW w:w="419" w:type="dxa"/>
          </w:tcPr>
          <w:p>
            <w:pPr>
              <w:pStyle w:val="TableParagraph"/>
              <w:spacing w:before="176"/>
              <w:ind w:right="105"/>
              <w:jc w:val="right"/>
              <w:rPr>
                <w:rFonts w:ascii="Calibri"/>
                <w:b/>
                <w:sz w:val="22"/>
              </w:rPr>
            </w:pPr>
            <w:r>
              <w:rPr>
                <w:rFonts w:ascii="Calibri"/>
                <w:b/>
                <w:w w:val="100"/>
                <w:sz w:val="22"/>
              </w:rPr>
              <w:t>9</w:t>
            </w:r>
          </w:p>
        </w:tc>
        <w:tc>
          <w:tcPr>
            <w:tcW w:w="2038" w:type="dxa"/>
          </w:tcPr>
          <w:p>
            <w:pPr>
              <w:pStyle w:val="TableParagraph"/>
              <w:spacing w:line="312" w:lineRule="exact" w:before="138"/>
              <w:ind w:left="107" w:right="20"/>
              <w:rPr>
                <w:rFonts w:ascii="微软雅黑" w:eastAsia="微软雅黑" w:hint="eastAsia"/>
                <w:b/>
                <w:sz w:val="21"/>
              </w:rPr>
            </w:pPr>
            <w:r>
              <w:rPr>
                <w:rFonts w:ascii="微软雅黑" w:eastAsia="微软雅黑" w:hint="eastAsia"/>
                <w:b/>
                <w:sz w:val="21"/>
              </w:rPr>
              <w:t>脑垂体瘤、脑囊肿、脑动脉瘤及脑血管瘤</w:t>
            </w:r>
          </w:p>
        </w:tc>
        <w:tc>
          <w:tcPr>
            <w:tcW w:w="7496" w:type="dxa"/>
          </w:tcPr>
          <w:p>
            <w:pPr>
              <w:pStyle w:val="TableParagraph"/>
              <w:spacing w:line="273" w:lineRule="auto" w:before="142"/>
              <w:ind w:left="54" w:right="399"/>
              <w:rPr>
                <w:sz w:val="21"/>
              </w:rPr>
            </w:pPr>
            <w:r>
              <w:rPr>
                <w:spacing w:val="-3"/>
                <w:w w:val="100"/>
                <w:sz w:val="21"/>
              </w:rPr>
              <w:t>指经头颅断层扫描（</w:t>
            </w:r>
            <w:r>
              <w:rPr>
                <w:w w:val="100"/>
                <w:sz w:val="21"/>
              </w:rPr>
              <w:t>CT</w:t>
            </w:r>
            <w:r>
              <w:rPr>
                <w:spacing w:val="-108"/>
                <w:w w:val="100"/>
                <w:sz w:val="21"/>
              </w:rPr>
              <w:t>）</w:t>
            </w:r>
            <w:r>
              <w:rPr>
                <w:w w:val="100"/>
                <w:sz w:val="21"/>
              </w:rPr>
              <w:t>、</w:t>
            </w:r>
            <w:r>
              <w:rPr>
                <w:sz w:val="21"/>
              </w:rPr>
              <w:t> </w:t>
            </w:r>
            <w:r>
              <w:rPr>
                <w:spacing w:val="-3"/>
                <w:w w:val="100"/>
                <w:sz w:val="21"/>
              </w:rPr>
              <w:t>核磁共振</w:t>
            </w:r>
            <w:r>
              <w:rPr>
                <w:spacing w:val="-1"/>
                <w:w w:val="100"/>
                <w:sz w:val="21"/>
              </w:rPr>
              <w:t>（</w:t>
            </w:r>
            <w:r>
              <w:rPr>
                <w:w w:val="100"/>
                <w:sz w:val="21"/>
              </w:rPr>
              <w:t>MR</w:t>
            </w:r>
            <w:r>
              <w:rPr>
                <w:spacing w:val="-3"/>
                <w:w w:val="100"/>
                <w:sz w:val="21"/>
              </w:rPr>
              <w:t>I</w:t>
            </w:r>
            <w:r>
              <w:rPr>
                <w:w w:val="100"/>
                <w:sz w:val="21"/>
              </w:rPr>
              <w:t>）</w:t>
            </w:r>
            <w:r>
              <w:rPr>
                <w:spacing w:val="-3"/>
                <w:w w:val="100"/>
                <w:sz w:val="21"/>
              </w:rPr>
              <w:t>或其他影像学检查被确诊为下列</w:t>
            </w:r>
            <w:r>
              <w:rPr>
                <w:spacing w:val="-3"/>
                <w:sz w:val="21"/>
              </w:rPr>
              <w:t>病变，并实际接受了手术或放射治疗。</w:t>
            </w:r>
          </w:p>
          <w:p>
            <w:pPr>
              <w:pStyle w:val="TableParagraph"/>
              <w:spacing w:line="255" w:lineRule="exact" w:before="7"/>
              <w:ind w:left="54"/>
              <w:rPr>
                <w:sz w:val="21"/>
              </w:rPr>
            </w:pPr>
            <w:r>
              <w:rPr>
                <w:sz w:val="21"/>
              </w:rPr>
              <w:t>（1）脑垂体瘤；</w:t>
            </w:r>
          </w:p>
        </w:tc>
      </w:tr>
    </w:tbl>
    <w:p>
      <w:pPr>
        <w:spacing w:after="0" w:line="255" w:lineRule="exact"/>
        <w:rPr>
          <w:sz w:val="21"/>
        </w:rPr>
        <w:sectPr>
          <w:pgSz w:w="11910" w:h="16840"/>
          <w:pgMar w:header="0" w:footer="705" w:top="1380" w:bottom="980" w:left="96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1984"/>
        <w:gridCol w:w="7549"/>
      </w:tblGrid>
      <w:tr>
        <w:trPr>
          <w:trHeight w:val="730" w:hRule="atLeast"/>
        </w:trPr>
        <w:tc>
          <w:tcPr>
            <w:tcW w:w="532" w:type="dxa"/>
          </w:tcPr>
          <w:p>
            <w:pPr>
              <w:pStyle w:val="TableParagraph"/>
              <w:rPr>
                <w:rFonts w:ascii="Times New Roman"/>
                <w:sz w:val="20"/>
              </w:rPr>
            </w:pPr>
          </w:p>
        </w:tc>
        <w:tc>
          <w:tcPr>
            <w:tcW w:w="1984" w:type="dxa"/>
          </w:tcPr>
          <w:p>
            <w:pPr>
              <w:pStyle w:val="TableParagraph"/>
              <w:rPr>
                <w:rFonts w:ascii="Times New Roman"/>
                <w:sz w:val="20"/>
              </w:rPr>
            </w:pPr>
          </w:p>
        </w:tc>
        <w:tc>
          <w:tcPr>
            <w:tcW w:w="7549" w:type="dxa"/>
          </w:tcPr>
          <w:p>
            <w:pPr>
              <w:pStyle w:val="TableParagraph"/>
              <w:spacing w:line="203" w:lineRule="exact"/>
              <w:ind w:left="108"/>
              <w:rPr>
                <w:sz w:val="21"/>
              </w:rPr>
            </w:pPr>
            <w:r>
              <w:rPr>
                <w:sz w:val="21"/>
              </w:rPr>
              <w:t>（2）脑囊肿；</w:t>
            </w:r>
          </w:p>
          <w:p>
            <w:pPr>
              <w:pStyle w:val="TableParagraph"/>
              <w:spacing w:before="37"/>
              <w:ind w:left="108"/>
              <w:rPr>
                <w:sz w:val="21"/>
              </w:rPr>
            </w:pPr>
            <w:r>
              <w:rPr>
                <w:sz w:val="21"/>
              </w:rPr>
              <w:t>（3）脑动脉瘤、脑血管瘤。</w:t>
            </w:r>
          </w:p>
        </w:tc>
      </w:tr>
      <w:tr>
        <w:trPr>
          <w:trHeight w:val="1560" w:hRule="atLeast"/>
        </w:trPr>
        <w:tc>
          <w:tcPr>
            <w:tcW w:w="532" w:type="dxa"/>
          </w:tcPr>
          <w:p>
            <w:pPr>
              <w:pStyle w:val="TableParagraph"/>
              <w:spacing w:before="168"/>
              <w:ind w:left="180" w:right="87"/>
              <w:jc w:val="center"/>
              <w:rPr>
                <w:rFonts w:ascii="Calibri"/>
                <w:b/>
                <w:sz w:val="22"/>
              </w:rPr>
            </w:pPr>
            <w:r>
              <w:rPr>
                <w:rFonts w:ascii="Calibri"/>
                <w:b/>
                <w:sz w:val="22"/>
              </w:rPr>
              <w:t>10</w:t>
            </w:r>
          </w:p>
        </w:tc>
        <w:tc>
          <w:tcPr>
            <w:tcW w:w="1984" w:type="dxa"/>
          </w:tcPr>
          <w:p>
            <w:pPr>
              <w:pStyle w:val="TableParagraph"/>
              <w:spacing w:line="206" w:lineRule="auto" w:before="123"/>
              <w:ind w:left="107" w:right="104"/>
              <w:rPr>
                <w:rFonts w:ascii="微软雅黑" w:eastAsia="微软雅黑" w:hint="eastAsia"/>
                <w:b/>
                <w:sz w:val="21"/>
              </w:rPr>
            </w:pPr>
            <w:r>
              <w:rPr>
                <w:rFonts w:ascii="微软雅黑" w:eastAsia="微软雅黑" w:hint="eastAsia"/>
                <w:b/>
                <w:sz w:val="21"/>
              </w:rPr>
              <w:t>轻度脑炎或脑膜炎后遗症</w:t>
            </w:r>
          </w:p>
        </w:tc>
        <w:tc>
          <w:tcPr>
            <w:tcW w:w="7549" w:type="dxa"/>
          </w:tcPr>
          <w:p>
            <w:pPr>
              <w:pStyle w:val="TableParagraph"/>
              <w:spacing w:line="273" w:lineRule="auto" w:before="134"/>
              <w:ind w:left="108" w:right="302"/>
              <w:jc w:val="both"/>
              <w:rPr>
                <w:sz w:val="21"/>
              </w:rPr>
            </w:pPr>
            <w:r>
              <w:rPr>
                <w:spacing w:val="-4"/>
                <w:sz w:val="21"/>
              </w:rPr>
              <w:t>指因患脑炎或脑膜炎导致的神经系统的永久功能障碍。神经系统永久性的功能</w:t>
            </w:r>
            <w:r>
              <w:rPr>
                <w:spacing w:val="-11"/>
                <w:sz w:val="21"/>
              </w:rPr>
              <w:t>障碍， 指疾病确诊 </w:t>
            </w:r>
            <w:r>
              <w:rPr>
                <w:sz w:val="21"/>
              </w:rPr>
              <w:t>180</w:t>
            </w:r>
            <w:r>
              <w:rPr>
                <w:spacing w:val="-13"/>
                <w:sz w:val="21"/>
              </w:rPr>
              <w:t> 天后，仍存在自主活动能力完全丧失，无法独立完成六</w:t>
            </w:r>
            <w:r>
              <w:rPr>
                <w:spacing w:val="-8"/>
                <w:sz w:val="21"/>
              </w:rPr>
              <w:t>项基本日常生活活动中的两项，但未达到重大疾病“脑炎后遗症或脑膜炎后遗</w:t>
            </w:r>
            <w:r>
              <w:rPr>
                <w:spacing w:val="-5"/>
                <w:sz w:val="21"/>
              </w:rPr>
              <w:t>症”的给付标准。</w:t>
            </w:r>
          </w:p>
        </w:tc>
      </w:tr>
      <w:tr>
        <w:trPr>
          <w:trHeight w:val="1247" w:hRule="atLeast"/>
        </w:trPr>
        <w:tc>
          <w:tcPr>
            <w:tcW w:w="532" w:type="dxa"/>
          </w:tcPr>
          <w:p>
            <w:pPr>
              <w:pStyle w:val="TableParagraph"/>
              <w:spacing w:before="168"/>
              <w:ind w:left="180" w:right="87"/>
              <w:jc w:val="center"/>
              <w:rPr>
                <w:rFonts w:ascii="Calibri"/>
                <w:b/>
                <w:sz w:val="22"/>
              </w:rPr>
            </w:pPr>
            <w:r>
              <w:rPr>
                <w:rFonts w:ascii="Calibri"/>
                <w:b/>
                <w:sz w:val="22"/>
              </w:rPr>
              <w:t>11</w:t>
            </w:r>
          </w:p>
        </w:tc>
        <w:tc>
          <w:tcPr>
            <w:tcW w:w="1984" w:type="dxa"/>
          </w:tcPr>
          <w:p>
            <w:pPr>
              <w:pStyle w:val="TableParagraph"/>
              <w:spacing w:before="72"/>
              <w:ind w:left="107"/>
              <w:rPr>
                <w:rFonts w:ascii="微软雅黑" w:eastAsia="微软雅黑" w:hint="eastAsia"/>
                <w:b/>
                <w:sz w:val="21"/>
              </w:rPr>
            </w:pPr>
            <w:r>
              <w:rPr>
                <w:rFonts w:ascii="微软雅黑" w:eastAsia="微软雅黑" w:hint="eastAsia"/>
                <w:b/>
                <w:sz w:val="21"/>
              </w:rPr>
              <w:t>深度昏迷 72 小时</w:t>
            </w:r>
          </w:p>
        </w:tc>
        <w:tc>
          <w:tcPr>
            <w:tcW w:w="7549" w:type="dxa"/>
          </w:tcPr>
          <w:p>
            <w:pPr>
              <w:pStyle w:val="TableParagraph"/>
              <w:spacing w:line="273" w:lineRule="auto" w:before="134"/>
              <w:ind w:left="108" w:right="302"/>
              <w:jc w:val="both"/>
              <w:rPr>
                <w:sz w:val="21"/>
              </w:rPr>
            </w:pPr>
            <w:r>
              <w:rPr>
                <w:spacing w:val="-5"/>
                <w:sz w:val="21"/>
              </w:rPr>
              <w:t>指因疾病或意外伤害导致意识丧失，对外界刺激和体内需求均无反应，昏迷程</w:t>
            </w:r>
            <w:r>
              <w:rPr>
                <w:spacing w:val="-4"/>
                <w:sz w:val="21"/>
              </w:rPr>
              <w:t>度按照格拉斯哥昏迷分级</w:t>
            </w:r>
            <w:r>
              <w:rPr>
                <w:sz w:val="21"/>
              </w:rPr>
              <w:t>（Glasgow</w:t>
            </w:r>
            <w:r>
              <w:rPr>
                <w:spacing w:val="53"/>
                <w:sz w:val="21"/>
              </w:rPr>
              <w:t> </w:t>
            </w:r>
            <w:r>
              <w:rPr>
                <w:sz w:val="21"/>
              </w:rPr>
              <w:t>coma</w:t>
            </w:r>
            <w:r>
              <w:rPr>
                <w:spacing w:val="53"/>
                <w:sz w:val="21"/>
              </w:rPr>
              <w:t> </w:t>
            </w:r>
            <w:r>
              <w:rPr>
                <w:sz w:val="21"/>
              </w:rPr>
              <w:t>scale</w:t>
            </w:r>
            <w:r>
              <w:rPr>
                <w:spacing w:val="-11"/>
                <w:sz w:val="21"/>
              </w:rPr>
              <w:t>)结果为 </w:t>
            </w:r>
            <w:r>
              <w:rPr>
                <w:sz w:val="21"/>
              </w:rPr>
              <w:t>5</w:t>
            </w:r>
            <w:r>
              <w:rPr>
                <w:spacing w:val="-27"/>
                <w:sz w:val="21"/>
              </w:rPr>
              <w:t> 分或 </w:t>
            </w:r>
            <w:r>
              <w:rPr>
                <w:sz w:val="21"/>
              </w:rPr>
              <w:t>5</w:t>
            </w:r>
            <w:r>
              <w:rPr>
                <w:spacing w:val="-11"/>
                <w:sz w:val="21"/>
              </w:rPr>
              <w:t> 分以下，且</w:t>
            </w:r>
            <w:r>
              <w:rPr>
                <w:spacing w:val="-8"/>
                <w:sz w:val="21"/>
              </w:rPr>
              <w:t>已经持续使用呼吸机及其他生命维持系统达到 </w:t>
            </w:r>
            <w:r>
              <w:rPr>
                <w:sz w:val="21"/>
              </w:rPr>
              <w:t>72</w:t>
            </w:r>
            <w:r>
              <w:rPr>
                <w:spacing w:val="-12"/>
                <w:sz w:val="21"/>
              </w:rPr>
              <w:t> 小时。</w:t>
            </w:r>
          </w:p>
        </w:tc>
      </w:tr>
      <w:tr>
        <w:trPr>
          <w:trHeight w:val="1248" w:hRule="atLeast"/>
        </w:trPr>
        <w:tc>
          <w:tcPr>
            <w:tcW w:w="532" w:type="dxa"/>
          </w:tcPr>
          <w:p>
            <w:pPr>
              <w:pStyle w:val="TableParagraph"/>
              <w:spacing w:before="168"/>
              <w:ind w:left="180" w:right="87"/>
              <w:jc w:val="center"/>
              <w:rPr>
                <w:rFonts w:ascii="Calibri"/>
                <w:b/>
                <w:sz w:val="22"/>
              </w:rPr>
            </w:pPr>
            <w:r>
              <w:rPr>
                <w:rFonts w:ascii="Calibri"/>
                <w:b/>
                <w:sz w:val="22"/>
              </w:rPr>
              <w:t>12</w:t>
            </w:r>
          </w:p>
        </w:tc>
        <w:tc>
          <w:tcPr>
            <w:tcW w:w="1984" w:type="dxa"/>
          </w:tcPr>
          <w:p>
            <w:pPr>
              <w:pStyle w:val="TableParagraph"/>
              <w:spacing w:before="72"/>
              <w:ind w:left="107"/>
              <w:rPr>
                <w:rFonts w:ascii="微软雅黑" w:eastAsia="微软雅黑" w:hint="eastAsia"/>
                <w:b/>
                <w:sz w:val="21"/>
              </w:rPr>
            </w:pPr>
            <w:r>
              <w:rPr>
                <w:rFonts w:ascii="微软雅黑" w:eastAsia="微软雅黑" w:hint="eastAsia"/>
                <w:b/>
                <w:sz w:val="21"/>
              </w:rPr>
              <w:t>中度瘫痪</w:t>
            </w:r>
          </w:p>
        </w:tc>
        <w:tc>
          <w:tcPr>
            <w:tcW w:w="7549" w:type="dxa"/>
          </w:tcPr>
          <w:p>
            <w:pPr>
              <w:pStyle w:val="TableParagraph"/>
              <w:spacing w:line="273" w:lineRule="auto" w:before="134"/>
              <w:ind w:left="108" w:right="196"/>
              <w:jc w:val="both"/>
              <w:rPr>
                <w:sz w:val="21"/>
              </w:rPr>
            </w:pPr>
            <w:r>
              <w:rPr>
                <w:spacing w:val="1"/>
                <w:sz w:val="21"/>
              </w:rPr>
              <w:t>指因疾病或意外伤害导致一肢肢体机能永久完全丧失，肢体机能永久完全丧</w:t>
            </w:r>
            <w:r>
              <w:rPr>
                <w:spacing w:val="-9"/>
                <w:sz w:val="21"/>
              </w:rPr>
              <w:t>失，指疾病确诊 </w:t>
            </w:r>
            <w:r>
              <w:rPr>
                <w:sz w:val="21"/>
              </w:rPr>
              <w:t>180</w:t>
            </w:r>
            <w:r>
              <w:rPr>
                <w:spacing w:val="-13"/>
                <w:sz w:val="21"/>
              </w:rPr>
              <w:t> 天后或意外伤害发生 </w:t>
            </w:r>
            <w:r>
              <w:rPr>
                <w:sz w:val="21"/>
              </w:rPr>
              <w:t>180</w:t>
            </w:r>
            <w:r>
              <w:rPr>
                <w:spacing w:val="-9"/>
                <w:sz w:val="21"/>
              </w:rPr>
              <w:t> 天后，该肢三大关节中的两大关</w:t>
            </w:r>
            <w:r>
              <w:rPr>
                <w:spacing w:val="-12"/>
                <w:sz w:val="21"/>
              </w:rPr>
              <w:t>节仍然完全僵硬，或不能随意识活动，但未达到重大疾病“瘫痪”的给付标准。</w:t>
            </w:r>
          </w:p>
        </w:tc>
      </w:tr>
      <w:tr>
        <w:trPr>
          <w:trHeight w:val="1560" w:hRule="atLeast"/>
        </w:trPr>
        <w:tc>
          <w:tcPr>
            <w:tcW w:w="532" w:type="dxa"/>
          </w:tcPr>
          <w:p>
            <w:pPr>
              <w:pStyle w:val="TableParagraph"/>
              <w:spacing w:before="168"/>
              <w:ind w:left="180" w:right="87"/>
              <w:jc w:val="center"/>
              <w:rPr>
                <w:rFonts w:ascii="Calibri"/>
                <w:b/>
                <w:sz w:val="22"/>
              </w:rPr>
            </w:pPr>
            <w:r>
              <w:rPr>
                <w:rFonts w:ascii="Calibri"/>
                <w:b/>
                <w:sz w:val="22"/>
              </w:rPr>
              <w:t>13</w:t>
            </w:r>
          </w:p>
        </w:tc>
        <w:tc>
          <w:tcPr>
            <w:tcW w:w="1984" w:type="dxa"/>
          </w:tcPr>
          <w:p>
            <w:pPr>
              <w:pStyle w:val="TableParagraph"/>
              <w:spacing w:line="206" w:lineRule="auto" w:before="123"/>
              <w:ind w:left="107" w:right="104"/>
              <w:rPr>
                <w:rFonts w:ascii="微软雅黑" w:eastAsia="微软雅黑" w:hint="eastAsia"/>
                <w:b/>
                <w:sz w:val="21"/>
              </w:rPr>
            </w:pPr>
            <w:r>
              <w:rPr>
                <w:rFonts w:ascii="微软雅黑" w:eastAsia="微软雅黑" w:hint="eastAsia"/>
                <w:b/>
                <w:sz w:val="21"/>
              </w:rPr>
              <w:t>早期运动神经性疾病</w:t>
            </w:r>
          </w:p>
        </w:tc>
        <w:tc>
          <w:tcPr>
            <w:tcW w:w="7549" w:type="dxa"/>
          </w:tcPr>
          <w:p>
            <w:pPr>
              <w:pStyle w:val="TableParagraph"/>
              <w:spacing w:line="273" w:lineRule="auto" w:before="134"/>
              <w:ind w:left="108" w:right="302"/>
              <w:jc w:val="both"/>
              <w:rPr>
                <w:sz w:val="21"/>
              </w:rPr>
            </w:pPr>
            <w:r>
              <w:rPr>
                <w:spacing w:val="-5"/>
                <w:sz w:val="21"/>
              </w:rPr>
              <w:t>是一组中枢神经系统运动神经元的进行性变性疾病，进行性脊肌萎缩症、进行性延髓麻痹症、原发性侧索硬化症、肌萎缩性侧索硬化症。须满足自主生活能</w:t>
            </w:r>
            <w:r>
              <w:rPr>
                <w:spacing w:val="-6"/>
                <w:sz w:val="21"/>
              </w:rPr>
              <w:t>力完全丧失，无法独立完成六项基本日常生活活动中的两项，但未达到本合同</w:t>
            </w:r>
            <w:r>
              <w:rPr>
                <w:spacing w:val="-4"/>
                <w:sz w:val="21"/>
              </w:rPr>
              <w:t>所指重大疾病“严重运动神经元病”的给付标准。</w:t>
            </w:r>
          </w:p>
        </w:tc>
      </w:tr>
      <w:tr>
        <w:trPr>
          <w:trHeight w:val="1872" w:hRule="atLeast"/>
        </w:trPr>
        <w:tc>
          <w:tcPr>
            <w:tcW w:w="532" w:type="dxa"/>
          </w:tcPr>
          <w:p>
            <w:pPr>
              <w:pStyle w:val="TableParagraph"/>
              <w:spacing w:before="168"/>
              <w:ind w:left="180" w:right="87"/>
              <w:jc w:val="center"/>
              <w:rPr>
                <w:rFonts w:ascii="Calibri"/>
                <w:b/>
                <w:sz w:val="22"/>
              </w:rPr>
            </w:pPr>
            <w:r>
              <w:rPr>
                <w:rFonts w:ascii="Calibri"/>
                <w:b/>
                <w:sz w:val="22"/>
              </w:rPr>
              <w:t>14</w:t>
            </w:r>
          </w:p>
        </w:tc>
        <w:tc>
          <w:tcPr>
            <w:tcW w:w="1984" w:type="dxa"/>
          </w:tcPr>
          <w:p>
            <w:pPr>
              <w:pStyle w:val="TableParagraph"/>
              <w:spacing w:before="72"/>
              <w:ind w:left="107"/>
              <w:rPr>
                <w:rFonts w:ascii="微软雅黑" w:eastAsia="微软雅黑" w:hint="eastAsia"/>
                <w:b/>
                <w:sz w:val="21"/>
              </w:rPr>
            </w:pPr>
            <w:r>
              <w:rPr>
                <w:rFonts w:ascii="微软雅黑" w:eastAsia="微软雅黑" w:hint="eastAsia"/>
                <w:b/>
                <w:sz w:val="21"/>
              </w:rPr>
              <w:t>重度头部外伤</w:t>
            </w:r>
          </w:p>
        </w:tc>
        <w:tc>
          <w:tcPr>
            <w:tcW w:w="7549" w:type="dxa"/>
          </w:tcPr>
          <w:p>
            <w:pPr>
              <w:pStyle w:val="TableParagraph"/>
              <w:spacing w:line="273" w:lineRule="auto" w:before="134"/>
              <w:ind w:left="108" w:right="302"/>
              <w:rPr>
                <w:sz w:val="21"/>
              </w:rPr>
            </w:pPr>
            <w:r>
              <w:rPr>
                <w:spacing w:val="-5"/>
                <w:sz w:val="21"/>
              </w:rPr>
              <w:t>指因头部遭受机械性外力，引起脑重要部位损伤，导致神经系统永久性的功能</w:t>
            </w:r>
            <w:r>
              <w:rPr>
                <w:spacing w:val="-9"/>
                <w:w w:val="100"/>
                <w:sz w:val="21"/>
              </w:rPr>
              <w:t>障碍。须由头颅断层扫描</w:t>
            </w:r>
            <w:r>
              <w:rPr>
                <w:w w:val="100"/>
                <w:sz w:val="21"/>
              </w:rPr>
              <w:t>（C</w:t>
            </w:r>
            <w:r>
              <w:rPr>
                <w:spacing w:val="-3"/>
                <w:w w:val="100"/>
                <w:sz w:val="21"/>
              </w:rPr>
              <w:t>T</w:t>
            </w:r>
            <w:r>
              <w:rPr>
                <w:spacing w:val="-108"/>
                <w:w w:val="100"/>
                <w:sz w:val="21"/>
              </w:rPr>
              <w:t>）</w:t>
            </w:r>
            <w:r>
              <w:rPr>
                <w:w w:val="100"/>
                <w:sz w:val="21"/>
              </w:rPr>
              <w:t>、</w:t>
            </w:r>
            <w:r>
              <w:rPr>
                <w:sz w:val="21"/>
              </w:rPr>
              <w:t> </w:t>
            </w:r>
            <w:r>
              <w:rPr>
                <w:spacing w:val="-7"/>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spacing w:val="-25"/>
                <w:w w:val="100"/>
                <w:sz w:val="21"/>
              </w:rPr>
              <w:t>）</w:t>
            </w:r>
            <w:r>
              <w:rPr>
                <w:spacing w:val="-3"/>
                <w:w w:val="100"/>
                <w:sz w:val="21"/>
              </w:rPr>
              <w:t>或正电子发射断层扫描</w:t>
            </w:r>
          </w:p>
          <w:p>
            <w:pPr>
              <w:pStyle w:val="TableParagraph"/>
              <w:spacing w:line="273" w:lineRule="auto" w:before="7"/>
              <w:ind w:left="108" w:right="199"/>
              <w:rPr>
                <w:sz w:val="21"/>
              </w:rPr>
            </w:pPr>
            <w:r>
              <w:rPr>
                <w:sz w:val="21"/>
              </w:rPr>
              <w:t>（PET）</w:t>
            </w:r>
            <w:r>
              <w:rPr>
                <w:spacing w:val="-5"/>
                <w:sz w:val="21"/>
              </w:rPr>
              <w:t>等影像学检查证实。神经系统永久性的功能障碍，指脑损伤 </w:t>
            </w:r>
            <w:r>
              <w:rPr>
                <w:sz w:val="21"/>
              </w:rPr>
              <w:t>180</w:t>
            </w:r>
            <w:r>
              <w:rPr>
                <w:spacing w:val="-12"/>
                <w:sz w:val="21"/>
              </w:rPr>
              <w:t> 天后， </w:t>
            </w:r>
            <w:r>
              <w:rPr>
                <w:spacing w:val="-7"/>
                <w:sz w:val="21"/>
              </w:rPr>
              <w:t>仍完全丧失自主生活能力，无法独立完成六项基本日常生活活动中的两项或以</w:t>
            </w:r>
            <w:r>
              <w:rPr>
                <w:spacing w:val="-5"/>
                <w:sz w:val="21"/>
              </w:rPr>
              <w:t>上，但未达到重大疾病“严重脑损伤”的给付标准。</w:t>
            </w:r>
          </w:p>
        </w:tc>
      </w:tr>
      <w:tr>
        <w:trPr>
          <w:trHeight w:val="1248" w:hRule="atLeast"/>
        </w:trPr>
        <w:tc>
          <w:tcPr>
            <w:tcW w:w="532" w:type="dxa"/>
          </w:tcPr>
          <w:p>
            <w:pPr>
              <w:pStyle w:val="TableParagraph"/>
              <w:spacing w:before="168"/>
              <w:ind w:left="180" w:right="87"/>
              <w:jc w:val="center"/>
              <w:rPr>
                <w:rFonts w:ascii="Calibri"/>
                <w:b/>
                <w:sz w:val="22"/>
              </w:rPr>
            </w:pPr>
            <w:r>
              <w:rPr>
                <w:rFonts w:ascii="Calibri"/>
                <w:b/>
                <w:sz w:val="22"/>
              </w:rPr>
              <w:t>15</w:t>
            </w:r>
          </w:p>
        </w:tc>
        <w:tc>
          <w:tcPr>
            <w:tcW w:w="1984" w:type="dxa"/>
          </w:tcPr>
          <w:p>
            <w:pPr>
              <w:pStyle w:val="TableParagraph"/>
              <w:spacing w:before="72"/>
              <w:ind w:left="107"/>
              <w:rPr>
                <w:rFonts w:ascii="微软雅黑" w:eastAsia="微软雅黑" w:hint="eastAsia"/>
                <w:b/>
                <w:sz w:val="21"/>
              </w:rPr>
            </w:pPr>
            <w:r>
              <w:rPr>
                <w:rFonts w:ascii="微软雅黑" w:eastAsia="微软雅黑" w:hint="eastAsia"/>
                <w:b/>
                <w:sz w:val="21"/>
              </w:rPr>
              <w:t>植入大脑内分流器</w:t>
            </w:r>
          </w:p>
        </w:tc>
        <w:tc>
          <w:tcPr>
            <w:tcW w:w="7549" w:type="dxa"/>
          </w:tcPr>
          <w:p>
            <w:pPr>
              <w:pStyle w:val="TableParagraph"/>
              <w:spacing w:before="134"/>
              <w:ind w:left="108"/>
              <w:rPr>
                <w:sz w:val="21"/>
              </w:rPr>
            </w:pPr>
            <w:r>
              <w:rPr>
                <w:sz w:val="21"/>
              </w:rPr>
              <w:t>为缓解已升高的脑脊液压力而确实已在脑室进行分流器植入手术。</w:t>
            </w:r>
          </w:p>
          <w:p>
            <w:pPr>
              <w:pStyle w:val="TableParagraph"/>
              <w:spacing w:line="273" w:lineRule="auto" w:before="36"/>
              <w:ind w:left="108" w:right="306"/>
              <w:rPr>
                <w:sz w:val="21"/>
              </w:rPr>
            </w:pPr>
            <w:r>
              <w:rPr>
                <w:sz w:val="21"/>
              </w:rPr>
              <w:t>诊断及治疗均须在本公司认可医院内由脑神经科专科医生认为是医疗必须的情况下进行。</w:t>
            </w:r>
          </w:p>
        </w:tc>
      </w:tr>
      <w:tr>
        <w:trPr>
          <w:trHeight w:val="1902" w:hRule="atLeast"/>
        </w:trPr>
        <w:tc>
          <w:tcPr>
            <w:tcW w:w="532" w:type="dxa"/>
          </w:tcPr>
          <w:p>
            <w:pPr>
              <w:pStyle w:val="TableParagraph"/>
              <w:spacing w:before="168"/>
              <w:ind w:left="180" w:right="87"/>
              <w:jc w:val="center"/>
              <w:rPr>
                <w:rFonts w:ascii="Calibri"/>
                <w:b/>
                <w:sz w:val="22"/>
              </w:rPr>
            </w:pPr>
            <w:r>
              <w:rPr>
                <w:rFonts w:ascii="Calibri"/>
                <w:b/>
                <w:sz w:val="22"/>
              </w:rPr>
              <w:t>16</w:t>
            </w:r>
          </w:p>
        </w:tc>
        <w:tc>
          <w:tcPr>
            <w:tcW w:w="1984" w:type="dxa"/>
          </w:tcPr>
          <w:p>
            <w:pPr>
              <w:pStyle w:val="TableParagraph"/>
              <w:spacing w:before="72"/>
              <w:ind w:left="107"/>
              <w:rPr>
                <w:rFonts w:ascii="微软雅黑" w:eastAsia="微软雅黑" w:hint="eastAsia"/>
                <w:b/>
                <w:sz w:val="21"/>
              </w:rPr>
            </w:pPr>
            <w:r>
              <w:rPr>
                <w:rFonts w:ascii="微软雅黑" w:eastAsia="微软雅黑" w:hint="eastAsia"/>
                <w:b/>
                <w:sz w:val="21"/>
              </w:rPr>
              <w:t>中度阿尔茨海默病</w:t>
            </w:r>
          </w:p>
        </w:tc>
        <w:tc>
          <w:tcPr>
            <w:tcW w:w="7549" w:type="dxa"/>
          </w:tcPr>
          <w:p>
            <w:pPr>
              <w:pStyle w:val="TableParagraph"/>
              <w:spacing w:line="273" w:lineRule="auto" w:before="134"/>
              <w:ind w:left="108" w:right="196"/>
              <w:rPr>
                <w:sz w:val="21"/>
              </w:rPr>
            </w:pPr>
            <w:r>
              <w:rPr>
                <w:spacing w:val="-5"/>
                <w:sz w:val="21"/>
              </w:rPr>
              <w:t>指因大脑进行性、不可逆性改变导致智能严重衰退或丧失，临床表现为明显的</w:t>
            </w:r>
            <w:r>
              <w:rPr>
                <w:spacing w:val="-13"/>
                <w:sz w:val="21"/>
              </w:rPr>
              <w:t>认知能力障碍、行为异常和社交能力减退，其日常生活必须持续受到他人监护。</w:t>
            </w:r>
            <w:r>
              <w:rPr>
                <w:spacing w:val="-9"/>
                <w:w w:val="100"/>
                <w:sz w:val="21"/>
              </w:rPr>
              <w:t>须由头颅断层扫描</w:t>
            </w:r>
            <w:r>
              <w:rPr>
                <w:spacing w:val="-1"/>
                <w:w w:val="100"/>
                <w:sz w:val="21"/>
              </w:rPr>
              <w:t>（</w:t>
            </w:r>
            <w:r>
              <w:rPr>
                <w:w w:val="100"/>
                <w:sz w:val="21"/>
              </w:rPr>
              <w:t>C</w:t>
            </w:r>
            <w:r>
              <w:rPr>
                <w:spacing w:val="-3"/>
                <w:w w:val="100"/>
                <w:sz w:val="21"/>
              </w:rPr>
              <w:t>T</w:t>
            </w:r>
            <w:r>
              <w:rPr>
                <w:spacing w:val="-108"/>
                <w:w w:val="100"/>
                <w:sz w:val="21"/>
              </w:rPr>
              <w:t>）</w:t>
            </w:r>
            <w:r>
              <w:rPr>
                <w:w w:val="100"/>
                <w:sz w:val="21"/>
              </w:rPr>
              <w:t>、</w:t>
            </w:r>
            <w:r>
              <w:rPr>
                <w:sz w:val="21"/>
              </w:rPr>
              <w:t> </w:t>
            </w:r>
            <w:r>
              <w:rPr>
                <w:spacing w:val="-7"/>
                <w:w w:val="100"/>
                <w:sz w:val="21"/>
              </w:rPr>
              <w:t>核磁共振检查</w:t>
            </w:r>
            <w:r>
              <w:rPr>
                <w:spacing w:val="-1"/>
                <w:w w:val="100"/>
                <w:sz w:val="21"/>
              </w:rPr>
              <w:t>（</w:t>
            </w:r>
            <w:r>
              <w:rPr>
                <w:spacing w:val="-3"/>
                <w:w w:val="100"/>
                <w:sz w:val="21"/>
              </w:rPr>
              <w:t>M</w:t>
            </w:r>
            <w:r>
              <w:rPr>
                <w:w w:val="100"/>
                <w:sz w:val="21"/>
              </w:rPr>
              <w:t>R</w:t>
            </w:r>
            <w:r>
              <w:rPr>
                <w:spacing w:val="-3"/>
                <w:w w:val="100"/>
                <w:sz w:val="21"/>
              </w:rPr>
              <w:t>I</w:t>
            </w:r>
            <w:r>
              <w:rPr>
                <w:spacing w:val="-22"/>
                <w:w w:val="100"/>
                <w:sz w:val="21"/>
              </w:rPr>
              <w:t>）</w:t>
            </w:r>
            <w:r>
              <w:rPr>
                <w:spacing w:val="-6"/>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5"/>
                <w:sz w:val="21"/>
              </w:rPr>
              <w:t>等影像学检查证实，且自主生活能力完全丧失，无法独立完成六项基本日常生</w:t>
            </w:r>
            <w:r>
              <w:rPr>
                <w:spacing w:val="-4"/>
                <w:sz w:val="21"/>
              </w:rPr>
              <w:t>活活动中的两项，但未达到重大疾病“严重阿尔茨海默病”的给付标准。</w:t>
            </w:r>
          </w:p>
        </w:tc>
      </w:tr>
      <w:tr>
        <w:trPr>
          <w:trHeight w:val="1590" w:hRule="atLeast"/>
        </w:trPr>
        <w:tc>
          <w:tcPr>
            <w:tcW w:w="532" w:type="dxa"/>
          </w:tcPr>
          <w:p>
            <w:pPr>
              <w:pStyle w:val="TableParagraph"/>
              <w:spacing w:before="2"/>
              <w:rPr>
                <w:sz w:val="15"/>
              </w:rPr>
            </w:pPr>
          </w:p>
          <w:p>
            <w:pPr>
              <w:pStyle w:val="TableParagraph"/>
              <w:ind w:left="180" w:right="87"/>
              <w:jc w:val="center"/>
              <w:rPr>
                <w:rFonts w:ascii="Calibri"/>
                <w:b/>
                <w:sz w:val="22"/>
              </w:rPr>
            </w:pPr>
            <w:r>
              <w:rPr>
                <w:rFonts w:ascii="Calibri"/>
                <w:b/>
                <w:sz w:val="22"/>
              </w:rPr>
              <w:t>17</w:t>
            </w:r>
          </w:p>
        </w:tc>
        <w:tc>
          <w:tcPr>
            <w:tcW w:w="1984" w:type="dxa"/>
          </w:tcPr>
          <w:p>
            <w:pPr>
              <w:pStyle w:val="TableParagraph"/>
              <w:spacing w:before="102"/>
              <w:ind w:left="107"/>
              <w:rPr>
                <w:rFonts w:ascii="微软雅黑" w:eastAsia="微软雅黑" w:hint="eastAsia"/>
                <w:b/>
                <w:sz w:val="21"/>
              </w:rPr>
            </w:pPr>
            <w:r>
              <w:rPr>
                <w:rFonts w:ascii="微软雅黑" w:eastAsia="微软雅黑" w:hint="eastAsia"/>
                <w:b/>
                <w:sz w:val="21"/>
              </w:rPr>
              <w:t>不典型心肌梗塞</w:t>
            </w:r>
          </w:p>
        </w:tc>
        <w:tc>
          <w:tcPr>
            <w:tcW w:w="7549" w:type="dxa"/>
          </w:tcPr>
          <w:p>
            <w:pPr>
              <w:pStyle w:val="TableParagraph"/>
              <w:spacing w:line="273" w:lineRule="auto" w:before="165"/>
              <w:ind w:left="108" w:right="306"/>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08"/>
              <w:rPr>
                <w:sz w:val="21"/>
              </w:rPr>
            </w:pPr>
            <w:r>
              <w:rPr>
                <w:sz w:val="21"/>
              </w:rPr>
              <w:t>（1）肌钙蛋白有诊断意义的升高；</w:t>
            </w:r>
          </w:p>
          <w:p>
            <w:pPr>
              <w:pStyle w:val="TableParagraph"/>
              <w:spacing w:before="36"/>
              <w:ind w:left="108"/>
              <w:rPr>
                <w:sz w:val="21"/>
              </w:rPr>
            </w:pPr>
            <w:r>
              <w:rPr>
                <w:sz w:val="21"/>
              </w:rPr>
              <w:t>（2）心电图有损伤性的 ST 段改变但未出现病理 Q 波。</w:t>
            </w:r>
          </w:p>
        </w:tc>
      </w:tr>
      <w:tr>
        <w:trPr>
          <w:trHeight w:val="729" w:hRule="atLeast"/>
        </w:trPr>
        <w:tc>
          <w:tcPr>
            <w:tcW w:w="532" w:type="dxa"/>
          </w:tcPr>
          <w:p>
            <w:pPr>
              <w:pStyle w:val="TableParagraph"/>
              <w:spacing w:before="168"/>
              <w:ind w:left="180" w:right="87"/>
              <w:jc w:val="center"/>
              <w:rPr>
                <w:rFonts w:ascii="Calibri"/>
                <w:b/>
                <w:sz w:val="22"/>
              </w:rPr>
            </w:pPr>
            <w:r>
              <w:rPr>
                <w:rFonts w:ascii="Calibri"/>
                <w:b/>
                <w:sz w:val="22"/>
              </w:rPr>
              <w:t>18</w:t>
            </w:r>
          </w:p>
        </w:tc>
        <w:tc>
          <w:tcPr>
            <w:tcW w:w="1984" w:type="dxa"/>
          </w:tcPr>
          <w:p>
            <w:pPr>
              <w:pStyle w:val="TableParagraph"/>
              <w:spacing w:line="337" w:lineRule="exact" w:before="72"/>
              <w:ind w:left="107"/>
              <w:rPr>
                <w:rFonts w:ascii="微软雅黑" w:eastAsia="微软雅黑" w:hint="eastAsia"/>
                <w:b/>
                <w:sz w:val="21"/>
              </w:rPr>
            </w:pPr>
            <w:r>
              <w:rPr>
                <w:rFonts w:ascii="微软雅黑" w:eastAsia="微软雅黑" w:hint="eastAsia"/>
                <w:b/>
                <w:sz w:val="21"/>
              </w:rPr>
              <w:t>冠状动脉介入手术</w:t>
            </w:r>
          </w:p>
          <w:p>
            <w:pPr>
              <w:pStyle w:val="TableParagraph"/>
              <w:spacing w:line="300" w:lineRule="exact"/>
              <w:ind w:left="107"/>
              <w:rPr>
                <w:rFonts w:ascii="微软雅黑" w:eastAsia="微软雅黑" w:hint="eastAsia"/>
                <w:b/>
                <w:sz w:val="21"/>
              </w:rPr>
            </w:pPr>
            <w:r>
              <w:rPr>
                <w:rFonts w:ascii="微软雅黑" w:eastAsia="微软雅黑" w:hint="eastAsia"/>
                <w:b/>
                <w:sz w:val="21"/>
              </w:rPr>
              <w:t>（非开胸手术）</w:t>
            </w:r>
          </w:p>
        </w:tc>
        <w:tc>
          <w:tcPr>
            <w:tcW w:w="7549" w:type="dxa"/>
          </w:tcPr>
          <w:p>
            <w:pPr>
              <w:pStyle w:val="TableParagraph"/>
              <w:spacing w:line="310" w:lineRule="atLeast" w:before="99"/>
              <w:ind w:left="108" w:right="295"/>
              <w:rPr>
                <w:sz w:val="21"/>
              </w:rPr>
            </w:pPr>
            <w:r>
              <w:rPr>
                <w:sz w:val="21"/>
              </w:rPr>
              <w:t>为了治疗明显的冠状动脉狭窄性疾病，首次实际实施了冠状动脉球囊扩张成形术、冠状动脉支架植入术、冠状动脉粥肿斑块切除术或激光冠状动脉成形术。</w:t>
            </w:r>
          </w:p>
        </w:tc>
      </w:tr>
    </w:tbl>
    <w:p>
      <w:pPr>
        <w:spacing w:after="0" w:line="310" w:lineRule="atLeast"/>
        <w:rPr>
          <w:sz w:val="21"/>
        </w:rPr>
        <w:sectPr>
          <w:pgSz w:w="11910" w:h="16840"/>
          <w:pgMar w:header="0" w:footer="705" w:top="1440" w:bottom="900" w:left="100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1984"/>
        <w:gridCol w:w="7549"/>
      </w:tblGrid>
      <w:tr>
        <w:trPr>
          <w:trHeight w:val="730" w:hRule="atLeast"/>
        </w:trPr>
        <w:tc>
          <w:tcPr>
            <w:tcW w:w="532" w:type="dxa"/>
          </w:tcPr>
          <w:p>
            <w:pPr>
              <w:pStyle w:val="TableParagraph"/>
              <w:spacing w:line="230" w:lineRule="exact"/>
              <w:ind w:left="180" w:right="87"/>
              <w:jc w:val="center"/>
              <w:rPr>
                <w:rFonts w:ascii="Calibri"/>
                <w:b/>
                <w:sz w:val="22"/>
              </w:rPr>
            </w:pPr>
            <w:r>
              <w:rPr>
                <w:rFonts w:ascii="Calibri"/>
                <w:b/>
                <w:sz w:val="22"/>
              </w:rPr>
              <w:t>19</w:t>
            </w:r>
          </w:p>
        </w:tc>
        <w:tc>
          <w:tcPr>
            <w:tcW w:w="1984" w:type="dxa"/>
          </w:tcPr>
          <w:p>
            <w:pPr>
              <w:pStyle w:val="TableParagraph"/>
              <w:spacing w:line="203" w:lineRule="exact"/>
              <w:ind w:left="107"/>
              <w:rPr>
                <w:rFonts w:ascii="微软雅黑" w:eastAsia="微软雅黑" w:hint="eastAsia"/>
                <w:b/>
                <w:sz w:val="21"/>
              </w:rPr>
            </w:pPr>
            <w:r>
              <w:rPr>
                <w:rFonts w:ascii="微软雅黑" w:eastAsia="微软雅黑" w:hint="eastAsia"/>
                <w:b/>
                <w:sz w:val="21"/>
              </w:rPr>
              <w:t>心脏瓣膜介入手术</w:t>
            </w:r>
          </w:p>
          <w:p>
            <w:pPr>
              <w:pStyle w:val="TableParagraph"/>
              <w:spacing w:line="338" w:lineRule="exact"/>
              <w:ind w:left="107"/>
              <w:rPr>
                <w:rFonts w:ascii="微软雅黑" w:eastAsia="微软雅黑" w:hint="eastAsia"/>
                <w:b/>
                <w:sz w:val="21"/>
              </w:rPr>
            </w:pPr>
            <w:r>
              <w:rPr>
                <w:rFonts w:ascii="微软雅黑" w:eastAsia="微软雅黑" w:hint="eastAsia"/>
                <w:b/>
                <w:sz w:val="21"/>
              </w:rPr>
              <w:t>（非开胸手术）</w:t>
            </w:r>
          </w:p>
        </w:tc>
        <w:tc>
          <w:tcPr>
            <w:tcW w:w="7549" w:type="dxa"/>
          </w:tcPr>
          <w:p>
            <w:pPr>
              <w:pStyle w:val="TableParagraph"/>
              <w:spacing w:line="203" w:lineRule="exact"/>
              <w:ind w:left="108"/>
              <w:rPr>
                <w:sz w:val="21"/>
              </w:rPr>
            </w:pPr>
            <w:r>
              <w:rPr>
                <w:sz w:val="21"/>
              </w:rPr>
              <w:t>为了治疗心脏瓣膜疾病，实际实施了非开胸的经胸壁打孔内镜手术或经皮经导</w:t>
            </w:r>
          </w:p>
          <w:p>
            <w:pPr>
              <w:pStyle w:val="TableParagraph"/>
              <w:spacing w:before="37"/>
              <w:ind w:left="108"/>
              <w:rPr>
                <w:sz w:val="21"/>
              </w:rPr>
            </w:pPr>
            <w:r>
              <w:rPr>
                <w:sz w:val="21"/>
              </w:rPr>
              <w:t>管介入手术进行的心脏瓣膜置换或修复手术。</w:t>
            </w:r>
          </w:p>
        </w:tc>
      </w:tr>
      <w:tr>
        <w:trPr>
          <w:trHeight w:val="1560" w:hRule="atLeast"/>
        </w:trPr>
        <w:tc>
          <w:tcPr>
            <w:tcW w:w="532" w:type="dxa"/>
          </w:tcPr>
          <w:p>
            <w:pPr>
              <w:pStyle w:val="TableParagraph"/>
              <w:spacing w:before="168"/>
              <w:ind w:left="180" w:right="87"/>
              <w:jc w:val="center"/>
              <w:rPr>
                <w:rFonts w:ascii="Calibri"/>
                <w:b/>
                <w:sz w:val="22"/>
              </w:rPr>
            </w:pPr>
            <w:r>
              <w:rPr>
                <w:rFonts w:ascii="Calibri"/>
                <w:b/>
                <w:sz w:val="22"/>
              </w:rPr>
              <w:t>20</w:t>
            </w:r>
          </w:p>
        </w:tc>
        <w:tc>
          <w:tcPr>
            <w:tcW w:w="1984" w:type="dxa"/>
          </w:tcPr>
          <w:p>
            <w:pPr>
              <w:pStyle w:val="TableParagraph"/>
              <w:spacing w:before="72"/>
              <w:ind w:left="107"/>
              <w:rPr>
                <w:rFonts w:ascii="微软雅黑" w:eastAsia="微软雅黑" w:hint="eastAsia"/>
                <w:b/>
                <w:sz w:val="21"/>
              </w:rPr>
            </w:pPr>
            <w:r>
              <w:rPr>
                <w:rFonts w:ascii="微软雅黑" w:eastAsia="微软雅黑" w:hint="eastAsia"/>
                <w:b/>
                <w:sz w:val="21"/>
              </w:rPr>
              <w:t>继发性肺动脉高压</w:t>
            </w:r>
          </w:p>
        </w:tc>
        <w:tc>
          <w:tcPr>
            <w:tcW w:w="7549" w:type="dxa"/>
          </w:tcPr>
          <w:p>
            <w:pPr>
              <w:pStyle w:val="TableParagraph"/>
              <w:spacing w:line="273" w:lineRule="auto" w:before="134"/>
              <w:ind w:left="108" w:right="302"/>
              <w:jc w:val="both"/>
              <w:rPr>
                <w:sz w:val="21"/>
              </w:rPr>
            </w:pPr>
            <w:r>
              <w:rPr>
                <w:spacing w:val="-5"/>
                <w:sz w:val="21"/>
              </w:rPr>
              <w:t>继发性肺动脉压力持续增高，导致右心室肥厚，已经造成永久不可逆性的体力</w:t>
            </w:r>
            <w:r>
              <w:rPr>
                <w:spacing w:val="-11"/>
                <w:sz w:val="21"/>
              </w:rPr>
              <w:t>活动能力受限，达到美国纽约心脏病学会心功能状态分级 </w:t>
            </w:r>
            <w:r>
              <w:rPr>
                <w:sz w:val="21"/>
              </w:rPr>
              <w:t>IV</w:t>
            </w:r>
            <w:r>
              <w:rPr>
                <w:spacing w:val="-14"/>
                <w:sz w:val="21"/>
              </w:rPr>
              <w:t> 级。诊断需要有心</w:t>
            </w:r>
            <w:r>
              <w:rPr>
                <w:spacing w:val="8"/>
                <w:sz w:val="21"/>
              </w:rPr>
              <w:t>脏科专家确诊， 并且心导管检查报告显示静息状态下肺动脉平均压超过</w:t>
            </w:r>
          </w:p>
          <w:p>
            <w:pPr>
              <w:pStyle w:val="TableParagraph"/>
              <w:spacing w:before="7"/>
              <w:ind w:left="108"/>
              <w:jc w:val="both"/>
              <w:rPr>
                <w:sz w:val="21"/>
              </w:rPr>
            </w:pPr>
            <w:r>
              <w:rPr>
                <w:sz w:val="21"/>
              </w:rPr>
              <w:t>30mmHg。</w:t>
            </w:r>
          </w:p>
        </w:tc>
      </w:tr>
      <w:tr>
        <w:trPr>
          <w:trHeight w:val="3732" w:hRule="atLeast"/>
        </w:trPr>
        <w:tc>
          <w:tcPr>
            <w:tcW w:w="532" w:type="dxa"/>
          </w:tcPr>
          <w:p>
            <w:pPr>
              <w:pStyle w:val="TableParagraph"/>
              <w:spacing w:before="168"/>
              <w:ind w:left="180" w:right="87"/>
              <w:jc w:val="center"/>
              <w:rPr>
                <w:rFonts w:ascii="Calibri"/>
                <w:b/>
                <w:sz w:val="22"/>
              </w:rPr>
            </w:pPr>
            <w:r>
              <w:rPr>
                <w:rFonts w:ascii="Calibri"/>
                <w:b/>
                <w:sz w:val="22"/>
              </w:rPr>
              <w:t>21</w:t>
            </w:r>
          </w:p>
        </w:tc>
        <w:tc>
          <w:tcPr>
            <w:tcW w:w="1984" w:type="dxa"/>
          </w:tcPr>
          <w:p>
            <w:pPr>
              <w:pStyle w:val="TableParagraph"/>
              <w:spacing w:line="206" w:lineRule="auto" w:before="123"/>
              <w:ind w:left="107" w:right="104"/>
              <w:rPr>
                <w:rFonts w:ascii="微软雅黑" w:eastAsia="微软雅黑" w:hint="eastAsia"/>
                <w:b/>
                <w:sz w:val="21"/>
              </w:rPr>
            </w:pPr>
            <w:r>
              <w:rPr>
                <w:rFonts w:ascii="微软雅黑" w:eastAsia="微软雅黑" w:hint="eastAsia"/>
                <w:b/>
                <w:sz w:val="21"/>
              </w:rPr>
              <w:t>特定周围动脉疾病的血管介入治疗</w:t>
            </w:r>
          </w:p>
        </w:tc>
        <w:tc>
          <w:tcPr>
            <w:tcW w:w="7549" w:type="dxa"/>
          </w:tcPr>
          <w:p>
            <w:pPr>
              <w:pStyle w:val="TableParagraph"/>
              <w:spacing w:before="134"/>
              <w:ind w:left="108"/>
              <w:rPr>
                <w:sz w:val="21"/>
              </w:rPr>
            </w:pPr>
            <w:r>
              <w:rPr>
                <w:sz w:val="21"/>
              </w:rPr>
              <w:t>指为治疗一条或者一条以上的下匽动脉狭窄而实施的血管介入治疗：</w:t>
            </w:r>
          </w:p>
          <w:p>
            <w:pPr>
              <w:pStyle w:val="TableParagraph"/>
              <w:spacing w:line="273" w:lineRule="auto" w:before="96"/>
              <w:ind w:left="108" w:right="302"/>
              <w:rPr>
                <w:sz w:val="21"/>
              </w:rPr>
            </w:pPr>
            <w:r>
              <w:rPr>
                <w:spacing w:val="-10"/>
                <w:sz w:val="21"/>
              </w:rPr>
              <w:t>（1）</w:t>
            </w:r>
            <w:r>
              <w:rPr>
                <w:spacing w:val="-8"/>
                <w:sz w:val="21"/>
              </w:rPr>
              <w:t>为下肢或者上肢供血的动脉。上肢动脉指：肱动脉及其下行分支血管；下</w:t>
            </w:r>
            <w:r>
              <w:rPr>
                <w:spacing w:val="-5"/>
                <w:sz w:val="21"/>
              </w:rPr>
              <w:t>肢血管指：股动脉及其下行分支血管；</w:t>
            </w:r>
          </w:p>
          <w:p>
            <w:pPr>
              <w:pStyle w:val="TableParagraph"/>
              <w:spacing w:before="67"/>
              <w:ind w:left="108"/>
              <w:rPr>
                <w:sz w:val="21"/>
              </w:rPr>
            </w:pPr>
            <w:r>
              <w:rPr>
                <w:sz w:val="21"/>
              </w:rPr>
              <w:t>（2）肾动脉；</w:t>
            </w:r>
          </w:p>
          <w:p>
            <w:pPr>
              <w:pStyle w:val="TableParagraph"/>
              <w:spacing w:line="273" w:lineRule="auto" w:before="97"/>
              <w:ind w:left="108" w:right="5335"/>
              <w:rPr>
                <w:sz w:val="21"/>
              </w:rPr>
            </w:pPr>
            <w:r>
              <w:rPr>
                <w:sz w:val="21"/>
              </w:rPr>
              <w:t>（3）</w:t>
            </w:r>
            <w:r>
              <w:rPr>
                <w:spacing w:val="-3"/>
                <w:sz w:val="21"/>
              </w:rPr>
              <w:t>肠系膜动脉。  须满足下列全部条件：</w:t>
            </w:r>
          </w:p>
          <w:p>
            <w:pPr>
              <w:pStyle w:val="TableParagraph"/>
              <w:spacing w:before="67"/>
              <w:ind w:left="108"/>
              <w:rPr>
                <w:sz w:val="21"/>
              </w:rPr>
            </w:pPr>
            <w:r>
              <w:rPr>
                <w:sz w:val="21"/>
              </w:rPr>
              <w:t>（1）经血管造影术证实一条或者一条以上的上述动脉狭窄达到 50%或者以上；</w:t>
            </w:r>
          </w:p>
          <w:p>
            <w:pPr>
              <w:pStyle w:val="TableParagraph"/>
              <w:spacing w:line="273" w:lineRule="auto" w:before="97"/>
              <w:ind w:left="108" w:right="299"/>
              <w:rPr>
                <w:sz w:val="21"/>
              </w:rPr>
            </w:pPr>
            <w:r>
              <w:rPr>
                <w:sz w:val="21"/>
              </w:rPr>
              <w:t>（2）对一条或者一条以上的上述动脉施行了血管介入治疗，如血管成形术及/ 或者进行植入支架或者动脉粥样瘤清除手术。</w:t>
            </w:r>
          </w:p>
          <w:p>
            <w:pPr>
              <w:pStyle w:val="TableParagraph"/>
              <w:spacing w:before="8"/>
              <w:ind w:left="108"/>
              <w:rPr>
                <w:sz w:val="21"/>
              </w:rPr>
            </w:pPr>
            <w:r>
              <w:rPr>
                <w:sz w:val="21"/>
              </w:rPr>
              <w:t>上述动脉疾病的诊断以及相关治疗的必要性必须由血管疾病的专科医生确定。</w:t>
            </w:r>
          </w:p>
        </w:tc>
      </w:tr>
      <w:tr>
        <w:trPr>
          <w:trHeight w:val="966" w:hRule="atLeast"/>
        </w:trPr>
        <w:tc>
          <w:tcPr>
            <w:tcW w:w="532" w:type="dxa"/>
          </w:tcPr>
          <w:p>
            <w:pPr>
              <w:pStyle w:val="TableParagraph"/>
              <w:spacing w:before="168"/>
              <w:ind w:left="180" w:right="87"/>
              <w:jc w:val="center"/>
              <w:rPr>
                <w:rFonts w:ascii="Calibri"/>
                <w:b/>
                <w:sz w:val="22"/>
              </w:rPr>
            </w:pPr>
            <w:r>
              <w:rPr>
                <w:rFonts w:ascii="Calibri"/>
                <w:b/>
                <w:sz w:val="22"/>
              </w:rPr>
              <w:t>22</w:t>
            </w:r>
          </w:p>
        </w:tc>
        <w:tc>
          <w:tcPr>
            <w:tcW w:w="1984" w:type="dxa"/>
          </w:tcPr>
          <w:p>
            <w:pPr>
              <w:pStyle w:val="TableParagraph"/>
              <w:spacing w:before="72"/>
              <w:ind w:left="107"/>
              <w:rPr>
                <w:rFonts w:ascii="微软雅黑" w:eastAsia="微软雅黑" w:hint="eastAsia"/>
                <w:b/>
                <w:sz w:val="21"/>
              </w:rPr>
            </w:pPr>
            <w:r>
              <w:rPr>
                <w:rFonts w:ascii="微软雅黑" w:eastAsia="微软雅黑" w:hint="eastAsia"/>
                <w:b/>
                <w:sz w:val="21"/>
              </w:rPr>
              <w:t>心包膜切除术</w:t>
            </w:r>
          </w:p>
        </w:tc>
        <w:tc>
          <w:tcPr>
            <w:tcW w:w="7549" w:type="dxa"/>
          </w:tcPr>
          <w:p>
            <w:pPr>
              <w:pStyle w:val="TableParagraph"/>
              <w:spacing w:line="273" w:lineRule="auto" w:before="134"/>
              <w:ind w:left="108" w:right="306"/>
              <w:rPr>
                <w:sz w:val="21"/>
              </w:rPr>
            </w:pPr>
            <w:r>
              <w:rPr>
                <w:sz w:val="21"/>
              </w:rPr>
              <w:t>因心包膜疾病导致已接受心包膜切除术或已进行任何需要心脏小切口技术的手术。手术必须在心脏科医生认为是医学上必需的情况下进行。</w:t>
            </w:r>
          </w:p>
        </w:tc>
      </w:tr>
      <w:tr>
        <w:trPr>
          <w:trHeight w:val="1650" w:hRule="atLeast"/>
        </w:trPr>
        <w:tc>
          <w:tcPr>
            <w:tcW w:w="532" w:type="dxa"/>
          </w:tcPr>
          <w:p>
            <w:pPr>
              <w:pStyle w:val="TableParagraph"/>
              <w:spacing w:before="1"/>
              <w:rPr>
                <w:sz w:val="15"/>
              </w:rPr>
            </w:pPr>
          </w:p>
          <w:p>
            <w:pPr>
              <w:pStyle w:val="TableParagraph"/>
              <w:spacing w:before="1"/>
              <w:ind w:left="180" w:right="87"/>
              <w:jc w:val="center"/>
              <w:rPr>
                <w:rFonts w:ascii="Calibri"/>
                <w:b/>
                <w:sz w:val="22"/>
              </w:rPr>
            </w:pPr>
            <w:r>
              <w:rPr>
                <w:rFonts w:ascii="Calibri"/>
                <w:b/>
                <w:sz w:val="22"/>
              </w:rPr>
              <w:t>23</w:t>
            </w:r>
          </w:p>
        </w:tc>
        <w:tc>
          <w:tcPr>
            <w:tcW w:w="1984" w:type="dxa"/>
          </w:tcPr>
          <w:p>
            <w:pPr>
              <w:pStyle w:val="TableParagraph"/>
              <w:spacing w:before="102"/>
              <w:ind w:left="107"/>
              <w:rPr>
                <w:rFonts w:ascii="微软雅黑" w:eastAsia="微软雅黑" w:hint="eastAsia"/>
                <w:b/>
                <w:sz w:val="21"/>
              </w:rPr>
            </w:pPr>
            <w:r>
              <w:rPr>
                <w:rFonts w:ascii="微软雅黑" w:eastAsia="微软雅黑" w:hint="eastAsia"/>
                <w:b/>
                <w:sz w:val="21"/>
              </w:rPr>
              <w:t>植入心脏起搏器</w:t>
            </w:r>
          </w:p>
        </w:tc>
        <w:tc>
          <w:tcPr>
            <w:tcW w:w="7549" w:type="dxa"/>
          </w:tcPr>
          <w:p>
            <w:pPr>
              <w:pStyle w:val="TableParagraph"/>
              <w:spacing w:line="273" w:lineRule="auto" w:before="164"/>
              <w:ind w:left="108" w:right="302"/>
              <w:jc w:val="both"/>
              <w:rPr>
                <w:sz w:val="21"/>
              </w:rPr>
            </w:pPr>
            <w:r>
              <w:rPr>
                <w:spacing w:val="-4"/>
                <w:sz w:val="21"/>
              </w:rPr>
              <w:t>因严重心律失常而确实已经实施永久性心脏起搏器的植入手术。理赔时须提供完整病历资料及手术记录，诊断及治疗均须在本公司认可医院专科医生认为是医疗必须的情况下进行。由于心脏再同步化治疗而实施的植入心脏起搏器包括</w:t>
            </w:r>
            <w:r>
              <w:rPr>
                <w:spacing w:val="-3"/>
                <w:sz w:val="21"/>
              </w:rPr>
              <w:t>在本项保障范围内。</w:t>
            </w:r>
          </w:p>
        </w:tc>
      </w:tr>
      <w:tr>
        <w:trPr>
          <w:trHeight w:val="2274" w:hRule="atLeast"/>
        </w:trPr>
        <w:tc>
          <w:tcPr>
            <w:tcW w:w="532" w:type="dxa"/>
          </w:tcPr>
          <w:p>
            <w:pPr>
              <w:pStyle w:val="TableParagraph"/>
              <w:spacing w:before="5"/>
              <w:rPr>
                <w:sz w:val="17"/>
              </w:rPr>
            </w:pPr>
          </w:p>
          <w:p>
            <w:pPr>
              <w:pStyle w:val="TableParagraph"/>
              <w:ind w:left="180" w:right="87"/>
              <w:jc w:val="center"/>
              <w:rPr>
                <w:rFonts w:ascii="Calibri"/>
                <w:b/>
                <w:sz w:val="22"/>
              </w:rPr>
            </w:pPr>
            <w:r>
              <w:rPr>
                <w:rFonts w:ascii="Calibri"/>
                <w:b/>
                <w:sz w:val="22"/>
              </w:rPr>
              <w:t>24</w:t>
            </w:r>
          </w:p>
        </w:tc>
        <w:tc>
          <w:tcPr>
            <w:tcW w:w="1984" w:type="dxa"/>
          </w:tcPr>
          <w:p>
            <w:pPr>
              <w:pStyle w:val="TableParagraph"/>
              <w:spacing w:before="12"/>
              <w:rPr>
                <w:sz w:val="13"/>
              </w:rPr>
            </w:pPr>
          </w:p>
          <w:p>
            <w:pPr>
              <w:pStyle w:val="TableParagraph"/>
              <w:spacing w:line="206" w:lineRule="auto" w:before="1"/>
              <w:ind w:left="107" w:right="104"/>
              <w:jc w:val="both"/>
              <w:rPr>
                <w:rFonts w:ascii="微软雅黑" w:eastAsia="微软雅黑" w:hint="eastAsia"/>
                <w:b/>
                <w:sz w:val="21"/>
              </w:rPr>
            </w:pPr>
            <w:r>
              <w:rPr>
                <w:rFonts w:ascii="微软雅黑" w:eastAsia="微软雅黑" w:hint="eastAsia"/>
                <w:b/>
                <w:sz w:val="21"/>
              </w:rPr>
              <w:t>于颈动脉进行血管成形术或内膜切除术</w:t>
            </w:r>
          </w:p>
        </w:tc>
        <w:tc>
          <w:tcPr>
            <w:tcW w:w="7549" w:type="dxa"/>
          </w:tcPr>
          <w:p>
            <w:pPr>
              <w:pStyle w:val="TableParagraph"/>
              <w:spacing w:before="11"/>
              <w:rPr>
                <w:sz w:val="14"/>
              </w:rPr>
            </w:pPr>
          </w:p>
          <w:p>
            <w:pPr>
              <w:pStyle w:val="TableParagraph"/>
              <w:spacing w:line="273" w:lineRule="auto"/>
              <w:ind w:left="108" w:right="302"/>
              <w:jc w:val="both"/>
              <w:rPr>
                <w:sz w:val="21"/>
              </w:rPr>
            </w:pPr>
            <w:r>
              <w:rPr>
                <w:spacing w:val="-5"/>
                <w:sz w:val="21"/>
              </w:rPr>
              <w:t>指根据颈动脉造影检查结果，确诊一条或以上颈动脉存在严重狭窄性病变</w:t>
            </w:r>
            <w:r>
              <w:rPr>
                <w:spacing w:val="-3"/>
                <w:sz w:val="21"/>
              </w:rPr>
              <w:t>（</w:t>
            </w:r>
            <w:r>
              <w:rPr>
                <w:sz w:val="21"/>
              </w:rPr>
              <w:t>至</w:t>
            </w:r>
            <w:r>
              <w:rPr>
                <w:spacing w:val="-5"/>
                <w:sz w:val="21"/>
              </w:rPr>
              <w:t>少一支血管管腔直径减少 </w:t>
            </w:r>
            <w:r>
              <w:rPr>
                <w:sz w:val="21"/>
              </w:rPr>
              <w:t>50%</w:t>
            </w:r>
            <w:r>
              <w:rPr>
                <w:spacing w:val="-2"/>
                <w:sz w:val="21"/>
              </w:rPr>
              <w:t>以上</w:t>
            </w:r>
            <w:r>
              <w:rPr>
                <w:spacing w:val="-108"/>
                <w:sz w:val="21"/>
              </w:rPr>
              <w:t>）</w:t>
            </w:r>
            <w:r>
              <w:rPr>
                <w:spacing w:val="-10"/>
                <w:sz w:val="21"/>
              </w:rPr>
              <w:t>。本病须经国家机关认可的有合法资质的专</w:t>
            </w:r>
            <w:r>
              <w:rPr>
                <w:spacing w:val="-5"/>
                <w:sz w:val="21"/>
              </w:rPr>
              <w:t>科医生明确诊断，同时必须已经采取以下手术以减轻症状：</w:t>
            </w:r>
          </w:p>
          <w:p>
            <w:pPr>
              <w:pStyle w:val="TableParagraph"/>
              <w:spacing w:before="7"/>
              <w:ind w:left="108"/>
              <w:rPr>
                <w:sz w:val="21"/>
              </w:rPr>
            </w:pPr>
            <w:r>
              <w:rPr>
                <w:sz w:val="21"/>
              </w:rPr>
              <w:t>（1）确实进行动脉内膜切除术；</w:t>
            </w:r>
          </w:p>
          <w:p>
            <w:pPr>
              <w:pStyle w:val="TableParagraph"/>
              <w:spacing w:line="273" w:lineRule="auto" w:before="37"/>
              <w:ind w:left="108" w:right="300"/>
              <w:jc w:val="both"/>
              <w:rPr>
                <w:sz w:val="21"/>
              </w:rPr>
            </w:pPr>
            <w:r>
              <w:rPr>
                <w:sz w:val="21"/>
              </w:rPr>
              <w:t>（2）确实进行血管介入治疗，例如血管成形术及/或进行植入支架或动脉粥样瘤清除手术。</w:t>
            </w:r>
          </w:p>
        </w:tc>
      </w:tr>
      <w:tr>
        <w:trPr>
          <w:trHeight w:val="1902" w:hRule="atLeast"/>
        </w:trPr>
        <w:tc>
          <w:tcPr>
            <w:tcW w:w="532" w:type="dxa"/>
          </w:tcPr>
          <w:p>
            <w:pPr>
              <w:pStyle w:val="TableParagraph"/>
              <w:spacing w:before="1"/>
              <w:rPr>
                <w:sz w:val="15"/>
              </w:rPr>
            </w:pPr>
          </w:p>
          <w:p>
            <w:pPr>
              <w:pStyle w:val="TableParagraph"/>
              <w:spacing w:before="1"/>
              <w:ind w:left="180" w:right="87"/>
              <w:jc w:val="center"/>
              <w:rPr>
                <w:rFonts w:ascii="Calibri"/>
                <w:b/>
                <w:sz w:val="22"/>
              </w:rPr>
            </w:pPr>
            <w:r>
              <w:rPr>
                <w:rFonts w:ascii="Calibri"/>
                <w:b/>
                <w:sz w:val="22"/>
              </w:rPr>
              <w:t>25</w:t>
            </w:r>
          </w:p>
        </w:tc>
        <w:tc>
          <w:tcPr>
            <w:tcW w:w="1984" w:type="dxa"/>
          </w:tcPr>
          <w:p>
            <w:pPr>
              <w:pStyle w:val="TableParagraph"/>
              <w:spacing w:line="206" w:lineRule="auto" w:before="153"/>
              <w:ind w:left="107" w:right="104"/>
              <w:rPr>
                <w:rFonts w:ascii="微软雅黑" w:eastAsia="微软雅黑" w:hint="eastAsia"/>
                <w:b/>
                <w:sz w:val="21"/>
              </w:rPr>
            </w:pPr>
            <w:r>
              <w:rPr>
                <w:rFonts w:ascii="微软雅黑" w:eastAsia="微软雅黑" w:hint="eastAsia"/>
                <w:b/>
                <w:sz w:val="21"/>
              </w:rPr>
              <w:t>可逆性再生障碍性贫血</w:t>
            </w:r>
          </w:p>
        </w:tc>
        <w:tc>
          <w:tcPr>
            <w:tcW w:w="7549" w:type="dxa"/>
          </w:tcPr>
          <w:p>
            <w:pPr>
              <w:pStyle w:val="TableParagraph"/>
              <w:spacing w:line="273" w:lineRule="auto" w:before="164"/>
              <w:ind w:left="108" w:right="264"/>
              <w:rPr>
                <w:sz w:val="21"/>
              </w:rPr>
            </w:pPr>
            <w:r>
              <w:rPr>
                <w:sz w:val="21"/>
              </w:rPr>
              <w:t>指因急性可逆性的骨髓造血功能衰竭而导致贫血、中性粒细胞减少和血小板减少，必须由专科医生的诊断，且病历资料显示接受了下列任一治疗：</w:t>
            </w:r>
          </w:p>
          <w:p>
            <w:pPr>
              <w:pStyle w:val="TableParagraph"/>
              <w:spacing w:before="7"/>
              <w:ind w:left="108"/>
              <w:rPr>
                <w:sz w:val="21"/>
              </w:rPr>
            </w:pPr>
            <w:r>
              <w:rPr>
                <w:sz w:val="21"/>
              </w:rPr>
              <w:t>（1）骨髓刺激疗法至少一个月；</w:t>
            </w:r>
          </w:p>
          <w:p>
            <w:pPr>
              <w:pStyle w:val="TableParagraph"/>
              <w:spacing w:before="37"/>
              <w:ind w:left="108"/>
              <w:rPr>
                <w:sz w:val="21"/>
              </w:rPr>
            </w:pPr>
            <w:r>
              <w:rPr>
                <w:sz w:val="21"/>
              </w:rPr>
              <w:t>（2）免疫抑制剂治疗至少一个月；</w:t>
            </w:r>
          </w:p>
          <w:p>
            <w:pPr>
              <w:pStyle w:val="TableParagraph"/>
              <w:spacing w:before="37"/>
              <w:ind w:left="108"/>
              <w:rPr>
                <w:sz w:val="21"/>
              </w:rPr>
            </w:pPr>
            <w:r>
              <w:rPr>
                <w:sz w:val="21"/>
              </w:rPr>
              <w:t>（3）接受了骨髓移植。</w:t>
            </w:r>
          </w:p>
        </w:tc>
      </w:tr>
      <w:tr>
        <w:trPr>
          <w:trHeight w:val="965" w:hRule="atLeast"/>
        </w:trPr>
        <w:tc>
          <w:tcPr>
            <w:tcW w:w="532" w:type="dxa"/>
          </w:tcPr>
          <w:p>
            <w:pPr>
              <w:pStyle w:val="TableParagraph"/>
              <w:spacing w:before="168"/>
              <w:ind w:left="180" w:right="87"/>
              <w:jc w:val="center"/>
              <w:rPr>
                <w:rFonts w:ascii="Calibri"/>
                <w:b/>
                <w:sz w:val="22"/>
              </w:rPr>
            </w:pPr>
            <w:r>
              <w:rPr>
                <w:rFonts w:ascii="Calibri"/>
                <w:b/>
                <w:sz w:val="22"/>
              </w:rPr>
              <w:t>26</w:t>
            </w:r>
          </w:p>
        </w:tc>
        <w:tc>
          <w:tcPr>
            <w:tcW w:w="1984" w:type="dxa"/>
          </w:tcPr>
          <w:p>
            <w:pPr>
              <w:pStyle w:val="TableParagraph"/>
              <w:spacing w:before="72"/>
              <w:ind w:left="107"/>
              <w:rPr>
                <w:rFonts w:ascii="微软雅黑" w:hAnsi="微软雅黑" w:eastAsia="微软雅黑" w:hint="eastAsia"/>
                <w:b/>
                <w:sz w:val="21"/>
              </w:rPr>
            </w:pPr>
            <w:r>
              <w:rPr>
                <w:rFonts w:ascii="微软雅黑" w:hAnsi="微软雅黑" w:eastAsia="微软雅黑" w:hint="eastAsia"/>
                <w:b/>
                <w:sz w:val="21"/>
              </w:rPr>
              <w:t>较小面积Ⅲ度烧伤</w:t>
            </w:r>
          </w:p>
        </w:tc>
        <w:tc>
          <w:tcPr>
            <w:tcW w:w="7549" w:type="dxa"/>
          </w:tcPr>
          <w:p>
            <w:pPr>
              <w:pStyle w:val="TableParagraph"/>
              <w:spacing w:line="273" w:lineRule="auto" w:before="134"/>
              <w:ind w:left="108" w:right="302"/>
              <w:rPr>
                <w:sz w:val="21"/>
              </w:rPr>
            </w:pPr>
            <w:r>
              <w:rPr>
                <w:spacing w:val="-12"/>
                <w:sz w:val="21"/>
              </w:rPr>
              <w:t>指烧伤程度为Ⅲ度，且Ⅲ度烧伤的面积达到全身体表面积的 </w:t>
            </w:r>
            <w:r>
              <w:rPr>
                <w:sz w:val="21"/>
              </w:rPr>
              <w:t>15</w:t>
            </w:r>
            <w:r>
              <w:rPr>
                <w:spacing w:val="-14"/>
                <w:sz w:val="21"/>
              </w:rPr>
              <w:t>%或 </w:t>
            </w:r>
            <w:r>
              <w:rPr>
                <w:sz w:val="21"/>
              </w:rPr>
              <w:t>15</w:t>
            </w:r>
            <w:r>
              <w:rPr>
                <w:spacing w:val="-12"/>
                <w:sz w:val="21"/>
              </w:rPr>
              <w:t>%以上。体</w:t>
            </w:r>
            <w:r>
              <w:rPr>
                <w:spacing w:val="-3"/>
                <w:sz w:val="21"/>
              </w:rPr>
              <w:t>表面积根据《中国新九分法》计算。</w:t>
            </w:r>
          </w:p>
        </w:tc>
      </w:tr>
      <w:tr>
        <w:trPr>
          <w:trHeight w:val="470" w:hRule="atLeast"/>
        </w:trPr>
        <w:tc>
          <w:tcPr>
            <w:tcW w:w="532" w:type="dxa"/>
          </w:tcPr>
          <w:p>
            <w:pPr>
              <w:pStyle w:val="TableParagraph"/>
              <w:spacing w:before="1"/>
              <w:rPr>
                <w:sz w:val="15"/>
              </w:rPr>
            </w:pPr>
          </w:p>
          <w:p>
            <w:pPr>
              <w:pStyle w:val="TableParagraph"/>
              <w:spacing w:line="253" w:lineRule="exact" w:before="1"/>
              <w:ind w:left="180" w:right="87"/>
              <w:jc w:val="center"/>
              <w:rPr>
                <w:rFonts w:ascii="Calibri"/>
                <w:b/>
                <w:sz w:val="22"/>
              </w:rPr>
            </w:pPr>
            <w:r>
              <w:rPr>
                <w:rFonts w:ascii="Calibri"/>
                <w:b/>
                <w:sz w:val="22"/>
              </w:rPr>
              <w:t>27</w:t>
            </w:r>
          </w:p>
        </w:tc>
        <w:tc>
          <w:tcPr>
            <w:tcW w:w="1984" w:type="dxa"/>
          </w:tcPr>
          <w:p>
            <w:pPr>
              <w:pStyle w:val="TableParagraph"/>
              <w:spacing w:line="348" w:lineRule="exact" w:before="102"/>
              <w:ind w:left="107"/>
              <w:rPr>
                <w:rFonts w:ascii="微软雅黑" w:eastAsia="微软雅黑" w:hint="eastAsia"/>
                <w:b/>
                <w:sz w:val="21"/>
              </w:rPr>
            </w:pPr>
            <w:r>
              <w:rPr>
                <w:rFonts w:ascii="微软雅黑" w:eastAsia="微软雅黑" w:hint="eastAsia"/>
                <w:b/>
                <w:sz w:val="21"/>
              </w:rPr>
              <w:t>视力严重受损</w:t>
            </w:r>
          </w:p>
        </w:tc>
        <w:tc>
          <w:tcPr>
            <w:tcW w:w="7549" w:type="dxa"/>
          </w:tcPr>
          <w:p>
            <w:pPr>
              <w:pStyle w:val="TableParagraph"/>
              <w:spacing w:before="164"/>
              <w:ind w:left="108"/>
              <w:rPr>
                <w:sz w:val="21"/>
              </w:rPr>
            </w:pPr>
            <w:r>
              <w:rPr>
                <w:sz w:val="21"/>
              </w:rPr>
              <w:t>指因疾病或意外伤害事故导致双目视力永久不可逆性丧失，虽然未达到重大疾</w:t>
            </w:r>
          </w:p>
        </w:tc>
      </w:tr>
    </w:tbl>
    <w:p>
      <w:pPr>
        <w:spacing w:after="0"/>
        <w:rPr>
          <w:sz w:val="21"/>
        </w:rPr>
        <w:sectPr>
          <w:pgSz w:w="11910" w:h="16840"/>
          <w:pgMar w:header="0" w:footer="705" w:top="1440" w:bottom="900" w:left="100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1838"/>
        <w:gridCol w:w="7589"/>
      </w:tblGrid>
      <w:tr>
        <w:trPr>
          <w:trHeight w:val="2008" w:hRule="atLeast"/>
        </w:trPr>
        <w:tc>
          <w:tcPr>
            <w:tcW w:w="532" w:type="dxa"/>
          </w:tcPr>
          <w:p>
            <w:pPr>
              <w:pStyle w:val="TableParagraph"/>
              <w:rPr>
                <w:rFonts w:ascii="Times New Roman"/>
                <w:sz w:val="20"/>
              </w:rPr>
            </w:pPr>
          </w:p>
        </w:tc>
        <w:tc>
          <w:tcPr>
            <w:tcW w:w="1838" w:type="dxa"/>
          </w:tcPr>
          <w:p>
            <w:pPr>
              <w:pStyle w:val="TableParagraph"/>
              <w:rPr>
                <w:rFonts w:ascii="Times New Roman"/>
                <w:sz w:val="20"/>
              </w:rPr>
            </w:pPr>
          </w:p>
        </w:tc>
        <w:tc>
          <w:tcPr>
            <w:tcW w:w="7589" w:type="dxa"/>
          </w:tcPr>
          <w:p>
            <w:pPr>
              <w:pStyle w:val="TableParagraph"/>
              <w:spacing w:line="203" w:lineRule="exact"/>
              <w:ind w:left="254"/>
              <w:rPr>
                <w:sz w:val="21"/>
              </w:rPr>
            </w:pPr>
            <w:r>
              <w:rPr>
                <w:sz w:val="21"/>
              </w:rPr>
              <w:t>病“双目失明”的给付标准，但满足下列全部条件：</w:t>
            </w:r>
          </w:p>
          <w:p>
            <w:pPr>
              <w:pStyle w:val="TableParagraph"/>
              <w:spacing w:line="273" w:lineRule="auto" w:before="37"/>
              <w:ind w:left="254" w:right="196"/>
              <w:rPr>
                <w:sz w:val="21"/>
              </w:rPr>
            </w:pPr>
            <w:r>
              <w:rPr>
                <w:spacing w:val="-8"/>
                <w:sz w:val="21"/>
              </w:rPr>
              <w:t>（1）</w:t>
            </w:r>
            <w:r>
              <w:rPr>
                <w:spacing w:val="-5"/>
                <w:sz w:val="21"/>
              </w:rPr>
              <w:t>双眼中较好眼矫正视力低于 </w:t>
            </w:r>
            <w:r>
              <w:rPr>
                <w:spacing w:val="-7"/>
                <w:sz w:val="21"/>
              </w:rPr>
              <w:t>0.1（</w:t>
            </w:r>
            <w:r>
              <w:rPr>
                <w:spacing w:val="-5"/>
                <w:sz w:val="21"/>
              </w:rPr>
              <w:t>采用国际标准视力表，如果使用其他视</w:t>
            </w:r>
            <w:r>
              <w:rPr>
                <w:spacing w:val="-4"/>
                <w:w w:val="100"/>
                <w:sz w:val="21"/>
              </w:rPr>
              <w:t>力表应进行换算</w:t>
            </w:r>
            <w:r>
              <w:rPr>
                <w:spacing w:val="-106"/>
                <w:w w:val="100"/>
                <w:sz w:val="21"/>
              </w:rPr>
              <w:t>）</w:t>
            </w:r>
            <w:r>
              <w:rPr>
                <w:w w:val="100"/>
                <w:sz w:val="21"/>
              </w:rPr>
              <w:t>；</w:t>
            </w:r>
          </w:p>
          <w:p>
            <w:pPr>
              <w:pStyle w:val="TableParagraph"/>
              <w:spacing w:before="7"/>
              <w:ind w:left="254"/>
              <w:rPr>
                <w:sz w:val="21"/>
              </w:rPr>
            </w:pPr>
            <w:r>
              <w:rPr>
                <w:sz w:val="21"/>
              </w:rPr>
              <w:t>（2）双眼中较好眼视野半径小于 20 度。</w:t>
            </w:r>
          </w:p>
          <w:p>
            <w:pPr>
              <w:pStyle w:val="TableParagraph"/>
              <w:spacing w:line="273" w:lineRule="auto" w:before="37"/>
              <w:ind w:left="254" w:right="196"/>
              <w:rPr>
                <w:sz w:val="21"/>
              </w:rPr>
            </w:pPr>
            <w:r>
              <w:rPr>
                <w:spacing w:val="-6"/>
                <w:sz w:val="21"/>
              </w:rPr>
              <w:t>申请理赔时，被保险人年龄必须在 </w:t>
            </w:r>
            <w:r>
              <w:rPr>
                <w:sz w:val="21"/>
              </w:rPr>
              <w:t>3</w:t>
            </w:r>
            <w:r>
              <w:rPr>
                <w:spacing w:val="-11"/>
                <w:sz w:val="21"/>
              </w:rPr>
              <w:t> 周岁以上，并需提供被保险人 </w:t>
            </w:r>
            <w:r>
              <w:rPr>
                <w:sz w:val="21"/>
              </w:rPr>
              <w:t>3</w:t>
            </w:r>
            <w:r>
              <w:rPr>
                <w:spacing w:val="-11"/>
                <w:sz w:val="21"/>
              </w:rPr>
              <w:t> 周岁以后</w:t>
            </w:r>
            <w:r>
              <w:rPr>
                <w:spacing w:val="-6"/>
                <w:sz w:val="21"/>
              </w:rPr>
              <w:t>的视力丧失诊断及相关检查报告，双侧眼球摘除不受此时间限制。</w:t>
            </w:r>
          </w:p>
        </w:tc>
      </w:tr>
      <w:tr>
        <w:trPr>
          <w:trHeight w:val="1026" w:hRule="atLeast"/>
        </w:trPr>
        <w:tc>
          <w:tcPr>
            <w:tcW w:w="532" w:type="dxa"/>
          </w:tcPr>
          <w:p>
            <w:pPr>
              <w:pStyle w:val="TableParagraph"/>
              <w:spacing w:before="1"/>
              <w:rPr>
                <w:sz w:val="15"/>
              </w:rPr>
            </w:pPr>
          </w:p>
          <w:p>
            <w:pPr>
              <w:pStyle w:val="TableParagraph"/>
              <w:spacing w:before="1"/>
              <w:ind w:left="180" w:right="87"/>
              <w:jc w:val="center"/>
              <w:rPr>
                <w:rFonts w:ascii="Calibri"/>
                <w:b/>
                <w:sz w:val="22"/>
              </w:rPr>
            </w:pPr>
            <w:r>
              <w:rPr>
                <w:rFonts w:ascii="Calibri"/>
                <w:b/>
                <w:sz w:val="22"/>
              </w:rPr>
              <w:t>28</w:t>
            </w:r>
          </w:p>
        </w:tc>
        <w:tc>
          <w:tcPr>
            <w:tcW w:w="1838" w:type="dxa"/>
          </w:tcPr>
          <w:p>
            <w:pPr>
              <w:pStyle w:val="TableParagraph"/>
              <w:spacing w:before="102"/>
              <w:ind w:left="107"/>
              <w:rPr>
                <w:rFonts w:ascii="微软雅黑" w:eastAsia="微软雅黑" w:hint="eastAsia"/>
                <w:b/>
                <w:sz w:val="21"/>
              </w:rPr>
            </w:pPr>
            <w:r>
              <w:rPr>
                <w:rFonts w:ascii="微软雅黑" w:eastAsia="微软雅黑" w:hint="eastAsia"/>
                <w:b/>
                <w:sz w:val="21"/>
              </w:rPr>
              <w:t>一肢缺失</w:t>
            </w:r>
          </w:p>
        </w:tc>
        <w:tc>
          <w:tcPr>
            <w:tcW w:w="7589" w:type="dxa"/>
          </w:tcPr>
          <w:p>
            <w:pPr>
              <w:pStyle w:val="TableParagraph"/>
              <w:spacing w:line="273" w:lineRule="auto" w:before="164"/>
              <w:ind w:left="254" w:right="155"/>
              <w:rPr>
                <w:sz w:val="21"/>
              </w:rPr>
            </w:pPr>
            <w:r>
              <w:rPr>
                <w:sz w:val="21"/>
              </w:rPr>
              <w:t>指因疾病或意外伤害导致一个肢体自腕关节或踝关节近端（靠近躯干端）以上完全断离，但未达到本合同所指重大疾病“多个肢体缺失”的标准。</w:t>
            </w:r>
          </w:p>
        </w:tc>
      </w:tr>
      <w:tr>
        <w:trPr>
          <w:trHeight w:val="2244" w:hRule="atLeast"/>
        </w:trPr>
        <w:tc>
          <w:tcPr>
            <w:tcW w:w="532" w:type="dxa"/>
          </w:tcPr>
          <w:p>
            <w:pPr>
              <w:pStyle w:val="TableParagraph"/>
              <w:spacing w:before="5"/>
              <w:rPr>
                <w:sz w:val="17"/>
              </w:rPr>
            </w:pPr>
          </w:p>
          <w:p>
            <w:pPr>
              <w:pStyle w:val="TableParagraph"/>
              <w:ind w:left="180" w:right="87"/>
              <w:jc w:val="center"/>
              <w:rPr>
                <w:rFonts w:ascii="Calibri"/>
                <w:b/>
                <w:sz w:val="22"/>
              </w:rPr>
            </w:pPr>
            <w:r>
              <w:rPr>
                <w:rFonts w:ascii="Calibri"/>
                <w:b/>
                <w:sz w:val="22"/>
              </w:rPr>
              <w:t>29</w:t>
            </w:r>
          </w:p>
        </w:tc>
        <w:tc>
          <w:tcPr>
            <w:tcW w:w="1838" w:type="dxa"/>
          </w:tcPr>
          <w:p>
            <w:pPr>
              <w:pStyle w:val="TableParagraph"/>
              <w:spacing w:before="132"/>
              <w:ind w:left="107"/>
              <w:rPr>
                <w:rFonts w:ascii="微软雅黑" w:eastAsia="微软雅黑" w:hint="eastAsia"/>
                <w:b/>
                <w:sz w:val="21"/>
              </w:rPr>
            </w:pPr>
            <w:r>
              <w:rPr>
                <w:rFonts w:ascii="微软雅黑" w:eastAsia="微软雅黑" w:hint="eastAsia"/>
                <w:b/>
                <w:sz w:val="21"/>
              </w:rPr>
              <w:t>人工耳蜗植入术</w:t>
            </w:r>
          </w:p>
        </w:tc>
        <w:tc>
          <w:tcPr>
            <w:tcW w:w="7589" w:type="dxa"/>
          </w:tcPr>
          <w:p>
            <w:pPr>
              <w:pStyle w:val="TableParagraph"/>
              <w:spacing w:before="11"/>
              <w:rPr>
                <w:sz w:val="14"/>
              </w:rPr>
            </w:pPr>
          </w:p>
          <w:p>
            <w:pPr>
              <w:pStyle w:val="TableParagraph"/>
              <w:spacing w:line="273" w:lineRule="auto"/>
              <w:ind w:left="254" w:right="158"/>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8"/>
              <w:ind w:left="254"/>
              <w:rPr>
                <w:sz w:val="21"/>
              </w:rPr>
            </w:pPr>
            <w:r>
              <w:rPr>
                <w:sz w:val="21"/>
              </w:rPr>
              <w:t>（1）双耳持续 12 个月以上重度感音神经性耳聋；</w:t>
            </w:r>
          </w:p>
          <w:p>
            <w:pPr>
              <w:pStyle w:val="TableParagraph"/>
              <w:spacing w:before="37"/>
              <w:ind w:left="254"/>
              <w:rPr>
                <w:sz w:val="21"/>
              </w:rPr>
            </w:pPr>
            <w:r>
              <w:rPr>
                <w:sz w:val="21"/>
              </w:rPr>
              <w:t>（2）使用相应的听力辅助设备效果不佳。</w:t>
            </w:r>
          </w:p>
          <w:p>
            <w:pPr>
              <w:pStyle w:val="TableParagraph"/>
              <w:spacing w:line="273" w:lineRule="auto" w:before="37"/>
              <w:ind w:left="254" w:right="196"/>
              <w:rPr>
                <w:sz w:val="21"/>
              </w:rPr>
            </w:pPr>
            <w:r>
              <w:rPr>
                <w:spacing w:val="-6"/>
                <w:sz w:val="21"/>
              </w:rPr>
              <w:t>申请理赔时被保险人的年龄必须在 </w:t>
            </w:r>
            <w:r>
              <w:rPr>
                <w:sz w:val="21"/>
              </w:rPr>
              <w:t>3</w:t>
            </w:r>
            <w:r>
              <w:rPr>
                <w:spacing w:val="-11"/>
                <w:sz w:val="21"/>
              </w:rPr>
              <w:t> 周岁以上，并需提供被保险人 </w:t>
            </w:r>
            <w:r>
              <w:rPr>
                <w:sz w:val="21"/>
              </w:rPr>
              <w:t>3</w:t>
            </w:r>
            <w:r>
              <w:rPr>
                <w:spacing w:val="-11"/>
                <w:sz w:val="21"/>
              </w:rPr>
              <w:t> 周岁以后</w:t>
            </w:r>
            <w:r>
              <w:rPr>
                <w:spacing w:val="-6"/>
                <w:sz w:val="21"/>
              </w:rPr>
              <w:t>的耳蜗受损诊断及相关检查报告。</w:t>
            </w:r>
          </w:p>
        </w:tc>
      </w:tr>
      <w:tr>
        <w:trPr>
          <w:trHeight w:val="2841" w:hRule="atLeast"/>
        </w:trPr>
        <w:tc>
          <w:tcPr>
            <w:tcW w:w="532" w:type="dxa"/>
          </w:tcPr>
          <w:p>
            <w:pPr>
              <w:pStyle w:val="TableParagraph"/>
              <w:spacing w:before="168"/>
              <w:ind w:left="180" w:right="87"/>
              <w:jc w:val="center"/>
              <w:rPr>
                <w:rFonts w:ascii="Calibri"/>
                <w:b/>
                <w:sz w:val="22"/>
              </w:rPr>
            </w:pPr>
            <w:r>
              <w:rPr>
                <w:rFonts w:ascii="Calibri"/>
                <w:b/>
                <w:sz w:val="22"/>
              </w:rPr>
              <w:t>30</w:t>
            </w:r>
          </w:p>
        </w:tc>
        <w:tc>
          <w:tcPr>
            <w:tcW w:w="1838" w:type="dxa"/>
          </w:tcPr>
          <w:p>
            <w:pPr>
              <w:pStyle w:val="TableParagraph"/>
              <w:spacing w:before="72"/>
              <w:ind w:left="107"/>
              <w:rPr>
                <w:rFonts w:ascii="微软雅黑" w:eastAsia="微软雅黑" w:hint="eastAsia"/>
                <w:b/>
                <w:sz w:val="21"/>
              </w:rPr>
            </w:pPr>
            <w:r>
              <w:rPr>
                <w:rFonts w:ascii="微软雅黑" w:eastAsia="微软雅黑" w:hint="eastAsia"/>
                <w:b/>
                <w:sz w:val="21"/>
              </w:rPr>
              <w:t>单眼失明</w:t>
            </w:r>
          </w:p>
        </w:tc>
        <w:tc>
          <w:tcPr>
            <w:tcW w:w="7589" w:type="dxa"/>
          </w:tcPr>
          <w:p>
            <w:pPr>
              <w:pStyle w:val="TableParagraph"/>
              <w:spacing w:line="273" w:lineRule="auto" w:before="134"/>
              <w:ind w:left="254" w:right="158"/>
              <w:rPr>
                <w:sz w:val="21"/>
              </w:rPr>
            </w:pPr>
            <w:r>
              <w:rPr>
                <w:sz w:val="21"/>
              </w:rPr>
              <w:t>指因疾病或意外伤害导致单眼视力永久不可逆性丧失，须满足下列至少一项条件，但未达到本合同所指重大疾病“双目失明”的给付标准，</w:t>
            </w:r>
          </w:p>
          <w:p>
            <w:pPr>
              <w:pStyle w:val="TableParagraph"/>
              <w:spacing w:before="67"/>
              <w:ind w:left="254"/>
              <w:rPr>
                <w:sz w:val="21"/>
              </w:rPr>
            </w:pPr>
            <w:r>
              <w:rPr>
                <w:sz w:val="21"/>
              </w:rPr>
              <w:t>（1）眼球缺失或摘除；</w:t>
            </w:r>
          </w:p>
          <w:p>
            <w:pPr>
              <w:pStyle w:val="TableParagraph"/>
              <w:spacing w:line="273" w:lineRule="auto" w:before="97"/>
              <w:ind w:left="254" w:right="196"/>
              <w:rPr>
                <w:sz w:val="21"/>
              </w:rPr>
            </w:pPr>
            <w:r>
              <w:rPr>
                <w:sz w:val="21"/>
              </w:rPr>
              <w:t>（2）</w:t>
            </w:r>
            <w:r>
              <w:rPr>
                <w:spacing w:val="-1"/>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67"/>
              <w:ind w:left="254"/>
              <w:rPr>
                <w:sz w:val="21"/>
              </w:rPr>
            </w:pPr>
            <w:r>
              <w:rPr>
                <w:sz w:val="21"/>
              </w:rPr>
              <w:t>（3）视野半径小于 5 度。</w:t>
            </w:r>
          </w:p>
          <w:p>
            <w:pPr>
              <w:pStyle w:val="TableParagraph"/>
              <w:spacing w:line="310" w:lineRule="atLeast" w:before="61"/>
              <w:ind w:left="254" w:right="159"/>
              <w:rPr>
                <w:sz w:val="21"/>
              </w:rPr>
            </w:pPr>
            <w:r>
              <w:rPr>
                <w:sz w:val="21"/>
              </w:rPr>
              <w:t>被保险人申请理赔时年龄必须在三周岁以上，并且提供视力丧失诊断及检查证据。</w:t>
            </w:r>
          </w:p>
        </w:tc>
      </w:tr>
    </w:tbl>
    <w:p>
      <w:pPr>
        <w:pStyle w:val="BodyText"/>
        <w:rPr>
          <w:sz w:val="20"/>
        </w:rPr>
      </w:pPr>
    </w:p>
    <w:p>
      <w:pPr>
        <w:pStyle w:val="BodyText"/>
        <w:rPr>
          <w:sz w:val="20"/>
        </w:rPr>
      </w:pPr>
    </w:p>
    <w:p>
      <w:pPr>
        <w:pStyle w:val="BodyText"/>
        <w:rPr>
          <w:sz w:val="20"/>
        </w:rPr>
      </w:pPr>
    </w:p>
    <w:p>
      <w:pPr>
        <w:pStyle w:val="Heading2"/>
        <w:spacing w:before="136"/>
        <w:ind w:left="0" w:right="197"/>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840"/>
      <w:pgMar w:header="0" w:footer="705" w:top="1440" w:bottom="900" w:left="10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9.179993pt;margin-top:791.645813pt;width:264.75pt;height:13.7pt;mso-position-horizontal-relative:page;mso-position-vertical-relative:page;z-index:-59008" type="#_x0000_t202" filled="false" stroked="false">
          <v:textbox inset="0,0,0,0">
            <w:txbxContent>
              <w:p>
                <w:pPr>
                  <w:pStyle w:val="BodyText"/>
                  <w:spacing w:line="254" w:lineRule="exact"/>
                  <w:ind w:left="20"/>
                </w:pPr>
                <w:r>
                  <w:rPr>
                    <w:spacing w:val="-6"/>
                  </w:rPr>
                  <w:t>上海人寿附加览海智选重大疾病保险，第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spacing w:val="-13"/>
                  </w:rPr>
                  <w:t>页，共 </w:t>
                </w:r>
                <w:r>
                  <w:rPr>
                    <w:rFonts w:ascii="Times New Roman" w:eastAsia="Times New Roman"/>
                  </w:rPr>
                  <w:t>24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69.179993pt;margin-top:791.645813pt;width:264.75pt;height:13.7pt;mso-position-horizontal-relative:page;mso-position-vertical-relative:page;z-index:-58984" type="#_x0000_t202" filled="false" stroked="false">
          <v:textbox inset="0,0,0,0">
            <w:txbxContent>
              <w:p>
                <w:pPr>
                  <w:pStyle w:val="BodyText"/>
                  <w:spacing w:line="254" w:lineRule="exact"/>
                  <w:ind w:left="20"/>
                </w:pPr>
                <w:r>
                  <w:rPr>
                    <w:spacing w:val="-6"/>
                  </w:rPr>
                  <w:t>上海人寿附加览海智选重大疾病保险，第 </w:t>
                </w:r>
                <w:r>
                  <w:rPr/>
                  <w:fldChar w:fldCharType="begin"/>
                </w:r>
                <w:r>
                  <w:rPr>
                    <w:rFonts w:ascii="Times New Roman" w:eastAsia="Times New Roman"/>
                  </w:rPr>
                  <w:instrText> PAGE </w:instrText>
                </w:r>
                <w:r>
                  <w:rPr/>
                  <w:fldChar w:fldCharType="separate"/>
                </w:r>
                <w:r>
                  <w:rPr/>
                  <w:t>14</w:t>
                </w:r>
                <w:r>
                  <w:rPr/>
                  <w:fldChar w:fldCharType="end"/>
                </w:r>
                <w:r>
                  <w:rPr>
                    <w:rFonts w:ascii="Times New Roman" w:eastAsia="Times New Roman"/>
                  </w:rPr>
                  <w:t> </w:t>
                </w:r>
                <w:r>
                  <w:rPr>
                    <w:spacing w:val="-13"/>
                  </w:rPr>
                  <w:t>页，共 </w:t>
                </w:r>
                <w:r>
                  <w:rPr>
                    <w:rFonts w:ascii="Times New Roman" w:eastAsia="Times New Roman"/>
                  </w:rPr>
                  <w:t>24 </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4"/>
      <w:numFmt w:val="decimal"/>
      <w:lvlText w:val="%1"/>
      <w:lvlJc w:val="left"/>
      <w:pPr>
        <w:ind w:left="2589" w:hanging="442"/>
        <w:jc w:val="left"/>
      </w:pPr>
      <w:rPr>
        <w:rFonts w:hint="default" w:ascii="Calibri" w:hAnsi="Calibri" w:eastAsia="Calibri" w:cs="Calibri"/>
        <w:w w:val="100"/>
        <w:sz w:val="22"/>
        <w:szCs w:val="22"/>
      </w:rPr>
    </w:lvl>
    <w:lvl w:ilvl="1">
      <w:start w:val="0"/>
      <w:numFmt w:val="bullet"/>
      <w:lvlText w:val="•"/>
      <w:lvlJc w:val="left"/>
      <w:pPr>
        <w:ind w:left="3310" w:hanging="442"/>
      </w:pPr>
      <w:rPr>
        <w:rFonts w:hint="default"/>
      </w:rPr>
    </w:lvl>
    <w:lvl w:ilvl="2">
      <w:start w:val="0"/>
      <w:numFmt w:val="bullet"/>
      <w:lvlText w:val="•"/>
      <w:lvlJc w:val="left"/>
      <w:pPr>
        <w:ind w:left="4041" w:hanging="442"/>
      </w:pPr>
      <w:rPr>
        <w:rFonts w:hint="default"/>
      </w:rPr>
    </w:lvl>
    <w:lvl w:ilvl="3">
      <w:start w:val="0"/>
      <w:numFmt w:val="bullet"/>
      <w:lvlText w:val="•"/>
      <w:lvlJc w:val="left"/>
      <w:pPr>
        <w:ind w:left="4771" w:hanging="442"/>
      </w:pPr>
      <w:rPr>
        <w:rFonts w:hint="default"/>
      </w:rPr>
    </w:lvl>
    <w:lvl w:ilvl="4">
      <w:start w:val="0"/>
      <w:numFmt w:val="bullet"/>
      <w:lvlText w:val="•"/>
      <w:lvlJc w:val="left"/>
      <w:pPr>
        <w:ind w:left="5502" w:hanging="442"/>
      </w:pPr>
      <w:rPr>
        <w:rFonts w:hint="default"/>
      </w:rPr>
    </w:lvl>
    <w:lvl w:ilvl="5">
      <w:start w:val="0"/>
      <w:numFmt w:val="bullet"/>
      <w:lvlText w:val="•"/>
      <w:lvlJc w:val="left"/>
      <w:pPr>
        <w:ind w:left="6233" w:hanging="442"/>
      </w:pPr>
      <w:rPr>
        <w:rFonts w:hint="default"/>
      </w:rPr>
    </w:lvl>
    <w:lvl w:ilvl="6">
      <w:start w:val="0"/>
      <w:numFmt w:val="bullet"/>
      <w:lvlText w:val="•"/>
      <w:lvlJc w:val="left"/>
      <w:pPr>
        <w:ind w:left="6963" w:hanging="442"/>
      </w:pPr>
      <w:rPr>
        <w:rFonts w:hint="default"/>
      </w:rPr>
    </w:lvl>
    <w:lvl w:ilvl="7">
      <w:start w:val="0"/>
      <w:numFmt w:val="bullet"/>
      <w:lvlText w:val="•"/>
      <w:lvlJc w:val="left"/>
      <w:pPr>
        <w:ind w:left="7694" w:hanging="442"/>
      </w:pPr>
      <w:rPr>
        <w:rFonts w:hint="default"/>
      </w:rPr>
    </w:lvl>
    <w:lvl w:ilvl="8">
      <w:start w:val="0"/>
      <w:numFmt w:val="bullet"/>
      <w:lvlText w:val="•"/>
      <w:lvlJc w:val="left"/>
      <w:pPr>
        <w:ind w:left="8425" w:hanging="442"/>
      </w:pPr>
      <w:rPr>
        <w:rFonts w:hint="default"/>
      </w:rPr>
    </w:lvl>
  </w:abstractNum>
  <w:abstractNum w:abstractNumId="8">
    <w:multiLevelType w:val="hybridMultilevel"/>
    <w:lvl w:ilvl="0">
      <w:start w:val="1"/>
      <w:numFmt w:val="upperRoman"/>
      <w:lvlText w:val="%1"/>
      <w:lvlJc w:val="left"/>
      <w:pPr>
        <w:ind w:left="305" w:hanging="159"/>
        <w:jc w:val="left"/>
      </w:pPr>
      <w:rPr>
        <w:rFonts w:hint="default" w:ascii="宋体" w:hAnsi="宋体" w:eastAsia="宋体" w:cs="宋体"/>
        <w:w w:val="100"/>
        <w:sz w:val="21"/>
        <w:szCs w:val="21"/>
      </w:rPr>
    </w:lvl>
    <w:lvl w:ilvl="1">
      <w:start w:val="0"/>
      <w:numFmt w:val="bullet"/>
      <w:lvlText w:val="•"/>
      <w:lvlJc w:val="left"/>
      <w:pPr>
        <w:ind w:left="1029" w:hanging="159"/>
      </w:pPr>
      <w:rPr>
        <w:rFonts w:hint="default"/>
      </w:rPr>
    </w:lvl>
    <w:lvl w:ilvl="2">
      <w:start w:val="0"/>
      <w:numFmt w:val="bullet"/>
      <w:lvlText w:val="•"/>
      <w:lvlJc w:val="left"/>
      <w:pPr>
        <w:ind w:left="1758" w:hanging="159"/>
      </w:pPr>
      <w:rPr>
        <w:rFonts w:hint="default"/>
      </w:rPr>
    </w:lvl>
    <w:lvl w:ilvl="3">
      <w:start w:val="0"/>
      <w:numFmt w:val="bullet"/>
      <w:lvlText w:val="•"/>
      <w:lvlJc w:val="left"/>
      <w:pPr>
        <w:ind w:left="2487" w:hanging="159"/>
      </w:pPr>
      <w:rPr>
        <w:rFonts w:hint="default"/>
      </w:rPr>
    </w:lvl>
    <w:lvl w:ilvl="4">
      <w:start w:val="0"/>
      <w:numFmt w:val="bullet"/>
      <w:lvlText w:val="•"/>
      <w:lvlJc w:val="left"/>
      <w:pPr>
        <w:ind w:left="3216" w:hanging="159"/>
      </w:pPr>
      <w:rPr>
        <w:rFonts w:hint="default"/>
      </w:rPr>
    </w:lvl>
    <w:lvl w:ilvl="5">
      <w:start w:val="0"/>
      <w:numFmt w:val="bullet"/>
      <w:lvlText w:val="•"/>
      <w:lvlJc w:val="left"/>
      <w:pPr>
        <w:ind w:left="3945" w:hanging="159"/>
      </w:pPr>
      <w:rPr>
        <w:rFonts w:hint="default"/>
      </w:rPr>
    </w:lvl>
    <w:lvl w:ilvl="6">
      <w:start w:val="0"/>
      <w:numFmt w:val="bullet"/>
      <w:lvlText w:val="•"/>
      <w:lvlJc w:val="left"/>
      <w:pPr>
        <w:ind w:left="4674" w:hanging="159"/>
      </w:pPr>
      <w:rPr>
        <w:rFonts w:hint="default"/>
      </w:rPr>
    </w:lvl>
    <w:lvl w:ilvl="7">
      <w:start w:val="0"/>
      <w:numFmt w:val="bullet"/>
      <w:lvlText w:val="•"/>
      <w:lvlJc w:val="left"/>
      <w:pPr>
        <w:ind w:left="5403" w:hanging="159"/>
      </w:pPr>
      <w:rPr>
        <w:rFonts w:hint="default"/>
      </w:rPr>
    </w:lvl>
    <w:lvl w:ilvl="8">
      <w:start w:val="0"/>
      <w:numFmt w:val="bullet"/>
      <w:lvlText w:val="•"/>
      <w:lvlJc w:val="left"/>
      <w:pPr>
        <w:ind w:left="6132" w:hanging="159"/>
      </w:pPr>
      <w:rPr>
        <w:rFonts w:hint="default"/>
      </w:rPr>
    </w:lvl>
  </w:abstractNum>
  <w:abstractNum w:abstractNumId="7">
    <w:multiLevelType w:val="hybridMultilevel"/>
    <w:lvl w:ilvl="0">
      <w:start w:val="31"/>
      <w:numFmt w:val="decimal"/>
      <w:lvlText w:val="%1"/>
      <w:lvlJc w:val="left"/>
      <w:pPr>
        <w:ind w:left="2529" w:hanging="442"/>
        <w:jc w:val="left"/>
      </w:pPr>
      <w:rPr>
        <w:rFonts w:hint="default" w:ascii="Calibri" w:hAnsi="Calibri" w:eastAsia="Calibri" w:cs="Calibri"/>
        <w:w w:val="100"/>
        <w:sz w:val="22"/>
        <w:szCs w:val="22"/>
      </w:rPr>
    </w:lvl>
    <w:lvl w:ilvl="1">
      <w:start w:val="0"/>
      <w:numFmt w:val="bullet"/>
      <w:lvlText w:val="•"/>
      <w:lvlJc w:val="left"/>
      <w:pPr>
        <w:ind w:left="3246" w:hanging="442"/>
      </w:pPr>
      <w:rPr>
        <w:rFonts w:hint="default"/>
      </w:rPr>
    </w:lvl>
    <w:lvl w:ilvl="2">
      <w:start w:val="0"/>
      <w:numFmt w:val="bullet"/>
      <w:lvlText w:val="•"/>
      <w:lvlJc w:val="left"/>
      <w:pPr>
        <w:ind w:left="3973" w:hanging="442"/>
      </w:pPr>
      <w:rPr>
        <w:rFonts w:hint="default"/>
      </w:rPr>
    </w:lvl>
    <w:lvl w:ilvl="3">
      <w:start w:val="0"/>
      <w:numFmt w:val="bullet"/>
      <w:lvlText w:val="•"/>
      <w:lvlJc w:val="left"/>
      <w:pPr>
        <w:ind w:left="4699" w:hanging="442"/>
      </w:pPr>
      <w:rPr>
        <w:rFonts w:hint="default"/>
      </w:rPr>
    </w:lvl>
    <w:lvl w:ilvl="4">
      <w:start w:val="0"/>
      <w:numFmt w:val="bullet"/>
      <w:lvlText w:val="•"/>
      <w:lvlJc w:val="left"/>
      <w:pPr>
        <w:ind w:left="5426" w:hanging="442"/>
      </w:pPr>
      <w:rPr>
        <w:rFonts w:hint="default"/>
      </w:rPr>
    </w:lvl>
    <w:lvl w:ilvl="5">
      <w:start w:val="0"/>
      <w:numFmt w:val="bullet"/>
      <w:lvlText w:val="•"/>
      <w:lvlJc w:val="left"/>
      <w:pPr>
        <w:ind w:left="6153" w:hanging="442"/>
      </w:pPr>
      <w:rPr>
        <w:rFonts w:hint="default"/>
      </w:rPr>
    </w:lvl>
    <w:lvl w:ilvl="6">
      <w:start w:val="0"/>
      <w:numFmt w:val="bullet"/>
      <w:lvlText w:val="•"/>
      <w:lvlJc w:val="left"/>
      <w:pPr>
        <w:ind w:left="6879" w:hanging="442"/>
      </w:pPr>
      <w:rPr>
        <w:rFonts w:hint="default"/>
      </w:rPr>
    </w:lvl>
    <w:lvl w:ilvl="7">
      <w:start w:val="0"/>
      <w:numFmt w:val="bullet"/>
      <w:lvlText w:val="•"/>
      <w:lvlJc w:val="left"/>
      <w:pPr>
        <w:ind w:left="7606" w:hanging="442"/>
      </w:pPr>
      <w:rPr>
        <w:rFonts w:hint="default"/>
      </w:rPr>
    </w:lvl>
    <w:lvl w:ilvl="8">
      <w:start w:val="0"/>
      <w:numFmt w:val="bullet"/>
      <w:lvlText w:val="•"/>
      <w:lvlJc w:val="left"/>
      <w:pPr>
        <w:ind w:left="8333" w:hanging="442"/>
      </w:pPr>
      <w:rPr>
        <w:rFonts w:hint="default"/>
      </w:rPr>
    </w:lvl>
  </w:abstractNum>
  <w:abstractNum w:abstractNumId="6">
    <w:multiLevelType w:val="hybridMultilevel"/>
    <w:lvl w:ilvl="0">
      <w:start w:val="7"/>
      <w:numFmt w:val="decimal"/>
      <w:lvlText w:val="%1"/>
      <w:lvlJc w:val="left"/>
      <w:pPr>
        <w:ind w:left="543" w:hanging="329"/>
        <w:jc w:val="right"/>
      </w:pPr>
      <w:rPr>
        <w:rFonts w:hint="default" w:ascii="Calibri" w:hAnsi="Calibri" w:eastAsia="Calibri" w:cs="Calibri"/>
        <w:w w:val="100"/>
        <w:sz w:val="22"/>
        <w:szCs w:val="22"/>
      </w:rPr>
    </w:lvl>
    <w:lvl w:ilvl="1">
      <w:start w:val="0"/>
      <w:numFmt w:val="bullet"/>
      <w:lvlText w:val="•"/>
      <w:lvlJc w:val="left"/>
      <w:pPr>
        <w:ind w:left="709" w:hanging="329"/>
      </w:pPr>
      <w:rPr>
        <w:rFonts w:hint="default"/>
      </w:rPr>
    </w:lvl>
    <w:lvl w:ilvl="2">
      <w:start w:val="0"/>
      <w:numFmt w:val="bullet"/>
      <w:lvlText w:val="•"/>
      <w:lvlJc w:val="left"/>
      <w:pPr>
        <w:ind w:left="878" w:hanging="329"/>
      </w:pPr>
      <w:rPr>
        <w:rFonts w:hint="default"/>
      </w:rPr>
    </w:lvl>
    <w:lvl w:ilvl="3">
      <w:start w:val="0"/>
      <w:numFmt w:val="bullet"/>
      <w:lvlText w:val="•"/>
      <w:lvlJc w:val="left"/>
      <w:pPr>
        <w:ind w:left="1047" w:hanging="329"/>
      </w:pPr>
      <w:rPr>
        <w:rFonts w:hint="default"/>
      </w:rPr>
    </w:lvl>
    <w:lvl w:ilvl="4">
      <w:start w:val="0"/>
      <w:numFmt w:val="bullet"/>
      <w:lvlText w:val="•"/>
      <w:lvlJc w:val="left"/>
      <w:pPr>
        <w:ind w:left="1217" w:hanging="329"/>
      </w:pPr>
      <w:rPr>
        <w:rFonts w:hint="default"/>
      </w:rPr>
    </w:lvl>
    <w:lvl w:ilvl="5">
      <w:start w:val="0"/>
      <w:numFmt w:val="bullet"/>
      <w:lvlText w:val="•"/>
      <w:lvlJc w:val="left"/>
      <w:pPr>
        <w:ind w:left="1386" w:hanging="329"/>
      </w:pPr>
      <w:rPr>
        <w:rFonts w:hint="default"/>
      </w:rPr>
    </w:lvl>
    <w:lvl w:ilvl="6">
      <w:start w:val="0"/>
      <w:numFmt w:val="bullet"/>
      <w:lvlText w:val="•"/>
      <w:lvlJc w:val="left"/>
      <w:pPr>
        <w:ind w:left="1555" w:hanging="329"/>
      </w:pPr>
      <w:rPr>
        <w:rFonts w:hint="default"/>
      </w:rPr>
    </w:lvl>
    <w:lvl w:ilvl="7">
      <w:start w:val="0"/>
      <w:numFmt w:val="bullet"/>
      <w:lvlText w:val="•"/>
      <w:lvlJc w:val="left"/>
      <w:pPr>
        <w:ind w:left="1725" w:hanging="329"/>
      </w:pPr>
      <w:rPr>
        <w:rFonts w:hint="default"/>
      </w:rPr>
    </w:lvl>
    <w:lvl w:ilvl="8">
      <w:start w:val="0"/>
      <w:numFmt w:val="bullet"/>
      <w:lvlText w:val="•"/>
      <w:lvlJc w:val="left"/>
      <w:pPr>
        <w:ind w:left="1894" w:hanging="329"/>
      </w:pPr>
      <w:rPr>
        <w:rFonts w:hint="default"/>
      </w:rPr>
    </w:lvl>
  </w:abstractNum>
  <w:abstractNum w:abstractNumId="5">
    <w:multiLevelType w:val="hybridMultilevel"/>
    <w:lvl w:ilvl="0">
      <w:start w:val="1"/>
      <w:numFmt w:val="decimal"/>
      <w:lvlText w:val="%1."/>
      <w:lvlJc w:val="left"/>
      <w:pPr>
        <w:ind w:left="958" w:hanging="416"/>
        <w:jc w:val="left"/>
      </w:pPr>
      <w:rPr>
        <w:rFonts w:hint="default" w:ascii="Times New Roman" w:hAnsi="Times New Roman" w:eastAsia="Times New Roman" w:cs="Times New Roman"/>
        <w:w w:val="100"/>
        <w:sz w:val="21"/>
        <w:szCs w:val="21"/>
      </w:rPr>
    </w:lvl>
    <w:lvl w:ilvl="1">
      <w:start w:val="0"/>
      <w:numFmt w:val="bullet"/>
      <w:lvlText w:val="•"/>
      <w:lvlJc w:val="left"/>
      <w:pPr>
        <w:ind w:left="1888" w:hanging="416"/>
      </w:pPr>
      <w:rPr>
        <w:rFonts w:hint="default"/>
      </w:rPr>
    </w:lvl>
    <w:lvl w:ilvl="2">
      <w:start w:val="0"/>
      <w:numFmt w:val="bullet"/>
      <w:lvlText w:val="•"/>
      <w:lvlJc w:val="left"/>
      <w:pPr>
        <w:ind w:left="2817" w:hanging="416"/>
      </w:pPr>
      <w:rPr>
        <w:rFonts w:hint="default"/>
      </w:rPr>
    </w:lvl>
    <w:lvl w:ilvl="3">
      <w:start w:val="0"/>
      <w:numFmt w:val="bullet"/>
      <w:lvlText w:val="•"/>
      <w:lvlJc w:val="left"/>
      <w:pPr>
        <w:ind w:left="3745" w:hanging="416"/>
      </w:pPr>
      <w:rPr>
        <w:rFonts w:hint="default"/>
      </w:rPr>
    </w:lvl>
    <w:lvl w:ilvl="4">
      <w:start w:val="0"/>
      <w:numFmt w:val="bullet"/>
      <w:lvlText w:val="•"/>
      <w:lvlJc w:val="left"/>
      <w:pPr>
        <w:ind w:left="4674" w:hanging="416"/>
      </w:pPr>
      <w:rPr>
        <w:rFonts w:hint="default"/>
      </w:rPr>
    </w:lvl>
    <w:lvl w:ilvl="5">
      <w:start w:val="0"/>
      <w:numFmt w:val="bullet"/>
      <w:lvlText w:val="•"/>
      <w:lvlJc w:val="left"/>
      <w:pPr>
        <w:ind w:left="5603" w:hanging="416"/>
      </w:pPr>
      <w:rPr>
        <w:rFonts w:hint="default"/>
      </w:rPr>
    </w:lvl>
    <w:lvl w:ilvl="6">
      <w:start w:val="0"/>
      <w:numFmt w:val="bullet"/>
      <w:lvlText w:val="•"/>
      <w:lvlJc w:val="left"/>
      <w:pPr>
        <w:ind w:left="6531" w:hanging="416"/>
      </w:pPr>
      <w:rPr>
        <w:rFonts w:hint="default"/>
      </w:rPr>
    </w:lvl>
    <w:lvl w:ilvl="7">
      <w:start w:val="0"/>
      <w:numFmt w:val="bullet"/>
      <w:lvlText w:val="•"/>
      <w:lvlJc w:val="left"/>
      <w:pPr>
        <w:ind w:left="7460" w:hanging="416"/>
      </w:pPr>
      <w:rPr>
        <w:rFonts w:hint="default"/>
      </w:rPr>
    </w:lvl>
    <w:lvl w:ilvl="8">
      <w:start w:val="0"/>
      <w:numFmt w:val="bullet"/>
      <w:lvlText w:val="•"/>
      <w:lvlJc w:val="left"/>
      <w:pPr>
        <w:ind w:left="8389" w:hanging="416"/>
      </w:pPr>
      <w:rPr>
        <w:rFonts w:hint="default"/>
      </w:rPr>
    </w:lvl>
  </w:abstractNum>
  <w:abstractNum w:abstractNumId="4">
    <w:multiLevelType w:val="hybridMultilevel"/>
    <w:lvl w:ilvl="0">
      <w:start w:val="1"/>
      <w:numFmt w:val="decimal"/>
      <w:lvlText w:val="%1."/>
      <w:lvlJc w:val="left"/>
      <w:pPr>
        <w:ind w:left="958"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88" w:hanging="420"/>
      </w:pPr>
      <w:rPr>
        <w:rFonts w:hint="default"/>
      </w:rPr>
    </w:lvl>
    <w:lvl w:ilvl="2">
      <w:start w:val="0"/>
      <w:numFmt w:val="bullet"/>
      <w:lvlText w:val="•"/>
      <w:lvlJc w:val="left"/>
      <w:pPr>
        <w:ind w:left="2817" w:hanging="420"/>
      </w:pPr>
      <w:rPr>
        <w:rFonts w:hint="default"/>
      </w:rPr>
    </w:lvl>
    <w:lvl w:ilvl="3">
      <w:start w:val="0"/>
      <w:numFmt w:val="bullet"/>
      <w:lvlText w:val="•"/>
      <w:lvlJc w:val="left"/>
      <w:pPr>
        <w:ind w:left="3745" w:hanging="420"/>
      </w:pPr>
      <w:rPr>
        <w:rFonts w:hint="default"/>
      </w:rPr>
    </w:lvl>
    <w:lvl w:ilvl="4">
      <w:start w:val="0"/>
      <w:numFmt w:val="bullet"/>
      <w:lvlText w:val="•"/>
      <w:lvlJc w:val="left"/>
      <w:pPr>
        <w:ind w:left="4674" w:hanging="420"/>
      </w:pPr>
      <w:rPr>
        <w:rFonts w:hint="default"/>
      </w:rPr>
    </w:lvl>
    <w:lvl w:ilvl="5">
      <w:start w:val="0"/>
      <w:numFmt w:val="bullet"/>
      <w:lvlText w:val="•"/>
      <w:lvlJc w:val="left"/>
      <w:pPr>
        <w:ind w:left="5603" w:hanging="420"/>
      </w:pPr>
      <w:rPr>
        <w:rFonts w:hint="default"/>
      </w:rPr>
    </w:lvl>
    <w:lvl w:ilvl="6">
      <w:start w:val="0"/>
      <w:numFmt w:val="bullet"/>
      <w:lvlText w:val="•"/>
      <w:lvlJc w:val="left"/>
      <w:pPr>
        <w:ind w:left="6531" w:hanging="420"/>
      </w:pPr>
      <w:rPr>
        <w:rFonts w:hint="default"/>
      </w:rPr>
    </w:lvl>
    <w:lvl w:ilvl="7">
      <w:start w:val="0"/>
      <w:numFmt w:val="bullet"/>
      <w:lvlText w:val="•"/>
      <w:lvlJc w:val="left"/>
      <w:pPr>
        <w:ind w:left="7460" w:hanging="420"/>
      </w:pPr>
      <w:rPr>
        <w:rFonts w:hint="default"/>
      </w:rPr>
    </w:lvl>
    <w:lvl w:ilvl="8">
      <w:start w:val="0"/>
      <w:numFmt w:val="bullet"/>
      <w:lvlText w:val="•"/>
      <w:lvlJc w:val="left"/>
      <w:pPr>
        <w:ind w:left="8389" w:hanging="420"/>
      </w:pPr>
      <w:rPr>
        <w:rFonts w:hint="default"/>
      </w:rPr>
    </w:lvl>
  </w:abstractNum>
  <w:abstractNum w:abstractNumId="3">
    <w:multiLevelType w:val="hybridMultilevel"/>
    <w:lvl w:ilvl="0">
      <w:start w:val="1"/>
      <w:numFmt w:val="decimal"/>
      <w:lvlText w:val="%1."/>
      <w:lvlJc w:val="left"/>
      <w:pPr>
        <w:ind w:left="958"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88" w:hanging="420"/>
      </w:pPr>
      <w:rPr>
        <w:rFonts w:hint="default"/>
      </w:rPr>
    </w:lvl>
    <w:lvl w:ilvl="2">
      <w:start w:val="0"/>
      <w:numFmt w:val="bullet"/>
      <w:lvlText w:val="•"/>
      <w:lvlJc w:val="left"/>
      <w:pPr>
        <w:ind w:left="2817" w:hanging="420"/>
      </w:pPr>
      <w:rPr>
        <w:rFonts w:hint="default"/>
      </w:rPr>
    </w:lvl>
    <w:lvl w:ilvl="3">
      <w:start w:val="0"/>
      <w:numFmt w:val="bullet"/>
      <w:lvlText w:val="•"/>
      <w:lvlJc w:val="left"/>
      <w:pPr>
        <w:ind w:left="3745" w:hanging="420"/>
      </w:pPr>
      <w:rPr>
        <w:rFonts w:hint="default"/>
      </w:rPr>
    </w:lvl>
    <w:lvl w:ilvl="4">
      <w:start w:val="0"/>
      <w:numFmt w:val="bullet"/>
      <w:lvlText w:val="•"/>
      <w:lvlJc w:val="left"/>
      <w:pPr>
        <w:ind w:left="4674" w:hanging="420"/>
      </w:pPr>
      <w:rPr>
        <w:rFonts w:hint="default"/>
      </w:rPr>
    </w:lvl>
    <w:lvl w:ilvl="5">
      <w:start w:val="0"/>
      <w:numFmt w:val="bullet"/>
      <w:lvlText w:val="•"/>
      <w:lvlJc w:val="left"/>
      <w:pPr>
        <w:ind w:left="5603" w:hanging="420"/>
      </w:pPr>
      <w:rPr>
        <w:rFonts w:hint="default"/>
      </w:rPr>
    </w:lvl>
    <w:lvl w:ilvl="6">
      <w:start w:val="0"/>
      <w:numFmt w:val="bullet"/>
      <w:lvlText w:val="•"/>
      <w:lvlJc w:val="left"/>
      <w:pPr>
        <w:ind w:left="6531" w:hanging="420"/>
      </w:pPr>
      <w:rPr>
        <w:rFonts w:hint="default"/>
      </w:rPr>
    </w:lvl>
    <w:lvl w:ilvl="7">
      <w:start w:val="0"/>
      <w:numFmt w:val="bullet"/>
      <w:lvlText w:val="•"/>
      <w:lvlJc w:val="left"/>
      <w:pPr>
        <w:ind w:left="7460" w:hanging="420"/>
      </w:pPr>
      <w:rPr>
        <w:rFonts w:hint="default"/>
      </w:rPr>
    </w:lvl>
    <w:lvl w:ilvl="8">
      <w:start w:val="0"/>
      <w:numFmt w:val="bullet"/>
      <w:lvlText w:val="•"/>
      <w:lvlJc w:val="left"/>
      <w:pPr>
        <w:ind w:left="8389" w:hanging="420"/>
      </w:pPr>
      <w:rPr>
        <w:rFonts w:hint="default"/>
      </w:rPr>
    </w:lvl>
  </w:abstractNum>
  <w:abstractNum w:abstractNumId="2">
    <w:multiLevelType w:val="hybridMultilevel"/>
    <w:lvl w:ilvl="0">
      <w:start w:val="5"/>
      <w:numFmt w:val="decimal"/>
      <w:lvlText w:val="%1."/>
      <w:lvlJc w:val="left"/>
      <w:pPr>
        <w:ind w:left="854" w:hanging="317"/>
        <w:jc w:val="left"/>
      </w:pPr>
      <w:rPr>
        <w:rFonts w:hint="default"/>
        <w:w w:val="100"/>
        <w:highlight w:val="lightGray"/>
      </w:rPr>
    </w:lvl>
    <w:lvl w:ilvl="1">
      <w:start w:val="0"/>
      <w:numFmt w:val="bullet"/>
      <w:lvlText w:val="•"/>
      <w:lvlJc w:val="left"/>
      <w:pPr>
        <w:ind w:left="1808" w:hanging="317"/>
      </w:pPr>
      <w:rPr>
        <w:rFonts w:hint="default"/>
      </w:rPr>
    </w:lvl>
    <w:lvl w:ilvl="2">
      <w:start w:val="0"/>
      <w:numFmt w:val="bullet"/>
      <w:lvlText w:val="•"/>
      <w:lvlJc w:val="left"/>
      <w:pPr>
        <w:ind w:left="2757" w:hanging="317"/>
      </w:pPr>
      <w:rPr>
        <w:rFonts w:hint="default"/>
      </w:rPr>
    </w:lvl>
    <w:lvl w:ilvl="3">
      <w:start w:val="0"/>
      <w:numFmt w:val="bullet"/>
      <w:lvlText w:val="•"/>
      <w:lvlJc w:val="left"/>
      <w:pPr>
        <w:ind w:left="3705" w:hanging="317"/>
      </w:pPr>
      <w:rPr>
        <w:rFonts w:hint="default"/>
      </w:rPr>
    </w:lvl>
    <w:lvl w:ilvl="4">
      <w:start w:val="0"/>
      <w:numFmt w:val="bullet"/>
      <w:lvlText w:val="•"/>
      <w:lvlJc w:val="left"/>
      <w:pPr>
        <w:ind w:left="4654" w:hanging="317"/>
      </w:pPr>
      <w:rPr>
        <w:rFonts w:hint="default"/>
      </w:rPr>
    </w:lvl>
    <w:lvl w:ilvl="5">
      <w:start w:val="0"/>
      <w:numFmt w:val="bullet"/>
      <w:lvlText w:val="•"/>
      <w:lvlJc w:val="left"/>
      <w:pPr>
        <w:ind w:left="5603" w:hanging="317"/>
      </w:pPr>
      <w:rPr>
        <w:rFonts w:hint="default"/>
      </w:rPr>
    </w:lvl>
    <w:lvl w:ilvl="6">
      <w:start w:val="0"/>
      <w:numFmt w:val="bullet"/>
      <w:lvlText w:val="•"/>
      <w:lvlJc w:val="left"/>
      <w:pPr>
        <w:ind w:left="6551" w:hanging="317"/>
      </w:pPr>
      <w:rPr>
        <w:rFonts w:hint="default"/>
      </w:rPr>
    </w:lvl>
    <w:lvl w:ilvl="7">
      <w:start w:val="0"/>
      <w:numFmt w:val="bullet"/>
      <w:lvlText w:val="•"/>
      <w:lvlJc w:val="left"/>
      <w:pPr>
        <w:ind w:left="7500" w:hanging="317"/>
      </w:pPr>
      <w:rPr>
        <w:rFonts w:hint="default"/>
      </w:rPr>
    </w:lvl>
    <w:lvl w:ilvl="8">
      <w:start w:val="0"/>
      <w:numFmt w:val="bullet"/>
      <w:lvlText w:val="•"/>
      <w:lvlJc w:val="left"/>
      <w:pPr>
        <w:ind w:left="8449" w:hanging="317"/>
      </w:pPr>
      <w:rPr>
        <w:rFonts w:hint="default"/>
      </w:rPr>
    </w:lvl>
  </w:abstractNum>
  <w:abstractNum w:abstractNumId="1">
    <w:multiLevelType w:val="hybridMultilevel"/>
    <w:lvl w:ilvl="0">
      <w:start w:val="1"/>
      <w:numFmt w:val="decimal"/>
      <w:lvlText w:val="（%1）"/>
      <w:lvlJc w:val="left"/>
      <w:pPr>
        <w:ind w:left="1063" w:hanging="629"/>
        <w:jc w:val="left"/>
      </w:pPr>
      <w:rPr>
        <w:rFonts w:hint="default" w:ascii="宋体" w:hAnsi="宋体" w:eastAsia="宋体" w:cs="宋体"/>
        <w:spacing w:val="-3"/>
        <w:w w:val="100"/>
        <w:sz w:val="21"/>
        <w:szCs w:val="21"/>
      </w:rPr>
    </w:lvl>
    <w:lvl w:ilvl="1">
      <w:start w:val="1"/>
      <w:numFmt w:val="decimal"/>
      <w:lvlText w:val="%2."/>
      <w:lvlJc w:val="left"/>
      <w:pPr>
        <w:ind w:left="854" w:hanging="317"/>
        <w:jc w:val="left"/>
      </w:pPr>
      <w:rPr>
        <w:rFonts w:hint="default"/>
        <w:w w:val="100"/>
        <w:highlight w:val="lightGray"/>
      </w:rPr>
    </w:lvl>
    <w:lvl w:ilvl="2">
      <w:start w:val="0"/>
      <w:numFmt w:val="bullet"/>
      <w:lvlText w:val="•"/>
      <w:lvlJc w:val="left"/>
      <w:pPr>
        <w:ind w:left="2080" w:hanging="317"/>
      </w:pPr>
      <w:rPr>
        <w:rFonts w:hint="default"/>
      </w:rPr>
    </w:lvl>
    <w:lvl w:ilvl="3">
      <w:start w:val="0"/>
      <w:numFmt w:val="bullet"/>
      <w:lvlText w:val="•"/>
      <w:lvlJc w:val="left"/>
      <w:pPr>
        <w:ind w:left="3101" w:hanging="317"/>
      </w:pPr>
      <w:rPr>
        <w:rFonts w:hint="default"/>
      </w:rPr>
    </w:lvl>
    <w:lvl w:ilvl="4">
      <w:start w:val="0"/>
      <w:numFmt w:val="bullet"/>
      <w:lvlText w:val="•"/>
      <w:lvlJc w:val="left"/>
      <w:pPr>
        <w:ind w:left="4122" w:hanging="317"/>
      </w:pPr>
      <w:rPr>
        <w:rFonts w:hint="default"/>
      </w:rPr>
    </w:lvl>
    <w:lvl w:ilvl="5">
      <w:start w:val="0"/>
      <w:numFmt w:val="bullet"/>
      <w:lvlText w:val="•"/>
      <w:lvlJc w:val="left"/>
      <w:pPr>
        <w:ind w:left="5142" w:hanging="317"/>
      </w:pPr>
      <w:rPr>
        <w:rFonts w:hint="default"/>
      </w:rPr>
    </w:lvl>
    <w:lvl w:ilvl="6">
      <w:start w:val="0"/>
      <w:numFmt w:val="bullet"/>
      <w:lvlText w:val="•"/>
      <w:lvlJc w:val="left"/>
      <w:pPr>
        <w:ind w:left="6163" w:hanging="317"/>
      </w:pPr>
      <w:rPr>
        <w:rFonts w:hint="default"/>
      </w:rPr>
    </w:lvl>
    <w:lvl w:ilvl="7">
      <w:start w:val="0"/>
      <w:numFmt w:val="bullet"/>
      <w:lvlText w:val="•"/>
      <w:lvlJc w:val="left"/>
      <w:pPr>
        <w:ind w:left="7184" w:hanging="317"/>
      </w:pPr>
      <w:rPr>
        <w:rFonts w:hint="default"/>
      </w:rPr>
    </w:lvl>
    <w:lvl w:ilvl="8">
      <w:start w:val="0"/>
      <w:numFmt w:val="bullet"/>
      <w:lvlText w:val="•"/>
      <w:lvlJc w:val="left"/>
      <w:pPr>
        <w:ind w:left="8204" w:hanging="317"/>
      </w:pPr>
      <w:rPr>
        <w:rFonts w:hint="default"/>
      </w:rPr>
    </w:lvl>
  </w:abstractNum>
  <w:abstractNum w:abstractNumId="0">
    <w:multiLevelType w:val="hybridMultilevel"/>
    <w:lvl w:ilvl="0">
      <w:start w:val="0"/>
      <w:numFmt w:val="bullet"/>
      <w:lvlText w:val=""/>
      <w:lvlJc w:val="left"/>
      <w:pPr>
        <w:ind w:left="1058" w:hanging="420"/>
      </w:pPr>
      <w:rPr>
        <w:rFonts w:hint="default" w:ascii="Wingdings" w:hAnsi="Wingdings" w:eastAsia="Wingdings" w:cs="Wingdings"/>
        <w:w w:val="100"/>
        <w:sz w:val="24"/>
        <w:szCs w:val="24"/>
      </w:rPr>
    </w:lvl>
    <w:lvl w:ilvl="1">
      <w:start w:val="0"/>
      <w:numFmt w:val="bullet"/>
      <w:lvlText w:val="•"/>
      <w:lvlJc w:val="left"/>
      <w:pPr>
        <w:ind w:left="1948" w:hanging="420"/>
      </w:pPr>
      <w:rPr>
        <w:rFonts w:hint="default"/>
      </w:rPr>
    </w:lvl>
    <w:lvl w:ilvl="2">
      <w:start w:val="0"/>
      <w:numFmt w:val="bullet"/>
      <w:lvlText w:val="•"/>
      <w:lvlJc w:val="left"/>
      <w:pPr>
        <w:ind w:left="2837" w:hanging="420"/>
      </w:pPr>
      <w:rPr>
        <w:rFonts w:hint="default"/>
      </w:rPr>
    </w:lvl>
    <w:lvl w:ilvl="3">
      <w:start w:val="0"/>
      <w:numFmt w:val="bullet"/>
      <w:lvlText w:val="•"/>
      <w:lvlJc w:val="left"/>
      <w:pPr>
        <w:ind w:left="3725" w:hanging="420"/>
      </w:pPr>
      <w:rPr>
        <w:rFonts w:hint="default"/>
      </w:rPr>
    </w:lvl>
    <w:lvl w:ilvl="4">
      <w:start w:val="0"/>
      <w:numFmt w:val="bullet"/>
      <w:lvlText w:val="•"/>
      <w:lvlJc w:val="left"/>
      <w:pPr>
        <w:ind w:left="4614" w:hanging="420"/>
      </w:pPr>
      <w:rPr>
        <w:rFonts w:hint="default"/>
      </w:rPr>
    </w:lvl>
    <w:lvl w:ilvl="5">
      <w:start w:val="0"/>
      <w:numFmt w:val="bullet"/>
      <w:lvlText w:val="•"/>
      <w:lvlJc w:val="left"/>
      <w:pPr>
        <w:ind w:left="5503" w:hanging="420"/>
      </w:pPr>
      <w:rPr>
        <w:rFonts w:hint="default"/>
      </w:rPr>
    </w:lvl>
    <w:lvl w:ilvl="6">
      <w:start w:val="0"/>
      <w:numFmt w:val="bullet"/>
      <w:lvlText w:val="•"/>
      <w:lvlJc w:val="left"/>
      <w:pPr>
        <w:ind w:left="6391" w:hanging="420"/>
      </w:pPr>
      <w:rPr>
        <w:rFonts w:hint="default"/>
      </w:rPr>
    </w:lvl>
    <w:lvl w:ilvl="7">
      <w:start w:val="0"/>
      <w:numFmt w:val="bullet"/>
      <w:lvlText w:val="•"/>
      <w:lvlJc w:val="left"/>
      <w:pPr>
        <w:ind w:left="7280" w:hanging="420"/>
      </w:pPr>
      <w:rPr>
        <w:rFonts w:hint="default"/>
      </w:rPr>
    </w:lvl>
    <w:lvl w:ilvl="8">
      <w:start w:val="0"/>
      <w:numFmt w:val="bullet"/>
      <w:lvlText w:val="•"/>
      <w:lvlJc w:val="left"/>
      <w:pPr>
        <w:ind w:left="8169"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53" w:lineRule="exact"/>
      <w:ind w:left="117"/>
    </w:pPr>
    <w:rPr>
      <w:rFonts w:ascii="微软雅黑" w:hAnsi="微软雅黑" w:eastAsia="微软雅黑" w:cs="微软雅黑"/>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7"/>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1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2529" w:hanging="242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njbxw.com/data/index.asp"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车得道</dc:creator>
  <dcterms:created xsi:type="dcterms:W3CDTF">2018-10-20T02:27:45Z</dcterms:created>
  <dcterms:modified xsi:type="dcterms:W3CDTF">2018-10-20T02:27:45Z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Creator">
    <vt:lpwstr>Microsoft® Word 2013</vt:lpwstr>
  </property>
  <property fmtid="{D5CDD505-2E9C-101B-9397-08002B2CF9AE}" pid="4" name="LastSaved">
    <vt:filetime>2018-10-19T00:00:00Z</vt:filetime>
  </property>
</Properties>
</file>