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1" w:lineRule="auto" w:before="345"/>
        <w:ind w:left="4132" w:hanging="1042"/>
        <w:jc w:val="left"/>
      </w:pPr>
      <w:r>
        <w:rPr/>
        <w:t>横琴团体重大疾病保险条款阅  读  指 引</w:t>
      </w:r>
    </w:p>
    <w:p>
      <w:pPr>
        <w:spacing w:before="25"/>
        <w:ind w:left="671" w:right="389" w:firstLine="0"/>
        <w:jc w:val="center"/>
        <w:rPr>
          <w:sz w:val="15"/>
        </w:rPr>
      </w:pPr>
      <w:r>
        <w:rPr/>
        <w:br w:type="column"/>
      </w:r>
      <w:r>
        <w:rPr>
          <w:sz w:val="15"/>
        </w:rPr>
        <w:t>横琴人寿[2017]疾病保险 015 号</w:t>
      </w: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spacing w:before="111"/>
        <w:ind w:left="670" w:right="389" w:firstLine="0"/>
        <w:jc w:val="center"/>
        <w:rPr>
          <w:sz w:val="15"/>
        </w:rPr>
      </w:pPr>
      <w:r>
        <w:rPr>
          <w:sz w:val="15"/>
        </w:rPr>
        <w:t>请扫描以查询验证条款</w:t>
      </w:r>
    </w:p>
    <w:p>
      <w:pPr>
        <w:spacing w:after="0"/>
        <w:jc w:val="center"/>
        <w:rPr>
          <w:sz w:val="15"/>
        </w:rPr>
        <w:sectPr>
          <w:type w:val="continuous"/>
          <w:pgSz w:w="11910" w:h="16840"/>
          <w:pgMar w:top="720" w:bottom="280" w:left="940" w:right="720"/>
          <w:cols w:num="2" w:equalWidth="0">
            <w:col w:w="6934" w:space="40"/>
            <w:col w:w="3276"/>
          </w:cols>
        </w:sectPr>
      </w:pPr>
    </w:p>
    <w:p>
      <w:pPr>
        <w:pStyle w:val="Heading2"/>
        <w:spacing w:before="78"/>
        <w:ind w:left="1743"/>
      </w:pPr>
      <w:r>
        <w:rPr/>
        <w:pict>
          <v:group style="position:absolute;margin-left:52.32pt;margin-top:40.559982pt;width:501.25pt;height:739.1pt;mso-position-horizontal-relative:page;mso-position-vertical-relative:page;z-index:-30520" coordorigin="1046,811" coordsize="10025,14782">
            <v:shape style="position:absolute;left:1046;top:2849;width:9977;height:12744" type="#_x0000_t75" stroked="false">
              <v:imagedata r:id="rId5" o:title=""/>
            </v:shape>
            <v:shape style="position:absolute;left:8304;top:811;width:2768;height:1988" type="#_x0000_t75" stroked="false">
              <v:imagedata r:id="rId6" o:title=""/>
            </v:shape>
            <v:shape style="position:absolute;left:9117;top:1024;width:1138;height:1138" type="#_x0000_t75" stroked="false">
              <v:imagedata r:id="rId7" o:title=""/>
            </v:shape>
            <w10:wrap type="none"/>
          </v:group>
        </w:pict>
      </w:r>
      <w:r>
        <w:rPr/>
        <w:t>本阅读指引有助于投保人理解条款，对本合同内容的解释以条款为准。</w:t>
      </w:r>
    </w:p>
    <w:p>
      <w:pPr>
        <w:tabs>
          <w:tab w:pos="1256" w:val="left" w:leader="none"/>
        </w:tabs>
        <w:spacing w:line="517" w:lineRule="exact" w:before="139"/>
        <w:ind w:left="246" w:right="0" w:firstLine="0"/>
        <w:jc w:val="left"/>
        <w:rPr>
          <w:b/>
          <w:sz w:val="21"/>
        </w:rPr>
      </w:pP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被保险人可以享受本合同提供的保障</w:t>
      </w:r>
      <w:r>
        <w:rPr>
          <w:spacing w:val="-1"/>
          <w:w w:val="180"/>
          <w:sz w:val="21"/>
        </w:rPr>
        <w:t>„„„„„„„„„„„„„„„„„„</w:t>
      </w:r>
      <w:r>
        <w:rPr>
          <w:w w:val="110"/>
          <w:sz w:val="21"/>
        </w:rPr>
        <w:t>第2.4条</w:t>
      </w:r>
    </w:p>
    <w:p>
      <w:pPr>
        <w:pStyle w:val="ListParagraph"/>
        <w:numPr>
          <w:ilvl w:val="0"/>
          <w:numId w:val="1"/>
        </w:numPr>
        <w:tabs>
          <w:tab w:pos="1637" w:val="left" w:leader="none"/>
          <w:tab w:pos="1638" w:val="left" w:leader="none"/>
        </w:tabs>
        <w:spacing w:line="283" w:lineRule="exact" w:before="23" w:after="0"/>
        <w:ind w:left="1638" w:right="0" w:hanging="420"/>
        <w:jc w:val="left"/>
        <w:rPr>
          <w:sz w:val="21"/>
        </w:rPr>
      </w:pPr>
      <w:r>
        <w:rPr>
          <w:spacing w:val="-3"/>
          <w:w w:val="115"/>
          <w:sz w:val="21"/>
        </w:rPr>
        <w:t>投保人有退保的权利</w:t>
      </w:r>
      <w:r>
        <w:rPr>
          <w:spacing w:val="-1"/>
          <w:w w:val="180"/>
          <w:sz w:val="21"/>
        </w:rPr>
        <w:t>„„„„„„„„„„„„„„„„„„„„„„„„„</w:t>
      </w:r>
      <w:r>
        <w:rPr>
          <w:spacing w:val="-1"/>
          <w:w w:val="115"/>
          <w:sz w:val="21"/>
        </w:rPr>
        <w:t>第7.1条</w:t>
      </w:r>
    </w:p>
    <w:p>
      <w:pPr>
        <w:pStyle w:val="Heading2"/>
        <w:tabs>
          <w:tab w:pos="1256" w:val="left" w:leader="none"/>
        </w:tabs>
        <w:spacing w:line="511" w:lineRule="exact"/>
        <w:ind w:left="246"/>
      </w:pPr>
      <w:r>
        <w:rPr>
          <w:rFonts w:ascii="Arial" w:hAnsi="Arial" w:eastAsia="Arial"/>
          <w:w w:val="105"/>
          <w:position w:val="-11"/>
          <w:sz w:val="52"/>
        </w:rPr>
        <w:t></w:t>
        <w:tab/>
      </w:r>
      <w:r>
        <w:rPr>
          <w:spacing w:val="-1"/>
        </w:rPr>
        <w:t>投保人应当特别注意的事项</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在某些情况下，我们不承担保险责任</w:t>
      </w:r>
      <w:r>
        <w:rPr>
          <w:spacing w:val="-1"/>
          <w:w w:val="180"/>
          <w:sz w:val="21"/>
        </w:rPr>
        <w:t>„„„„„„„„„„„„„„„„„„</w:t>
      </w:r>
      <w:r>
        <w:rPr>
          <w:spacing w:val="-1"/>
          <w:w w:val="110"/>
          <w:sz w:val="21"/>
        </w:rPr>
        <w:t>第2.5</w:t>
      </w:r>
      <w:r>
        <w:rPr>
          <w:w w:val="110"/>
          <w:sz w:val="21"/>
        </w:rPr>
        <w:t>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投保人有及时向我们通知保险事故的责任</w:t>
      </w:r>
      <w:r>
        <w:rPr>
          <w:spacing w:val="-1"/>
          <w:w w:val="175"/>
          <w:sz w:val="21"/>
        </w:rPr>
        <w:t>„„„„„„„„„„„„„„„„</w:t>
      </w:r>
      <w:r>
        <w:rPr>
          <w:w w:val="110"/>
          <w:sz w:val="21"/>
        </w:rPr>
        <w:t>第4.2条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投保人有如实告知的义务</w:t>
      </w:r>
      <w:r>
        <w:rPr>
          <w:spacing w:val="-1"/>
          <w:w w:val="185"/>
          <w:sz w:val="21"/>
        </w:rPr>
        <w:t>„„„„„„„„„„„„„„„„„„„„„„„</w:t>
      </w:r>
      <w:r>
        <w:rPr>
          <w:spacing w:val="-1"/>
          <w:w w:val="110"/>
          <w:sz w:val="21"/>
        </w:rPr>
        <w:t>第8.1</w:t>
      </w:r>
      <w:r>
        <w:rPr>
          <w:w w:val="110"/>
          <w:sz w:val="21"/>
        </w:rPr>
        <w:t>条</w:t>
      </w:r>
    </w:p>
    <w:p>
      <w:pPr>
        <w:pStyle w:val="ListParagraph"/>
        <w:numPr>
          <w:ilvl w:val="0"/>
          <w:numId w:val="1"/>
        </w:numPr>
        <w:tabs>
          <w:tab w:pos="1637" w:val="left" w:leader="none"/>
          <w:tab w:pos="1638" w:val="left" w:leader="none"/>
        </w:tabs>
        <w:spacing w:line="240" w:lineRule="auto" w:before="23" w:after="0"/>
        <w:ind w:left="1638" w:right="0" w:hanging="420"/>
        <w:jc w:val="left"/>
        <w:rPr>
          <w:sz w:val="21"/>
        </w:rPr>
      </w:pPr>
      <w:r>
        <w:rPr>
          <w:spacing w:val="-1"/>
          <w:w w:val="105"/>
          <w:sz w:val="21"/>
        </w:rPr>
        <w:t>我们对一些重要术语进行了解释，并作了显著标识，请投保人注意„„„„„第 </w:t>
      </w:r>
      <w:r>
        <w:rPr>
          <w:w w:val="105"/>
          <w:sz w:val="21"/>
        </w:rPr>
        <w:t>9</w:t>
      </w:r>
      <w:r>
        <w:rPr>
          <w:spacing w:val="45"/>
          <w:w w:val="105"/>
          <w:sz w:val="21"/>
        </w:rPr>
        <w:t> 条</w:t>
      </w:r>
    </w:p>
    <w:p>
      <w:pPr>
        <w:pStyle w:val="Heading2"/>
        <w:numPr>
          <w:ilvl w:val="0"/>
          <w:numId w:val="1"/>
        </w:numPr>
        <w:tabs>
          <w:tab w:pos="1637" w:val="left" w:leader="none"/>
          <w:tab w:pos="1638" w:val="left" w:leader="none"/>
        </w:tabs>
        <w:spacing w:line="259" w:lineRule="auto" w:before="22" w:after="0"/>
        <w:ind w:left="1638" w:right="805" w:hanging="420"/>
        <w:jc w:val="left"/>
      </w:pPr>
      <w:r>
        <w:rPr>
          <w:spacing w:val="-3"/>
        </w:rPr>
        <w:t>本公司对可能影响被保险人享受本保险合同保障的重要内容进行了显著标识，请投保人仔细阅读正文有底纹的部分。</w:t>
      </w:r>
    </w:p>
    <w:p>
      <w:pPr>
        <w:pStyle w:val="BodyText"/>
        <w:spacing w:before="8"/>
        <w:ind w:left="0"/>
        <w:rPr>
          <w:b/>
          <w:sz w:val="22"/>
        </w:rPr>
      </w:pPr>
    </w:p>
    <w:p>
      <w:pPr>
        <w:tabs>
          <w:tab w:pos="1256" w:val="left" w:leader="none"/>
        </w:tabs>
        <w:spacing w:line="498" w:lineRule="exact" w:before="0"/>
        <w:ind w:left="246"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56" w:val="left" w:leader="none"/>
        </w:tabs>
        <w:spacing w:line="498" w:lineRule="exact" w:before="0"/>
        <w:ind w:left="246" w:right="0" w:firstLine="0"/>
        <w:jc w:val="left"/>
        <w:rPr>
          <w:b/>
          <w:sz w:val="21"/>
        </w:rPr>
      </w:pPr>
      <w:r>
        <w:rPr>
          <w:rFonts w:ascii="Arial" w:hAnsi="Arial" w:eastAsia="Arial"/>
          <w:b/>
          <w:w w:val="110"/>
          <w:position w:val="-11"/>
          <w:sz w:val="52"/>
        </w:rPr>
        <w:t></w:t>
        <w:tab/>
      </w:r>
      <w:r>
        <w:rPr>
          <w:b/>
          <w:sz w:val="21"/>
        </w:rPr>
        <w:t>条款目录</w:t>
      </w:r>
    </w:p>
    <w:p>
      <w:pPr>
        <w:pStyle w:val="BodyText"/>
        <w:spacing w:before="6"/>
        <w:ind w:left="0"/>
        <w:rPr>
          <w:b/>
          <w:sz w:val="12"/>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6"/>
        <w:gridCol w:w="3367"/>
        <w:gridCol w:w="3407"/>
      </w:tblGrid>
      <w:tr>
        <w:trPr>
          <w:trHeight w:val="329" w:hRule="atLeast"/>
        </w:trPr>
        <w:tc>
          <w:tcPr>
            <w:tcW w:w="2886" w:type="dxa"/>
            <w:tcBorders>
              <w:top w:val="single" w:sz="4" w:space="0" w:color="000000"/>
              <w:left w:val="single" w:sz="4" w:space="0" w:color="000000"/>
            </w:tcBorders>
          </w:tcPr>
          <w:p>
            <w:pPr>
              <w:pStyle w:val="TableParagraph"/>
              <w:spacing w:line="262" w:lineRule="exact"/>
              <w:ind w:left="71"/>
              <w:rPr>
                <w:b/>
                <w:sz w:val="21"/>
              </w:rPr>
            </w:pPr>
            <w:r>
              <w:rPr>
                <w:b/>
                <w:sz w:val="21"/>
              </w:rPr>
              <w:t>1.关于本保险合同</w:t>
            </w:r>
          </w:p>
        </w:tc>
        <w:tc>
          <w:tcPr>
            <w:tcW w:w="3367" w:type="dxa"/>
            <w:tcBorders>
              <w:top w:val="single" w:sz="4" w:space="0" w:color="000000"/>
            </w:tcBorders>
          </w:tcPr>
          <w:p>
            <w:pPr>
              <w:pStyle w:val="TableParagraph"/>
              <w:spacing w:line="274" w:lineRule="exact"/>
              <w:ind w:left="524"/>
              <w:rPr>
                <w:sz w:val="21"/>
              </w:rPr>
            </w:pPr>
            <w:r>
              <w:rPr>
                <w:sz w:val="21"/>
              </w:rPr>
              <w:t>5.1 被保险人变动</w:t>
            </w:r>
          </w:p>
        </w:tc>
        <w:tc>
          <w:tcPr>
            <w:tcW w:w="3407" w:type="dxa"/>
            <w:tcBorders>
              <w:top w:val="single" w:sz="4" w:space="0" w:color="000000"/>
              <w:right w:val="single" w:sz="4" w:space="0" w:color="000000"/>
            </w:tcBorders>
          </w:tcPr>
          <w:p>
            <w:pPr>
              <w:pStyle w:val="TableParagraph"/>
              <w:spacing w:line="262" w:lineRule="exact"/>
              <w:ind w:left="172"/>
              <w:rPr>
                <w:sz w:val="21"/>
              </w:rPr>
            </w:pPr>
            <w:r>
              <w:rPr>
                <w:sz w:val="21"/>
              </w:rPr>
              <w:t>9.7 医疗机构</w:t>
            </w:r>
          </w:p>
        </w:tc>
      </w:tr>
      <w:tr>
        <w:trPr>
          <w:trHeight w:val="332" w:hRule="atLeast"/>
        </w:trPr>
        <w:tc>
          <w:tcPr>
            <w:tcW w:w="2886" w:type="dxa"/>
            <w:tcBorders>
              <w:left w:val="single" w:sz="4" w:space="0" w:color="000000"/>
            </w:tcBorders>
          </w:tcPr>
          <w:p>
            <w:pPr>
              <w:pStyle w:val="TableParagraph"/>
              <w:spacing w:line="266" w:lineRule="exact"/>
              <w:ind w:left="208"/>
              <w:rPr>
                <w:sz w:val="21"/>
              </w:rPr>
            </w:pPr>
            <w:r>
              <w:rPr>
                <w:sz w:val="21"/>
              </w:rPr>
              <w:t>1.1 保险合同构成</w:t>
            </w:r>
          </w:p>
        </w:tc>
        <w:tc>
          <w:tcPr>
            <w:tcW w:w="3367" w:type="dxa"/>
          </w:tcPr>
          <w:p>
            <w:pPr>
              <w:pStyle w:val="TableParagraph"/>
              <w:spacing w:line="266" w:lineRule="exact"/>
              <w:ind w:left="419"/>
              <w:rPr>
                <w:b/>
                <w:sz w:val="21"/>
              </w:rPr>
            </w:pPr>
            <w:r>
              <w:rPr>
                <w:b/>
                <w:sz w:val="21"/>
              </w:rPr>
              <w:t>6.危险变更通知</w:t>
            </w:r>
          </w:p>
        </w:tc>
        <w:tc>
          <w:tcPr>
            <w:tcW w:w="3407" w:type="dxa"/>
            <w:tcBorders>
              <w:right w:val="single" w:sz="4" w:space="0" w:color="000000"/>
            </w:tcBorders>
          </w:tcPr>
          <w:p>
            <w:pPr>
              <w:pStyle w:val="TableParagraph"/>
              <w:spacing w:line="266" w:lineRule="exact"/>
              <w:ind w:left="172"/>
              <w:rPr>
                <w:sz w:val="21"/>
              </w:rPr>
            </w:pPr>
            <w:r>
              <w:rPr>
                <w:sz w:val="21"/>
              </w:rPr>
              <w:t>9.8 毒品</w:t>
            </w:r>
          </w:p>
        </w:tc>
      </w:tr>
      <w:tr>
        <w:trPr>
          <w:trHeight w:val="343" w:hRule="atLeast"/>
        </w:trPr>
        <w:tc>
          <w:tcPr>
            <w:tcW w:w="2886" w:type="dxa"/>
            <w:tcBorders>
              <w:left w:val="single" w:sz="4" w:space="0" w:color="000000"/>
            </w:tcBorders>
          </w:tcPr>
          <w:p>
            <w:pPr>
              <w:pStyle w:val="TableParagraph"/>
              <w:spacing w:before="2"/>
              <w:ind w:left="213"/>
              <w:rPr>
                <w:sz w:val="21"/>
              </w:rPr>
            </w:pPr>
            <w:r>
              <w:rPr>
                <w:sz w:val="21"/>
              </w:rPr>
              <w:t>1.2 投保范围</w:t>
            </w:r>
          </w:p>
        </w:tc>
        <w:tc>
          <w:tcPr>
            <w:tcW w:w="3367" w:type="dxa"/>
          </w:tcPr>
          <w:p>
            <w:pPr>
              <w:pStyle w:val="TableParagraph"/>
              <w:spacing w:before="2"/>
              <w:ind w:left="524"/>
              <w:rPr>
                <w:sz w:val="21"/>
              </w:rPr>
            </w:pPr>
            <w:r>
              <w:rPr>
                <w:sz w:val="21"/>
              </w:rPr>
              <w:t>6.1 危险变更通知</w:t>
            </w:r>
          </w:p>
        </w:tc>
        <w:tc>
          <w:tcPr>
            <w:tcW w:w="3407" w:type="dxa"/>
            <w:tcBorders>
              <w:right w:val="single" w:sz="4" w:space="0" w:color="000000"/>
            </w:tcBorders>
          </w:tcPr>
          <w:p>
            <w:pPr>
              <w:pStyle w:val="TableParagraph"/>
              <w:spacing w:before="2"/>
              <w:ind w:left="172"/>
              <w:rPr>
                <w:sz w:val="21"/>
              </w:rPr>
            </w:pPr>
            <w:r>
              <w:rPr>
                <w:sz w:val="21"/>
              </w:rPr>
              <w:t>9.9 酒后驾驶</w:t>
            </w:r>
          </w:p>
        </w:tc>
      </w:tr>
      <w:tr>
        <w:trPr>
          <w:trHeight w:val="343" w:hRule="atLeast"/>
        </w:trPr>
        <w:tc>
          <w:tcPr>
            <w:tcW w:w="2886" w:type="dxa"/>
            <w:tcBorders>
              <w:left w:val="single" w:sz="4" w:space="0" w:color="000000"/>
            </w:tcBorders>
          </w:tcPr>
          <w:p>
            <w:pPr>
              <w:pStyle w:val="TableParagraph"/>
              <w:spacing w:before="2"/>
              <w:ind w:left="213"/>
              <w:rPr>
                <w:sz w:val="21"/>
              </w:rPr>
            </w:pPr>
            <w:r>
              <w:rPr>
                <w:sz w:val="21"/>
              </w:rPr>
              <w:t>1.3 保险合同成立与生效</w:t>
            </w:r>
          </w:p>
        </w:tc>
        <w:tc>
          <w:tcPr>
            <w:tcW w:w="3367" w:type="dxa"/>
          </w:tcPr>
          <w:p>
            <w:pPr>
              <w:pStyle w:val="TableParagraph"/>
              <w:spacing w:before="2"/>
              <w:ind w:left="419"/>
              <w:rPr>
                <w:b/>
                <w:sz w:val="21"/>
              </w:rPr>
            </w:pPr>
            <w:r>
              <w:rPr>
                <w:b/>
                <w:sz w:val="21"/>
              </w:rPr>
              <w:t>7.解除合同处理</w:t>
            </w:r>
          </w:p>
        </w:tc>
        <w:tc>
          <w:tcPr>
            <w:tcW w:w="3407" w:type="dxa"/>
            <w:tcBorders>
              <w:right w:val="single" w:sz="4" w:space="0" w:color="000000"/>
            </w:tcBorders>
          </w:tcPr>
          <w:p>
            <w:pPr>
              <w:pStyle w:val="TableParagraph"/>
              <w:spacing w:before="2"/>
              <w:ind w:left="172"/>
              <w:rPr>
                <w:sz w:val="21"/>
              </w:rPr>
            </w:pPr>
            <w:r>
              <w:rPr>
                <w:sz w:val="21"/>
              </w:rPr>
              <w:t>9.10 无合法有效驾驶证驾驶</w:t>
            </w:r>
          </w:p>
        </w:tc>
      </w:tr>
      <w:tr>
        <w:trPr>
          <w:trHeight w:val="343" w:hRule="atLeast"/>
        </w:trPr>
        <w:tc>
          <w:tcPr>
            <w:tcW w:w="2886" w:type="dxa"/>
            <w:tcBorders>
              <w:left w:val="single" w:sz="4" w:space="0" w:color="000000"/>
            </w:tcBorders>
          </w:tcPr>
          <w:p>
            <w:pPr>
              <w:pStyle w:val="TableParagraph"/>
              <w:spacing w:before="2"/>
              <w:ind w:left="107"/>
              <w:rPr>
                <w:b/>
                <w:sz w:val="21"/>
              </w:rPr>
            </w:pPr>
            <w:r>
              <w:rPr>
                <w:b/>
                <w:sz w:val="21"/>
              </w:rPr>
              <w:t>2.本合同保障责任</w:t>
            </w:r>
          </w:p>
        </w:tc>
        <w:tc>
          <w:tcPr>
            <w:tcW w:w="3367" w:type="dxa"/>
          </w:tcPr>
          <w:p>
            <w:pPr>
              <w:pStyle w:val="TableParagraph"/>
              <w:spacing w:before="2"/>
              <w:ind w:left="524"/>
              <w:rPr>
                <w:sz w:val="21"/>
              </w:rPr>
            </w:pPr>
            <w:r>
              <w:rPr>
                <w:sz w:val="21"/>
              </w:rPr>
              <w:t>7.1 解除合同的手续及风险</w:t>
            </w:r>
          </w:p>
        </w:tc>
        <w:tc>
          <w:tcPr>
            <w:tcW w:w="3407" w:type="dxa"/>
            <w:tcBorders>
              <w:right w:val="single" w:sz="4" w:space="0" w:color="000000"/>
            </w:tcBorders>
          </w:tcPr>
          <w:p>
            <w:pPr>
              <w:pStyle w:val="TableParagraph"/>
              <w:spacing w:before="2"/>
              <w:ind w:left="172"/>
              <w:rPr>
                <w:sz w:val="21"/>
              </w:rPr>
            </w:pPr>
            <w:r>
              <w:rPr>
                <w:sz w:val="21"/>
              </w:rPr>
              <w:t>9.11 无有效行驶证</w:t>
            </w:r>
          </w:p>
        </w:tc>
      </w:tr>
      <w:tr>
        <w:trPr>
          <w:trHeight w:val="343" w:hRule="atLeast"/>
        </w:trPr>
        <w:tc>
          <w:tcPr>
            <w:tcW w:w="2886" w:type="dxa"/>
            <w:tcBorders>
              <w:left w:val="single" w:sz="4" w:space="0" w:color="000000"/>
            </w:tcBorders>
          </w:tcPr>
          <w:p>
            <w:pPr>
              <w:pStyle w:val="TableParagraph"/>
              <w:spacing w:before="2"/>
              <w:ind w:left="213"/>
              <w:rPr>
                <w:sz w:val="21"/>
              </w:rPr>
            </w:pPr>
            <w:r>
              <w:rPr>
                <w:sz w:val="21"/>
              </w:rPr>
              <w:t>2.1 保险期间和续保</w:t>
            </w:r>
          </w:p>
        </w:tc>
        <w:tc>
          <w:tcPr>
            <w:tcW w:w="3367" w:type="dxa"/>
          </w:tcPr>
          <w:p>
            <w:pPr>
              <w:pStyle w:val="TableParagraph"/>
              <w:spacing w:before="2"/>
              <w:ind w:left="419"/>
              <w:rPr>
                <w:b/>
                <w:sz w:val="21"/>
              </w:rPr>
            </w:pPr>
            <w:r>
              <w:rPr>
                <w:b/>
                <w:sz w:val="21"/>
              </w:rPr>
              <w:t>8.其他事项</w:t>
            </w:r>
          </w:p>
        </w:tc>
        <w:tc>
          <w:tcPr>
            <w:tcW w:w="3407" w:type="dxa"/>
            <w:tcBorders>
              <w:right w:val="single" w:sz="4" w:space="0" w:color="000000"/>
            </w:tcBorders>
          </w:tcPr>
          <w:p>
            <w:pPr>
              <w:pStyle w:val="TableParagraph"/>
              <w:spacing w:before="2"/>
              <w:ind w:left="172"/>
              <w:rPr>
                <w:sz w:val="21"/>
              </w:rPr>
            </w:pPr>
            <w:r>
              <w:rPr>
                <w:sz w:val="21"/>
              </w:rPr>
              <w:t>9.12 机动车</w:t>
            </w:r>
          </w:p>
        </w:tc>
      </w:tr>
      <w:tr>
        <w:trPr>
          <w:trHeight w:val="350" w:hRule="atLeast"/>
        </w:trPr>
        <w:tc>
          <w:tcPr>
            <w:tcW w:w="2886" w:type="dxa"/>
            <w:tcBorders>
              <w:left w:val="single" w:sz="4" w:space="0" w:color="000000"/>
            </w:tcBorders>
          </w:tcPr>
          <w:p>
            <w:pPr>
              <w:pStyle w:val="TableParagraph"/>
              <w:spacing w:before="2"/>
              <w:ind w:left="213"/>
              <w:rPr>
                <w:sz w:val="21"/>
              </w:rPr>
            </w:pPr>
            <w:r>
              <w:rPr>
                <w:sz w:val="21"/>
              </w:rPr>
              <w:t>2.2 等待期</w:t>
            </w:r>
          </w:p>
        </w:tc>
        <w:tc>
          <w:tcPr>
            <w:tcW w:w="3367" w:type="dxa"/>
          </w:tcPr>
          <w:p>
            <w:pPr>
              <w:pStyle w:val="TableParagraph"/>
              <w:spacing w:before="16"/>
              <w:ind w:left="524"/>
              <w:rPr>
                <w:sz w:val="21"/>
              </w:rPr>
            </w:pPr>
            <w:r>
              <w:rPr>
                <w:sz w:val="21"/>
              </w:rPr>
              <w:t>8.1 明确说明与如实告知</w:t>
            </w:r>
          </w:p>
        </w:tc>
        <w:tc>
          <w:tcPr>
            <w:tcW w:w="3407" w:type="dxa"/>
            <w:tcBorders>
              <w:right w:val="single" w:sz="4" w:space="0" w:color="000000"/>
            </w:tcBorders>
          </w:tcPr>
          <w:p>
            <w:pPr>
              <w:pStyle w:val="TableParagraph"/>
              <w:spacing w:before="2"/>
              <w:ind w:left="172"/>
              <w:rPr>
                <w:sz w:val="21"/>
              </w:rPr>
            </w:pPr>
            <w:r>
              <w:rPr>
                <w:sz w:val="21"/>
              </w:rPr>
              <w:t>9.13 感染艾滋病病毒或患艾滋病</w:t>
            </w:r>
          </w:p>
        </w:tc>
      </w:tr>
      <w:tr>
        <w:trPr>
          <w:trHeight w:val="342" w:hRule="atLeast"/>
        </w:trPr>
        <w:tc>
          <w:tcPr>
            <w:tcW w:w="2886" w:type="dxa"/>
            <w:tcBorders>
              <w:left w:val="single" w:sz="4" w:space="0" w:color="000000"/>
            </w:tcBorders>
          </w:tcPr>
          <w:p>
            <w:pPr>
              <w:pStyle w:val="TableParagraph"/>
              <w:spacing w:line="270" w:lineRule="exact"/>
              <w:ind w:left="213"/>
              <w:rPr>
                <w:sz w:val="21"/>
              </w:rPr>
            </w:pPr>
            <w:r>
              <w:rPr>
                <w:sz w:val="21"/>
              </w:rPr>
              <w:t>2.3 保险金额</w:t>
            </w:r>
          </w:p>
        </w:tc>
        <w:tc>
          <w:tcPr>
            <w:tcW w:w="3367" w:type="dxa"/>
          </w:tcPr>
          <w:p>
            <w:pPr>
              <w:pStyle w:val="TableParagraph"/>
              <w:spacing w:before="9"/>
              <w:ind w:left="524"/>
              <w:rPr>
                <w:sz w:val="21"/>
              </w:rPr>
            </w:pPr>
            <w:r>
              <w:rPr>
                <w:sz w:val="21"/>
              </w:rPr>
              <w:t>8.2 本公司合同解除权的限制</w:t>
            </w:r>
          </w:p>
        </w:tc>
        <w:tc>
          <w:tcPr>
            <w:tcW w:w="3407" w:type="dxa"/>
            <w:tcBorders>
              <w:right w:val="single" w:sz="4" w:space="0" w:color="000000"/>
            </w:tcBorders>
          </w:tcPr>
          <w:p>
            <w:pPr>
              <w:pStyle w:val="TableParagraph"/>
              <w:spacing w:line="270" w:lineRule="exact"/>
              <w:ind w:left="172"/>
              <w:rPr>
                <w:sz w:val="21"/>
              </w:rPr>
            </w:pPr>
            <w:r>
              <w:rPr>
                <w:sz w:val="21"/>
              </w:rPr>
              <w:t>9.14 遗传性疾病</w:t>
            </w:r>
          </w:p>
        </w:tc>
      </w:tr>
      <w:tr>
        <w:trPr>
          <w:trHeight w:val="343" w:hRule="atLeast"/>
        </w:trPr>
        <w:tc>
          <w:tcPr>
            <w:tcW w:w="2886" w:type="dxa"/>
            <w:tcBorders>
              <w:left w:val="single" w:sz="4" w:space="0" w:color="000000"/>
            </w:tcBorders>
          </w:tcPr>
          <w:p>
            <w:pPr>
              <w:pStyle w:val="TableParagraph"/>
              <w:spacing w:line="269" w:lineRule="exact"/>
              <w:ind w:left="208"/>
              <w:rPr>
                <w:sz w:val="21"/>
              </w:rPr>
            </w:pPr>
            <w:r>
              <w:rPr>
                <w:sz w:val="21"/>
              </w:rPr>
              <w:t>2.4 保险责任</w:t>
            </w:r>
          </w:p>
        </w:tc>
        <w:tc>
          <w:tcPr>
            <w:tcW w:w="3367" w:type="dxa"/>
          </w:tcPr>
          <w:p>
            <w:pPr>
              <w:pStyle w:val="TableParagraph"/>
              <w:spacing w:before="10"/>
              <w:ind w:left="524"/>
              <w:rPr>
                <w:sz w:val="21"/>
              </w:rPr>
            </w:pPr>
            <w:r>
              <w:rPr>
                <w:sz w:val="21"/>
              </w:rPr>
              <w:t>8.3 年龄、性别错误</w:t>
            </w:r>
          </w:p>
        </w:tc>
        <w:tc>
          <w:tcPr>
            <w:tcW w:w="3407" w:type="dxa"/>
            <w:tcBorders>
              <w:right w:val="single" w:sz="4" w:space="0" w:color="000000"/>
            </w:tcBorders>
          </w:tcPr>
          <w:p>
            <w:pPr>
              <w:pStyle w:val="TableParagraph"/>
              <w:spacing w:line="269" w:lineRule="exact"/>
              <w:ind w:left="172"/>
              <w:rPr>
                <w:sz w:val="21"/>
              </w:rPr>
            </w:pPr>
            <w:r>
              <w:rPr>
                <w:sz w:val="21"/>
              </w:rPr>
              <w:t>9.15</w:t>
            </w:r>
            <w:r>
              <w:rPr>
                <w:spacing w:val="-13"/>
                <w:sz w:val="21"/>
              </w:rPr>
              <w:t> 先天性畸形、变形或染色体异</w:t>
            </w:r>
          </w:p>
        </w:tc>
      </w:tr>
      <w:tr>
        <w:trPr>
          <w:trHeight w:val="334" w:hRule="atLeast"/>
        </w:trPr>
        <w:tc>
          <w:tcPr>
            <w:tcW w:w="2886" w:type="dxa"/>
            <w:tcBorders>
              <w:left w:val="single" w:sz="4" w:space="0" w:color="000000"/>
            </w:tcBorders>
          </w:tcPr>
          <w:p>
            <w:pPr>
              <w:pStyle w:val="TableParagraph"/>
              <w:spacing w:line="269" w:lineRule="exact"/>
              <w:ind w:left="213"/>
              <w:rPr>
                <w:sz w:val="21"/>
              </w:rPr>
            </w:pPr>
            <w:r>
              <w:rPr>
                <w:sz w:val="21"/>
              </w:rPr>
              <w:t>2.5 责任免除</w:t>
            </w:r>
          </w:p>
        </w:tc>
        <w:tc>
          <w:tcPr>
            <w:tcW w:w="3367" w:type="dxa"/>
          </w:tcPr>
          <w:p>
            <w:pPr>
              <w:pStyle w:val="TableParagraph"/>
              <w:spacing w:line="269" w:lineRule="exact"/>
              <w:ind w:left="524"/>
              <w:rPr>
                <w:sz w:val="21"/>
              </w:rPr>
            </w:pPr>
            <w:r>
              <w:rPr>
                <w:sz w:val="21"/>
              </w:rPr>
              <w:t>8.4 合同内容变更</w:t>
            </w:r>
          </w:p>
        </w:tc>
        <w:tc>
          <w:tcPr>
            <w:tcW w:w="3407" w:type="dxa"/>
            <w:tcBorders>
              <w:right w:val="single" w:sz="4" w:space="0" w:color="000000"/>
            </w:tcBorders>
          </w:tcPr>
          <w:p>
            <w:pPr>
              <w:pStyle w:val="TableParagraph"/>
              <w:spacing w:line="269" w:lineRule="exact"/>
              <w:ind w:left="698"/>
              <w:rPr>
                <w:sz w:val="21"/>
              </w:rPr>
            </w:pPr>
            <w:r>
              <w:rPr>
                <w:w w:val="100"/>
                <w:sz w:val="21"/>
              </w:rPr>
              <w:t>常</w:t>
            </w:r>
          </w:p>
        </w:tc>
      </w:tr>
      <w:tr>
        <w:trPr>
          <w:trHeight w:val="351" w:hRule="atLeast"/>
        </w:trPr>
        <w:tc>
          <w:tcPr>
            <w:tcW w:w="2886" w:type="dxa"/>
            <w:tcBorders>
              <w:left w:val="single" w:sz="4" w:space="0" w:color="000000"/>
            </w:tcBorders>
          </w:tcPr>
          <w:p>
            <w:pPr>
              <w:pStyle w:val="TableParagraph"/>
              <w:spacing w:before="19"/>
              <w:ind w:left="107"/>
              <w:rPr>
                <w:b/>
                <w:sz w:val="21"/>
              </w:rPr>
            </w:pPr>
            <w:r>
              <w:rPr>
                <w:b/>
                <w:sz w:val="21"/>
              </w:rPr>
              <w:t>3.保险费支付</w:t>
            </w:r>
          </w:p>
        </w:tc>
        <w:tc>
          <w:tcPr>
            <w:tcW w:w="3367" w:type="dxa"/>
          </w:tcPr>
          <w:p>
            <w:pPr>
              <w:pStyle w:val="TableParagraph"/>
              <w:spacing w:before="2"/>
              <w:ind w:left="524"/>
              <w:rPr>
                <w:sz w:val="21"/>
              </w:rPr>
            </w:pPr>
            <w:r>
              <w:rPr>
                <w:sz w:val="21"/>
              </w:rPr>
              <w:t>8.5 联系方式变更</w:t>
            </w:r>
          </w:p>
        </w:tc>
        <w:tc>
          <w:tcPr>
            <w:tcW w:w="3407" w:type="dxa"/>
            <w:tcBorders>
              <w:right w:val="single" w:sz="4" w:space="0" w:color="000000"/>
            </w:tcBorders>
          </w:tcPr>
          <w:p>
            <w:pPr>
              <w:pStyle w:val="TableParagraph"/>
              <w:spacing w:before="2"/>
              <w:ind w:left="172"/>
              <w:rPr>
                <w:sz w:val="21"/>
              </w:rPr>
            </w:pPr>
            <w:r>
              <w:rPr>
                <w:sz w:val="21"/>
              </w:rPr>
              <w:t>9.16 现金价值</w:t>
            </w:r>
          </w:p>
        </w:tc>
      </w:tr>
      <w:tr>
        <w:trPr>
          <w:trHeight w:val="343" w:hRule="atLeast"/>
        </w:trPr>
        <w:tc>
          <w:tcPr>
            <w:tcW w:w="2886" w:type="dxa"/>
            <w:tcBorders>
              <w:left w:val="single" w:sz="4" w:space="0" w:color="000000"/>
            </w:tcBorders>
          </w:tcPr>
          <w:p>
            <w:pPr>
              <w:pStyle w:val="TableParagraph"/>
              <w:spacing w:before="10"/>
              <w:ind w:left="213"/>
              <w:rPr>
                <w:sz w:val="21"/>
              </w:rPr>
            </w:pPr>
            <w:r>
              <w:rPr>
                <w:sz w:val="21"/>
              </w:rPr>
              <w:t>3.1 保险费支付</w:t>
            </w:r>
          </w:p>
        </w:tc>
        <w:tc>
          <w:tcPr>
            <w:tcW w:w="3367" w:type="dxa"/>
          </w:tcPr>
          <w:p>
            <w:pPr>
              <w:pStyle w:val="TableParagraph"/>
              <w:spacing w:line="269" w:lineRule="exact"/>
              <w:ind w:left="524"/>
              <w:rPr>
                <w:sz w:val="21"/>
              </w:rPr>
            </w:pPr>
            <w:r>
              <w:rPr>
                <w:sz w:val="21"/>
              </w:rPr>
              <w:t>8.6 争议处理</w:t>
            </w:r>
          </w:p>
        </w:tc>
        <w:tc>
          <w:tcPr>
            <w:tcW w:w="3407" w:type="dxa"/>
            <w:tcBorders>
              <w:right w:val="single" w:sz="4" w:space="0" w:color="000000"/>
            </w:tcBorders>
          </w:tcPr>
          <w:p>
            <w:pPr>
              <w:pStyle w:val="TableParagraph"/>
              <w:spacing w:line="269" w:lineRule="exact"/>
              <w:ind w:left="172"/>
              <w:rPr>
                <w:sz w:val="21"/>
              </w:rPr>
            </w:pPr>
            <w:r>
              <w:rPr>
                <w:sz w:val="21"/>
              </w:rPr>
              <w:t>9.17 有效身份证件</w:t>
            </w:r>
          </w:p>
        </w:tc>
      </w:tr>
      <w:tr>
        <w:trPr>
          <w:trHeight w:val="343" w:hRule="atLeast"/>
        </w:trPr>
        <w:tc>
          <w:tcPr>
            <w:tcW w:w="2886" w:type="dxa"/>
            <w:tcBorders>
              <w:left w:val="single" w:sz="4" w:space="0" w:color="000000"/>
            </w:tcBorders>
          </w:tcPr>
          <w:p>
            <w:pPr>
              <w:pStyle w:val="TableParagraph"/>
              <w:spacing w:before="10"/>
              <w:ind w:left="107"/>
              <w:rPr>
                <w:b/>
                <w:sz w:val="21"/>
              </w:rPr>
            </w:pPr>
            <w:r>
              <w:rPr>
                <w:b/>
                <w:sz w:val="21"/>
              </w:rPr>
              <w:t>4.保险金领取</w:t>
            </w:r>
          </w:p>
        </w:tc>
        <w:tc>
          <w:tcPr>
            <w:tcW w:w="3367" w:type="dxa"/>
          </w:tcPr>
          <w:p>
            <w:pPr>
              <w:pStyle w:val="TableParagraph"/>
              <w:spacing w:line="269" w:lineRule="exact"/>
              <w:ind w:left="419"/>
              <w:rPr>
                <w:b/>
                <w:sz w:val="21"/>
              </w:rPr>
            </w:pPr>
            <w:r>
              <w:rPr>
                <w:b/>
                <w:sz w:val="21"/>
              </w:rPr>
              <w:t>9.释义</w:t>
            </w:r>
          </w:p>
        </w:tc>
        <w:tc>
          <w:tcPr>
            <w:tcW w:w="3407" w:type="dxa"/>
            <w:tcBorders>
              <w:right w:val="single" w:sz="4" w:space="0" w:color="000000"/>
            </w:tcBorders>
          </w:tcPr>
          <w:p>
            <w:pPr>
              <w:pStyle w:val="TableParagraph"/>
              <w:spacing w:line="269" w:lineRule="exact"/>
              <w:ind w:left="172"/>
              <w:rPr>
                <w:sz w:val="21"/>
              </w:rPr>
            </w:pPr>
            <w:r>
              <w:rPr>
                <w:sz w:val="21"/>
              </w:rPr>
              <w:t>9.18 离职</w:t>
            </w:r>
          </w:p>
        </w:tc>
      </w:tr>
      <w:tr>
        <w:trPr>
          <w:trHeight w:val="343" w:hRule="atLeast"/>
        </w:trPr>
        <w:tc>
          <w:tcPr>
            <w:tcW w:w="2886" w:type="dxa"/>
            <w:tcBorders>
              <w:left w:val="single" w:sz="4" w:space="0" w:color="000000"/>
            </w:tcBorders>
          </w:tcPr>
          <w:p>
            <w:pPr>
              <w:pStyle w:val="TableParagraph"/>
              <w:spacing w:before="10"/>
              <w:ind w:left="213"/>
              <w:rPr>
                <w:sz w:val="21"/>
              </w:rPr>
            </w:pPr>
            <w:r>
              <w:rPr>
                <w:sz w:val="21"/>
              </w:rPr>
              <w:t>4.1 受益人</w:t>
            </w:r>
          </w:p>
        </w:tc>
        <w:tc>
          <w:tcPr>
            <w:tcW w:w="3367" w:type="dxa"/>
          </w:tcPr>
          <w:p>
            <w:pPr>
              <w:pStyle w:val="TableParagraph"/>
              <w:spacing w:line="269" w:lineRule="exact"/>
              <w:ind w:left="524"/>
              <w:rPr>
                <w:sz w:val="21"/>
              </w:rPr>
            </w:pPr>
            <w:r>
              <w:rPr>
                <w:sz w:val="21"/>
              </w:rPr>
              <w:t>9.1 被保险人</w:t>
            </w:r>
          </w:p>
        </w:tc>
        <w:tc>
          <w:tcPr>
            <w:tcW w:w="3407" w:type="dxa"/>
            <w:tcBorders>
              <w:right w:val="single" w:sz="4" w:space="0" w:color="000000"/>
            </w:tcBorders>
          </w:tcPr>
          <w:p>
            <w:pPr>
              <w:pStyle w:val="TableParagraph"/>
              <w:spacing w:line="269" w:lineRule="exact"/>
              <w:ind w:left="172"/>
              <w:rPr>
                <w:sz w:val="21"/>
              </w:rPr>
            </w:pPr>
            <w:r>
              <w:rPr>
                <w:sz w:val="21"/>
              </w:rPr>
              <w:t>9.19 未满期保险费</w:t>
            </w:r>
          </w:p>
        </w:tc>
      </w:tr>
      <w:tr>
        <w:trPr>
          <w:trHeight w:val="342" w:hRule="atLeast"/>
        </w:trPr>
        <w:tc>
          <w:tcPr>
            <w:tcW w:w="2886" w:type="dxa"/>
            <w:tcBorders>
              <w:left w:val="single" w:sz="4" w:space="0" w:color="000000"/>
            </w:tcBorders>
          </w:tcPr>
          <w:p>
            <w:pPr>
              <w:pStyle w:val="TableParagraph"/>
              <w:spacing w:before="8"/>
              <w:ind w:left="213"/>
              <w:rPr>
                <w:sz w:val="21"/>
              </w:rPr>
            </w:pPr>
            <w:r>
              <w:rPr>
                <w:sz w:val="21"/>
              </w:rPr>
              <w:t>4.2 保险事故通知</w:t>
            </w:r>
          </w:p>
        </w:tc>
        <w:tc>
          <w:tcPr>
            <w:tcW w:w="3367" w:type="dxa"/>
          </w:tcPr>
          <w:p>
            <w:pPr>
              <w:pStyle w:val="TableParagraph"/>
              <w:spacing w:line="269" w:lineRule="exact"/>
              <w:ind w:left="524"/>
              <w:rPr>
                <w:sz w:val="21"/>
              </w:rPr>
            </w:pPr>
            <w:r>
              <w:rPr>
                <w:sz w:val="21"/>
              </w:rPr>
              <w:t>9.2 团体</w:t>
            </w:r>
          </w:p>
        </w:tc>
        <w:tc>
          <w:tcPr>
            <w:tcW w:w="3407" w:type="dxa"/>
            <w:tcBorders>
              <w:right w:val="single" w:sz="4" w:space="0" w:color="000000"/>
            </w:tcBorders>
          </w:tcPr>
          <w:p>
            <w:pPr>
              <w:pStyle w:val="TableParagraph"/>
              <w:rPr>
                <w:rFonts w:ascii="Times New Roman"/>
                <w:sz w:val="20"/>
              </w:rPr>
            </w:pPr>
          </w:p>
        </w:tc>
      </w:tr>
      <w:tr>
        <w:trPr>
          <w:trHeight w:val="343" w:hRule="atLeast"/>
        </w:trPr>
        <w:tc>
          <w:tcPr>
            <w:tcW w:w="2886" w:type="dxa"/>
            <w:tcBorders>
              <w:left w:val="single" w:sz="4" w:space="0" w:color="000000"/>
            </w:tcBorders>
          </w:tcPr>
          <w:p>
            <w:pPr>
              <w:pStyle w:val="TableParagraph"/>
              <w:spacing w:before="9"/>
              <w:ind w:left="213"/>
              <w:rPr>
                <w:sz w:val="21"/>
              </w:rPr>
            </w:pPr>
            <w:r>
              <w:rPr>
                <w:sz w:val="21"/>
              </w:rPr>
              <w:t>4.3 保险金申请</w:t>
            </w:r>
          </w:p>
        </w:tc>
        <w:tc>
          <w:tcPr>
            <w:tcW w:w="3367" w:type="dxa"/>
          </w:tcPr>
          <w:p>
            <w:pPr>
              <w:pStyle w:val="TableParagraph"/>
              <w:spacing w:line="270" w:lineRule="exact"/>
              <w:ind w:left="524"/>
              <w:rPr>
                <w:sz w:val="21"/>
              </w:rPr>
            </w:pPr>
            <w:r>
              <w:rPr>
                <w:sz w:val="21"/>
              </w:rPr>
              <w:t>9.3 成员</w:t>
            </w:r>
          </w:p>
        </w:tc>
        <w:tc>
          <w:tcPr>
            <w:tcW w:w="3407" w:type="dxa"/>
            <w:tcBorders>
              <w:right w:val="single" w:sz="4" w:space="0" w:color="000000"/>
            </w:tcBorders>
          </w:tcPr>
          <w:p>
            <w:pPr>
              <w:pStyle w:val="TableParagraph"/>
              <w:rPr>
                <w:rFonts w:ascii="Times New Roman"/>
                <w:sz w:val="20"/>
              </w:rPr>
            </w:pPr>
          </w:p>
        </w:tc>
      </w:tr>
      <w:tr>
        <w:trPr>
          <w:trHeight w:val="343" w:hRule="atLeast"/>
        </w:trPr>
        <w:tc>
          <w:tcPr>
            <w:tcW w:w="2886" w:type="dxa"/>
            <w:tcBorders>
              <w:left w:val="single" w:sz="4" w:space="0" w:color="000000"/>
            </w:tcBorders>
          </w:tcPr>
          <w:p>
            <w:pPr>
              <w:pStyle w:val="TableParagraph"/>
              <w:spacing w:before="9"/>
              <w:ind w:left="213"/>
              <w:rPr>
                <w:sz w:val="21"/>
              </w:rPr>
            </w:pPr>
            <w:r>
              <w:rPr>
                <w:sz w:val="21"/>
              </w:rPr>
              <w:t>4.4 保险金给付</w:t>
            </w:r>
          </w:p>
        </w:tc>
        <w:tc>
          <w:tcPr>
            <w:tcW w:w="3367" w:type="dxa"/>
          </w:tcPr>
          <w:p>
            <w:pPr>
              <w:pStyle w:val="TableParagraph"/>
              <w:spacing w:line="270" w:lineRule="exact"/>
              <w:ind w:left="524"/>
              <w:rPr>
                <w:sz w:val="21"/>
              </w:rPr>
            </w:pPr>
            <w:r>
              <w:rPr>
                <w:sz w:val="21"/>
              </w:rPr>
              <w:t>9.4 连续投保</w:t>
            </w:r>
          </w:p>
        </w:tc>
        <w:tc>
          <w:tcPr>
            <w:tcW w:w="3407" w:type="dxa"/>
            <w:tcBorders>
              <w:right w:val="single" w:sz="4" w:space="0" w:color="000000"/>
            </w:tcBorders>
          </w:tcPr>
          <w:p>
            <w:pPr>
              <w:pStyle w:val="TableParagraph"/>
              <w:rPr>
                <w:rFonts w:ascii="Times New Roman"/>
                <w:sz w:val="20"/>
              </w:rPr>
            </w:pPr>
          </w:p>
        </w:tc>
      </w:tr>
      <w:tr>
        <w:trPr>
          <w:trHeight w:val="729" w:hRule="atLeast"/>
        </w:trPr>
        <w:tc>
          <w:tcPr>
            <w:tcW w:w="2886" w:type="dxa"/>
            <w:tcBorders>
              <w:left w:val="single" w:sz="4" w:space="0" w:color="000000"/>
              <w:bottom w:val="single" w:sz="4" w:space="0" w:color="000000"/>
            </w:tcBorders>
          </w:tcPr>
          <w:p>
            <w:pPr>
              <w:pStyle w:val="TableParagraph"/>
              <w:spacing w:before="43"/>
              <w:ind w:left="213"/>
              <w:rPr>
                <w:sz w:val="21"/>
              </w:rPr>
            </w:pPr>
            <w:r>
              <w:rPr>
                <w:sz w:val="21"/>
              </w:rPr>
              <w:t>4.5 诉讼时效</w:t>
            </w:r>
          </w:p>
          <w:p>
            <w:pPr>
              <w:pStyle w:val="TableParagraph"/>
              <w:spacing w:before="37"/>
              <w:ind w:left="107"/>
              <w:rPr>
                <w:b/>
                <w:sz w:val="21"/>
              </w:rPr>
            </w:pPr>
            <w:r>
              <w:rPr>
                <w:b/>
                <w:sz w:val="21"/>
              </w:rPr>
              <w:t>5.被保险人变动</w:t>
            </w:r>
          </w:p>
        </w:tc>
        <w:tc>
          <w:tcPr>
            <w:tcW w:w="3367" w:type="dxa"/>
            <w:tcBorders>
              <w:bottom w:val="single" w:sz="4" w:space="0" w:color="000000"/>
            </w:tcBorders>
          </w:tcPr>
          <w:p>
            <w:pPr>
              <w:pStyle w:val="TableParagraph"/>
              <w:numPr>
                <w:ilvl w:val="1"/>
                <w:numId w:val="2"/>
              </w:numPr>
              <w:tabs>
                <w:tab w:pos="895" w:val="left" w:leader="none"/>
              </w:tabs>
              <w:spacing w:line="270" w:lineRule="exact" w:before="0" w:after="0"/>
              <w:ind w:left="894" w:right="0" w:hanging="370"/>
              <w:jc w:val="left"/>
              <w:rPr>
                <w:sz w:val="21"/>
              </w:rPr>
            </w:pPr>
            <w:r>
              <w:rPr>
                <w:spacing w:val="-3"/>
                <w:sz w:val="21"/>
              </w:rPr>
              <w:t>意外伤害事故</w:t>
            </w:r>
          </w:p>
          <w:p>
            <w:pPr>
              <w:pStyle w:val="TableParagraph"/>
              <w:numPr>
                <w:ilvl w:val="1"/>
                <w:numId w:val="2"/>
              </w:numPr>
              <w:tabs>
                <w:tab w:pos="895" w:val="left" w:leader="none"/>
              </w:tabs>
              <w:spacing w:line="240" w:lineRule="auto" w:before="37" w:after="0"/>
              <w:ind w:left="894" w:right="0" w:hanging="370"/>
              <w:jc w:val="left"/>
              <w:rPr>
                <w:sz w:val="21"/>
              </w:rPr>
            </w:pPr>
            <w:r>
              <w:rPr>
                <w:spacing w:val="-3"/>
                <w:sz w:val="21"/>
              </w:rPr>
              <w:t>重大疾病</w:t>
            </w:r>
          </w:p>
        </w:tc>
        <w:tc>
          <w:tcPr>
            <w:tcW w:w="3407"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20" w:bottom="280" w:left="940" w:right="720"/>
        </w:sectPr>
      </w:pPr>
    </w:p>
    <w:p>
      <w:pPr>
        <w:pStyle w:val="Heading1"/>
        <w:spacing w:line="478" w:lineRule="exact"/>
        <w:ind w:right="2615"/>
      </w:pPr>
      <w:r>
        <w:rPr>
          <w:w w:val="95"/>
        </w:rPr>
        <w:t>横琴人寿保险有限公司</w:t>
      </w:r>
    </w:p>
    <w:p>
      <w:pPr>
        <w:spacing w:before="131"/>
        <w:ind w:left="2673" w:right="2617" w:firstLine="0"/>
        <w:jc w:val="center"/>
        <w:rPr>
          <w:rFonts w:ascii="微软雅黑" w:eastAsia="微软雅黑" w:hint="eastAsia"/>
          <w:b/>
          <w:sz w:val="32"/>
        </w:rPr>
      </w:pPr>
      <w:r>
        <w:rPr>
          <w:rFonts w:ascii="微软雅黑" w:eastAsia="微软雅黑" w:hint="eastAsia"/>
          <w:b/>
          <w:sz w:val="32"/>
        </w:rPr>
        <w:t>横琴团体重大疾病保险条款</w:t>
      </w:r>
    </w:p>
    <w:p>
      <w:pPr>
        <w:pStyle w:val="BodyText"/>
        <w:spacing w:before="107"/>
        <w:ind w:left="100"/>
      </w:pPr>
      <w:r>
        <w:rPr/>
        <w:t>在本条款中， “我们”、“本公司”均指横琴人寿保险有限公司。</w:t>
      </w:r>
    </w:p>
    <w:p>
      <w:pPr>
        <w:pStyle w:val="BodyText"/>
        <w:spacing w:before="0"/>
        <w:ind w:left="0"/>
        <w:rPr>
          <w:sz w:val="20"/>
        </w:rPr>
      </w:pPr>
    </w:p>
    <w:p>
      <w:pPr>
        <w:pStyle w:val="BodyText"/>
        <w:spacing w:before="4" w:after="1"/>
        <w:ind w:left="0"/>
        <w:rPr>
          <w:sz w:val="15"/>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346"/>
        <w:gridCol w:w="6720"/>
      </w:tblGrid>
      <w:tr>
        <w:trPr>
          <w:trHeight w:val="522" w:hRule="atLeast"/>
        </w:trPr>
        <w:tc>
          <w:tcPr>
            <w:tcW w:w="809" w:type="dxa"/>
            <w:tcBorders>
              <w:bottom w:val="single" w:sz="4" w:space="0" w:color="000000"/>
            </w:tcBorders>
          </w:tcPr>
          <w:p>
            <w:pPr>
              <w:pStyle w:val="TableParagraph"/>
              <w:spacing w:line="423" w:lineRule="exact"/>
              <w:ind w:right="106"/>
              <w:jc w:val="right"/>
              <w:rPr>
                <w:rFonts w:ascii="Arial" w:hAnsi="Arial"/>
                <w:b/>
                <w:sz w:val="40"/>
              </w:rPr>
            </w:pPr>
            <w:r>
              <w:rPr>
                <w:rFonts w:ascii="Arial" w:hAnsi="Arial"/>
                <w:b/>
                <w:w w:val="119"/>
                <w:sz w:val="40"/>
              </w:rPr>
              <w:t></w:t>
            </w:r>
          </w:p>
        </w:tc>
        <w:tc>
          <w:tcPr>
            <w:tcW w:w="8066" w:type="dxa"/>
            <w:gridSpan w:val="2"/>
            <w:tcBorders>
              <w:bottom w:val="single" w:sz="4" w:space="0" w:color="000000"/>
            </w:tcBorders>
          </w:tcPr>
          <w:p>
            <w:pPr>
              <w:pStyle w:val="TableParagraph"/>
              <w:spacing w:before="14"/>
              <w:ind w:left="107"/>
              <w:rPr>
                <w:b/>
                <w:sz w:val="24"/>
              </w:rPr>
            </w:pPr>
            <w:r>
              <w:rPr>
                <w:b/>
                <w:w w:val="95"/>
                <w:sz w:val="24"/>
              </w:rPr>
              <w:t>关于本保险合同</w:t>
            </w:r>
          </w:p>
        </w:tc>
      </w:tr>
      <w:tr>
        <w:trPr>
          <w:trHeight w:val="1719" w:hRule="atLeast"/>
        </w:trPr>
        <w:tc>
          <w:tcPr>
            <w:tcW w:w="809" w:type="dxa"/>
            <w:tcBorders>
              <w:top w:val="single" w:sz="4" w:space="0" w:color="000000"/>
            </w:tcBorders>
          </w:tcPr>
          <w:p>
            <w:pPr>
              <w:pStyle w:val="TableParagraph"/>
              <w:rPr>
                <w:sz w:val="23"/>
              </w:rPr>
            </w:pPr>
          </w:p>
          <w:p>
            <w:pPr>
              <w:pStyle w:val="TableParagraph"/>
              <w:ind w:right="106"/>
              <w:jc w:val="right"/>
              <w:rPr>
                <w:b/>
                <w:sz w:val="21"/>
              </w:rPr>
            </w:pPr>
            <w:r>
              <w:rPr>
                <w:b/>
                <w:sz w:val="21"/>
              </w:rPr>
              <w:t>1.1</w:t>
            </w:r>
          </w:p>
        </w:tc>
        <w:tc>
          <w:tcPr>
            <w:tcW w:w="1346" w:type="dxa"/>
            <w:tcBorders>
              <w:top w:val="single" w:sz="4" w:space="0" w:color="000000"/>
            </w:tcBorders>
          </w:tcPr>
          <w:p>
            <w:pPr>
              <w:pStyle w:val="TableParagraph"/>
              <w:rPr>
                <w:sz w:val="23"/>
              </w:rPr>
            </w:pPr>
          </w:p>
          <w:p>
            <w:pPr>
              <w:pStyle w:val="TableParagraph"/>
              <w:spacing w:line="273" w:lineRule="auto"/>
              <w:ind w:left="107" w:right="180"/>
              <w:rPr>
                <w:b/>
                <w:sz w:val="21"/>
              </w:rPr>
            </w:pPr>
            <w:r>
              <w:rPr>
                <w:b/>
                <w:sz w:val="21"/>
              </w:rPr>
              <w:t>保险合同构成</w:t>
            </w:r>
          </w:p>
        </w:tc>
        <w:tc>
          <w:tcPr>
            <w:tcW w:w="6720" w:type="dxa"/>
            <w:tcBorders>
              <w:top w:val="single" w:sz="4" w:space="0" w:color="000000"/>
            </w:tcBorders>
          </w:tcPr>
          <w:p>
            <w:pPr>
              <w:pStyle w:val="TableParagraph"/>
              <w:rPr>
                <w:sz w:val="23"/>
              </w:rPr>
            </w:pPr>
          </w:p>
          <w:p>
            <w:pPr>
              <w:pStyle w:val="TableParagraph"/>
              <w:spacing w:line="273" w:lineRule="auto"/>
              <w:ind w:left="180"/>
              <w:rPr>
                <w:sz w:val="21"/>
              </w:rPr>
            </w:pPr>
            <w:r>
              <w:rPr>
                <w:spacing w:val="-7"/>
                <w:w w:val="100"/>
                <w:sz w:val="21"/>
              </w:rPr>
              <w:t>本保险合同</w:t>
            </w:r>
            <w:r>
              <w:rPr>
                <w:spacing w:val="-3"/>
                <w:w w:val="100"/>
                <w:sz w:val="21"/>
              </w:rPr>
              <w:t>（</w:t>
            </w:r>
            <w:r>
              <w:rPr>
                <w:spacing w:val="-18"/>
                <w:w w:val="100"/>
                <w:sz w:val="21"/>
              </w:rPr>
              <w:t>以下简称“本合同”</w:t>
            </w:r>
            <w:r>
              <w:rPr>
                <w:w w:val="100"/>
                <w:sz w:val="21"/>
              </w:rPr>
              <w:t>）</w:t>
            </w:r>
            <w:r>
              <w:rPr>
                <w:sz w:val="21"/>
              </w:rPr>
              <w:t> </w:t>
            </w:r>
            <w:r>
              <w:rPr>
                <w:spacing w:val="-3"/>
                <w:w w:val="100"/>
                <w:sz w:val="21"/>
              </w:rPr>
              <w:t>是投保人与本公司约定保险权利义</w:t>
            </w:r>
            <w:r>
              <w:rPr>
                <w:spacing w:val="-11"/>
                <w:sz w:val="21"/>
              </w:rPr>
              <w:t>务关系的协议，包括本保险条款、保险单、投保单、</w:t>
            </w:r>
            <w:r>
              <w:rPr>
                <w:b/>
                <w:spacing w:val="-7"/>
                <w:sz w:val="21"/>
              </w:rPr>
              <w:t>被保险人</w:t>
            </w:r>
            <w:r>
              <w:rPr>
                <w:spacing w:val="-3"/>
                <w:sz w:val="21"/>
              </w:rPr>
              <w:t>（</w:t>
            </w:r>
            <w:r>
              <w:rPr>
                <w:spacing w:val="-14"/>
                <w:sz w:val="21"/>
              </w:rPr>
              <w:t>见 </w:t>
            </w:r>
            <w:r>
              <w:rPr>
                <w:sz w:val="21"/>
              </w:rPr>
              <w:t>9.1） </w:t>
            </w:r>
            <w:r>
              <w:rPr>
                <w:spacing w:val="-3"/>
                <w:sz w:val="21"/>
              </w:rPr>
              <w:t>名册、与本合同有关的投保文件、保险凭证、合法有效的声明、批注、批单及其他投保人与本公司共同认可的书面协议。</w:t>
            </w:r>
          </w:p>
        </w:tc>
      </w:tr>
      <w:tr>
        <w:trPr>
          <w:trHeight w:val="1248" w:hRule="atLeast"/>
        </w:trPr>
        <w:tc>
          <w:tcPr>
            <w:tcW w:w="809" w:type="dxa"/>
          </w:tcPr>
          <w:p>
            <w:pPr>
              <w:pStyle w:val="TableParagraph"/>
              <w:spacing w:before="143"/>
              <w:ind w:right="106"/>
              <w:jc w:val="right"/>
              <w:rPr>
                <w:b/>
                <w:sz w:val="21"/>
              </w:rPr>
            </w:pPr>
            <w:r>
              <w:rPr>
                <w:b/>
                <w:sz w:val="21"/>
              </w:rPr>
              <w:t>1.2</w:t>
            </w:r>
          </w:p>
        </w:tc>
        <w:tc>
          <w:tcPr>
            <w:tcW w:w="1346" w:type="dxa"/>
          </w:tcPr>
          <w:p>
            <w:pPr>
              <w:pStyle w:val="TableParagraph"/>
              <w:spacing w:before="143"/>
              <w:ind w:left="107"/>
              <w:rPr>
                <w:b/>
                <w:sz w:val="21"/>
              </w:rPr>
            </w:pPr>
            <w:r>
              <w:rPr>
                <w:b/>
                <w:sz w:val="21"/>
              </w:rPr>
              <w:t>投保范围</w:t>
            </w:r>
          </w:p>
        </w:tc>
        <w:tc>
          <w:tcPr>
            <w:tcW w:w="6720" w:type="dxa"/>
          </w:tcPr>
          <w:p>
            <w:pPr>
              <w:pStyle w:val="TableParagraph"/>
              <w:spacing w:line="273" w:lineRule="auto" w:before="143"/>
              <w:ind w:left="180" w:right="104"/>
              <w:jc w:val="both"/>
              <w:rPr>
                <w:sz w:val="21"/>
              </w:rPr>
            </w:pPr>
            <w:r>
              <w:rPr>
                <w:b/>
                <w:sz w:val="21"/>
              </w:rPr>
              <w:t>团体</w:t>
            </w:r>
            <w:r>
              <w:rPr>
                <w:sz w:val="21"/>
              </w:rPr>
              <w:t>（</w:t>
            </w:r>
            <w:r>
              <w:rPr>
                <w:spacing w:val="-18"/>
                <w:sz w:val="21"/>
              </w:rPr>
              <w:t>见 </w:t>
            </w:r>
            <w:r>
              <w:rPr>
                <w:sz w:val="21"/>
              </w:rPr>
              <w:t>9.2）</w:t>
            </w:r>
            <w:r>
              <w:rPr>
                <w:spacing w:val="-3"/>
                <w:sz w:val="21"/>
              </w:rPr>
              <w:t>可作为投保人，为其</w:t>
            </w:r>
            <w:r>
              <w:rPr>
                <w:b/>
                <w:sz w:val="21"/>
              </w:rPr>
              <w:t>成员</w:t>
            </w:r>
            <w:r>
              <w:rPr>
                <w:spacing w:val="-3"/>
                <w:sz w:val="21"/>
              </w:rPr>
              <w:t>（</w:t>
            </w:r>
            <w:r>
              <w:rPr>
                <w:spacing w:val="-16"/>
                <w:sz w:val="21"/>
              </w:rPr>
              <w:t>见 </w:t>
            </w:r>
            <w:r>
              <w:rPr>
                <w:sz w:val="21"/>
              </w:rPr>
              <w:t>9.3）</w:t>
            </w:r>
            <w:r>
              <w:rPr>
                <w:spacing w:val="-3"/>
                <w:sz w:val="21"/>
              </w:rPr>
              <w:t>向本公司投保本保</w:t>
            </w:r>
            <w:r>
              <w:rPr>
                <w:spacing w:val="-10"/>
                <w:sz w:val="21"/>
              </w:rPr>
              <w:t>险。参保成员的配偶、子女与父母也可参加本保险。投保范围另有约定</w:t>
            </w:r>
            <w:r>
              <w:rPr>
                <w:spacing w:val="-5"/>
                <w:sz w:val="21"/>
              </w:rPr>
              <w:t>的按约定内容执行。</w:t>
            </w:r>
          </w:p>
        </w:tc>
      </w:tr>
      <w:tr>
        <w:trPr>
          <w:trHeight w:val="1584" w:hRule="atLeast"/>
        </w:trPr>
        <w:tc>
          <w:tcPr>
            <w:tcW w:w="809" w:type="dxa"/>
          </w:tcPr>
          <w:p>
            <w:pPr>
              <w:pStyle w:val="TableParagraph"/>
              <w:spacing w:before="142"/>
              <w:ind w:right="106"/>
              <w:jc w:val="right"/>
              <w:rPr>
                <w:b/>
                <w:sz w:val="21"/>
              </w:rPr>
            </w:pPr>
            <w:r>
              <w:rPr>
                <w:b/>
                <w:sz w:val="21"/>
              </w:rPr>
              <w:t>1.3</w:t>
            </w:r>
          </w:p>
        </w:tc>
        <w:tc>
          <w:tcPr>
            <w:tcW w:w="1346" w:type="dxa"/>
          </w:tcPr>
          <w:p>
            <w:pPr>
              <w:pStyle w:val="TableParagraph"/>
              <w:spacing w:line="273" w:lineRule="auto" w:before="142"/>
              <w:ind w:left="107" w:right="180"/>
              <w:rPr>
                <w:b/>
                <w:sz w:val="21"/>
              </w:rPr>
            </w:pPr>
            <w:r>
              <w:rPr>
                <w:b/>
                <w:sz w:val="21"/>
              </w:rPr>
              <w:t>保险合同成立与生效</w:t>
            </w:r>
          </w:p>
        </w:tc>
        <w:tc>
          <w:tcPr>
            <w:tcW w:w="6720" w:type="dxa"/>
          </w:tcPr>
          <w:p>
            <w:pPr>
              <w:pStyle w:val="TableParagraph"/>
              <w:spacing w:before="142"/>
              <w:ind w:left="180"/>
              <w:rPr>
                <w:sz w:val="21"/>
              </w:rPr>
            </w:pPr>
            <w:r>
              <w:rPr>
                <w:sz w:val="21"/>
              </w:rPr>
              <w:t>投保人提出保险申请、本公司同意承保，本合同成立。</w:t>
            </w:r>
          </w:p>
          <w:p>
            <w:pPr>
              <w:pStyle w:val="TableParagraph"/>
              <w:spacing w:before="8"/>
              <w:rPr>
                <w:sz w:val="26"/>
              </w:rPr>
            </w:pPr>
          </w:p>
          <w:p>
            <w:pPr>
              <w:pStyle w:val="TableParagraph"/>
              <w:spacing w:line="273" w:lineRule="auto"/>
              <w:ind w:left="180" w:right="106"/>
              <w:rPr>
                <w:sz w:val="21"/>
              </w:rPr>
            </w:pPr>
            <w:r>
              <w:rPr>
                <w:spacing w:val="-9"/>
                <w:sz w:val="21"/>
              </w:rPr>
              <w:t>本合同自本公司同意承保、收取保险费并签发保险单开始生效，具体生</w:t>
            </w:r>
            <w:r>
              <w:rPr>
                <w:spacing w:val="-5"/>
                <w:sz w:val="21"/>
              </w:rPr>
              <w:t>效日以保险单所载的日期为准。</w:t>
            </w:r>
          </w:p>
        </w:tc>
      </w:tr>
      <w:tr>
        <w:trPr>
          <w:trHeight w:val="754" w:hRule="atLeast"/>
        </w:trPr>
        <w:tc>
          <w:tcPr>
            <w:tcW w:w="809" w:type="dxa"/>
            <w:tcBorders>
              <w:bottom w:val="single" w:sz="4" w:space="0" w:color="000000"/>
            </w:tcBorders>
          </w:tcPr>
          <w:p>
            <w:pPr>
              <w:pStyle w:val="TableParagraph"/>
              <w:spacing w:before="194"/>
              <w:ind w:right="106"/>
              <w:jc w:val="right"/>
              <w:rPr>
                <w:rFonts w:ascii="Arial" w:hAnsi="Arial"/>
                <w:b/>
                <w:sz w:val="40"/>
              </w:rPr>
            </w:pPr>
            <w:r>
              <w:rPr>
                <w:rFonts w:ascii="Arial" w:hAnsi="Arial"/>
                <w:b/>
                <w:w w:val="119"/>
                <w:sz w:val="40"/>
              </w:rPr>
              <w:t></w:t>
            </w:r>
          </w:p>
        </w:tc>
        <w:tc>
          <w:tcPr>
            <w:tcW w:w="8066" w:type="dxa"/>
            <w:gridSpan w:val="2"/>
            <w:tcBorders>
              <w:bottom w:val="single" w:sz="4" w:space="0" w:color="000000"/>
            </w:tcBorders>
          </w:tcPr>
          <w:p>
            <w:pPr>
              <w:pStyle w:val="TableParagraph"/>
              <w:spacing w:before="10"/>
              <w:rPr>
                <w:sz w:val="18"/>
              </w:rPr>
            </w:pPr>
          </w:p>
          <w:p>
            <w:pPr>
              <w:pStyle w:val="TableParagraph"/>
              <w:ind w:left="107"/>
              <w:rPr>
                <w:b/>
                <w:sz w:val="24"/>
              </w:rPr>
            </w:pPr>
            <w:r>
              <w:rPr>
                <w:b/>
                <w:w w:val="95"/>
                <w:sz w:val="24"/>
              </w:rPr>
              <w:t>本合同保障责任</w:t>
            </w:r>
          </w:p>
        </w:tc>
      </w:tr>
      <w:tr>
        <w:trPr>
          <w:trHeight w:val="2340" w:hRule="atLeast"/>
        </w:trPr>
        <w:tc>
          <w:tcPr>
            <w:tcW w:w="809" w:type="dxa"/>
            <w:tcBorders>
              <w:top w:val="single" w:sz="4" w:space="0" w:color="000000"/>
            </w:tcBorders>
          </w:tcPr>
          <w:p>
            <w:pPr>
              <w:pStyle w:val="TableParagraph"/>
              <w:spacing w:before="11"/>
              <w:rPr>
                <w:sz w:val="22"/>
              </w:rPr>
            </w:pPr>
          </w:p>
          <w:p>
            <w:pPr>
              <w:pStyle w:val="TableParagraph"/>
              <w:ind w:right="106"/>
              <w:jc w:val="right"/>
              <w:rPr>
                <w:b/>
                <w:sz w:val="21"/>
              </w:rPr>
            </w:pPr>
            <w:r>
              <w:rPr>
                <w:b/>
                <w:sz w:val="21"/>
              </w:rPr>
              <w:t>2.1</w:t>
            </w:r>
          </w:p>
        </w:tc>
        <w:tc>
          <w:tcPr>
            <w:tcW w:w="1346" w:type="dxa"/>
            <w:tcBorders>
              <w:top w:val="single" w:sz="4" w:space="0" w:color="000000"/>
            </w:tcBorders>
          </w:tcPr>
          <w:p>
            <w:pPr>
              <w:pStyle w:val="TableParagraph"/>
              <w:spacing w:before="11"/>
              <w:rPr>
                <w:sz w:val="22"/>
              </w:rPr>
            </w:pPr>
          </w:p>
          <w:p>
            <w:pPr>
              <w:pStyle w:val="TableParagraph"/>
              <w:spacing w:line="273" w:lineRule="auto"/>
              <w:ind w:left="107" w:right="180"/>
              <w:rPr>
                <w:b/>
                <w:sz w:val="21"/>
              </w:rPr>
            </w:pPr>
            <w:r>
              <w:rPr>
                <w:b/>
                <w:sz w:val="21"/>
              </w:rPr>
              <w:t>保险期间和续保</w:t>
            </w:r>
          </w:p>
        </w:tc>
        <w:tc>
          <w:tcPr>
            <w:tcW w:w="6720" w:type="dxa"/>
            <w:tcBorders>
              <w:top w:val="single" w:sz="4" w:space="0" w:color="000000"/>
            </w:tcBorders>
          </w:tcPr>
          <w:p>
            <w:pPr>
              <w:pStyle w:val="TableParagraph"/>
              <w:spacing w:before="11"/>
              <w:rPr>
                <w:sz w:val="22"/>
              </w:rPr>
            </w:pPr>
          </w:p>
          <w:p>
            <w:pPr>
              <w:pStyle w:val="TableParagraph"/>
              <w:spacing w:line="273" w:lineRule="auto"/>
              <w:ind w:left="180" w:right="104"/>
              <w:jc w:val="both"/>
              <w:rPr>
                <w:sz w:val="21"/>
              </w:rPr>
            </w:pPr>
            <w:r>
              <w:rPr>
                <w:spacing w:val="-7"/>
                <w:sz w:val="21"/>
              </w:rPr>
              <w:t>本合同的保险期间为 </w:t>
            </w:r>
            <w:r>
              <w:rPr>
                <w:sz w:val="21"/>
              </w:rPr>
              <w:t>1</w:t>
            </w:r>
            <w:r>
              <w:rPr>
                <w:spacing w:val="-13"/>
                <w:sz w:val="21"/>
              </w:rPr>
              <w:t> 年，自本合同生效日零时起至保险单上载明的约</w:t>
            </w:r>
            <w:r>
              <w:rPr>
                <w:spacing w:val="-6"/>
                <w:sz w:val="21"/>
              </w:rPr>
              <w:t>定终止日二十四时止。</w:t>
            </w:r>
          </w:p>
          <w:p>
            <w:pPr>
              <w:pStyle w:val="TableParagraph"/>
              <w:spacing w:before="5"/>
              <w:rPr>
                <w:sz w:val="24"/>
              </w:rPr>
            </w:pPr>
          </w:p>
          <w:p>
            <w:pPr>
              <w:pStyle w:val="TableParagraph"/>
              <w:spacing w:line="273" w:lineRule="auto"/>
              <w:ind w:left="180" w:right="104"/>
              <w:jc w:val="both"/>
              <w:rPr>
                <w:sz w:val="21"/>
              </w:rPr>
            </w:pPr>
            <w:r>
              <w:rPr>
                <w:spacing w:val="-9"/>
                <w:sz w:val="21"/>
              </w:rPr>
              <w:t>本合同保险期间届满时，投保人可向本公司申请续保本保险。本公司审</w:t>
            </w:r>
            <w:r>
              <w:rPr>
                <w:spacing w:val="-11"/>
                <w:sz w:val="21"/>
              </w:rPr>
              <w:t>核同意后为投保人办理续保手续，并按续保当时被保险人的风险性质重</w:t>
            </w:r>
            <w:r>
              <w:rPr>
                <w:spacing w:val="-6"/>
                <w:sz w:val="21"/>
              </w:rPr>
              <w:t>新厘定费率并收取保险费。</w:t>
            </w:r>
          </w:p>
        </w:tc>
      </w:tr>
      <w:tr>
        <w:trPr>
          <w:trHeight w:val="2808" w:hRule="atLeast"/>
        </w:trPr>
        <w:tc>
          <w:tcPr>
            <w:tcW w:w="809" w:type="dxa"/>
          </w:tcPr>
          <w:p>
            <w:pPr>
              <w:pStyle w:val="TableParagraph"/>
              <w:spacing w:before="142"/>
              <w:ind w:right="106"/>
              <w:jc w:val="right"/>
              <w:rPr>
                <w:b/>
                <w:sz w:val="21"/>
              </w:rPr>
            </w:pPr>
            <w:r>
              <w:rPr>
                <w:b/>
                <w:sz w:val="21"/>
              </w:rPr>
              <w:t>2.2</w:t>
            </w:r>
          </w:p>
        </w:tc>
        <w:tc>
          <w:tcPr>
            <w:tcW w:w="1346" w:type="dxa"/>
          </w:tcPr>
          <w:p>
            <w:pPr>
              <w:pStyle w:val="TableParagraph"/>
              <w:spacing w:before="142"/>
              <w:ind w:left="107"/>
              <w:rPr>
                <w:b/>
                <w:sz w:val="21"/>
              </w:rPr>
            </w:pPr>
            <w:r>
              <w:rPr>
                <w:b/>
                <w:sz w:val="21"/>
              </w:rPr>
              <w:t>等待期</w:t>
            </w:r>
          </w:p>
        </w:tc>
        <w:tc>
          <w:tcPr>
            <w:tcW w:w="6720" w:type="dxa"/>
          </w:tcPr>
          <w:p>
            <w:pPr>
              <w:pStyle w:val="TableParagraph"/>
              <w:spacing w:before="142"/>
              <w:ind w:left="180"/>
              <w:rPr>
                <w:sz w:val="21"/>
              </w:rPr>
            </w:pPr>
            <w:r>
              <w:rPr>
                <w:sz w:val="21"/>
              </w:rPr>
              <w:t>投保人为被保险人首次投保本保险或非连续投保本保险的，等待期为</w:t>
            </w:r>
          </w:p>
          <w:p>
            <w:pPr>
              <w:pStyle w:val="TableParagraph"/>
              <w:spacing w:line="273" w:lineRule="auto" w:before="36"/>
              <w:ind w:left="180" w:right="103"/>
              <w:jc w:val="both"/>
              <w:rPr>
                <w:sz w:val="21"/>
              </w:rPr>
            </w:pPr>
            <w:r>
              <w:rPr>
                <w:sz w:val="21"/>
              </w:rPr>
              <w:t>30</w:t>
            </w:r>
            <w:r>
              <w:rPr>
                <w:spacing w:val="-10"/>
                <w:sz w:val="21"/>
              </w:rPr>
              <w:t> 日，但投保人为被保险人</w:t>
            </w:r>
            <w:r>
              <w:rPr>
                <w:b/>
                <w:spacing w:val="-7"/>
                <w:sz w:val="21"/>
              </w:rPr>
              <w:t>连续投保</w:t>
            </w:r>
            <w:r>
              <w:rPr>
                <w:spacing w:val="-3"/>
                <w:sz w:val="21"/>
              </w:rPr>
              <w:t>（</w:t>
            </w:r>
            <w:r>
              <w:rPr>
                <w:spacing w:val="-19"/>
                <w:sz w:val="21"/>
              </w:rPr>
              <w:t>见 </w:t>
            </w:r>
            <w:r>
              <w:rPr>
                <w:spacing w:val="-9"/>
                <w:sz w:val="21"/>
              </w:rPr>
              <w:t>9.4）</w:t>
            </w:r>
            <w:r>
              <w:rPr>
                <w:spacing w:val="-3"/>
                <w:sz w:val="21"/>
              </w:rPr>
              <w:t>本保险的或被保险人因遭受</w:t>
            </w:r>
            <w:r>
              <w:rPr>
                <w:b/>
                <w:sz w:val="21"/>
              </w:rPr>
              <w:t>意外伤害事故</w:t>
            </w:r>
            <w:r>
              <w:rPr>
                <w:spacing w:val="-3"/>
                <w:sz w:val="21"/>
              </w:rPr>
              <w:t>（</w:t>
            </w:r>
            <w:r>
              <w:rPr>
                <w:spacing w:val="-19"/>
                <w:sz w:val="21"/>
              </w:rPr>
              <w:t>见 </w:t>
            </w:r>
            <w:r>
              <w:rPr>
                <w:sz w:val="21"/>
              </w:rPr>
              <w:t>9.5）</w:t>
            </w:r>
            <w:r>
              <w:rPr>
                <w:spacing w:val="-3"/>
                <w:sz w:val="21"/>
              </w:rPr>
              <w:t>导致初次发生</w:t>
            </w:r>
            <w:r>
              <w:rPr>
                <w:b/>
                <w:sz w:val="21"/>
              </w:rPr>
              <w:t>重大疾病</w:t>
            </w:r>
            <w:r>
              <w:rPr>
                <w:sz w:val="21"/>
              </w:rPr>
              <w:t>（</w:t>
            </w:r>
            <w:r>
              <w:rPr>
                <w:spacing w:val="-19"/>
                <w:sz w:val="21"/>
              </w:rPr>
              <w:t>见 </w:t>
            </w:r>
            <w:r>
              <w:rPr>
                <w:sz w:val="21"/>
              </w:rPr>
              <w:t>9.6）</w:t>
            </w:r>
            <w:r>
              <w:rPr>
                <w:spacing w:val="-2"/>
                <w:sz w:val="21"/>
              </w:rPr>
              <w:t>的无等待期。</w:t>
            </w:r>
          </w:p>
          <w:p>
            <w:pPr>
              <w:pStyle w:val="TableParagraph"/>
              <w:spacing w:before="5"/>
              <w:rPr>
                <w:sz w:val="24"/>
              </w:rPr>
            </w:pPr>
          </w:p>
          <w:p>
            <w:pPr>
              <w:pStyle w:val="TableParagraph"/>
              <w:spacing w:line="273" w:lineRule="auto"/>
              <w:ind w:left="180" w:right="70"/>
              <w:jc w:val="both"/>
              <w:rPr>
                <w:sz w:val="21"/>
              </w:rPr>
            </w:pPr>
            <w:r>
              <w:rPr>
                <w:spacing w:val="-3"/>
                <w:sz w:val="21"/>
              </w:rPr>
              <w:t>被保险人在等待期内经</w:t>
            </w:r>
            <w:r>
              <w:rPr>
                <w:b/>
                <w:sz w:val="21"/>
              </w:rPr>
              <w:t>医疗机构</w:t>
            </w:r>
            <w:r>
              <w:rPr>
                <w:spacing w:val="-3"/>
                <w:sz w:val="21"/>
              </w:rPr>
              <w:t>（</w:t>
            </w:r>
            <w:r>
              <w:rPr>
                <w:spacing w:val="-15"/>
                <w:sz w:val="21"/>
              </w:rPr>
              <w:t>见 </w:t>
            </w:r>
            <w:r>
              <w:rPr>
                <w:sz w:val="21"/>
              </w:rPr>
              <w:t>9.7）</w:t>
            </w:r>
            <w:r>
              <w:rPr>
                <w:spacing w:val="-3"/>
                <w:sz w:val="21"/>
              </w:rPr>
              <w:t>确诊初次发生重大疾病的， </w:t>
            </w:r>
            <w:r>
              <w:rPr>
                <w:spacing w:val="-9"/>
                <w:sz w:val="21"/>
              </w:rPr>
              <w:t>本公司不承担给付保险金的责任。本公司向投保人退还该被保险人对应</w:t>
            </w:r>
            <w:r>
              <w:rPr>
                <w:spacing w:val="-5"/>
                <w:sz w:val="21"/>
              </w:rPr>
              <w:t>的所交保险费，对该被保险人保险责任终止。</w:t>
            </w:r>
          </w:p>
        </w:tc>
      </w:tr>
      <w:tr>
        <w:trPr>
          <w:trHeight w:val="623" w:hRule="atLeast"/>
        </w:trPr>
        <w:tc>
          <w:tcPr>
            <w:tcW w:w="809" w:type="dxa"/>
          </w:tcPr>
          <w:p>
            <w:pPr>
              <w:pStyle w:val="TableParagraph"/>
              <w:spacing w:before="142"/>
              <w:ind w:right="106"/>
              <w:jc w:val="right"/>
              <w:rPr>
                <w:b/>
                <w:sz w:val="21"/>
              </w:rPr>
            </w:pPr>
            <w:r>
              <w:rPr>
                <w:b/>
                <w:sz w:val="21"/>
              </w:rPr>
              <w:t>2.3</w:t>
            </w:r>
          </w:p>
        </w:tc>
        <w:tc>
          <w:tcPr>
            <w:tcW w:w="1346" w:type="dxa"/>
          </w:tcPr>
          <w:p>
            <w:pPr>
              <w:pStyle w:val="TableParagraph"/>
              <w:spacing w:before="142"/>
              <w:ind w:left="107"/>
              <w:rPr>
                <w:b/>
                <w:sz w:val="21"/>
              </w:rPr>
            </w:pPr>
            <w:r>
              <w:rPr>
                <w:b/>
                <w:sz w:val="21"/>
              </w:rPr>
              <w:t>保险金额</w:t>
            </w:r>
          </w:p>
        </w:tc>
        <w:tc>
          <w:tcPr>
            <w:tcW w:w="6720" w:type="dxa"/>
          </w:tcPr>
          <w:p>
            <w:pPr>
              <w:pStyle w:val="TableParagraph"/>
              <w:spacing w:before="142"/>
              <w:ind w:left="180"/>
              <w:rPr>
                <w:sz w:val="21"/>
              </w:rPr>
            </w:pPr>
            <w:r>
              <w:rPr>
                <w:sz w:val="21"/>
              </w:rPr>
              <w:t>本合同的保险金额由投保人与本公司在投保时约定并在保险单中载明。</w:t>
            </w:r>
          </w:p>
        </w:tc>
      </w:tr>
      <w:tr>
        <w:trPr>
          <w:trHeight w:val="729" w:hRule="atLeast"/>
        </w:trPr>
        <w:tc>
          <w:tcPr>
            <w:tcW w:w="809" w:type="dxa"/>
          </w:tcPr>
          <w:p>
            <w:pPr>
              <w:pStyle w:val="TableParagraph"/>
              <w:spacing w:before="142"/>
              <w:ind w:right="106"/>
              <w:jc w:val="right"/>
              <w:rPr>
                <w:b/>
                <w:sz w:val="21"/>
              </w:rPr>
            </w:pPr>
            <w:r>
              <w:rPr>
                <w:b/>
                <w:sz w:val="21"/>
              </w:rPr>
              <w:t>2.4</w:t>
            </w:r>
          </w:p>
        </w:tc>
        <w:tc>
          <w:tcPr>
            <w:tcW w:w="1346" w:type="dxa"/>
          </w:tcPr>
          <w:p>
            <w:pPr>
              <w:pStyle w:val="TableParagraph"/>
              <w:spacing w:before="142"/>
              <w:ind w:left="107"/>
              <w:rPr>
                <w:b/>
                <w:sz w:val="21"/>
              </w:rPr>
            </w:pPr>
            <w:r>
              <w:rPr>
                <w:b/>
                <w:sz w:val="21"/>
              </w:rPr>
              <w:t>保险责任</w:t>
            </w:r>
          </w:p>
        </w:tc>
        <w:tc>
          <w:tcPr>
            <w:tcW w:w="6720" w:type="dxa"/>
          </w:tcPr>
          <w:p>
            <w:pPr>
              <w:pStyle w:val="TableParagraph"/>
              <w:spacing w:line="310" w:lineRule="atLeast" w:before="107"/>
              <w:ind w:left="180" w:right="106"/>
              <w:rPr>
                <w:sz w:val="21"/>
              </w:rPr>
            </w:pPr>
            <w:r>
              <w:rPr>
                <w:spacing w:val="-10"/>
                <w:sz w:val="21"/>
              </w:rPr>
              <w:t>在本合同有效期内，除等待期期间依 </w:t>
            </w:r>
            <w:r>
              <w:rPr>
                <w:sz w:val="21"/>
              </w:rPr>
              <w:t>2.2</w:t>
            </w:r>
            <w:r>
              <w:rPr>
                <w:spacing w:val="-11"/>
                <w:sz w:val="21"/>
              </w:rPr>
              <w:t> 条约定外，本公司承担下列保</w:t>
            </w:r>
            <w:r>
              <w:rPr>
                <w:spacing w:val="-7"/>
                <w:sz w:val="21"/>
              </w:rPr>
              <w:t>险责任：</w:t>
            </w:r>
          </w:p>
        </w:tc>
      </w:tr>
    </w:tbl>
    <w:p>
      <w:pPr>
        <w:spacing w:after="0" w:line="310" w:lineRule="atLeast"/>
        <w:rPr>
          <w:sz w:val="21"/>
        </w:rPr>
        <w:sectPr>
          <w:pgSz w:w="11910" w:h="16840"/>
          <w:pgMar w:top="1140" w:bottom="280" w:left="1340" w:right="1400"/>
        </w:sectPr>
      </w:pPr>
    </w:p>
    <w:p>
      <w:pPr>
        <w:pStyle w:val="BodyText"/>
        <w:spacing w:line="273" w:lineRule="auto" w:before="14"/>
        <w:ind w:left="2453" w:right="218"/>
      </w:pPr>
      <w:r>
        <w:rPr>
          <w:spacing w:val="-7"/>
        </w:rPr>
        <w:t>被保险人经医疗机构确诊初次发生重大疾病的，本公司按该被保险人的</w:t>
      </w:r>
      <w:r>
        <w:rPr>
          <w:spacing w:val="-5"/>
        </w:rPr>
        <w:t>保险金额给付重大疾病保险金，对该被保险人的保险责任终止。</w:t>
      </w:r>
    </w:p>
    <w:p>
      <w:pPr>
        <w:pStyle w:val="BodyText"/>
        <w:spacing w:before="5"/>
        <w:ind w:left="0"/>
        <w:rPr>
          <w:sz w:val="24"/>
        </w:rPr>
      </w:pPr>
    </w:p>
    <w:p>
      <w:pPr>
        <w:pStyle w:val="BodyText"/>
        <w:spacing w:before="1"/>
        <w:ind w:left="2453"/>
      </w:pPr>
      <w:r>
        <w:rPr/>
        <w:t>被保险人在投保前发生重大疾病的，本公司不承担给付保险金的责任。</w:t>
      </w:r>
    </w:p>
    <w:p>
      <w:pPr>
        <w:pStyle w:val="BodyText"/>
        <w:spacing w:before="9"/>
        <w:ind w:left="0"/>
        <w:rPr>
          <w:sz w:val="26"/>
        </w:rPr>
      </w:pPr>
    </w:p>
    <w:p>
      <w:pPr>
        <w:pStyle w:val="ListParagraph"/>
        <w:numPr>
          <w:ilvl w:val="1"/>
          <w:numId w:val="3"/>
        </w:numPr>
        <w:tabs>
          <w:tab w:pos="1033" w:val="left" w:leader="none"/>
          <w:tab w:pos="1034" w:val="left" w:leader="none"/>
          <w:tab w:pos="2452" w:val="left" w:leader="none"/>
        </w:tabs>
        <w:spacing w:line="273" w:lineRule="auto" w:before="0" w:after="0"/>
        <w:ind w:left="2453" w:right="220" w:hanging="1952"/>
        <w:jc w:val="left"/>
        <w:rPr>
          <w:sz w:val="21"/>
        </w:rPr>
      </w:pPr>
      <w:r>
        <w:rPr>
          <w:b/>
          <w:sz w:val="21"/>
        </w:rPr>
        <w:t>责任免除</w:t>
        <w:tab/>
      </w:r>
      <w:r>
        <w:rPr>
          <w:sz w:val="21"/>
          <w:shd w:fill="D9D9D9" w:color="auto" w:val="clear"/>
        </w:rPr>
        <w:t>因以</w:t>
      </w:r>
      <w:r>
        <w:rPr>
          <w:spacing w:val="-3"/>
          <w:sz w:val="21"/>
          <w:shd w:fill="D9D9D9" w:color="auto" w:val="clear"/>
        </w:rPr>
        <w:t>下</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pacing w:val="-44"/>
          <w:sz w:val="21"/>
          <w:shd w:fill="D9D9D9" w:color="auto" w:val="clear"/>
        </w:rPr>
        <w:t>，</w:t>
      </w:r>
      <w:r>
        <w:rPr>
          <w:sz w:val="21"/>
          <w:shd w:fill="D9D9D9" w:color="auto" w:val="clear"/>
        </w:rPr>
        <w:t>导</w:t>
      </w:r>
      <w:r>
        <w:rPr>
          <w:spacing w:val="-3"/>
          <w:sz w:val="21"/>
          <w:shd w:fill="D9D9D9" w:color="auto" w:val="clear"/>
        </w:rPr>
        <w:t>致被</w:t>
      </w:r>
      <w:r>
        <w:rPr>
          <w:sz w:val="21"/>
          <w:shd w:fill="D9D9D9" w:color="auto" w:val="clear"/>
        </w:rPr>
        <w:t>保险</w:t>
      </w:r>
      <w:r>
        <w:rPr>
          <w:spacing w:val="-3"/>
          <w:sz w:val="21"/>
          <w:shd w:fill="D9D9D9" w:color="auto" w:val="clear"/>
        </w:rPr>
        <w:t>人</w:t>
      </w:r>
      <w:r>
        <w:rPr>
          <w:sz w:val="21"/>
          <w:shd w:fill="D9D9D9" w:color="auto" w:val="clear"/>
        </w:rPr>
        <w:t>初</w:t>
      </w:r>
      <w:r>
        <w:rPr>
          <w:spacing w:val="-3"/>
          <w:sz w:val="21"/>
          <w:shd w:fill="D9D9D9" w:color="auto" w:val="clear"/>
        </w:rPr>
        <w:t>次</w:t>
      </w:r>
      <w:r>
        <w:rPr>
          <w:sz w:val="21"/>
          <w:shd w:fill="D9D9D9" w:color="auto" w:val="clear"/>
        </w:rPr>
        <w:t>发</w:t>
      </w:r>
      <w:r>
        <w:rPr>
          <w:spacing w:val="-3"/>
          <w:sz w:val="21"/>
          <w:shd w:fill="D9D9D9" w:color="auto" w:val="clear"/>
        </w:rPr>
        <w:t>生</w:t>
      </w:r>
      <w:r>
        <w:rPr>
          <w:sz w:val="21"/>
          <w:shd w:fill="D9D9D9" w:color="auto" w:val="clear"/>
        </w:rPr>
        <w:t>重</w:t>
      </w:r>
      <w:r>
        <w:rPr>
          <w:spacing w:val="-3"/>
          <w:sz w:val="21"/>
          <w:shd w:fill="D9D9D9" w:color="auto" w:val="clear"/>
        </w:rPr>
        <w:t>大</w:t>
      </w:r>
      <w:r>
        <w:rPr>
          <w:sz w:val="21"/>
          <w:shd w:fill="D9D9D9" w:color="auto" w:val="clear"/>
        </w:rPr>
        <w:t>疾</w:t>
      </w:r>
      <w:r>
        <w:rPr>
          <w:spacing w:val="-3"/>
          <w:sz w:val="21"/>
          <w:shd w:fill="D9D9D9" w:color="auto" w:val="clear"/>
        </w:rPr>
        <w:t>病</w:t>
      </w:r>
      <w:r>
        <w:rPr>
          <w:sz w:val="21"/>
          <w:shd w:fill="D9D9D9" w:color="auto" w:val="clear"/>
        </w:rPr>
        <w:t>的</w:t>
      </w:r>
      <w:r>
        <w:rPr>
          <w:spacing w:val="-44"/>
          <w:sz w:val="21"/>
          <w:shd w:fill="D9D9D9" w:color="auto" w:val="clear"/>
        </w:rPr>
        <w:t>，</w:t>
      </w:r>
      <w:r>
        <w:rPr>
          <w:sz w:val="21"/>
          <w:shd w:fill="D9D9D9" w:color="auto" w:val="clear"/>
        </w:rPr>
        <w:t>本</w:t>
      </w:r>
      <w:r>
        <w:rPr>
          <w:spacing w:val="-3"/>
          <w:sz w:val="21"/>
          <w:shd w:fill="D9D9D9" w:color="auto" w:val="clear"/>
        </w:rPr>
        <w:t>公</w:t>
      </w:r>
      <w:r>
        <w:rPr>
          <w:sz w:val="21"/>
          <w:shd w:fill="D9D9D9" w:color="auto" w:val="clear"/>
        </w:rPr>
        <w:t>司</w:t>
      </w:r>
      <w:r>
        <w:rPr>
          <w:spacing w:val="-3"/>
          <w:sz w:val="21"/>
          <w:shd w:fill="D9D9D9" w:color="auto" w:val="clear"/>
        </w:rPr>
        <w:t>不</w:t>
      </w:r>
      <w:r>
        <w:rPr>
          <w:sz w:val="21"/>
          <w:shd w:fill="D9D9D9" w:color="auto" w:val="clear"/>
        </w:rPr>
        <w:t>承</w:t>
      </w:r>
      <w:r>
        <w:rPr>
          <w:spacing w:val="-3"/>
          <w:sz w:val="21"/>
          <w:shd w:fill="D9D9D9" w:color="auto" w:val="clear"/>
        </w:rPr>
        <w:t>担</w:t>
      </w:r>
      <w:r>
        <w:rPr>
          <w:sz w:val="21"/>
          <w:shd w:fill="D9D9D9" w:color="auto" w:val="clear"/>
        </w:rPr>
        <w:t>给 付保</w:t>
      </w:r>
      <w:r>
        <w:rPr>
          <w:spacing w:val="-3"/>
          <w:sz w:val="21"/>
          <w:shd w:fill="D9D9D9" w:color="auto" w:val="clear"/>
        </w:rPr>
        <w:t>险</w:t>
      </w:r>
      <w:r>
        <w:rPr>
          <w:sz w:val="21"/>
          <w:shd w:fill="D9D9D9" w:color="auto" w:val="clear"/>
        </w:rPr>
        <w:t>金</w:t>
      </w:r>
      <w:r>
        <w:rPr>
          <w:spacing w:val="-3"/>
          <w:sz w:val="21"/>
          <w:shd w:fill="D9D9D9" w:color="auto" w:val="clear"/>
        </w:rPr>
        <w:t>的</w:t>
      </w:r>
      <w:r>
        <w:rPr>
          <w:sz w:val="21"/>
          <w:shd w:fill="D9D9D9" w:color="auto" w:val="clear"/>
        </w:rPr>
        <w:t>责</w:t>
      </w:r>
      <w:r>
        <w:rPr>
          <w:spacing w:val="-3"/>
          <w:sz w:val="21"/>
          <w:shd w:fill="D9D9D9" w:color="auto" w:val="clear"/>
        </w:rPr>
        <w:t>任</w:t>
      </w:r>
      <w:r>
        <w:rPr>
          <w:sz w:val="21"/>
          <w:shd w:fill="D9D9D9" w:color="auto" w:val="clear"/>
        </w:rPr>
        <w:t>：</w:t>
      </w:r>
    </w:p>
    <w:p>
      <w:pPr>
        <w:pStyle w:val="ListParagraph"/>
        <w:numPr>
          <w:ilvl w:val="2"/>
          <w:numId w:val="3"/>
        </w:numPr>
        <w:tabs>
          <w:tab w:pos="2876" w:val="left" w:leader="none"/>
        </w:tabs>
        <w:spacing w:line="240" w:lineRule="auto" w:before="7" w:after="0"/>
        <w:ind w:left="2873" w:right="0" w:hanging="420"/>
        <w:jc w:val="left"/>
        <w:rPr>
          <w:sz w:val="21"/>
        </w:rPr>
      </w:pPr>
      <w:r>
        <w:rPr>
          <w:spacing w:val="-3"/>
          <w:sz w:val="21"/>
          <w:shd w:fill="D9D9D9" w:color="auto" w:val="clear"/>
        </w:rPr>
        <w:t>投保人对被保险人的故意杀害、故意伤害；</w:t>
      </w:r>
    </w:p>
    <w:p>
      <w:pPr>
        <w:pStyle w:val="ListParagraph"/>
        <w:numPr>
          <w:ilvl w:val="2"/>
          <w:numId w:val="3"/>
        </w:numPr>
        <w:tabs>
          <w:tab w:pos="2876" w:val="left" w:leader="none"/>
        </w:tabs>
        <w:spacing w:line="273" w:lineRule="auto" w:before="36" w:after="0"/>
        <w:ind w:left="2873" w:right="220" w:hanging="420"/>
        <w:jc w:val="left"/>
        <w:rPr>
          <w:sz w:val="21"/>
        </w:rPr>
      </w:pPr>
      <w:r>
        <w:rPr>
          <w:spacing w:val="-12"/>
          <w:sz w:val="21"/>
          <w:shd w:fill="D9D9D9" w:color="auto" w:val="clear"/>
        </w:rPr>
        <w:t>被保险人自杀、故意自伤、故意犯罪或抗拒依法采取的刑事强制措</w:t>
      </w:r>
      <w:r>
        <w:rPr>
          <w:spacing w:val="-207"/>
          <w:sz w:val="21"/>
          <w:shd w:fill="D9D9D9" w:color="auto" w:val="clear"/>
        </w:rPr>
        <w:t>施</w:t>
      </w:r>
      <w:r>
        <w:rPr>
          <w:spacing w:val="-3"/>
          <w:sz w:val="21"/>
          <w:shd w:fill="D9D9D9" w:color="auto" w:val="clear"/>
        </w:rPr>
        <w:t>，但被保险人自杀时为无民事行为能力人的除外；</w:t>
      </w:r>
    </w:p>
    <w:p>
      <w:pPr>
        <w:pStyle w:val="ListParagraph"/>
        <w:numPr>
          <w:ilvl w:val="2"/>
          <w:numId w:val="3"/>
        </w:numPr>
        <w:tabs>
          <w:tab w:pos="2876" w:val="left" w:leader="none"/>
        </w:tabs>
        <w:spacing w:line="240" w:lineRule="auto" w:before="7" w:after="0"/>
        <w:ind w:left="2873"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9.8</w:t>
      </w:r>
      <w:r>
        <w:rPr>
          <w:spacing w:val="-108"/>
          <w:w w:val="100"/>
          <w:sz w:val="21"/>
          <w:shd w:fill="D9D9D9" w:color="auto" w:val="clear"/>
        </w:rPr>
        <w:t>）</w:t>
      </w:r>
      <w:r>
        <w:rPr>
          <w:spacing w:val="-3"/>
          <w:w w:val="100"/>
          <w:sz w:val="21"/>
          <w:shd w:fill="D9D9D9" w:color="auto" w:val="clear"/>
        </w:rPr>
        <w:t>；</w:t>
      </w:r>
    </w:p>
    <w:p>
      <w:pPr>
        <w:pStyle w:val="ListParagraph"/>
        <w:numPr>
          <w:ilvl w:val="2"/>
          <w:numId w:val="3"/>
        </w:numPr>
        <w:tabs>
          <w:tab w:pos="2876" w:val="left" w:leader="none"/>
        </w:tabs>
        <w:spacing w:line="273" w:lineRule="auto" w:before="37" w:after="0"/>
        <w:ind w:left="2873" w:right="230" w:hanging="420"/>
        <w:jc w:val="left"/>
        <w:rPr>
          <w:sz w:val="21"/>
        </w:rPr>
      </w:pPr>
      <w:r>
        <w:rPr>
          <w:spacing w:val="-3"/>
          <w:w w:val="100"/>
          <w:sz w:val="21"/>
          <w:shd w:fill="D9D9D9" w:color="auto" w:val="clear"/>
        </w:rPr>
        <w:t>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9</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0</w:t>
      </w:r>
      <w:r>
        <w:rPr>
          <w:spacing w:val="-106"/>
          <w:w w:val="100"/>
          <w:sz w:val="21"/>
          <w:shd w:fill="D9D9D9" w:color="auto" w:val="clear"/>
        </w:rPr>
        <w:t>），</w:t>
      </w:r>
      <w:r>
        <w:rPr>
          <w:spacing w:val="-1"/>
          <w:w w:val="100"/>
          <w:sz w:val="21"/>
          <w:shd w:fill="D9D9D9" w:color="auto" w:val="clear"/>
        </w:rPr>
        <w:t>或驾驶</w:t>
      </w:r>
      <w:r>
        <w:rPr>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5"/>
          <w:sz w:val="21"/>
          <w:shd w:fill="D9D9D9" w:color="auto" w:val="clear"/>
        </w:rPr>
        <w:t> </w:t>
      </w:r>
      <w:r>
        <w:rPr>
          <w:w w:val="100"/>
          <w:sz w:val="21"/>
          <w:shd w:fill="D9D9D9" w:color="auto" w:val="clear"/>
        </w:rPr>
        <w:t>9.11</w:t>
      </w:r>
      <w:r>
        <w:rPr>
          <w:spacing w:val="-3"/>
          <w:w w:val="100"/>
          <w:sz w:val="21"/>
          <w:shd w:fill="D9D9D9" w:color="auto" w:val="clear"/>
        </w:rPr>
        <w:t>）的</w:t>
      </w:r>
      <w:r>
        <w:rPr>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12</w:t>
      </w:r>
      <w:r>
        <w:rPr>
          <w:spacing w:val="-106"/>
          <w:w w:val="100"/>
          <w:sz w:val="21"/>
          <w:shd w:fill="D9D9D9" w:color="auto" w:val="clear"/>
        </w:rPr>
        <w:t>）；</w:t>
      </w:r>
    </w:p>
    <w:p>
      <w:pPr>
        <w:pStyle w:val="ListParagraph"/>
        <w:numPr>
          <w:ilvl w:val="2"/>
          <w:numId w:val="3"/>
        </w:numPr>
        <w:tabs>
          <w:tab w:pos="2876" w:val="left" w:leader="none"/>
        </w:tabs>
        <w:spacing w:line="240" w:lineRule="auto" w:before="8" w:after="0"/>
        <w:ind w:left="2873" w:right="0" w:hanging="420"/>
        <w:jc w:val="left"/>
        <w:rPr>
          <w:sz w:val="21"/>
        </w:rPr>
      </w:pPr>
      <w:r>
        <w:rPr>
          <w:spacing w:val="-3"/>
          <w:sz w:val="21"/>
          <w:shd w:fill="D9D9D9" w:color="auto" w:val="clear"/>
        </w:rPr>
        <w:t>战争、军事冲突、暴乱或武装叛乱；</w:t>
      </w:r>
    </w:p>
    <w:p>
      <w:pPr>
        <w:pStyle w:val="ListParagraph"/>
        <w:numPr>
          <w:ilvl w:val="2"/>
          <w:numId w:val="3"/>
        </w:numPr>
        <w:tabs>
          <w:tab w:pos="2876" w:val="left" w:leader="none"/>
        </w:tabs>
        <w:spacing w:line="240" w:lineRule="auto" w:before="37" w:after="0"/>
        <w:ind w:left="2873" w:right="0" w:hanging="420"/>
        <w:jc w:val="left"/>
        <w:rPr>
          <w:sz w:val="21"/>
        </w:rPr>
      </w:pPr>
      <w:r>
        <w:rPr>
          <w:spacing w:val="-3"/>
          <w:sz w:val="21"/>
          <w:shd w:fill="D9D9D9" w:color="auto" w:val="clear"/>
        </w:rPr>
        <w:t>核爆炸、核辐射或核污染；</w:t>
      </w:r>
    </w:p>
    <w:p>
      <w:pPr>
        <w:pStyle w:val="ListParagraph"/>
        <w:numPr>
          <w:ilvl w:val="2"/>
          <w:numId w:val="3"/>
        </w:numPr>
        <w:tabs>
          <w:tab w:pos="2876" w:val="left" w:leader="none"/>
        </w:tabs>
        <w:spacing w:line="273" w:lineRule="auto" w:before="37" w:after="0"/>
        <w:ind w:left="2873" w:right="220" w:hanging="420"/>
        <w:jc w:val="left"/>
        <w:rPr>
          <w:sz w:val="21"/>
        </w:rPr>
      </w:pPr>
      <w:r>
        <w:rPr/>
        <w:pict>
          <v:shape style="position:absolute;margin-left:192.650009pt;margin-top:65.833641pt;width:321.45pt;height:29.3pt;mso-position-horizontal-relative:page;mso-position-vertical-relative:paragraph;z-index:-30496" coordorigin="3853,1317" coordsize="6429,586" path="m9792,1629l3853,1629,3853,1902,9792,1902,9792,1629m10282,1317l3853,1317,3853,1590,10282,1590,10282,1317e" filled="true" fillcolor="#d9d9d9" stroked="false">
            <v:path arrowok="t"/>
            <v:fill type="solid"/>
            <w10:wrap type="none"/>
          </v:shape>
        </w:pict>
      </w:r>
      <w:r>
        <w:rPr>
          <w:spacing w:val="-3"/>
          <w:sz w:val="21"/>
          <w:shd w:fill="D9D9D9" w:color="auto" w:val="clear"/>
        </w:rPr>
        <w:t>被保险人</w:t>
      </w:r>
      <w:r>
        <w:rPr>
          <w:b/>
          <w:sz w:val="21"/>
          <w:shd w:fill="D9D9D9" w:color="auto" w:val="clear"/>
        </w:rPr>
        <w:t>感染艾滋病病毒或患艾滋病</w:t>
      </w:r>
      <w:r>
        <w:rPr>
          <w:sz w:val="21"/>
          <w:shd w:fill="D9D9D9" w:color="auto" w:val="clear"/>
        </w:rPr>
        <w:t>（</w:t>
      </w:r>
      <w:r>
        <w:rPr>
          <w:spacing w:val="10"/>
          <w:sz w:val="21"/>
          <w:shd w:fill="D9D9D9" w:color="auto" w:val="clear"/>
        </w:rPr>
        <w:t>见 </w:t>
      </w:r>
      <w:r>
        <w:rPr>
          <w:sz w:val="21"/>
          <w:shd w:fill="D9D9D9" w:color="auto" w:val="clear"/>
        </w:rPr>
        <w:t>9.13）</w:t>
      </w:r>
      <w:r>
        <w:rPr>
          <w:spacing w:val="-2"/>
          <w:sz w:val="21"/>
          <w:shd w:fill="D9D9D9" w:color="auto" w:val="clear"/>
        </w:rPr>
        <w:t>期间因疾病导致</w:t>
      </w:r>
      <w:r>
        <w:rPr>
          <w:spacing w:val="-212"/>
          <w:sz w:val="21"/>
          <w:shd w:fill="D9D9D9" w:color="auto" w:val="clear"/>
        </w:rPr>
        <w:t>的</w:t>
      </w:r>
      <w:r>
        <w:rPr>
          <w:sz w:val="21"/>
          <w:shd w:fill="D9D9D9" w:color="auto" w:val="clear"/>
        </w:rPr>
        <w:t>；</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27"/>
        <w:gridCol w:w="6537"/>
      </w:tblGrid>
      <w:tr>
        <w:trPr>
          <w:trHeight w:val="662" w:hRule="atLeast"/>
        </w:trPr>
        <w:tc>
          <w:tcPr>
            <w:tcW w:w="809" w:type="dxa"/>
          </w:tcPr>
          <w:p>
            <w:pPr>
              <w:pStyle w:val="TableParagraph"/>
              <w:rPr>
                <w:rFonts w:ascii="Times New Roman"/>
                <w:sz w:val="20"/>
              </w:rPr>
            </w:pPr>
          </w:p>
        </w:tc>
        <w:tc>
          <w:tcPr>
            <w:tcW w:w="1527" w:type="dxa"/>
          </w:tcPr>
          <w:p>
            <w:pPr>
              <w:pStyle w:val="TableParagraph"/>
              <w:rPr>
                <w:rFonts w:ascii="Times New Roman"/>
                <w:sz w:val="20"/>
              </w:rPr>
            </w:pPr>
          </w:p>
        </w:tc>
        <w:tc>
          <w:tcPr>
            <w:tcW w:w="6537" w:type="dxa"/>
          </w:tcPr>
          <w:p>
            <w:pPr>
              <w:pStyle w:val="TableParagraph"/>
              <w:spacing w:before="6"/>
              <w:ind w:left="-1"/>
              <w:rPr>
                <w:sz w:val="21"/>
              </w:rPr>
            </w:pPr>
            <w:r>
              <w:rPr>
                <w:w w:val="100"/>
                <w:sz w:val="21"/>
                <w:shd w:fill="D9D9D9" w:color="auto" w:val="clear"/>
              </w:rPr>
              <w:t>(8)</w:t>
            </w:r>
            <w:r>
              <w:rPr>
                <w:spacing w:val="-2"/>
                <w:sz w:val="21"/>
                <w:shd w:fill="D9D9D9" w:color="auto" w:val="clear"/>
              </w:rPr>
              <w:t> </w:t>
            </w:r>
            <w:r>
              <w:rPr>
                <w:b/>
                <w:spacing w:val="-16"/>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9</w:t>
            </w:r>
            <w:r>
              <w:rPr>
                <w:spacing w:val="-3"/>
                <w:w w:val="100"/>
                <w:sz w:val="21"/>
                <w:shd w:fill="D9D9D9" w:color="auto" w:val="clear"/>
              </w:rPr>
              <w:t>.</w:t>
            </w:r>
            <w:r>
              <w:rPr>
                <w:spacing w:val="-1"/>
                <w:w w:val="100"/>
                <w:sz w:val="21"/>
                <w:shd w:fill="D9D9D9" w:color="auto" w:val="clear"/>
              </w:rPr>
              <w:t>1</w:t>
            </w:r>
            <w:r>
              <w:rPr>
                <w:w w:val="100"/>
                <w:sz w:val="21"/>
                <w:shd w:fill="D9D9D9" w:color="auto" w:val="clear"/>
              </w:rPr>
              <w:t>4</w:t>
            </w:r>
            <w:r>
              <w:rPr>
                <w:spacing w:val="-108"/>
                <w:w w:val="100"/>
                <w:sz w:val="21"/>
                <w:shd w:fill="D9D9D9" w:color="auto" w:val="clear"/>
              </w:rPr>
              <w:t>）</w:t>
            </w:r>
            <w:r>
              <w:rPr>
                <w:spacing w:val="-80"/>
                <w:w w:val="100"/>
                <w:sz w:val="21"/>
                <w:shd w:fill="D9D9D9" w:color="auto" w:val="clear"/>
              </w:rPr>
              <w:t>，</w:t>
            </w:r>
            <w:r>
              <w:rPr>
                <w:b/>
                <w:spacing w:val="-14"/>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2"/>
                <w:w w:val="100"/>
                <w:sz w:val="21"/>
                <w:shd w:fill="D9D9D9" w:color="auto" w:val="clear"/>
              </w:rPr>
              <w:t>1</w:t>
            </w:r>
            <w:r>
              <w:rPr>
                <w:w w:val="100"/>
                <w:sz w:val="21"/>
                <w:shd w:fill="D9D9D9" w:color="auto" w:val="clear"/>
              </w:rPr>
              <w:t>5</w:t>
            </w:r>
            <w:r>
              <w:rPr>
                <w:spacing w:val="-108"/>
                <w:w w:val="100"/>
                <w:sz w:val="21"/>
                <w:shd w:fill="D9D9D9" w:color="auto" w:val="clear"/>
              </w:rPr>
              <w:t>）。</w:t>
            </w:r>
          </w:p>
        </w:tc>
      </w:tr>
      <w:tr>
        <w:trPr>
          <w:trHeight w:val="585" w:hRule="atLeast"/>
        </w:trPr>
        <w:tc>
          <w:tcPr>
            <w:tcW w:w="809" w:type="dxa"/>
          </w:tcPr>
          <w:p>
            <w:pPr>
              <w:pStyle w:val="TableParagraph"/>
              <w:rPr>
                <w:rFonts w:ascii="Times New Roman"/>
                <w:sz w:val="20"/>
              </w:rPr>
            </w:pPr>
          </w:p>
        </w:tc>
        <w:tc>
          <w:tcPr>
            <w:tcW w:w="1527" w:type="dxa"/>
          </w:tcPr>
          <w:p>
            <w:pPr>
              <w:pStyle w:val="TableParagraph"/>
              <w:rPr>
                <w:rFonts w:ascii="Times New Roman"/>
                <w:sz w:val="20"/>
              </w:rPr>
            </w:pPr>
          </w:p>
        </w:tc>
        <w:tc>
          <w:tcPr>
            <w:tcW w:w="6537" w:type="dxa"/>
          </w:tcPr>
          <w:p>
            <w:pPr>
              <w:pStyle w:val="TableParagraph"/>
              <w:spacing w:line="243" w:lineRule="exact"/>
              <w:ind w:left="-1"/>
              <w:rPr>
                <w:sz w:val="21"/>
              </w:rPr>
            </w:pPr>
            <w:r>
              <w:rPr>
                <w:sz w:val="21"/>
              </w:rPr>
              <w:t>发生上述情形导致被保险人初次发生重大疾病的，本公司对该被保险人</w:t>
            </w:r>
          </w:p>
          <w:p>
            <w:pPr>
              <w:pStyle w:val="TableParagraph"/>
              <w:spacing w:before="37"/>
              <w:ind w:left="-1"/>
              <w:rPr>
                <w:sz w:val="21"/>
              </w:rPr>
            </w:pPr>
            <w:r>
              <w:rPr>
                <w:sz w:val="21"/>
              </w:rPr>
              <w:t>保险责任终止，本公司退还该被保险人的</w:t>
            </w:r>
            <w:r>
              <w:rPr>
                <w:b/>
                <w:sz w:val="21"/>
              </w:rPr>
              <w:t>现金价值（</w:t>
            </w:r>
            <w:r>
              <w:rPr>
                <w:sz w:val="21"/>
              </w:rPr>
              <w:t>见 9.16）。</w:t>
            </w:r>
          </w:p>
        </w:tc>
      </w:tr>
      <w:tr>
        <w:trPr>
          <w:trHeight w:val="955" w:hRule="atLeast"/>
        </w:trPr>
        <w:tc>
          <w:tcPr>
            <w:tcW w:w="809" w:type="dxa"/>
            <w:tcBorders>
              <w:bottom w:val="single" w:sz="4" w:space="0" w:color="000000"/>
            </w:tcBorders>
          </w:tcPr>
          <w:p>
            <w:pPr>
              <w:pStyle w:val="TableParagraph"/>
              <w:spacing w:before="2"/>
              <w:rPr>
                <w:sz w:val="30"/>
              </w:rPr>
            </w:pPr>
          </w:p>
          <w:p>
            <w:pPr>
              <w:pStyle w:val="TableParagraph"/>
              <w:ind w:right="106"/>
              <w:jc w:val="right"/>
              <w:rPr>
                <w:rFonts w:ascii="Arial" w:hAnsi="Arial"/>
                <w:b/>
                <w:sz w:val="40"/>
              </w:rPr>
            </w:pPr>
            <w:r>
              <w:rPr>
                <w:rFonts w:ascii="Arial" w:hAnsi="Arial"/>
                <w:b/>
                <w:w w:val="119"/>
                <w:sz w:val="40"/>
              </w:rPr>
              <w:t></w:t>
            </w:r>
          </w:p>
        </w:tc>
        <w:tc>
          <w:tcPr>
            <w:tcW w:w="1527" w:type="dxa"/>
            <w:tcBorders>
              <w:bottom w:val="single" w:sz="4" w:space="0" w:color="000000"/>
            </w:tcBorders>
          </w:tcPr>
          <w:p>
            <w:pPr>
              <w:pStyle w:val="TableParagraph"/>
              <w:spacing w:before="1"/>
              <w:rPr>
                <w:sz w:val="34"/>
              </w:rPr>
            </w:pPr>
          </w:p>
          <w:p>
            <w:pPr>
              <w:pStyle w:val="TableParagraph"/>
              <w:spacing w:before="1"/>
              <w:ind w:left="107"/>
              <w:rPr>
                <w:b/>
                <w:sz w:val="24"/>
              </w:rPr>
            </w:pPr>
            <w:r>
              <w:rPr>
                <w:b/>
                <w:w w:val="95"/>
                <w:sz w:val="24"/>
              </w:rPr>
              <w:t>保险费支付</w:t>
            </w:r>
          </w:p>
        </w:tc>
        <w:tc>
          <w:tcPr>
            <w:tcW w:w="6537" w:type="dxa"/>
            <w:tcBorders>
              <w:bottom w:val="single" w:sz="4" w:space="0" w:color="000000"/>
            </w:tcBorders>
          </w:tcPr>
          <w:p>
            <w:pPr>
              <w:pStyle w:val="TableParagraph"/>
              <w:rPr>
                <w:rFonts w:ascii="Times New Roman"/>
                <w:sz w:val="20"/>
              </w:rPr>
            </w:pPr>
          </w:p>
        </w:tc>
      </w:tr>
      <w:tr>
        <w:trPr>
          <w:trHeight w:val="1120" w:hRule="atLeast"/>
        </w:trPr>
        <w:tc>
          <w:tcPr>
            <w:tcW w:w="809" w:type="dxa"/>
            <w:tcBorders>
              <w:top w:val="single" w:sz="4" w:space="0" w:color="000000"/>
            </w:tcBorders>
          </w:tcPr>
          <w:p>
            <w:pPr>
              <w:pStyle w:val="TableParagraph"/>
              <w:rPr>
                <w:sz w:val="23"/>
              </w:rPr>
            </w:pPr>
          </w:p>
          <w:p>
            <w:pPr>
              <w:pStyle w:val="TableParagraph"/>
              <w:ind w:right="106"/>
              <w:jc w:val="right"/>
              <w:rPr>
                <w:b/>
                <w:sz w:val="21"/>
              </w:rPr>
            </w:pPr>
            <w:r>
              <w:rPr>
                <w:b/>
                <w:sz w:val="21"/>
              </w:rPr>
              <w:t>3.1</w:t>
            </w:r>
          </w:p>
        </w:tc>
        <w:tc>
          <w:tcPr>
            <w:tcW w:w="1527" w:type="dxa"/>
            <w:tcBorders>
              <w:top w:val="single" w:sz="4" w:space="0" w:color="000000"/>
            </w:tcBorders>
          </w:tcPr>
          <w:p>
            <w:pPr>
              <w:pStyle w:val="TableParagraph"/>
              <w:rPr>
                <w:sz w:val="23"/>
              </w:rPr>
            </w:pPr>
          </w:p>
          <w:p>
            <w:pPr>
              <w:pStyle w:val="TableParagraph"/>
              <w:ind w:left="107"/>
              <w:rPr>
                <w:b/>
                <w:sz w:val="21"/>
              </w:rPr>
            </w:pPr>
            <w:r>
              <w:rPr>
                <w:b/>
                <w:sz w:val="21"/>
              </w:rPr>
              <w:t>保险费支付</w:t>
            </w:r>
          </w:p>
        </w:tc>
        <w:tc>
          <w:tcPr>
            <w:tcW w:w="6537" w:type="dxa"/>
            <w:tcBorders>
              <w:top w:val="single" w:sz="4" w:space="0" w:color="000000"/>
            </w:tcBorders>
          </w:tcPr>
          <w:p>
            <w:pPr>
              <w:pStyle w:val="TableParagraph"/>
              <w:rPr>
                <w:sz w:val="23"/>
              </w:rPr>
            </w:pPr>
          </w:p>
          <w:p>
            <w:pPr>
              <w:pStyle w:val="TableParagraph"/>
              <w:spacing w:line="273" w:lineRule="auto"/>
              <w:ind w:left="-1" w:right="20"/>
              <w:rPr>
                <w:sz w:val="21"/>
              </w:rPr>
            </w:pPr>
            <w:r>
              <w:rPr>
                <w:sz w:val="21"/>
              </w:rPr>
              <w:t>本合同的保险费由投保人与本公司在投保时约定，并在保险单中载明。投保人须在投保时一次性支付保险费。</w:t>
            </w:r>
          </w:p>
        </w:tc>
      </w:tr>
      <w:tr>
        <w:trPr>
          <w:trHeight w:val="753" w:hRule="atLeast"/>
        </w:trPr>
        <w:tc>
          <w:tcPr>
            <w:tcW w:w="809" w:type="dxa"/>
            <w:tcBorders>
              <w:bottom w:val="single" w:sz="4" w:space="0" w:color="000000"/>
            </w:tcBorders>
          </w:tcPr>
          <w:p>
            <w:pPr>
              <w:pStyle w:val="TableParagraph"/>
              <w:spacing w:before="194"/>
              <w:ind w:right="106"/>
              <w:jc w:val="right"/>
              <w:rPr>
                <w:rFonts w:ascii="Arial" w:hAnsi="Arial"/>
                <w:b/>
                <w:sz w:val="40"/>
              </w:rPr>
            </w:pPr>
            <w:r>
              <w:rPr>
                <w:rFonts w:ascii="Arial" w:hAnsi="Arial"/>
                <w:b/>
                <w:w w:val="119"/>
                <w:sz w:val="40"/>
              </w:rPr>
              <w:t></w:t>
            </w:r>
          </w:p>
        </w:tc>
        <w:tc>
          <w:tcPr>
            <w:tcW w:w="1527" w:type="dxa"/>
            <w:tcBorders>
              <w:bottom w:val="single" w:sz="4" w:space="0" w:color="000000"/>
            </w:tcBorders>
          </w:tcPr>
          <w:p>
            <w:pPr>
              <w:pStyle w:val="TableParagraph"/>
              <w:spacing w:before="10"/>
              <w:rPr>
                <w:sz w:val="18"/>
              </w:rPr>
            </w:pPr>
          </w:p>
          <w:p>
            <w:pPr>
              <w:pStyle w:val="TableParagraph"/>
              <w:ind w:left="107"/>
              <w:rPr>
                <w:b/>
                <w:sz w:val="24"/>
              </w:rPr>
            </w:pPr>
            <w:r>
              <w:rPr>
                <w:b/>
                <w:w w:val="95"/>
                <w:sz w:val="24"/>
              </w:rPr>
              <w:t>保险金领取</w:t>
            </w:r>
          </w:p>
        </w:tc>
        <w:tc>
          <w:tcPr>
            <w:tcW w:w="6537" w:type="dxa"/>
            <w:tcBorders>
              <w:bottom w:val="single" w:sz="4" w:space="0" w:color="000000"/>
            </w:tcBorders>
          </w:tcPr>
          <w:p>
            <w:pPr>
              <w:pStyle w:val="TableParagraph"/>
              <w:rPr>
                <w:rFonts w:ascii="Times New Roman"/>
                <w:sz w:val="20"/>
              </w:rPr>
            </w:pPr>
          </w:p>
        </w:tc>
      </w:tr>
      <w:tr>
        <w:trPr>
          <w:trHeight w:val="780" w:hRule="atLeast"/>
        </w:trPr>
        <w:tc>
          <w:tcPr>
            <w:tcW w:w="809" w:type="dxa"/>
            <w:tcBorders>
              <w:top w:val="single" w:sz="4" w:space="0" w:color="000000"/>
            </w:tcBorders>
          </w:tcPr>
          <w:p>
            <w:pPr>
              <w:pStyle w:val="TableParagraph"/>
              <w:spacing w:before="11"/>
              <w:rPr>
                <w:sz w:val="22"/>
              </w:rPr>
            </w:pPr>
          </w:p>
          <w:p>
            <w:pPr>
              <w:pStyle w:val="TableParagraph"/>
              <w:ind w:right="106"/>
              <w:jc w:val="right"/>
              <w:rPr>
                <w:b/>
                <w:sz w:val="21"/>
              </w:rPr>
            </w:pPr>
            <w:r>
              <w:rPr>
                <w:b/>
                <w:sz w:val="21"/>
              </w:rPr>
              <w:t>4.1</w:t>
            </w:r>
          </w:p>
        </w:tc>
        <w:tc>
          <w:tcPr>
            <w:tcW w:w="1527" w:type="dxa"/>
            <w:tcBorders>
              <w:top w:val="single" w:sz="4" w:space="0" w:color="000000"/>
            </w:tcBorders>
          </w:tcPr>
          <w:p>
            <w:pPr>
              <w:pStyle w:val="TableParagraph"/>
              <w:spacing w:before="11"/>
              <w:rPr>
                <w:sz w:val="22"/>
              </w:rPr>
            </w:pPr>
          </w:p>
          <w:p>
            <w:pPr>
              <w:pStyle w:val="TableParagraph"/>
              <w:ind w:left="107"/>
              <w:rPr>
                <w:b/>
                <w:sz w:val="21"/>
              </w:rPr>
            </w:pPr>
            <w:r>
              <w:rPr>
                <w:b/>
                <w:sz w:val="21"/>
              </w:rPr>
              <w:t>受益人</w:t>
            </w:r>
          </w:p>
        </w:tc>
        <w:tc>
          <w:tcPr>
            <w:tcW w:w="6537" w:type="dxa"/>
            <w:tcBorders>
              <w:top w:val="single" w:sz="4" w:space="0" w:color="000000"/>
            </w:tcBorders>
          </w:tcPr>
          <w:p>
            <w:pPr>
              <w:pStyle w:val="TableParagraph"/>
              <w:spacing w:before="11"/>
              <w:rPr>
                <w:sz w:val="22"/>
              </w:rPr>
            </w:pPr>
          </w:p>
          <w:p>
            <w:pPr>
              <w:pStyle w:val="TableParagraph"/>
              <w:ind w:left="-1"/>
              <w:rPr>
                <w:sz w:val="21"/>
              </w:rPr>
            </w:pPr>
            <w:r>
              <w:rPr>
                <w:sz w:val="21"/>
              </w:rPr>
              <w:t>除另有约定外，本合同的保险金受益人为被保险人本人。</w:t>
            </w:r>
          </w:p>
        </w:tc>
      </w:tr>
      <w:tr>
        <w:trPr>
          <w:trHeight w:val="1092" w:hRule="atLeast"/>
        </w:trPr>
        <w:tc>
          <w:tcPr>
            <w:tcW w:w="809" w:type="dxa"/>
          </w:tcPr>
          <w:p>
            <w:pPr>
              <w:pStyle w:val="TableParagraph"/>
              <w:spacing w:before="142"/>
              <w:ind w:right="106"/>
              <w:jc w:val="right"/>
              <w:rPr>
                <w:b/>
                <w:sz w:val="21"/>
              </w:rPr>
            </w:pPr>
            <w:r>
              <w:rPr>
                <w:b/>
                <w:sz w:val="21"/>
              </w:rPr>
              <w:t>4.2</w:t>
            </w:r>
          </w:p>
        </w:tc>
        <w:tc>
          <w:tcPr>
            <w:tcW w:w="1527" w:type="dxa"/>
          </w:tcPr>
          <w:p>
            <w:pPr>
              <w:pStyle w:val="TableParagraph"/>
              <w:spacing w:line="273" w:lineRule="auto" w:before="142"/>
              <w:ind w:left="107" w:right="361"/>
              <w:rPr>
                <w:b/>
                <w:sz w:val="21"/>
              </w:rPr>
            </w:pPr>
            <w:r>
              <w:rPr>
                <w:b/>
                <w:sz w:val="21"/>
              </w:rPr>
              <w:t>保险事故通知</w:t>
            </w:r>
          </w:p>
        </w:tc>
        <w:tc>
          <w:tcPr>
            <w:tcW w:w="6537" w:type="dxa"/>
          </w:tcPr>
          <w:p>
            <w:pPr>
              <w:pStyle w:val="TableParagraph"/>
              <w:spacing w:before="142"/>
              <w:ind w:left="-1"/>
              <w:rPr>
                <w:sz w:val="21"/>
              </w:rPr>
            </w:pPr>
            <w:r>
              <w:rPr>
                <w:sz w:val="21"/>
              </w:rPr>
              <w:t>投保人或受益人知道保险事故后应当在 10 日内通知本公司。</w:t>
            </w:r>
          </w:p>
          <w:p>
            <w:pPr>
              <w:pStyle w:val="TableParagraph"/>
              <w:spacing w:before="8"/>
              <w:rPr>
                <w:sz w:val="26"/>
              </w:rPr>
            </w:pPr>
          </w:p>
          <w:p>
            <w:pPr>
              <w:pStyle w:val="TableParagraph"/>
              <w:spacing w:before="1"/>
              <w:ind w:left="-1"/>
              <w:rPr>
                <w:sz w:val="21"/>
              </w:rPr>
            </w:pPr>
            <w:r>
              <w:rPr>
                <w:sz w:val="21"/>
                <w:shd w:fill="D9D9D9" w:color="auto" w:val="clear"/>
              </w:rPr>
              <w:t>如果投保人或受益人故意或者因重大过失未及时通知，致使保险事故的</w:t>
            </w:r>
          </w:p>
        </w:tc>
      </w:tr>
      <w:tr>
        <w:trPr>
          <w:trHeight w:val="1403" w:hRule="atLeast"/>
        </w:trPr>
        <w:tc>
          <w:tcPr>
            <w:tcW w:w="809" w:type="dxa"/>
          </w:tcPr>
          <w:p>
            <w:pPr>
              <w:pStyle w:val="TableParagraph"/>
              <w:rPr>
                <w:rFonts w:ascii="Times New Roman"/>
                <w:sz w:val="20"/>
              </w:rPr>
            </w:pPr>
          </w:p>
        </w:tc>
        <w:tc>
          <w:tcPr>
            <w:tcW w:w="1527" w:type="dxa"/>
          </w:tcPr>
          <w:p>
            <w:pPr>
              <w:pStyle w:val="TableParagraph"/>
              <w:rPr>
                <w:rFonts w:ascii="Times New Roman"/>
                <w:sz w:val="20"/>
              </w:rPr>
            </w:pPr>
          </w:p>
        </w:tc>
        <w:tc>
          <w:tcPr>
            <w:tcW w:w="6537" w:type="dxa"/>
          </w:tcPr>
          <w:p>
            <w:pPr>
              <w:pStyle w:val="TableParagraph"/>
              <w:spacing w:line="261" w:lineRule="exact"/>
              <w:ind w:left="-1"/>
              <w:rPr>
                <w:sz w:val="21"/>
              </w:rPr>
            </w:pPr>
            <w:r>
              <w:rPr>
                <w:sz w:val="21"/>
                <w:shd w:fill="D9D9D9" w:color="auto" w:val="clear"/>
              </w:rPr>
              <w:t>性质、原因、损失程度等难以确定的，本公司对无法确定的部分，不承</w:t>
            </w:r>
          </w:p>
          <w:p>
            <w:pPr>
              <w:pStyle w:val="TableParagraph"/>
              <w:spacing w:line="273" w:lineRule="auto" w:before="37"/>
              <w:ind w:left="-1" w:right="24"/>
              <w:rPr>
                <w:sz w:val="21"/>
              </w:rPr>
            </w:pPr>
            <w:r>
              <w:rPr>
                <w:sz w:val="21"/>
                <w:shd w:fill="D9D9D9" w:color="auto" w:val="clear"/>
              </w:rPr>
              <w:t>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468" w:hRule="atLeast"/>
        </w:trPr>
        <w:tc>
          <w:tcPr>
            <w:tcW w:w="809" w:type="dxa"/>
          </w:tcPr>
          <w:p>
            <w:pPr>
              <w:pStyle w:val="TableParagraph"/>
              <w:spacing w:before="142"/>
              <w:ind w:right="106"/>
              <w:jc w:val="right"/>
              <w:rPr>
                <w:b/>
                <w:sz w:val="21"/>
              </w:rPr>
            </w:pPr>
            <w:r>
              <w:rPr>
                <w:b/>
                <w:sz w:val="21"/>
              </w:rPr>
              <w:t>4.3</w:t>
            </w:r>
          </w:p>
        </w:tc>
        <w:tc>
          <w:tcPr>
            <w:tcW w:w="1527" w:type="dxa"/>
          </w:tcPr>
          <w:p>
            <w:pPr>
              <w:pStyle w:val="TableParagraph"/>
              <w:spacing w:before="142"/>
              <w:ind w:left="107"/>
              <w:rPr>
                <w:b/>
                <w:sz w:val="21"/>
              </w:rPr>
            </w:pPr>
            <w:r>
              <w:rPr>
                <w:b/>
                <w:sz w:val="21"/>
              </w:rPr>
              <w:t>保险金申请</w:t>
            </w:r>
          </w:p>
        </w:tc>
        <w:tc>
          <w:tcPr>
            <w:tcW w:w="6537" w:type="dxa"/>
          </w:tcPr>
          <w:p>
            <w:pPr>
              <w:pStyle w:val="TableParagraph"/>
              <w:spacing w:before="142"/>
              <w:ind w:left="-1"/>
              <w:rPr>
                <w:sz w:val="21"/>
              </w:rPr>
            </w:pPr>
            <w:r>
              <w:rPr>
                <w:sz w:val="21"/>
              </w:rPr>
              <w:t>在申请重大疾病保险金时，申请人须填写保险金给付申请书，并提供下</w:t>
            </w:r>
          </w:p>
        </w:tc>
      </w:tr>
      <w:tr>
        <w:trPr>
          <w:trHeight w:val="311" w:hRule="atLeast"/>
        </w:trPr>
        <w:tc>
          <w:tcPr>
            <w:tcW w:w="809" w:type="dxa"/>
          </w:tcPr>
          <w:p>
            <w:pPr>
              <w:pStyle w:val="TableParagraph"/>
              <w:rPr>
                <w:rFonts w:ascii="Times New Roman"/>
                <w:sz w:val="20"/>
              </w:rPr>
            </w:pPr>
          </w:p>
        </w:tc>
        <w:tc>
          <w:tcPr>
            <w:tcW w:w="1527" w:type="dxa"/>
          </w:tcPr>
          <w:p>
            <w:pPr>
              <w:pStyle w:val="TableParagraph"/>
              <w:rPr>
                <w:rFonts w:ascii="Times New Roman"/>
                <w:sz w:val="20"/>
              </w:rPr>
            </w:pPr>
          </w:p>
        </w:tc>
        <w:tc>
          <w:tcPr>
            <w:tcW w:w="6537" w:type="dxa"/>
          </w:tcPr>
          <w:p>
            <w:pPr>
              <w:pStyle w:val="TableParagraph"/>
              <w:spacing w:line="261" w:lineRule="exact"/>
              <w:ind w:left="-1"/>
              <w:rPr>
                <w:sz w:val="21"/>
              </w:rPr>
            </w:pPr>
            <w:r>
              <w:rPr>
                <w:sz w:val="21"/>
              </w:rPr>
              <w:t>列证明和资料：</w:t>
            </w:r>
          </w:p>
        </w:tc>
      </w:tr>
      <w:tr>
        <w:trPr>
          <w:trHeight w:val="311" w:hRule="atLeast"/>
        </w:trPr>
        <w:tc>
          <w:tcPr>
            <w:tcW w:w="809" w:type="dxa"/>
          </w:tcPr>
          <w:p>
            <w:pPr>
              <w:pStyle w:val="TableParagraph"/>
              <w:rPr>
                <w:rFonts w:ascii="Times New Roman"/>
                <w:sz w:val="20"/>
              </w:rPr>
            </w:pPr>
          </w:p>
        </w:tc>
        <w:tc>
          <w:tcPr>
            <w:tcW w:w="1527" w:type="dxa"/>
          </w:tcPr>
          <w:p>
            <w:pPr>
              <w:pStyle w:val="TableParagraph"/>
              <w:rPr>
                <w:rFonts w:ascii="Times New Roman"/>
                <w:sz w:val="20"/>
              </w:rPr>
            </w:pPr>
          </w:p>
        </w:tc>
        <w:tc>
          <w:tcPr>
            <w:tcW w:w="6537" w:type="dxa"/>
          </w:tcPr>
          <w:p>
            <w:pPr>
              <w:pStyle w:val="TableParagraph"/>
              <w:spacing w:line="261" w:lineRule="exact"/>
              <w:ind w:left="-1"/>
              <w:rPr>
                <w:sz w:val="21"/>
              </w:rPr>
            </w:pPr>
            <w:r>
              <w:rPr>
                <w:sz w:val="21"/>
              </w:rPr>
              <w:t>（1）保险合同或其他保险凭证；</w:t>
            </w:r>
          </w:p>
        </w:tc>
      </w:tr>
      <w:tr>
        <w:trPr>
          <w:trHeight w:val="261" w:hRule="atLeast"/>
        </w:trPr>
        <w:tc>
          <w:tcPr>
            <w:tcW w:w="809" w:type="dxa"/>
          </w:tcPr>
          <w:p>
            <w:pPr>
              <w:pStyle w:val="TableParagraph"/>
              <w:rPr>
                <w:rFonts w:ascii="Times New Roman"/>
                <w:sz w:val="18"/>
              </w:rPr>
            </w:pPr>
          </w:p>
        </w:tc>
        <w:tc>
          <w:tcPr>
            <w:tcW w:w="1527" w:type="dxa"/>
          </w:tcPr>
          <w:p>
            <w:pPr>
              <w:pStyle w:val="TableParagraph"/>
              <w:rPr>
                <w:rFonts w:ascii="Times New Roman"/>
                <w:sz w:val="18"/>
              </w:rPr>
            </w:pPr>
          </w:p>
        </w:tc>
        <w:tc>
          <w:tcPr>
            <w:tcW w:w="6537" w:type="dxa"/>
          </w:tcPr>
          <w:p>
            <w:pPr>
              <w:pStyle w:val="TableParagraph"/>
              <w:spacing w:line="242" w:lineRule="exact"/>
              <w:ind w:left="-1"/>
              <w:rPr>
                <w:sz w:val="21"/>
              </w:rPr>
            </w:pPr>
            <w:r>
              <w:rPr>
                <w:w w:val="100"/>
                <w:sz w:val="21"/>
              </w:rPr>
              <w:t>（2</w:t>
            </w:r>
            <w:r>
              <w:rPr>
                <w:spacing w:val="-3"/>
                <w:w w:val="100"/>
                <w:sz w:val="21"/>
              </w:rPr>
              <w:t>）</w:t>
            </w:r>
            <w:r>
              <w:rPr>
                <w:spacing w:val="-2"/>
                <w:w w:val="100"/>
                <w:sz w:val="21"/>
              </w:rPr>
              <w:t>申请人的</w:t>
            </w:r>
            <w:r>
              <w:rPr>
                <w:b/>
                <w:w w:val="100"/>
                <w:sz w:val="21"/>
              </w:rPr>
              <w:t>有效身份证件</w:t>
            </w:r>
            <w:r>
              <w:rPr>
                <w:spacing w:val="-3"/>
                <w:w w:val="100"/>
                <w:sz w:val="21"/>
              </w:rPr>
              <w:t>（</w:t>
            </w:r>
            <w:r>
              <w:rPr>
                <w:w w:val="100"/>
                <w:sz w:val="21"/>
              </w:rPr>
              <w:t>见9.1</w:t>
            </w:r>
            <w:r>
              <w:rPr>
                <w:spacing w:val="-3"/>
                <w:w w:val="100"/>
                <w:sz w:val="21"/>
              </w:rPr>
              <w:t>7</w:t>
            </w:r>
            <w:r>
              <w:rPr>
                <w:spacing w:val="-106"/>
                <w:w w:val="100"/>
                <w:sz w:val="21"/>
              </w:rPr>
              <w:t>）；</w:t>
            </w:r>
          </w:p>
        </w:tc>
      </w:tr>
    </w:tbl>
    <w:p>
      <w:pPr>
        <w:spacing w:after="0" w:line="242" w:lineRule="exact"/>
        <w:rPr>
          <w:sz w:val="21"/>
        </w:rPr>
        <w:sectPr>
          <w:pgSz w:w="11910" w:h="16840"/>
          <w:pgMar w:top="1400" w:bottom="280" w:left="1400" w:right="14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346"/>
        <w:gridCol w:w="6721"/>
      </w:tblGrid>
      <w:tr>
        <w:trPr>
          <w:trHeight w:val="2290" w:hRule="atLeast"/>
        </w:trPr>
        <w:tc>
          <w:tcPr>
            <w:tcW w:w="809" w:type="dxa"/>
          </w:tcPr>
          <w:p>
            <w:pPr>
              <w:pStyle w:val="TableParagraph"/>
              <w:rPr>
                <w:rFonts w:ascii="Times New Roman"/>
                <w:sz w:val="20"/>
              </w:rPr>
            </w:pPr>
          </w:p>
        </w:tc>
        <w:tc>
          <w:tcPr>
            <w:tcW w:w="1346" w:type="dxa"/>
          </w:tcPr>
          <w:p>
            <w:pPr>
              <w:pStyle w:val="TableParagraph"/>
              <w:rPr>
                <w:rFonts w:ascii="Times New Roman"/>
                <w:sz w:val="20"/>
              </w:rPr>
            </w:pPr>
          </w:p>
        </w:tc>
        <w:tc>
          <w:tcPr>
            <w:tcW w:w="6721" w:type="dxa"/>
          </w:tcPr>
          <w:p>
            <w:pPr>
              <w:pStyle w:val="TableParagraph"/>
              <w:spacing w:line="211" w:lineRule="exact"/>
              <w:ind w:left="180"/>
              <w:rPr>
                <w:sz w:val="21"/>
              </w:rPr>
            </w:pPr>
            <w:r>
              <w:rPr>
                <w:sz w:val="21"/>
              </w:rPr>
              <w:t>（3）医疗机构出具的附有病理显微镜检查、血液检验及其它科学方法</w:t>
            </w:r>
          </w:p>
          <w:p>
            <w:pPr>
              <w:pStyle w:val="TableParagraph"/>
              <w:spacing w:before="37"/>
              <w:ind w:left="691"/>
              <w:rPr>
                <w:sz w:val="21"/>
              </w:rPr>
            </w:pPr>
            <w:r>
              <w:rPr>
                <w:sz w:val="21"/>
              </w:rPr>
              <w:t>检验报告的疾病诊断证明书；</w:t>
            </w:r>
          </w:p>
          <w:p>
            <w:pPr>
              <w:pStyle w:val="TableParagraph"/>
              <w:spacing w:line="273" w:lineRule="auto" w:before="37"/>
              <w:ind w:left="691" w:right="108" w:hanging="512"/>
              <w:rPr>
                <w:sz w:val="21"/>
              </w:rPr>
            </w:pPr>
            <w:r>
              <w:rPr>
                <w:sz w:val="21"/>
              </w:rPr>
              <w:t>（4）所能提供的与确认保险事故的性质、原因等有关的其它证明和资料。</w:t>
            </w:r>
          </w:p>
          <w:p>
            <w:pPr>
              <w:pStyle w:val="TableParagraph"/>
              <w:spacing w:before="5"/>
              <w:rPr>
                <w:sz w:val="24"/>
              </w:rPr>
            </w:pPr>
          </w:p>
          <w:p>
            <w:pPr>
              <w:pStyle w:val="TableParagraph"/>
              <w:spacing w:line="273" w:lineRule="auto"/>
              <w:ind w:left="180" w:right="105"/>
              <w:rPr>
                <w:sz w:val="21"/>
              </w:rPr>
            </w:pPr>
            <w:r>
              <w:rPr>
                <w:spacing w:val="-10"/>
                <w:sz w:val="21"/>
              </w:rPr>
              <w:t>以上证明和资料不完整的，本公司将及时一次性通知申请人补充提供有</w:t>
            </w:r>
            <w:r>
              <w:rPr>
                <w:spacing w:val="-5"/>
                <w:sz w:val="21"/>
              </w:rPr>
              <w:t>关证明和资料。</w:t>
            </w:r>
          </w:p>
        </w:tc>
      </w:tr>
      <w:tr>
        <w:trPr>
          <w:trHeight w:val="5929" w:hRule="atLeast"/>
        </w:trPr>
        <w:tc>
          <w:tcPr>
            <w:tcW w:w="809" w:type="dxa"/>
          </w:tcPr>
          <w:p>
            <w:pPr>
              <w:pStyle w:val="TableParagraph"/>
              <w:spacing w:before="142"/>
              <w:ind w:right="106"/>
              <w:jc w:val="right"/>
              <w:rPr>
                <w:b/>
                <w:sz w:val="21"/>
              </w:rPr>
            </w:pPr>
            <w:r>
              <w:rPr>
                <w:b/>
                <w:sz w:val="21"/>
              </w:rPr>
              <w:t>4.4</w:t>
            </w:r>
          </w:p>
        </w:tc>
        <w:tc>
          <w:tcPr>
            <w:tcW w:w="1346" w:type="dxa"/>
          </w:tcPr>
          <w:p>
            <w:pPr>
              <w:pStyle w:val="TableParagraph"/>
              <w:spacing w:before="142"/>
              <w:ind w:left="107"/>
              <w:rPr>
                <w:b/>
                <w:sz w:val="21"/>
              </w:rPr>
            </w:pPr>
            <w:r>
              <w:rPr>
                <w:b/>
                <w:sz w:val="21"/>
              </w:rPr>
              <w:t>保险金给付</w:t>
            </w:r>
          </w:p>
        </w:tc>
        <w:tc>
          <w:tcPr>
            <w:tcW w:w="6721" w:type="dxa"/>
          </w:tcPr>
          <w:p>
            <w:pPr>
              <w:pStyle w:val="TableParagraph"/>
              <w:spacing w:before="142"/>
              <w:ind w:left="180"/>
              <w:rPr>
                <w:sz w:val="21"/>
              </w:rPr>
            </w:pPr>
            <w:r>
              <w:rPr>
                <w:sz w:val="21"/>
              </w:rPr>
              <w:t>本公司在收到保险金给付申请书及合同约定的证明和资料后，将在 5</w:t>
            </w:r>
          </w:p>
          <w:p>
            <w:pPr>
              <w:pStyle w:val="TableParagraph"/>
              <w:spacing w:line="273" w:lineRule="auto" w:before="36"/>
              <w:ind w:left="180" w:right="105"/>
              <w:jc w:val="both"/>
              <w:rPr>
                <w:sz w:val="21"/>
              </w:rPr>
            </w:pPr>
            <w:r>
              <w:rPr>
                <w:spacing w:val="-5"/>
                <w:sz w:val="21"/>
              </w:rPr>
              <w:t>日内作出核定；情形复杂的，在 </w:t>
            </w:r>
            <w:r>
              <w:rPr>
                <w:sz w:val="21"/>
              </w:rPr>
              <w:t>30</w:t>
            </w:r>
            <w:r>
              <w:rPr>
                <w:spacing w:val="-7"/>
                <w:sz w:val="21"/>
              </w:rPr>
              <w:t> 日内作出核定，但因第三方责任或</w:t>
            </w:r>
            <w:r>
              <w:rPr>
                <w:spacing w:val="-3"/>
                <w:sz w:val="21"/>
              </w:rPr>
              <w:t>其他非本公司的责任导致保险事故的性质、金额无法确定的除外。</w:t>
            </w:r>
          </w:p>
          <w:p>
            <w:pPr>
              <w:pStyle w:val="TableParagraph"/>
              <w:spacing w:before="5"/>
              <w:rPr>
                <w:sz w:val="24"/>
              </w:rPr>
            </w:pPr>
          </w:p>
          <w:p>
            <w:pPr>
              <w:pStyle w:val="TableParagraph"/>
              <w:spacing w:line="273" w:lineRule="auto"/>
              <w:ind w:left="180" w:right="104"/>
              <w:jc w:val="both"/>
              <w:rPr>
                <w:sz w:val="21"/>
              </w:rPr>
            </w:pPr>
            <w:r>
              <w:rPr>
                <w:spacing w:val="-4"/>
                <w:sz w:val="21"/>
              </w:rPr>
              <w:t>对属于保险责任的，本公司在与受益人达成给付保险金的协议后 </w:t>
            </w:r>
            <w:r>
              <w:rPr>
                <w:sz w:val="21"/>
              </w:rPr>
              <w:t>10</w:t>
            </w:r>
            <w:r>
              <w:rPr>
                <w:spacing w:val="-14"/>
                <w:sz w:val="21"/>
              </w:rPr>
              <w:t> 日</w:t>
            </w:r>
            <w:r>
              <w:rPr>
                <w:spacing w:val="-7"/>
                <w:sz w:val="21"/>
              </w:rPr>
              <w:t>内，履行给付保险金义务。</w:t>
            </w:r>
          </w:p>
          <w:p>
            <w:pPr>
              <w:pStyle w:val="TableParagraph"/>
              <w:spacing w:before="5"/>
              <w:rPr>
                <w:sz w:val="24"/>
              </w:rPr>
            </w:pPr>
          </w:p>
          <w:p>
            <w:pPr>
              <w:pStyle w:val="TableParagraph"/>
              <w:spacing w:line="273" w:lineRule="auto"/>
              <w:ind w:left="180" w:right="107"/>
              <w:jc w:val="both"/>
              <w:rPr>
                <w:sz w:val="21"/>
              </w:rPr>
            </w:pPr>
            <w:r>
              <w:rPr>
                <w:spacing w:val="-8"/>
                <w:sz w:val="21"/>
              </w:rPr>
              <w:t>若本公司未及时履行前款规定义务，对属于保险责任的，除支付保险金</w:t>
            </w:r>
            <w:r>
              <w:rPr>
                <w:spacing w:val="-11"/>
                <w:sz w:val="21"/>
              </w:rPr>
              <w:t>外，我们将赔偿受益人因此受到的利息损失。利息损失指根据中国人民</w:t>
            </w:r>
            <w:r>
              <w:rPr>
                <w:sz w:val="21"/>
              </w:rPr>
              <w:t>银行最近一次已公布的同期的人民币活期存款基准利率计算的利息损失。</w:t>
            </w:r>
          </w:p>
          <w:p>
            <w:pPr>
              <w:pStyle w:val="TableParagraph"/>
              <w:spacing w:before="5"/>
              <w:rPr>
                <w:sz w:val="24"/>
              </w:rPr>
            </w:pPr>
          </w:p>
          <w:p>
            <w:pPr>
              <w:pStyle w:val="TableParagraph"/>
              <w:spacing w:line="273" w:lineRule="auto"/>
              <w:ind w:left="180" w:right="104"/>
              <w:jc w:val="both"/>
              <w:rPr>
                <w:sz w:val="21"/>
              </w:rPr>
            </w:pPr>
            <w:r>
              <w:rPr>
                <w:spacing w:val="-13"/>
                <w:sz w:val="21"/>
              </w:rPr>
              <w:t>对不属于保险责任的，本公司自作出核定之日起 </w:t>
            </w:r>
            <w:r>
              <w:rPr>
                <w:sz w:val="21"/>
              </w:rPr>
              <w:t>3</w:t>
            </w:r>
            <w:r>
              <w:rPr>
                <w:spacing w:val="-8"/>
                <w:sz w:val="21"/>
              </w:rPr>
              <w:t> 日内向受益人发出拒</w:t>
            </w:r>
            <w:r>
              <w:rPr>
                <w:spacing w:val="-5"/>
                <w:sz w:val="21"/>
              </w:rPr>
              <w:t>绝给付保险金通知书并说明理由。</w:t>
            </w:r>
          </w:p>
          <w:p>
            <w:pPr>
              <w:pStyle w:val="TableParagraph"/>
              <w:spacing w:before="5"/>
              <w:rPr>
                <w:sz w:val="24"/>
              </w:rPr>
            </w:pPr>
          </w:p>
          <w:p>
            <w:pPr>
              <w:pStyle w:val="TableParagraph"/>
              <w:spacing w:line="273" w:lineRule="auto"/>
              <w:ind w:left="180" w:right="105"/>
              <w:jc w:val="both"/>
              <w:rPr>
                <w:sz w:val="21"/>
              </w:rPr>
            </w:pPr>
            <w:r>
              <w:rPr>
                <w:spacing w:val="-4"/>
                <w:sz w:val="21"/>
              </w:rPr>
              <w:t>本公司在收到保险金给付申请书及有关证明和资料之日起 </w:t>
            </w:r>
            <w:r>
              <w:rPr>
                <w:sz w:val="21"/>
              </w:rPr>
              <w:t>60</w:t>
            </w:r>
            <w:r>
              <w:rPr>
                <w:spacing w:val="-8"/>
                <w:sz w:val="21"/>
              </w:rPr>
              <w:t> 日内，对</w:t>
            </w:r>
            <w:r>
              <w:rPr>
                <w:spacing w:val="-11"/>
                <w:sz w:val="21"/>
              </w:rPr>
              <w:t>给付保险金的数额不能确定的，根据已有证明和资料可以确定的数额先</w:t>
            </w:r>
            <w:r>
              <w:rPr>
                <w:spacing w:val="-3"/>
                <w:sz w:val="21"/>
              </w:rPr>
              <w:t>予支付；本公司最终确定给付保险金的数额后，将支付相应的差额。</w:t>
            </w:r>
          </w:p>
        </w:tc>
      </w:tr>
      <w:tr>
        <w:trPr>
          <w:trHeight w:val="960" w:hRule="atLeast"/>
        </w:trPr>
        <w:tc>
          <w:tcPr>
            <w:tcW w:w="809" w:type="dxa"/>
          </w:tcPr>
          <w:p>
            <w:pPr>
              <w:pStyle w:val="TableParagraph"/>
              <w:spacing w:before="142"/>
              <w:ind w:right="106"/>
              <w:jc w:val="right"/>
              <w:rPr>
                <w:b/>
                <w:sz w:val="21"/>
              </w:rPr>
            </w:pPr>
            <w:r>
              <w:rPr>
                <w:b/>
                <w:sz w:val="21"/>
              </w:rPr>
              <w:t>4.5</w:t>
            </w:r>
          </w:p>
        </w:tc>
        <w:tc>
          <w:tcPr>
            <w:tcW w:w="1346" w:type="dxa"/>
          </w:tcPr>
          <w:p>
            <w:pPr>
              <w:pStyle w:val="TableParagraph"/>
              <w:spacing w:before="142"/>
              <w:ind w:left="107"/>
              <w:rPr>
                <w:b/>
                <w:sz w:val="21"/>
              </w:rPr>
            </w:pPr>
            <w:r>
              <w:rPr>
                <w:b/>
                <w:sz w:val="21"/>
              </w:rPr>
              <w:t>诉讼时效</w:t>
            </w:r>
          </w:p>
        </w:tc>
        <w:tc>
          <w:tcPr>
            <w:tcW w:w="6721" w:type="dxa"/>
          </w:tcPr>
          <w:p>
            <w:pPr>
              <w:pStyle w:val="TableParagraph"/>
              <w:spacing w:line="273" w:lineRule="auto" w:before="142"/>
              <w:ind w:left="180" w:right="105"/>
              <w:rPr>
                <w:sz w:val="21"/>
              </w:rPr>
            </w:pPr>
            <w:r>
              <w:rPr>
                <w:spacing w:val="-5"/>
                <w:sz w:val="21"/>
              </w:rPr>
              <w:t>受益人向本公司请求给付保险金的诉讼时效期间为 </w:t>
            </w:r>
            <w:r>
              <w:rPr>
                <w:sz w:val="21"/>
              </w:rPr>
              <w:t>2</w:t>
            </w:r>
            <w:r>
              <w:rPr>
                <w:spacing w:val="-17"/>
                <w:sz w:val="21"/>
              </w:rPr>
              <w:t> 年，自其知道或应</w:t>
            </w:r>
            <w:r>
              <w:rPr>
                <w:spacing w:val="-7"/>
                <w:sz w:val="21"/>
              </w:rPr>
              <w:t>当知道保险事故发生之日起计算。</w:t>
            </w:r>
          </w:p>
        </w:tc>
      </w:tr>
      <w:tr>
        <w:trPr>
          <w:trHeight w:val="753" w:hRule="atLeast"/>
        </w:trPr>
        <w:tc>
          <w:tcPr>
            <w:tcW w:w="809" w:type="dxa"/>
            <w:tcBorders>
              <w:bottom w:val="single" w:sz="4" w:space="0" w:color="000000"/>
            </w:tcBorders>
          </w:tcPr>
          <w:p>
            <w:pPr>
              <w:pStyle w:val="TableParagraph"/>
              <w:spacing w:before="194"/>
              <w:ind w:right="106"/>
              <w:jc w:val="right"/>
              <w:rPr>
                <w:rFonts w:ascii="Arial" w:hAnsi="Arial"/>
                <w:b/>
                <w:sz w:val="40"/>
              </w:rPr>
            </w:pPr>
            <w:r>
              <w:rPr>
                <w:rFonts w:ascii="Arial" w:hAnsi="Arial"/>
                <w:b/>
                <w:w w:val="119"/>
                <w:sz w:val="40"/>
              </w:rPr>
              <w:t></w:t>
            </w:r>
          </w:p>
        </w:tc>
        <w:tc>
          <w:tcPr>
            <w:tcW w:w="8067" w:type="dxa"/>
            <w:gridSpan w:val="2"/>
            <w:tcBorders>
              <w:bottom w:val="single" w:sz="4" w:space="0" w:color="000000"/>
            </w:tcBorders>
          </w:tcPr>
          <w:p>
            <w:pPr>
              <w:pStyle w:val="TableParagraph"/>
              <w:spacing w:before="10"/>
              <w:rPr>
                <w:sz w:val="18"/>
              </w:rPr>
            </w:pPr>
          </w:p>
          <w:p>
            <w:pPr>
              <w:pStyle w:val="TableParagraph"/>
              <w:ind w:left="107"/>
              <w:rPr>
                <w:b/>
                <w:sz w:val="24"/>
              </w:rPr>
            </w:pPr>
            <w:r>
              <w:rPr>
                <w:b/>
                <w:w w:val="95"/>
                <w:sz w:val="24"/>
              </w:rPr>
              <w:t>被保险人变动</w:t>
            </w:r>
          </w:p>
        </w:tc>
      </w:tr>
      <w:tr>
        <w:trPr>
          <w:trHeight w:val="4321" w:hRule="atLeast"/>
        </w:trPr>
        <w:tc>
          <w:tcPr>
            <w:tcW w:w="809" w:type="dxa"/>
            <w:tcBorders>
              <w:top w:val="single" w:sz="4" w:space="0" w:color="000000"/>
            </w:tcBorders>
          </w:tcPr>
          <w:p>
            <w:pPr>
              <w:pStyle w:val="TableParagraph"/>
              <w:rPr>
                <w:sz w:val="23"/>
              </w:rPr>
            </w:pPr>
          </w:p>
          <w:p>
            <w:pPr>
              <w:pStyle w:val="TableParagraph"/>
              <w:ind w:right="106"/>
              <w:jc w:val="right"/>
              <w:rPr>
                <w:b/>
                <w:sz w:val="21"/>
              </w:rPr>
            </w:pPr>
            <w:r>
              <w:rPr>
                <w:b/>
                <w:sz w:val="21"/>
              </w:rPr>
              <w:t>5.1</w:t>
            </w:r>
          </w:p>
        </w:tc>
        <w:tc>
          <w:tcPr>
            <w:tcW w:w="1346" w:type="dxa"/>
            <w:tcBorders>
              <w:top w:val="single" w:sz="4" w:space="0" w:color="000000"/>
            </w:tcBorders>
          </w:tcPr>
          <w:p>
            <w:pPr>
              <w:pStyle w:val="TableParagraph"/>
              <w:rPr>
                <w:sz w:val="23"/>
              </w:rPr>
            </w:pPr>
          </w:p>
          <w:p>
            <w:pPr>
              <w:pStyle w:val="TableParagraph"/>
              <w:spacing w:line="273" w:lineRule="auto"/>
              <w:ind w:left="107" w:right="180"/>
              <w:rPr>
                <w:b/>
                <w:sz w:val="21"/>
              </w:rPr>
            </w:pPr>
            <w:r>
              <w:rPr>
                <w:b/>
                <w:sz w:val="21"/>
              </w:rPr>
              <w:t>被保险人变动</w:t>
            </w:r>
          </w:p>
        </w:tc>
        <w:tc>
          <w:tcPr>
            <w:tcW w:w="6721" w:type="dxa"/>
            <w:tcBorders>
              <w:top w:val="single" w:sz="4" w:space="0" w:color="000000"/>
            </w:tcBorders>
          </w:tcPr>
          <w:p>
            <w:pPr>
              <w:pStyle w:val="TableParagraph"/>
              <w:rPr>
                <w:sz w:val="23"/>
              </w:rPr>
            </w:pPr>
          </w:p>
          <w:p>
            <w:pPr>
              <w:pStyle w:val="TableParagraph"/>
              <w:spacing w:line="273" w:lineRule="auto"/>
              <w:ind w:left="180" w:right="23"/>
              <w:rPr>
                <w:sz w:val="21"/>
              </w:rPr>
            </w:pPr>
            <w:r>
              <w:rPr>
                <w:spacing w:val="-11"/>
                <w:sz w:val="21"/>
              </w:rPr>
              <w:t>在保险合同有效期内，投保人因参加本保险的团体成员变动需要增加被</w:t>
            </w:r>
            <w:r>
              <w:rPr>
                <w:spacing w:val="-12"/>
                <w:sz w:val="21"/>
              </w:rPr>
              <w:t>保险人的，应书面通知本公司，本公司审核同意并收取保险费后，于批</w:t>
            </w:r>
            <w:r>
              <w:rPr>
                <w:spacing w:val="-6"/>
                <w:sz w:val="21"/>
              </w:rPr>
              <w:t>注凭证载明的生效日零时起对该新增加的被保险人开始承担保险责任。</w:t>
            </w:r>
            <w:r>
              <w:rPr>
                <w:spacing w:val="-4"/>
                <w:sz w:val="21"/>
              </w:rPr>
              <w:t>新增加被保险人的保险期间届满日与本合同的保险期间届满日相同。</w:t>
            </w:r>
          </w:p>
          <w:p>
            <w:pPr>
              <w:pStyle w:val="TableParagraph"/>
              <w:spacing w:before="4"/>
              <w:rPr>
                <w:sz w:val="24"/>
              </w:rPr>
            </w:pPr>
          </w:p>
          <w:p>
            <w:pPr>
              <w:pStyle w:val="TableParagraph"/>
              <w:spacing w:line="273" w:lineRule="auto" w:before="1"/>
              <w:ind w:left="180" w:right="1"/>
              <w:rPr>
                <w:sz w:val="21"/>
              </w:rPr>
            </w:pPr>
            <w:r>
              <w:rPr>
                <w:spacing w:val="-5"/>
                <w:sz w:val="21"/>
                <w:shd w:fill="D9D9D9" w:color="auto" w:val="clear"/>
              </w:rPr>
              <w:t>在保险合同有效期内，投保人因参加本保险的团体成员</w:t>
            </w:r>
            <w:r>
              <w:rPr>
                <w:b/>
                <w:spacing w:val="-8"/>
                <w:sz w:val="21"/>
                <w:shd w:fill="D9D9D9" w:color="auto" w:val="clear"/>
              </w:rPr>
              <w:t>离职</w:t>
            </w:r>
            <w:r>
              <w:rPr>
                <w:spacing w:val="-3"/>
                <w:sz w:val="21"/>
                <w:shd w:fill="D9D9D9" w:color="auto" w:val="clear"/>
              </w:rPr>
              <w:t>（</w:t>
            </w:r>
            <w:r>
              <w:rPr>
                <w:spacing w:val="-14"/>
                <w:sz w:val="21"/>
                <w:shd w:fill="D9D9D9" w:color="auto" w:val="clear"/>
              </w:rPr>
              <w:t>见 </w:t>
            </w:r>
            <w:r>
              <w:rPr>
                <w:sz w:val="21"/>
                <w:shd w:fill="D9D9D9" w:color="auto" w:val="clear"/>
              </w:rPr>
              <w:t>9.18） 或丧</w:t>
            </w:r>
            <w:r>
              <w:rPr>
                <w:spacing w:val="-20"/>
                <w:sz w:val="21"/>
                <w:shd w:fill="D9D9D9" w:color="auto" w:val="clear"/>
              </w:rPr>
              <w:t>失成员资格需减少被保险人的，应书面通知本公司，本公司对相应被</w:t>
            </w:r>
            <w:r>
              <w:rPr>
                <w:spacing w:val="-6"/>
                <w:sz w:val="21"/>
                <w:shd w:fill="D9D9D9" w:color="auto" w:val="clear"/>
              </w:rPr>
              <w:t>保险人的保险责任自团体成员离职或丧失成员资格次日零时起终止。对</w:t>
            </w:r>
            <w:r>
              <w:rPr>
                <w:spacing w:val="-10"/>
                <w:sz w:val="21"/>
                <w:shd w:fill="D9D9D9" w:color="auto" w:val="clear"/>
              </w:rPr>
              <w:t>于未发生本合同约定保险事故的，本公司向投保人退还该被保险人对应</w:t>
            </w:r>
            <w:r>
              <w:rPr>
                <w:spacing w:val="-11"/>
                <w:sz w:val="21"/>
                <w:shd w:fill="D9D9D9" w:color="auto" w:val="clear"/>
              </w:rPr>
              <w:t>的现金价值；对于已发生本合同约定保险事故的，本公司不退还现金价值。</w:t>
            </w:r>
          </w:p>
          <w:p>
            <w:pPr>
              <w:pStyle w:val="TableParagraph"/>
              <w:spacing w:before="5"/>
              <w:rPr>
                <w:sz w:val="24"/>
              </w:rPr>
            </w:pPr>
          </w:p>
          <w:p>
            <w:pPr>
              <w:pStyle w:val="TableParagraph"/>
              <w:spacing w:line="255" w:lineRule="exact"/>
              <w:ind w:left="180"/>
              <w:rPr>
                <w:sz w:val="21"/>
              </w:rPr>
            </w:pPr>
            <w:r>
              <w:rPr>
                <w:sz w:val="21"/>
                <w:shd w:fill="D9D9D9" w:color="auto" w:val="clear"/>
              </w:rPr>
              <w:t>本合同的被保险人人数少于投保人团体具有参加本保险资格总人数的</w:t>
            </w:r>
          </w:p>
        </w:tc>
      </w:tr>
    </w:tbl>
    <w:p>
      <w:pPr>
        <w:spacing w:after="0" w:line="255" w:lineRule="exact"/>
        <w:rPr>
          <w:sz w:val="21"/>
        </w:rPr>
        <w:sectPr>
          <w:pgSz w:w="11910" w:h="16840"/>
          <w:pgMar w:top="1160" w:bottom="280" w:left="1400" w:right="1400"/>
        </w:sectPr>
      </w:pPr>
    </w:p>
    <w:p>
      <w:pPr>
        <w:pStyle w:val="BodyText"/>
        <w:spacing w:before="0"/>
        <w:ind w:left="0"/>
        <w:rPr>
          <w:sz w:val="24"/>
        </w:rPr>
      </w:pPr>
    </w:p>
    <w:p>
      <w:pPr>
        <w:pStyle w:val="BodyText"/>
        <w:spacing w:before="0"/>
        <w:ind w:left="0"/>
        <w:rPr>
          <w:sz w:val="24"/>
        </w:rPr>
      </w:pPr>
    </w:p>
    <w:p>
      <w:pPr>
        <w:pStyle w:val="BodyText"/>
        <w:spacing w:before="4"/>
        <w:ind w:left="0"/>
        <w:rPr>
          <w:sz w:val="23"/>
        </w:rPr>
      </w:pPr>
    </w:p>
    <w:p>
      <w:pPr>
        <w:spacing w:line="237" w:lineRule="auto" w:before="0"/>
        <w:ind w:left="1034" w:right="0" w:firstLine="0"/>
        <w:jc w:val="left"/>
        <w:rPr>
          <w:b/>
          <w:sz w:val="24"/>
        </w:rPr>
      </w:pPr>
      <w:r>
        <w:rPr/>
        <w:pict>
          <v:shapetype id="_x0000_t202" o:spt="202" coordsize="21600,21600" path="m,l,21600r21600,l21600,xe">
            <v:stroke joinstyle="miter"/>
            <v:path gradientshapeok="t" o:connecttype="rect"/>
          </v:shapetype>
          <v:shape style="position:absolute;margin-left:93.024002pt;margin-top:6.919651pt;width:17.9pt;height:21.15pt;mso-position-horizontal-relative:page;mso-position-vertical-relative:paragraph;z-index:1144" type="#_x0000_t202" filled="false" stroked="false">
            <v:textbox inset="0,0,0,0">
              <w:txbxContent>
                <w:p>
                  <w:pPr>
                    <w:spacing w:line="423" w:lineRule="exact" w:before="0"/>
                    <w:ind w:left="0" w:right="0" w:firstLine="0"/>
                    <w:jc w:val="left"/>
                    <w:rPr>
                      <w:rFonts w:ascii="Arial" w:hAnsi="Arial"/>
                      <w:b/>
                      <w:sz w:val="40"/>
                    </w:rPr>
                  </w:pPr>
                  <w:r>
                    <w:rPr>
                      <w:rFonts w:ascii="Arial" w:hAnsi="Arial"/>
                      <w:b/>
                      <w:w w:val="119"/>
                      <w:sz w:val="40"/>
                    </w:rPr>
                    <w:t></w:t>
                  </w:r>
                </w:p>
              </w:txbxContent>
            </v:textbox>
            <w10:wrap type="none"/>
          </v:shape>
        </w:pict>
      </w:r>
      <w:r>
        <w:rPr>
          <w:b/>
          <w:sz w:val="24"/>
        </w:rPr>
        <w:t>危险变更通知</w:t>
      </w:r>
    </w:p>
    <w:p>
      <w:pPr>
        <w:pStyle w:val="BodyText"/>
        <w:spacing w:line="273" w:lineRule="auto" w:before="22"/>
        <w:ind w:left="414" w:right="220"/>
      </w:pPr>
      <w:r>
        <w:rPr/>
        <w:br w:type="column"/>
      </w:r>
      <w:r>
        <w:rPr>
          <w:shd w:fill="D9D9D9" w:color="auto" w:val="clear"/>
        </w:rPr>
        <w:t>75%</w:t>
      </w:r>
      <w:r>
        <w:rPr>
          <w:spacing w:val="-3"/>
          <w:shd w:fill="D9D9D9" w:color="auto" w:val="clear"/>
        </w:rPr>
        <w:t>时，本公司有权解除本合同，并向投保人退还本合同项下未发生本合同</w:t>
      </w:r>
      <w:r>
        <w:rPr>
          <w:spacing w:val="-212"/>
          <w:shd w:fill="D9D9D9" w:color="auto" w:val="clear"/>
        </w:rPr>
        <w:t>约</w:t>
      </w:r>
      <w:r>
        <w:rPr>
          <w:spacing w:val="-3"/>
          <w:shd w:fill="D9D9D9" w:color="auto" w:val="clear"/>
        </w:rPr>
        <w:t>定保险事故的各被保险人名下的现金价值。</w:t>
      </w:r>
    </w:p>
    <w:p>
      <w:pPr>
        <w:spacing w:after="0" w:line="273" w:lineRule="auto"/>
        <w:sectPr>
          <w:pgSz w:w="11910" w:h="16840"/>
          <w:pgMar w:top="1080" w:bottom="280" w:left="1400" w:right="1400"/>
          <w:cols w:num="2" w:equalWidth="0">
            <w:col w:w="1999" w:space="40"/>
            <w:col w:w="7071"/>
          </w:cols>
        </w:sectPr>
      </w:pPr>
    </w:p>
    <w:p>
      <w:pPr>
        <w:pStyle w:val="BodyText"/>
        <w:spacing w:before="11"/>
        <w:ind w:left="0"/>
        <w:rPr>
          <w:sz w:val="2"/>
        </w:rPr>
      </w:pPr>
    </w:p>
    <w:p>
      <w:pPr>
        <w:pStyle w:val="BodyText"/>
        <w:spacing w:line="20" w:lineRule="exact" w:before="0"/>
        <w:ind w:left="112"/>
        <w:rPr>
          <w:sz w:val="2"/>
        </w:rPr>
      </w:pPr>
      <w:r>
        <w:rPr>
          <w:rFonts w:ascii="Times New Roman"/>
          <w:spacing w:val="5"/>
          <w:sz w:val="2"/>
        </w:rPr>
        <w:t> </w:t>
      </w:r>
      <w:r>
        <w:rPr>
          <w:spacing w:val="5"/>
          <w:sz w:val="2"/>
        </w:rPr>
        <w:pict>
          <v:group style="width:443.65pt;height:.5pt;mso-position-horizontal-relative:char;mso-position-vertical-relative:line" coordorigin="0,0" coordsize="8873,10">
            <v:line style="position:absolute" from="0,5" to="806,5" stroked="true" strokeweight=".48pt" strokecolor="#000000">
              <v:stroke dashstyle="solid"/>
            </v:line>
            <v:rect style="position:absolute;left:806;top:0;width:10;height:10" filled="true" fillcolor="#000000" stroked="false">
              <v:fill type="solid"/>
            </v:rect>
            <v:line style="position:absolute" from="816,5" to="2228,5" stroked="true" strokeweight=".48pt" strokecolor="#000000">
              <v:stroke dashstyle="solid"/>
            </v:line>
            <v:rect style="position:absolute;left:2227;top:0;width:10;height:10" filled="true" fillcolor="#000000" stroked="false">
              <v:fill type="solid"/>
            </v:rect>
            <v:line style="position:absolute" from="2237,5" to="8872,5" stroked="true" strokeweight=".48pt" strokecolor="#000000">
              <v:stroke dashstyle="solid"/>
            </v:line>
          </v:group>
        </w:pict>
      </w:r>
      <w:r>
        <w:rPr>
          <w:spacing w:val="5"/>
          <w:sz w:val="2"/>
        </w:rPr>
      </w:r>
    </w:p>
    <w:p>
      <w:pPr>
        <w:pStyle w:val="BodyText"/>
        <w:spacing w:before="7"/>
        <w:ind w:left="0"/>
        <w:rPr>
          <w:sz w:val="19"/>
        </w:rPr>
      </w:pPr>
    </w:p>
    <w:p>
      <w:pPr>
        <w:spacing w:after="0"/>
        <w:rPr>
          <w:sz w:val="19"/>
        </w:rPr>
        <w:sectPr>
          <w:type w:val="continuous"/>
          <w:pgSz w:w="11910" w:h="16840"/>
          <w:pgMar w:top="720" w:bottom="280" w:left="1400" w:right="1400"/>
        </w:sectPr>
      </w:pPr>
    </w:p>
    <w:p>
      <w:pPr>
        <w:pStyle w:val="Heading2"/>
        <w:tabs>
          <w:tab w:pos="1033" w:val="left" w:leader="none"/>
        </w:tabs>
        <w:spacing w:before="36"/>
        <w:ind w:left="501"/>
      </w:pPr>
      <w:r>
        <w:rPr/>
        <w:t>6.1</w:t>
        <w:tab/>
        <w:t>危险变更通</w:t>
      </w:r>
    </w:p>
    <w:p>
      <w:pPr>
        <w:spacing w:before="36"/>
        <w:ind w:left="189" w:right="0" w:firstLine="0"/>
        <w:jc w:val="center"/>
        <w:rPr>
          <w:b/>
          <w:sz w:val="21"/>
        </w:rPr>
      </w:pPr>
      <w:r>
        <w:rPr>
          <w:b/>
          <w:w w:val="100"/>
          <w:sz w:val="21"/>
        </w:rPr>
        <w:t>知</w:t>
      </w:r>
    </w:p>
    <w:p>
      <w:pPr>
        <w:pStyle w:val="BodyText"/>
        <w:spacing w:line="273" w:lineRule="auto" w:before="36"/>
        <w:ind w:left="322" w:right="218"/>
        <w:jc w:val="both"/>
      </w:pPr>
      <w:r>
        <w:rPr/>
        <w:br w:type="column"/>
      </w:r>
      <w:r>
        <w:rPr>
          <w:spacing w:val="-4"/>
        </w:rPr>
        <w:t>投保人变更行业或被保险人变更职业或工种时，投保人应于 </w:t>
      </w:r>
      <w:r>
        <w:rPr/>
        <w:t>10</w:t>
      </w:r>
      <w:r>
        <w:rPr>
          <w:spacing w:val="-9"/>
        </w:rPr>
        <w:t> 日内以</w:t>
      </w:r>
      <w:r>
        <w:rPr>
          <w:spacing w:val="-5"/>
        </w:rPr>
        <w:t>书面形式通知本公司。</w:t>
      </w:r>
    </w:p>
    <w:p>
      <w:pPr>
        <w:pStyle w:val="BodyText"/>
        <w:spacing w:before="5"/>
        <w:ind w:left="0"/>
        <w:rPr>
          <w:sz w:val="24"/>
        </w:rPr>
      </w:pPr>
    </w:p>
    <w:p>
      <w:pPr>
        <w:pStyle w:val="BodyText"/>
        <w:spacing w:line="273" w:lineRule="auto" w:before="0"/>
        <w:ind w:left="322" w:right="218"/>
        <w:jc w:val="both"/>
      </w:pPr>
      <w:r>
        <w:rPr>
          <w:spacing w:val="-7"/>
        </w:rPr>
        <w:t>投保人所变更的行业或被保险人所变更的职业或工种，若依照本公司职</w:t>
      </w:r>
      <w:r>
        <w:rPr>
          <w:spacing w:val="-10"/>
        </w:rPr>
        <w:t>业分类其危险程度降低时，本公司自接到通知之日起，根据其危险程度</w:t>
      </w:r>
      <w:r>
        <w:rPr>
          <w:spacing w:val="-8"/>
        </w:rPr>
        <w:t>变更后的应收保险费与实收保险费的差额退还相应的现金价值；</w:t>
      </w:r>
      <w:r>
        <w:rPr>
          <w:spacing w:val="-2"/>
          <w:shd w:fill="D9D9D9" w:color="auto" w:val="clear"/>
        </w:rPr>
        <w:t>若其危</w:t>
      </w:r>
      <w:r>
        <w:rPr>
          <w:spacing w:val="-3"/>
          <w:shd w:fill="D9D9D9" w:color="auto" w:val="clear"/>
        </w:rPr>
        <w:t>险程度增</w:t>
      </w:r>
      <w:r>
        <w:rPr>
          <w:spacing w:val="-20"/>
          <w:shd w:fill="D9D9D9" w:color="auto" w:val="clear"/>
        </w:rPr>
        <w:t>加时，本公司自接到通知之日起，根据其危险程度变更后的应收</w:t>
      </w:r>
      <w:r>
        <w:rPr>
          <w:spacing w:val="-6"/>
          <w:w w:val="100"/>
          <w:shd w:fill="D9D9D9" w:color="auto" w:val="clear"/>
        </w:rPr>
        <w:t>保险费与实收保险费的差额增收</w:t>
      </w:r>
      <w:r>
        <w:rPr>
          <w:b/>
          <w:w w:val="100"/>
          <w:shd w:fill="D9D9D9" w:color="auto" w:val="clear"/>
        </w:rPr>
        <w:t>未满期保险费</w:t>
      </w:r>
      <w:r>
        <w:rPr>
          <w:spacing w:val="-3"/>
          <w:w w:val="100"/>
          <w:shd w:fill="D9D9D9" w:color="auto" w:val="clear"/>
        </w:rPr>
        <w:t>（</w:t>
      </w:r>
      <w:r>
        <w:rPr>
          <w:w w:val="100"/>
          <w:shd w:fill="D9D9D9" w:color="auto" w:val="clear"/>
        </w:rPr>
        <w:t>见</w:t>
      </w:r>
      <w:r>
        <w:rPr>
          <w:spacing w:val="-53"/>
          <w:shd w:fill="D9D9D9" w:color="auto" w:val="clear"/>
        </w:rPr>
        <w:t> </w:t>
      </w:r>
      <w:r>
        <w:rPr>
          <w:w w:val="100"/>
          <w:shd w:fill="D9D9D9" w:color="auto" w:val="clear"/>
        </w:rPr>
        <w:t>9.</w:t>
      </w:r>
      <w:r>
        <w:rPr>
          <w:spacing w:val="-3"/>
          <w:w w:val="100"/>
          <w:shd w:fill="D9D9D9" w:color="auto" w:val="clear"/>
        </w:rPr>
        <w:t>1</w:t>
      </w:r>
      <w:r>
        <w:rPr>
          <w:spacing w:val="-1"/>
          <w:w w:val="100"/>
          <w:shd w:fill="D9D9D9" w:color="auto" w:val="clear"/>
        </w:rPr>
        <w:t>9</w:t>
      </w:r>
      <w:r>
        <w:rPr>
          <w:spacing w:val="-106"/>
          <w:w w:val="100"/>
          <w:shd w:fill="D9D9D9" w:color="auto" w:val="clear"/>
        </w:rPr>
        <w:t>）</w:t>
      </w:r>
      <w:r>
        <w:rPr>
          <w:w w:val="100"/>
          <w:shd w:fill="D9D9D9" w:color="auto" w:val="clear"/>
        </w:rPr>
        <w:t>。</w:t>
      </w:r>
    </w:p>
    <w:p>
      <w:pPr>
        <w:spacing w:after="0" w:line="273" w:lineRule="auto"/>
        <w:jc w:val="both"/>
        <w:sectPr>
          <w:type w:val="continuous"/>
          <w:pgSz w:w="11910" w:h="16840"/>
          <w:pgMar w:top="720" w:bottom="280" w:left="1400" w:right="1400"/>
          <w:cols w:num="2" w:equalWidth="0">
            <w:col w:w="2091" w:space="40"/>
            <w:col w:w="6979"/>
          </w:cols>
        </w:sectPr>
      </w:pPr>
    </w:p>
    <w:p>
      <w:pPr>
        <w:pStyle w:val="BodyText"/>
        <w:spacing w:before="8"/>
        <w:ind w:left="0"/>
      </w:pPr>
    </w:p>
    <w:p>
      <w:pPr>
        <w:pStyle w:val="BodyText"/>
        <w:spacing w:line="273" w:lineRule="auto" w:before="36"/>
        <w:ind w:left="2453" w:right="218"/>
        <w:jc w:val="both"/>
      </w:pPr>
      <w:r>
        <w:rPr>
          <w:shd w:fill="D9D9D9" w:color="auto" w:val="clear"/>
        </w:rPr>
        <w:t>投保人所变更的行业或被保险人所变更的职业或者工种依照本公司职</w:t>
      </w:r>
      <w:r>
        <w:rPr>
          <w:spacing w:val="-10"/>
          <w:shd w:fill="D9D9D9" w:color="auto" w:val="clear"/>
        </w:rPr>
        <w:t>业分类属于拒保范围内的，本公司对投保人或对该被保险人的保险责任</w:t>
      </w:r>
      <w:r>
        <w:rPr>
          <w:spacing w:val="-210"/>
          <w:shd w:fill="D9D9D9" w:color="auto" w:val="clear"/>
        </w:rPr>
        <w:t>自</w:t>
      </w:r>
      <w:r>
        <w:rPr>
          <w:spacing w:val="-3"/>
          <w:shd w:fill="D9D9D9" w:color="auto" w:val="clear"/>
        </w:rPr>
        <w:t>接到通知之日起终止，并向投保人退还现金价值。</w:t>
      </w:r>
    </w:p>
    <w:p>
      <w:pPr>
        <w:pStyle w:val="BodyText"/>
        <w:spacing w:before="8"/>
        <w:ind w:left="0"/>
      </w:pPr>
    </w:p>
    <w:p>
      <w:pPr>
        <w:pStyle w:val="BodyText"/>
        <w:spacing w:line="273" w:lineRule="auto" w:before="36"/>
        <w:ind w:left="2453" w:right="218"/>
        <w:jc w:val="both"/>
      </w:pPr>
      <w:r>
        <w:rPr>
          <w:spacing w:val="-7"/>
          <w:shd w:fill="D9D9D9" w:color="auto" w:val="clear"/>
        </w:rPr>
        <w:t>投保人所变更的行业或被保险人所变更的职业或工种，若依照本公司职</w:t>
      </w:r>
      <w:r>
        <w:rPr>
          <w:spacing w:val="-5"/>
          <w:shd w:fill="D9D9D9" w:color="auto" w:val="clear"/>
        </w:rPr>
        <w:t>业分类其危</w:t>
      </w:r>
      <w:r>
        <w:rPr>
          <w:spacing w:val="-21"/>
          <w:shd w:fill="D9D9D9" w:color="auto" w:val="clear"/>
        </w:rPr>
        <w:t>险程度增加而投保人未依上述约定通知本公司，且发生保险事</w:t>
      </w:r>
      <w:r>
        <w:rPr>
          <w:shd w:fill="D9D9D9" w:color="auto" w:val="clear"/>
        </w:rPr>
        <w:t>故的，本公司按实收保险费与应收保险费的相对比例计算给付保险金</w:t>
      </w:r>
      <w:r>
        <w:rPr>
          <w:spacing w:val="-11"/>
          <w:shd w:fill="D9D9D9" w:color="auto" w:val="clear"/>
        </w:rPr>
        <w:t>。但投保人所变更的行业或被保险人所变更的职业或者工种在本公司拒</w:t>
      </w:r>
      <w:r>
        <w:rPr>
          <w:spacing w:val="-4"/>
          <w:shd w:fill="D9D9D9" w:color="auto" w:val="clear"/>
        </w:rPr>
        <w:t>保范围内的，本公司不承担给付保险金的责任。</w:t>
      </w:r>
    </w:p>
    <w:p>
      <w:pPr>
        <w:tabs>
          <w:tab w:pos="1033" w:val="left" w:leader="none"/>
        </w:tabs>
        <w:spacing w:before="81"/>
        <w:ind w:left="460" w:right="0" w:firstLine="0"/>
        <w:jc w:val="left"/>
        <w:rPr>
          <w:b/>
          <w:sz w:val="24"/>
        </w:rPr>
      </w:pPr>
      <w:r>
        <w:rPr/>
        <w:pict>
          <v:group style="position:absolute;margin-left:75.863998pt;margin-top:32.209789pt;width:443.65pt;height:.5pt;mso-position-horizontal-relative:page;mso-position-vertical-relative:paragraph;z-index:1096;mso-wrap-distance-left:0;mso-wrap-distance-right:0" coordorigin="1517,644" coordsize="8873,10">
            <v:line style="position:absolute" from="1517,649" to="2324,649" stroked="true" strokeweight=".47998pt" strokecolor="#000000">
              <v:stroke dashstyle="solid"/>
            </v:line>
            <v:rect style="position:absolute;left:2323;top:644;width:10;height:10" filled="true" fillcolor="#000000" stroked="false">
              <v:fill type="solid"/>
            </v:rect>
            <v:line style="position:absolute" from="2333,649" to="3745,649" stroked="true" strokeweight=".47998pt" strokecolor="#000000">
              <v:stroke dashstyle="solid"/>
            </v:line>
            <v:rect style="position:absolute;left:3745;top:644;width:10;height:10" filled="true" fillcolor="#000000" stroked="false">
              <v:fill type="solid"/>
            </v:rect>
            <v:line style="position:absolute" from="3755,649" to="10390,649" stroked="true" strokeweight=".47998pt" strokecolor="#000000">
              <v:stroke dashstyle="solid"/>
            </v:line>
            <w10:wrap type="topAndBottom"/>
          </v:group>
        </w:pict>
      </w:r>
      <w:r>
        <w:rPr>
          <w:rFonts w:ascii="Arial" w:hAnsi="Arial" w:eastAsia="Arial"/>
          <w:b/>
          <w:position w:val="-3"/>
          <w:sz w:val="40"/>
        </w:rPr>
        <w:t></w:t>
        <w:tab/>
      </w:r>
      <w:r>
        <w:rPr>
          <w:b/>
          <w:w w:val="95"/>
          <w:sz w:val="24"/>
        </w:rPr>
        <w:t>解除合同处理</w:t>
      </w:r>
    </w:p>
    <w:p>
      <w:pPr>
        <w:pStyle w:val="BodyText"/>
        <w:spacing w:before="11"/>
        <w:ind w:left="0"/>
        <w:rPr>
          <w:b/>
          <w:sz w:val="17"/>
        </w:rPr>
      </w:pPr>
    </w:p>
    <w:p>
      <w:pPr>
        <w:spacing w:after="0"/>
        <w:rPr>
          <w:sz w:val="17"/>
        </w:rPr>
        <w:sectPr>
          <w:type w:val="continuous"/>
          <w:pgSz w:w="11910" w:h="16840"/>
          <w:pgMar w:top="720" w:bottom="280" w:left="1400" w:right="1400"/>
        </w:sectPr>
      </w:pPr>
    </w:p>
    <w:p>
      <w:pPr>
        <w:pStyle w:val="Heading2"/>
        <w:tabs>
          <w:tab w:pos="1033" w:val="left" w:leader="none"/>
        </w:tabs>
        <w:spacing w:before="37"/>
        <w:ind w:left="501"/>
      </w:pPr>
      <w:r>
        <w:rPr/>
        <w:t>7.1</w:t>
        <w:tab/>
        <w:t>解除合同的</w:t>
      </w:r>
    </w:p>
    <w:p>
      <w:pPr>
        <w:spacing w:before="37"/>
        <w:ind w:left="1034" w:right="0" w:firstLine="0"/>
        <w:jc w:val="left"/>
        <w:rPr>
          <w:b/>
          <w:sz w:val="21"/>
        </w:rPr>
      </w:pPr>
      <w:r>
        <w:rPr>
          <w:b/>
          <w:sz w:val="21"/>
        </w:rPr>
        <w:t>手续及风险</w:t>
      </w:r>
    </w:p>
    <w:p>
      <w:pPr>
        <w:pStyle w:val="BodyText"/>
        <w:spacing w:line="273" w:lineRule="auto"/>
        <w:ind w:left="322" w:right="218"/>
      </w:pPr>
      <w:r>
        <w:rPr/>
        <w:br w:type="column"/>
      </w:r>
      <w:r>
        <w:rPr>
          <w:spacing w:val="-11"/>
        </w:rPr>
        <w:t>投保人于本合同成立后，在本合同有效期内可以书面通知要求解除本合同。</w:t>
      </w:r>
    </w:p>
    <w:p>
      <w:pPr>
        <w:pStyle w:val="BodyText"/>
        <w:spacing w:before="8"/>
        <w:ind w:left="322"/>
        <w:jc w:val="both"/>
      </w:pPr>
      <w:r>
        <w:rPr/>
        <w:t>投保人要求解除本合同时，应提供下列证明和资料：</w:t>
      </w:r>
    </w:p>
    <w:p>
      <w:pPr>
        <w:pStyle w:val="BodyText"/>
        <w:ind w:left="322"/>
        <w:jc w:val="both"/>
      </w:pPr>
      <w:r>
        <w:rPr/>
        <w:t>（1）保险合同原件；</w:t>
      </w:r>
    </w:p>
    <w:p>
      <w:pPr>
        <w:pStyle w:val="BodyText"/>
        <w:ind w:left="322"/>
        <w:jc w:val="both"/>
      </w:pPr>
      <w:r>
        <w:rPr/>
        <w:t>（2）解除合同申请书。</w:t>
      </w:r>
    </w:p>
    <w:p>
      <w:pPr>
        <w:pStyle w:val="BodyText"/>
        <w:ind w:left="322"/>
        <w:jc w:val="both"/>
      </w:pPr>
      <w:r>
        <w:rPr/>
        <w:t>（3）被保险人知悉退保的有效证明。</w:t>
      </w:r>
    </w:p>
    <w:p>
      <w:pPr>
        <w:pStyle w:val="BodyText"/>
        <w:spacing w:before="8"/>
        <w:ind w:left="0"/>
        <w:rPr>
          <w:sz w:val="26"/>
        </w:rPr>
      </w:pPr>
    </w:p>
    <w:p>
      <w:pPr>
        <w:pStyle w:val="BodyText"/>
        <w:spacing w:line="273" w:lineRule="auto" w:before="0"/>
        <w:ind w:left="322" w:right="218"/>
        <w:jc w:val="both"/>
      </w:pPr>
      <w:r>
        <w:rPr>
          <w:spacing w:val="-9"/>
        </w:rPr>
        <w:t>投保人要求解除本合同的，自本公司收到解除合同申请书之日起，本合</w:t>
      </w:r>
      <w:r>
        <w:rPr>
          <w:spacing w:val="-6"/>
        </w:rPr>
        <w:t>同的保险责任终止。本公司于收到上述证明和资料之日起 </w:t>
      </w:r>
      <w:r>
        <w:rPr/>
        <w:t>30</w:t>
      </w:r>
      <w:r>
        <w:rPr>
          <w:spacing w:val="-8"/>
        </w:rPr>
        <w:t> 日内向投</w:t>
      </w:r>
      <w:r>
        <w:rPr/>
        <w:t>保人退还本合同项下未发生本合同约定保险事故的各被保险人名下的</w:t>
      </w:r>
      <w:r>
        <w:rPr>
          <w:spacing w:val="-2"/>
        </w:rPr>
        <w:t>现金价值。</w:t>
      </w:r>
    </w:p>
    <w:p>
      <w:pPr>
        <w:spacing w:after="0" w:line="273" w:lineRule="auto"/>
        <w:jc w:val="both"/>
        <w:sectPr>
          <w:type w:val="continuous"/>
          <w:pgSz w:w="11910" w:h="16840"/>
          <w:pgMar w:top="720" w:bottom="280" w:left="1400" w:right="1400"/>
          <w:cols w:num="2" w:equalWidth="0">
            <w:col w:w="2091" w:space="40"/>
            <w:col w:w="6979"/>
          </w:cols>
        </w:sectPr>
      </w:pPr>
    </w:p>
    <w:p>
      <w:pPr>
        <w:pStyle w:val="BodyText"/>
        <w:spacing w:before="8"/>
        <w:ind w:left="0"/>
      </w:pPr>
    </w:p>
    <w:p>
      <w:pPr>
        <w:pStyle w:val="BodyText"/>
        <w:spacing w:before="36"/>
        <w:ind w:left="2453"/>
      </w:pPr>
      <w:r>
        <w:rPr>
          <w:shd w:fill="D9D9D9" w:color="auto" w:val="clear"/>
        </w:rPr>
        <w:t>投保人解除合同会遭受一定的损失。</w:t>
      </w:r>
    </w:p>
    <w:p>
      <w:pPr>
        <w:pStyle w:val="BodyText"/>
        <w:spacing w:before="9"/>
        <w:ind w:left="0"/>
        <w:rPr>
          <w:sz w:val="27"/>
        </w:rPr>
      </w:pPr>
    </w:p>
    <w:p>
      <w:pPr>
        <w:tabs>
          <w:tab w:pos="1033" w:val="left" w:leader="none"/>
        </w:tabs>
        <w:spacing w:before="60"/>
        <w:ind w:left="460" w:right="0" w:firstLine="0"/>
        <w:jc w:val="left"/>
        <w:rPr>
          <w:b/>
          <w:sz w:val="24"/>
        </w:rPr>
      </w:pPr>
      <w:r>
        <w:rPr/>
        <w:pict>
          <v:group style="position:absolute;margin-left:75.863998pt;margin-top:31.159782pt;width:443.65pt;height:.5pt;mso-position-horizontal-relative:page;mso-position-vertical-relative:paragraph;z-index:1120;mso-wrap-distance-left:0;mso-wrap-distance-right:0" coordorigin="1517,623" coordsize="8873,10">
            <v:line style="position:absolute" from="1517,628" to="2324,628" stroked="true" strokeweight=".47998pt" strokecolor="#000000">
              <v:stroke dashstyle="solid"/>
            </v:line>
            <v:rect style="position:absolute;left:2323;top:623;width:10;height:10" filled="true" fillcolor="#000000" stroked="false">
              <v:fill type="solid"/>
            </v:rect>
            <v:line style="position:absolute" from="2333,628" to="3745,628" stroked="true" strokeweight=".47998pt" strokecolor="#000000">
              <v:stroke dashstyle="solid"/>
            </v:line>
            <v:rect style="position:absolute;left:3745;top:623;width:10;height:10" filled="true" fillcolor="#000000" stroked="false">
              <v:fill type="solid"/>
            </v:rect>
            <v:line style="position:absolute" from="3755,628" to="10390,628" stroked="true" strokeweight=".47998pt" strokecolor="#000000">
              <v:stroke dashstyle="solid"/>
            </v:line>
            <w10:wrap type="topAndBottom"/>
          </v:group>
        </w:pict>
      </w:r>
      <w:r>
        <w:rPr>
          <w:rFonts w:ascii="Arial" w:hAnsi="Arial" w:eastAsia="Arial"/>
          <w:b/>
          <w:w w:val="105"/>
          <w:position w:val="-3"/>
          <w:sz w:val="40"/>
        </w:rPr>
        <w:t></w:t>
        <w:tab/>
      </w:r>
      <w:r>
        <w:rPr>
          <w:b/>
          <w:sz w:val="24"/>
        </w:rPr>
        <w:t>其他事项</w:t>
      </w:r>
    </w:p>
    <w:p>
      <w:pPr>
        <w:pStyle w:val="BodyText"/>
        <w:spacing w:before="11"/>
        <w:ind w:left="0"/>
        <w:rPr>
          <w:b/>
          <w:sz w:val="17"/>
        </w:rPr>
      </w:pPr>
    </w:p>
    <w:p>
      <w:pPr>
        <w:spacing w:after="0"/>
        <w:rPr>
          <w:sz w:val="17"/>
        </w:rPr>
        <w:sectPr>
          <w:type w:val="continuous"/>
          <w:pgSz w:w="11910" w:h="16840"/>
          <w:pgMar w:top="720" w:bottom="280" w:left="1400" w:right="1400"/>
        </w:sectPr>
      </w:pPr>
    </w:p>
    <w:p>
      <w:pPr>
        <w:pStyle w:val="Heading2"/>
        <w:numPr>
          <w:ilvl w:val="1"/>
          <w:numId w:val="4"/>
        </w:numPr>
        <w:tabs>
          <w:tab w:pos="1033" w:val="left" w:leader="none"/>
          <w:tab w:pos="1034" w:val="left" w:leader="none"/>
        </w:tabs>
        <w:spacing w:line="240" w:lineRule="auto" w:before="36" w:after="0"/>
        <w:ind w:left="1034" w:right="0" w:hanging="533"/>
        <w:jc w:val="left"/>
      </w:pPr>
      <w:r>
        <w:rPr/>
        <w:t>明确说明与</w:t>
      </w:r>
    </w:p>
    <w:p>
      <w:pPr>
        <w:spacing w:before="36"/>
        <w:ind w:left="1034" w:right="0" w:firstLine="0"/>
        <w:jc w:val="left"/>
        <w:rPr>
          <w:b/>
          <w:sz w:val="21"/>
        </w:rPr>
      </w:pPr>
      <w:r>
        <w:rPr>
          <w:b/>
          <w:sz w:val="21"/>
        </w:rPr>
        <w:t>如实告知</w:t>
      </w:r>
    </w:p>
    <w:p>
      <w:pPr>
        <w:pStyle w:val="BodyText"/>
        <w:spacing w:before="36"/>
        <w:ind w:left="322"/>
      </w:pPr>
      <w:r>
        <w:rPr/>
        <w:br w:type="column"/>
      </w:r>
      <w:r>
        <w:rPr/>
        <w:t>订立本合同时，本公司应向投保人说明本合同的内容。</w:t>
      </w:r>
    </w:p>
    <w:p>
      <w:pPr>
        <w:spacing w:after="0"/>
        <w:sectPr>
          <w:type w:val="continuous"/>
          <w:pgSz w:w="11910" w:h="16840"/>
          <w:pgMar w:top="720" w:bottom="280" w:left="1400" w:right="1400"/>
          <w:cols w:num="2" w:equalWidth="0">
            <w:col w:w="2091" w:space="40"/>
            <w:col w:w="6979"/>
          </w:cols>
        </w:sectPr>
      </w:pPr>
    </w:p>
    <w:p>
      <w:pPr>
        <w:pStyle w:val="BodyText"/>
        <w:spacing w:line="273" w:lineRule="auto" w:before="22"/>
        <w:ind w:right="218"/>
        <w:jc w:val="both"/>
      </w:pPr>
      <w:r>
        <w:rPr>
          <w:spacing w:val="-8"/>
        </w:rPr>
        <w:t>对保险条款中免除本公司责任的条款，本公司在订立合同时应当在投保</w:t>
      </w:r>
      <w:r>
        <w:rPr>
          <w:spacing w:val="-11"/>
        </w:rPr>
        <w:t>单、保险单或者其他保险凭证上作出足以引起投保人注意的提示，并对</w:t>
      </w:r>
      <w:r>
        <w:rPr>
          <w:spacing w:val="-10"/>
        </w:rPr>
        <w:t>该条款的内容以书面或口头形式向投保人作出明确说明，未作提示或者</w:t>
      </w:r>
      <w:r>
        <w:rPr>
          <w:spacing w:val="-5"/>
        </w:rPr>
        <w:t>明确说明的，该条款不产生效力。</w:t>
      </w:r>
    </w:p>
    <w:p>
      <w:pPr>
        <w:pStyle w:val="BodyText"/>
        <w:spacing w:before="5"/>
        <w:ind w:left="0"/>
        <w:rPr>
          <w:sz w:val="24"/>
        </w:rPr>
      </w:pPr>
    </w:p>
    <w:p>
      <w:pPr>
        <w:pStyle w:val="BodyText"/>
        <w:spacing w:line="273" w:lineRule="auto" w:before="1"/>
        <w:ind w:right="219"/>
        <w:jc w:val="both"/>
      </w:pPr>
      <w:r>
        <w:rPr/>
        <w:t>本公司就投保人和被保险人的有关情况提出询问，投保人应当如实告知。</w:t>
      </w:r>
    </w:p>
    <w:p>
      <w:pPr>
        <w:pStyle w:val="BodyText"/>
        <w:spacing w:before="8"/>
        <w:ind w:left="0"/>
      </w:pPr>
    </w:p>
    <w:p>
      <w:pPr>
        <w:pStyle w:val="BodyText"/>
        <w:spacing w:line="273" w:lineRule="auto"/>
        <w:ind w:right="218"/>
        <w:jc w:val="both"/>
      </w:pPr>
      <w:r>
        <w:rPr>
          <w:spacing w:val="-6"/>
          <w:shd w:fill="D9D9D9" w:color="auto" w:val="clear"/>
        </w:rPr>
        <w:t>如果投保人故意或者因重大过失未履行前款规定的如实告知义务，足以</w:t>
      </w:r>
      <w:r>
        <w:rPr>
          <w:spacing w:val="-4"/>
          <w:shd w:fill="D9D9D9" w:color="auto" w:val="clear"/>
        </w:rPr>
        <w:t>影响本公</w:t>
      </w:r>
      <w:r>
        <w:rPr>
          <w:spacing w:val="-20"/>
          <w:shd w:fill="D9D9D9" w:color="auto" w:val="clear"/>
        </w:rPr>
        <w:t>司决定是否同意承保或者提高保险费率的，本公司有权解除本合同。</w:t>
      </w:r>
    </w:p>
    <w:p>
      <w:pPr>
        <w:pStyle w:val="BodyText"/>
        <w:spacing w:before="8"/>
        <w:ind w:left="0"/>
      </w:pPr>
    </w:p>
    <w:p>
      <w:pPr>
        <w:pStyle w:val="BodyText"/>
        <w:spacing w:line="273" w:lineRule="auto"/>
        <w:ind w:right="218"/>
      </w:pPr>
      <w:r>
        <w:rPr>
          <w:spacing w:val="-8"/>
          <w:shd w:fill="D9D9D9" w:color="auto" w:val="clear"/>
        </w:rPr>
        <w:t>如果投保人故意不履行如实告知义务，对于本合同解除前发生的保险事</w:t>
      </w:r>
      <w:r>
        <w:rPr>
          <w:spacing w:val="-210"/>
          <w:shd w:fill="D9D9D9" w:color="auto" w:val="clear"/>
        </w:rPr>
        <w:t>故</w:t>
      </w:r>
      <w:r>
        <w:rPr>
          <w:spacing w:val="-3"/>
          <w:shd w:fill="D9D9D9" w:color="auto" w:val="clear"/>
        </w:rPr>
        <w:t>，本公司不承担给付保险金的责任，并不退还保险费。</w:t>
      </w:r>
    </w:p>
    <w:p>
      <w:pPr>
        <w:pStyle w:val="BodyText"/>
        <w:spacing w:before="8"/>
        <w:ind w:left="0"/>
      </w:pPr>
    </w:p>
    <w:p>
      <w:pPr>
        <w:pStyle w:val="BodyText"/>
        <w:spacing w:line="273" w:lineRule="auto"/>
        <w:ind w:right="218"/>
        <w:jc w:val="both"/>
      </w:pPr>
      <w:r>
        <w:rPr>
          <w:spacing w:val="-7"/>
          <w:shd w:fill="D9D9D9" w:color="auto" w:val="clear"/>
        </w:rPr>
        <w:t>如果投保人因重大过失未履行如实告知义务，对保险事故的发生有严重</w:t>
      </w:r>
      <w:r>
        <w:rPr>
          <w:spacing w:val="-210"/>
          <w:shd w:fill="D9D9D9" w:color="auto" w:val="clear"/>
        </w:rPr>
        <w:t>影</w:t>
      </w:r>
      <w:r>
        <w:rPr>
          <w:spacing w:val="-10"/>
          <w:shd w:fill="D9D9D9" w:color="auto" w:val="clear"/>
        </w:rPr>
        <w:t>响的，对于本合同解除前发生的保险事故，本公司不承担给付保险金的</w:t>
      </w:r>
      <w:r>
        <w:rPr>
          <w:spacing w:val="-4"/>
          <w:shd w:fill="D9D9D9" w:color="auto" w:val="clear"/>
        </w:rPr>
        <w:t>责任，但应当退还保险费。</w:t>
      </w:r>
    </w:p>
    <w:p>
      <w:pPr>
        <w:pStyle w:val="BodyText"/>
        <w:spacing w:before="5"/>
        <w:ind w:left="0"/>
        <w:rPr>
          <w:sz w:val="24"/>
        </w:rPr>
      </w:pPr>
    </w:p>
    <w:p>
      <w:pPr>
        <w:pStyle w:val="BodyText"/>
        <w:spacing w:line="273" w:lineRule="auto" w:before="0"/>
        <w:ind w:right="218"/>
        <w:jc w:val="both"/>
      </w:pPr>
      <w:r>
        <w:rPr>
          <w:spacing w:val="-7"/>
        </w:rPr>
        <w:t>本公司在合同订立时已经知道投保人未如实告知的情况的，本公司不得</w:t>
      </w:r>
      <w:r>
        <w:rPr>
          <w:spacing w:val="-5"/>
        </w:rPr>
        <w:t>解除合同；发生保险事故的，本公司承担给付保险金的责任。</w:t>
      </w:r>
    </w:p>
    <w:p>
      <w:pPr>
        <w:pStyle w:val="BodyText"/>
        <w:spacing w:before="8"/>
        <w:ind w:left="0"/>
      </w:pPr>
    </w:p>
    <w:p>
      <w:pPr>
        <w:spacing w:after="0"/>
        <w:sectPr>
          <w:pgSz w:w="11910" w:h="16840"/>
          <w:pgMar w:top="1080" w:bottom="280" w:left="1680" w:right="1400"/>
        </w:sectPr>
      </w:pPr>
    </w:p>
    <w:p>
      <w:pPr>
        <w:pStyle w:val="Heading2"/>
        <w:numPr>
          <w:ilvl w:val="1"/>
          <w:numId w:val="4"/>
        </w:numPr>
        <w:tabs>
          <w:tab w:pos="753" w:val="left" w:leader="none"/>
          <w:tab w:pos="754" w:val="left" w:leader="none"/>
        </w:tabs>
        <w:spacing w:line="240" w:lineRule="auto" w:before="36" w:after="0"/>
        <w:ind w:left="754" w:right="0" w:hanging="533"/>
        <w:jc w:val="left"/>
      </w:pPr>
      <w:r>
        <w:rPr/>
        <w:t>本公司合同</w:t>
      </w:r>
    </w:p>
    <w:p>
      <w:pPr>
        <w:spacing w:line="273" w:lineRule="auto" w:before="36"/>
        <w:ind w:left="754" w:right="0" w:firstLine="0"/>
        <w:jc w:val="left"/>
        <w:rPr>
          <w:b/>
          <w:sz w:val="21"/>
        </w:rPr>
      </w:pPr>
      <w:r>
        <w:rPr>
          <w:b/>
          <w:sz w:val="21"/>
        </w:rPr>
        <w:t>解除权的限制</w:t>
      </w:r>
    </w:p>
    <w:p>
      <w:pPr>
        <w:pStyle w:val="BodyText"/>
        <w:spacing w:line="273" w:lineRule="auto" w:before="36"/>
        <w:ind w:left="221" w:right="142"/>
      </w:pPr>
      <w:r>
        <w:rPr/>
        <w:br w:type="column"/>
      </w:r>
      <w:r>
        <w:rPr/>
        <w:t>前条规定的合同解除权，自本公司知道有解除事由之日起，超过 30 日不行使而消灭。</w:t>
      </w:r>
    </w:p>
    <w:p>
      <w:pPr>
        <w:spacing w:after="0" w:line="273" w:lineRule="auto"/>
        <w:sectPr>
          <w:type w:val="continuous"/>
          <w:pgSz w:w="11910" w:h="16840"/>
          <w:pgMar w:top="720" w:bottom="280" w:left="1680" w:right="1400"/>
          <w:cols w:num="2" w:equalWidth="0">
            <w:col w:w="1811" w:space="141"/>
            <w:col w:w="6878"/>
          </w:cols>
        </w:sectPr>
      </w:pPr>
    </w:p>
    <w:p>
      <w:pPr>
        <w:pStyle w:val="BodyText"/>
        <w:spacing w:before="8"/>
        <w:ind w:left="0"/>
      </w:pPr>
    </w:p>
    <w:p>
      <w:pPr>
        <w:spacing w:after="0"/>
        <w:sectPr>
          <w:type w:val="continuous"/>
          <w:pgSz w:w="11910" w:h="16840"/>
          <w:pgMar w:top="720" w:bottom="280" w:left="1680" w:right="1400"/>
        </w:sectPr>
      </w:pPr>
    </w:p>
    <w:p>
      <w:pPr>
        <w:pStyle w:val="Heading2"/>
        <w:numPr>
          <w:ilvl w:val="1"/>
          <w:numId w:val="4"/>
        </w:numPr>
        <w:tabs>
          <w:tab w:pos="753" w:val="left" w:leader="none"/>
          <w:tab w:pos="754" w:val="left" w:leader="none"/>
        </w:tabs>
        <w:spacing w:line="240" w:lineRule="auto" w:before="36" w:after="0"/>
        <w:ind w:left="754" w:right="0" w:hanging="533"/>
        <w:jc w:val="left"/>
      </w:pPr>
      <w:r>
        <w:rPr>
          <w:spacing w:val="-10"/>
        </w:rPr>
        <w:t>年龄、性别错</w:t>
      </w:r>
    </w:p>
    <w:p>
      <w:pPr>
        <w:spacing w:before="36"/>
        <w:ind w:left="0" w:right="240" w:firstLine="0"/>
        <w:jc w:val="center"/>
        <w:rPr>
          <w:b/>
          <w:sz w:val="21"/>
        </w:rPr>
      </w:pPr>
      <w:r>
        <w:rPr>
          <w:b/>
          <w:w w:val="100"/>
          <w:sz w:val="21"/>
        </w:rPr>
        <w:t>误</w:t>
      </w:r>
    </w:p>
    <w:p>
      <w:pPr>
        <w:pStyle w:val="BodyText"/>
        <w:spacing w:line="273" w:lineRule="auto" w:before="36"/>
        <w:ind w:left="171" w:right="343" w:firstLine="2"/>
      </w:pPr>
      <w:r>
        <w:rPr/>
        <w:br w:type="column"/>
      </w:r>
      <w:r>
        <w:rPr/>
        <w:t>投保人在申请投保时，应将与有效身份证件相符的被保险人的出生日期、性别在投保单上填明，如果发生错误按照下列方式办理：</w:t>
      </w:r>
    </w:p>
    <w:p>
      <w:pPr>
        <w:pStyle w:val="BodyText"/>
        <w:spacing w:line="273" w:lineRule="auto" w:before="7"/>
        <w:ind w:left="682" w:right="240" w:hanging="512"/>
        <w:jc w:val="both"/>
      </w:pPr>
      <w:r>
        <w:rPr/>
        <w:t>（1）</w:t>
      </w:r>
      <w:r>
        <w:rPr>
          <w:spacing w:val="-3"/>
          <w:shd w:fill="D9D9D9" w:color="auto" w:val="clear"/>
        </w:rPr>
        <w:t>投保人申报的被保险人年龄不真实，并且其真实年龄不符合本合</w:t>
      </w:r>
      <w:r>
        <w:rPr>
          <w:spacing w:val="-209"/>
          <w:shd w:fill="D9D9D9" w:color="auto" w:val="clear"/>
        </w:rPr>
        <w:t>同</w:t>
      </w:r>
      <w:r>
        <w:rPr>
          <w:spacing w:val="-3"/>
          <w:shd w:fill="D9D9D9" w:color="auto" w:val="clear"/>
        </w:rPr>
        <w:t>约定投保年龄限制的，在保险事故发生之前本公司有权解除合同，并向投保人退还该被保险人的现金价值。本公司行使合同解除权适用“本公司合同解除权的限制”的规定。</w:t>
      </w:r>
    </w:p>
    <w:p>
      <w:pPr>
        <w:pStyle w:val="BodyText"/>
        <w:spacing w:line="273" w:lineRule="auto" w:before="7"/>
        <w:ind w:left="682" w:right="112" w:hanging="512"/>
      </w:pPr>
      <w:r>
        <w:rPr/>
        <w:t>（2）</w:t>
      </w:r>
      <w:r>
        <w:rPr>
          <w:spacing w:val="-3"/>
          <w:shd w:fill="D9D9D9" w:color="auto" w:val="clear"/>
        </w:rPr>
        <w:t>投保人申报的被保险人年龄、性别不真实，致使投保人实付保险</w:t>
      </w:r>
      <w:r>
        <w:rPr>
          <w:spacing w:val="-15"/>
          <w:shd w:fill="D9D9D9" w:color="auto" w:val="clear"/>
        </w:rPr>
        <w:t>费少于应付保险费的，本公司有权更正并要求投保人补交保险费。</w:t>
      </w:r>
      <w:r>
        <w:rPr>
          <w:spacing w:val="-7"/>
          <w:shd w:fill="D9D9D9" w:color="auto" w:val="clear"/>
        </w:rPr>
        <w:t>若已经发生保险事故，在给付保险金时按实付保险费和应付保险</w:t>
      </w:r>
      <w:r>
        <w:rPr>
          <w:spacing w:val="-5"/>
          <w:shd w:fill="D9D9D9" w:color="auto" w:val="clear"/>
        </w:rPr>
        <w:t>费的比例给付。</w:t>
      </w:r>
    </w:p>
    <w:p>
      <w:pPr>
        <w:pStyle w:val="BodyText"/>
        <w:spacing w:line="273" w:lineRule="auto" w:before="7"/>
        <w:ind w:left="682" w:right="240" w:hanging="512"/>
      </w:pPr>
      <w:r>
        <w:rPr/>
        <w:t>（3）投保人申报的被保险人年龄、性别不真实，致使投保人实付保险费多于应付保险费的，本公司会将多收的保险费退还给投保人。</w:t>
      </w:r>
    </w:p>
    <w:p>
      <w:pPr>
        <w:spacing w:after="0" w:line="273" w:lineRule="auto"/>
        <w:sectPr>
          <w:type w:val="continuous"/>
          <w:pgSz w:w="11910" w:h="16840"/>
          <w:pgMar w:top="720" w:bottom="280" w:left="1680" w:right="1400"/>
          <w:cols w:num="2" w:equalWidth="0">
            <w:col w:w="1962" w:space="40"/>
            <w:col w:w="6828"/>
          </w:cols>
        </w:sectPr>
      </w:pPr>
    </w:p>
    <w:p>
      <w:pPr>
        <w:pStyle w:val="BodyText"/>
        <w:spacing w:before="8"/>
        <w:ind w:left="0"/>
      </w:pPr>
    </w:p>
    <w:p>
      <w:pPr>
        <w:spacing w:after="0"/>
        <w:sectPr>
          <w:type w:val="continuous"/>
          <w:pgSz w:w="11910" w:h="16840"/>
          <w:pgMar w:top="720" w:bottom="280" w:left="1680" w:right="1400"/>
        </w:sectPr>
      </w:pPr>
    </w:p>
    <w:p>
      <w:pPr>
        <w:pStyle w:val="Heading2"/>
        <w:numPr>
          <w:ilvl w:val="1"/>
          <w:numId w:val="4"/>
        </w:numPr>
        <w:tabs>
          <w:tab w:pos="753" w:val="left" w:leader="none"/>
          <w:tab w:pos="754" w:val="left" w:leader="none"/>
        </w:tabs>
        <w:spacing w:line="240" w:lineRule="auto" w:before="36" w:after="0"/>
        <w:ind w:left="754" w:right="0" w:hanging="533"/>
        <w:jc w:val="left"/>
      </w:pPr>
      <w:r>
        <w:rPr/>
        <w:t>合同内容变</w:t>
      </w:r>
    </w:p>
    <w:p>
      <w:pPr>
        <w:spacing w:before="37"/>
        <w:ind w:left="0" w:right="88" w:firstLine="0"/>
        <w:jc w:val="center"/>
        <w:rPr>
          <w:b/>
          <w:sz w:val="21"/>
        </w:rPr>
      </w:pPr>
      <w:r>
        <w:rPr>
          <w:b/>
          <w:w w:val="100"/>
          <w:sz w:val="21"/>
        </w:rPr>
        <w:t>更</w:t>
      </w:r>
    </w:p>
    <w:p>
      <w:pPr>
        <w:pStyle w:val="BodyText"/>
        <w:spacing w:line="273" w:lineRule="auto" w:before="36"/>
        <w:ind w:left="221" w:right="218"/>
        <w:jc w:val="both"/>
      </w:pPr>
      <w:r>
        <w:rPr/>
        <w:br w:type="column"/>
      </w:r>
      <w:r>
        <w:rPr>
          <w:spacing w:val="-10"/>
        </w:rPr>
        <w:t>在本合同有效期内，经投保人和本公司协商一致，可以变更本合同的有</w:t>
      </w:r>
      <w:r>
        <w:rPr>
          <w:spacing w:val="-12"/>
        </w:rPr>
        <w:t>关内容。变更本合同的，应当由本公司在原保险单或者其它保险凭证上</w:t>
      </w:r>
      <w:r>
        <w:rPr>
          <w:spacing w:val="-6"/>
        </w:rPr>
        <w:t>批注或者附贴批单，或者由投保人和本公司订立书面的变更协议。</w:t>
      </w:r>
    </w:p>
    <w:p>
      <w:pPr>
        <w:spacing w:after="0" w:line="273" w:lineRule="auto"/>
        <w:jc w:val="both"/>
        <w:sectPr>
          <w:type w:val="continuous"/>
          <w:pgSz w:w="11910" w:h="16840"/>
          <w:pgMar w:top="720" w:bottom="280" w:left="1680" w:right="1400"/>
          <w:cols w:num="2" w:equalWidth="0">
            <w:col w:w="1811" w:space="141"/>
            <w:col w:w="6878"/>
          </w:cols>
        </w:sectPr>
      </w:pPr>
    </w:p>
    <w:p>
      <w:pPr>
        <w:pStyle w:val="BodyText"/>
        <w:spacing w:before="8"/>
        <w:ind w:left="0"/>
      </w:pPr>
    </w:p>
    <w:p>
      <w:pPr>
        <w:spacing w:after="0"/>
        <w:sectPr>
          <w:type w:val="continuous"/>
          <w:pgSz w:w="11910" w:h="16840"/>
          <w:pgMar w:top="720" w:bottom="280" w:left="1680" w:right="1400"/>
        </w:sectPr>
      </w:pPr>
    </w:p>
    <w:p>
      <w:pPr>
        <w:pStyle w:val="Heading2"/>
        <w:numPr>
          <w:ilvl w:val="1"/>
          <w:numId w:val="4"/>
        </w:numPr>
        <w:tabs>
          <w:tab w:pos="753" w:val="left" w:leader="none"/>
          <w:tab w:pos="754" w:val="left" w:leader="none"/>
        </w:tabs>
        <w:spacing w:line="240" w:lineRule="auto" w:before="36" w:after="0"/>
        <w:ind w:left="754" w:right="0" w:hanging="533"/>
        <w:jc w:val="left"/>
      </w:pPr>
      <w:r>
        <w:rPr/>
        <w:t>联系方式变</w:t>
      </w:r>
    </w:p>
    <w:p>
      <w:pPr>
        <w:spacing w:before="36"/>
        <w:ind w:left="0" w:right="88" w:firstLine="0"/>
        <w:jc w:val="center"/>
        <w:rPr>
          <w:b/>
          <w:sz w:val="21"/>
        </w:rPr>
      </w:pPr>
      <w:r>
        <w:rPr>
          <w:b/>
          <w:w w:val="100"/>
          <w:sz w:val="21"/>
        </w:rPr>
        <w:t>更</w:t>
      </w:r>
    </w:p>
    <w:p>
      <w:pPr>
        <w:pStyle w:val="BodyText"/>
        <w:spacing w:line="273" w:lineRule="auto" w:before="36"/>
        <w:ind w:left="221" w:right="218"/>
        <w:jc w:val="both"/>
      </w:pPr>
      <w:r>
        <w:rPr/>
        <w:br w:type="column"/>
      </w:r>
      <w:r>
        <w:rPr>
          <w:spacing w:val="-9"/>
        </w:rPr>
        <w:t>为了保障投保人的合法权益，投保人的住所、通讯地址或电话等联系方</w:t>
      </w:r>
      <w:r>
        <w:rPr>
          <w:spacing w:val="-11"/>
        </w:rPr>
        <w:t>式变更时，应及时以书面形式或双方认可的其他形式通知本公司。若投</w:t>
      </w:r>
      <w:r>
        <w:rPr>
          <w:spacing w:val="-7"/>
        </w:rPr>
        <w:t>保人未以书面形式或双方认可的其他形式通知本公司，本公司将按本合</w:t>
      </w:r>
    </w:p>
    <w:p>
      <w:pPr>
        <w:spacing w:after="0" w:line="273" w:lineRule="auto"/>
        <w:jc w:val="both"/>
        <w:sectPr>
          <w:type w:val="continuous"/>
          <w:pgSz w:w="11910" w:h="16840"/>
          <w:pgMar w:top="720" w:bottom="280" w:left="1680" w:right="1400"/>
          <w:cols w:num="2" w:equalWidth="0">
            <w:col w:w="1811" w:space="141"/>
            <w:col w:w="687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346"/>
        <w:gridCol w:w="6719"/>
      </w:tblGrid>
      <w:tr>
        <w:trPr>
          <w:trHeight w:val="729" w:hRule="atLeast"/>
        </w:trPr>
        <w:tc>
          <w:tcPr>
            <w:tcW w:w="809" w:type="dxa"/>
          </w:tcPr>
          <w:p>
            <w:pPr>
              <w:pStyle w:val="TableParagraph"/>
              <w:rPr>
                <w:rFonts w:ascii="Times New Roman"/>
                <w:sz w:val="20"/>
              </w:rPr>
            </w:pPr>
          </w:p>
        </w:tc>
        <w:tc>
          <w:tcPr>
            <w:tcW w:w="1346" w:type="dxa"/>
          </w:tcPr>
          <w:p>
            <w:pPr>
              <w:pStyle w:val="TableParagraph"/>
              <w:rPr>
                <w:rFonts w:ascii="Times New Roman"/>
                <w:sz w:val="20"/>
              </w:rPr>
            </w:pPr>
          </w:p>
        </w:tc>
        <w:tc>
          <w:tcPr>
            <w:tcW w:w="6719" w:type="dxa"/>
          </w:tcPr>
          <w:p>
            <w:pPr>
              <w:pStyle w:val="TableParagraph"/>
              <w:spacing w:line="211" w:lineRule="exact"/>
              <w:ind w:left="180"/>
              <w:rPr>
                <w:sz w:val="21"/>
              </w:rPr>
            </w:pPr>
            <w:r>
              <w:rPr>
                <w:sz w:val="21"/>
              </w:rPr>
              <w:t>同载明的最后住所或通讯地址发送的有关通知，均视为已送达给投保</w:t>
            </w:r>
          </w:p>
          <w:p>
            <w:pPr>
              <w:pStyle w:val="TableParagraph"/>
              <w:spacing w:before="37"/>
              <w:ind w:left="180"/>
              <w:rPr>
                <w:sz w:val="21"/>
              </w:rPr>
            </w:pPr>
            <w:r>
              <w:rPr>
                <w:sz w:val="21"/>
              </w:rPr>
              <w:t>人。</w:t>
            </w:r>
          </w:p>
        </w:tc>
      </w:tr>
      <w:tr>
        <w:trPr>
          <w:trHeight w:val="1593" w:hRule="atLeast"/>
        </w:trPr>
        <w:tc>
          <w:tcPr>
            <w:tcW w:w="809" w:type="dxa"/>
          </w:tcPr>
          <w:p>
            <w:pPr>
              <w:pStyle w:val="TableParagraph"/>
              <w:spacing w:before="143"/>
              <w:ind w:right="106"/>
              <w:jc w:val="right"/>
              <w:rPr>
                <w:b/>
                <w:sz w:val="21"/>
              </w:rPr>
            </w:pPr>
            <w:r>
              <w:rPr>
                <w:b/>
                <w:sz w:val="21"/>
              </w:rPr>
              <w:t>8.6</w:t>
            </w:r>
          </w:p>
        </w:tc>
        <w:tc>
          <w:tcPr>
            <w:tcW w:w="1346" w:type="dxa"/>
          </w:tcPr>
          <w:p>
            <w:pPr>
              <w:pStyle w:val="TableParagraph"/>
              <w:spacing w:before="143"/>
              <w:ind w:left="107"/>
              <w:rPr>
                <w:b/>
                <w:sz w:val="21"/>
              </w:rPr>
            </w:pPr>
            <w:r>
              <w:rPr>
                <w:b/>
                <w:sz w:val="21"/>
              </w:rPr>
              <w:t>争议处理</w:t>
            </w:r>
          </w:p>
        </w:tc>
        <w:tc>
          <w:tcPr>
            <w:tcW w:w="6719" w:type="dxa"/>
          </w:tcPr>
          <w:p>
            <w:pPr>
              <w:pStyle w:val="TableParagraph"/>
              <w:spacing w:line="273" w:lineRule="auto" w:before="143"/>
              <w:ind w:left="180" w:right="21"/>
              <w:rPr>
                <w:sz w:val="21"/>
              </w:rPr>
            </w:pPr>
            <w:r>
              <w:rPr>
                <w:sz w:val="21"/>
              </w:rPr>
              <w:t>本合同履行过程中，双方发生争议时，由双方协商解决，协商不成的， 可以从下列两种方式中选择一种争议处理方式：</w:t>
            </w:r>
          </w:p>
          <w:p>
            <w:pPr>
              <w:pStyle w:val="TableParagraph"/>
              <w:spacing w:before="8"/>
              <w:ind w:left="180"/>
              <w:rPr>
                <w:sz w:val="21"/>
              </w:rPr>
            </w:pPr>
            <w:r>
              <w:rPr>
                <w:sz w:val="21"/>
              </w:rPr>
              <w:t>（</w:t>
            </w:r>
            <w:r>
              <w:rPr>
                <w:rFonts w:ascii="Times New Roman" w:eastAsia="Times New Roman"/>
                <w:sz w:val="21"/>
              </w:rPr>
              <w:t>1</w:t>
            </w:r>
            <w:r>
              <w:rPr>
                <w:sz w:val="21"/>
              </w:rPr>
              <w:t>）提交仲裁委员会仲裁；</w:t>
            </w:r>
          </w:p>
          <w:p>
            <w:pPr>
              <w:pStyle w:val="TableParagraph"/>
              <w:spacing w:before="21"/>
              <w:ind w:left="180"/>
              <w:rPr>
                <w:sz w:val="21"/>
              </w:rPr>
            </w:pPr>
            <w:r>
              <w:rPr>
                <w:sz w:val="21"/>
              </w:rPr>
              <w:t>（</w:t>
            </w:r>
            <w:r>
              <w:rPr>
                <w:rFonts w:ascii="Times New Roman" w:eastAsia="Times New Roman"/>
                <w:sz w:val="21"/>
              </w:rPr>
              <w:t>2</w:t>
            </w:r>
            <w:r>
              <w:rPr>
                <w:sz w:val="21"/>
              </w:rPr>
              <w:t>）依法向被告住所地人民法院起诉。</w:t>
            </w:r>
          </w:p>
        </w:tc>
      </w:tr>
      <w:tr>
        <w:trPr>
          <w:trHeight w:val="745" w:hRule="atLeast"/>
        </w:trPr>
        <w:tc>
          <w:tcPr>
            <w:tcW w:w="809" w:type="dxa"/>
            <w:tcBorders>
              <w:bottom w:val="single" w:sz="4" w:space="0" w:color="000000"/>
            </w:tcBorders>
          </w:tcPr>
          <w:p>
            <w:pPr>
              <w:pStyle w:val="TableParagraph"/>
              <w:spacing w:before="186"/>
              <w:ind w:right="106"/>
              <w:jc w:val="right"/>
              <w:rPr>
                <w:rFonts w:ascii="Arial" w:hAnsi="Arial"/>
                <w:b/>
                <w:sz w:val="40"/>
              </w:rPr>
            </w:pPr>
            <w:r>
              <w:rPr>
                <w:rFonts w:ascii="Arial" w:hAnsi="Arial"/>
                <w:b/>
                <w:w w:val="119"/>
                <w:sz w:val="40"/>
              </w:rPr>
              <w:t></w:t>
            </w:r>
          </w:p>
        </w:tc>
        <w:tc>
          <w:tcPr>
            <w:tcW w:w="1346" w:type="dxa"/>
            <w:tcBorders>
              <w:bottom w:val="single" w:sz="4" w:space="0" w:color="000000"/>
            </w:tcBorders>
          </w:tcPr>
          <w:p>
            <w:pPr>
              <w:pStyle w:val="TableParagraph"/>
              <w:spacing w:before="2"/>
              <w:rPr>
                <w:sz w:val="18"/>
              </w:rPr>
            </w:pPr>
          </w:p>
          <w:p>
            <w:pPr>
              <w:pStyle w:val="TableParagraph"/>
              <w:ind w:left="107"/>
              <w:rPr>
                <w:b/>
                <w:sz w:val="24"/>
              </w:rPr>
            </w:pPr>
            <w:r>
              <w:rPr>
                <w:b/>
                <w:sz w:val="24"/>
              </w:rPr>
              <w:t>释义</w:t>
            </w:r>
          </w:p>
        </w:tc>
        <w:tc>
          <w:tcPr>
            <w:tcW w:w="6719" w:type="dxa"/>
            <w:tcBorders>
              <w:bottom w:val="single" w:sz="4" w:space="0" w:color="000000"/>
            </w:tcBorders>
          </w:tcPr>
          <w:p>
            <w:pPr>
              <w:pStyle w:val="TableParagraph"/>
              <w:rPr>
                <w:rFonts w:ascii="Times New Roman"/>
                <w:sz w:val="20"/>
              </w:rPr>
            </w:pPr>
          </w:p>
        </w:tc>
      </w:tr>
      <w:tr>
        <w:trPr>
          <w:trHeight w:val="783" w:hRule="atLeast"/>
        </w:trPr>
        <w:tc>
          <w:tcPr>
            <w:tcW w:w="809" w:type="dxa"/>
            <w:tcBorders>
              <w:top w:val="single" w:sz="4" w:space="0" w:color="000000"/>
            </w:tcBorders>
          </w:tcPr>
          <w:p>
            <w:pPr>
              <w:pStyle w:val="TableParagraph"/>
              <w:rPr>
                <w:sz w:val="23"/>
              </w:rPr>
            </w:pPr>
          </w:p>
          <w:p>
            <w:pPr>
              <w:pStyle w:val="TableParagraph"/>
              <w:ind w:right="106"/>
              <w:jc w:val="right"/>
              <w:rPr>
                <w:b/>
                <w:sz w:val="21"/>
              </w:rPr>
            </w:pPr>
            <w:r>
              <w:rPr>
                <w:b/>
                <w:sz w:val="21"/>
              </w:rPr>
              <w:t>9.1</w:t>
            </w:r>
          </w:p>
        </w:tc>
        <w:tc>
          <w:tcPr>
            <w:tcW w:w="1346" w:type="dxa"/>
            <w:tcBorders>
              <w:top w:val="single" w:sz="4" w:space="0" w:color="000000"/>
            </w:tcBorders>
          </w:tcPr>
          <w:p>
            <w:pPr>
              <w:pStyle w:val="TableParagraph"/>
              <w:rPr>
                <w:sz w:val="23"/>
              </w:rPr>
            </w:pPr>
          </w:p>
          <w:p>
            <w:pPr>
              <w:pStyle w:val="TableParagraph"/>
              <w:ind w:left="107"/>
              <w:rPr>
                <w:b/>
                <w:sz w:val="21"/>
              </w:rPr>
            </w:pPr>
            <w:r>
              <w:rPr>
                <w:b/>
                <w:sz w:val="21"/>
              </w:rPr>
              <w:t>被保险人</w:t>
            </w:r>
          </w:p>
        </w:tc>
        <w:tc>
          <w:tcPr>
            <w:tcW w:w="6719" w:type="dxa"/>
            <w:tcBorders>
              <w:top w:val="single" w:sz="4" w:space="0" w:color="000000"/>
            </w:tcBorders>
          </w:tcPr>
          <w:p>
            <w:pPr>
              <w:pStyle w:val="TableParagraph"/>
              <w:rPr>
                <w:sz w:val="23"/>
              </w:rPr>
            </w:pPr>
          </w:p>
          <w:p>
            <w:pPr>
              <w:pStyle w:val="TableParagraph"/>
              <w:ind w:left="180"/>
              <w:rPr>
                <w:sz w:val="21"/>
              </w:rPr>
            </w:pPr>
            <w:r>
              <w:rPr>
                <w:sz w:val="21"/>
              </w:rPr>
              <w:t>指本合同所附被保险人名册中所载人员。</w:t>
            </w:r>
          </w:p>
        </w:tc>
      </w:tr>
      <w:tr>
        <w:trPr>
          <w:trHeight w:val="1560" w:hRule="atLeast"/>
        </w:trPr>
        <w:tc>
          <w:tcPr>
            <w:tcW w:w="809" w:type="dxa"/>
          </w:tcPr>
          <w:p>
            <w:pPr>
              <w:pStyle w:val="TableParagraph"/>
              <w:spacing w:before="143"/>
              <w:ind w:right="106"/>
              <w:jc w:val="right"/>
              <w:rPr>
                <w:b/>
                <w:sz w:val="21"/>
              </w:rPr>
            </w:pPr>
            <w:r>
              <w:rPr>
                <w:b/>
                <w:sz w:val="21"/>
              </w:rPr>
              <w:t>9.2</w:t>
            </w:r>
          </w:p>
        </w:tc>
        <w:tc>
          <w:tcPr>
            <w:tcW w:w="1346" w:type="dxa"/>
          </w:tcPr>
          <w:p>
            <w:pPr>
              <w:pStyle w:val="TableParagraph"/>
              <w:spacing w:before="143"/>
              <w:ind w:left="107"/>
              <w:rPr>
                <w:b/>
                <w:sz w:val="21"/>
              </w:rPr>
            </w:pPr>
            <w:r>
              <w:rPr>
                <w:b/>
                <w:sz w:val="21"/>
              </w:rPr>
              <w:t>团体</w:t>
            </w:r>
          </w:p>
        </w:tc>
        <w:tc>
          <w:tcPr>
            <w:tcW w:w="6719" w:type="dxa"/>
          </w:tcPr>
          <w:p>
            <w:pPr>
              <w:pStyle w:val="TableParagraph"/>
              <w:spacing w:line="273" w:lineRule="auto" w:before="143"/>
              <w:ind w:left="180" w:right="103"/>
              <w:jc w:val="both"/>
              <w:rPr>
                <w:sz w:val="21"/>
              </w:rPr>
            </w:pPr>
            <w:r>
              <w:rPr>
                <w:spacing w:val="-10"/>
                <w:sz w:val="21"/>
              </w:rPr>
              <w:t>是指法人、非法人组织以及其他不以购买保险为目的而组成的团体。团体属于法人或非法人组织的，投保人应为该法人或非法人组织；团体属</w:t>
            </w:r>
            <w:r>
              <w:rPr>
                <w:spacing w:val="-9"/>
                <w:sz w:val="21"/>
              </w:rPr>
              <w:t>于其他不以购买保险为目的而组成的团体的，投保人可以是团体中的自然人。</w:t>
            </w:r>
          </w:p>
        </w:tc>
      </w:tr>
      <w:tr>
        <w:trPr>
          <w:trHeight w:val="1251" w:hRule="atLeast"/>
        </w:trPr>
        <w:tc>
          <w:tcPr>
            <w:tcW w:w="809" w:type="dxa"/>
          </w:tcPr>
          <w:p>
            <w:pPr>
              <w:pStyle w:val="TableParagraph"/>
              <w:spacing w:before="142"/>
              <w:ind w:right="106"/>
              <w:jc w:val="right"/>
              <w:rPr>
                <w:b/>
                <w:sz w:val="21"/>
              </w:rPr>
            </w:pPr>
            <w:r>
              <w:rPr>
                <w:b/>
                <w:sz w:val="21"/>
              </w:rPr>
              <w:t>9.3</w:t>
            </w:r>
          </w:p>
        </w:tc>
        <w:tc>
          <w:tcPr>
            <w:tcW w:w="1346" w:type="dxa"/>
          </w:tcPr>
          <w:p>
            <w:pPr>
              <w:pStyle w:val="TableParagraph"/>
              <w:spacing w:before="142"/>
              <w:ind w:left="107"/>
              <w:rPr>
                <w:b/>
                <w:sz w:val="21"/>
              </w:rPr>
            </w:pPr>
            <w:r>
              <w:rPr>
                <w:b/>
                <w:sz w:val="21"/>
              </w:rPr>
              <w:t>成员</w:t>
            </w:r>
          </w:p>
        </w:tc>
        <w:tc>
          <w:tcPr>
            <w:tcW w:w="6719" w:type="dxa"/>
          </w:tcPr>
          <w:p>
            <w:pPr>
              <w:pStyle w:val="TableParagraph"/>
              <w:spacing w:line="273" w:lineRule="auto" w:before="142"/>
              <w:ind w:left="180" w:right="105"/>
              <w:jc w:val="both"/>
              <w:rPr>
                <w:sz w:val="21"/>
              </w:rPr>
            </w:pPr>
            <w:r>
              <w:rPr>
                <w:spacing w:val="-9"/>
                <w:sz w:val="21"/>
              </w:rPr>
              <w:t>团体为法人的，成员是指该团体中身体健康、正常工作的在职员工；团</w:t>
            </w:r>
            <w:r>
              <w:rPr>
                <w:spacing w:val="-11"/>
                <w:sz w:val="21"/>
              </w:rPr>
              <w:t>体为非法人组织的，成员是指该团体的会员以及正式工作人员；团体为</w:t>
            </w:r>
            <w:r>
              <w:rPr>
                <w:spacing w:val="-6"/>
                <w:sz w:val="21"/>
              </w:rPr>
              <w:t>其他不以购买保险为目的而组成的，成员为该团体的会员。</w:t>
            </w:r>
          </w:p>
        </w:tc>
      </w:tr>
      <w:tr>
        <w:trPr>
          <w:trHeight w:val="942" w:hRule="atLeast"/>
        </w:trPr>
        <w:tc>
          <w:tcPr>
            <w:tcW w:w="809" w:type="dxa"/>
          </w:tcPr>
          <w:p>
            <w:pPr>
              <w:pStyle w:val="TableParagraph"/>
              <w:spacing w:before="146"/>
              <w:ind w:right="106"/>
              <w:jc w:val="right"/>
              <w:rPr>
                <w:b/>
                <w:sz w:val="21"/>
              </w:rPr>
            </w:pPr>
            <w:r>
              <w:rPr>
                <w:b/>
                <w:sz w:val="21"/>
              </w:rPr>
              <w:t>9.4</w:t>
            </w:r>
          </w:p>
        </w:tc>
        <w:tc>
          <w:tcPr>
            <w:tcW w:w="1346" w:type="dxa"/>
          </w:tcPr>
          <w:p>
            <w:pPr>
              <w:pStyle w:val="TableParagraph"/>
              <w:spacing w:before="146"/>
              <w:ind w:left="107"/>
              <w:rPr>
                <w:b/>
                <w:sz w:val="21"/>
              </w:rPr>
            </w:pPr>
            <w:r>
              <w:rPr>
                <w:b/>
                <w:sz w:val="21"/>
              </w:rPr>
              <w:t>连续投保</w:t>
            </w:r>
          </w:p>
        </w:tc>
        <w:tc>
          <w:tcPr>
            <w:tcW w:w="6719" w:type="dxa"/>
          </w:tcPr>
          <w:p>
            <w:pPr>
              <w:pStyle w:val="TableParagraph"/>
              <w:spacing w:line="273" w:lineRule="auto" w:before="146"/>
              <w:ind w:left="180" w:right="103"/>
              <w:rPr>
                <w:sz w:val="21"/>
              </w:rPr>
            </w:pPr>
            <w:r>
              <w:rPr>
                <w:spacing w:val="-8"/>
                <w:sz w:val="21"/>
              </w:rPr>
              <w:t>指投保人为被保险人续保同一险种，且续保保单的生效日为原保单到期</w:t>
            </w:r>
            <w:r>
              <w:rPr>
                <w:spacing w:val="-5"/>
                <w:sz w:val="21"/>
              </w:rPr>
              <w:t>日的次日。</w:t>
            </w:r>
          </w:p>
        </w:tc>
      </w:tr>
      <w:tr>
        <w:trPr>
          <w:trHeight w:val="942" w:hRule="atLeast"/>
        </w:trPr>
        <w:tc>
          <w:tcPr>
            <w:tcW w:w="809" w:type="dxa"/>
          </w:tcPr>
          <w:p>
            <w:pPr>
              <w:pStyle w:val="TableParagraph"/>
              <w:spacing w:before="145"/>
              <w:ind w:right="106"/>
              <w:jc w:val="right"/>
              <w:rPr>
                <w:b/>
                <w:sz w:val="21"/>
              </w:rPr>
            </w:pPr>
            <w:r>
              <w:rPr>
                <w:b/>
                <w:sz w:val="21"/>
              </w:rPr>
              <w:t>9.5</w:t>
            </w:r>
          </w:p>
        </w:tc>
        <w:tc>
          <w:tcPr>
            <w:tcW w:w="1346" w:type="dxa"/>
          </w:tcPr>
          <w:p>
            <w:pPr>
              <w:pStyle w:val="TableParagraph"/>
              <w:spacing w:line="273" w:lineRule="auto" w:before="145"/>
              <w:ind w:left="107" w:right="180"/>
              <w:rPr>
                <w:b/>
                <w:sz w:val="21"/>
              </w:rPr>
            </w:pPr>
            <w:r>
              <w:rPr>
                <w:b/>
                <w:sz w:val="21"/>
              </w:rPr>
              <w:t>意外伤害事故</w:t>
            </w:r>
          </w:p>
        </w:tc>
        <w:tc>
          <w:tcPr>
            <w:tcW w:w="6719" w:type="dxa"/>
          </w:tcPr>
          <w:p>
            <w:pPr>
              <w:pStyle w:val="TableParagraph"/>
              <w:spacing w:line="273" w:lineRule="auto" w:before="145"/>
              <w:ind w:left="180" w:right="103"/>
              <w:rPr>
                <w:sz w:val="21"/>
              </w:rPr>
            </w:pPr>
            <w:r>
              <w:rPr>
                <w:spacing w:val="-11"/>
                <w:sz w:val="21"/>
              </w:rPr>
              <w:t>指外来的、突发的、非本意的、非疾病的使被保险人身体受到伤害的客</w:t>
            </w:r>
            <w:r>
              <w:rPr>
                <w:spacing w:val="-7"/>
                <w:sz w:val="21"/>
              </w:rPr>
              <w:t>观事件。</w:t>
            </w:r>
          </w:p>
        </w:tc>
      </w:tr>
      <w:tr>
        <w:trPr>
          <w:trHeight w:val="5725" w:hRule="atLeast"/>
        </w:trPr>
        <w:tc>
          <w:tcPr>
            <w:tcW w:w="809" w:type="dxa"/>
          </w:tcPr>
          <w:p>
            <w:pPr>
              <w:pStyle w:val="TableParagraph"/>
              <w:spacing w:before="146"/>
              <w:ind w:right="106"/>
              <w:jc w:val="right"/>
              <w:rPr>
                <w:b/>
                <w:sz w:val="21"/>
              </w:rPr>
            </w:pPr>
            <w:r>
              <w:rPr>
                <w:b/>
                <w:sz w:val="21"/>
              </w:rPr>
              <w:t>9.6</w:t>
            </w:r>
          </w:p>
        </w:tc>
        <w:tc>
          <w:tcPr>
            <w:tcW w:w="1346" w:type="dxa"/>
          </w:tcPr>
          <w:p>
            <w:pPr>
              <w:pStyle w:val="TableParagraph"/>
              <w:spacing w:before="146"/>
              <w:ind w:left="107"/>
              <w:rPr>
                <w:b/>
                <w:sz w:val="21"/>
              </w:rPr>
            </w:pPr>
            <w:r>
              <w:rPr>
                <w:b/>
                <w:sz w:val="21"/>
              </w:rPr>
              <w:t>重大疾病</w:t>
            </w:r>
          </w:p>
        </w:tc>
        <w:tc>
          <w:tcPr>
            <w:tcW w:w="6719" w:type="dxa"/>
          </w:tcPr>
          <w:p>
            <w:pPr>
              <w:pStyle w:val="TableParagraph"/>
              <w:spacing w:line="273" w:lineRule="auto" w:before="146"/>
              <w:ind w:left="180" w:right="103"/>
              <w:rPr>
                <w:sz w:val="21"/>
              </w:rPr>
            </w:pPr>
            <w:r>
              <w:rPr>
                <w:spacing w:val="-8"/>
                <w:sz w:val="21"/>
              </w:rPr>
              <w:t>指被保险人初次发生符合下列定义的疾病，或初次接受符合下列定义的</w:t>
            </w:r>
            <w:r>
              <w:rPr>
                <w:spacing w:val="-5"/>
                <w:sz w:val="21"/>
              </w:rPr>
              <w:t>手术。该疾病或手术应当由</w:t>
            </w:r>
            <w:r>
              <w:rPr>
                <w:spacing w:val="-3"/>
                <w:sz w:val="21"/>
                <w:shd w:fill="D9D9D9" w:color="auto" w:val="clear"/>
              </w:rPr>
              <w:t>专科医生</w:t>
            </w:r>
            <w:r>
              <w:rPr>
                <w:spacing w:val="-3"/>
                <w:sz w:val="21"/>
              </w:rPr>
              <w:t>(见释义)明确诊断。</w:t>
            </w:r>
          </w:p>
          <w:p>
            <w:pPr>
              <w:pStyle w:val="TableParagraph"/>
              <w:spacing w:before="5"/>
              <w:rPr>
                <w:sz w:val="24"/>
              </w:rPr>
            </w:pPr>
          </w:p>
          <w:p>
            <w:pPr>
              <w:pStyle w:val="TableParagraph"/>
              <w:spacing w:line="273" w:lineRule="auto"/>
              <w:ind w:left="180" w:right="113"/>
              <w:rPr>
                <w:b/>
                <w:sz w:val="21"/>
              </w:rPr>
            </w:pPr>
            <w:r>
              <w:rPr>
                <w:b/>
                <w:sz w:val="21"/>
              </w:rPr>
              <w:t>以下重大疾病定义是由中国保险行业协会与中国医师协会共同制定的重大疾病保险的疾病定义：</w:t>
            </w:r>
          </w:p>
          <w:p>
            <w:pPr>
              <w:pStyle w:val="TableParagraph"/>
              <w:spacing w:before="5"/>
              <w:rPr>
                <w:sz w:val="24"/>
              </w:rPr>
            </w:pPr>
          </w:p>
          <w:p>
            <w:pPr>
              <w:pStyle w:val="TableParagraph"/>
              <w:ind w:left="180"/>
              <w:rPr>
                <w:b/>
                <w:sz w:val="21"/>
              </w:rPr>
            </w:pPr>
            <w:r>
              <w:rPr>
                <w:b/>
                <w:sz w:val="21"/>
              </w:rPr>
              <w:t>（1）恶性肿瘤</w:t>
            </w:r>
          </w:p>
          <w:p>
            <w:pPr>
              <w:pStyle w:val="TableParagraph"/>
              <w:spacing w:line="273" w:lineRule="auto" w:before="37"/>
              <w:ind w:left="180" w:right="21"/>
              <w:rPr>
                <w:sz w:val="21"/>
              </w:rPr>
            </w:pPr>
            <w:r>
              <w:rPr>
                <w:spacing w:val="-3"/>
                <w:sz w:val="21"/>
              </w:rPr>
              <w:t>指恶性细胞不受控制的进行性增长和扩散，浸润和破坏周围正常组织， </w:t>
            </w:r>
            <w:r>
              <w:rPr>
                <w:spacing w:val="-10"/>
                <w:sz w:val="21"/>
              </w:rPr>
              <w:t>可以经血管、淋巴管和体腔扩散转移到身体其它部位的疾病。经病理学</w:t>
            </w:r>
            <w:r>
              <w:rPr>
                <w:spacing w:val="-11"/>
                <w:sz w:val="21"/>
              </w:rPr>
              <w:t>检查结果明确诊断，临床诊断属于世界卫生组织《疾病和有关健康问题</w:t>
            </w:r>
            <w:r>
              <w:rPr>
                <w:spacing w:val="-11"/>
                <w:w w:val="100"/>
                <w:sz w:val="21"/>
              </w:rPr>
              <w:t>的国际统计分类（</w:t>
            </w:r>
            <w:r>
              <w:rPr>
                <w:spacing w:val="-3"/>
                <w:w w:val="100"/>
                <w:sz w:val="21"/>
              </w:rPr>
              <w:t>I</w:t>
            </w:r>
            <w:r>
              <w:rPr>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》的恶性肿瘤范畴。下列疾病不在保障范围</w:t>
            </w:r>
            <w:r>
              <w:rPr>
                <w:spacing w:val="-3"/>
                <w:sz w:val="21"/>
              </w:rPr>
              <w:t>内：</w:t>
            </w:r>
          </w:p>
          <w:p>
            <w:pPr>
              <w:pStyle w:val="TableParagraph"/>
              <w:spacing w:before="8"/>
              <w:ind w:left="180"/>
              <w:rPr>
                <w:sz w:val="21"/>
              </w:rPr>
            </w:pPr>
            <w:r>
              <w:rPr>
                <w:sz w:val="21"/>
              </w:rPr>
              <w:t>① 原位癌；</w:t>
            </w:r>
          </w:p>
          <w:p>
            <w:pPr>
              <w:pStyle w:val="TableParagraph"/>
              <w:spacing w:before="37"/>
              <w:ind w:left="180"/>
              <w:rPr>
                <w:sz w:val="21"/>
              </w:rPr>
            </w:pPr>
            <w:r>
              <w:rPr>
                <w:sz w:val="21"/>
              </w:rPr>
              <w:t>② 相当于 Binet 分期方案 A 期程度的慢性淋巴细胞白血病；</w:t>
            </w:r>
          </w:p>
          <w:p>
            <w:pPr>
              <w:pStyle w:val="TableParagraph"/>
              <w:spacing w:before="37"/>
              <w:ind w:left="180"/>
              <w:rPr>
                <w:sz w:val="21"/>
              </w:rPr>
            </w:pPr>
            <w:r>
              <w:rPr>
                <w:sz w:val="21"/>
              </w:rPr>
              <w:t>③ 相当于 Ann Arbor 分期方案 I 期程度的何杰金氏病；</w:t>
            </w:r>
          </w:p>
          <w:p>
            <w:pPr>
              <w:pStyle w:val="TableParagraph"/>
              <w:spacing w:before="37"/>
              <w:ind w:left="180"/>
              <w:rPr>
                <w:sz w:val="21"/>
              </w:rPr>
            </w:pPr>
            <w:r>
              <w:rPr>
                <w:w w:val="100"/>
                <w:sz w:val="21"/>
              </w:rPr>
              <w:t>④</w:t>
            </w:r>
            <w:r>
              <w:rPr>
                <w:sz w:val="21"/>
              </w:rPr>
              <w:t> </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180"/>
              <w:rPr>
                <w:sz w:val="21"/>
              </w:rPr>
            </w:pPr>
            <w:r>
              <w:rPr>
                <w:position w:val="1"/>
                <w:sz w:val="21"/>
              </w:rPr>
              <w:t>⑤ 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55" w:lineRule="exact" w:before="37"/>
              <w:ind w:left="180"/>
              <w:rPr>
                <w:sz w:val="21"/>
              </w:rPr>
            </w:pPr>
            <w:r>
              <w:rPr>
                <w:sz w:val="21"/>
              </w:rPr>
              <w:t>⑥ 感染艾滋病病毒或患艾滋病期间所患恶性肿瘤。</w:t>
            </w:r>
          </w:p>
        </w:tc>
      </w:tr>
    </w:tbl>
    <w:p>
      <w:pPr>
        <w:spacing w:after="0" w:line="255" w:lineRule="exact"/>
        <w:rPr>
          <w:sz w:val="21"/>
        </w:rPr>
        <w:sectPr>
          <w:pgSz w:w="11910" w:h="16840"/>
          <w:pgMar w:top="1160" w:bottom="280" w:left="1400" w:right="1400"/>
        </w:sectPr>
      </w:pPr>
    </w:p>
    <w:p>
      <w:pPr>
        <w:pStyle w:val="Heading2"/>
        <w:spacing w:before="14"/>
      </w:pPr>
      <w:r>
        <w:rPr/>
        <w:t>（2）急性心肌梗塞</w:t>
      </w:r>
    </w:p>
    <w:p>
      <w:pPr>
        <w:pStyle w:val="BodyText"/>
        <w:spacing w:line="273" w:lineRule="auto"/>
        <w:ind w:right="142"/>
      </w:pPr>
      <w:r>
        <w:rPr/>
        <w:t>指因冠状动脉阻塞导致的相应区域供血不足造成部分心肌坏死。须满足下列至少三项条件：</w:t>
      </w:r>
    </w:p>
    <w:p>
      <w:pPr>
        <w:pStyle w:val="BodyText"/>
        <w:spacing w:before="7"/>
      </w:pPr>
      <w:r>
        <w:rPr/>
        <w:t>① 典型临床表现，例如急性胸痛等；</w:t>
      </w:r>
    </w:p>
    <w:p>
      <w:pPr>
        <w:pStyle w:val="BodyText"/>
      </w:pPr>
      <w:r>
        <w:rPr/>
        <w:t>② 新近的心电图改变提示急性心肌梗塞；</w:t>
      </w:r>
    </w:p>
    <w:p>
      <w:pPr>
        <w:pStyle w:val="BodyText"/>
        <w:spacing w:line="273" w:lineRule="auto"/>
        <w:ind w:left="2487" w:right="221" w:hanging="315"/>
      </w:pPr>
      <w:r>
        <w:rPr/>
        <w:t>③ 心肌酶或肌钙蛋白有诊断意义的升高，或呈符合急性心肌梗塞的动态性变化；</w:t>
      </w:r>
    </w:p>
    <w:p>
      <w:pPr>
        <w:pStyle w:val="BodyText"/>
        <w:spacing w:before="7"/>
      </w:pPr>
      <w:r>
        <w:rPr/>
        <w:t>④ 发病 90 天后，经检查证实左心室功能降低，如左心室射血分数低于</w:t>
      </w:r>
    </w:p>
    <w:p>
      <w:pPr>
        <w:pStyle w:val="BodyText"/>
        <w:spacing w:before="36"/>
        <w:ind w:left="2487"/>
      </w:pPr>
      <w:r>
        <w:rPr/>
        <w:t>50%。</w:t>
      </w:r>
    </w:p>
    <w:p>
      <w:pPr>
        <w:pStyle w:val="BodyText"/>
        <w:spacing w:before="8"/>
        <w:ind w:left="0"/>
        <w:rPr>
          <w:sz w:val="26"/>
        </w:rPr>
      </w:pPr>
    </w:p>
    <w:p>
      <w:pPr>
        <w:pStyle w:val="Heading2"/>
      </w:pPr>
      <w:r>
        <w:rPr/>
        <w:t>（3）脑中风后遗症</w:t>
      </w:r>
    </w:p>
    <w:p>
      <w:pPr>
        <w:pStyle w:val="BodyText"/>
        <w:spacing w:line="273" w:lineRule="auto" w:before="36"/>
        <w:ind w:right="115"/>
      </w:pPr>
      <w:r>
        <w:rPr>
          <w:spacing w:val="-8"/>
        </w:rPr>
        <w:t>指因脑血管的突发病变引起脑血管出血、栓塞或梗塞，并导致神经系统</w:t>
      </w:r>
      <w:r>
        <w:rPr>
          <w:spacing w:val="-18"/>
        </w:rPr>
        <w:t>永久性的功能障碍。神经系统永久性的功能障碍，指疾病确诊 </w:t>
      </w:r>
      <w:r>
        <w:rPr/>
        <w:t>180</w:t>
      </w:r>
      <w:r>
        <w:rPr>
          <w:spacing w:val="-12"/>
        </w:rPr>
        <w:t> 天后， </w:t>
      </w:r>
      <w:r>
        <w:rPr>
          <w:spacing w:val="-6"/>
        </w:rPr>
        <w:t>仍遗留下列一种或一种以上障碍：</w:t>
      </w:r>
    </w:p>
    <w:p>
      <w:pPr>
        <w:pStyle w:val="BodyText"/>
        <w:spacing w:before="7"/>
      </w:pPr>
      <w:r>
        <w:rPr/>
        <w:t>① 一肢或一肢以上</w:t>
      </w:r>
      <w:r>
        <w:rPr>
          <w:shd w:fill="D9D9D9" w:color="auto" w:val="clear"/>
        </w:rPr>
        <w:t>肢体机能完全丧失</w:t>
      </w:r>
      <w:r>
        <w:rPr/>
        <w:t>(见释义)；</w:t>
      </w:r>
    </w:p>
    <w:p>
      <w:pPr>
        <w:pStyle w:val="BodyText"/>
      </w:pPr>
      <w:r>
        <w:rPr/>
        <w:t>② </w:t>
      </w:r>
      <w:r>
        <w:rPr>
          <w:shd w:fill="D9D9D9" w:color="auto" w:val="clear"/>
        </w:rPr>
        <w:t>语言能力或咀嚼吞咽能力完全丧失</w:t>
      </w:r>
      <w:r>
        <w:rPr/>
        <w:t>(见释义)；</w:t>
      </w:r>
    </w:p>
    <w:p>
      <w:pPr>
        <w:pStyle w:val="BodyText"/>
        <w:spacing w:line="273" w:lineRule="auto"/>
        <w:ind w:left="2487" w:right="223" w:hanging="315"/>
      </w:pPr>
      <w:r>
        <w:rPr>
          <w:spacing w:val="-9"/>
        </w:rPr>
        <w:t>③ 自主生活能力完全丧失，无法独立完成</w:t>
      </w:r>
      <w:r>
        <w:rPr>
          <w:spacing w:val="-3"/>
          <w:shd w:fill="D9D9D9" w:color="auto" w:val="clear"/>
        </w:rPr>
        <w:t>六项基本日常生活活动</w:t>
      </w:r>
      <w:r>
        <w:rPr>
          <w:spacing w:val="-3"/>
        </w:rPr>
        <w:t>(见释义)中的三项或三项以上。</w:t>
      </w:r>
    </w:p>
    <w:p>
      <w:pPr>
        <w:pStyle w:val="BodyText"/>
        <w:spacing w:before="5"/>
        <w:ind w:left="0"/>
        <w:rPr>
          <w:sz w:val="24"/>
        </w:rPr>
      </w:pPr>
    </w:p>
    <w:p>
      <w:pPr>
        <w:pStyle w:val="Heading2"/>
      </w:pPr>
      <w:r>
        <w:rPr/>
        <w:t>（4）重大器官移植术或造血干细胞移植术</w:t>
      </w:r>
    </w:p>
    <w:p>
      <w:pPr>
        <w:pStyle w:val="BodyText"/>
        <w:spacing w:line="273" w:lineRule="auto" w:before="36"/>
        <w:ind w:right="221"/>
      </w:pPr>
      <w:r>
        <w:rPr>
          <w:spacing w:val="-9"/>
        </w:rPr>
        <w:t>重大器官移植术，指因相应器官功能衰竭，已经实施了肾脏、肝脏、心</w:t>
      </w:r>
      <w:r>
        <w:rPr>
          <w:spacing w:val="-5"/>
        </w:rPr>
        <w:t>脏或肺脏的异体移植手术。</w:t>
      </w:r>
    </w:p>
    <w:p>
      <w:pPr>
        <w:pStyle w:val="BodyText"/>
        <w:spacing w:line="273" w:lineRule="auto" w:before="7"/>
        <w:ind w:right="220"/>
        <w:jc w:val="both"/>
      </w:pPr>
      <w:r>
        <w:rPr>
          <w:spacing w:val="-10"/>
        </w:rPr>
        <w:t>造血干细胞移植术，指因造血功能损害或造血系统恶性肿瘤，已经实施</w:t>
      </w:r>
      <w:r>
        <w:rPr>
          <w:spacing w:val="-13"/>
        </w:rPr>
        <w:t>了造血干细胞</w:t>
      </w:r>
      <w:r>
        <w:rPr/>
        <w:t>（</w:t>
      </w:r>
      <w:r>
        <w:rPr>
          <w:spacing w:val="-8"/>
        </w:rPr>
        <w:t>包括骨髓造血干细胞、外周血造血干细胞和脐血造血干细胞</w:t>
      </w:r>
      <w:r>
        <w:rPr>
          <w:spacing w:val="-3"/>
        </w:rPr>
        <w:t>）的异体移植手术。</w:t>
      </w:r>
    </w:p>
    <w:p>
      <w:pPr>
        <w:pStyle w:val="BodyText"/>
        <w:spacing w:before="5"/>
        <w:ind w:left="0"/>
        <w:rPr>
          <w:sz w:val="24"/>
        </w:rPr>
      </w:pPr>
    </w:p>
    <w:p>
      <w:pPr>
        <w:pStyle w:val="Heading2"/>
      </w:pPr>
      <w:r>
        <w:rPr/>
        <w:t>（5）冠状动脉搭桥术（或称冠状动脉旁路移植术）</w:t>
      </w:r>
    </w:p>
    <w:p>
      <w:pPr>
        <w:pStyle w:val="BodyText"/>
        <w:spacing w:line="273" w:lineRule="auto" w:before="36"/>
        <w:ind w:right="218"/>
      </w:pPr>
      <w:r>
        <w:rPr>
          <w:spacing w:val="-11"/>
        </w:rPr>
        <w:t>指为治疗严重的冠心病，实际实施了开胸进行的冠状动脉血管旁路移植</w:t>
      </w:r>
      <w:r>
        <w:rPr>
          <w:spacing w:val="-7"/>
        </w:rPr>
        <w:t>的手术。</w:t>
      </w:r>
    </w:p>
    <w:p>
      <w:pPr>
        <w:pStyle w:val="BodyText"/>
        <w:spacing w:line="273" w:lineRule="auto" w:before="7"/>
        <w:ind w:right="220"/>
      </w:pPr>
      <w:r>
        <w:rPr>
          <w:spacing w:val="-10"/>
          <w:shd w:fill="D9D9D9" w:color="auto" w:val="clear"/>
        </w:rPr>
        <w:t>冠状动脉支架植入术、心导管球囊扩张术、激光射频技术及其它非开胸</w:t>
      </w:r>
      <w:r>
        <w:rPr>
          <w:spacing w:val="-5"/>
          <w:shd w:fill="D9D9D9" w:color="auto" w:val="clear"/>
        </w:rPr>
        <w:t>的介入手术、腔镜</w:t>
      </w:r>
      <w:r>
        <w:rPr>
          <w:spacing w:val="-25"/>
          <w:shd w:fill="D9D9D9" w:color="auto" w:val="clear"/>
        </w:rPr>
        <w:t>手术不在保障范围内。</w:t>
      </w:r>
    </w:p>
    <w:p>
      <w:pPr>
        <w:pStyle w:val="BodyText"/>
        <w:spacing w:before="5"/>
        <w:ind w:left="0"/>
        <w:rPr>
          <w:sz w:val="24"/>
        </w:rPr>
      </w:pPr>
    </w:p>
    <w:p>
      <w:pPr>
        <w:pStyle w:val="Heading2"/>
      </w:pPr>
      <w:r>
        <w:rPr/>
        <w:t>（6）终末期肾病（或称慢性肾功能衰竭尿毒症期）</w:t>
      </w:r>
    </w:p>
    <w:p>
      <w:pPr>
        <w:pStyle w:val="BodyText"/>
        <w:spacing w:line="273" w:lineRule="auto" w:before="36"/>
        <w:ind w:right="218"/>
      </w:pPr>
      <w:r>
        <w:rPr>
          <w:spacing w:val="-8"/>
        </w:rPr>
        <w:t>指双肾功能慢性不可逆性衰竭，达到尿毒症期，经诊断后已经进行了至</w:t>
      </w:r>
      <w:r>
        <w:rPr>
          <w:spacing w:val="-24"/>
        </w:rPr>
        <w:t>少 </w:t>
      </w:r>
      <w:r>
        <w:rPr/>
        <w:t>90</w:t>
      </w:r>
      <w:r>
        <w:rPr>
          <w:spacing w:val="-8"/>
        </w:rPr>
        <w:t> 天的规律性透析治疗或实施了肾脏移植手术。</w:t>
      </w:r>
    </w:p>
    <w:p>
      <w:pPr>
        <w:pStyle w:val="BodyText"/>
        <w:spacing w:before="5"/>
        <w:ind w:left="0"/>
        <w:rPr>
          <w:sz w:val="24"/>
        </w:rPr>
      </w:pPr>
    </w:p>
    <w:p>
      <w:pPr>
        <w:pStyle w:val="Heading2"/>
        <w:spacing w:before="1"/>
      </w:pPr>
      <w:r>
        <w:rPr/>
        <w:t>（7）多个肢体缺失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9"/>
        <w:ind w:left="0"/>
        <w:rPr>
          <w:sz w:val="26"/>
        </w:rPr>
      </w:pPr>
    </w:p>
    <w:p>
      <w:pPr>
        <w:pStyle w:val="Heading2"/>
      </w:pPr>
      <w:r>
        <w:rPr/>
        <w:t>（8）急性或亚急性重症肝炎</w:t>
      </w:r>
    </w:p>
    <w:p>
      <w:pPr>
        <w:pStyle w:val="BodyText"/>
        <w:spacing w:line="273" w:lineRule="auto"/>
        <w:ind w:right="220"/>
      </w:pPr>
      <w:r>
        <w:rPr>
          <w:spacing w:val="-7"/>
        </w:rPr>
        <w:t>指因肝炎病毒感染引起肝脏组织弥漫性坏死，导致急性肝功能衰竭，且</w:t>
      </w:r>
      <w:r>
        <w:rPr>
          <w:spacing w:val="-5"/>
        </w:rPr>
        <w:t>经血清学或病毒学检查证实，并须满足下列全部条件：</w:t>
      </w:r>
    </w:p>
    <w:p>
      <w:pPr>
        <w:pStyle w:val="BodyText"/>
        <w:spacing w:before="7"/>
      </w:pPr>
      <w:r>
        <w:rPr/>
        <w:t>① 重度黄疸或黄疸迅速加重；</w:t>
      </w:r>
    </w:p>
    <w:p>
      <w:pPr>
        <w:pStyle w:val="BodyText"/>
        <w:spacing w:before="36"/>
      </w:pPr>
      <w:r>
        <w:rPr/>
        <w:t>② 肝性脑病；</w:t>
      </w:r>
    </w:p>
    <w:p>
      <w:pPr>
        <w:spacing w:after="0"/>
        <w:sectPr>
          <w:pgSz w:w="11910" w:h="16840"/>
          <w:pgMar w:top="1400" w:bottom="280" w:left="1680" w:right="1400"/>
        </w:sectPr>
      </w:pPr>
    </w:p>
    <w:p>
      <w:pPr>
        <w:pStyle w:val="BodyText"/>
        <w:spacing w:before="22"/>
      </w:pPr>
      <w:r>
        <w:rPr/>
        <w:t>③ B 超或其它影像学检查显示肝脏体积急速萎缩；</w:t>
      </w:r>
    </w:p>
    <w:p>
      <w:pPr>
        <w:pStyle w:val="BodyText"/>
      </w:pPr>
      <w:r>
        <w:rPr/>
        <w:t>④ 肝功能指标进行性恶化。</w:t>
      </w:r>
    </w:p>
    <w:p>
      <w:pPr>
        <w:pStyle w:val="BodyText"/>
        <w:spacing w:before="9"/>
        <w:ind w:left="0"/>
        <w:rPr>
          <w:sz w:val="26"/>
        </w:rPr>
      </w:pPr>
    </w:p>
    <w:p>
      <w:pPr>
        <w:pStyle w:val="Heading2"/>
      </w:pPr>
      <w:r>
        <w:rPr/>
        <w:t>（9）良性脑肿瘤</w:t>
      </w:r>
    </w:p>
    <w:p>
      <w:pPr>
        <w:pStyle w:val="BodyText"/>
        <w:spacing w:line="273" w:lineRule="auto"/>
        <w:ind w:right="136"/>
      </w:pPr>
      <w:r>
        <w:rPr/>
        <w:t>指脑的良性肿瘤，已经引起颅内压增高，临床表现为视神经乳头水肿、精神症状、癫痫及运动感觉障碍等，并危及生命。须由头颅断层扫描</w:t>
      </w:r>
    </w:p>
    <w:p>
      <w:pPr>
        <w:pStyle w:val="BodyText"/>
        <w:spacing w:line="273" w:lineRule="auto" w:before="7"/>
        <w:ind w:right="220"/>
      </w:pPr>
      <w:r>
        <w:rPr>
          <w:w w:val="100"/>
        </w:rPr>
        <w:t>（CT</w:t>
      </w:r>
      <w:r>
        <w:rPr>
          <w:spacing w:val="-104"/>
          <w:w w:val="100"/>
        </w:rPr>
        <w:t>）</w:t>
      </w:r>
      <w:r>
        <w:rPr>
          <w:spacing w:val="-3"/>
          <w:w w:val="100"/>
        </w:rPr>
        <w:t>、核磁共振检查</w:t>
      </w:r>
      <w:r>
        <w:rPr>
          <w:w w:val="100"/>
        </w:rPr>
        <w:t>（M</w:t>
      </w:r>
      <w:r>
        <w:rPr>
          <w:spacing w:val="-3"/>
          <w:w w:val="100"/>
        </w:rPr>
        <w:t>R</w:t>
      </w:r>
      <w:r>
        <w:rPr>
          <w:spacing w:val="-1"/>
          <w:w w:val="100"/>
        </w:rPr>
        <w:t>I</w:t>
      </w:r>
      <w:r>
        <w:rPr>
          <w:w w:val="100"/>
        </w:rPr>
        <w:t>）</w:t>
      </w:r>
      <w:r>
        <w:rPr>
          <w:spacing w:val="-2"/>
          <w:w w:val="100"/>
        </w:rPr>
        <w:t>或正电子发射断层扫描</w:t>
      </w:r>
      <w:r>
        <w:rPr>
          <w:w w:val="100"/>
        </w:rPr>
        <w:t>（PET）</w:t>
      </w:r>
      <w:r>
        <w:rPr>
          <w:spacing w:val="-1"/>
          <w:w w:val="100"/>
        </w:rPr>
        <w:t>等影像学</w:t>
      </w:r>
      <w:r>
        <w:rPr>
          <w:spacing w:val="-3"/>
        </w:rPr>
        <w:t>检查证实，并须满足下列至少一项条件：</w:t>
      </w:r>
    </w:p>
    <w:p>
      <w:pPr>
        <w:pStyle w:val="BodyText"/>
        <w:spacing w:before="7"/>
      </w:pPr>
      <w:r>
        <w:rPr/>
        <w:t>① 实际实施了开颅进行的脑肿瘤完全切除或部分切除的手术；</w:t>
      </w:r>
    </w:p>
    <w:p>
      <w:pPr>
        <w:pStyle w:val="BodyText"/>
      </w:pPr>
      <w:r>
        <w:rPr/>
        <w:t>② 实际实施了对脑肿瘤进行的放射治疗。</w:t>
      </w:r>
    </w:p>
    <w:p>
      <w:pPr>
        <w:pStyle w:val="BodyText"/>
      </w:pPr>
      <w:r>
        <w:rPr>
          <w:shd w:fill="D9D9D9" w:color="auto" w:val="clear"/>
        </w:rPr>
        <w:t>脑垂体瘤、脑囊肿、脑血管性疾病不在保障范围内。</w:t>
      </w:r>
    </w:p>
    <w:p>
      <w:pPr>
        <w:pStyle w:val="BodyText"/>
        <w:spacing w:before="8"/>
        <w:ind w:left="0"/>
        <w:rPr>
          <w:sz w:val="26"/>
        </w:rPr>
      </w:pPr>
    </w:p>
    <w:p>
      <w:pPr>
        <w:pStyle w:val="Heading2"/>
        <w:spacing w:before="1"/>
      </w:pPr>
      <w:r>
        <w:rPr/>
        <w:t>（10）慢性肝功能衰竭失代偿期</w:t>
      </w:r>
    </w:p>
    <w:p>
      <w:pPr>
        <w:pStyle w:val="BodyText"/>
        <w:spacing w:before="38"/>
      </w:pPr>
      <w:r>
        <w:rPr/>
        <w:t>指因慢性肝脏疾病导致肝功能衰竭。须满足下列全部条件：</w:t>
      </w:r>
    </w:p>
    <w:p>
      <w:pPr>
        <w:pStyle w:val="BodyText"/>
      </w:pPr>
      <w:r>
        <w:rPr/>
        <w:t>① 持续性黄疸；</w:t>
      </w:r>
    </w:p>
    <w:p>
      <w:pPr>
        <w:pStyle w:val="BodyText"/>
      </w:pPr>
      <w:r>
        <w:rPr/>
        <w:t>② 腹水；</w:t>
      </w:r>
    </w:p>
    <w:p>
      <w:pPr>
        <w:pStyle w:val="BodyText"/>
      </w:pPr>
      <w:r>
        <w:rPr/>
        <w:t>③ 肝性脑病；</w:t>
      </w:r>
    </w:p>
    <w:p>
      <w:pPr>
        <w:pStyle w:val="BodyText"/>
        <w:spacing w:line="273" w:lineRule="auto"/>
        <w:ind w:right="1605"/>
      </w:pPr>
      <w:r>
        <w:rPr/>
        <w:t>④ 充血性脾肿大伴脾功能亢进或食管胃底静脉曲张。</w:t>
      </w:r>
      <w:r>
        <w:rPr>
          <w:shd w:fill="D9D9D9" w:color="auto" w:val="clear"/>
        </w:rPr>
        <w:t>因酗酒或药物滥用导致的肝功能衰竭不在保障范围内。</w:t>
      </w:r>
    </w:p>
    <w:p>
      <w:pPr>
        <w:pStyle w:val="BodyText"/>
        <w:spacing w:before="5"/>
        <w:ind w:left="0"/>
        <w:rPr>
          <w:sz w:val="24"/>
        </w:rPr>
      </w:pPr>
    </w:p>
    <w:p>
      <w:pPr>
        <w:pStyle w:val="Heading2"/>
      </w:pPr>
      <w:r>
        <w:rPr/>
        <w:t>（11）脑炎后遗症或脑膜炎后遗症</w:t>
      </w:r>
    </w:p>
    <w:p>
      <w:pPr>
        <w:pStyle w:val="BodyText"/>
        <w:spacing w:line="273" w:lineRule="auto" w:before="36"/>
        <w:ind w:right="115"/>
      </w:pPr>
      <w:r>
        <w:rPr>
          <w:spacing w:val="-7"/>
        </w:rPr>
        <w:t>指因患脑炎或脑膜炎导致的神经系统永久性的功能障碍。神经系统永久</w:t>
      </w:r>
      <w:r>
        <w:rPr>
          <w:spacing w:val="-15"/>
        </w:rPr>
        <w:t>性的功能障碍，指疾病确诊 </w:t>
      </w:r>
      <w:r>
        <w:rPr/>
        <w:t>180</w:t>
      </w:r>
      <w:r>
        <w:rPr>
          <w:spacing w:val="-14"/>
        </w:rPr>
        <w:t> 天后，仍遗留下列一种或一种以上障碍：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left="2487" w:right="242" w:hanging="315"/>
      </w:pPr>
      <w:r>
        <w:rPr/>
        <w:t>③ 自主生活能力完全丧失，无法独立完成六项基本日常生活活动中的三项或三项以上。</w:t>
      </w:r>
    </w:p>
    <w:p>
      <w:pPr>
        <w:pStyle w:val="BodyText"/>
        <w:spacing w:before="4"/>
        <w:ind w:left="0"/>
        <w:rPr>
          <w:sz w:val="24"/>
        </w:rPr>
      </w:pPr>
    </w:p>
    <w:p>
      <w:pPr>
        <w:pStyle w:val="Heading2"/>
        <w:spacing w:before="1"/>
      </w:pPr>
      <w:r>
        <w:rPr/>
        <w:t>（12）深度昏迷</w:t>
      </w:r>
    </w:p>
    <w:p>
      <w:pPr>
        <w:pStyle w:val="BodyText"/>
        <w:spacing w:line="273" w:lineRule="auto"/>
        <w:ind w:right="136"/>
      </w:pPr>
      <w:r>
        <w:rPr>
          <w:spacing w:val="-3"/>
        </w:rPr>
        <w:t>指因疾病或意外伤害导致意识丧失，对外界刺激和体内需求均无反应， 昏迷程度按照格拉斯哥昏迷分级</w:t>
      </w:r>
      <w:r>
        <w:rPr/>
        <w:t>（Glasgow coma scale）</w:t>
      </w:r>
      <w:r>
        <w:rPr>
          <w:spacing w:val="-14"/>
        </w:rPr>
        <w:t>结果为 </w:t>
      </w:r>
      <w:r>
        <w:rPr/>
        <w:t>5</w:t>
      </w:r>
      <w:r>
        <w:rPr>
          <w:spacing w:val="-19"/>
        </w:rPr>
        <w:t> 分或</w:t>
      </w:r>
    </w:p>
    <w:p>
      <w:pPr>
        <w:pStyle w:val="BodyText"/>
        <w:spacing w:line="273" w:lineRule="auto" w:before="7"/>
        <w:ind w:right="292"/>
      </w:pPr>
      <w:r>
        <w:rPr/>
        <w:t>5</w:t>
      </w:r>
      <w:r>
        <w:rPr>
          <w:spacing w:val="-10"/>
        </w:rPr>
        <w:t> 分以下，且已经持续使用呼吸机及其它生命维持系统 </w:t>
      </w:r>
      <w:r>
        <w:rPr/>
        <w:t>96</w:t>
      </w:r>
      <w:r>
        <w:rPr>
          <w:spacing w:val="-10"/>
        </w:rPr>
        <w:t> 小时以上。</w:t>
      </w:r>
      <w:r>
        <w:rPr>
          <w:spacing w:val="-5"/>
          <w:shd w:fill="D9D9D9" w:color="auto" w:val="clear"/>
        </w:rPr>
        <w:t>因酗酒或药物滥用导致的深度昏迷不在保障范围内。</w:t>
      </w:r>
    </w:p>
    <w:p>
      <w:pPr>
        <w:pStyle w:val="BodyText"/>
        <w:spacing w:before="5"/>
        <w:ind w:left="0"/>
        <w:rPr>
          <w:sz w:val="24"/>
        </w:rPr>
      </w:pPr>
    </w:p>
    <w:p>
      <w:pPr>
        <w:pStyle w:val="Heading2"/>
      </w:pPr>
      <w:r>
        <w:rPr/>
        <w:t>（13）双耳失聪</w:t>
      </w:r>
    </w:p>
    <w:p>
      <w:pPr>
        <w:pStyle w:val="BodyText"/>
      </w:pPr>
      <w:r>
        <w:rPr/>
        <w:t>指因疾病或意外伤害导致双耳听力</w:t>
      </w:r>
      <w:r>
        <w:rPr>
          <w:shd w:fill="D9D9D9" w:color="auto" w:val="clear"/>
        </w:rPr>
        <w:t>永久不可逆性</w:t>
      </w:r>
      <w:r>
        <w:rPr/>
        <w:t>(见释义)丧失，在 500</w:t>
      </w:r>
    </w:p>
    <w:p>
      <w:pPr>
        <w:pStyle w:val="BodyText"/>
        <w:spacing w:line="273" w:lineRule="auto"/>
        <w:ind w:right="218"/>
      </w:pPr>
      <w:r>
        <w:rPr>
          <w:spacing w:val="-1"/>
        </w:rPr>
        <w:t>赫兹、</w:t>
      </w:r>
      <w:r>
        <w:rPr/>
        <w:t>1000</w:t>
      </w:r>
      <w:r>
        <w:rPr>
          <w:spacing w:val="-15"/>
        </w:rPr>
        <w:t> 赫兹和 </w:t>
      </w:r>
      <w:r>
        <w:rPr/>
        <w:t>2000</w:t>
      </w:r>
      <w:r>
        <w:rPr>
          <w:spacing w:val="-9"/>
        </w:rPr>
        <w:t> 赫兹语音频率下，平均听阈大于 </w:t>
      </w:r>
      <w:r>
        <w:rPr/>
        <w:t>90</w:t>
      </w:r>
      <w:r>
        <w:rPr>
          <w:spacing w:val="-8"/>
        </w:rPr>
        <w:t> 分贝，且</w:t>
      </w:r>
      <w:r>
        <w:rPr>
          <w:spacing w:val="-5"/>
        </w:rPr>
        <w:t>经纯音听力测试、声导抗检测或听觉诱发电位检测等证实。</w:t>
      </w:r>
    </w:p>
    <w:p>
      <w:pPr>
        <w:pStyle w:val="BodyText"/>
        <w:spacing w:line="273" w:lineRule="auto" w:before="7"/>
        <w:ind w:right="218"/>
      </w:pPr>
      <w:r>
        <w:rPr>
          <w:spacing w:val="-6"/>
          <w:shd w:fill="D9D9D9" w:color="auto" w:val="clear"/>
        </w:rPr>
        <w:t>被保险人申请理赔时年龄必须在 </w:t>
      </w:r>
      <w:r>
        <w:rPr>
          <w:shd w:fill="D9D9D9" w:color="auto" w:val="clear"/>
        </w:rPr>
        <w:t>3</w:t>
      </w:r>
      <w:r>
        <w:rPr>
          <w:spacing w:val="-20"/>
          <w:shd w:fill="D9D9D9" w:color="auto" w:val="clear"/>
        </w:rPr>
        <w:t> 周岁以上，并且提供 </w:t>
      </w:r>
      <w:r>
        <w:rPr>
          <w:shd w:fill="D9D9D9" w:color="auto" w:val="clear"/>
        </w:rPr>
        <w:t>3</w:t>
      </w:r>
      <w:r>
        <w:rPr>
          <w:spacing w:val="-9"/>
          <w:shd w:fill="D9D9D9" w:color="auto" w:val="clear"/>
        </w:rPr>
        <w:t> 周岁以后的听</w:t>
      </w:r>
      <w:r>
        <w:rPr>
          <w:spacing w:val="-206"/>
          <w:shd w:fill="D9D9D9" w:color="auto" w:val="clear"/>
        </w:rPr>
        <w:t>力</w:t>
      </w:r>
      <w:r>
        <w:rPr>
          <w:spacing w:val="-3"/>
          <w:shd w:fill="D9D9D9" w:color="auto" w:val="clear"/>
        </w:rPr>
        <w:t>丧失诊断及检查证明。</w:t>
      </w:r>
    </w:p>
    <w:p>
      <w:pPr>
        <w:pStyle w:val="BodyText"/>
        <w:spacing w:before="5"/>
        <w:ind w:left="0"/>
        <w:rPr>
          <w:sz w:val="24"/>
        </w:rPr>
      </w:pPr>
    </w:p>
    <w:p>
      <w:pPr>
        <w:pStyle w:val="Heading2"/>
      </w:pPr>
      <w:r>
        <w:rPr/>
        <w:t>（14）双目失明</w:t>
      </w:r>
    </w:p>
    <w:p>
      <w:pPr>
        <w:pStyle w:val="BodyText"/>
        <w:spacing w:line="273" w:lineRule="auto" w:before="36"/>
        <w:ind w:right="218"/>
      </w:pPr>
      <w:r>
        <w:rPr>
          <w:spacing w:val="-7"/>
        </w:rPr>
        <w:t>指因疾病或意外伤害导致双眼视力永久不可逆性丧失，双眼中较好眼须</w:t>
      </w:r>
      <w:r>
        <w:rPr>
          <w:spacing w:val="-5"/>
        </w:rPr>
        <w:t>满足下列至少一项条件：</w:t>
      </w:r>
    </w:p>
    <w:p>
      <w:pPr>
        <w:pStyle w:val="BodyText"/>
        <w:spacing w:before="7"/>
      </w:pPr>
      <w:r>
        <w:rPr/>
        <w:t>① 眼球缺失或摘除；</w:t>
      </w:r>
    </w:p>
    <w:p>
      <w:pPr>
        <w:pStyle w:val="BodyText"/>
      </w:pPr>
      <w:r>
        <w:rPr/>
        <w:t>② 矫正视力低于 0.02（采用国际标准视力表，如果使用其它视力表应</w:t>
      </w:r>
    </w:p>
    <w:p>
      <w:pPr>
        <w:spacing w:after="0"/>
        <w:sectPr>
          <w:pgSz w:w="11910" w:h="16840"/>
          <w:pgMar w:top="1080" w:bottom="280" w:left="1680" w:right="1400"/>
        </w:sectPr>
      </w:pPr>
    </w:p>
    <w:p>
      <w:pPr>
        <w:pStyle w:val="BodyText"/>
        <w:spacing w:before="22"/>
      </w:pPr>
      <w:r>
        <w:rPr>
          <w:spacing w:val="-1"/>
          <w:w w:val="100"/>
        </w:rPr>
        <w:t>进行换算</w:t>
      </w:r>
      <w:r>
        <w:rPr>
          <w:spacing w:val="-108"/>
          <w:w w:val="100"/>
        </w:rPr>
        <w:t>）</w:t>
      </w:r>
      <w:r>
        <w:rPr>
          <w:w w:val="100"/>
        </w:rPr>
        <w:t>；</w:t>
      </w:r>
    </w:p>
    <w:p>
      <w:pPr>
        <w:pStyle w:val="BodyText"/>
      </w:pPr>
      <w:r>
        <w:rPr/>
        <w:t>③ 视野半径小于 5 度。</w:t>
      </w:r>
    </w:p>
    <w:p>
      <w:pPr>
        <w:pStyle w:val="BodyText"/>
        <w:spacing w:line="273" w:lineRule="auto"/>
        <w:ind w:right="218"/>
      </w:pPr>
      <w:r>
        <w:rPr>
          <w:spacing w:val="-6"/>
          <w:shd w:fill="D9D9D9" w:color="auto" w:val="clear"/>
        </w:rPr>
        <w:t>被保险人申请理赔时年龄必须在 </w:t>
      </w:r>
      <w:r>
        <w:rPr>
          <w:shd w:fill="D9D9D9" w:color="auto" w:val="clear"/>
        </w:rPr>
        <w:t>3</w:t>
      </w:r>
      <w:r>
        <w:rPr>
          <w:spacing w:val="-20"/>
          <w:shd w:fill="D9D9D9" w:color="auto" w:val="clear"/>
        </w:rPr>
        <w:t> 周岁以上，并且提供 </w:t>
      </w:r>
      <w:r>
        <w:rPr>
          <w:shd w:fill="D9D9D9" w:color="auto" w:val="clear"/>
        </w:rPr>
        <w:t>3</w:t>
      </w:r>
      <w:r>
        <w:rPr>
          <w:spacing w:val="-9"/>
          <w:shd w:fill="D9D9D9" w:color="auto" w:val="clear"/>
        </w:rPr>
        <w:t> 周岁以后的视力丧</w:t>
      </w:r>
      <w:r>
        <w:rPr>
          <w:spacing w:val="-25"/>
          <w:shd w:fill="D9D9D9" w:color="auto" w:val="clear"/>
        </w:rPr>
        <w:t>失诊断及检查证明。</w:t>
      </w:r>
    </w:p>
    <w:p>
      <w:pPr>
        <w:pStyle w:val="BodyText"/>
        <w:spacing w:before="5"/>
        <w:ind w:left="0"/>
        <w:rPr>
          <w:sz w:val="24"/>
        </w:rPr>
      </w:pPr>
    </w:p>
    <w:p>
      <w:pPr>
        <w:pStyle w:val="Heading2"/>
      </w:pPr>
      <w:r>
        <w:rPr/>
        <w:t>（15）瘫痪</w:t>
      </w:r>
    </w:p>
    <w:p>
      <w:pPr>
        <w:pStyle w:val="BodyText"/>
        <w:spacing w:line="273" w:lineRule="auto" w:before="36"/>
        <w:ind w:right="138"/>
        <w:jc w:val="both"/>
      </w:pPr>
      <w:r>
        <w:rPr>
          <w:spacing w:val="-6"/>
        </w:rPr>
        <w:t>指因疾病或意外伤害导致两肢或两肢以上肢体机能永久完全丧失。肢体</w:t>
      </w:r>
      <w:r>
        <w:rPr>
          <w:spacing w:val="-12"/>
        </w:rPr>
        <w:t>机能永久完全丧失，指疾病确诊 </w:t>
      </w:r>
      <w:r>
        <w:rPr/>
        <w:t>180</w:t>
      </w:r>
      <w:r>
        <w:rPr>
          <w:spacing w:val="-12"/>
        </w:rPr>
        <w:t> 天后或意外伤害发生 </w:t>
      </w:r>
      <w:r>
        <w:rPr/>
        <w:t>180</w:t>
      </w:r>
      <w:r>
        <w:rPr>
          <w:spacing w:val="-20"/>
        </w:rPr>
        <w:t> 天后，每肢</w:t>
      </w:r>
      <w:r>
        <w:rPr>
          <w:spacing w:val="-7"/>
          <w:shd w:fill="D9D9D9" w:color="auto" w:val="clear"/>
        </w:rPr>
        <w:t>三大关节</w:t>
      </w:r>
      <w:r>
        <w:rPr>
          <w:spacing w:val="-3"/>
        </w:rPr>
        <w:t>(见释义)中的两大关节仍然完全僵硬，或不能随意识活动。</w:t>
      </w:r>
    </w:p>
    <w:p>
      <w:pPr>
        <w:pStyle w:val="BodyText"/>
        <w:spacing w:before="4"/>
        <w:ind w:left="0"/>
        <w:rPr>
          <w:sz w:val="24"/>
        </w:rPr>
      </w:pPr>
    </w:p>
    <w:p>
      <w:pPr>
        <w:pStyle w:val="Heading2"/>
        <w:spacing w:before="1"/>
      </w:pPr>
      <w:r>
        <w:rPr/>
        <w:t>（16）心脏瓣膜手术</w:t>
      </w:r>
    </w:p>
    <w:p>
      <w:pPr>
        <w:pStyle w:val="BodyText"/>
        <w:spacing w:line="273" w:lineRule="auto"/>
        <w:ind w:right="218"/>
      </w:pPr>
      <w:r>
        <w:rPr>
          <w:spacing w:val="-11"/>
        </w:rPr>
        <w:t>指为治疗心脏瓣膜疾病，实际实施了开胸进行的心脏瓣膜置换或修复的手术。</w:t>
      </w:r>
    </w:p>
    <w:p>
      <w:pPr>
        <w:pStyle w:val="BodyText"/>
        <w:spacing w:before="6"/>
        <w:ind w:left="0"/>
        <w:rPr>
          <w:sz w:val="24"/>
        </w:rPr>
      </w:pPr>
    </w:p>
    <w:p>
      <w:pPr>
        <w:pStyle w:val="Heading2"/>
      </w:pPr>
      <w:r>
        <w:rPr/>
        <w:t>（17）严重阿尔茨海默病</w:t>
      </w:r>
    </w:p>
    <w:p>
      <w:pPr>
        <w:pStyle w:val="BodyText"/>
        <w:spacing w:line="273" w:lineRule="auto"/>
        <w:ind w:right="112"/>
      </w:pPr>
      <w:r>
        <w:rPr>
          <w:spacing w:val="-10"/>
        </w:rPr>
        <w:t>指因大脑进行性、不可逆性改变导致智能严重衰退或丧失，临床表现为</w:t>
      </w:r>
      <w:r>
        <w:rPr>
          <w:spacing w:val="-11"/>
        </w:rPr>
        <w:t>明显的认知能力障碍、行为异常和社交能力减退，其日常生活必须持续</w:t>
      </w:r>
      <w:r>
        <w:rPr>
          <w:spacing w:val="-8"/>
          <w:w w:val="100"/>
        </w:rPr>
        <w:t>受到他人监护。须由头颅断层扫描</w:t>
      </w:r>
      <w:r>
        <w:rPr>
          <w:spacing w:val="-3"/>
          <w:w w:val="100"/>
        </w:rPr>
        <w:t>（</w:t>
      </w:r>
      <w:r>
        <w:rPr>
          <w:w w:val="100"/>
        </w:rPr>
        <w:t>CT</w:t>
      </w:r>
      <w:r>
        <w:rPr>
          <w:spacing w:val="-106"/>
          <w:w w:val="100"/>
        </w:rPr>
        <w:t>）</w:t>
      </w:r>
      <w:r>
        <w:rPr>
          <w:spacing w:val="-7"/>
          <w:w w:val="100"/>
        </w:rPr>
        <w:t>、核磁共振检查</w:t>
      </w:r>
      <w:r>
        <w:rPr>
          <w:spacing w:val="-2"/>
          <w:w w:val="100"/>
        </w:rPr>
        <w:t>（</w:t>
      </w:r>
      <w:r>
        <w:rPr>
          <w:w w:val="100"/>
        </w:rPr>
        <w:t>MRI</w:t>
      </w:r>
      <w:r>
        <w:rPr>
          <w:spacing w:val="-20"/>
          <w:w w:val="100"/>
        </w:rPr>
        <w:t>）</w:t>
      </w:r>
      <w:r>
        <w:rPr>
          <w:spacing w:val="-2"/>
          <w:w w:val="100"/>
        </w:rPr>
        <w:t>或正电</w:t>
      </w:r>
      <w:r>
        <w:rPr>
          <w:spacing w:val="-7"/>
        </w:rPr>
        <w:t>子发射断层扫描（PET）</w:t>
      </w:r>
      <w:r>
        <w:rPr>
          <w:spacing w:val="-6"/>
        </w:rPr>
        <w:t>等影像学检查证实，且自主生活能力完全丧失， </w:t>
      </w:r>
      <w:r>
        <w:rPr>
          <w:spacing w:val="-4"/>
        </w:rPr>
        <w:t>无法独立完成六项基本日常生活活动中的三项或三项以上。</w:t>
      </w:r>
    </w:p>
    <w:p>
      <w:pPr>
        <w:pStyle w:val="BodyText"/>
        <w:spacing w:before="7"/>
      </w:pPr>
      <w:r>
        <w:rPr>
          <w:shd w:fill="D9D9D9" w:color="auto" w:val="clear"/>
        </w:rPr>
        <w:t>神经官能症和精神疾病不在保障范围内。</w:t>
      </w:r>
    </w:p>
    <w:p>
      <w:pPr>
        <w:pStyle w:val="BodyText"/>
        <w:spacing w:line="273" w:lineRule="auto" w:before="36"/>
        <w:ind w:right="220"/>
      </w:pPr>
      <w:r>
        <w:rPr>
          <w:spacing w:val="-7"/>
          <w:shd w:fill="D9D9D9" w:color="auto" w:val="clear"/>
        </w:rPr>
        <w:t>本公司只对被保险人在 </w:t>
      </w:r>
      <w:r>
        <w:rPr>
          <w:shd w:fill="D9D9D9" w:color="auto" w:val="clear"/>
        </w:rPr>
        <w:t>65</w:t>
      </w:r>
      <w:r>
        <w:rPr>
          <w:spacing w:val="-23"/>
          <w:shd w:fill="D9D9D9" w:color="auto" w:val="clear"/>
        </w:rPr>
        <w:t> 周岁前</w:t>
      </w:r>
      <w:r>
        <w:rPr>
          <w:spacing w:val="-3"/>
          <w:shd w:fill="D9D9D9" w:color="auto" w:val="clear"/>
        </w:rPr>
        <w:t>（</w:t>
      </w:r>
      <w:r>
        <w:rPr>
          <w:spacing w:val="-23"/>
          <w:shd w:fill="D9D9D9" w:color="auto" w:val="clear"/>
        </w:rPr>
        <w:t>含 </w:t>
      </w:r>
      <w:r>
        <w:rPr>
          <w:shd w:fill="D9D9D9" w:color="auto" w:val="clear"/>
        </w:rPr>
        <w:t>65</w:t>
      </w:r>
      <w:r>
        <w:rPr>
          <w:spacing w:val="-17"/>
          <w:shd w:fill="D9D9D9" w:color="auto" w:val="clear"/>
        </w:rPr>
        <w:t> 周岁</w:t>
      </w:r>
      <w:r>
        <w:rPr>
          <w:spacing w:val="-41"/>
          <w:shd w:fill="D9D9D9" w:color="auto" w:val="clear"/>
        </w:rPr>
        <w:t>）</w:t>
      </w:r>
      <w:r>
        <w:rPr>
          <w:spacing w:val="-3"/>
          <w:shd w:fill="D9D9D9" w:color="auto" w:val="clear"/>
        </w:rPr>
        <w:t>被确诊患有本病承担保险责任。</w:t>
      </w:r>
    </w:p>
    <w:p>
      <w:pPr>
        <w:pStyle w:val="BodyText"/>
        <w:spacing w:before="5"/>
        <w:ind w:left="0"/>
        <w:rPr>
          <w:sz w:val="24"/>
        </w:rPr>
      </w:pPr>
    </w:p>
    <w:p>
      <w:pPr>
        <w:pStyle w:val="Heading2"/>
      </w:pPr>
      <w:r>
        <w:rPr/>
        <w:t>（18）严重脑损伤</w:t>
      </w:r>
    </w:p>
    <w:p>
      <w:pPr>
        <w:pStyle w:val="BodyText"/>
        <w:spacing w:line="273" w:lineRule="auto"/>
        <w:ind w:right="112"/>
      </w:pPr>
      <w:r>
        <w:rPr>
          <w:spacing w:val="-9"/>
        </w:rPr>
        <w:t>指因头部遭受机械性外力，引起脑重要部位损伤，导致神经系统永久性</w:t>
      </w:r>
      <w:r>
        <w:rPr>
          <w:spacing w:val="-8"/>
          <w:w w:val="100"/>
        </w:rPr>
        <w:t>的功能障碍。须由头颅断层扫描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7"/>
          <w:w w:val="100"/>
        </w:rPr>
        <w:t>）</w:t>
      </w:r>
      <w:r>
        <w:rPr>
          <w:spacing w:val="-3"/>
          <w:w w:val="100"/>
        </w:rPr>
        <w:t>或正电子</w:t>
      </w:r>
      <w:r>
        <w:rPr>
          <w:spacing w:val="-8"/>
        </w:rPr>
        <w:t>发射断层扫描</w:t>
      </w:r>
      <w:r>
        <w:rPr>
          <w:spacing w:val="-7"/>
        </w:rPr>
        <w:t>（PET）</w:t>
      </w:r>
      <w:r>
        <w:rPr>
          <w:spacing w:val="-6"/>
        </w:rPr>
        <w:t>等影像学检查证实。神经系统永久性的功能障碍， </w:t>
      </w:r>
      <w:r>
        <w:rPr>
          <w:spacing w:val="-12"/>
        </w:rPr>
        <w:t>指脑损伤 </w:t>
      </w:r>
      <w:r>
        <w:rPr/>
        <w:t>180</w:t>
      </w:r>
      <w:r>
        <w:rPr>
          <w:spacing w:val="-7"/>
        </w:rPr>
        <w:t> 天后，仍遗留下列一种或一种以上障碍：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left="2451" w:right="242" w:hanging="279"/>
      </w:pPr>
      <w:r>
        <w:rPr/>
        <w:t>③ 自主生活能力完全丧失，无法独立完成六项基本日常生活活动中的三项或三项以上。</w:t>
      </w:r>
    </w:p>
    <w:p>
      <w:pPr>
        <w:pStyle w:val="BodyText"/>
        <w:spacing w:before="5"/>
        <w:ind w:left="0"/>
        <w:rPr>
          <w:sz w:val="24"/>
        </w:rPr>
      </w:pPr>
    </w:p>
    <w:p>
      <w:pPr>
        <w:pStyle w:val="Heading2"/>
      </w:pPr>
      <w:r>
        <w:rPr/>
        <w:t>（19）严重帕金森病</w:t>
      </w:r>
    </w:p>
    <w:p>
      <w:pPr>
        <w:pStyle w:val="BodyText"/>
        <w:spacing w:line="273" w:lineRule="auto"/>
        <w:ind w:right="113"/>
      </w:pPr>
      <w:r>
        <w:rPr>
          <w:spacing w:val="-13"/>
        </w:rPr>
        <w:t>是一种中枢神经系统的退行性疾病，临床表现为震颤麻痹、共济失调等。</w:t>
      </w:r>
      <w:r>
        <w:rPr>
          <w:spacing w:val="-6"/>
        </w:rPr>
        <w:t>须满足下列全部条件：</w:t>
      </w:r>
    </w:p>
    <w:p>
      <w:pPr>
        <w:pStyle w:val="BodyText"/>
        <w:spacing w:before="8"/>
      </w:pPr>
      <w:r>
        <w:rPr/>
        <w:t>① 药物治疗无法控制病情；</w:t>
      </w:r>
    </w:p>
    <w:p>
      <w:pPr>
        <w:pStyle w:val="BodyText"/>
        <w:spacing w:line="273" w:lineRule="auto"/>
        <w:ind w:left="2451" w:right="242" w:hanging="279"/>
      </w:pPr>
      <w:r>
        <w:rPr/>
        <w:t>② 自主生活能力完全丧失，无法独立完成六项基本日常生活活动中的三项或三项以上。</w:t>
      </w:r>
    </w:p>
    <w:p>
      <w:pPr>
        <w:pStyle w:val="BodyText"/>
        <w:spacing w:before="7"/>
      </w:pPr>
      <w:r>
        <w:rPr>
          <w:shd w:fill="D9D9D9" w:color="auto" w:val="clear"/>
        </w:rPr>
        <w:t>继发性帕金森综合征不在保障范围内。</w:t>
      </w:r>
    </w:p>
    <w:p>
      <w:pPr>
        <w:pStyle w:val="BodyText"/>
        <w:spacing w:line="273" w:lineRule="auto" w:before="36"/>
        <w:ind w:right="220"/>
      </w:pPr>
      <w:r>
        <w:rPr>
          <w:spacing w:val="-7"/>
          <w:shd w:fill="D9D9D9" w:color="auto" w:val="clear"/>
        </w:rPr>
        <w:t>本公司只对被保险人在 </w:t>
      </w:r>
      <w:r>
        <w:rPr>
          <w:shd w:fill="D9D9D9" w:color="auto" w:val="clear"/>
        </w:rPr>
        <w:t>65</w:t>
      </w:r>
      <w:r>
        <w:rPr>
          <w:spacing w:val="-23"/>
          <w:shd w:fill="D9D9D9" w:color="auto" w:val="clear"/>
        </w:rPr>
        <w:t> 周岁前</w:t>
      </w:r>
      <w:r>
        <w:rPr>
          <w:spacing w:val="-3"/>
          <w:shd w:fill="D9D9D9" w:color="auto" w:val="clear"/>
        </w:rPr>
        <w:t>（</w:t>
      </w:r>
      <w:r>
        <w:rPr>
          <w:spacing w:val="-23"/>
          <w:shd w:fill="D9D9D9" w:color="auto" w:val="clear"/>
        </w:rPr>
        <w:t>含 </w:t>
      </w:r>
      <w:r>
        <w:rPr>
          <w:shd w:fill="D9D9D9" w:color="auto" w:val="clear"/>
        </w:rPr>
        <w:t>65</w:t>
      </w:r>
      <w:r>
        <w:rPr>
          <w:spacing w:val="-17"/>
          <w:shd w:fill="D9D9D9" w:color="auto" w:val="clear"/>
        </w:rPr>
        <w:t> 周岁</w:t>
      </w:r>
      <w:r>
        <w:rPr>
          <w:spacing w:val="-41"/>
          <w:shd w:fill="D9D9D9" w:color="auto" w:val="clear"/>
        </w:rPr>
        <w:t>）</w:t>
      </w:r>
      <w:r>
        <w:rPr>
          <w:spacing w:val="-3"/>
          <w:shd w:fill="D9D9D9" w:color="auto" w:val="clear"/>
        </w:rPr>
        <w:t>被确诊患有本病承担保</w:t>
      </w:r>
      <w:r>
        <w:rPr>
          <w:spacing w:val="-207"/>
          <w:shd w:fill="D9D9D9" w:color="auto" w:val="clear"/>
        </w:rPr>
        <w:t>险</w:t>
      </w:r>
      <w:r>
        <w:rPr>
          <w:spacing w:val="-2"/>
          <w:shd w:fill="D9D9D9" w:color="auto" w:val="clear"/>
        </w:rPr>
        <w:t>责任。</w:t>
      </w:r>
    </w:p>
    <w:p>
      <w:pPr>
        <w:pStyle w:val="BodyText"/>
        <w:spacing w:before="4"/>
        <w:ind w:left="0"/>
        <w:rPr>
          <w:sz w:val="24"/>
        </w:rPr>
      </w:pPr>
    </w:p>
    <w:p>
      <w:pPr>
        <w:pStyle w:val="Heading2"/>
        <w:spacing w:before="1"/>
      </w:pPr>
      <w:r>
        <w:rPr/>
        <w:t>（20）严重Ⅲ度烧伤</w:t>
      </w:r>
    </w:p>
    <w:p>
      <w:pPr>
        <w:pStyle w:val="BodyText"/>
      </w:pPr>
      <w:r>
        <w:rPr/>
        <w:t>指烧伤程度为Ⅲ度，且Ⅲ度烧伤的面积达到全身体表面积的 20％或</w:t>
      </w:r>
    </w:p>
    <w:p>
      <w:pPr>
        <w:spacing w:after="0"/>
        <w:sectPr>
          <w:pgSz w:w="11910" w:h="16840"/>
          <w:pgMar w:top="1080" w:bottom="280" w:left="1680" w:right="1400"/>
        </w:sectPr>
      </w:pPr>
    </w:p>
    <w:p>
      <w:pPr>
        <w:pStyle w:val="BodyText"/>
        <w:spacing w:before="22"/>
      </w:pPr>
      <w:r>
        <w:rPr/>
        <w:t>20％以上。体表面积根据《中国新九分法》计算。</w:t>
      </w:r>
    </w:p>
    <w:p>
      <w:pPr>
        <w:pStyle w:val="BodyText"/>
        <w:spacing w:before="9"/>
        <w:ind w:left="0"/>
        <w:rPr>
          <w:sz w:val="26"/>
        </w:rPr>
      </w:pPr>
    </w:p>
    <w:p>
      <w:pPr>
        <w:pStyle w:val="Heading2"/>
      </w:pPr>
      <w:r>
        <w:rPr/>
        <w:t>（21）严重原发性肺动脉高压</w:t>
      </w:r>
    </w:p>
    <w:p>
      <w:pPr>
        <w:pStyle w:val="BodyText"/>
        <w:spacing w:line="273" w:lineRule="auto" w:before="36"/>
        <w:ind w:right="116"/>
      </w:pPr>
      <w:r>
        <w:rPr>
          <w:spacing w:val="-3"/>
        </w:rPr>
        <w:t>指不明原因的肺动脉压力持续性增高，进行性发展而导致的慢性疾病， </w:t>
      </w:r>
      <w:r>
        <w:rPr>
          <w:spacing w:val="-7"/>
        </w:rPr>
        <w:t>已经造成永久不可逆性的体力活动能力受限，达到美国纽约心脏病学会</w:t>
      </w:r>
      <w:r>
        <w:rPr>
          <w:spacing w:val="-6"/>
        </w:rPr>
        <w:t>心功能状态分级Ⅳ级，且静息状态下肺动脉平均压超过 </w:t>
      </w:r>
      <w:r>
        <w:rPr/>
        <w:t>30mmHg。</w:t>
      </w:r>
    </w:p>
    <w:p>
      <w:pPr>
        <w:pStyle w:val="BodyText"/>
        <w:spacing w:before="4"/>
        <w:ind w:left="0"/>
        <w:rPr>
          <w:sz w:val="24"/>
        </w:rPr>
      </w:pPr>
    </w:p>
    <w:p>
      <w:pPr>
        <w:pStyle w:val="Heading2"/>
        <w:spacing w:before="1"/>
      </w:pPr>
      <w:r>
        <w:rPr/>
        <w:t>（22）严重运动神经元病</w:t>
      </w:r>
    </w:p>
    <w:p>
      <w:pPr>
        <w:pStyle w:val="BodyText"/>
        <w:spacing w:line="273" w:lineRule="auto"/>
        <w:ind w:right="116"/>
      </w:pPr>
      <w:r>
        <w:rPr>
          <w:spacing w:val="-7"/>
        </w:rPr>
        <w:t>是一组中枢神经系统运动神经元的进行性变性疾病，包括进行性脊肌萎</w:t>
      </w:r>
      <w:r>
        <w:rPr>
          <w:spacing w:val="-5"/>
        </w:rPr>
        <w:t>缩症、进行性延髓麻痹症、原发性侧索硬化症、肌萎缩性侧索硬化症。</w:t>
      </w:r>
      <w:r>
        <w:rPr>
          <w:spacing w:val="-10"/>
        </w:rPr>
        <w:t>须满足自主生活能力完全丧失，无法独立完成六项基本日常生活活动中</w:t>
      </w:r>
      <w:r>
        <w:rPr>
          <w:spacing w:val="-5"/>
        </w:rPr>
        <w:t>的三项或三项以上的条件。</w:t>
      </w:r>
    </w:p>
    <w:p>
      <w:pPr>
        <w:pStyle w:val="BodyText"/>
        <w:spacing w:before="6"/>
        <w:ind w:left="0"/>
        <w:rPr>
          <w:sz w:val="24"/>
        </w:rPr>
      </w:pPr>
    </w:p>
    <w:p>
      <w:pPr>
        <w:pStyle w:val="Heading2"/>
      </w:pPr>
      <w:r>
        <w:rPr/>
        <w:t>（23）语言能力丧失</w:t>
      </w:r>
    </w:p>
    <w:p>
      <w:pPr>
        <w:pStyle w:val="BodyText"/>
        <w:spacing w:line="273" w:lineRule="auto"/>
        <w:ind w:right="198"/>
        <w:jc w:val="both"/>
      </w:pPr>
      <w:r>
        <w:rPr>
          <w:spacing w:val="-4"/>
        </w:rPr>
        <w:t>指因疾病或意外伤害导致完全丧失语言能力，经过积极治疗至少 </w:t>
      </w:r>
      <w:r>
        <w:rPr/>
        <w:t>12</w:t>
      </w:r>
      <w:r>
        <w:rPr>
          <w:spacing w:val="-14"/>
        </w:rPr>
        <w:t> 个</w:t>
      </w:r>
      <w:r>
        <w:rPr>
          <w:spacing w:val="-14"/>
          <w:w w:val="100"/>
        </w:rPr>
        <w:t>月（</w:t>
      </w:r>
      <w:r>
        <w:rPr>
          <w:spacing w:val="-3"/>
          <w:w w:val="100"/>
        </w:rPr>
        <w:t>声带完全切除不受此时间限制</w:t>
      </w:r>
      <w:r>
        <w:rPr>
          <w:spacing w:val="-108"/>
          <w:w w:val="100"/>
        </w:rPr>
        <w:t>）</w:t>
      </w:r>
      <w:r>
        <w:rPr>
          <w:spacing w:val="-3"/>
          <w:w w:val="100"/>
        </w:rPr>
        <w:t>，仍无法通过现有医疗手段恢复。</w:t>
      </w:r>
      <w:r>
        <w:rPr>
          <w:spacing w:val="-3"/>
          <w:shd w:fill="D9D9D9" w:color="auto" w:val="clear"/>
        </w:rPr>
        <w:t>精神心理因素所致的语言能力丧失不在保障范围内。</w:t>
      </w:r>
    </w:p>
    <w:p>
      <w:pPr>
        <w:pStyle w:val="BodyText"/>
        <w:spacing w:line="273" w:lineRule="auto" w:before="7"/>
        <w:ind w:right="198"/>
      </w:pPr>
      <w:r>
        <w:rPr>
          <w:spacing w:val="-6"/>
          <w:shd w:fill="D9D9D9" w:color="auto" w:val="clear"/>
        </w:rPr>
        <w:t>被保险人申请理赔时年龄必须在 </w:t>
      </w:r>
      <w:r>
        <w:rPr>
          <w:shd w:fill="D9D9D9" w:color="auto" w:val="clear"/>
        </w:rPr>
        <w:t>3</w:t>
      </w:r>
      <w:r>
        <w:rPr>
          <w:spacing w:val="-20"/>
          <w:shd w:fill="D9D9D9" w:color="auto" w:val="clear"/>
        </w:rPr>
        <w:t> 周岁以上，并且提供 </w:t>
      </w:r>
      <w:r>
        <w:rPr>
          <w:shd w:fill="D9D9D9" w:color="auto" w:val="clear"/>
        </w:rPr>
        <w:t>3</w:t>
      </w:r>
      <w:r>
        <w:rPr>
          <w:spacing w:val="-9"/>
          <w:shd w:fill="D9D9D9" w:color="auto" w:val="clear"/>
        </w:rPr>
        <w:t> 周岁以后的语</w:t>
      </w:r>
      <w:r>
        <w:rPr>
          <w:spacing w:val="-206"/>
          <w:shd w:fill="D9D9D9" w:color="auto" w:val="clear"/>
        </w:rPr>
        <w:t>言</w:t>
      </w:r>
      <w:r>
        <w:rPr>
          <w:spacing w:val="-3"/>
          <w:shd w:fill="D9D9D9" w:color="auto" w:val="clear"/>
        </w:rPr>
        <w:t>能力丧失诊断及检查证明。</w:t>
      </w:r>
    </w:p>
    <w:p>
      <w:pPr>
        <w:pStyle w:val="BodyText"/>
        <w:spacing w:before="5"/>
        <w:ind w:left="0"/>
        <w:rPr>
          <w:sz w:val="24"/>
        </w:rPr>
      </w:pPr>
    </w:p>
    <w:p>
      <w:pPr>
        <w:pStyle w:val="Heading2"/>
      </w:pPr>
      <w:r>
        <w:rPr/>
        <w:t>（24）重型再生障碍性贫血</w:t>
      </w:r>
    </w:p>
    <w:p>
      <w:pPr>
        <w:pStyle w:val="BodyText"/>
        <w:spacing w:line="273" w:lineRule="auto"/>
        <w:ind w:right="198"/>
      </w:pPr>
      <w:r>
        <w:rPr>
          <w:spacing w:val="-7"/>
        </w:rPr>
        <w:t>指因骨髓造血功能慢性持续性衰竭导致的贫血、中性粒细胞减少及血小</w:t>
      </w:r>
      <w:r>
        <w:rPr>
          <w:spacing w:val="-5"/>
        </w:rPr>
        <w:t>板减少。须满足下列全部条件：</w:t>
      </w:r>
    </w:p>
    <w:p>
      <w:pPr>
        <w:pStyle w:val="BodyText"/>
        <w:spacing w:before="7"/>
      </w:pPr>
      <w:r>
        <w:rPr/>
        <w:t>① 骨髓穿刺检查或骨髓活检结果支持诊断；</w:t>
      </w:r>
    </w:p>
    <w:p>
      <w:pPr>
        <w:pStyle w:val="BodyText"/>
        <w:spacing w:before="36"/>
      </w:pPr>
      <w:r>
        <w:rPr/>
        <w:t>② 外周血象须具备以下三项条件：</w:t>
      </w:r>
    </w:p>
    <w:p>
      <w:pPr>
        <w:pStyle w:val="BodyText"/>
      </w:pPr>
      <w:r>
        <w:rPr/>
        <w:t>（ⅰ）中性粒细胞绝对值≤0.5×10P</w:t>
      </w:r>
      <w:r>
        <w:rPr>
          <w:position w:val="11"/>
          <w:sz w:val="11"/>
        </w:rPr>
        <w:t>9P</w:t>
      </w:r>
      <w:r>
        <w:rPr/>
        <w:t>/L ；</w:t>
      </w:r>
    </w:p>
    <w:p>
      <w:pPr>
        <w:pStyle w:val="BodyText"/>
      </w:pPr>
      <w:r>
        <w:rPr/>
        <w:t>（ⅱ）网织红细胞＜1%；</w:t>
      </w:r>
    </w:p>
    <w:p>
      <w:pPr>
        <w:pStyle w:val="BodyText"/>
      </w:pPr>
      <w:r>
        <w:rPr/>
        <w:t>（ⅲ）血小板绝对值≤20×10P</w:t>
      </w:r>
      <w:r>
        <w:rPr>
          <w:position w:val="11"/>
          <w:sz w:val="11"/>
        </w:rPr>
        <w:t>9P</w:t>
      </w:r>
      <w:r>
        <w:rPr/>
        <w:t>/L。</w:t>
      </w:r>
    </w:p>
    <w:p>
      <w:pPr>
        <w:pStyle w:val="BodyText"/>
        <w:spacing w:before="8"/>
        <w:ind w:left="0"/>
        <w:rPr>
          <w:sz w:val="26"/>
        </w:rPr>
      </w:pPr>
    </w:p>
    <w:p>
      <w:pPr>
        <w:pStyle w:val="Heading2"/>
        <w:spacing w:before="1"/>
      </w:pPr>
      <w:r>
        <w:rPr/>
        <w:t>（25）主动脉手术</w:t>
      </w:r>
    </w:p>
    <w:p>
      <w:pPr>
        <w:pStyle w:val="BodyText"/>
        <w:spacing w:line="273" w:lineRule="auto"/>
        <w:ind w:right="198"/>
        <w:jc w:val="both"/>
      </w:pPr>
      <w:r>
        <w:rPr>
          <w:spacing w:val="-8"/>
        </w:rPr>
        <w:t>指为治疗主动脉疾病，实际实施了开胸或开腹进行的切除、置换、修补</w:t>
      </w:r>
      <w:r>
        <w:rPr>
          <w:spacing w:val="-11"/>
        </w:rPr>
        <w:t>病损主动脉血管的手术。主动脉指胸主动脉和腹主动脉，不包括胸主动</w:t>
      </w:r>
      <w:r>
        <w:rPr>
          <w:spacing w:val="-6"/>
        </w:rPr>
        <w:t>脉和腹主动脉的分支血管。</w:t>
      </w:r>
    </w:p>
    <w:p>
      <w:pPr>
        <w:pStyle w:val="BodyText"/>
        <w:spacing w:before="7"/>
      </w:pPr>
      <w:r>
        <w:rPr>
          <w:shd w:fill="D9D9D9" w:color="auto" w:val="clear"/>
        </w:rPr>
        <w:t>动脉内血管成形术不在保障范围内。</w:t>
      </w:r>
    </w:p>
    <w:p>
      <w:pPr>
        <w:pStyle w:val="BodyText"/>
        <w:spacing w:before="8"/>
        <w:ind w:left="0"/>
        <w:rPr>
          <w:sz w:val="26"/>
        </w:rPr>
      </w:pPr>
    </w:p>
    <w:p>
      <w:pPr>
        <w:pStyle w:val="Heading2"/>
        <w:spacing w:line="273" w:lineRule="auto"/>
        <w:ind w:right="208"/>
      </w:pPr>
      <w:r>
        <w:rPr/>
        <w:t>以下重大疾病定义是本公司在中国保险行业协会与中国医师协会共同制定的重大疾病保险的疾病种类范围以外增加的疾病定义：</w:t>
      </w:r>
    </w:p>
    <w:p>
      <w:pPr>
        <w:pStyle w:val="BodyText"/>
        <w:spacing w:before="5"/>
        <w:ind w:left="0"/>
        <w:rPr>
          <w:b/>
          <w:sz w:val="24"/>
        </w:rPr>
      </w:pPr>
    </w:p>
    <w:p>
      <w:pPr>
        <w:spacing w:before="0"/>
        <w:ind w:left="2173" w:right="0" w:firstLine="0"/>
        <w:jc w:val="left"/>
        <w:rPr>
          <w:b/>
          <w:sz w:val="21"/>
        </w:rPr>
      </w:pPr>
      <w:r>
        <w:rPr>
          <w:b/>
          <w:sz w:val="21"/>
        </w:rPr>
        <w:t>（26）慢性呼吸功能衰竭</w:t>
      </w:r>
    </w:p>
    <w:p>
      <w:pPr>
        <w:pStyle w:val="BodyText"/>
        <w:spacing w:line="273" w:lineRule="auto"/>
        <w:ind w:right="198"/>
      </w:pPr>
      <w:r>
        <w:rPr>
          <w:spacing w:val="-7"/>
        </w:rPr>
        <w:t>慢性肺部疾病导致永久不可逆性的慢性呼吸功能衰竭，必须由呼吸专科</w:t>
      </w:r>
      <w:r>
        <w:rPr>
          <w:spacing w:val="-5"/>
        </w:rPr>
        <w:t>医师确认并符合下列所有条件：</w:t>
      </w:r>
    </w:p>
    <w:p>
      <w:pPr>
        <w:pStyle w:val="BodyText"/>
        <w:spacing w:before="8"/>
      </w:pPr>
      <w:r>
        <w:rPr/>
        <w:t>① 休息时出现呼吸困难；</w:t>
      </w:r>
    </w:p>
    <w:p>
      <w:pPr>
        <w:pStyle w:val="BodyText"/>
      </w:pPr>
      <w:r>
        <w:rPr>
          <w:position w:val="1"/>
        </w:rPr>
        <w:t>② 动脉血氧分压 （PaO</w:t>
      </w:r>
      <w:r>
        <w:rPr>
          <w:sz w:val="11"/>
        </w:rPr>
        <w:t>2</w:t>
      </w:r>
      <w:r>
        <w:rPr>
          <w:position w:val="1"/>
        </w:rPr>
        <w:t>）&lt; 50mmHg；</w:t>
      </w:r>
    </w:p>
    <w:p>
      <w:pPr>
        <w:pStyle w:val="BodyText"/>
      </w:pPr>
      <w:r>
        <w:rPr>
          <w:position w:val="1"/>
        </w:rPr>
        <w:t>③ 动脉血氧饱和度 （SaO</w:t>
      </w:r>
      <w:r>
        <w:rPr>
          <w:sz w:val="11"/>
        </w:rPr>
        <w:t>2</w:t>
      </w:r>
      <w:r>
        <w:rPr>
          <w:position w:val="1"/>
        </w:rPr>
        <w:t>）&lt; 80％；</w:t>
      </w:r>
    </w:p>
    <w:p>
      <w:pPr>
        <w:pStyle w:val="BodyText"/>
      </w:pPr>
      <w:r>
        <w:rPr/>
        <w:t>④ 因缺氧必须接受持续的输氧治疗。</w:t>
      </w:r>
    </w:p>
    <w:p>
      <w:pPr>
        <w:spacing w:after="0"/>
        <w:sectPr>
          <w:pgSz w:w="11910" w:h="16840"/>
          <w:pgMar w:top="1080" w:bottom="280" w:left="1680" w:right="1420"/>
        </w:sectPr>
      </w:pPr>
    </w:p>
    <w:p>
      <w:pPr>
        <w:pStyle w:val="Heading2"/>
        <w:spacing w:before="22"/>
      </w:pPr>
      <w:r>
        <w:rPr/>
        <w:t>（27）严重多发性硬化</w:t>
      </w:r>
    </w:p>
    <w:p>
      <w:pPr>
        <w:pStyle w:val="BodyText"/>
        <w:spacing w:line="273" w:lineRule="auto"/>
        <w:ind w:right="220"/>
        <w:jc w:val="both"/>
      </w:pPr>
      <w:r>
        <w:rPr/>
        <w:t>多发性硬化为中枢神经系统白质多灶性脱髓鞘病变，病变有时累及灰</w:t>
      </w:r>
      <w:r>
        <w:rPr>
          <w:spacing w:val="-11"/>
        </w:rPr>
        <w:t>质。多发性硬化必须明确诊断，并且已经造成神经系统功能损害导致被</w:t>
      </w:r>
      <w:r>
        <w:rPr>
          <w:spacing w:val="-6"/>
        </w:rPr>
        <w:t>保险人永久不可逆性的无法独立完成下列基本日常生活活动：</w:t>
      </w:r>
    </w:p>
    <w:p>
      <w:pPr>
        <w:pStyle w:val="BodyText"/>
        <w:spacing w:before="7"/>
      </w:pPr>
      <w:r>
        <w:rPr/>
        <w:t>① 移动：自己从一个房间到另一个房间；</w:t>
      </w:r>
    </w:p>
    <w:p>
      <w:pPr>
        <w:pStyle w:val="BodyText"/>
        <w:spacing w:before="36"/>
      </w:pPr>
      <w:r>
        <w:rPr/>
        <w:t>② 进食：自己从已准备好的碗或碟中取食物放入口中。</w:t>
      </w:r>
    </w:p>
    <w:p>
      <w:pPr>
        <w:pStyle w:val="BodyText"/>
        <w:spacing w:before="8"/>
        <w:ind w:left="0"/>
        <w:rPr>
          <w:sz w:val="26"/>
        </w:rPr>
      </w:pPr>
    </w:p>
    <w:p>
      <w:pPr>
        <w:pStyle w:val="Heading2"/>
      </w:pPr>
      <w:r>
        <w:rPr/>
        <w:t>（28）严重冠心病</w:t>
      </w:r>
    </w:p>
    <w:p>
      <w:pPr>
        <w:pStyle w:val="BodyText"/>
      </w:pPr>
      <w:r>
        <w:rPr/>
        <w:t>指经心脏科专科医师根据冠状动脉造影检查结果确诊的三支主要血管</w:t>
      </w:r>
    </w:p>
    <w:p>
      <w:pPr>
        <w:pStyle w:val="BodyText"/>
        <w:spacing w:line="273" w:lineRule="auto"/>
        <w:ind w:right="218"/>
        <w:jc w:val="both"/>
      </w:pPr>
      <w:r>
        <w:rPr/>
        <w:t>（</w:t>
      </w:r>
      <w:r>
        <w:rPr>
          <w:spacing w:val="-7"/>
        </w:rPr>
        <w:t>左冠状动脉主干和右冠状动脉，或前降支、左旋支和右冠状动脉</w:t>
      </w:r>
      <w:r>
        <w:rPr>
          <w:spacing w:val="-29"/>
        </w:rPr>
        <w:t>）</w:t>
      </w:r>
      <w:r>
        <w:rPr/>
        <w:t>严重狭窄性病变（</w:t>
      </w:r>
      <w:r>
        <w:rPr>
          <w:spacing w:val="-1"/>
        </w:rPr>
        <w:t>至少一支血管管腔直径减少 </w:t>
      </w:r>
      <w:r>
        <w:rPr/>
        <w:t>75％</w:t>
      </w:r>
      <w:r>
        <w:rPr>
          <w:spacing w:val="-3"/>
        </w:rPr>
        <w:t>以上和其他两支血管</w:t>
      </w:r>
      <w:r>
        <w:rPr>
          <w:spacing w:val="-7"/>
        </w:rPr>
        <w:t>管腔直径减少 </w:t>
      </w:r>
      <w:r>
        <w:rPr/>
        <w:t>60％以上</w:t>
      </w:r>
      <w:r>
        <w:rPr>
          <w:spacing w:val="-108"/>
        </w:rPr>
        <w:t>）</w:t>
      </w:r>
      <w:r>
        <w:rPr>
          <w:spacing w:val="-17"/>
        </w:rPr>
        <w:t>。</w:t>
      </w:r>
      <w:r>
        <w:rPr>
          <w:spacing w:val="-4"/>
          <w:shd w:fill="D9D9D9" w:color="auto" w:val="clear"/>
        </w:rPr>
        <w:t>前降支、左旋支及右冠状动脉的分支血管的</w:t>
      </w:r>
      <w:r>
        <w:rPr>
          <w:spacing w:val="-208"/>
          <w:shd w:fill="D9D9D9" w:color="auto" w:val="clear"/>
        </w:rPr>
        <w:t>狭</w:t>
      </w:r>
      <w:r>
        <w:rPr>
          <w:spacing w:val="-3"/>
          <w:shd w:fill="D9D9D9" w:color="auto" w:val="clear"/>
        </w:rPr>
        <w:t>窄不作为本保障的衡量指标。</w:t>
      </w:r>
    </w:p>
    <w:p>
      <w:pPr>
        <w:pStyle w:val="BodyText"/>
        <w:spacing w:before="6"/>
        <w:ind w:left="0"/>
        <w:rPr>
          <w:sz w:val="24"/>
        </w:rPr>
      </w:pPr>
    </w:p>
    <w:p>
      <w:pPr>
        <w:pStyle w:val="Heading2"/>
      </w:pPr>
      <w:r>
        <w:rPr/>
        <w:t>（29）严重心肌病</w:t>
      </w:r>
    </w:p>
    <w:p>
      <w:pPr>
        <w:pStyle w:val="BodyText"/>
        <w:spacing w:line="273" w:lineRule="auto"/>
        <w:ind w:right="218"/>
      </w:pPr>
      <w:r>
        <w:rPr/>
        <w:t>指被保险人因心肌病导致慢性心功能损害造成永久不可逆性的心功能</w:t>
      </w:r>
      <w:r>
        <w:rPr>
          <w:spacing w:val="-11"/>
        </w:rPr>
        <w:t>衰竭。心功能衰竭程度达到纽约心脏病学会的心功能分级标准之心功能</w:t>
      </w:r>
    </w:p>
    <w:p>
      <w:pPr>
        <w:pStyle w:val="BodyText"/>
        <w:spacing w:line="273" w:lineRule="auto" w:before="7"/>
        <w:ind w:right="220"/>
      </w:pPr>
      <w:r>
        <w:rPr>
          <w:spacing w:val="-10"/>
        </w:rPr>
        <w:t>Ⅳ级。被保险人永久不可逆性的体力活动能力受限，不能从事任何体力活动。</w:t>
      </w:r>
    </w:p>
    <w:p>
      <w:pPr>
        <w:pStyle w:val="BodyText"/>
        <w:spacing w:before="5"/>
        <w:ind w:left="0"/>
        <w:rPr>
          <w:sz w:val="24"/>
        </w:rPr>
      </w:pPr>
    </w:p>
    <w:p>
      <w:pPr>
        <w:pStyle w:val="Heading2"/>
      </w:pPr>
      <w:r>
        <w:rPr/>
        <w:t>（30）系统性红斑狼疮 － Ⅲ型或Ⅲ型以上狼疮性肾炎</w:t>
      </w:r>
    </w:p>
    <w:p>
      <w:pPr>
        <w:pStyle w:val="BodyText"/>
        <w:spacing w:line="273" w:lineRule="auto"/>
        <w:ind w:right="220"/>
      </w:pPr>
      <w:r>
        <w:rPr>
          <w:spacing w:val="-8"/>
        </w:rPr>
        <w:t>系统性红斑狼疮是由多种因素引起，累及多系统的自身免疫性疾病。其</w:t>
      </w:r>
      <w:r>
        <w:rPr>
          <w:spacing w:val="-5"/>
        </w:rPr>
        <w:t>特点是生成自身抗体对抗多种自身抗原。多见于育龄妇女。</w:t>
      </w:r>
    </w:p>
    <w:p>
      <w:pPr>
        <w:pStyle w:val="BodyText"/>
        <w:spacing w:line="273" w:lineRule="auto" w:before="7"/>
        <w:ind w:right="136"/>
      </w:pPr>
      <w:r>
        <w:rPr>
          <w:spacing w:val="-6"/>
        </w:rPr>
        <w:t>本保单所指的系统性红斑狼疮仅限于累及肾脏</w:t>
      </w:r>
      <w:r>
        <w:rPr>
          <w:spacing w:val="-3"/>
        </w:rPr>
        <w:t>（</w:t>
      </w:r>
      <w:r>
        <w:rPr>
          <w:spacing w:val="-8"/>
        </w:rPr>
        <w:t>经肾脏活检确认的，符</w:t>
      </w:r>
      <w:r>
        <w:rPr>
          <w:spacing w:val="-23"/>
        </w:rPr>
        <w:t>合 </w:t>
      </w:r>
      <w:r>
        <w:rPr/>
        <w:t>WHO</w:t>
      </w:r>
      <w:r>
        <w:rPr>
          <w:spacing w:val="-8"/>
        </w:rPr>
        <w:t> 诊断标准定义Ⅲ型或Ⅲ型以上狼疮性肾炎</w:t>
      </w:r>
      <w:r>
        <w:rPr>
          <w:spacing w:val="-3"/>
        </w:rPr>
        <w:t>）的系统性红斑狼疮。</w:t>
      </w:r>
      <w:r>
        <w:rPr>
          <w:spacing w:val="-10"/>
          <w:shd w:fill="D9D9D9" w:color="auto" w:val="clear"/>
        </w:rPr>
        <w:t>其他类型的红斑性狼疮，如盘状狼疮、仅累及血液及关节的狼疮不在本</w:t>
      </w:r>
      <w:r>
        <w:rPr>
          <w:spacing w:val="-21"/>
          <w:shd w:fill="D9D9D9" w:color="auto" w:val="clear"/>
        </w:rPr>
        <w:t>保单保障范围內。</w:t>
      </w:r>
    </w:p>
    <w:p>
      <w:pPr>
        <w:pStyle w:val="BodyText"/>
        <w:spacing w:line="544" w:lineRule="auto" w:before="7"/>
        <w:ind w:right="2866"/>
      </w:pPr>
      <w:r>
        <w:rPr/>
        <w:pict>
          <v:shape style="position:absolute;margin-left:220.449997pt;margin-top:50.338669pt;width:216.75pt;height:88.6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2797"/>
                  </w:tblGrid>
                  <w:tr>
                    <w:trPr>
                      <w:trHeight w:val="261" w:hRule="atLeast"/>
                    </w:trPr>
                    <w:tc>
                      <w:tcPr>
                        <w:tcW w:w="1537" w:type="dxa"/>
                      </w:tcPr>
                      <w:p>
                        <w:pPr>
                          <w:pStyle w:val="TableParagraph"/>
                          <w:spacing w:line="211" w:lineRule="exact"/>
                          <w:ind w:left="200"/>
                          <w:rPr>
                            <w:sz w:val="21"/>
                          </w:rPr>
                        </w:pPr>
                        <w:r>
                          <w:rPr>
                            <w:sz w:val="21"/>
                          </w:rPr>
                          <w:t>Ⅰ型</w:t>
                        </w:r>
                      </w:p>
                    </w:tc>
                    <w:tc>
                      <w:tcPr>
                        <w:tcW w:w="2797" w:type="dxa"/>
                      </w:tcPr>
                      <w:p>
                        <w:pPr>
                          <w:pStyle w:val="TableParagraph"/>
                          <w:spacing w:line="211" w:lineRule="exact"/>
                          <w:ind w:left="895" w:right="181"/>
                          <w:jc w:val="center"/>
                          <w:rPr>
                            <w:sz w:val="21"/>
                          </w:rPr>
                        </w:pPr>
                        <w:r>
                          <w:rPr>
                            <w:sz w:val="21"/>
                          </w:rPr>
                          <w:t>微小病变型</w:t>
                        </w:r>
                      </w:p>
                    </w:tc>
                  </w:tr>
                  <w:tr>
                    <w:trPr>
                      <w:trHeight w:val="311" w:hRule="atLeast"/>
                    </w:trPr>
                    <w:tc>
                      <w:tcPr>
                        <w:tcW w:w="1537" w:type="dxa"/>
                      </w:tcPr>
                      <w:p>
                        <w:pPr>
                          <w:pStyle w:val="TableParagraph"/>
                          <w:spacing w:line="261" w:lineRule="exact"/>
                          <w:ind w:left="200"/>
                          <w:rPr>
                            <w:sz w:val="21"/>
                          </w:rPr>
                        </w:pPr>
                        <w:r>
                          <w:rPr>
                            <w:sz w:val="21"/>
                          </w:rPr>
                          <w:t>Ⅱ型</w:t>
                        </w:r>
                      </w:p>
                    </w:tc>
                    <w:tc>
                      <w:tcPr>
                        <w:tcW w:w="2797" w:type="dxa"/>
                      </w:tcPr>
                      <w:p>
                        <w:pPr>
                          <w:pStyle w:val="TableParagraph"/>
                          <w:spacing w:line="261" w:lineRule="exact"/>
                          <w:ind w:left="895" w:right="181"/>
                          <w:jc w:val="center"/>
                          <w:rPr>
                            <w:sz w:val="21"/>
                          </w:rPr>
                        </w:pPr>
                        <w:r>
                          <w:rPr>
                            <w:sz w:val="21"/>
                          </w:rPr>
                          <w:t>系膜病变型</w:t>
                        </w:r>
                      </w:p>
                    </w:tc>
                  </w:tr>
                  <w:tr>
                    <w:trPr>
                      <w:trHeight w:val="312" w:hRule="atLeast"/>
                    </w:trPr>
                    <w:tc>
                      <w:tcPr>
                        <w:tcW w:w="1537" w:type="dxa"/>
                      </w:tcPr>
                      <w:p>
                        <w:pPr>
                          <w:pStyle w:val="TableParagraph"/>
                          <w:spacing w:line="261" w:lineRule="exact"/>
                          <w:ind w:left="200"/>
                          <w:rPr>
                            <w:sz w:val="21"/>
                          </w:rPr>
                        </w:pPr>
                        <w:r>
                          <w:rPr>
                            <w:sz w:val="21"/>
                          </w:rPr>
                          <w:t>Ⅲ型</w:t>
                        </w:r>
                      </w:p>
                    </w:tc>
                    <w:tc>
                      <w:tcPr>
                        <w:tcW w:w="2797" w:type="dxa"/>
                      </w:tcPr>
                      <w:p>
                        <w:pPr>
                          <w:pStyle w:val="TableParagraph"/>
                          <w:spacing w:line="261" w:lineRule="exact"/>
                          <w:ind w:left="895" w:right="181"/>
                          <w:jc w:val="center"/>
                          <w:rPr>
                            <w:sz w:val="21"/>
                          </w:rPr>
                        </w:pPr>
                        <w:r>
                          <w:rPr>
                            <w:sz w:val="21"/>
                          </w:rPr>
                          <w:t>局灶及节段增生型</w:t>
                        </w:r>
                      </w:p>
                    </w:tc>
                  </w:tr>
                  <w:tr>
                    <w:trPr>
                      <w:trHeight w:val="312" w:hRule="atLeast"/>
                    </w:trPr>
                    <w:tc>
                      <w:tcPr>
                        <w:tcW w:w="1537" w:type="dxa"/>
                      </w:tcPr>
                      <w:p>
                        <w:pPr>
                          <w:pStyle w:val="TableParagraph"/>
                          <w:spacing w:line="261" w:lineRule="exact"/>
                          <w:ind w:left="200"/>
                          <w:rPr>
                            <w:sz w:val="21"/>
                          </w:rPr>
                        </w:pPr>
                        <w:r>
                          <w:rPr>
                            <w:sz w:val="21"/>
                          </w:rPr>
                          <w:t>Ⅳ型</w:t>
                        </w:r>
                      </w:p>
                    </w:tc>
                    <w:tc>
                      <w:tcPr>
                        <w:tcW w:w="2797" w:type="dxa"/>
                      </w:tcPr>
                      <w:p>
                        <w:pPr>
                          <w:pStyle w:val="TableParagraph"/>
                          <w:spacing w:line="261" w:lineRule="exact"/>
                          <w:ind w:left="895" w:right="181"/>
                          <w:jc w:val="center"/>
                          <w:rPr>
                            <w:sz w:val="21"/>
                          </w:rPr>
                        </w:pPr>
                        <w:r>
                          <w:rPr>
                            <w:sz w:val="21"/>
                          </w:rPr>
                          <w:t>弥漫增生型</w:t>
                        </w:r>
                      </w:p>
                    </w:tc>
                  </w:tr>
                  <w:tr>
                    <w:trPr>
                      <w:trHeight w:val="312" w:hRule="atLeast"/>
                    </w:trPr>
                    <w:tc>
                      <w:tcPr>
                        <w:tcW w:w="1537" w:type="dxa"/>
                      </w:tcPr>
                      <w:p>
                        <w:pPr>
                          <w:pStyle w:val="TableParagraph"/>
                          <w:spacing w:line="261" w:lineRule="exact"/>
                          <w:ind w:left="200"/>
                          <w:rPr>
                            <w:sz w:val="21"/>
                          </w:rPr>
                        </w:pPr>
                        <w:r>
                          <w:rPr>
                            <w:sz w:val="21"/>
                          </w:rPr>
                          <w:t>Ⅴ型</w:t>
                        </w:r>
                      </w:p>
                    </w:tc>
                    <w:tc>
                      <w:tcPr>
                        <w:tcW w:w="2797" w:type="dxa"/>
                      </w:tcPr>
                      <w:p>
                        <w:pPr>
                          <w:pStyle w:val="TableParagraph"/>
                          <w:spacing w:line="261" w:lineRule="exact"/>
                          <w:ind w:left="895" w:right="178"/>
                          <w:jc w:val="center"/>
                          <w:rPr>
                            <w:sz w:val="21"/>
                          </w:rPr>
                        </w:pPr>
                        <w:r>
                          <w:rPr>
                            <w:sz w:val="21"/>
                          </w:rPr>
                          <w:t>膜型</w:t>
                        </w:r>
                      </w:p>
                    </w:tc>
                  </w:tr>
                  <w:tr>
                    <w:trPr>
                      <w:trHeight w:val="261" w:hRule="atLeast"/>
                    </w:trPr>
                    <w:tc>
                      <w:tcPr>
                        <w:tcW w:w="1537" w:type="dxa"/>
                      </w:tcPr>
                      <w:p>
                        <w:pPr>
                          <w:pStyle w:val="TableParagraph"/>
                          <w:spacing w:line="242" w:lineRule="exact"/>
                          <w:ind w:left="200"/>
                          <w:rPr>
                            <w:sz w:val="21"/>
                          </w:rPr>
                        </w:pPr>
                        <w:r>
                          <w:rPr>
                            <w:sz w:val="21"/>
                          </w:rPr>
                          <w:t>Ⅵ型</w:t>
                        </w:r>
                      </w:p>
                    </w:tc>
                    <w:tc>
                      <w:tcPr>
                        <w:tcW w:w="2797" w:type="dxa"/>
                      </w:tcPr>
                      <w:p>
                        <w:pPr>
                          <w:pStyle w:val="TableParagraph"/>
                          <w:spacing w:line="242" w:lineRule="exact"/>
                          <w:ind w:left="895" w:right="178"/>
                          <w:jc w:val="center"/>
                          <w:rPr>
                            <w:sz w:val="21"/>
                          </w:rPr>
                        </w:pPr>
                        <w:r>
                          <w:rPr>
                            <w:sz w:val="21"/>
                          </w:rPr>
                          <w:t>肾小球硬化型</w:t>
                        </w:r>
                      </w:p>
                    </w:tc>
                  </w:tr>
                </w:tbl>
                <w:p>
                  <w:pPr>
                    <w:pStyle w:val="BodyText"/>
                    <w:spacing w:before="0"/>
                    <w:ind w:left="0"/>
                  </w:pPr>
                </w:p>
              </w:txbxContent>
            </v:textbox>
            <w10:wrap type="none"/>
          </v:shape>
        </w:pict>
      </w:r>
      <w:r>
        <w:rPr/>
        <w:t>本病必须由免疫和风湿科专家医师确诊。</w:t>
      </w:r>
      <w:r>
        <w:rPr>
          <w:u w:val="single"/>
        </w:rPr>
        <w:t>世界卫生组织（WHO）狼疮性肾炎分型：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9"/>
        </w:rPr>
      </w:pPr>
    </w:p>
    <w:p>
      <w:pPr>
        <w:pStyle w:val="Heading2"/>
      </w:pPr>
      <w:r>
        <w:rPr/>
        <w:t>（31）经输血导致的人类免疫缺陷病毒感染</w:t>
      </w:r>
    </w:p>
    <w:p>
      <w:pPr>
        <w:pStyle w:val="BodyText"/>
      </w:pPr>
      <w:r>
        <w:rPr/>
        <w:t>被保险人感染上人类免疫缺陷病毒（HIV）并且满足下列全部条件：</w:t>
      </w:r>
    </w:p>
    <w:p>
      <w:pPr>
        <w:pStyle w:val="BodyText"/>
      </w:pPr>
      <w:r>
        <w:rPr/>
        <w:t>① 在保障起始日或复效日之后，被保险人因输血而感染 HIV；</w:t>
      </w:r>
    </w:p>
    <w:p>
      <w:pPr>
        <w:pStyle w:val="BodyText"/>
        <w:spacing w:line="273" w:lineRule="auto"/>
        <w:ind w:left="2485" w:right="221" w:hanging="312"/>
      </w:pPr>
      <w:r>
        <w:rPr/>
        <w:t>② 提供输血治疗的输血中心或医疗机构出具该项输血感染属医疗责任事故的报告，或者法院终审裁定为医疗责任并且不准上诉；</w:t>
      </w:r>
    </w:p>
    <w:p>
      <w:pPr>
        <w:pStyle w:val="BodyText"/>
        <w:spacing w:before="7"/>
      </w:pPr>
      <w:r>
        <w:rPr/>
        <w:t>③ 受感染的被保险人不是血友病患者。</w:t>
      </w:r>
    </w:p>
    <w:p>
      <w:pPr>
        <w:pStyle w:val="BodyText"/>
        <w:spacing w:line="273" w:lineRule="auto" w:before="36"/>
        <w:ind w:right="115"/>
      </w:pPr>
      <w:r>
        <w:rPr>
          <w:spacing w:val="-7"/>
        </w:rPr>
        <w:t>在任何治愈艾滋病</w:t>
      </w:r>
      <w:r>
        <w:rPr>
          <w:spacing w:val="-6"/>
        </w:rPr>
        <w:t>（AIDS）</w:t>
      </w:r>
      <w:r>
        <w:rPr>
          <w:spacing w:val="-14"/>
        </w:rPr>
        <w:t>或阻止 </w:t>
      </w:r>
      <w:r>
        <w:rPr/>
        <w:t>HIV</w:t>
      </w:r>
      <w:r>
        <w:rPr>
          <w:spacing w:val="-10"/>
        </w:rPr>
        <w:t> 病毒作用的疗法被发现以后，或</w:t>
      </w:r>
      <w:r>
        <w:rPr>
          <w:spacing w:val="-14"/>
        </w:rPr>
        <w:t>能防止 </w:t>
      </w:r>
      <w:r>
        <w:rPr/>
        <w:t>AIDS</w:t>
      </w:r>
      <w:r>
        <w:rPr>
          <w:spacing w:val="-13"/>
        </w:rPr>
        <w:t> 发生的医疗方法被研究出来以后，本保障将不再予以赔付。</w:t>
      </w:r>
      <w:r>
        <w:rPr>
          <w:spacing w:val="-9"/>
          <w:shd w:fill="D9D9D9" w:color="auto" w:val="clear"/>
        </w:rPr>
        <w:t>任何因其他传播方式</w:t>
      </w:r>
      <w:r>
        <w:rPr>
          <w:spacing w:val="-3"/>
          <w:shd w:fill="D9D9D9" w:color="auto" w:val="clear"/>
        </w:rPr>
        <w:t>（</w:t>
      </w:r>
      <w:r>
        <w:rPr>
          <w:spacing w:val="-7"/>
          <w:shd w:fill="D9D9D9" w:color="auto" w:val="clear"/>
        </w:rPr>
        <w:t>包括：性传播或静脉注射毒品</w:t>
      </w:r>
      <w:r>
        <w:rPr>
          <w:spacing w:val="-29"/>
          <w:shd w:fill="D9D9D9" w:color="auto" w:val="clear"/>
        </w:rPr>
        <w:t>）</w:t>
      </w:r>
      <w:r>
        <w:rPr>
          <w:spacing w:val="-11"/>
          <w:shd w:fill="D9D9D9" w:color="auto" w:val="clear"/>
        </w:rPr>
        <w:t>导致的 </w:t>
      </w:r>
      <w:r>
        <w:rPr>
          <w:shd w:fill="D9D9D9" w:color="auto" w:val="clear"/>
        </w:rPr>
        <w:t>HIV</w:t>
      </w:r>
      <w:r>
        <w:rPr>
          <w:spacing w:val="-15"/>
          <w:shd w:fill="D9D9D9" w:color="auto" w:val="clear"/>
        </w:rPr>
        <w:t> 感染</w:t>
      </w:r>
    </w:p>
    <w:p>
      <w:pPr>
        <w:spacing w:after="0" w:line="273" w:lineRule="auto"/>
        <w:sectPr>
          <w:pgSz w:w="11910" w:h="16840"/>
          <w:pgMar w:top="1080" w:bottom="280" w:left="1680" w:right="1400"/>
        </w:sectPr>
      </w:pPr>
    </w:p>
    <w:p>
      <w:pPr>
        <w:pStyle w:val="BodyText"/>
        <w:spacing w:line="273" w:lineRule="auto" w:before="22"/>
        <w:ind w:right="22"/>
      </w:pPr>
      <w:r>
        <w:rPr>
          <w:shd w:fill="D9D9D9" w:color="auto" w:val="clear"/>
        </w:rPr>
        <w:t>不在本保单保障范围内。</w:t>
      </w:r>
      <w:r>
        <w:rPr/>
        <w:t>保险公司必须拥有获得使用被保险人的所有血液样本的权利和能够对这些样本进行独立检验的权利。</w:t>
      </w:r>
    </w:p>
    <w:p>
      <w:pPr>
        <w:pStyle w:val="BodyText"/>
        <w:spacing w:before="6"/>
        <w:ind w:left="0"/>
        <w:rPr>
          <w:sz w:val="24"/>
        </w:rPr>
      </w:pPr>
    </w:p>
    <w:p>
      <w:pPr>
        <w:pStyle w:val="Heading2"/>
      </w:pPr>
      <w:r>
        <w:rPr/>
        <w:t>（32）因职业关系导致的人类免疫缺陷病毒（HIV）感染</w:t>
      </w:r>
    </w:p>
    <w:p>
      <w:pPr>
        <w:pStyle w:val="BodyText"/>
        <w:spacing w:line="273" w:lineRule="auto"/>
        <w:ind w:right="98"/>
      </w:pPr>
      <w:r>
        <w:rPr>
          <w:spacing w:val="-7"/>
        </w:rPr>
        <w:t>被保险人在其常规职业工作过程中遭遇外伤，或者职业需要处理血液或</w:t>
      </w:r>
      <w:r>
        <w:rPr>
          <w:spacing w:val="-3"/>
        </w:rPr>
        <w:t>者其他体液时感染上人类免疫缺陷病毒</w:t>
      </w:r>
      <w:r>
        <w:rPr/>
        <w:t>（HIV）。</w:t>
      </w:r>
    </w:p>
    <w:p>
      <w:pPr>
        <w:pStyle w:val="BodyText"/>
        <w:spacing w:before="8"/>
      </w:pPr>
      <w:r>
        <w:rPr/>
        <w:t>必须满足下列全部条件：</w:t>
      </w:r>
    </w:p>
    <w:p>
      <w:pPr>
        <w:pStyle w:val="BodyText"/>
        <w:spacing w:line="273" w:lineRule="auto"/>
        <w:ind w:left="2468" w:right="122" w:hanging="296"/>
      </w:pPr>
      <w:r>
        <w:rPr/>
        <w:t>① 感染必须是在被保险人正在从事其职业工作中发生，该职业必须属于以下列表内的职业；</w:t>
      </w:r>
    </w:p>
    <w:p>
      <w:pPr>
        <w:pStyle w:val="BodyText"/>
        <w:spacing w:before="7"/>
      </w:pPr>
      <w:r>
        <w:rPr/>
        <w:t>② 血清转化必须出现在事故发生后的 6 个月以内；</w:t>
      </w:r>
    </w:p>
    <w:p>
      <w:pPr>
        <w:pStyle w:val="BodyText"/>
        <w:spacing w:line="273" w:lineRule="auto" w:before="36"/>
        <w:ind w:left="2468" w:right="122" w:hanging="296"/>
      </w:pPr>
      <w:r>
        <w:rPr>
          <w:spacing w:val="-6"/>
        </w:rPr>
        <w:t>③ 必须提供被保险人在所报事故发生后的 </w:t>
      </w:r>
      <w:r>
        <w:rPr/>
        <w:t>5</w:t>
      </w:r>
      <w:r>
        <w:rPr>
          <w:spacing w:val="-8"/>
        </w:rPr>
        <w:t> 天以内进行的检查报告， 该报告必须显示被保险人血液 </w:t>
      </w:r>
      <w:r>
        <w:rPr/>
        <w:t>HIV</w:t>
      </w:r>
      <w:r>
        <w:rPr>
          <w:spacing w:val="-10"/>
        </w:rPr>
        <w:t> 病毒阴性和</w:t>
      </w:r>
      <w:r>
        <w:rPr/>
        <w:t>/</w:t>
      </w:r>
      <w:r>
        <w:rPr>
          <w:spacing w:val="-25"/>
        </w:rPr>
        <w:t>或 </w:t>
      </w:r>
      <w:r>
        <w:rPr/>
        <w:t>HIV</w:t>
      </w:r>
      <w:r>
        <w:rPr>
          <w:spacing w:val="-10"/>
        </w:rPr>
        <w:t> 抗体阴性；</w:t>
      </w:r>
    </w:p>
    <w:p>
      <w:pPr>
        <w:pStyle w:val="BodyText"/>
        <w:spacing w:before="7"/>
      </w:pPr>
      <w:r>
        <w:rPr/>
        <w:t>④ 必须在事故发生后的12 个月内证实被保险人体内存在HIV 病毒或者</w:t>
      </w:r>
    </w:p>
    <w:p>
      <w:pPr>
        <w:pStyle w:val="BodyText"/>
        <w:ind w:left="2426" w:right="5193"/>
        <w:jc w:val="center"/>
      </w:pPr>
      <w:r>
        <w:rPr/>
        <w:t>HIV 抗体。</w:t>
      </w:r>
    </w:p>
    <w:p>
      <w:pPr>
        <w:pStyle w:val="BodyText"/>
        <w:spacing w:before="36"/>
      </w:pPr>
      <w:r>
        <w:rPr/>
        <w:t>职业限制如下所示:</w:t>
      </w:r>
    </w:p>
    <w:p>
      <w:pPr>
        <w:pStyle w:val="BodyText"/>
        <w:spacing w:before="8" w:after="1"/>
        <w:ind w:left="0"/>
        <w:rPr>
          <w:sz w:val="7"/>
        </w:rPr>
      </w:pPr>
    </w:p>
    <w:tbl>
      <w:tblPr>
        <w:tblW w:w="0" w:type="auto"/>
        <w:jc w:val="left"/>
        <w:tblInd w:w="2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2334"/>
      </w:tblGrid>
      <w:tr>
        <w:trPr>
          <w:trHeight w:val="261" w:hRule="atLeast"/>
        </w:trPr>
        <w:tc>
          <w:tcPr>
            <w:tcW w:w="2754" w:type="dxa"/>
          </w:tcPr>
          <w:p>
            <w:pPr>
              <w:pStyle w:val="TableParagraph"/>
              <w:spacing w:line="211" w:lineRule="exact"/>
              <w:ind w:left="200"/>
              <w:rPr>
                <w:sz w:val="21"/>
              </w:rPr>
            </w:pPr>
            <w:r>
              <w:rPr>
                <w:sz w:val="21"/>
              </w:rPr>
              <w:t>医生和牙科医生</w:t>
            </w:r>
          </w:p>
        </w:tc>
        <w:tc>
          <w:tcPr>
            <w:tcW w:w="2334" w:type="dxa"/>
          </w:tcPr>
          <w:p>
            <w:pPr>
              <w:pStyle w:val="TableParagraph"/>
              <w:spacing w:line="211" w:lineRule="exact"/>
              <w:ind w:left="660"/>
              <w:rPr>
                <w:sz w:val="21"/>
              </w:rPr>
            </w:pPr>
            <w:r>
              <w:rPr>
                <w:sz w:val="21"/>
              </w:rPr>
              <w:t>护士</w:t>
            </w:r>
          </w:p>
        </w:tc>
      </w:tr>
      <w:tr>
        <w:trPr>
          <w:trHeight w:val="312" w:hRule="atLeast"/>
        </w:trPr>
        <w:tc>
          <w:tcPr>
            <w:tcW w:w="2754" w:type="dxa"/>
          </w:tcPr>
          <w:p>
            <w:pPr>
              <w:pStyle w:val="TableParagraph"/>
              <w:spacing w:line="261" w:lineRule="exact"/>
              <w:ind w:left="200"/>
              <w:rPr>
                <w:sz w:val="21"/>
              </w:rPr>
            </w:pPr>
            <w:r>
              <w:rPr>
                <w:sz w:val="21"/>
              </w:rPr>
              <w:t>实验室工作人员</w:t>
            </w:r>
          </w:p>
        </w:tc>
        <w:tc>
          <w:tcPr>
            <w:tcW w:w="2334" w:type="dxa"/>
          </w:tcPr>
          <w:p>
            <w:pPr>
              <w:pStyle w:val="TableParagraph"/>
              <w:spacing w:line="261" w:lineRule="exact"/>
              <w:ind w:left="660"/>
              <w:rPr>
                <w:sz w:val="21"/>
              </w:rPr>
            </w:pPr>
            <w:r>
              <w:rPr>
                <w:sz w:val="21"/>
              </w:rPr>
              <w:t>医院护工</w:t>
            </w:r>
          </w:p>
        </w:tc>
      </w:tr>
      <w:tr>
        <w:trPr>
          <w:trHeight w:val="312" w:hRule="atLeast"/>
        </w:trPr>
        <w:tc>
          <w:tcPr>
            <w:tcW w:w="2754" w:type="dxa"/>
          </w:tcPr>
          <w:p>
            <w:pPr>
              <w:pStyle w:val="TableParagraph"/>
              <w:spacing w:line="261" w:lineRule="exact"/>
              <w:ind w:left="200"/>
              <w:rPr>
                <w:sz w:val="21"/>
              </w:rPr>
            </w:pPr>
            <w:r>
              <w:rPr>
                <w:sz w:val="21"/>
              </w:rPr>
              <w:t>医生助理和牙医助理</w:t>
            </w:r>
          </w:p>
        </w:tc>
        <w:tc>
          <w:tcPr>
            <w:tcW w:w="2334" w:type="dxa"/>
          </w:tcPr>
          <w:p>
            <w:pPr>
              <w:pStyle w:val="TableParagraph"/>
              <w:spacing w:line="261" w:lineRule="exact"/>
              <w:ind w:left="660"/>
              <w:rPr>
                <w:sz w:val="21"/>
              </w:rPr>
            </w:pPr>
            <w:r>
              <w:rPr>
                <w:sz w:val="21"/>
              </w:rPr>
              <w:t>救护车工作人员</w:t>
            </w:r>
          </w:p>
        </w:tc>
      </w:tr>
      <w:tr>
        <w:trPr>
          <w:trHeight w:val="312" w:hRule="atLeast"/>
        </w:trPr>
        <w:tc>
          <w:tcPr>
            <w:tcW w:w="2754" w:type="dxa"/>
          </w:tcPr>
          <w:p>
            <w:pPr>
              <w:pStyle w:val="TableParagraph"/>
              <w:spacing w:line="261" w:lineRule="exact"/>
              <w:ind w:left="200"/>
              <w:rPr>
                <w:sz w:val="21"/>
              </w:rPr>
            </w:pPr>
            <w:r>
              <w:rPr>
                <w:sz w:val="21"/>
              </w:rPr>
              <w:t>助产士</w:t>
            </w:r>
          </w:p>
        </w:tc>
        <w:tc>
          <w:tcPr>
            <w:tcW w:w="2334" w:type="dxa"/>
          </w:tcPr>
          <w:p>
            <w:pPr>
              <w:pStyle w:val="TableParagraph"/>
              <w:spacing w:line="261" w:lineRule="exact"/>
              <w:ind w:left="660"/>
              <w:rPr>
                <w:sz w:val="21"/>
              </w:rPr>
            </w:pPr>
            <w:r>
              <w:rPr>
                <w:sz w:val="21"/>
              </w:rPr>
              <w:t>消防队员</w:t>
            </w:r>
          </w:p>
        </w:tc>
      </w:tr>
      <w:tr>
        <w:trPr>
          <w:trHeight w:val="261" w:hRule="atLeast"/>
        </w:trPr>
        <w:tc>
          <w:tcPr>
            <w:tcW w:w="2754" w:type="dxa"/>
          </w:tcPr>
          <w:p>
            <w:pPr>
              <w:pStyle w:val="TableParagraph"/>
              <w:spacing w:line="242" w:lineRule="exact"/>
              <w:ind w:left="200"/>
              <w:rPr>
                <w:sz w:val="21"/>
              </w:rPr>
            </w:pPr>
            <w:r>
              <w:rPr>
                <w:sz w:val="21"/>
              </w:rPr>
              <w:t>警察</w:t>
            </w:r>
          </w:p>
        </w:tc>
        <w:tc>
          <w:tcPr>
            <w:tcW w:w="2334" w:type="dxa"/>
          </w:tcPr>
          <w:p>
            <w:pPr>
              <w:pStyle w:val="TableParagraph"/>
              <w:spacing w:line="242" w:lineRule="exact"/>
              <w:ind w:left="660"/>
              <w:rPr>
                <w:sz w:val="21"/>
              </w:rPr>
            </w:pPr>
            <w:r>
              <w:rPr>
                <w:sz w:val="21"/>
              </w:rPr>
              <w:t>狱警</w:t>
            </w:r>
          </w:p>
        </w:tc>
      </w:tr>
    </w:tbl>
    <w:p>
      <w:pPr>
        <w:pStyle w:val="BodyText"/>
        <w:spacing w:before="8"/>
        <w:ind w:left="0"/>
        <w:rPr>
          <w:sz w:val="26"/>
        </w:rPr>
      </w:pPr>
    </w:p>
    <w:p>
      <w:pPr>
        <w:pStyle w:val="Heading2"/>
      </w:pPr>
      <w:r>
        <w:rPr/>
        <w:t>（33）脊髓灰质炎</w:t>
      </w:r>
    </w:p>
    <w:p>
      <w:pPr>
        <w:pStyle w:val="BodyText"/>
        <w:spacing w:line="273" w:lineRule="auto" w:before="36"/>
        <w:ind w:right="98"/>
        <w:jc w:val="both"/>
      </w:pPr>
      <w:r>
        <w:rPr>
          <w:spacing w:val="-7"/>
        </w:rPr>
        <w:t>脊髓灰质炎是由于脊髓灰质炎病毒感染所致的瘫痪性疾病，临床表现为</w:t>
      </w:r>
      <w:r>
        <w:rPr>
          <w:spacing w:val="-10"/>
        </w:rPr>
        <w:t>运动功能损害或呼吸无力。脊髓灰质炎必须明确诊断。本保单仅对脊髓</w:t>
      </w:r>
      <w:r>
        <w:rPr/>
        <w:t>灰质炎造成的神经系统功能损害导致被保险人一肢或一肢以上肢体机</w:t>
      </w:r>
      <w:r>
        <w:rPr>
          <w:spacing w:val="-8"/>
        </w:rPr>
        <w:t>能永久完全丧失的情况予以理赔。肢体机能永久完全丧失，指疾病确诊</w:t>
      </w:r>
    </w:p>
    <w:p>
      <w:pPr>
        <w:pStyle w:val="BodyText"/>
        <w:spacing w:line="273" w:lineRule="auto" w:before="7"/>
        <w:ind w:right="98"/>
      </w:pPr>
      <w:r>
        <w:rPr/>
        <w:t>180</w:t>
      </w:r>
      <w:r>
        <w:rPr>
          <w:spacing w:val="-9"/>
        </w:rPr>
        <w:t> 天后，每肢三大关节中的两大关节仍然完全僵硬，或不能随意识活动。</w:t>
      </w:r>
    </w:p>
    <w:p>
      <w:pPr>
        <w:pStyle w:val="BodyText"/>
        <w:spacing w:before="5"/>
        <w:ind w:left="0"/>
        <w:rPr>
          <w:sz w:val="24"/>
        </w:rPr>
      </w:pPr>
    </w:p>
    <w:p>
      <w:pPr>
        <w:pStyle w:val="Heading2"/>
      </w:pPr>
      <w:r>
        <w:rPr/>
        <w:t>（34）终末期肺病</w:t>
      </w:r>
    </w:p>
    <w:p>
      <w:pPr>
        <w:pStyle w:val="BodyText"/>
      </w:pPr>
      <w:r>
        <w:rPr/>
        <w:t>经呼吸科专科医生明确诊断为终末期肺病，且须同时满足下列条件：</w:t>
      </w:r>
    </w:p>
    <w:p>
      <w:pPr>
        <w:pStyle w:val="BodyText"/>
      </w:pPr>
      <w:r>
        <w:rPr/>
        <w:t>① 肺功能测试其 FEVB1B 持续低于 0.75 升；</w:t>
      </w:r>
    </w:p>
    <w:p>
      <w:pPr>
        <w:pStyle w:val="BodyText"/>
      </w:pPr>
      <w:r>
        <w:rPr/>
        <w:t>② 病人缺氧必须广泛而持续地进行输氧治疗；</w:t>
      </w:r>
    </w:p>
    <w:p>
      <w:pPr>
        <w:pStyle w:val="BodyText"/>
      </w:pPr>
      <w:r>
        <w:rPr/>
        <w:t>③ 动脉血气分析氧分压低于 55mmHg；</w:t>
      </w:r>
    </w:p>
    <w:p>
      <w:pPr>
        <w:pStyle w:val="BodyText"/>
      </w:pPr>
      <w:r>
        <w:rPr/>
        <w:t>④ 出现慢性呼吸功能衰竭。</w:t>
      </w:r>
    </w:p>
    <w:p>
      <w:pPr>
        <w:pStyle w:val="BodyText"/>
      </w:pPr>
      <w:r>
        <w:rPr>
          <w:shd w:fill="D9D9D9" w:color="auto" w:val="clear"/>
        </w:rPr>
        <w:t>因职业因素造成的肺部疾病不在保障范围内。</w:t>
      </w:r>
    </w:p>
    <w:p>
      <w:pPr>
        <w:pStyle w:val="BodyText"/>
        <w:spacing w:before="9"/>
        <w:ind w:left="0"/>
        <w:rPr>
          <w:sz w:val="26"/>
        </w:rPr>
      </w:pPr>
    </w:p>
    <w:p>
      <w:pPr>
        <w:pStyle w:val="Heading2"/>
      </w:pPr>
      <w:r>
        <w:rPr/>
        <w:t>（35）克隆病</w:t>
      </w:r>
    </w:p>
    <w:p>
      <w:pPr>
        <w:pStyle w:val="BodyText"/>
      </w:pPr>
      <w:r>
        <w:rPr/>
        <w:t>指一种肉芽肿性肠炎。且须满足下列所有条件：</w:t>
      </w:r>
    </w:p>
    <w:p>
      <w:pPr>
        <w:pStyle w:val="BodyText"/>
      </w:pPr>
      <w:r>
        <w:rPr/>
        <w:t>① 已经造成瘘管并伴有肠梗阻或肠穿孔；</w:t>
      </w:r>
    </w:p>
    <w:p>
      <w:pPr>
        <w:pStyle w:val="BodyText"/>
      </w:pPr>
      <w:r>
        <w:rPr/>
        <w:t>② 有结肠镜检查和组织病理学检查作为诊断依据。</w:t>
      </w:r>
    </w:p>
    <w:p>
      <w:pPr>
        <w:pStyle w:val="BodyText"/>
        <w:spacing w:before="0"/>
        <w:ind w:left="0"/>
        <w:rPr>
          <w:sz w:val="20"/>
        </w:rPr>
      </w:pPr>
    </w:p>
    <w:p>
      <w:pPr>
        <w:pStyle w:val="BodyText"/>
        <w:spacing w:before="0"/>
        <w:ind w:left="0"/>
        <w:rPr>
          <w:sz w:val="20"/>
        </w:rPr>
      </w:pPr>
    </w:p>
    <w:p>
      <w:pPr>
        <w:pStyle w:val="BodyText"/>
        <w:spacing w:before="137"/>
      </w:pPr>
      <w:r>
        <w:rPr/>
        <w:t>上述重大疾病定义中部分术语释义如下：</w:t>
      </w:r>
    </w:p>
    <w:p>
      <w:pPr>
        <w:pStyle w:val="BodyText"/>
        <w:spacing w:before="36"/>
      </w:pPr>
      <w:r>
        <w:rPr/>
        <w:t>（1）专科医生</w:t>
      </w:r>
    </w:p>
    <w:p>
      <w:pPr>
        <w:pStyle w:val="BodyText"/>
      </w:pPr>
      <w:r>
        <w:rPr/>
        <w:t>专科医生应当同时满足以下四项资格条件：</w:t>
      </w:r>
    </w:p>
    <w:p>
      <w:pPr>
        <w:spacing w:after="0"/>
        <w:sectPr>
          <w:pgSz w:w="11910" w:h="16840"/>
          <w:pgMar w:top="1080" w:bottom="280" w:left="168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240"/>
        <w:gridCol w:w="7024"/>
      </w:tblGrid>
      <w:tr>
        <w:trPr>
          <w:trHeight w:val="9470" w:hRule="atLeast"/>
        </w:trPr>
        <w:tc>
          <w:tcPr>
            <w:tcW w:w="625" w:type="dxa"/>
          </w:tcPr>
          <w:p>
            <w:pPr>
              <w:pStyle w:val="TableParagraph"/>
              <w:rPr>
                <w:rFonts w:ascii="Times New Roman"/>
                <w:sz w:val="20"/>
              </w:rPr>
            </w:pPr>
          </w:p>
        </w:tc>
        <w:tc>
          <w:tcPr>
            <w:tcW w:w="1240" w:type="dxa"/>
          </w:tcPr>
          <w:p>
            <w:pPr>
              <w:pStyle w:val="TableParagraph"/>
              <w:rPr>
                <w:rFonts w:ascii="Times New Roman"/>
                <w:sz w:val="20"/>
              </w:rPr>
            </w:pPr>
          </w:p>
        </w:tc>
        <w:tc>
          <w:tcPr>
            <w:tcW w:w="7024" w:type="dxa"/>
          </w:tcPr>
          <w:p>
            <w:pPr>
              <w:pStyle w:val="TableParagraph"/>
              <w:spacing w:line="211" w:lineRule="exact"/>
              <w:ind w:left="286"/>
              <w:rPr>
                <w:sz w:val="21"/>
              </w:rPr>
            </w:pPr>
            <w:r>
              <w:rPr>
                <w:sz w:val="21"/>
              </w:rPr>
              <w:t>① 具有有效的中华人民共和国《医师资格证书》；</w:t>
            </w:r>
          </w:p>
          <w:p>
            <w:pPr>
              <w:pStyle w:val="TableParagraph"/>
              <w:spacing w:line="273" w:lineRule="auto" w:before="37"/>
              <w:ind w:left="601" w:right="304" w:hanging="315"/>
              <w:rPr>
                <w:sz w:val="21"/>
              </w:rPr>
            </w:pPr>
            <w:r>
              <w:rPr>
                <w:spacing w:val="-12"/>
                <w:sz w:val="21"/>
              </w:rPr>
              <w:t>② 具有有效的中华人民共和国《医师执业证书》，并按期到相关部门登</w:t>
            </w:r>
            <w:r>
              <w:rPr>
                <w:spacing w:val="-7"/>
                <w:sz w:val="21"/>
              </w:rPr>
              <w:t>记注册；</w:t>
            </w:r>
          </w:p>
          <w:p>
            <w:pPr>
              <w:pStyle w:val="TableParagraph"/>
              <w:spacing w:line="273" w:lineRule="auto" w:before="7"/>
              <w:ind w:left="601" w:right="305" w:hanging="315"/>
              <w:rPr>
                <w:sz w:val="21"/>
              </w:rPr>
            </w:pPr>
            <w:r>
              <w:rPr>
                <w:sz w:val="21"/>
              </w:rPr>
              <w:t>③ 具有有效的中华人民共和国主治医师或主治医师以上职称的《医师职称证书》；</w:t>
            </w:r>
          </w:p>
          <w:p>
            <w:pPr>
              <w:pStyle w:val="TableParagraph"/>
              <w:spacing w:before="7"/>
              <w:ind w:left="286"/>
              <w:rPr>
                <w:sz w:val="21"/>
              </w:rPr>
            </w:pPr>
            <w:r>
              <w:rPr>
                <w:sz w:val="21"/>
              </w:rPr>
              <w:t>④ 在二级或二级以上医院的相应科室从事临床工作三年以上。</w:t>
            </w:r>
          </w:p>
          <w:p>
            <w:pPr>
              <w:pStyle w:val="TableParagraph"/>
              <w:spacing w:before="8"/>
              <w:rPr>
                <w:sz w:val="26"/>
              </w:rPr>
            </w:pPr>
          </w:p>
          <w:p>
            <w:pPr>
              <w:pStyle w:val="TableParagraph"/>
              <w:ind w:left="286"/>
              <w:rPr>
                <w:sz w:val="21"/>
              </w:rPr>
            </w:pPr>
            <w:r>
              <w:rPr>
                <w:sz w:val="21"/>
              </w:rPr>
              <w:t>（2）肢体机能完全丧失</w:t>
            </w:r>
          </w:p>
          <w:p>
            <w:pPr>
              <w:pStyle w:val="TableParagraph"/>
              <w:spacing w:line="273" w:lineRule="auto" w:before="36"/>
              <w:ind w:left="286" w:right="302"/>
              <w:rPr>
                <w:sz w:val="21"/>
              </w:rPr>
            </w:pPr>
            <w:r>
              <w:rPr>
                <w:spacing w:val="-7"/>
                <w:sz w:val="21"/>
              </w:rPr>
              <w:t>肢体机能完全丧失是指肢体的三大关节中的两大关节僵硬，或不能随意</w:t>
            </w:r>
            <w:r>
              <w:rPr>
                <w:spacing w:val="-5"/>
                <w:sz w:val="21"/>
              </w:rPr>
              <w:t>识活动。肢体是指包括肩关节的整个上肢或包括髋关节的整个下肢。</w:t>
            </w:r>
          </w:p>
          <w:p>
            <w:pPr>
              <w:pStyle w:val="TableParagraph"/>
              <w:spacing w:before="5"/>
              <w:rPr>
                <w:sz w:val="24"/>
              </w:rPr>
            </w:pPr>
          </w:p>
          <w:p>
            <w:pPr>
              <w:pStyle w:val="TableParagraph"/>
              <w:ind w:left="286"/>
              <w:rPr>
                <w:sz w:val="21"/>
              </w:rPr>
            </w:pPr>
            <w:r>
              <w:rPr>
                <w:sz w:val="21"/>
              </w:rPr>
              <w:t>（3）语言能力或咀嚼吞咽能力完全丧失</w:t>
            </w:r>
          </w:p>
          <w:p>
            <w:pPr>
              <w:pStyle w:val="TableParagraph"/>
              <w:spacing w:line="273" w:lineRule="auto" w:before="37"/>
              <w:ind w:left="286" w:right="302"/>
              <w:jc w:val="both"/>
              <w:rPr>
                <w:sz w:val="21"/>
              </w:rPr>
            </w:pPr>
            <w:r>
              <w:rPr>
                <w:spacing w:val="-5"/>
                <w:sz w:val="21"/>
              </w:rPr>
              <w:t>语言能力完全丧失是指无法发出四种语音</w:t>
            </w:r>
            <w:r>
              <w:rPr>
                <w:spacing w:val="-3"/>
                <w:sz w:val="21"/>
              </w:rPr>
              <w:t>（</w:t>
            </w:r>
            <w:r>
              <w:rPr>
                <w:spacing w:val="-10"/>
                <w:sz w:val="21"/>
              </w:rPr>
              <w:t>包括口唇音、齿舌音、口盖</w:t>
            </w:r>
            <w:r>
              <w:rPr>
                <w:spacing w:val="-6"/>
                <w:sz w:val="21"/>
              </w:rPr>
              <w:t>音和喉头音</w:t>
            </w:r>
            <w:r>
              <w:rPr>
                <w:spacing w:val="-29"/>
                <w:sz w:val="21"/>
              </w:rPr>
              <w:t>）</w:t>
            </w:r>
            <w:r>
              <w:rPr>
                <w:spacing w:val="-9"/>
                <w:sz w:val="21"/>
              </w:rPr>
              <w:t>中的任何三种、或声带全部切除，或因大脑语言中枢受伤</w:t>
            </w:r>
            <w:r>
              <w:rPr>
                <w:spacing w:val="-5"/>
                <w:sz w:val="21"/>
              </w:rPr>
              <w:t>害而患失语症。</w:t>
            </w:r>
          </w:p>
          <w:p>
            <w:pPr>
              <w:pStyle w:val="TableParagraph"/>
              <w:spacing w:line="273" w:lineRule="auto" w:before="8"/>
              <w:ind w:left="286" w:right="222"/>
              <w:rPr>
                <w:sz w:val="21"/>
              </w:rPr>
            </w:pPr>
            <w:r>
              <w:rPr>
                <w:sz w:val="21"/>
              </w:rPr>
              <w:t>咀嚼吞咽能力完全丧失是指因牙齿以外的原因导致器质障碍或机能障碍，以致不能作咀嚼吞咽运动，除流质食物外不能摄取或吞咽的状态。</w:t>
            </w:r>
          </w:p>
          <w:p>
            <w:pPr>
              <w:pStyle w:val="TableParagraph"/>
              <w:spacing w:before="5"/>
              <w:rPr>
                <w:sz w:val="24"/>
              </w:rPr>
            </w:pPr>
          </w:p>
          <w:p>
            <w:pPr>
              <w:pStyle w:val="TableParagraph"/>
              <w:spacing w:line="273" w:lineRule="auto" w:before="1"/>
              <w:ind w:left="286" w:right="4001"/>
              <w:rPr>
                <w:sz w:val="21"/>
              </w:rPr>
            </w:pPr>
            <w:r>
              <w:rPr>
                <w:sz w:val="21"/>
              </w:rPr>
              <w:t>（4）六项基本日常生活活动六项基本日常生活活动是指：</w:t>
            </w:r>
          </w:p>
          <w:p>
            <w:pPr>
              <w:pStyle w:val="TableParagraph"/>
              <w:spacing w:before="8"/>
              <w:ind w:left="286"/>
              <w:rPr>
                <w:sz w:val="21"/>
              </w:rPr>
            </w:pPr>
            <w:r>
              <w:rPr>
                <w:sz w:val="21"/>
              </w:rPr>
              <w:t>① 穿衣：自己能够穿衣及脱衣；</w:t>
            </w:r>
          </w:p>
          <w:p>
            <w:pPr>
              <w:pStyle w:val="TableParagraph"/>
              <w:spacing w:before="37"/>
              <w:ind w:left="286"/>
              <w:rPr>
                <w:sz w:val="21"/>
              </w:rPr>
            </w:pPr>
            <w:r>
              <w:rPr>
                <w:sz w:val="21"/>
              </w:rPr>
              <w:t>② 移动：自己从一个房间到另一个房间；</w:t>
            </w:r>
          </w:p>
          <w:p>
            <w:pPr>
              <w:pStyle w:val="TableParagraph"/>
              <w:spacing w:before="37"/>
              <w:ind w:left="286"/>
              <w:rPr>
                <w:sz w:val="21"/>
              </w:rPr>
            </w:pPr>
            <w:r>
              <w:rPr>
                <w:sz w:val="21"/>
              </w:rPr>
              <w:t>③ 行动：自己上下床或上下轮椅；</w:t>
            </w:r>
          </w:p>
          <w:p>
            <w:pPr>
              <w:pStyle w:val="TableParagraph"/>
              <w:spacing w:before="37"/>
              <w:ind w:left="286"/>
              <w:rPr>
                <w:sz w:val="21"/>
              </w:rPr>
            </w:pPr>
            <w:r>
              <w:rPr>
                <w:sz w:val="21"/>
              </w:rPr>
              <w:t>④ 如厕：自己控制进行大小便；</w:t>
            </w:r>
          </w:p>
          <w:p>
            <w:pPr>
              <w:pStyle w:val="TableParagraph"/>
              <w:spacing w:before="37"/>
              <w:ind w:left="286"/>
              <w:rPr>
                <w:sz w:val="21"/>
              </w:rPr>
            </w:pPr>
            <w:r>
              <w:rPr>
                <w:sz w:val="21"/>
              </w:rPr>
              <w:t>⑤ 进食：自己从已准备好的碗或碟中取食物放入口中；</w:t>
            </w:r>
          </w:p>
          <w:p>
            <w:pPr>
              <w:pStyle w:val="TableParagraph"/>
              <w:spacing w:before="37"/>
              <w:ind w:left="286"/>
              <w:rPr>
                <w:sz w:val="21"/>
              </w:rPr>
            </w:pPr>
            <w:r>
              <w:rPr>
                <w:sz w:val="21"/>
              </w:rPr>
              <w:t>⑥ 洗澡：自己进行淋浴或盆浴。</w:t>
            </w:r>
          </w:p>
          <w:p>
            <w:pPr>
              <w:pStyle w:val="TableParagraph"/>
              <w:spacing w:before="8"/>
              <w:rPr>
                <w:sz w:val="26"/>
              </w:rPr>
            </w:pPr>
          </w:p>
          <w:p>
            <w:pPr>
              <w:pStyle w:val="TableParagraph"/>
              <w:ind w:left="286"/>
              <w:rPr>
                <w:sz w:val="21"/>
              </w:rPr>
            </w:pPr>
            <w:r>
              <w:rPr>
                <w:sz w:val="21"/>
              </w:rPr>
              <w:t>（5）永久不可逆</w:t>
            </w:r>
          </w:p>
          <w:p>
            <w:pPr>
              <w:pStyle w:val="TableParagraph"/>
              <w:spacing w:line="273" w:lineRule="auto" w:before="37"/>
              <w:ind w:left="286" w:right="224"/>
              <w:rPr>
                <w:sz w:val="21"/>
              </w:rPr>
            </w:pPr>
            <w:r>
              <w:rPr>
                <w:sz w:val="21"/>
              </w:rPr>
              <w:t>永久不可逆是指自疾病确诊或意外伤害发生之日起，经过积极治疗 180 天后，仍无法通过现有医疗手段恢复。</w:t>
            </w:r>
          </w:p>
        </w:tc>
      </w:tr>
      <w:tr>
        <w:trPr>
          <w:trHeight w:val="943" w:hRule="atLeast"/>
        </w:trPr>
        <w:tc>
          <w:tcPr>
            <w:tcW w:w="625" w:type="dxa"/>
          </w:tcPr>
          <w:p>
            <w:pPr>
              <w:pStyle w:val="TableParagraph"/>
              <w:rPr>
                <w:rFonts w:ascii="Times New Roman"/>
                <w:sz w:val="20"/>
              </w:rPr>
            </w:pPr>
          </w:p>
        </w:tc>
        <w:tc>
          <w:tcPr>
            <w:tcW w:w="1240" w:type="dxa"/>
          </w:tcPr>
          <w:p>
            <w:pPr>
              <w:pStyle w:val="TableParagraph"/>
              <w:rPr>
                <w:rFonts w:ascii="Times New Roman"/>
                <w:sz w:val="20"/>
              </w:rPr>
            </w:pPr>
          </w:p>
        </w:tc>
        <w:tc>
          <w:tcPr>
            <w:tcW w:w="7024" w:type="dxa"/>
          </w:tcPr>
          <w:p>
            <w:pPr>
              <w:pStyle w:val="TableParagraph"/>
              <w:spacing w:before="146"/>
              <w:ind w:left="286"/>
              <w:rPr>
                <w:sz w:val="21"/>
              </w:rPr>
            </w:pPr>
            <w:r>
              <w:rPr>
                <w:sz w:val="21"/>
              </w:rPr>
              <w:t>（6）三大关节</w:t>
            </w:r>
          </w:p>
          <w:p>
            <w:pPr>
              <w:pStyle w:val="TableParagraph"/>
              <w:spacing w:before="37"/>
              <w:ind w:left="286"/>
              <w:rPr>
                <w:sz w:val="21"/>
              </w:rPr>
            </w:pPr>
            <w:r>
              <w:rPr>
                <w:sz w:val="21"/>
              </w:rPr>
              <w:t>上肢三大关节是指肩、肘、腕关节，下肢三大关节是指髋、膝、踝关节。</w:t>
            </w:r>
          </w:p>
        </w:tc>
      </w:tr>
      <w:tr>
        <w:trPr>
          <w:trHeight w:val="2191" w:hRule="atLeast"/>
        </w:trPr>
        <w:tc>
          <w:tcPr>
            <w:tcW w:w="625" w:type="dxa"/>
          </w:tcPr>
          <w:p>
            <w:pPr>
              <w:pStyle w:val="TableParagraph"/>
              <w:spacing w:before="146"/>
              <w:ind w:right="106"/>
              <w:jc w:val="right"/>
              <w:rPr>
                <w:b/>
                <w:sz w:val="21"/>
              </w:rPr>
            </w:pPr>
            <w:r>
              <w:rPr>
                <w:b/>
                <w:sz w:val="21"/>
              </w:rPr>
              <w:t>9.7</w:t>
            </w:r>
          </w:p>
        </w:tc>
        <w:tc>
          <w:tcPr>
            <w:tcW w:w="1240" w:type="dxa"/>
          </w:tcPr>
          <w:p>
            <w:pPr>
              <w:pStyle w:val="TableParagraph"/>
              <w:spacing w:before="146"/>
              <w:ind w:left="107"/>
              <w:rPr>
                <w:b/>
                <w:sz w:val="21"/>
              </w:rPr>
            </w:pPr>
            <w:r>
              <w:rPr>
                <w:b/>
                <w:sz w:val="21"/>
              </w:rPr>
              <w:t>医疗机构</w:t>
            </w:r>
          </w:p>
        </w:tc>
        <w:tc>
          <w:tcPr>
            <w:tcW w:w="7024" w:type="dxa"/>
          </w:tcPr>
          <w:p>
            <w:pPr>
              <w:pStyle w:val="TableParagraph"/>
              <w:spacing w:line="273" w:lineRule="auto" w:before="146"/>
              <w:ind w:left="286" w:right="220"/>
              <w:rPr>
                <w:sz w:val="21"/>
              </w:rPr>
            </w:pPr>
            <w:r>
              <w:rPr>
                <w:spacing w:val="-8"/>
                <w:sz w:val="21"/>
              </w:rPr>
              <w:t>指本公司与投保人约定的定点医疗机构；未经约定的，则指中华人民共</w:t>
            </w:r>
            <w:r>
              <w:rPr>
                <w:spacing w:val="-15"/>
                <w:sz w:val="21"/>
              </w:rPr>
              <w:t>和国境内</w:t>
            </w:r>
            <w:r>
              <w:rPr>
                <w:spacing w:val="-3"/>
                <w:sz w:val="21"/>
              </w:rPr>
              <w:t>（</w:t>
            </w:r>
            <w:r>
              <w:rPr>
                <w:spacing w:val="-12"/>
                <w:sz w:val="21"/>
              </w:rPr>
              <w:t>港、澳、台地区除外</w:t>
            </w:r>
            <w:r>
              <w:rPr>
                <w:spacing w:val="-74"/>
                <w:sz w:val="21"/>
              </w:rPr>
              <w:t>）</w:t>
            </w:r>
            <w:r>
              <w:rPr>
                <w:spacing w:val="-12"/>
                <w:sz w:val="21"/>
              </w:rPr>
              <w:t>，经国家卫生部门审核的二级以上</w:t>
            </w:r>
            <w:r>
              <w:rPr>
                <w:spacing w:val="-3"/>
                <w:sz w:val="21"/>
              </w:rPr>
              <w:t>（</w:t>
            </w:r>
            <w:r>
              <w:rPr>
                <w:sz w:val="21"/>
              </w:rPr>
              <w:t>含二级</w:t>
            </w:r>
            <w:r>
              <w:rPr>
                <w:spacing w:val="-3"/>
                <w:sz w:val="21"/>
              </w:rPr>
              <w:t>）的综合或专科医院，但不包括附属于前述医院或单独作为诊所、</w:t>
            </w:r>
            <w:r>
              <w:rPr>
                <w:spacing w:val="-11"/>
                <w:sz w:val="21"/>
              </w:rPr>
              <w:t>康复、联合病房、护理、休养、或戒酒、戒毒等医疗机构。该医院必须</w:t>
            </w:r>
            <w:r>
              <w:rPr>
                <w:spacing w:val="-13"/>
                <w:sz w:val="21"/>
              </w:rPr>
              <w:t>具有系统的、充分的诊断设备，全套外科手术设备及提供二十四小时的</w:t>
            </w:r>
            <w:r>
              <w:rPr>
                <w:spacing w:val="-6"/>
                <w:sz w:val="21"/>
              </w:rPr>
              <w:t>医疗与护理服务。</w:t>
            </w:r>
          </w:p>
        </w:tc>
      </w:tr>
      <w:tr>
        <w:trPr>
          <w:trHeight w:val="1357" w:hRule="atLeast"/>
        </w:trPr>
        <w:tc>
          <w:tcPr>
            <w:tcW w:w="625" w:type="dxa"/>
          </w:tcPr>
          <w:p>
            <w:pPr>
              <w:pStyle w:val="TableParagraph"/>
              <w:spacing w:before="146"/>
              <w:ind w:right="106"/>
              <w:jc w:val="right"/>
              <w:rPr>
                <w:b/>
                <w:sz w:val="21"/>
              </w:rPr>
            </w:pPr>
            <w:r>
              <w:rPr>
                <w:b/>
                <w:sz w:val="21"/>
              </w:rPr>
              <w:t>9.8</w:t>
            </w:r>
          </w:p>
        </w:tc>
        <w:tc>
          <w:tcPr>
            <w:tcW w:w="1240" w:type="dxa"/>
          </w:tcPr>
          <w:p>
            <w:pPr>
              <w:pStyle w:val="TableParagraph"/>
              <w:spacing w:before="146"/>
              <w:ind w:left="107"/>
              <w:rPr>
                <w:b/>
                <w:sz w:val="21"/>
              </w:rPr>
            </w:pPr>
            <w:r>
              <w:rPr>
                <w:b/>
                <w:sz w:val="21"/>
              </w:rPr>
              <w:t>毒品</w:t>
            </w:r>
          </w:p>
        </w:tc>
        <w:tc>
          <w:tcPr>
            <w:tcW w:w="7024" w:type="dxa"/>
          </w:tcPr>
          <w:p>
            <w:pPr>
              <w:pStyle w:val="TableParagraph"/>
              <w:spacing w:line="310" w:lineRule="atLeast" w:before="111"/>
              <w:ind w:left="286" w:right="302"/>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11"/>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bl>
    <w:p>
      <w:pPr>
        <w:spacing w:after="0" w:line="310" w:lineRule="atLeast"/>
        <w:jc w:val="both"/>
        <w:rPr>
          <w:sz w:val="21"/>
        </w:rPr>
        <w:sectPr>
          <w:pgSz w:w="11910" w:h="16840"/>
          <w:pgMar w:top="1160" w:bottom="280" w:left="1600" w:right="12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51"/>
        <w:gridCol w:w="6814"/>
      </w:tblGrid>
      <w:tr>
        <w:trPr>
          <w:trHeight w:val="1045" w:hRule="atLeast"/>
        </w:trPr>
        <w:tc>
          <w:tcPr>
            <w:tcW w:w="730" w:type="dxa"/>
          </w:tcPr>
          <w:p>
            <w:pPr>
              <w:pStyle w:val="TableParagraph"/>
              <w:spacing w:line="211" w:lineRule="exact"/>
              <w:ind w:right="105"/>
              <w:jc w:val="right"/>
              <w:rPr>
                <w:b/>
                <w:sz w:val="21"/>
              </w:rPr>
            </w:pPr>
            <w:r>
              <w:rPr>
                <w:b/>
                <w:sz w:val="21"/>
              </w:rPr>
              <w:t>9.9</w:t>
            </w:r>
          </w:p>
        </w:tc>
        <w:tc>
          <w:tcPr>
            <w:tcW w:w="1451" w:type="dxa"/>
          </w:tcPr>
          <w:p>
            <w:pPr>
              <w:pStyle w:val="TableParagraph"/>
              <w:spacing w:line="211" w:lineRule="exact"/>
              <w:ind w:left="108"/>
              <w:rPr>
                <w:b/>
                <w:sz w:val="21"/>
              </w:rPr>
            </w:pPr>
            <w:r>
              <w:rPr>
                <w:b/>
                <w:sz w:val="21"/>
              </w:rPr>
              <w:t>酒后驾驶</w:t>
            </w:r>
          </w:p>
        </w:tc>
        <w:tc>
          <w:tcPr>
            <w:tcW w:w="6814" w:type="dxa"/>
          </w:tcPr>
          <w:p>
            <w:pPr>
              <w:pStyle w:val="TableParagraph"/>
              <w:spacing w:line="211" w:lineRule="exact"/>
              <w:ind w:left="76"/>
              <w:rPr>
                <w:sz w:val="21"/>
              </w:rPr>
            </w:pPr>
            <w:r>
              <w:rPr>
                <w:sz w:val="21"/>
              </w:rPr>
              <w:t>指经检测或鉴定，发生事故时车辆驾驶人员每百毫升血液中的酒精含量</w:t>
            </w:r>
          </w:p>
          <w:p>
            <w:pPr>
              <w:pStyle w:val="TableParagraph"/>
              <w:spacing w:line="273" w:lineRule="auto" w:before="37"/>
              <w:ind w:left="76" w:right="199"/>
              <w:rPr>
                <w:sz w:val="21"/>
              </w:rPr>
            </w:pPr>
            <w:r>
              <w:rPr>
                <w:spacing w:val="-16"/>
                <w:sz w:val="21"/>
              </w:rPr>
              <w:t>达到或超过一定的标准，公安机关交通管理部门依据《道路交通安全法》</w:t>
            </w:r>
            <w:r>
              <w:rPr>
                <w:spacing w:val="-7"/>
                <w:sz w:val="21"/>
              </w:rPr>
              <w:t>的规定认定为饮酒后驾驶或醉酒后驾驶。</w:t>
            </w:r>
          </w:p>
        </w:tc>
      </w:tr>
      <w:tr>
        <w:trPr>
          <w:trHeight w:val="2191" w:hRule="atLeast"/>
        </w:trPr>
        <w:tc>
          <w:tcPr>
            <w:tcW w:w="730" w:type="dxa"/>
          </w:tcPr>
          <w:p>
            <w:pPr>
              <w:pStyle w:val="TableParagraph"/>
              <w:spacing w:before="146"/>
              <w:ind w:right="105"/>
              <w:jc w:val="right"/>
              <w:rPr>
                <w:b/>
                <w:sz w:val="21"/>
              </w:rPr>
            </w:pPr>
            <w:r>
              <w:rPr>
                <w:b/>
                <w:sz w:val="21"/>
              </w:rPr>
              <w:t>9.10</w:t>
            </w:r>
          </w:p>
        </w:tc>
        <w:tc>
          <w:tcPr>
            <w:tcW w:w="1451" w:type="dxa"/>
          </w:tcPr>
          <w:p>
            <w:pPr>
              <w:pStyle w:val="TableParagraph"/>
              <w:spacing w:line="273" w:lineRule="auto" w:before="146"/>
              <w:ind w:left="108" w:right="284"/>
              <w:rPr>
                <w:b/>
                <w:sz w:val="21"/>
              </w:rPr>
            </w:pPr>
            <w:r>
              <w:rPr>
                <w:b/>
                <w:sz w:val="21"/>
              </w:rPr>
              <w:t>无合法有效驾驶证驾驶</w:t>
            </w:r>
          </w:p>
        </w:tc>
        <w:tc>
          <w:tcPr>
            <w:tcW w:w="6814" w:type="dxa"/>
          </w:tcPr>
          <w:p>
            <w:pPr>
              <w:pStyle w:val="TableParagraph"/>
              <w:spacing w:before="146"/>
              <w:ind w:left="76"/>
              <w:rPr>
                <w:sz w:val="21"/>
              </w:rPr>
            </w:pPr>
            <w:r>
              <w:rPr>
                <w:sz w:val="21"/>
              </w:rPr>
              <w:t>指下列情形之一：</w:t>
            </w:r>
          </w:p>
          <w:p>
            <w:pPr>
              <w:pStyle w:val="TableParagraph"/>
              <w:spacing w:before="37"/>
              <w:ind w:left="76"/>
              <w:rPr>
                <w:sz w:val="21"/>
              </w:rPr>
            </w:pPr>
            <w:r>
              <w:rPr>
                <w:sz w:val="21"/>
              </w:rPr>
              <w:t>（1）没有取得驾驶资格；</w:t>
            </w:r>
          </w:p>
          <w:p>
            <w:pPr>
              <w:pStyle w:val="TableParagraph"/>
              <w:spacing w:before="37"/>
              <w:ind w:left="76"/>
              <w:rPr>
                <w:sz w:val="21"/>
              </w:rPr>
            </w:pPr>
            <w:r>
              <w:rPr>
                <w:sz w:val="21"/>
              </w:rPr>
              <w:t>（2）驾驶与驾驶证准驾车型不相符合的车辆；</w:t>
            </w:r>
          </w:p>
          <w:p>
            <w:pPr>
              <w:pStyle w:val="TableParagraph"/>
              <w:spacing w:before="37"/>
              <w:ind w:left="76"/>
              <w:rPr>
                <w:sz w:val="21"/>
              </w:rPr>
            </w:pPr>
            <w:r>
              <w:rPr>
                <w:sz w:val="21"/>
              </w:rPr>
              <w:t>（3）持审验不合格的驾驶证驾驶；</w:t>
            </w:r>
          </w:p>
          <w:p>
            <w:pPr>
              <w:pStyle w:val="TableParagraph"/>
              <w:spacing w:line="273" w:lineRule="auto" w:before="37"/>
              <w:ind w:left="580" w:right="199" w:hanging="504"/>
              <w:rPr>
                <w:sz w:val="21"/>
              </w:rPr>
            </w:pPr>
            <w:r>
              <w:rPr>
                <w:spacing w:val="-10"/>
                <w:sz w:val="21"/>
              </w:rPr>
              <w:t>（4）</w:t>
            </w:r>
            <w:r>
              <w:rPr>
                <w:spacing w:val="-7"/>
                <w:sz w:val="21"/>
              </w:rPr>
              <w:t>持学习驾驶证学习驾车时，无教练员随车指导，或不按指定时间、</w:t>
            </w:r>
            <w:r>
              <w:rPr>
                <w:spacing w:val="-5"/>
                <w:sz w:val="21"/>
              </w:rPr>
              <w:t>路线学习驾车。</w:t>
            </w:r>
          </w:p>
        </w:tc>
      </w:tr>
      <w:tr>
        <w:trPr>
          <w:trHeight w:val="1255" w:hRule="atLeast"/>
        </w:trPr>
        <w:tc>
          <w:tcPr>
            <w:tcW w:w="730" w:type="dxa"/>
          </w:tcPr>
          <w:p>
            <w:pPr>
              <w:pStyle w:val="TableParagraph"/>
              <w:spacing w:before="146"/>
              <w:ind w:right="105"/>
              <w:jc w:val="right"/>
              <w:rPr>
                <w:b/>
                <w:sz w:val="21"/>
              </w:rPr>
            </w:pPr>
            <w:r>
              <w:rPr>
                <w:b/>
                <w:sz w:val="21"/>
              </w:rPr>
              <w:t>9.11</w:t>
            </w:r>
          </w:p>
        </w:tc>
        <w:tc>
          <w:tcPr>
            <w:tcW w:w="1451" w:type="dxa"/>
          </w:tcPr>
          <w:p>
            <w:pPr>
              <w:pStyle w:val="TableParagraph"/>
              <w:spacing w:line="273" w:lineRule="auto" w:before="146"/>
              <w:ind w:left="108" w:right="284"/>
              <w:rPr>
                <w:b/>
                <w:sz w:val="21"/>
              </w:rPr>
            </w:pPr>
            <w:r>
              <w:rPr>
                <w:b/>
                <w:sz w:val="21"/>
              </w:rPr>
              <w:t>无有效行驶证</w:t>
            </w:r>
          </w:p>
        </w:tc>
        <w:tc>
          <w:tcPr>
            <w:tcW w:w="6814" w:type="dxa"/>
          </w:tcPr>
          <w:p>
            <w:pPr>
              <w:pStyle w:val="TableParagraph"/>
              <w:spacing w:before="146"/>
              <w:ind w:left="76"/>
              <w:rPr>
                <w:sz w:val="21"/>
              </w:rPr>
            </w:pPr>
            <w:r>
              <w:rPr>
                <w:sz w:val="21"/>
              </w:rPr>
              <w:t>指下列情形之一：</w:t>
            </w:r>
          </w:p>
          <w:p>
            <w:pPr>
              <w:pStyle w:val="TableParagraph"/>
              <w:spacing w:before="37"/>
              <w:ind w:left="76"/>
              <w:rPr>
                <w:sz w:val="21"/>
              </w:rPr>
            </w:pPr>
            <w:r>
              <w:rPr>
                <w:sz w:val="21"/>
              </w:rPr>
              <w:t>（1）机动车被依法注销登记的；</w:t>
            </w:r>
          </w:p>
          <w:p>
            <w:pPr>
              <w:pStyle w:val="TableParagraph"/>
              <w:spacing w:before="38"/>
              <w:ind w:left="76"/>
              <w:rPr>
                <w:sz w:val="21"/>
              </w:rPr>
            </w:pPr>
            <w:r>
              <w:rPr>
                <w:sz w:val="21"/>
              </w:rPr>
              <w:t>（2）未依法按时进行或通过机动车安全技术检验。</w:t>
            </w:r>
          </w:p>
        </w:tc>
      </w:tr>
      <w:tr>
        <w:trPr>
          <w:trHeight w:val="943" w:hRule="atLeast"/>
        </w:trPr>
        <w:tc>
          <w:tcPr>
            <w:tcW w:w="730" w:type="dxa"/>
          </w:tcPr>
          <w:p>
            <w:pPr>
              <w:pStyle w:val="TableParagraph"/>
              <w:spacing w:before="146"/>
              <w:ind w:right="105"/>
              <w:jc w:val="right"/>
              <w:rPr>
                <w:b/>
                <w:sz w:val="21"/>
              </w:rPr>
            </w:pPr>
            <w:r>
              <w:rPr>
                <w:b/>
                <w:w w:val="95"/>
                <w:sz w:val="21"/>
              </w:rPr>
              <w:t>9.12</w:t>
            </w:r>
          </w:p>
        </w:tc>
        <w:tc>
          <w:tcPr>
            <w:tcW w:w="1451" w:type="dxa"/>
          </w:tcPr>
          <w:p>
            <w:pPr>
              <w:pStyle w:val="TableParagraph"/>
              <w:spacing w:before="146"/>
              <w:ind w:left="108"/>
              <w:rPr>
                <w:b/>
                <w:sz w:val="21"/>
              </w:rPr>
            </w:pPr>
            <w:r>
              <w:rPr>
                <w:b/>
                <w:sz w:val="21"/>
              </w:rPr>
              <w:t>机动车</w:t>
            </w:r>
          </w:p>
        </w:tc>
        <w:tc>
          <w:tcPr>
            <w:tcW w:w="6814" w:type="dxa"/>
          </w:tcPr>
          <w:p>
            <w:pPr>
              <w:pStyle w:val="TableParagraph"/>
              <w:spacing w:line="273" w:lineRule="auto" w:before="146"/>
              <w:ind w:left="76" w:right="302"/>
              <w:rPr>
                <w:sz w:val="21"/>
              </w:rPr>
            </w:pPr>
            <w:r>
              <w:rPr>
                <w:spacing w:val="-10"/>
                <w:sz w:val="21"/>
              </w:rPr>
              <w:t>指以动力装置驱动或者牵引，上道路行驶的供人员乘用或者用于运送物</w:t>
            </w:r>
            <w:r>
              <w:rPr>
                <w:spacing w:val="-5"/>
                <w:sz w:val="21"/>
              </w:rPr>
              <w:t>品以及进行工程专项作业的轮式车辆。</w:t>
            </w:r>
          </w:p>
        </w:tc>
      </w:tr>
      <w:tr>
        <w:trPr>
          <w:trHeight w:val="2191" w:hRule="atLeast"/>
        </w:trPr>
        <w:tc>
          <w:tcPr>
            <w:tcW w:w="730" w:type="dxa"/>
          </w:tcPr>
          <w:p>
            <w:pPr>
              <w:pStyle w:val="TableParagraph"/>
              <w:spacing w:before="146"/>
              <w:ind w:right="105"/>
              <w:jc w:val="right"/>
              <w:rPr>
                <w:b/>
                <w:sz w:val="21"/>
              </w:rPr>
            </w:pPr>
            <w:r>
              <w:rPr>
                <w:b/>
                <w:w w:val="95"/>
                <w:sz w:val="21"/>
              </w:rPr>
              <w:t>9.13</w:t>
            </w:r>
          </w:p>
        </w:tc>
        <w:tc>
          <w:tcPr>
            <w:tcW w:w="1451" w:type="dxa"/>
          </w:tcPr>
          <w:p>
            <w:pPr>
              <w:pStyle w:val="TableParagraph"/>
              <w:spacing w:line="273" w:lineRule="auto" w:before="146"/>
              <w:ind w:left="108" w:right="284"/>
              <w:jc w:val="both"/>
              <w:rPr>
                <w:b/>
                <w:sz w:val="21"/>
              </w:rPr>
            </w:pPr>
            <w:r>
              <w:rPr>
                <w:b/>
                <w:sz w:val="21"/>
              </w:rPr>
              <w:t>感染艾滋病病毒或患艾滋病</w:t>
            </w:r>
          </w:p>
        </w:tc>
        <w:tc>
          <w:tcPr>
            <w:tcW w:w="6814" w:type="dxa"/>
          </w:tcPr>
          <w:p>
            <w:pPr>
              <w:pStyle w:val="TableParagraph"/>
              <w:spacing w:line="273" w:lineRule="auto" w:before="146"/>
              <w:ind w:left="76" w:right="304"/>
              <w:jc w:val="both"/>
              <w:rPr>
                <w:sz w:val="21"/>
              </w:rPr>
            </w:pPr>
            <w:r>
              <w:rPr>
                <w:sz w:val="21"/>
              </w:rPr>
              <w:t>艾滋病病毒指人类免疫缺陷病毒，英文缩写为HIV。艾滋病指人类免疫缺陷病毒引起的获得性免疫缺陷综合症，英文缩写为AIDS。</w:t>
            </w:r>
          </w:p>
          <w:p>
            <w:pPr>
              <w:pStyle w:val="TableParagraph"/>
              <w:spacing w:before="5"/>
              <w:rPr>
                <w:sz w:val="24"/>
              </w:rPr>
            </w:pPr>
          </w:p>
          <w:p>
            <w:pPr>
              <w:pStyle w:val="TableParagraph"/>
              <w:spacing w:line="273" w:lineRule="auto"/>
              <w:ind w:left="76" w:right="302"/>
              <w:jc w:val="both"/>
              <w:rPr>
                <w:sz w:val="21"/>
              </w:rPr>
            </w:pPr>
            <w:r>
              <w:rPr>
                <w:spacing w:val="-7"/>
                <w:sz w:val="21"/>
              </w:rPr>
              <w:t>在人体血液或其它样本检测到艾滋病病毒或其抗体呈阳性，没有出现临</w:t>
            </w:r>
            <w:r>
              <w:rPr>
                <w:spacing w:val="-12"/>
                <w:sz w:val="21"/>
              </w:rPr>
              <w:t>床症状或体征的，为感染艾滋病病毒；如果同时出现了明显临床症状或</w:t>
            </w:r>
            <w:r>
              <w:rPr>
                <w:spacing w:val="-6"/>
                <w:sz w:val="21"/>
              </w:rPr>
              <w:t>体征的，为患艾滋病。</w:t>
            </w:r>
          </w:p>
        </w:tc>
      </w:tr>
      <w:tr>
        <w:trPr>
          <w:trHeight w:val="943" w:hRule="atLeast"/>
        </w:trPr>
        <w:tc>
          <w:tcPr>
            <w:tcW w:w="730" w:type="dxa"/>
          </w:tcPr>
          <w:p>
            <w:pPr>
              <w:pStyle w:val="TableParagraph"/>
              <w:spacing w:before="146"/>
              <w:ind w:right="105"/>
              <w:jc w:val="right"/>
              <w:rPr>
                <w:b/>
                <w:sz w:val="21"/>
              </w:rPr>
            </w:pPr>
            <w:r>
              <w:rPr>
                <w:b/>
                <w:w w:val="95"/>
                <w:sz w:val="21"/>
              </w:rPr>
              <w:t>9.14</w:t>
            </w:r>
          </w:p>
        </w:tc>
        <w:tc>
          <w:tcPr>
            <w:tcW w:w="1451" w:type="dxa"/>
          </w:tcPr>
          <w:p>
            <w:pPr>
              <w:pStyle w:val="TableParagraph"/>
              <w:spacing w:before="146"/>
              <w:ind w:left="108"/>
              <w:rPr>
                <w:b/>
                <w:sz w:val="21"/>
              </w:rPr>
            </w:pPr>
            <w:r>
              <w:rPr>
                <w:b/>
                <w:sz w:val="21"/>
              </w:rPr>
              <w:t>遗传性疾病</w:t>
            </w:r>
          </w:p>
        </w:tc>
        <w:tc>
          <w:tcPr>
            <w:tcW w:w="6814" w:type="dxa"/>
          </w:tcPr>
          <w:p>
            <w:pPr>
              <w:pStyle w:val="TableParagraph"/>
              <w:spacing w:line="273" w:lineRule="auto" w:before="146"/>
              <w:ind w:left="76" w:right="221"/>
              <w:rPr>
                <w:sz w:val="21"/>
              </w:rPr>
            </w:pPr>
            <w:r>
              <w:rPr>
                <w:sz w:val="21"/>
              </w:rPr>
              <w:t>指生殖细胞或受精卵的遗传物质（染色体和基因）发生突变（或畸变） 所引起的疾病，通常具有由亲代传至后代的垂直传递的特征。</w:t>
            </w:r>
          </w:p>
        </w:tc>
      </w:tr>
      <w:tr>
        <w:trPr>
          <w:trHeight w:val="1255" w:hRule="atLeast"/>
        </w:trPr>
        <w:tc>
          <w:tcPr>
            <w:tcW w:w="730" w:type="dxa"/>
          </w:tcPr>
          <w:p>
            <w:pPr>
              <w:pStyle w:val="TableParagraph"/>
              <w:spacing w:before="146"/>
              <w:ind w:right="105"/>
              <w:jc w:val="right"/>
              <w:rPr>
                <w:b/>
                <w:sz w:val="21"/>
              </w:rPr>
            </w:pPr>
            <w:r>
              <w:rPr>
                <w:b/>
                <w:w w:val="95"/>
                <w:sz w:val="21"/>
              </w:rPr>
              <w:t>9.15</w:t>
            </w:r>
          </w:p>
        </w:tc>
        <w:tc>
          <w:tcPr>
            <w:tcW w:w="1451" w:type="dxa"/>
          </w:tcPr>
          <w:p>
            <w:pPr>
              <w:pStyle w:val="TableParagraph"/>
              <w:spacing w:line="273" w:lineRule="auto" w:before="146"/>
              <w:ind w:left="108" w:right="73"/>
              <w:rPr>
                <w:b/>
                <w:sz w:val="21"/>
              </w:rPr>
            </w:pPr>
            <w:r>
              <w:rPr>
                <w:b/>
                <w:sz w:val="21"/>
              </w:rPr>
              <w:t>先天性畸形、变形或染色 体异常</w:t>
            </w:r>
          </w:p>
        </w:tc>
        <w:tc>
          <w:tcPr>
            <w:tcW w:w="6814" w:type="dxa"/>
          </w:tcPr>
          <w:p>
            <w:pPr>
              <w:pStyle w:val="TableParagraph"/>
              <w:spacing w:line="273" w:lineRule="auto" w:before="146"/>
              <w:ind w:left="76" w:right="302"/>
              <w:jc w:val="both"/>
              <w:rPr>
                <w:sz w:val="21"/>
              </w:rPr>
            </w:pPr>
            <w:r>
              <w:rPr>
                <w:spacing w:val="-7"/>
                <w:sz w:val="21"/>
              </w:rPr>
              <w:t>指被保险人出生时就具有的畸形、变形或染色体异常。先天性畸形、变</w:t>
            </w:r>
            <w:r>
              <w:rPr>
                <w:spacing w:val="-11"/>
                <w:sz w:val="21"/>
              </w:rPr>
              <w:t>形和染色体异常依照世界卫生组织《疾病和有关健康问题的国际统计分</w:t>
            </w:r>
            <w:r>
              <w:rPr>
                <w:spacing w:val="-11"/>
                <w:w w:val="100"/>
                <w:sz w:val="21"/>
              </w:rPr>
              <w:t>类（I</w:t>
            </w:r>
            <w:r>
              <w:rPr>
                <w:spacing w:val="-3"/>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》确定。</w:t>
            </w:r>
          </w:p>
        </w:tc>
      </w:tr>
      <w:tr>
        <w:trPr>
          <w:trHeight w:val="3127" w:hRule="atLeast"/>
        </w:trPr>
        <w:tc>
          <w:tcPr>
            <w:tcW w:w="730" w:type="dxa"/>
          </w:tcPr>
          <w:p>
            <w:pPr>
              <w:pStyle w:val="TableParagraph"/>
              <w:spacing w:before="146"/>
              <w:ind w:right="105"/>
              <w:jc w:val="right"/>
              <w:rPr>
                <w:b/>
                <w:sz w:val="21"/>
              </w:rPr>
            </w:pPr>
            <w:r>
              <w:rPr>
                <w:b/>
                <w:w w:val="95"/>
                <w:sz w:val="21"/>
              </w:rPr>
              <w:t>9.16</w:t>
            </w:r>
          </w:p>
        </w:tc>
        <w:tc>
          <w:tcPr>
            <w:tcW w:w="1451" w:type="dxa"/>
          </w:tcPr>
          <w:p>
            <w:pPr>
              <w:pStyle w:val="TableParagraph"/>
              <w:spacing w:before="146"/>
              <w:ind w:left="108"/>
              <w:rPr>
                <w:b/>
                <w:sz w:val="21"/>
              </w:rPr>
            </w:pPr>
            <w:r>
              <w:rPr>
                <w:b/>
                <w:sz w:val="21"/>
              </w:rPr>
              <w:t>现金价值</w:t>
            </w:r>
          </w:p>
        </w:tc>
        <w:tc>
          <w:tcPr>
            <w:tcW w:w="6814" w:type="dxa"/>
          </w:tcPr>
          <w:p>
            <w:pPr>
              <w:pStyle w:val="TableParagraph"/>
              <w:spacing w:line="273" w:lineRule="auto" w:before="146"/>
              <w:ind w:left="76" w:right="305"/>
              <w:rPr>
                <w:sz w:val="21"/>
              </w:rPr>
            </w:pPr>
            <w:r>
              <w:rPr>
                <w:spacing w:val="-8"/>
                <w:sz w:val="21"/>
              </w:rPr>
              <w:t>指被保险人对应保险单所具有的价值，通常体现为解除合同时，根据精</w:t>
            </w:r>
            <w:r>
              <w:rPr>
                <w:spacing w:val="-5"/>
                <w:sz w:val="21"/>
              </w:rPr>
              <w:t>算原理计算的，由本公司退还的那部分金额。</w:t>
            </w:r>
          </w:p>
          <w:p>
            <w:pPr>
              <w:pStyle w:val="TableParagraph"/>
              <w:spacing w:before="5"/>
              <w:rPr>
                <w:sz w:val="24"/>
              </w:rPr>
            </w:pPr>
          </w:p>
          <w:p>
            <w:pPr>
              <w:pStyle w:val="TableParagraph"/>
              <w:spacing w:line="273" w:lineRule="auto"/>
              <w:ind w:left="76" w:right="304"/>
              <w:rPr>
                <w:sz w:val="21"/>
              </w:rPr>
            </w:pPr>
            <w:r>
              <w:rPr>
                <w:w w:val="100"/>
                <w:sz w:val="21"/>
              </w:rPr>
              <w:t>现金价值＝</w:t>
            </w:r>
            <w:r>
              <w:rPr>
                <w:spacing w:val="-1"/>
                <w:w w:val="100"/>
                <w:sz w:val="21"/>
              </w:rPr>
              <w:t>净保费</w:t>
            </w:r>
            <w:r>
              <w:rPr>
                <w:w w:val="100"/>
                <w:sz w:val="21"/>
              </w:rPr>
              <w:t>×（1</w:t>
            </w:r>
            <w:r>
              <w:rPr>
                <w:spacing w:val="-2"/>
                <w:w w:val="100"/>
                <w:sz w:val="21"/>
              </w:rPr>
              <w:t>－保险经过日数</w:t>
            </w:r>
            <w:r>
              <w:rPr>
                <w:w w:val="100"/>
                <w:sz w:val="21"/>
              </w:rPr>
              <w:t>/</w:t>
            </w:r>
            <w:r>
              <w:rPr>
                <w:spacing w:val="-3"/>
                <w:w w:val="100"/>
                <w:sz w:val="21"/>
              </w:rPr>
              <w:t>保险期间的日数</w:t>
            </w:r>
            <w:r>
              <w:rPr>
                <w:spacing w:val="-103"/>
                <w:w w:val="100"/>
                <w:sz w:val="21"/>
              </w:rPr>
              <w:t>）</w:t>
            </w:r>
            <w:r>
              <w:rPr>
                <w:spacing w:val="-3"/>
                <w:w w:val="100"/>
                <w:sz w:val="21"/>
              </w:rPr>
              <w:t>，经过日数</w:t>
            </w:r>
            <w:r>
              <w:rPr>
                <w:spacing w:val="-19"/>
                <w:sz w:val="21"/>
              </w:rPr>
              <w:t>不足 </w:t>
            </w:r>
            <w:r>
              <w:rPr>
                <w:sz w:val="21"/>
              </w:rPr>
              <w:t>1</w:t>
            </w:r>
            <w:r>
              <w:rPr>
                <w:spacing w:val="-22"/>
                <w:sz w:val="21"/>
              </w:rPr>
              <w:t> 日的按 </w:t>
            </w:r>
            <w:r>
              <w:rPr>
                <w:sz w:val="21"/>
              </w:rPr>
              <w:t>1</w:t>
            </w:r>
            <w:r>
              <w:rPr>
                <w:spacing w:val="-12"/>
                <w:sz w:val="21"/>
              </w:rPr>
              <w:t> 日计算。</w:t>
            </w:r>
          </w:p>
          <w:p>
            <w:pPr>
              <w:pStyle w:val="TableParagraph"/>
              <w:spacing w:before="5"/>
              <w:rPr>
                <w:sz w:val="24"/>
              </w:rPr>
            </w:pPr>
          </w:p>
          <w:p>
            <w:pPr>
              <w:pStyle w:val="TableParagraph"/>
              <w:spacing w:line="273" w:lineRule="auto"/>
              <w:ind w:left="76" w:right="197"/>
              <w:rPr>
                <w:sz w:val="21"/>
              </w:rPr>
            </w:pPr>
            <w:r>
              <w:rPr>
                <w:sz w:val="21"/>
              </w:rPr>
              <w:t>净保费指投保人所支付的保险费扣除每张保险单平均承担的本公司各</w:t>
            </w:r>
            <w:r>
              <w:rPr>
                <w:spacing w:val="-14"/>
                <w:sz w:val="21"/>
              </w:rPr>
              <w:t>项费用</w:t>
            </w:r>
            <w:r>
              <w:rPr>
                <w:sz w:val="21"/>
              </w:rPr>
              <w:t>（</w:t>
            </w:r>
            <w:r>
              <w:rPr>
                <w:spacing w:val="-13"/>
                <w:sz w:val="21"/>
              </w:rPr>
              <w:t>含营业费用、代理费、各项税金、保险保障基金等</w:t>
            </w:r>
            <w:r>
              <w:rPr>
                <w:spacing w:val="-41"/>
                <w:sz w:val="21"/>
              </w:rPr>
              <w:t>）</w:t>
            </w:r>
            <w:r>
              <w:rPr>
                <w:spacing w:val="-2"/>
                <w:sz w:val="21"/>
              </w:rPr>
              <w:t>后的余额， </w:t>
            </w:r>
            <w:r>
              <w:rPr>
                <w:spacing w:val="-6"/>
                <w:sz w:val="21"/>
              </w:rPr>
              <w:t>扣除部分占所交保险费的 </w:t>
            </w:r>
            <w:r>
              <w:rPr>
                <w:sz w:val="21"/>
              </w:rPr>
              <w:t>25%。</w:t>
            </w:r>
          </w:p>
        </w:tc>
      </w:tr>
      <w:tr>
        <w:trPr>
          <w:trHeight w:val="943" w:hRule="atLeast"/>
        </w:trPr>
        <w:tc>
          <w:tcPr>
            <w:tcW w:w="730" w:type="dxa"/>
          </w:tcPr>
          <w:p>
            <w:pPr>
              <w:pStyle w:val="TableParagraph"/>
              <w:spacing w:before="146"/>
              <w:ind w:right="105"/>
              <w:jc w:val="right"/>
              <w:rPr>
                <w:b/>
                <w:sz w:val="21"/>
              </w:rPr>
            </w:pPr>
            <w:r>
              <w:rPr>
                <w:b/>
                <w:w w:val="95"/>
                <w:sz w:val="21"/>
              </w:rPr>
              <w:t>9.17</w:t>
            </w:r>
          </w:p>
        </w:tc>
        <w:tc>
          <w:tcPr>
            <w:tcW w:w="1451" w:type="dxa"/>
          </w:tcPr>
          <w:p>
            <w:pPr>
              <w:pStyle w:val="TableParagraph"/>
              <w:spacing w:line="273" w:lineRule="auto" w:before="146"/>
              <w:ind w:left="108" w:right="284"/>
              <w:rPr>
                <w:b/>
                <w:sz w:val="21"/>
              </w:rPr>
            </w:pPr>
            <w:r>
              <w:rPr>
                <w:b/>
                <w:sz w:val="21"/>
              </w:rPr>
              <w:t>有效身份证件</w:t>
            </w:r>
          </w:p>
        </w:tc>
        <w:tc>
          <w:tcPr>
            <w:tcW w:w="6814" w:type="dxa"/>
          </w:tcPr>
          <w:p>
            <w:pPr>
              <w:pStyle w:val="TableParagraph"/>
              <w:spacing w:line="273" w:lineRule="auto" w:before="146"/>
              <w:ind w:left="76" w:right="302"/>
              <w:rPr>
                <w:sz w:val="21"/>
              </w:rPr>
            </w:pPr>
            <w:r>
              <w:rPr>
                <w:spacing w:val="-8"/>
                <w:sz w:val="21"/>
              </w:rPr>
              <w:t>指由政府主管部门规定的证明其身份的证件，如：居民身份证、按规定</w:t>
            </w:r>
            <w:r>
              <w:rPr>
                <w:spacing w:val="-5"/>
                <w:sz w:val="21"/>
              </w:rPr>
              <w:t>可使用的有效护照、军官证、警官证、士兵证等证件。</w:t>
            </w:r>
          </w:p>
        </w:tc>
      </w:tr>
      <w:tr>
        <w:trPr>
          <w:trHeight w:val="421" w:hRule="atLeast"/>
        </w:trPr>
        <w:tc>
          <w:tcPr>
            <w:tcW w:w="730" w:type="dxa"/>
          </w:tcPr>
          <w:p>
            <w:pPr>
              <w:pStyle w:val="TableParagraph"/>
              <w:spacing w:line="255" w:lineRule="exact" w:before="146"/>
              <w:ind w:right="105"/>
              <w:jc w:val="right"/>
              <w:rPr>
                <w:b/>
                <w:sz w:val="21"/>
              </w:rPr>
            </w:pPr>
            <w:r>
              <w:rPr>
                <w:b/>
                <w:w w:val="95"/>
                <w:sz w:val="21"/>
              </w:rPr>
              <w:t>9.18</w:t>
            </w:r>
          </w:p>
        </w:tc>
        <w:tc>
          <w:tcPr>
            <w:tcW w:w="1451" w:type="dxa"/>
          </w:tcPr>
          <w:p>
            <w:pPr>
              <w:pStyle w:val="TableParagraph"/>
              <w:spacing w:line="255" w:lineRule="exact" w:before="146"/>
              <w:ind w:left="108"/>
              <w:rPr>
                <w:b/>
                <w:sz w:val="21"/>
              </w:rPr>
            </w:pPr>
            <w:r>
              <w:rPr>
                <w:b/>
                <w:sz w:val="21"/>
              </w:rPr>
              <w:t>离职</w:t>
            </w:r>
          </w:p>
        </w:tc>
        <w:tc>
          <w:tcPr>
            <w:tcW w:w="6814" w:type="dxa"/>
          </w:tcPr>
          <w:p>
            <w:pPr>
              <w:pStyle w:val="TableParagraph"/>
              <w:spacing w:line="255" w:lineRule="exact" w:before="146"/>
              <w:ind w:left="76"/>
              <w:rPr>
                <w:sz w:val="21"/>
              </w:rPr>
            </w:pPr>
            <w:r>
              <w:rPr>
                <w:sz w:val="21"/>
              </w:rPr>
              <w:t>指用人单位与劳动者解除或终止劳动关系的行为，包括到期终止劳动合</w:t>
            </w:r>
          </w:p>
        </w:tc>
      </w:tr>
    </w:tbl>
    <w:p>
      <w:pPr>
        <w:spacing w:after="0" w:line="255" w:lineRule="exact"/>
        <w:rPr>
          <w:sz w:val="21"/>
        </w:rPr>
        <w:sectPr>
          <w:pgSz w:w="11910" w:h="16840"/>
          <w:pgMar w:top="1160" w:bottom="280" w:left="1480" w:right="12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345"/>
        <w:gridCol w:w="6814"/>
      </w:tblGrid>
      <w:tr>
        <w:trPr>
          <w:trHeight w:val="1045" w:hRule="atLeast"/>
        </w:trPr>
        <w:tc>
          <w:tcPr>
            <w:tcW w:w="730" w:type="dxa"/>
          </w:tcPr>
          <w:p>
            <w:pPr>
              <w:pStyle w:val="TableParagraph"/>
              <w:rPr>
                <w:rFonts w:ascii="Times New Roman"/>
                <w:sz w:val="20"/>
              </w:rPr>
            </w:pPr>
          </w:p>
        </w:tc>
        <w:tc>
          <w:tcPr>
            <w:tcW w:w="1345" w:type="dxa"/>
          </w:tcPr>
          <w:p>
            <w:pPr>
              <w:pStyle w:val="TableParagraph"/>
              <w:rPr>
                <w:rFonts w:ascii="Times New Roman"/>
                <w:sz w:val="20"/>
              </w:rPr>
            </w:pPr>
          </w:p>
        </w:tc>
        <w:tc>
          <w:tcPr>
            <w:tcW w:w="6814" w:type="dxa"/>
          </w:tcPr>
          <w:p>
            <w:pPr>
              <w:pStyle w:val="TableParagraph"/>
              <w:spacing w:line="211" w:lineRule="exact"/>
              <w:ind w:left="182"/>
              <w:rPr>
                <w:sz w:val="21"/>
              </w:rPr>
            </w:pPr>
            <w:r>
              <w:rPr>
                <w:sz w:val="21"/>
              </w:rPr>
              <w:t>同、提前解除劳动合同、解除或终止事实劳动关系、或未经对方同意一</w:t>
            </w:r>
          </w:p>
          <w:p>
            <w:pPr>
              <w:pStyle w:val="TableParagraph"/>
              <w:spacing w:line="273" w:lineRule="auto" w:before="37"/>
              <w:ind w:left="182" w:right="204"/>
              <w:rPr>
                <w:sz w:val="21"/>
              </w:rPr>
            </w:pPr>
            <w:r>
              <w:rPr>
                <w:sz w:val="21"/>
              </w:rPr>
              <w:t>方擅自解除或终止劳动关系且另一方未表示异议等，但不包括依法退休、病退、内部退养等行为。</w:t>
            </w:r>
          </w:p>
        </w:tc>
      </w:tr>
      <w:tr>
        <w:trPr>
          <w:trHeight w:val="733" w:hRule="atLeast"/>
        </w:trPr>
        <w:tc>
          <w:tcPr>
            <w:tcW w:w="730" w:type="dxa"/>
          </w:tcPr>
          <w:p>
            <w:pPr>
              <w:pStyle w:val="TableParagraph"/>
              <w:spacing w:before="146"/>
              <w:ind w:left="200"/>
              <w:rPr>
                <w:b/>
                <w:sz w:val="21"/>
              </w:rPr>
            </w:pPr>
            <w:r>
              <w:rPr>
                <w:b/>
                <w:sz w:val="21"/>
              </w:rPr>
              <w:t>9.19</w:t>
            </w:r>
          </w:p>
        </w:tc>
        <w:tc>
          <w:tcPr>
            <w:tcW w:w="1345" w:type="dxa"/>
          </w:tcPr>
          <w:p>
            <w:pPr>
              <w:pStyle w:val="TableParagraph"/>
              <w:spacing w:line="310" w:lineRule="atLeast" w:before="111"/>
              <w:ind w:left="108" w:right="178"/>
              <w:rPr>
                <w:b/>
                <w:sz w:val="21"/>
              </w:rPr>
            </w:pPr>
            <w:r>
              <w:rPr>
                <w:b/>
                <w:sz w:val="21"/>
              </w:rPr>
              <w:t>未满期保险费</w:t>
            </w:r>
          </w:p>
        </w:tc>
        <w:tc>
          <w:tcPr>
            <w:tcW w:w="6814" w:type="dxa"/>
          </w:tcPr>
          <w:p>
            <w:pPr>
              <w:pStyle w:val="TableParagraph"/>
              <w:spacing w:line="310" w:lineRule="atLeast" w:before="111"/>
              <w:ind w:left="182" w:right="199"/>
              <w:rPr>
                <w:sz w:val="21"/>
              </w:rPr>
            </w:pPr>
            <w:r>
              <w:rPr>
                <w:w w:val="100"/>
                <w:sz w:val="21"/>
              </w:rPr>
              <w:t>未满期保险费＝</w:t>
            </w:r>
            <w:r>
              <w:rPr>
                <w:spacing w:val="-2"/>
                <w:w w:val="100"/>
                <w:sz w:val="21"/>
              </w:rPr>
              <w:t>保费</w:t>
            </w:r>
            <w:r>
              <w:rPr>
                <w:w w:val="100"/>
                <w:sz w:val="21"/>
              </w:rPr>
              <w:t>×（</w:t>
            </w:r>
            <w:r>
              <w:rPr>
                <w:spacing w:val="-3"/>
                <w:w w:val="100"/>
                <w:sz w:val="21"/>
              </w:rPr>
              <w:t>1</w:t>
            </w:r>
            <w:r>
              <w:rPr>
                <w:w w:val="100"/>
                <w:sz w:val="21"/>
              </w:rPr>
              <w:t>－保险经过日数/</w:t>
            </w:r>
            <w:r>
              <w:rPr>
                <w:spacing w:val="-3"/>
                <w:w w:val="100"/>
                <w:sz w:val="21"/>
              </w:rPr>
              <w:t>保险期间的日数</w:t>
            </w:r>
            <w:r>
              <w:rPr>
                <w:spacing w:val="-106"/>
                <w:w w:val="100"/>
                <w:sz w:val="21"/>
              </w:rPr>
              <w:t>）</w:t>
            </w:r>
            <w:r>
              <w:rPr>
                <w:spacing w:val="-1"/>
                <w:w w:val="100"/>
                <w:sz w:val="21"/>
              </w:rPr>
              <w:t>，经过日</w:t>
            </w:r>
            <w:r>
              <w:rPr>
                <w:spacing w:val="-14"/>
                <w:sz w:val="21"/>
              </w:rPr>
              <w:t>数不足 </w:t>
            </w:r>
            <w:r>
              <w:rPr>
                <w:sz w:val="21"/>
              </w:rPr>
              <w:t>1</w:t>
            </w:r>
            <w:r>
              <w:rPr>
                <w:spacing w:val="-22"/>
                <w:sz w:val="21"/>
              </w:rPr>
              <w:t> 日的按 </w:t>
            </w:r>
            <w:r>
              <w:rPr>
                <w:sz w:val="21"/>
              </w:rPr>
              <w:t>1</w:t>
            </w:r>
            <w:r>
              <w:rPr>
                <w:spacing w:val="-12"/>
                <w:sz w:val="21"/>
              </w:rPr>
              <w:t> 日计算。</w:t>
            </w:r>
          </w:p>
        </w:tc>
      </w:tr>
    </w:tbl>
    <w:sectPr>
      <w:pgSz w:w="11910" w:h="16840"/>
      <w:pgMar w:top="1160" w:bottom="280" w:left="14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034" w:hanging="533"/>
        <w:jc w:val="left"/>
      </w:pPr>
      <w:rPr>
        <w:rFonts w:hint="default"/>
      </w:rPr>
    </w:lvl>
    <w:lvl w:ilvl="1">
      <w:start w:val="1"/>
      <w:numFmt w:val="decimal"/>
      <w:lvlText w:val="%1.%2"/>
      <w:lvlJc w:val="left"/>
      <w:pPr>
        <w:ind w:left="1034" w:hanging="533"/>
        <w:jc w:val="right"/>
      </w:pPr>
      <w:rPr>
        <w:rFonts w:hint="default" w:ascii="宋体" w:hAnsi="宋体" w:eastAsia="宋体" w:cs="宋体"/>
        <w:b/>
        <w:bCs/>
        <w:spacing w:val="-1"/>
        <w:w w:val="99"/>
        <w:sz w:val="21"/>
        <w:szCs w:val="21"/>
      </w:rPr>
    </w:lvl>
    <w:lvl w:ilvl="2">
      <w:start w:val="0"/>
      <w:numFmt w:val="bullet"/>
      <w:lvlText w:val="•"/>
      <w:lvlJc w:val="left"/>
      <w:pPr>
        <w:ind w:left="1250" w:hanging="533"/>
      </w:pPr>
      <w:rPr>
        <w:rFonts w:hint="default"/>
      </w:rPr>
    </w:lvl>
    <w:lvl w:ilvl="3">
      <w:start w:val="0"/>
      <w:numFmt w:val="bullet"/>
      <w:lvlText w:val="•"/>
      <w:lvlJc w:val="left"/>
      <w:pPr>
        <w:ind w:left="1355" w:hanging="533"/>
      </w:pPr>
      <w:rPr>
        <w:rFonts w:hint="default"/>
      </w:rPr>
    </w:lvl>
    <w:lvl w:ilvl="4">
      <w:start w:val="0"/>
      <w:numFmt w:val="bullet"/>
      <w:lvlText w:val="•"/>
      <w:lvlJc w:val="left"/>
      <w:pPr>
        <w:ind w:left="1460" w:hanging="533"/>
      </w:pPr>
      <w:rPr>
        <w:rFonts w:hint="default"/>
      </w:rPr>
    </w:lvl>
    <w:lvl w:ilvl="5">
      <w:start w:val="0"/>
      <w:numFmt w:val="bullet"/>
      <w:lvlText w:val="•"/>
      <w:lvlJc w:val="left"/>
      <w:pPr>
        <w:ind w:left="1565" w:hanging="533"/>
      </w:pPr>
      <w:rPr>
        <w:rFonts w:hint="default"/>
      </w:rPr>
    </w:lvl>
    <w:lvl w:ilvl="6">
      <w:start w:val="0"/>
      <w:numFmt w:val="bullet"/>
      <w:lvlText w:val="•"/>
      <w:lvlJc w:val="left"/>
      <w:pPr>
        <w:ind w:left="1670" w:hanging="533"/>
      </w:pPr>
      <w:rPr>
        <w:rFonts w:hint="default"/>
      </w:rPr>
    </w:lvl>
    <w:lvl w:ilvl="7">
      <w:start w:val="0"/>
      <w:numFmt w:val="bullet"/>
      <w:lvlText w:val="•"/>
      <w:lvlJc w:val="left"/>
      <w:pPr>
        <w:ind w:left="1775" w:hanging="533"/>
      </w:pPr>
      <w:rPr>
        <w:rFonts w:hint="default"/>
      </w:rPr>
    </w:lvl>
    <w:lvl w:ilvl="8">
      <w:start w:val="0"/>
      <w:numFmt w:val="bullet"/>
      <w:lvlText w:val="•"/>
      <w:lvlJc w:val="left"/>
      <w:pPr>
        <w:ind w:left="1880" w:hanging="533"/>
      </w:pPr>
      <w:rPr>
        <w:rFonts w:hint="default"/>
      </w:rPr>
    </w:lvl>
  </w:abstractNum>
  <w:abstractNum w:abstractNumId="2">
    <w:multiLevelType w:val="hybridMultilevel"/>
    <w:lvl w:ilvl="0">
      <w:start w:val="2"/>
      <w:numFmt w:val="decimal"/>
      <w:lvlText w:val="%1"/>
      <w:lvlJc w:val="left"/>
      <w:pPr>
        <w:ind w:left="2453" w:hanging="533"/>
        <w:jc w:val="left"/>
      </w:pPr>
      <w:rPr>
        <w:rFonts w:hint="default"/>
      </w:rPr>
    </w:lvl>
    <w:lvl w:ilvl="1">
      <w:start w:val="5"/>
      <w:numFmt w:val="decimal"/>
      <w:lvlText w:val="%1.%2"/>
      <w:lvlJc w:val="left"/>
      <w:pPr>
        <w:ind w:left="2453" w:hanging="533"/>
        <w:jc w:val="left"/>
      </w:pPr>
      <w:rPr>
        <w:rFonts w:hint="default" w:ascii="宋体" w:hAnsi="宋体" w:eastAsia="宋体" w:cs="宋体"/>
        <w:b/>
        <w:bCs/>
        <w:spacing w:val="-1"/>
        <w:w w:val="99"/>
        <w:sz w:val="21"/>
        <w:szCs w:val="21"/>
      </w:rPr>
    </w:lvl>
    <w:lvl w:ilvl="2">
      <w:start w:val="1"/>
      <w:numFmt w:val="decimal"/>
      <w:lvlText w:val="(%3)"/>
      <w:lvlJc w:val="left"/>
      <w:pPr>
        <w:ind w:left="2873" w:hanging="423"/>
        <w:jc w:val="left"/>
      </w:pPr>
      <w:rPr>
        <w:rFonts w:hint="default"/>
        <w:w w:val="100"/>
        <w:highlight w:val="lightGray"/>
      </w:rPr>
    </w:lvl>
    <w:lvl w:ilvl="3">
      <w:start w:val="0"/>
      <w:numFmt w:val="bullet"/>
      <w:lvlText w:val="•"/>
      <w:lvlJc w:val="left"/>
      <w:pPr>
        <w:ind w:left="4263" w:hanging="423"/>
      </w:pPr>
      <w:rPr>
        <w:rFonts w:hint="default"/>
      </w:rPr>
    </w:lvl>
    <w:lvl w:ilvl="4">
      <w:start w:val="0"/>
      <w:numFmt w:val="bullet"/>
      <w:lvlText w:val="•"/>
      <w:lvlJc w:val="left"/>
      <w:pPr>
        <w:ind w:left="4955" w:hanging="423"/>
      </w:pPr>
      <w:rPr>
        <w:rFonts w:hint="default"/>
      </w:rPr>
    </w:lvl>
    <w:lvl w:ilvl="5">
      <w:start w:val="0"/>
      <w:numFmt w:val="bullet"/>
      <w:lvlText w:val="•"/>
      <w:lvlJc w:val="left"/>
      <w:pPr>
        <w:ind w:left="5647" w:hanging="423"/>
      </w:pPr>
      <w:rPr>
        <w:rFonts w:hint="default"/>
      </w:rPr>
    </w:lvl>
    <w:lvl w:ilvl="6">
      <w:start w:val="0"/>
      <w:numFmt w:val="bullet"/>
      <w:lvlText w:val="•"/>
      <w:lvlJc w:val="left"/>
      <w:pPr>
        <w:ind w:left="6339" w:hanging="423"/>
      </w:pPr>
      <w:rPr>
        <w:rFonts w:hint="default"/>
      </w:rPr>
    </w:lvl>
    <w:lvl w:ilvl="7">
      <w:start w:val="0"/>
      <w:numFmt w:val="bullet"/>
      <w:lvlText w:val="•"/>
      <w:lvlJc w:val="left"/>
      <w:pPr>
        <w:ind w:left="7030" w:hanging="423"/>
      </w:pPr>
      <w:rPr>
        <w:rFonts w:hint="default"/>
      </w:rPr>
    </w:lvl>
    <w:lvl w:ilvl="8">
      <w:start w:val="0"/>
      <w:numFmt w:val="bullet"/>
      <w:lvlText w:val="•"/>
      <w:lvlJc w:val="left"/>
      <w:pPr>
        <w:ind w:left="7722" w:hanging="423"/>
      </w:pPr>
      <w:rPr>
        <w:rFonts w:hint="default"/>
      </w:rPr>
    </w:lvl>
  </w:abstractNum>
  <w:abstractNum w:abstractNumId="1">
    <w:multiLevelType w:val="hybridMultilevel"/>
    <w:lvl w:ilvl="0">
      <w:start w:val="9"/>
      <w:numFmt w:val="decimal"/>
      <w:lvlText w:val="%1"/>
      <w:lvlJc w:val="left"/>
      <w:pPr>
        <w:ind w:left="894" w:hanging="370"/>
        <w:jc w:val="left"/>
      </w:pPr>
      <w:rPr>
        <w:rFonts w:hint="default"/>
      </w:rPr>
    </w:lvl>
    <w:lvl w:ilvl="1">
      <w:start w:val="5"/>
      <w:numFmt w:val="decimal"/>
      <w:lvlText w:val="%1.%2"/>
      <w:lvlJc w:val="left"/>
      <w:pPr>
        <w:ind w:left="894" w:hanging="370"/>
        <w:jc w:val="left"/>
      </w:pPr>
      <w:rPr>
        <w:rFonts w:hint="default" w:ascii="宋体" w:hAnsi="宋体" w:eastAsia="宋体" w:cs="宋体"/>
        <w:w w:val="100"/>
        <w:sz w:val="21"/>
        <w:szCs w:val="21"/>
      </w:rPr>
    </w:lvl>
    <w:lvl w:ilvl="2">
      <w:start w:val="0"/>
      <w:numFmt w:val="bullet"/>
      <w:lvlText w:val="•"/>
      <w:lvlJc w:val="left"/>
      <w:pPr>
        <w:ind w:left="1393" w:hanging="370"/>
      </w:pPr>
      <w:rPr>
        <w:rFonts w:hint="default"/>
      </w:rPr>
    </w:lvl>
    <w:lvl w:ilvl="3">
      <w:start w:val="0"/>
      <w:numFmt w:val="bullet"/>
      <w:lvlText w:val="•"/>
      <w:lvlJc w:val="left"/>
      <w:pPr>
        <w:ind w:left="1640" w:hanging="370"/>
      </w:pPr>
      <w:rPr>
        <w:rFonts w:hint="default"/>
      </w:rPr>
    </w:lvl>
    <w:lvl w:ilvl="4">
      <w:start w:val="0"/>
      <w:numFmt w:val="bullet"/>
      <w:lvlText w:val="•"/>
      <w:lvlJc w:val="left"/>
      <w:pPr>
        <w:ind w:left="1886" w:hanging="370"/>
      </w:pPr>
      <w:rPr>
        <w:rFonts w:hint="default"/>
      </w:rPr>
    </w:lvl>
    <w:lvl w:ilvl="5">
      <w:start w:val="0"/>
      <w:numFmt w:val="bullet"/>
      <w:lvlText w:val="•"/>
      <w:lvlJc w:val="left"/>
      <w:pPr>
        <w:ind w:left="2133" w:hanging="370"/>
      </w:pPr>
      <w:rPr>
        <w:rFonts w:hint="default"/>
      </w:rPr>
    </w:lvl>
    <w:lvl w:ilvl="6">
      <w:start w:val="0"/>
      <w:numFmt w:val="bullet"/>
      <w:lvlText w:val="•"/>
      <w:lvlJc w:val="left"/>
      <w:pPr>
        <w:ind w:left="2380" w:hanging="370"/>
      </w:pPr>
      <w:rPr>
        <w:rFonts w:hint="default"/>
      </w:rPr>
    </w:lvl>
    <w:lvl w:ilvl="7">
      <w:start w:val="0"/>
      <w:numFmt w:val="bullet"/>
      <w:lvlText w:val="•"/>
      <w:lvlJc w:val="left"/>
      <w:pPr>
        <w:ind w:left="2626" w:hanging="370"/>
      </w:pPr>
      <w:rPr>
        <w:rFonts w:hint="default"/>
      </w:rPr>
    </w:lvl>
    <w:lvl w:ilvl="8">
      <w:start w:val="0"/>
      <w:numFmt w:val="bullet"/>
      <w:lvlText w:val="•"/>
      <w:lvlJc w:val="left"/>
      <w:pPr>
        <w:ind w:left="2873" w:hanging="37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00" w:hanging="420"/>
      </w:pPr>
      <w:rPr>
        <w:rFonts w:hint="default"/>
      </w:rPr>
    </w:lvl>
    <w:lvl w:ilvl="2">
      <w:start w:val="0"/>
      <w:numFmt w:val="bullet"/>
      <w:lvlText w:val="•"/>
      <w:lvlJc w:val="left"/>
      <w:pPr>
        <w:ind w:left="3361" w:hanging="420"/>
      </w:pPr>
      <w:rPr>
        <w:rFonts w:hint="default"/>
      </w:rPr>
    </w:lvl>
    <w:lvl w:ilvl="3">
      <w:start w:val="0"/>
      <w:numFmt w:val="bullet"/>
      <w:lvlText w:val="•"/>
      <w:lvlJc w:val="left"/>
      <w:pPr>
        <w:ind w:left="4221" w:hanging="420"/>
      </w:pPr>
      <w:rPr>
        <w:rFonts w:hint="default"/>
      </w:rPr>
    </w:lvl>
    <w:lvl w:ilvl="4">
      <w:start w:val="0"/>
      <w:numFmt w:val="bullet"/>
      <w:lvlText w:val="•"/>
      <w:lvlJc w:val="left"/>
      <w:pPr>
        <w:ind w:left="5082" w:hanging="420"/>
      </w:pPr>
      <w:rPr>
        <w:rFonts w:hint="default"/>
      </w:rPr>
    </w:lvl>
    <w:lvl w:ilvl="5">
      <w:start w:val="0"/>
      <w:numFmt w:val="bullet"/>
      <w:lvlText w:val="•"/>
      <w:lvlJc w:val="left"/>
      <w:pPr>
        <w:ind w:left="5943" w:hanging="420"/>
      </w:pPr>
      <w:rPr>
        <w:rFonts w:hint="default"/>
      </w:rPr>
    </w:lvl>
    <w:lvl w:ilvl="6">
      <w:start w:val="0"/>
      <w:numFmt w:val="bullet"/>
      <w:lvlText w:val="•"/>
      <w:lvlJc w:val="left"/>
      <w:pPr>
        <w:ind w:left="680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52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73"/>
    </w:pPr>
    <w:rPr>
      <w:rFonts w:ascii="宋体" w:hAnsi="宋体" w:eastAsia="宋体" w:cs="宋体"/>
      <w:sz w:val="21"/>
      <w:szCs w:val="21"/>
    </w:rPr>
  </w:style>
  <w:style w:styleId="Heading1" w:type="paragraph">
    <w:name w:val="Heading 1"/>
    <w:basedOn w:val="Normal"/>
    <w:uiPriority w:val="1"/>
    <w:qFormat/>
    <w:pPr>
      <w:ind w:left="2673"/>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73"/>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张悦</dc:creator>
  <dc:title>阅 读 指 引</dc:title>
  <dcterms:created xsi:type="dcterms:W3CDTF">2018-10-20T00:48:53Z</dcterms:created>
  <dcterms:modified xsi:type="dcterms:W3CDTF">2018-10-20T00:48:53Z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Microsoft® Word 2010</vt:lpwstr>
  </property>
  <property fmtid="{D5CDD505-2E9C-101B-9397-08002B2CF9AE}" pid="4" name="LastSaved">
    <vt:filetime>2018-10-19T00:00:00Z</vt:filetime>
  </property>
</Properties>
</file>