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2" w:after="69"/>
        <w:ind w:left="6759" w:right="0" w:firstLine="0"/>
        <w:jc w:val="left"/>
        <w:rPr>
          <w:sz w:val="18"/>
        </w:rPr>
      </w:pPr>
      <w:r>
        <w:rPr>
          <w:sz w:val="18"/>
        </w:rPr>
        <w:t>工银安盛人寿〔</w:t>
      </w:r>
      <w:r>
        <w:rPr>
          <w:rFonts w:ascii="Arial" w:eastAsia="Arial"/>
          <w:sz w:val="18"/>
        </w:rPr>
        <w:t>2017</w:t>
      </w:r>
      <w:r>
        <w:rPr>
          <w:sz w:val="18"/>
        </w:rPr>
        <w:t>〕疾病保险 </w:t>
      </w:r>
      <w:r>
        <w:rPr>
          <w:rFonts w:ascii="Arial" w:eastAsia="Arial"/>
          <w:sz w:val="18"/>
        </w:rPr>
        <w:t>002 </w:t>
      </w:r>
      <w:r>
        <w:rPr>
          <w:sz w:val="18"/>
        </w:rPr>
        <w:t>号</w:t>
      </w:r>
    </w:p>
    <w:p>
      <w:pPr>
        <w:pStyle w:val="BodyText"/>
        <w:ind w:left="8751"/>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after="0"/>
        <w:rPr>
          <w:sz w:val="20"/>
        </w:rPr>
        <w:sectPr>
          <w:type w:val="continuous"/>
          <w:pgSz w:w="11900" w:h="16840"/>
          <w:pgMar w:top="1060" w:bottom="280" w:left="880" w:right="880"/>
        </w:sectPr>
      </w:pPr>
    </w:p>
    <w:p>
      <w:pPr>
        <w:pStyle w:val="Heading1"/>
        <w:spacing w:before="239"/>
        <w:ind w:left="0" w:right="0"/>
        <w:jc w:val="right"/>
        <w:rPr>
          <w:rFonts w:ascii="微软雅黑" w:eastAsia="微软雅黑" w:hint="eastAsia"/>
        </w:rPr>
      </w:pPr>
      <w:r>
        <w:rPr>
          <w:rFonts w:ascii="微软雅黑" w:eastAsia="微软雅黑" w:hint="eastAsia"/>
        </w:rPr>
        <w:t>阅  读  指 引</w:t>
      </w:r>
    </w:p>
    <w:p>
      <w:pPr>
        <w:spacing w:before="25"/>
        <w:ind w:left="2098" w:right="0" w:firstLine="0"/>
        <w:jc w:val="left"/>
        <w:rPr>
          <w:sz w:val="18"/>
        </w:rPr>
      </w:pPr>
      <w:r>
        <w:rPr/>
        <w:br w:type="column"/>
      </w:r>
      <w:r>
        <w:rPr>
          <w:w w:val="95"/>
          <w:sz w:val="18"/>
        </w:rPr>
        <w:t>请扫描以查询验证条款</w:t>
      </w:r>
    </w:p>
    <w:p>
      <w:pPr>
        <w:spacing w:after="0"/>
        <w:jc w:val="left"/>
        <w:rPr>
          <w:sz w:val="18"/>
        </w:rPr>
        <w:sectPr>
          <w:type w:val="continuous"/>
          <w:pgSz w:w="11900" w:h="16840"/>
          <w:pgMar w:top="1060" w:bottom="280" w:left="880" w:right="880"/>
          <w:cols w:num="2" w:equalWidth="0">
            <w:col w:w="5953" w:space="40"/>
            <w:col w:w="4147"/>
          </w:cols>
        </w:sectPr>
      </w:pPr>
    </w:p>
    <w:p>
      <w:pPr>
        <w:pStyle w:val="BodyText"/>
        <w:ind w:left="0"/>
        <w:rPr>
          <w:sz w:val="12"/>
        </w:rPr>
      </w:pPr>
    </w:p>
    <w:p>
      <w:pPr>
        <w:pStyle w:val="BodyText"/>
        <w:spacing w:line="280" w:lineRule="auto" w:before="37"/>
        <w:ind w:left="252" w:right="182" w:hanging="1"/>
      </w:pPr>
      <w:r>
        <w:rPr/>
        <w:pict>
          <v:group style="position:absolute;margin-left:49.67952pt;margin-top:38.114029pt;width:495.75pt;height:598.35pt;mso-position-horizontal-relative:page;mso-position-vertical-relative:paragraph;z-index:-23272" coordorigin="994,762" coordsize="9915,11967">
            <v:shape style="position:absolute;left:993;top:762;width:9915;height:11967" type="#_x0000_t75" stroked="false">
              <v:imagedata r:id="rId6" o:title=""/>
            </v:shape>
            <v:rect style="position:absolute;left:1293;top:9289;width:9346;height:3209" filled="true" fillcolor="#ffffff" stroked="false">
              <v:fill type="solid"/>
            </v:rect>
            <v:rect style="position:absolute;left:1293;top:9289;width:9346;height:3209" filled="false" stroked="true" strokeweight=".75pt" strokecolor="#000000">
              <v:stroke dashstyle="dot"/>
            </v:rect>
            <w10:wrap type="none"/>
          </v:group>
        </w:pict>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重</w:t>
      </w:r>
      <w:r>
        <w:rPr>
          <w:spacing w:val="-63"/>
          <w:w w:val="100"/>
          <w:position w:val="-7"/>
        </w:rPr>
        <w:t>．</w:t>
      </w:r>
      <w:r>
        <w:rPr>
          <w:spacing w:val="-149"/>
          <w:w w:val="100"/>
        </w:rPr>
        <w:t>点</w:t>
      </w:r>
      <w:r>
        <w:rPr>
          <w:spacing w:val="-63"/>
          <w:w w:val="100"/>
          <w:position w:val="-7"/>
        </w:rPr>
        <w:t>．</w:t>
      </w:r>
      <w:r>
        <w:rPr>
          <w:spacing w:val="-152"/>
          <w:w w:val="100"/>
        </w:rPr>
        <w:t>内</w:t>
      </w:r>
      <w:r>
        <w:rPr>
          <w:spacing w:val="-63"/>
          <w:w w:val="100"/>
          <w:position w:val="-7"/>
        </w:rPr>
        <w:t>．</w:t>
      </w:r>
      <w:r>
        <w:rPr>
          <w:spacing w:val="-152"/>
          <w:w w:val="100"/>
        </w:rPr>
        <w:t>容</w:t>
      </w:r>
      <w:r>
        <w:rPr>
          <w:spacing w:val="-63"/>
          <w:w w:val="100"/>
          <w:position w:val="-7"/>
        </w:rPr>
        <w:t>．</w:t>
      </w:r>
      <w:r>
        <w:rPr>
          <w:spacing w:val="-79"/>
          <w:w w:val="100"/>
        </w:rPr>
        <w:t>，具</w:t>
      </w:r>
      <w:r>
        <w:rPr>
          <w:spacing w:val="-63"/>
          <w:w w:val="100"/>
          <w:position w:val="-7"/>
        </w:rPr>
        <w:t>．</w:t>
      </w:r>
      <w:r>
        <w:rPr>
          <w:spacing w:val="-152"/>
          <w:w w:val="100"/>
        </w:rPr>
        <w:t>体</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详</w:t>
      </w:r>
      <w:r>
        <w:rPr>
          <w:spacing w:val="-63"/>
          <w:w w:val="100"/>
          <w:position w:val="-7"/>
        </w:rPr>
        <w:t>．</w:t>
      </w:r>
      <w:r>
        <w:rPr>
          <w:spacing w:val="-152"/>
          <w:w w:val="100"/>
        </w:rPr>
        <w:t>见</w:t>
      </w:r>
      <w:r>
        <w:rPr>
          <w:spacing w:val="-70"/>
          <w:w w:val="100"/>
          <w:position w:val="-7"/>
        </w:rPr>
        <w:t>．</w:t>
      </w:r>
      <w:r>
        <w:rPr>
          <w:spacing w:val="-147"/>
          <w:w w:val="100"/>
        </w:rPr>
        <w:t>“</w:t>
      </w:r>
      <w:r>
        <w:rPr>
          <w:spacing w:val="-65"/>
          <w:w w:val="100"/>
          <w:position w:val="-7"/>
        </w:rPr>
        <w:t>．</w:t>
      </w:r>
      <w:r>
        <w:rPr>
          <w:spacing w:val="-152"/>
          <w:w w:val="100"/>
        </w:rPr>
        <w:t>工</w:t>
      </w:r>
      <w:r>
        <w:rPr>
          <w:spacing w:val="-63"/>
          <w:w w:val="100"/>
          <w:position w:val="-7"/>
        </w:rPr>
        <w:t>．</w:t>
      </w:r>
      <w:r>
        <w:rPr>
          <w:spacing w:val="-149"/>
          <w:w w:val="100"/>
        </w:rPr>
        <w:t>银</w:t>
      </w:r>
      <w:r>
        <w:rPr>
          <w:spacing w:val="-63"/>
          <w:w w:val="100"/>
          <w:position w:val="-7"/>
        </w:rPr>
        <w:t>．</w:t>
      </w:r>
      <w:r>
        <w:rPr>
          <w:spacing w:val="-152"/>
          <w:w w:val="100"/>
        </w:rPr>
        <w:t>安</w:t>
      </w:r>
      <w:r>
        <w:rPr>
          <w:spacing w:val="-63"/>
          <w:w w:val="100"/>
          <w:position w:val="-7"/>
        </w:rPr>
        <w:t>．</w:t>
      </w:r>
      <w:r>
        <w:rPr>
          <w:spacing w:val="-149"/>
          <w:w w:val="100"/>
        </w:rPr>
        <w:t>盛</w:t>
      </w:r>
      <w:r>
        <w:rPr>
          <w:spacing w:val="-63"/>
          <w:w w:val="100"/>
          <w:position w:val="-7"/>
        </w:rPr>
        <w:t>．</w:t>
      </w:r>
      <w:r>
        <w:rPr>
          <w:spacing w:val="-149"/>
          <w:w w:val="100"/>
        </w:rPr>
        <w:t>人</w:t>
      </w:r>
      <w:r>
        <w:rPr>
          <w:spacing w:val="-63"/>
          <w:w w:val="100"/>
          <w:position w:val="-7"/>
        </w:rPr>
        <w:t>．</w:t>
      </w:r>
      <w:r>
        <w:rPr>
          <w:spacing w:val="-152"/>
          <w:w w:val="100"/>
        </w:rPr>
        <w:t>寿</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盛</w:t>
      </w:r>
      <w:r>
        <w:rPr>
          <w:spacing w:val="-63"/>
          <w:w w:val="100"/>
          <w:position w:val="-7"/>
        </w:rPr>
        <w:t>．</w:t>
      </w:r>
      <w:r>
        <w:rPr>
          <w:spacing w:val="-149"/>
          <w:w w:val="100"/>
        </w:rPr>
        <w:t>世</w:t>
      </w:r>
      <w:r>
        <w:rPr>
          <w:spacing w:val="-63"/>
          <w:w w:val="100"/>
          <w:position w:val="-7"/>
        </w:rPr>
        <w:t>．</w:t>
      </w:r>
      <w:r>
        <w:rPr>
          <w:spacing w:val="-152"/>
          <w:w w:val="100"/>
        </w:rPr>
        <w:t>如</w:t>
      </w:r>
      <w:r>
        <w:rPr>
          <w:spacing w:val="-63"/>
          <w:w w:val="100"/>
          <w:position w:val="-7"/>
        </w:rPr>
        <w:t>．</w:t>
      </w:r>
      <w:r>
        <w:rPr>
          <w:spacing w:val="-149"/>
          <w:w w:val="100"/>
        </w:rPr>
        <w:t>意</w:t>
      </w:r>
      <w:r>
        <w:rPr>
          <w:spacing w:val="-63"/>
          <w:w w:val="100"/>
          <w:position w:val="-7"/>
        </w:rPr>
        <w:t>．</w:t>
      </w:r>
      <w:r>
        <w:rPr>
          <w:spacing w:val="-152"/>
          <w:w w:val="100"/>
        </w:rPr>
        <w:t>重</w:t>
      </w:r>
      <w:r>
        <w:rPr>
          <w:spacing w:val="-63"/>
          <w:w w:val="100"/>
          <w:position w:val="-7"/>
        </w:rPr>
        <w:t>．</w:t>
      </w:r>
      <w:r>
        <w:rPr>
          <w:spacing w:val="-149"/>
          <w:w w:val="100"/>
        </w:rPr>
        <w:t>大</w:t>
      </w:r>
      <w:r>
        <w:rPr>
          <w:spacing w:val="-63"/>
          <w:w w:val="100"/>
          <w:position w:val="-7"/>
        </w:rPr>
        <w:t>．</w:t>
      </w:r>
      <w:r>
        <w:rPr>
          <w:spacing w:val="-152"/>
          <w:w w:val="100"/>
        </w:rPr>
        <w:t>疾</w:t>
      </w:r>
      <w:r>
        <w:rPr>
          <w:spacing w:val="-63"/>
          <w:w w:val="100"/>
          <w:position w:val="-7"/>
        </w:rPr>
        <w:t>．</w:t>
      </w:r>
      <w:r>
        <w:rPr>
          <w:spacing w:val="-149"/>
          <w:w w:val="100"/>
        </w:rPr>
        <w:t>病</w:t>
      </w:r>
      <w:r>
        <w:rPr>
          <w:spacing w:val="-63"/>
          <w:w w:val="100"/>
          <w:position w:val="-7"/>
        </w:rPr>
        <w:t>．</w:t>
      </w:r>
      <w:r>
        <w:rPr>
          <w:spacing w:val="-152"/>
          <w:w w:val="100"/>
        </w:rPr>
        <w:t>保</w:t>
      </w:r>
      <w:r>
        <w:rPr>
          <w:spacing w:val="-63"/>
          <w:w w:val="100"/>
          <w:position w:val="-7"/>
        </w:rPr>
        <w:t>．</w:t>
      </w:r>
      <w:r>
        <w:rPr>
          <w:spacing w:val="-149"/>
          <w:w w:val="100"/>
        </w:rPr>
        <w:t>险</w:t>
      </w:r>
      <w:r>
        <w:rPr>
          <w:spacing w:val="-63"/>
          <w:w w:val="100"/>
          <w:position w:val="-7"/>
        </w:rPr>
        <w:t>．</w:t>
      </w:r>
      <w:r>
        <w:rPr>
          <w:spacing w:val="-154"/>
          <w:w w:val="100"/>
        </w:rPr>
        <w:t>”</w:t>
      </w:r>
      <w:r>
        <w:rPr>
          <w:spacing w:val="-68"/>
          <w:w w:val="100"/>
          <w:position w:val="-7"/>
        </w:rPr>
        <w:t>．</w:t>
      </w:r>
      <w:r>
        <w:rPr>
          <w:spacing w:val="-152"/>
          <w:w w:val="100"/>
        </w:rPr>
        <w:t>条</w:t>
      </w:r>
      <w:r>
        <w:rPr>
          <w:spacing w:val="-63"/>
          <w:w w:val="100"/>
          <w:position w:val="-7"/>
        </w:rPr>
        <w:t>．</w:t>
      </w:r>
      <w:r>
        <w:rPr>
          <w:spacing w:val="-152"/>
          <w:w w:val="100"/>
        </w:rPr>
        <w:t>款</w:t>
      </w:r>
      <w:r>
        <w:rPr>
          <w:w w:val="100"/>
          <w:position w:val="-7"/>
        </w:rPr>
        <w:t>．</w:t>
      </w:r>
      <w:r>
        <w:rPr>
          <w:spacing w:val="-149"/>
          <w:w w:val="100"/>
        </w:rPr>
        <w:t>表</w:t>
      </w:r>
      <w:r>
        <w:rPr>
          <w:spacing w:val="-63"/>
          <w:position w:val="-7"/>
        </w:rPr>
        <w:t>．</w:t>
      </w:r>
      <w:r>
        <w:rPr>
          <w:spacing w:val="-149"/>
        </w:rPr>
        <w:t>述</w:t>
      </w:r>
      <w:r>
        <w:rPr>
          <w:spacing w:val="-63"/>
          <w:position w:val="-7"/>
        </w:rPr>
        <w:t>．</w:t>
      </w:r>
      <w:r>
        <w:rPr/>
        <w:t>。</w:t>
      </w:r>
    </w:p>
    <w:p>
      <w:pPr>
        <w:tabs>
          <w:tab w:pos="1131" w:val="left" w:leader="none"/>
        </w:tabs>
        <w:spacing w:before="189"/>
        <w:ind w:left="396"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该条款包含保险责任条款、一般条款两部分内容，并且在正文结尾加注名词释义</w:t>
      </w:r>
    </w:p>
    <w:p>
      <w:pPr>
        <w:pStyle w:val="ListParagraph"/>
        <w:numPr>
          <w:ilvl w:val="0"/>
          <w:numId w:val="1"/>
        </w:numPr>
        <w:tabs>
          <w:tab w:pos="1458" w:val="left" w:leader="none"/>
        </w:tabs>
        <w:spacing w:line="313" w:lineRule="exact" w:before="32" w:after="0"/>
        <w:ind w:left="1457" w:right="0" w:hanging="338"/>
        <w:jc w:val="left"/>
        <w:rPr>
          <w:sz w:val="18"/>
        </w:rPr>
      </w:pPr>
      <w:r>
        <w:rPr>
          <w:rFonts w:ascii="Microsoft JhengHei" w:eastAsia="Microsoft JhengHei" w:hint="eastAsia"/>
          <w:b/>
          <w:w w:val="95"/>
          <w:sz w:val="18"/>
        </w:rPr>
        <w:t>保险责任条款</w:t>
      </w:r>
      <w:r>
        <w:rPr>
          <w:w w:val="95"/>
          <w:sz w:val="18"/>
        </w:rPr>
        <w:t>----向您介绍该附加合同的基本构成、该附加合同所提供的保险责任以及责任免除事项。</w:t>
      </w:r>
    </w:p>
    <w:p>
      <w:pPr>
        <w:pStyle w:val="ListParagraph"/>
        <w:numPr>
          <w:ilvl w:val="0"/>
          <w:numId w:val="1"/>
        </w:numPr>
        <w:tabs>
          <w:tab w:pos="1458" w:val="left" w:leader="none"/>
        </w:tabs>
        <w:spacing w:line="312" w:lineRule="exact" w:before="0" w:after="0"/>
        <w:ind w:left="1457" w:right="0" w:hanging="338"/>
        <w:jc w:val="left"/>
        <w:rPr>
          <w:sz w:val="18"/>
        </w:rPr>
      </w:pPr>
      <w:r>
        <w:rPr>
          <w:rFonts w:ascii="Microsoft JhengHei" w:eastAsia="Microsoft JhengHei" w:hint="eastAsia"/>
          <w:b/>
          <w:w w:val="95"/>
          <w:sz w:val="18"/>
        </w:rPr>
        <w:t>一般条款</w:t>
      </w:r>
      <w:r>
        <w:rPr>
          <w:spacing w:val="-1"/>
          <w:w w:val="95"/>
          <w:sz w:val="18"/>
        </w:rPr>
        <w:t>----向您介绍您对该附加合同所拥有的权益和义务，以及保单服务、理赔的具体要求。</w:t>
      </w:r>
    </w:p>
    <w:p>
      <w:pPr>
        <w:pStyle w:val="ListParagraph"/>
        <w:numPr>
          <w:ilvl w:val="0"/>
          <w:numId w:val="1"/>
        </w:numPr>
        <w:tabs>
          <w:tab w:pos="1458" w:val="left" w:leader="none"/>
        </w:tabs>
        <w:spacing w:line="313" w:lineRule="exact" w:before="0" w:after="0"/>
        <w:ind w:left="1457" w:right="0" w:hanging="338"/>
        <w:jc w:val="left"/>
        <w:rPr>
          <w:sz w:val="18"/>
        </w:rPr>
      </w:pPr>
      <w:r>
        <w:rPr>
          <w:rFonts w:ascii="Microsoft JhengHei" w:eastAsia="Microsoft JhengHei" w:hint="eastAsia"/>
          <w:b/>
          <w:w w:val="95"/>
          <w:sz w:val="18"/>
        </w:rPr>
        <w:t>名词释义</w:t>
      </w:r>
      <w:r>
        <w:rPr>
          <w:spacing w:val="-1"/>
          <w:w w:val="95"/>
          <w:sz w:val="18"/>
        </w:rPr>
        <w:t>----向您解释该附加合同条款中所提到的一些专用名词，便于您更好地理解该附加合同。</w:t>
      </w:r>
    </w:p>
    <w:p>
      <w:pPr>
        <w:tabs>
          <w:tab w:pos="1126" w:val="left" w:leader="none"/>
        </w:tabs>
        <w:spacing w:before="83"/>
        <w:ind w:left="396"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为帮忙您更好地了解该条款，我们先介绍几个保险条款中常用的术语</w:t>
      </w:r>
    </w:p>
    <w:p>
      <w:pPr>
        <w:pStyle w:val="ListParagraph"/>
        <w:numPr>
          <w:ilvl w:val="0"/>
          <w:numId w:val="1"/>
        </w:numPr>
        <w:tabs>
          <w:tab w:pos="1458" w:val="left" w:leader="none"/>
        </w:tabs>
        <w:spacing w:line="313" w:lineRule="exact" w:before="32" w:after="0"/>
        <w:ind w:left="1457" w:right="0" w:hanging="338"/>
        <w:jc w:val="left"/>
        <w:rPr>
          <w:sz w:val="18"/>
        </w:rPr>
      </w:pPr>
      <w:r>
        <w:rPr>
          <w:rFonts w:ascii="Microsoft JhengHei" w:eastAsia="Microsoft JhengHei" w:hint="eastAsia"/>
          <w:b/>
          <w:w w:val="95"/>
          <w:sz w:val="18"/>
        </w:rPr>
        <w:t>您</w:t>
      </w:r>
      <w:r>
        <w:rPr>
          <w:spacing w:val="-1"/>
          <w:w w:val="95"/>
          <w:sz w:val="18"/>
        </w:rPr>
        <w:t>----指保险合同中所载明的投保人。</w:t>
      </w:r>
    </w:p>
    <w:p>
      <w:pPr>
        <w:pStyle w:val="ListParagraph"/>
        <w:numPr>
          <w:ilvl w:val="0"/>
          <w:numId w:val="1"/>
        </w:numPr>
        <w:tabs>
          <w:tab w:pos="1458" w:val="left" w:leader="none"/>
        </w:tabs>
        <w:spacing w:line="312" w:lineRule="exact" w:before="0" w:after="0"/>
        <w:ind w:left="1457" w:right="0" w:hanging="338"/>
        <w:jc w:val="left"/>
        <w:rPr>
          <w:sz w:val="18"/>
        </w:rPr>
      </w:pPr>
      <w:r>
        <w:rPr>
          <w:rFonts w:ascii="Microsoft JhengHei" w:eastAsia="Microsoft JhengHei" w:hint="eastAsia"/>
          <w:b/>
          <w:w w:val="95"/>
          <w:sz w:val="18"/>
        </w:rPr>
        <w:t>我们</w:t>
      </w:r>
      <w:r>
        <w:rPr>
          <w:spacing w:val="-1"/>
          <w:w w:val="95"/>
          <w:sz w:val="18"/>
        </w:rPr>
        <w:t>----指工银安盛人寿保险有限公司。</w:t>
      </w:r>
    </w:p>
    <w:p>
      <w:pPr>
        <w:pStyle w:val="ListParagraph"/>
        <w:numPr>
          <w:ilvl w:val="0"/>
          <w:numId w:val="1"/>
        </w:numPr>
        <w:tabs>
          <w:tab w:pos="1458" w:val="left" w:leader="none"/>
        </w:tabs>
        <w:spacing w:line="312" w:lineRule="exact" w:before="0" w:after="0"/>
        <w:ind w:left="1457" w:right="0" w:hanging="338"/>
        <w:jc w:val="left"/>
        <w:rPr>
          <w:sz w:val="18"/>
        </w:rPr>
      </w:pPr>
      <w:r>
        <w:rPr>
          <w:rFonts w:ascii="Microsoft JhengHei" w:eastAsia="Microsoft JhengHei" w:hint="eastAsia"/>
          <w:b/>
          <w:w w:val="95"/>
          <w:sz w:val="18"/>
        </w:rPr>
        <w:t>被保险人</w:t>
      </w:r>
      <w:r>
        <w:rPr>
          <w:spacing w:val="-1"/>
          <w:w w:val="95"/>
          <w:sz w:val="18"/>
        </w:rPr>
        <w:t>----指受保险合同保障的人。</w:t>
      </w:r>
    </w:p>
    <w:p>
      <w:pPr>
        <w:pStyle w:val="ListParagraph"/>
        <w:numPr>
          <w:ilvl w:val="0"/>
          <w:numId w:val="1"/>
        </w:numPr>
        <w:tabs>
          <w:tab w:pos="1458" w:val="left" w:leader="none"/>
        </w:tabs>
        <w:spacing w:line="313" w:lineRule="exact" w:before="0" w:after="0"/>
        <w:ind w:left="1457" w:right="0" w:hanging="338"/>
        <w:jc w:val="left"/>
        <w:rPr>
          <w:sz w:val="18"/>
        </w:rPr>
      </w:pPr>
      <w:r>
        <w:rPr>
          <w:rFonts w:ascii="Microsoft JhengHei" w:eastAsia="Microsoft JhengHei" w:hint="eastAsia"/>
          <w:b/>
          <w:w w:val="95"/>
          <w:sz w:val="18"/>
        </w:rPr>
        <w:t>受益人</w:t>
      </w:r>
      <w:r>
        <w:rPr>
          <w:spacing w:val="-1"/>
          <w:w w:val="95"/>
          <w:sz w:val="18"/>
        </w:rPr>
        <w:t>----指发生保险事故后享有保险金请求权的人。</w:t>
      </w:r>
    </w:p>
    <w:p>
      <w:pPr>
        <w:tabs>
          <w:tab w:pos="1126" w:val="left" w:leader="none"/>
        </w:tabs>
        <w:spacing w:before="84"/>
        <w:ind w:left="396"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您拥有的重要权益</w:t>
      </w:r>
    </w:p>
    <w:p>
      <w:pPr>
        <w:pStyle w:val="ListParagraph"/>
        <w:numPr>
          <w:ilvl w:val="0"/>
          <w:numId w:val="1"/>
        </w:numPr>
        <w:tabs>
          <w:tab w:pos="1461" w:val="left" w:leader="none"/>
          <w:tab w:pos="9652" w:val="right" w:leader="dot"/>
        </w:tabs>
        <w:spacing w:line="240" w:lineRule="auto" w:before="89" w:after="0"/>
        <w:ind w:left="1460" w:right="0" w:hanging="341"/>
        <w:jc w:val="left"/>
        <w:rPr>
          <w:sz w:val="18"/>
        </w:rPr>
      </w:pPr>
      <w:r>
        <w:rPr>
          <w:sz w:val="18"/>
        </w:rPr>
        <w:t>签收该附加合</w:t>
      </w:r>
      <w:r>
        <w:rPr>
          <w:spacing w:val="-3"/>
          <w:sz w:val="18"/>
        </w:rPr>
        <w:t>同</w:t>
      </w:r>
      <w:r>
        <w:rPr>
          <w:sz w:val="18"/>
        </w:rPr>
        <w:t>后</w:t>
      </w:r>
      <w:r>
        <w:rPr>
          <w:spacing w:val="-46"/>
          <w:sz w:val="18"/>
        </w:rPr>
        <w:t> </w:t>
      </w:r>
      <w:r>
        <w:rPr>
          <w:sz w:val="18"/>
        </w:rPr>
        <w:t>15</w:t>
      </w:r>
      <w:r>
        <w:rPr>
          <w:spacing w:val="-45"/>
          <w:sz w:val="18"/>
        </w:rPr>
        <w:t> </w:t>
      </w:r>
      <w:r>
        <w:rPr>
          <w:sz w:val="18"/>
        </w:rPr>
        <w:t>日内您可以要求全额退</w:t>
      </w:r>
      <w:r>
        <w:rPr>
          <w:spacing w:val="-3"/>
          <w:sz w:val="18"/>
        </w:rPr>
        <w:t>还</w:t>
      </w:r>
      <w:r>
        <w:rPr>
          <w:sz w:val="18"/>
        </w:rPr>
        <w:t>保险费</w:t>
        <w:tab/>
        <w:t>1.4</w:t>
      </w:r>
    </w:p>
    <w:p>
      <w:pPr>
        <w:pStyle w:val="ListParagraph"/>
        <w:numPr>
          <w:ilvl w:val="0"/>
          <w:numId w:val="1"/>
        </w:numPr>
        <w:tabs>
          <w:tab w:pos="1461" w:val="left" w:leader="none"/>
          <w:tab w:pos="9651" w:val="right" w:leader="dot"/>
        </w:tabs>
        <w:spacing w:line="240" w:lineRule="auto" w:before="76" w:after="0"/>
        <w:ind w:left="1460" w:right="0" w:hanging="344"/>
        <w:jc w:val="left"/>
        <w:rPr>
          <w:sz w:val="18"/>
        </w:rPr>
      </w:pPr>
      <w:r>
        <w:rPr>
          <w:sz w:val="18"/>
        </w:rPr>
        <w:t>被保险人可以享受该附</w:t>
      </w:r>
      <w:r>
        <w:rPr>
          <w:spacing w:val="-3"/>
          <w:sz w:val="18"/>
        </w:rPr>
        <w:t>加</w:t>
      </w:r>
      <w:r>
        <w:rPr>
          <w:sz w:val="18"/>
        </w:rPr>
        <w:t>合同提供的保障</w:t>
        <w:tab/>
        <w:t>1.6</w:t>
      </w:r>
    </w:p>
    <w:p>
      <w:pPr>
        <w:pStyle w:val="ListParagraph"/>
        <w:numPr>
          <w:ilvl w:val="0"/>
          <w:numId w:val="1"/>
        </w:numPr>
        <w:tabs>
          <w:tab w:pos="1461" w:val="left" w:leader="none"/>
          <w:tab w:pos="9652" w:val="right" w:leader="dot"/>
        </w:tabs>
        <w:spacing w:line="240" w:lineRule="auto" w:before="76" w:after="0"/>
        <w:ind w:left="1460" w:right="0" w:hanging="341"/>
        <w:jc w:val="left"/>
        <w:rPr>
          <w:sz w:val="18"/>
        </w:rPr>
      </w:pPr>
      <w:r>
        <w:rPr>
          <w:sz w:val="18"/>
        </w:rPr>
        <w:t>您有解除合同</w:t>
      </w:r>
      <w:r>
        <w:rPr>
          <w:spacing w:val="-3"/>
          <w:sz w:val="18"/>
        </w:rPr>
        <w:t>的</w:t>
      </w:r>
      <w:r>
        <w:rPr>
          <w:sz w:val="18"/>
        </w:rPr>
        <w:t>权利</w:t>
        <w:tab/>
        <w:t>2.5</w:t>
      </w:r>
    </w:p>
    <w:p>
      <w:pPr>
        <w:tabs>
          <w:tab w:pos="1126" w:val="left" w:leader="none"/>
        </w:tabs>
        <w:spacing w:before="103"/>
        <w:ind w:left="396"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您应承担的主要义务</w:t>
      </w:r>
    </w:p>
    <w:p>
      <w:pPr>
        <w:pStyle w:val="ListParagraph"/>
        <w:numPr>
          <w:ilvl w:val="0"/>
          <w:numId w:val="1"/>
        </w:numPr>
        <w:tabs>
          <w:tab w:pos="1461" w:val="left" w:leader="none"/>
          <w:tab w:pos="9651" w:val="right" w:leader="dot"/>
        </w:tabs>
        <w:spacing w:line="240" w:lineRule="auto" w:before="89" w:after="0"/>
        <w:ind w:left="1460" w:right="0" w:hanging="341"/>
        <w:jc w:val="left"/>
        <w:rPr>
          <w:sz w:val="18"/>
        </w:rPr>
      </w:pPr>
      <w:r>
        <w:rPr>
          <w:sz w:val="18"/>
        </w:rPr>
        <w:t>您需要按期足</w:t>
      </w:r>
      <w:r>
        <w:rPr>
          <w:spacing w:val="-3"/>
          <w:sz w:val="18"/>
        </w:rPr>
        <w:t>额</w:t>
      </w:r>
      <w:r>
        <w:rPr>
          <w:sz w:val="18"/>
        </w:rPr>
        <w:t>交纳保险费</w:t>
        <w:tab/>
        <w:t>2.1</w:t>
      </w:r>
    </w:p>
    <w:p>
      <w:pPr>
        <w:pStyle w:val="ListParagraph"/>
        <w:numPr>
          <w:ilvl w:val="0"/>
          <w:numId w:val="1"/>
        </w:numPr>
        <w:tabs>
          <w:tab w:pos="1461" w:val="left" w:leader="none"/>
          <w:tab w:pos="9651" w:val="right" w:leader="dot"/>
        </w:tabs>
        <w:spacing w:line="240" w:lineRule="auto" w:before="76" w:after="0"/>
        <w:ind w:left="1460" w:right="0" w:hanging="341"/>
        <w:jc w:val="left"/>
        <w:rPr>
          <w:sz w:val="18"/>
        </w:rPr>
      </w:pPr>
      <w:r>
        <w:rPr>
          <w:sz w:val="18"/>
        </w:rPr>
        <w:t>发生保险事故</w:t>
      </w:r>
      <w:r>
        <w:rPr>
          <w:spacing w:val="-3"/>
          <w:sz w:val="18"/>
        </w:rPr>
        <w:t>时</w:t>
      </w:r>
      <w:r>
        <w:rPr>
          <w:sz w:val="18"/>
        </w:rPr>
        <w:t>您应及早通知我们</w:t>
        <w:tab/>
        <w:t>2.8</w:t>
      </w:r>
    </w:p>
    <w:p>
      <w:pPr>
        <w:pStyle w:val="ListParagraph"/>
        <w:numPr>
          <w:ilvl w:val="0"/>
          <w:numId w:val="1"/>
        </w:numPr>
        <w:tabs>
          <w:tab w:pos="1461" w:val="left" w:leader="none"/>
          <w:tab w:pos="9652" w:val="right" w:leader="dot"/>
        </w:tabs>
        <w:spacing w:line="240" w:lineRule="auto" w:before="76" w:after="0"/>
        <w:ind w:left="1460" w:right="0" w:hanging="341"/>
        <w:jc w:val="left"/>
        <w:rPr>
          <w:sz w:val="18"/>
        </w:rPr>
      </w:pPr>
      <w:r>
        <w:rPr>
          <w:sz w:val="18"/>
        </w:rPr>
        <w:t>对于我们的询</w:t>
      </w:r>
      <w:r>
        <w:rPr>
          <w:spacing w:val="-3"/>
          <w:sz w:val="18"/>
        </w:rPr>
        <w:t>问</w:t>
      </w:r>
      <w:r>
        <w:rPr>
          <w:sz w:val="18"/>
        </w:rPr>
        <w:t>，您有如实告知的义务</w:t>
        <w:tab/>
        <w:t>2.13</w:t>
      </w:r>
    </w:p>
    <w:p>
      <w:pPr>
        <w:tabs>
          <w:tab w:pos="1126" w:val="left" w:leader="none"/>
        </w:tabs>
        <w:spacing w:before="104"/>
        <w:ind w:left="396"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您应当特别注意的事项</w:t>
      </w:r>
    </w:p>
    <w:p>
      <w:pPr>
        <w:pStyle w:val="ListParagraph"/>
        <w:numPr>
          <w:ilvl w:val="0"/>
          <w:numId w:val="1"/>
        </w:numPr>
        <w:tabs>
          <w:tab w:pos="1475" w:val="left" w:leader="none"/>
          <w:tab w:pos="9666" w:val="right" w:leader="dot"/>
        </w:tabs>
        <w:spacing w:line="240" w:lineRule="auto" w:before="90" w:after="0"/>
        <w:ind w:left="1474" w:right="0" w:hanging="343"/>
        <w:jc w:val="left"/>
        <w:rPr>
          <w:sz w:val="18"/>
        </w:rPr>
      </w:pPr>
      <w:r>
        <w:rPr>
          <w:sz w:val="18"/>
        </w:rPr>
        <w:t>我们不承担保险金给付</w:t>
      </w:r>
      <w:r>
        <w:rPr>
          <w:spacing w:val="-3"/>
          <w:sz w:val="18"/>
        </w:rPr>
        <w:t>的</w:t>
      </w:r>
      <w:r>
        <w:rPr>
          <w:sz w:val="18"/>
        </w:rPr>
        <w:t>限制</w:t>
        <w:tab/>
        <w:t>1.7</w:t>
      </w:r>
    </w:p>
    <w:p>
      <w:pPr>
        <w:pStyle w:val="ListParagraph"/>
        <w:numPr>
          <w:ilvl w:val="0"/>
          <w:numId w:val="1"/>
        </w:numPr>
        <w:tabs>
          <w:tab w:pos="1475" w:val="left" w:leader="none"/>
          <w:tab w:pos="9666" w:val="right" w:leader="dot"/>
        </w:tabs>
        <w:spacing w:line="240" w:lineRule="auto" w:before="76" w:after="0"/>
        <w:ind w:left="1474" w:right="0" w:hanging="343"/>
        <w:jc w:val="left"/>
        <w:rPr>
          <w:sz w:val="18"/>
        </w:rPr>
      </w:pPr>
      <w:r>
        <w:rPr>
          <w:sz w:val="18"/>
        </w:rPr>
        <w:t>我们对于您的未还款项</w:t>
      </w:r>
      <w:r>
        <w:rPr>
          <w:spacing w:val="-3"/>
          <w:sz w:val="18"/>
        </w:rPr>
        <w:t>的</w:t>
      </w:r>
      <w:r>
        <w:rPr>
          <w:sz w:val="18"/>
        </w:rPr>
        <w:t>处理</w:t>
        <w:tab/>
        <w:t>2.12</w:t>
      </w:r>
    </w:p>
    <w:p>
      <w:pPr>
        <w:tabs>
          <w:tab w:pos="1126" w:val="left" w:leader="none"/>
        </w:tabs>
        <w:spacing w:before="104"/>
        <w:ind w:left="396" w:right="0" w:firstLine="0"/>
        <w:jc w:val="left"/>
        <w:rPr>
          <w:rFonts w:ascii="Microsoft JhengHei" w:hAnsi="Microsoft JhengHei" w:eastAsia="Microsoft JhengHei" w:hint="eastAsia"/>
          <w:b/>
          <w:sz w:val="18"/>
        </w:rPr>
      </w:pPr>
      <w:r>
        <w:rPr/>
        <w:pict>
          <v:shapetype id="_x0000_t202" o:spt="202" coordsize="21600,21600" path="m,l,21600r21600,l21600,xe">
            <v:stroke joinstyle="miter"/>
            <v:path gradientshapeok="t" o:connecttype="rect"/>
          </v:shapetype>
          <v:shape style="position:absolute;margin-left:64.30452pt;margin-top:28.11603pt;width:426.75pt;height:160.450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8"/>
                    <w:gridCol w:w="647"/>
                    <w:gridCol w:w="2104"/>
                    <w:gridCol w:w="3231"/>
                  </w:tblGrid>
                  <w:tr>
                    <w:trPr>
                      <w:trHeight w:val="385" w:hRule="atLeast"/>
                    </w:trPr>
                    <w:tc>
                      <w:tcPr>
                        <w:tcW w:w="2548" w:type="dxa"/>
                        <w:tcBorders>
                          <w:left w:val="dotted" w:sz="6" w:space="0" w:color="000000"/>
                        </w:tcBorders>
                        <w:shd w:val="clear" w:color="auto" w:fill="FFFFFF"/>
                      </w:tcPr>
                      <w:p>
                        <w:pPr>
                          <w:pStyle w:val="TableParagraph"/>
                          <w:spacing w:before="80"/>
                          <w:ind w:left="143"/>
                          <w:rPr>
                            <w:sz w:val="18"/>
                          </w:rPr>
                        </w:pPr>
                        <w:r>
                          <w:rPr>
                            <w:rFonts w:ascii="MS UI Gothic" w:eastAsia="MS UI Gothic" w:hint="eastAsia"/>
                            <w:w w:val="105"/>
                            <w:sz w:val="18"/>
                          </w:rPr>
                          <w:t>O </w:t>
                        </w:r>
                        <w:r>
                          <w:rPr>
                            <w:w w:val="105"/>
                            <w:sz w:val="18"/>
                          </w:rPr>
                          <w:t>保险责任条款</w:t>
                        </w:r>
                      </w:p>
                    </w:tc>
                    <w:tc>
                      <w:tcPr>
                        <w:tcW w:w="647" w:type="dxa"/>
                        <w:shd w:val="clear" w:color="auto" w:fill="FFFFFF"/>
                      </w:tcPr>
                      <w:p>
                        <w:pPr>
                          <w:pStyle w:val="TableParagraph"/>
                          <w:spacing w:before="122"/>
                          <w:ind w:right="33"/>
                          <w:jc w:val="right"/>
                          <w:rPr>
                            <w:rFonts w:ascii="Times New Roman"/>
                            <w:sz w:val="18"/>
                          </w:rPr>
                        </w:pPr>
                        <w:r>
                          <w:rPr>
                            <w:rFonts w:ascii="Times New Roman"/>
                            <w:sz w:val="18"/>
                          </w:rPr>
                          <w:t>2.2</w:t>
                        </w:r>
                      </w:p>
                    </w:tc>
                    <w:tc>
                      <w:tcPr>
                        <w:tcW w:w="2104" w:type="dxa"/>
                        <w:shd w:val="clear" w:color="auto" w:fill="FFFFFF"/>
                      </w:tcPr>
                      <w:p>
                        <w:pPr>
                          <w:pStyle w:val="TableParagraph"/>
                          <w:spacing w:before="80"/>
                          <w:ind w:left="54"/>
                          <w:rPr>
                            <w:sz w:val="18"/>
                          </w:rPr>
                        </w:pPr>
                        <w:r>
                          <w:rPr>
                            <w:w w:val="95"/>
                            <w:sz w:val="18"/>
                          </w:rPr>
                          <w:t>垫交保险费</w:t>
                        </w:r>
                      </w:p>
                    </w:tc>
                    <w:tc>
                      <w:tcPr>
                        <w:tcW w:w="3231" w:type="dxa"/>
                        <w:shd w:val="clear" w:color="auto" w:fill="FFFFFF"/>
                      </w:tcPr>
                      <w:p>
                        <w:pPr>
                          <w:pStyle w:val="TableParagraph"/>
                          <w:spacing w:before="80"/>
                          <w:ind w:left="439"/>
                          <w:rPr>
                            <w:sz w:val="18"/>
                          </w:rPr>
                        </w:pPr>
                        <w:r>
                          <w:rPr>
                            <w:rFonts w:ascii="Times New Roman" w:eastAsia="Times New Roman"/>
                            <w:sz w:val="18"/>
                          </w:rPr>
                          <w:t>2.12  </w:t>
                        </w:r>
                        <w:r>
                          <w:rPr>
                            <w:sz w:val="18"/>
                          </w:rPr>
                          <w:t>未还款项的扣除</w:t>
                        </w:r>
                      </w:p>
                    </w:tc>
                  </w:tr>
                  <w:tr>
                    <w:trPr>
                      <w:trHeight w:val="311" w:hRule="atLeast"/>
                    </w:trPr>
                    <w:tc>
                      <w:tcPr>
                        <w:tcW w:w="2548" w:type="dxa"/>
                        <w:tcBorders>
                          <w:left w:val="dotted" w:sz="6" w:space="0" w:color="000000"/>
                        </w:tcBorders>
                        <w:shd w:val="clear" w:color="auto" w:fill="FFFFFF"/>
                      </w:tcPr>
                      <w:p>
                        <w:pPr>
                          <w:pStyle w:val="TableParagraph"/>
                          <w:ind w:left="143"/>
                          <w:rPr>
                            <w:sz w:val="18"/>
                          </w:rPr>
                        </w:pPr>
                        <w:r>
                          <w:rPr>
                            <w:rFonts w:ascii="Times New Roman" w:eastAsia="Times New Roman"/>
                            <w:sz w:val="18"/>
                          </w:rPr>
                          <w:t>1.1  </w:t>
                        </w:r>
                        <w:r>
                          <w:rPr>
                            <w:sz w:val="18"/>
                          </w:rPr>
                          <w:t>合同的构成</w:t>
                        </w:r>
                      </w:p>
                    </w:tc>
                    <w:tc>
                      <w:tcPr>
                        <w:tcW w:w="647" w:type="dxa"/>
                        <w:shd w:val="clear" w:color="auto" w:fill="FFFFFF"/>
                      </w:tcPr>
                      <w:p>
                        <w:pPr>
                          <w:pStyle w:val="TableParagraph"/>
                          <w:spacing w:before="48"/>
                          <w:ind w:right="33"/>
                          <w:jc w:val="right"/>
                          <w:rPr>
                            <w:rFonts w:ascii="Times New Roman"/>
                            <w:sz w:val="18"/>
                          </w:rPr>
                        </w:pPr>
                        <w:r>
                          <w:rPr>
                            <w:rFonts w:ascii="Times New Roman"/>
                            <w:sz w:val="18"/>
                          </w:rPr>
                          <w:t>2.3</w:t>
                        </w:r>
                      </w:p>
                    </w:tc>
                    <w:tc>
                      <w:tcPr>
                        <w:tcW w:w="2104" w:type="dxa"/>
                        <w:shd w:val="clear" w:color="auto" w:fill="FFFFFF"/>
                      </w:tcPr>
                      <w:p>
                        <w:pPr>
                          <w:pStyle w:val="TableParagraph"/>
                          <w:ind w:left="54"/>
                          <w:rPr>
                            <w:sz w:val="18"/>
                          </w:rPr>
                        </w:pPr>
                        <w:r>
                          <w:rPr>
                            <w:w w:val="95"/>
                            <w:sz w:val="18"/>
                          </w:rPr>
                          <w:t>合同效力的中止</w:t>
                        </w:r>
                      </w:p>
                    </w:tc>
                    <w:tc>
                      <w:tcPr>
                        <w:tcW w:w="3231" w:type="dxa"/>
                        <w:shd w:val="clear" w:color="auto" w:fill="FFFFFF"/>
                      </w:tcPr>
                      <w:p>
                        <w:pPr>
                          <w:pStyle w:val="TableParagraph"/>
                          <w:ind w:left="439"/>
                          <w:rPr>
                            <w:sz w:val="18"/>
                          </w:rPr>
                        </w:pPr>
                        <w:r>
                          <w:rPr>
                            <w:rFonts w:ascii="Times New Roman" w:eastAsia="Times New Roman"/>
                            <w:sz w:val="18"/>
                          </w:rPr>
                          <w:t>2.13  </w:t>
                        </w:r>
                        <w:r>
                          <w:rPr>
                            <w:sz w:val="18"/>
                          </w:rPr>
                          <w:t>如实告知</w:t>
                        </w:r>
                      </w:p>
                    </w:tc>
                  </w:tr>
                  <w:tr>
                    <w:trPr>
                      <w:trHeight w:val="311" w:hRule="atLeast"/>
                    </w:trPr>
                    <w:tc>
                      <w:tcPr>
                        <w:tcW w:w="2548" w:type="dxa"/>
                        <w:tcBorders>
                          <w:left w:val="dotted" w:sz="6" w:space="0" w:color="000000"/>
                        </w:tcBorders>
                        <w:shd w:val="clear" w:color="auto" w:fill="FFFFFF"/>
                      </w:tcPr>
                      <w:p>
                        <w:pPr>
                          <w:pStyle w:val="TableParagraph"/>
                          <w:ind w:left="143"/>
                          <w:rPr>
                            <w:sz w:val="18"/>
                          </w:rPr>
                        </w:pPr>
                        <w:r>
                          <w:rPr>
                            <w:rFonts w:ascii="Times New Roman" w:eastAsia="Times New Roman"/>
                            <w:sz w:val="18"/>
                          </w:rPr>
                          <w:t>1.2  </w:t>
                        </w:r>
                        <w:r>
                          <w:rPr>
                            <w:sz w:val="18"/>
                          </w:rPr>
                          <w:t>投保范围</w:t>
                        </w:r>
                      </w:p>
                    </w:tc>
                    <w:tc>
                      <w:tcPr>
                        <w:tcW w:w="647" w:type="dxa"/>
                        <w:shd w:val="clear" w:color="auto" w:fill="FFFFFF"/>
                      </w:tcPr>
                      <w:p>
                        <w:pPr>
                          <w:pStyle w:val="TableParagraph"/>
                          <w:spacing w:before="48"/>
                          <w:ind w:right="33"/>
                          <w:jc w:val="right"/>
                          <w:rPr>
                            <w:rFonts w:ascii="Times New Roman"/>
                            <w:sz w:val="18"/>
                          </w:rPr>
                        </w:pPr>
                        <w:r>
                          <w:rPr>
                            <w:rFonts w:ascii="Times New Roman"/>
                            <w:sz w:val="18"/>
                          </w:rPr>
                          <w:t>2.4</w:t>
                        </w:r>
                      </w:p>
                    </w:tc>
                    <w:tc>
                      <w:tcPr>
                        <w:tcW w:w="2104" w:type="dxa"/>
                        <w:shd w:val="clear" w:color="auto" w:fill="FFFFFF"/>
                      </w:tcPr>
                      <w:p>
                        <w:pPr>
                          <w:pStyle w:val="TableParagraph"/>
                          <w:ind w:left="54"/>
                          <w:rPr>
                            <w:sz w:val="18"/>
                          </w:rPr>
                        </w:pPr>
                        <w:r>
                          <w:rPr>
                            <w:w w:val="95"/>
                            <w:sz w:val="18"/>
                          </w:rPr>
                          <w:t>合同效力的恢复</w:t>
                        </w:r>
                      </w:p>
                    </w:tc>
                    <w:tc>
                      <w:tcPr>
                        <w:tcW w:w="3231" w:type="dxa"/>
                        <w:shd w:val="clear" w:color="auto" w:fill="FFFFFF"/>
                      </w:tcPr>
                      <w:p>
                        <w:pPr>
                          <w:pStyle w:val="TableParagraph"/>
                          <w:ind w:left="439"/>
                          <w:rPr>
                            <w:sz w:val="18"/>
                          </w:rPr>
                        </w:pPr>
                        <w:r>
                          <w:rPr>
                            <w:rFonts w:ascii="Times New Roman" w:eastAsia="Times New Roman"/>
                            <w:sz w:val="18"/>
                          </w:rPr>
                          <w:t>2.14 </w:t>
                        </w:r>
                        <w:r>
                          <w:rPr>
                            <w:sz w:val="18"/>
                          </w:rPr>
                          <w:t>合同解除权的限制</w:t>
                        </w:r>
                      </w:p>
                    </w:tc>
                  </w:tr>
                  <w:tr>
                    <w:trPr>
                      <w:trHeight w:val="311" w:hRule="atLeast"/>
                    </w:trPr>
                    <w:tc>
                      <w:tcPr>
                        <w:tcW w:w="2548" w:type="dxa"/>
                        <w:tcBorders>
                          <w:left w:val="dotted" w:sz="6" w:space="0" w:color="000000"/>
                        </w:tcBorders>
                        <w:shd w:val="clear" w:color="auto" w:fill="FFFFFF"/>
                      </w:tcPr>
                      <w:p>
                        <w:pPr>
                          <w:pStyle w:val="TableParagraph"/>
                          <w:ind w:left="143"/>
                          <w:rPr>
                            <w:sz w:val="18"/>
                          </w:rPr>
                        </w:pPr>
                        <w:r>
                          <w:rPr>
                            <w:rFonts w:ascii="Times New Roman" w:eastAsia="Times New Roman"/>
                            <w:sz w:val="18"/>
                          </w:rPr>
                          <w:t>1.3  </w:t>
                        </w:r>
                        <w:r>
                          <w:rPr>
                            <w:sz w:val="18"/>
                          </w:rPr>
                          <w:t>保险期间</w:t>
                        </w:r>
                      </w:p>
                    </w:tc>
                    <w:tc>
                      <w:tcPr>
                        <w:tcW w:w="647" w:type="dxa"/>
                        <w:shd w:val="clear" w:color="auto" w:fill="FFFFFF"/>
                      </w:tcPr>
                      <w:p>
                        <w:pPr>
                          <w:pStyle w:val="TableParagraph"/>
                          <w:spacing w:before="48"/>
                          <w:ind w:right="33"/>
                          <w:jc w:val="right"/>
                          <w:rPr>
                            <w:rFonts w:ascii="Times New Roman"/>
                            <w:sz w:val="18"/>
                          </w:rPr>
                        </w:pPr>
                        <w:r>
                          <w:rPr>
                            <w:rFonts w:ascii="Times New Roman"/>
                            <w:sz w:val="18"/>
                          </w:rPr>
                          <w:t>2.5</w:t>
                        </w:r>
                      </w:p>
                    </w:tc>
                    <w:tc>
                      <w:tcPr>
                        <w:tcW w:w="2104" w:type="dxa"/>
                        <w:shd w:val="clear" w:color="auto" w:fill="FFFFFF"/>
                      </w:tcPr>
                      <w:p>
                        <w:pPr>
                          <w:pStyle w:val="TableParagraph"/>
                          <w:ind w:left="54"/>
                          <w:rPr>
                            <w:sz w:val="18"/>
                          </w:rPr>
                        </w:pPr>
                        <w:r>
                          <w:rPr>
                            <w:w w:val="95"/>
                            <w:sz w:val="18"/>
                          </w:rPr>
                          <w:t>合同的解除</w:t>
                        </w:r>
                      </w:p>
                    </w:tc>
                    <w:tc>
                      <w:tcPr>
                        <w:tcW w:w="3231" w:type="dxa"/>
                        <w:shd w:val="clear" w:color="auto" w:fill="FFFFFF"/>
                      </w:tcPr>
                      <w:p>
                        <w:pPr>
                          <w:pStyle w:val="TableParagraph"/>
                          <w:ind w:left="439"/>
                          <w:rPr>
                            <w:sz w:val="18"/>
                          </w:rPr>
                        </w:pPr>
                        <w:r>
                          <w:rPr>
                            <w:rFonts w:ascii="Times New Roman" w:eastAsia="Times New Roman"/>
                            <w:sz w:val="18"/>
                          </w:rPr>
                          <w:t>2.15 </w:t>
                        </w:r>
                        <w:r>
                          <w:rPr>
                            <w:sz w:val="18"/>
                          </w:rPr>
                          <w:t>年龄及性别的确定与错误处理</w:t>
                        </w:r>
                      </w:p>
                    </w:tc>
                  </w:tr>
                  <w:tr>
                    <w:trPr>
                      <w:trHeight w:val="311" w:hRule="atLeast"/>
                    </w:trPr>
                    <w:tc>
                      <w:tcPr>
                        <w:tcW w:w="2548" w:type="dxa"/>
                        <w:tcBorders>
                          <w:left w:val="dotted" w:sz="6" w:space="0" w:color="000000"/>
                        </w:tcBorders>
                        <w:shd w:val="clear" w:color="auto" w:fill="FFFFFF"/>
                      </w:tcPr>
                      <w:p>
                        <w:pPr>
                          <w:pStyle w:val="TableParagraph"/>
                          <w:ind w:left="143"/>
                          <w:rPr>
                            <w:sz w:val="18"/>
                          </w:rPr>
                        </w:pPr>
                        <w:r>
                          <w:rPr>
                            <w:rFonts w:ascii="Times New Roman" w:eastAsia="Times New Roman"/>
                            <w:sz w:val="18"/>
                          </w:rPr>
                          <w:t>1.4  </w:t>
                        </w:r>
                        <w:r>
                          <w:rPr>
                            <w:sz w:val="18"/>
                          </w:rPr>
                          <w:t>犹豫期</w:t>
                        </w:r>
                      </w:p>
                    </w:tc>
                    <w:tc>
                      <w:tcPr>
                        <w:tcW w:w="647" w:type="dxa"/>
                        <w:shd w:val="clear" w:color="auto" w:fill="FFFFFF"/>
                      </w:tcPr>
                      <w:p>
                        <w:pPr>
                          <w:pStyle w:val="TableParagraph"/>
                          <w:spacing w:before="48"/>
                          <w:ind w:right="33"/>
                          <w:jc w:val="right"/>
                          <w:rPr>
                            <w:rFonts w:ascii="Times New Roman"/>
                            <w:sz w:val="18"/>
                          </w:rPr>
                        </w:pPr>
                        <w:r>
                          <w:rPr>
                            <w:rFonts w:ascii="Times New Roman"/>
                            <w:sz w:val="18"/>
                          </w:rPr>
                          <w:t>2.6</w:t>
                        </w:r>
                      </w:p>
                    </w:tc>
                    <w:tc>
                      <w:tcPr>
                        <w:tcW w:w="2104" w:type="dxa"/>
                        <w:shd w:val="clear" w:color="auto" w:fill="FFFFFF"/>
                      </w:tcPr>
                      <w:p>
                        <w:pPr>
                          <w:pStyle w:val="TableParagraph"/>
                          <w:ind w:left="54"/>
                          <w:rPr>
                            <w:sz w:val="18"/>
                          </w:rPr>
                        </w:pPr>
                        <w:r>
                          <w:rPr>
                            <w:w w:val="95"/>
                            <w:sz w:val="18"/>
                          </w:rPr>
                          <w:t>合同效力的终止</w:t>
                        </w:r>
                      </w:p>
                    </w:tc>
                    <w:tc>
                      <w:tcPr>
                        <w:tcW w:w="3231" w:type="dxa"/>
                        <w:shd w:val="clear" w:color="auto" w:fill="FFFFFF"/>
                      </w:tcPr>
                      <w:p>
                        <w:pPr>
                          <w:pStyle w:val="TableParagraph"/>
                          <w:ind w:left="439"/>
                          <w:rPr>
                            <w:sz w:val="18"/>
                          </w:rPr>
                        </w:pPr>
                        <w:r>
                          <w:rPr>
                            <w:rFonts w:ascii="Times New Roman" w:eastAsia="Times New Roman"/>
                            <w:sz w:val="18"/>
                          </w:rPr>
                          <w:t>2.16  </w:t>
                        </w:r>
                        <w:r>
                          <w:rPr>
                            <w:sz w:val="18"/>
                          </w:rPr>
                          <w:t>合同内容的变更</w:t>
                        </w:r>
                      </w:p>
                    </w:tc>
                  </w:tr>
                  <w:tr>
                    <w:trPr>
                      <w:trHeight w:val="311" w:hRule="atLeast"/>
                    </w:trPr>
                    <w:tc>
                      <w:tcPr>
                        <w:tcW w:w="2548" w:type="dxa"/>
                        <w:tcBorders>
                          <w:left w:val="dotted" w:sz="6" w:space="0" w:color="000000"/>
                        </w:tcBorders>
                        <w:shd w:val="clear" w:color="auto" w:fill="FFFFFF"/>
                      </w:tcPr>
                      <w:p>
                        <w:pPr>
                          <w:pStyle w:val="TableParagraph"/>
                          <w:ind w:left="143"/>
                          <w:rPr>
                            <w:sz w:val="18"/>
                          </w:rPr>
                        </w:pPr>
                        <w:r>
                          <w:rPr>
                            <w:rFonts w:ascii="Times New Roman" w:eastAsia="Times New Roman"/>
                            <w:sz w:val="18"/>
                          </w:rPr>
                          <w:t>1.5  </w:t>
                        </w:r>
                        <w:r>
                          <w:rPr>
                            <w:sz w:val="18"/>
                          </w:rPr>
                          <w:t>基本保险金额</w:t>
                        </w:r>
                      </w:p>
                    </w:tc>
                    <w:tc>
                      <w:tcPr>
                        <w:tcW w:w="647" w:type="dxa"/>
                        <w:shd w:val="clear" w:color="auto" w:fill="FFFFFF"/>
                      </w:tcPr>
                      <w:p>
                        <w:pPr>
                          <w:pStyle w:val="TableParagraph"/>
                          <w:spacing w:before="48"/>
                          <w:ind w:right="33"/>
                          <w:jc w:val="right"/>
                          <w:rPr>
                            <w:rFonts w:ascii="Times New Roman"/>
                            <w:sz w:val="18"/>
                          </w:rPr>
                        </w:pPr>
                        <w:r>
                          <w:rPr>
                            <w:rFonts w:ascii="Times New Roman"/>
                            <w:sz w:val="18"/>
                          </w:rPr>
                          <w:t>2.7</w:t>
                        </w:r>
                      </w:p>
                    </w:tc>
                    <w:tc>
                      <w:tcPr>
                        <w:tcW w:w="2104" w:type="dxa"/>
                        <w:shd w:val="clear" w:color="auto" w:fill="FFFFFF"/>
                      </w:tcPr>
                      <w:p>
                        <w:pPr>
                          <w:pStyle w:val="TableParagraph"/>
                          <w:ind w:left="54"/>
                          <w:rPr>
                            <w:sz w:val="18"/>
                          </w:rPr>
                        </w:pPr>
                        <w:r>
                          <w:rPr>
                            <w:w w:val="95"/>
                            <w:sz w:val="18"/>
                          </w:rPr>
                          <w:t>受益人的指定和变更</w:t>
                        </w:r>
                      </w:p>
                    </w:tc>
                    <w:tc>
                      <w:tcPr>
                        <w:tcW w:w="3231" w:type="dxa"/>
                        <w:shd w:val="clear" w:color="auto" w:fill="FFFFFF"/>
                      </w:tcPr>
                      <w:p>
                        <w:pPr>
                          <w:pStyle w:val="TableParagraph"/>
                          <w:ind w:left="439"/>
                          <w:rPr>
                            <w:sz w:val="18"/>
                          </w:rPr>
                        </w:pPr>
                        <w:r>
                          <w:rPr>
                            <w:rFonts w:ascii="Times New Roman" w:eastAsia="Times New Roman"/>
                            <w:sz w:val="18"/>
                          </w:rPr>
                          <w:t>2.17  </w:t>
                        </w:r>
                        <w:r>
                          <w:rPr>
                            <w:sz w:val="18"/>
                          </w:rPr>
                          <w:t>联系方式的变更</w:t>
                        </w:r>
                      </w:p>
                    </w:tc>
                  </w:tr>
                  <w:tr>
                    <w:trPr>
                      <w:trHeight w:val="311" w:hRule="atLeast"/>
                    </w:trPr>
                    <w:tc>
                      <w:tcPr>
                        <w:tcW w:w="2548" w:type="dxa"/>
                        <w:tcBorders>
                          <w:left w:val="dotted" w:sz="6" w:space="0" w:color="000000"/>
                        </w:tcBorders>
                        <w:shd w:val="clear" w:color="auto" w:fill="FFFFFF"/>
                      </w:tcPr>
                      <w:p>
                        <w:pPr>
                          <w:pStyle w:val="TableParagraph"/>
                          <w:ind w:left="143"/>
                          <w:rPr>
                            <w:sz w:val="18"/>
                          </w:rPr>
                        </w:pPr>
                        <w:r>
                          <w:rPr>
                            <w:rFonts w:ascii="Times New Roman" w:eastAsia="Times New Roman"/>
                            <w:sz w:val="18"/>
                          </w:rPr>
                          <w:t>1.6  </w:t>
                        </w:r>
                        <w:r>
                          <w:rPr>
                            <w:sz w:val="18"/>
                          </w:rPr>
                          <w:t>保险责任</w:t>
                        </w:r>
                      </w:p>
                    </w:tc>
                    <w:tc>
                      <w:tcPr>
                        <w:tcW w:w="647" w:type="dxa"/>
                        <w:shd w:val="clear" w:color="auto" w:fill="FFFFFF"/>
                      </w:tcPr>
                      <w:p>
                        <w:pPr>
                          <w:pStyle w:val="TableParagraph"/>
                          <w:spacing w:before="48"/>
                          <w:ind w:right="33"/>
                          <w:jc w:val="right"/>
                          <w:rPr>
                            <w:rFonts w:ascii="Times New Roman"/>
                            <w:sz w:val="18"/>
                          </w:rPr>
                        </w:pPr>
                        <w:r>
                          <w:rPr>
                            <w:rFonts w:ascii="Times New Roman"/>
                            <w:sz w:val="18"/>
                          </w:rPr>
                          <w:t>2.8</w:t>
                        </w:r>
                      </w:p>
                    </w:tc>
                    <w:tc>
                      <w:tcPr>
                        <w:tcW w:w="2104" w:type="dxa"/>
                        <w:shd w:val="clear" w:color="auto" w:fill="FFFFFF"/>
                      </w:tcPr>
                      <w:p>
                        <w:pPr>
                          <w:pStyle w:val="TableParagraph"/>
                          <w:ind w:left="54"/>
                          <w:rPr>
                            <w:sz w:val="18"/>
                          </w:rPr>
                        </w:pPr>
                        <w:r>
                          <w:rPr>
                            <w:w w:val="95"/>
                            <w:sz w:val="18"/>
                          </w:rPr>
                          <w:t>保险事故的通知</w:t>
                        </w:r>
                      </w:p>
                    </w:tc>
                    <w:tc>
                      <w:tcPr>
                        <w:tcW w:w="3231" w:type="dxa"/>
                        <w:shd w:val="clear" w:color="auto" w:fill="FFFFFF"/>
                      </w:tcPr>
                      <w:p>
                        <w:pPr>
                          <w:pStyle w:val="TableParagraph"/>
                          <w:ind w:left="439"/>
                          <w:rPr>
                            <w:sz w:val="18"/>
                          </w:rPr>
                        </w:pPr>
                        <w:r>
                          <w:rPr>
                            <w:rFonts w:ascii="Times New Roman" w:eastAsia="Times New Roman"/>
                            <w:sz w:val="18"/>
                          </w:rPr>
                          <w:t>2.18  </w:t>
                        </w:r>
                        <w:r>
                          <w:rPr>
                            <w:sz w:val="18"/>
                          </w:rPr>
                          <w:t>借款</w:t>
                        </w:r>
                      </w:p>
                    </w:tc>
                  </w:tr>
                  <w:tr>
                    <w:trPr>
                      <w:trHeight w:val="311" w:hRule="atLeast"/>
                    </w:trPr>
                    <w:tc>
                      <w:tcPr>
                        <w:tcW w:w="2548" w:type="dxa"/>
                        <w:tcBorders>
                          <w:left w:val="dotted" w:sz="6" w:space="0" w:color="000000"/>
                        </w:tcBorders>
                        <w:shd w:val="clear" w:color="auto" w:fill="FFFFFF"/>
                      </w:tcPr>
                      <w:p>
                        <w:pPr>
                          <w:pStyle w:val="TableParagraph"/>
                          <w:ind w:left="143"/>
                          <w:rPr>
                            <w:sz w:val="18"/>
                          </w:rPr>
                        </w:pPr>
                        <w:r>
                          <w:rPr>
                            <w:rFonts w:ascii="Times New Roman" w:eastAsia="Times New Roman"/>
                            <w:sz w:val="18"/>
                          </w:rPr>
                          <w:t>1.7  </w:t>
                        </w:r>
                        <w:r>
                          <w:rPr>
                            <w:sz w:val="18"/>
                          </w:rPr>
                          <w:t>责任免除</w:t>
                        </w:r>
                      </w:p>
                    </w:tc>
                    <w:tc>
                      <w:tcPr>
                        <w:tcW w:w="647" w:type="dxa"/>
                        <w:shd w:val="clear" w:color="auto" w:fill="FFFFFF"/>
                      </w:tcPr>
                      <w:p>
                        <w:pPr>
                          <w:pStyle w:val="TableParagraph"/>
                          <w:spacing w:before="48"/>
                          <w:ind w:right="33"/>
                          <w:jc w:val="right"/>
                          <w:rPr>
                            <w:rFonts w:ascii="Times New Roman"/>
                            <w:sz w:val="18"/>
                          </w:rPr>
                        </w:pPr>
                        <w:r>
                          <w:rPr>
                            <w:rFonts w:ascii="Times New Roman"/>
                            <w:sz w:val="18"/>
                          </w:rPr>
                          <w:t>2.9</w:t>
                        </w:r>
                      </w:p>
                    </w:tc>
                    <w:tc>
                      <w:tcPr>
                        <w:tcW w:w="2104" w:type="dxa"/>
                        <w:shd w:val="clear" w:color="auto" w:fill="FFFFFF"/>
                      </w:tcPr>
                      <w:p>
                        <w:pPr>
                          <w:pStyle w:val="TableParagraph"/>
                          <w:ind w:left="54"/>
                          <w:rPr>
                            <w:sz w:val="18"/>
                          </w:rPr>
                        </w:pPr>
                        <w:r>
                          <w:rPr>
                            <w:w w:val="95"/>
                            <w:sz w:val="18"/>
                          </w:rPr>
                          <w:t>保险金的申请</w:t>
                        </w:r>
                      </w:p>
                    </w:tc>
                    <w:tc>
                      <w:tcPr>
                        <w:tcW w:w="3231" w:type="dxa"/>
                        <w:shd w:val="clear" w:color="auto" w:fill="FFFFFF"/>
                      </w:tcPr>
                      <w:p>
                        <w:pPr>
                          <w:pStyle w:val="TableParagraph"/>
                          <w:ind w:left="439"/>
                          <w:rPr>
                            <w:sz w:val="18"/>
                          </w:rPr>
                        </w:pPr>
                        <w:r>
                          <w:rPr>
                            <w:rFonts w:ascii="Times New Roman" w:eastAsia="Times New Roman"/>
                            <w:sz w:val="18"/>
                          </w:rPr>
                          <w:t>2.19  </w:t>
                        </w:r>
                        <w:r>
                          <w:rPr>
                            <w:sz w:val="18"/>
                          </w:rPr>
                          <w:t>争议处理</w:t>
                        </w:r>
                      </w:p>
                    </w:tc>
                  </w:tr>
                  <w:tr>
                    <w:trPr>
                      <w:trHeight w:val="312" w:hRule="atLeast"/>
                    </w:trPr>
                    <w:tc>
                      <w:tcPr>
                        <w:tcW w:w="2548" w:type="dxa"/>
                        <w:tcBorders>
                          <w:left w:val="dotted" w:sz="6" w:space="0" w:color="000000"/>
                        </w:tcBorders>
                        <w:shd w:val="clear" w:color="auto" w:fill="FFFFFF"/>
                      </w:tcPr>
                      <w:p>
                        <w:pPr>
                          <w:pStyle w:val="TableParagraph"/>
                          <w:spacing w:before="7"/>
                          <w:ind w:left="143"/>
                          <w:rPr>
                            <w:sz w:val="18"/>
                          </w:rPr>
                        </w:pPr>
                        <w:r>
                          <w:rPr>
                            <w:rFonts w:ascii="MS UI Gothic" w:eastAsia="MS UI Gothic" w:hint="eastAsia"/>
                            <w:w w:val="160"/>
                            <w:sz w:val="18"/>
                          </w:rPr>
                          <w:t>0</w:t>
                        </w:r>
                        <w:r>
                          <w:rPr>
                            <w:rFonts w:ascii="MS UI Gothic" w:eastAsia="MS UI Gothic" w:hint="eastAsia"/>
                            <w:spacing w:val="-54"/>
                            <w:w w:val="160"/>
                            <w:sz w:val="18"/>
                          </w:rPr>
                          <w:t> </w:t>
                        </w:r>
                        <w:r>
                          <w:rPr>
                            <w:w w:val="110"/>
                            <w:sz w:val="18"/>
                          </w:rPr>
                          <w:t>一般条款</w:t>
                        </w:r>
                      </w:p>
                    </w:tc>
                    <w:tc>
                      <w:tcPr>
                        <w:tcW w:w="647" w:type="dxa"/>
                        <w:shd w:val="clear" w:color="auto" w:fill="FFFFFF"/>
                      </w:tcPr>
                      <w:p>
                        <w:pPr>
                          <w:pStyle w:val="TableParagraph"/>
                          <w:spacing w:before="49"/>
                          <w:ind w:right="35"/>
                          <w:jc w:val="right"/>
                          <w:rPr>
                            <w:rFonts w:ascii="Times New Roman"/>
                            <w:sz w:val="18"/>
                          </w:rPr>
                        </w:pPr>
                        <w:r>
                          <w:rPr>
                            <w:rFonts w:ascii="Times New Roman"/>
                            <w:sz w:val="18"/>
                          </w:rPr>
                          <w:t>2.10</w:t>
                        </w:r>
                      </w:p>
                    </w:tc>
                    <w:tc>
                      <w:tcPr>
                        <w:tcW w:w="2104" w:type="dxa"/>
                        <w:shd w:val="clear" w:color="auto" w:fill="FFFFFF"/>
                      </w:tcPr>
                      <w:p>
                        <w:pPr>
                          <w:pStyle w:val="TableParagraph"/>
                          <w:spacing w:before="7"/>
                          <w:ind w:left="54"/>
                          <w:rPr>
                            <w:sz w:val="18"/>
                          </w:rPr>
                        </w:pPr>
                        <w:r>
                          <w:rPr>
                            <w:w w:val="95"/>
                            <w:sz w:val="18"/>
                          </w:rPr>
                          <w:t>保险金的给付</w:t>
                        </w:r>
                      </w:p>
                    </w:tc>
                    <w:tc>
                      <w:tcPr>
                        <w:tcW w:w="3231" w:type="dxa"/>
                        <w:shd w:val="clear" w:color="auto" w:fill="FFFFFF"/>
                      </w:tcPr>
                      <w:p>
                        <w:pPr>
                          <w:pStyle w:val="TableParagraph"/>
                          <w:spacing w:before="0"/>
                          <w:rPr>
                            <w:rFonts w:ascii="Times New Roman"/>
                            <w:sz w:val="18"/>
                          </w:rPr>
                        </w:pPr>
                      </w:p>
                    </w:tc>
                  </w:tr>
                  <w:tr>
                    <w:trPr>
                      <w:trHeight w:val="327" w:hRule="atLeast"/>
                    </w:trPr>
                    <w:tc>
                      <w:tcPr>
                        <w:tcW w:w="2548" w:type="dxa"/>
                        <w:tcBorders>
                          <w:left w:val="dotted" w:sz="6" w:space="0" w:color="000000"/>
                        </w:tcBorders>
                        <w:shd w:val="clear" w:color="auto" w:fill="FFFFFF"/>
                      </w:tcPr>
                      <w:p>
                        <w:pPr>
                          <w:pStyle w:val="TableParagraph"/>
                          <w:ind w:left="143"/>
                          <w:rPr>
                            <w:sz w:val="18"/>
                          </w:rPr>
                        </w:pPr>
                        <w:r>
                          <w:rPr>
                            <w:rFonts w:ascii="Times New Roman" w:eastAsia="Times New Roman"/>
                            <w:sz w:val="18"/>
                          </w:rPr>
                          <w:t>2.1 </w:t>
                        </w:r>
                        <w:r>
                          <w:rPr>
                            <w:sz w:val="18"/>
                          </w:rPr>
                          <w:t>保险费的交付及宽限期</w:t>
                        </w:r>
                      </w:p>
                    </w:tc>
                    <w:tc>
                      <w:tcPr>
                        <w:tcW w:w="647" w:type="dxa"/>
                        <w:shd w:val="clear" w:color="auto" w:fill="FFFFFF"/>
                      </w:tcPr>
                      <w:p>
                        <w:pPr>
                          <w:pStyle w:val="TableParagraph"/>
                          <w:spacing w:before="48"/>
                          <w:ind w:right="42"/>
                          <w:jc w:val="right"/>
                          <w:rPr>
                            <w:rFonts w:ascii="Times New Roman"/>
                            <w:sz w:val="18"/>
                          </w:rPr>
                        </w:pPr>
                        <w:r>
                          <w:rPr>
                            <w:rFonts w:ascii="Times New Roman"/>
                            <w:sz w:val="18"/>
                          </w:rPr>
                          <w:t>2.11</w:t>
                        </w:r>
                      </w:p>
                    </w:tc>
                    <w:tc>
                      <w:tcPr>
                        <w:tcW w:w="2104" w:type="dxa"/>
                        <w:shd w:val="clear" w:color="auto" w:fill="FFFFFF"/>
                      </w:tcPr>
                      <w:p>
                        <w:pPr>
                          <w:pStyle w:val="TableParagraph"/>
                          <w:ind w:left="47"/>
                          <w:rPr>
                            <w:sz w:val="18"/>
                          </w:rPr>
                        </w:pPr>
                        <w:r>
                          <w:rPr>
                            <w:w w:val="95"/>
                            <w:sz w:val="18"/>
                          </w:rPr>
                          <w:t>诉讼时效</w:t>
                        </w:r>
                      </w:p>
                    </w:tc>
                    <w:tc>
                      <w:tcPr>
                        <w:tcW w:w="3231" w:type="dxa"/>
                        <w:shd w:val="clear" w:color="auto" w:fill="FFFFFF"/>
                      </w:tcPr>
                      <w:p>
                        <w:pPr>
                          <w:pStyle w:val="TableParagraph"/>
                          <w:spacing w:before="0"/>
                          <w:rPr>
                            <w:rFonts w:ascii="Times New Roman"/>
                            <w:sz w:val="18"/>
                          </w:rPr>
                        </w:pPr>
                      </w:p>
                    </w:tc>
                  </w:tr>
                </w:tbl>
                <w:p>
                  <w:pPr>
                    <w:pStyle w:val="BodyText"/>
                    <w:ind w:left="0"/>
                  </w:pPr>
                </w:p>
              </w:txbxContent>
            </v:textbox>
            <w10:wrap type="none"/>
          </v:shape>
        </w:pict>
      </w:r>
      <w:r>
        <w:rPr>
          <w:rFonts w:ascii="Arial" w:hAnsi="Arial" w:eastAsia="Arial"/>
          <w:b/>
          <w:w w:val="150"/>
          <w:position w:val="-11"/>
          <w:sz w:val="44"/>
        </w:rPr>
        <w:t>¤</w:t>
        <w:tab/>
      </w:r>
      <w:r>
        <w:rPr>
          <w:rFonts w:ascii="Microsoft JhengHei" w:hAnsi="Microsoft JhengHei" w:eastAsia="Microsoft JhengHei" w:hint="eastAsia"/>
          <w:b/>
          <w:w w:val="95"/>
          <w:sz w:val="18"/>
        </w:rPr>
        <w:t>条款目录</w:t>
      </w:r>
    </w:p>
    <w:p>
      <w:pPr>
        <w:spacing w:after="0"/>
        <w:jc w:val="left"/>
        <w:rPr>
          <w:rFonts w:ascii="Microsoft JhengHei" w:hAnsi="Microsoft JhengHei" w:eastAsia="Microsoft JhengHei" w:hint="eastAsia"/>
          <w:sz w:val="18"/>
        </w:rPr>
        <w:sectPr>
          <w:type w:val="continuous"/>
          <w:pgSz w:w="11900" w:h="16840"/>
          <w:pgMar w:top="1060" w:bottom="280" w:left="880" w:right="880"/>
        </w:sectPr>
      </w:pPr>
    </w:p>
    <w:p>
      <w:pPr>
        <w:pStyle w:val="Heading1"/>
        <w:spacing w:line="542" w:lineRule="exact"/>
      </w:pPr>
      <w:r>
        <w:rPr>
          <w:w w:val="95"/>
        </w:rPr>
        <w:t>工银安盛人寿保险有限公司</w:t>
      </w:r>
    </w:p>
    <w:p>
      <w:pPr>
        <w:spacing w:before="67"/>
        <w:ind w:left="1970" w:right="1969" w:firstLine="0"/>
        <w:jc w:val="center"/>
        <w:rPr>
          <w:rFonts w:ascii="Microsoft JhengHei" w:eastAsia="Microsoft JhengHei" w:hint="eastAsia"/>
          <w:b/>
          <w:sz w:val="32"/>
        </w:rPr>
      </w:pPr>
      <w:r>
        <w:rPr>
          <w:rFonts w:ascii="Microsoft JhengHei" w:eastAsia="Microsoft JhengHei" w:hint="eastAsia"/>
          <w:b/>
          <w:w w:val="95"/>
          <w:sz w:val="32"/>
        </w:rPr>
        <w:t>工银安盛人寿附加盛世如意重大疾病保险条款</w:t>
      </w:r>
    </w:p>
    <w:p>
      <w:pPr>
        <w:pStyle w:val="BodyText"/>
        <w:ind w:left="0"/>
        <w:rPr>
          <w:rFonts w:ascii="Microsoft JhengHei"/>
          <w:b/>
          <w:sz w:val="20"/>
        </w:rPr>
      </w:pPr>
    </w:p>
    <w:p>
      <w:pPr>
        <w:pStyle w:val="BodyText"/>
        <w:spacing w:before="6"/>
        <w:ind w:left="0"/>
        <w:rPr>
          <w:rFonts w:ascii="Microsoft JhengHei"/>
          <w:b/>
          <w:sz w:val="20"/>
        </w:rPr>
      </w:pPr>
      <w:r>
        <w:rPr/>
        <w:drawing>
          <wp:anchor distT="0" distB="0" distL="0" distR="0" allowOverlap="1" layoutInCell="1" locked="0" behindDoc="0" simplePos="0" relativeHeight="1072">
            <wp:simplePos x="0" y="0"/>
            <wp:positionH relativeFrom="page">
              <wp:posOffset>650741</wp:posOffset>
            </wp:positionH>
            <wp:positionV relativeFrom="paragraph">
              <wp:posOffset>249977</wp:posOffset>
            </wp:positionV>
            <wp:extent cx="6257550" cy="38100"/>
            <wp:effectExtent l="0" t="0" r="0" b="0"/>
            <wp:wrapTopAndBottom/>
            <wp:docPr id="3" name="image3.png" descr=""/>
            <wp:cNvGraphicFramePr>
              <a:graphicFrameLocks noChangeAspect="1"/>
            </wp:cNvGraphicFramePr>
            <a:graphic>
              <a:graphicData uri="http://schemas.openxmlformats.org/drawingml/2006/picture">
                <pic:pic>
                  <pic:nvPicPr>
                    <pic:cNvPr id="4" name="image3.png"/>
                    <pic:cNvPicPr/>
                  </pic:nvPicPr>
                  <pic:blipFill>
                    <a:blip r:embed="rId9" cstate="print"/>
                    <a:stretch>
                      <a:fillRect/>
                    </a:stretch>
                  </pic:blipFill>
                  <pic:spPr>
                    <a:xfrm>
                      <a:off x="0" y="0"/>
                      <a:ext cx="6257550" cy="38100"/>
                    </a:xfrm>
                    <a:prstGeom prst="rect">
                      <a:avLst/>
                    </a:prstGeom>
                  </pic:spPr>
                </pic:pic>
              </a:graphicData>
            </a:graphic>
          </wp:anchor>
        </w:drawing>
      </w:r>
    </w:p>
    <w:p>
      <w:pPr>
        <w:pStyle w:val="BodyText"/>
        <w:spacing w:before="1"/>
        <w:ind w:left="0"/>
        <w:rPr>
          <w:rFonts w:ascii="Microsoft JhengHei"/>
          <w:b/>
          <w:sz w:val="20"/>
        </w:rPr>
      </w:pPr>
    </w:p>
    <w:p>
      <w:pPr>
        <w:tabs>
          <w:tab w:pos="719" w:val="left" w:leader="none"/>
        </w:tabs>
        <w:spacing w:line="459" w:lineRule="exact" w:before="0"/>
        <w:ind w:left="212" w:right="0" w:firstLine="0"/>
        <w:jc w:val="left"/>
        <w:rPr>
          <w:rFonts w:ascii="Microsoft JhengHei" w:eastAsia="Microsoft JhengHei" w:hint="eastAsia"/>
          <w:b/>
          <w:sz w:val="28"/>
        </w:rPr>
      </w:pPr>
      <w:r>
        <w:rPr>
          <w:rFonts w:ascii="MS UI Gothic" w:eastAsia="MS UI Gothic" w:hint="eastAsia"/>
          <w:w w:val="105"/>
          <w:sz w:val="32"/>
        </w:rPr>
        <w:t>O</w:t>
        <w:tab/>
      </w:r>
      <w:r>
        <w:rPr>
          <w:rFonts w:ascii="Microsoft JhengHei" w:eastAsia="Microsoft JhengHei" w:hint="eastAsia"/>
          <w:b/>
          <w:spacing w:val="-1"/>
          <w:sz w:val="28"/>
        </w:rPr>
        <w:t>保险责任条款</w:t>
      </w:r>
    </w:p>
    <w:p>
      <w:pPr>
        <w:pStyle w:val="BodyText"/>
        <w:spacing w:before="13"/>
        <w:ind w:left="0"/>
        <w:rPr>
          <w:rFonts w:ascii="Microsoft JhengHei"/>
          <w:b/>
          <w:sz w:val="5"/>
        </w:rPr>
      </w:pPr>
      <w:r>
        <w:rPr/>
        <w:pict>
          <v:line style="position:absolute;mso-position-horizontal-relative:page;mso-position-vertical-relative:paragraph;z-index:1096;mso-wrap-distance-left:0;mso-wrap-distance-right:0" from="51.239517pt,7.477839pt" to="543.959506pt,7.477839pt" stroked="true" strokeweight=".959531pt" strokecolor="#000000">
            <v:stroke dashstyle="solid"/>
            <w10:wrap type="topAndBottom"/>
          </v:line>
        </w:pict>
      </w:r>
    </w:p>
    <w:p>
      <w:pPr>
        <w:pStyle w:val="BodyText"/>
        <w:spacing w:before="13"/>
        <w:ind w:left="0"/>
        <w:rPr>
          <w:rFonts w:ascii="Microsoft JhengHei"/>
          <w:b/>
          <w:sz w:val="14"/>
        </w:rPr>
      </w:pPr>
    </w:p>
    <w:p>
      <w:pPr>
        <w:pStyle w:val="Heading2"/>
        <w:numPr>
          <w:ilvl w:val="1"/>
          <w:numId w:val="2"/>
        </w:numPr>
        <w:tabs>
          <w:tab w:pos="937" w:val="left" w:leader="none"/>
          <w:tab w:pos="938" w:val="left" w:leader="none"/>
          <w:tab w:pos="9879" w:val="left" w:leader="none"/>
        </w:tabs>
        <w:spacing w:line="368" w:lineRule="exact" w:before="0" w:after="0"/>
        <w:ind w:left="937" w:right="0" w:hanging="725"/>
        <w:jc w:val="left"/>
      </w:pPr>
      <w:r>
        <w:rPr>
          <w:shd w:fill="E6E6E6" w:color="auto" w:val="clear"/>
        </w:rPr>
        <w:t>合同的构成</w:t>
        <w:tab/>
      </w:r>
    </w:p>
    <w:p>
      <w:pPr>
        <w:spacing w:line="312" w:lineRule="exact" w:before="87"/>
        <w:ind w:left="212" w:right="202" w:firstLine="419"/>
        <w:jc w:val="both"/>
        <w:rPr>
          <w:sz w:val="21"/>
        </w:rPr>
      </w:pPr>
      <w:r>
        <w:rPr>
          <w:spacing w:val="-3"/>
          <w:sz w:val="21"/>
        </w:rPr>
        <w:t>《工银安盛人寿附加盛世如意重大疾病保险合同</w:t>
      </w:r>
      <w:r>
        <w:rPr>
          <w:spacing w:val="-154"/>
          <w:sz w:val="21"/>
        </w:rPr>
        <w:t>》</w:t>
      </w:r>
      <w:r>
        <w:rPr>
          <w:spacing w:val="-3"/>
          <w:sz w:val="21"/>
        </w:rPr>
        <w:t>（</w:t>
      </w:r>
      <w:r>
        <w:rPr>
          <w:spacing w:val="-15"/>
          <w:sz w:val="21"/>
        </w:rPr>
        <w:t>以下简称“本附加合同”</w:t>
      </w:r>
      <w:r>
        <w:rPr>
          <w:spacing w:val="-77"/>
          <w:sz w:val="21"/>
        </w:rPr>
        <w:t>）</w:t>
      </w:r>
      <w:r>
        <w:rPr>
          <w:spacing w:val="-12"/>
          <w:sz w:val="21"/>
        </w:rPr>
        <w:t>依您的申请，附加于《工</w:t>
      </w:r>
      <w:r>
        <w:rPr>
          <w:spacing w:val="-7"/>
          <w:w w:val="100"/>
          <w:sz w:val="21"/>
        </w:rPr>
        <w:t>银安盛人寿盛世如意两全保险合同》</w:t>
      </w:r>
      <w:r>
        <w:rPr>
          <w:w w:val="100"/>
          <w:sz w:val="21"/>
        </w:rPr>
        <w:t>（</w:t>
      </w:r>
      <w:r>
        <w:rPr>
          <w:spacing w:val="-12"/>
          <w:w w:val="100"/>
          <w:sz w:val="21"/>
        </w:rPr>
        <w:t>以下简称“主合同”</w:t>
      </w:r>
      <w:r>
        <w:rPr>
          <w:spacing w:val="-106"/>
          <w:w w:val="100"/>
          <w:sz w:val="21"/>
        </w:rPr>
        <w:t>）</w:t>
      </w:r>
      <w:r>
        <w:rPr>
          <w:w w:val="100"/>
          <w:sz w:val="21"/>
        </w:rPr>
        <w:t>，并列于主合同保险单后。本附加合同由所附</w:t>
      </w:r>
      <w:r>
        <w:rPr>
          <w:spacing w:val="-6"/>
          <w:sz w:val="21"/>
        </w:rPr>
        <w:t>条款、与本附加合同有关的投保文件、声明、批注、附贴批单及其他书面协议构成。</w:t>
      </w:r>
      <w:r>
        <w:rPr>
          <w:rFonts w:ascii="Microsoft JhengHei" w:hAnsi="Microsoft JhengHei" w:eastAsia="Microsoft JhengHei" w:hint="eastAsia"/>
          <w:b/>
          <w:spacing w:val="-3"/>
          <w:sz w:val="21"/>
        </w:rPr>
        <w:t>主合同的条款也适用于本附加合同。若本附加合同的条款与主合同的条款互有冲突，则以本附加合同条款为准</w:t>
      </w:r>
      <w:r>
        <w:rPr>
          <w:sz w:val="21"/>
        </w:rPr>
        <w:t>。</w:t>
      </w:r>
    </w:p>
    <w:p>
      <w:pPr>
        <w:pStyle w:val="BodyText"/>
        <w:spacing w:line="273" w:lineRule="auto" w:before="3"/>
        <w:ind w:right="202" w:firstLine="419"/>
        <w:jc w:val="both"/>
      </w:pPr>
      <w:r>
        <w:rPr>
          <w:spacing w:val="-5"/>
        </w:rPr>
        <w:t>若上述构成本附加合同的文件正本需留我们存档，则其复印件或电子影像印刷件效力与正本相同；若</w:t>
      </w:r>
      <w:r>
        <w:rPr>
          <w:spacing w:val="-4"/>
        </w:rPr>
        <w:t>复印件或电子影像印刷件的内容与正本不同，则以正本为准。</w:t>
      </w:r>
    </w:p>
    <w:p>
      <w:pPr>
        <w:spacing w:before="7"/>
        <w:ind w:left="632" w:right="0" w:firstLine="0"/>
        <w:jc w:val="left"/>
        <w:rPr>
          <w:sz w:val="21"/>
        </w:rPr>
      </w:pPr>
      <w:r>
        <w:rPr>
          <w:sz w:val="21"/>
        </w:rPr>
        <w:t>本附加合同的英文代码为 </w:t>
      </w:r>
      <w:r>
        <w:rPr>
          <w:rFonts w:ascii="Arial" w:eastAsia="Arial"/>
          <w:sz w:val="20"/>
        </w:rPr>
        <w:t>TRCIR</w:t>
      </w:r>
      <w:r>
        <w:rPr>
          <w:sz w:val="21"/>
        </w:rPr>
        <w:t>。</w:t>
      </w:r>
    </w:p>
    <w:p>
      <w:pPr>
        <w:pStyle w:val="BodyText"/>
        <w:ind w:left="0"/>
        <w:rPr>
          <w:sz w:val="20"/>
        </w:rPr>
      </w:pPr>
    </w:p>
    <w:p>
      <w:pPr>
        <w:pStyle w:val="BodyText"/>
        <w:spacing w:before="5"/>
        <w:ind w:left="0"/>
        <w:rPr>
          <w:sz w:val="25"/>
        </w:rPr>
      </w:pPr>
    </w:p>
    <w:p>
      <w:pPr>
        <w:pStyle w:val="Heading2"/>
        <w:numPr>
          <w:ilvl w:val="1"/>
          <w:numId w:val="2"/>
        </w:numPr>
        <w:tabs>
          <w:tab w:pos="937" w:val="left" w:leader="none"/>
          <w:tab w:pos="938" w:val="left" w:leader="none"/>
          <w:tab w:pos="9879" w:val="left" w:leader="none"/>
        </w:tabs>
        <w:spacing w:line="335" w:lineRule="exact" w:before="0" w:after="0"/>
        <w:ind w:left="937" w:right="0" w:hanging="725"/>
        <w:jc w:val="left"/>
      </w:pPr>
      <w:r>
        <w:rPr>
          <w:shd w:fill="E6E6E6" w:color="auto" w:val="clear"/>
        </w:rPr>
        <w:t>投保范围</w:t>
        <w:tab/>
      </w:r>
    </w:p>
    <w:p>
      <w:pPr>
        <w:pStyle w:val="BodyText"/>
        <w:spacing w:line="389" w:lineRule="exact"/>
        <w:ind w:left="632"/>
      </w:pPr>
      <w:r>
        <w:rPr/>
        <w:pict>
          <v:shape style="position:absolute;margin-left:188.039459pt;margin-top:8.960845pt;width:10.6pt;height:10.6pt;mso-position-horizontal-relative:page;mso-position-vertical-relative:paragraph;z-index:-23176" type="#_x0000_t202" filled="false" stroked="false">
            <v:textbox inset="0,0,0,0">
              <w:txbxContent>
                <w:p>
                  <w:pPr>
                    <w:pStyle w:val="BodyText"/>
                    <w:spacing w:line="211" w:lineRule="exact"/>
                    <w:ind w:left="0"/>
                  </w:pPr>
                  <w:r>
                    <w:rPr>
                      <w:w w:val="100"/>
                    </w:rPr>
                    <w:t>．</w:t>
                  </w:r>
                </w:p>
              </w:txbxContent>
            </v:textbox>
            <w10:wrap type="none"/>
          </v:shape>
        </w:pict>
      </w:r>
      <w:r>
        <w:rPr>
          <w:spacing w:val="-11"/>
        </w:rPr>
        <w:t>凡出生满 </w:t>
      </w:r>
      <w:r>
        <w:rPr>
          <w:rFonts w:ascii="Arial" w:eastAsia="Arial"/>
        </w:rPr>
        <w:t>30 </w:t>
      </w:r>
      <w:r>
        <w:rPr>
          <w:spacing w:val="-17"/>
        </w:rPr>
        <w:t>天至 </w:t>
      </w:r>
      <w:r>
        <w:rPr>
          <w:rFonts w:ascii="Arial" w:eastAsia="Arial"/>
        </w:rPr>
        <w:t>50 </w:t>
      </w:r>
      <w:r>
        <w:rPr>
          <w:rFonts w:ascii="Microsoft JhengHei" w:eastAsia="Microsoft JhengHei" w:hint="eastAsia"/>
          <w:b/>
          <w:spacing w:val="-149"/>
        </w:rPr>
        <w:t>周</w:t>
      </w:r>
      <w:r>
        <w:rPr>
          <w:spacing w:val="-63"/>
          <w:position w:val="-7"/>
        </w:rPr>
        <w:t>．</w:t>
      </w:r>
      <w:r>
        <w:rPr>
          <w:rFonts w:ascii="Microsoft JhengHei" w:eastAsia="Microsoft JhengHei" w:hint="eastAsia"/>
          <w:b/>
          <w:spacing w:val="-3"/>
        </w:rPr>
        <w:t>岁</w:t>
      </w:r>
      <w:r>
        <w:rPr>
          <w:rFonts w:ascii="Times New Roman" w:eastAsia="Times New Roman"/>
          <w:b/>
          <w:vertAlign w:val="superscript"/>
        </w:rPr>
        <w:t>1</w:t>
      </w:r>
      <w:r>
        <w:rPr>
          <w:rFonts w:ascii="Times New Roman" w:eastAsia="Times New Roman"/>
          <w:b/>
          <w:vertAlign w:val="baseline"/>
        </w:rPr>
      </w:r>
      <w:r>
        <w:rPr>
          <w:spacing w:val="-3"/>
          <w:vertAlign w:val="baseline"/>
        </w:rPr>
        <w:t>且身体健康的人，可作为被保险人参加本保险。</w:t>
      </w:r>
    </w:p>
    <w:p>
      <w:pPr>
        <w:pStyle w:val="BodyText"/>
        <w:spacing w:before="22"/>
        <w:ind w:left="632"/>
        <w:rPr>
          <w:rFonts w:ascii="Arial" w:eastAsia="Arial"/>
        </w:rPr>
      </w:pPr>
      <w:r>
        <w:rPr/>
        <w:t>对于未满 </w:t>
      </w:r>
      <w:r>
        <w:rPr>
          <w:rFonts w:ascii="Arial" w:eastAsia="Arial"/>
        </w:rPr>
        <w:t>18 </w:t>
      </w:r>
      <w:r>
        <w:rPr/>
        <w:t>周岁的被保险人，应由其父母作为投保人向我们投保本保险。对于 </w:t>
      </w:r>
      <w:r>
        <w:rPr>
          <w:rFonts w:ascii="Arial" w:eastAsia="Arial"/>
        </w:rPr>
        <w:t>18 </w:t>
      </w:r>
      <w:r>
        <w:rPr/>
        <w:t>周岁以上（含 </w:t>
      </w:r>
      <w:r>
        <w:rPr>
          <w:rFonts w:ascii="Arial" w:eastAsia="Arial"/>
        </w:rPr>
        <w:t>18</w:t>
      </w:r>
    </w:p>
    <w:p>
      <w:pPr>
        <w:pStyle w:val="BodyText"/>
        <w:spacing w:before="22"/>
      </w:pPr>
      <w:r>
        <w:rPr/>
        <w:t>周岁）的被保险人，可由其本人或对其有保险利益的人向我们投保。</w:t>
      </w:r>
    </w:p>
    <w:p>
      <w:pPr>
        <w:pStyle w:val="BodyText"/>
        <w:ind w:left="0"/>
        <w:rPr>
          <w:sz w:val="20"/>
        </w:rPr>
      </w:pPr>
    </w:p>
    <w:p>
      <w:pPr>
        <w:pStyle w:val="BodyText"/>
        <w:spacing w:before="5"/>
        <w:ind w:left="0"/>
        <w:rPr>
          <w:sz w:val="26"/>
        </w:rPr>
      </w:pPr>
    </w:p>
    <w:p>
      <w:pPr>
        <w:pStyle w:val="Heading2"/>
        <w:numPr>
          <w:ilvl w:val="1"/>
          <w:numId w:val="2"/>
        </w:numPr>
        <w:tabs>
          <w:tab w:pos="937" w:val="left" w:leader="none"/>
          <w:tab w:pos="938" w:val="left" w:leader="none"/>
          <w:tab w:pos="9879" w:val="left" w:leader="none"/>
        </w:tabs>
        <w:spacing w:line="367" w:lineRule="exact" w:before="0" w:after="0"/>
        <w:ind w:left="937" w:right="0" w:hanging="725"/>
        <w:jc w:val="left"/>
      </w:pPr>
      <w:r>
        <w:rPr>
          <w:shd w:fill="E6E6E6" w:color="auto" w:val="clear"/>
        </w:rPr>
        <w:t>保险期间</w:t>
        <w:tab/>
      </w:r>
    </w:p>
    <w:p>
      <w:pPr>
        <w:pStyle w:val="BodyText"/>
        <w:spacing w:line="273" w:lineRule="auto"/>
        <w:ind w:right="202" w:firstLine="419"/>
      </w:pPr>
      <w:r>
        <w:rPr>
          <w:spacing w:val="-5"/>
        </w:rPr>
        <w:t>本附加合同成立与生效的规定同主合同。本附加合同与主合同同时投保，以主合同的生效日期为本附</w:t>
      </w:r>
      <w:r>
        <w:rPr>
          <w:spacing w:val="-4"/>
        </w:rPr>
        <w:t>加合同的生效日期，保单年度、保险费约定支付日均以该日期计算。</w:t>
      </w:r>
    </w:p>
    <w:p>
      <w:pPr>
        <w:pStyle w:val="BodyText"/>
        <w:spacing w:before="8"/>
        <w:ind w:left="632"/>
      </w:pPr>
      <w:r>
        <w:rPr/>
        <w:t>除非有另外的约定，本附加合同的保险期间同主合同。</w:t>
      </w:r>
    </w:p>
    <w:p>
      <w:pPr>
        <w:pStyle w:val="BodyText"/>
        <w:ind w:left="0"/>
        <w:rPr>
          <w:sz w:val="20"/>
        </w:rPr>
      </w:pPr>
    </w:p>
    <w:p>
      <w:pPr>
        <w:pStyle w:val="BodyText"/>
        <w:spacing w:before="4"/>
        <w:ind w:left="0"/>
        <w:rPr>
          <w:sz w:val="26"/>
        </w:rPr>
      </w:pPr>
    </w:p>
    <w:p>
      <w:pPr>
        <w:pStyle w:val="Heading2"/>
        <w:numPr>
          <w:ilvl w:val="1"/>
          <w:numId w:val="2"/>
        </w:numPr>
        <w:tabs>
          <w:tab w:pos="937" w:val="left" w:leader="none"/>
          <w:tab w:pos="938" w:val="left" w:leader="none"/>
          <w:tab w:pos="9879" w:val="left" w:leader="none"/>
        </w:tabs>
        <w:spacing w:line="368" w:lineRule="exact" w:before="0" w:after="0"/>
        <w:ind w:left="937" w:right="0" w:hanging="725"/>
        <w:jc w:val="left"/>
      </w:pPr>
      <w:r>
        <w:rPr>
          <w:shd w:fill="E6E6E6" w:color="auto" w:val="clear"/>
        </w:rPr>
        <w:t>犹豫期</w:t>
        <w:tab/>
      </w:r>
    </w:p>
    <w:p>
      <w:pPr>
        <w:pStyle w:val="BodyText"/>
        <w:spacing w:before="22"/>
        <w:ind w:left="632"/>
      </w:pPr>
      <w:r>
        <w:rPr/>
        <w:t>我们给予您 </w:t>
      </w:r>
      <w:r>
        <w:rPr>
          <w:rFonts w:ascii="Arial" w:eastAsia="Arial"/>
        </w:rPr>
        <w:t>15 </w:t>
      </w:r>
      <w:r>
        <w:rPr/>
        <w:t>日的犹豫期，自您签收保险合同之日起算。</w:t>
      </w:r>
    </w:p>
    <w:p>
      <w:pPr>
        <w:pStyle w:val="BodyText"/>
        <w:spacing w:line="273" w:lineRule="auto" w:before="45"/>
        <w:ind w:right="202" w:firstLine="419"/>
        <w:jc w:val="both"/>
      </w:pPr>
      <w:r>
        <w:rPr>
          <w:spacing w:val="-5"/>
        </w:rPr>
        <w:t>在此期间如果您确定此保险合同与您的需求不相符，可向我们书面提出解除合同的申请，并将本附加</w:t>
      </w:r>
      <w:r>
        <w:rPr>
          <w:spacing w:val="-7"/>
        </w:rPr>
        <w:t>合同退还我们。本附加合同自我们收到书面申请当日正式解除，我们自始不承担保险责任，并无息退还已</w:t>
      </w:r>
      <w:r>
        <w:rPr>
          <w:spacing w:val="-5"/>
        </w:rPr>
        <w:t>收本附加合同全部保险费。</w:t>
      </w:r>
    </w:p>
    <w:p>
      <w:pPr>
        <w:pStyle w:val="BodyText"/>
        <w:spacing w:line="292" w:lineRule="auto" w:before="7"/>
        <w:ind w:left="632" w:right="98" w:hanging="1"/>
      </w:pPr>
      <w:r>
        <w:rPr>
          <w:spacing w:val="-13"/>
        </w:rPr>
        <w:t>但如果您、被保险人或受益人曾向我们提出理赔申请，则不得在上述规定的犹豫期内行使合同解除权。</w:t>
      </w:r>
      <w:r>
        <w:rPr>
          <w:spacing w:val="-6"/>
        </w:rPr>
        <w:t>您要求解除合同时，请填写解除合同申请书并向我们提供下列资料：</w:t>
      </w:r>
    </w:p>
    <w:p>
      <w:pPr>
        <w:pStyle w:val="BodyText"/>
        <w:spacing w:before="36"/>
        <w:ind w:left="632"/>
      </w:pPr>
      <w:r>
        <w:rPr/>
        <w:t>一、保险合同原件；</w:t>
      </w:r>
    </w:p>
    <w:p>
      <w:pPr>
        <w:pStyle w:val="BodyText"/>
        <w:spacing w:before="60"/>
        <w:ind w:left="632"/>
      </w:pPr>
      <w:r>
        <w:rPr/>
        <w:t>二、您的有效身份证件。</w:t>
      </w:r>
    </w:p>
    <w:p>
      <w:pPr>
        <w:pStyle w:val="Heading3"/>
        <w:spacing w:before="63"/>
        <w:ind w:left="632"/>
        <w:rPr>
          <w:rFonts w:ascii="Microsoft JhengHei" w:eastAsia="Microsoft JhengHei" w:hint="eastAsia"/>
        </w:rPr>
      </w:pPr>
      <w:r>
        <w:rPr>
          <w:rFonts w:ascii="Microsoft JhengHei" w:eastAsia="Microsoft JhengHei" w:hint="eastAsia"/>
        </w:rPr>
        <w:t>特别提示您，本附加合同被解除时，其所属主合同同时被解除。</w:t>
      </w:r>
    </w:p>
    <w:p>
      <w:pPr>
        <w:pStyle w:val="BodyText"/>
        <w:spacing w:before="6"/>
        <w:ind w:left="0"/>
        <w:rPr>
          <w:rFonts w:ascii="Microsoft JhengHei"/>
          <w:b/>
          <w:sz w:val="29"/>
        </w:rPr>
      </w:pPr>
    </w:p>
    <w:p>
      <w:pPr>
        <w:pStyle w:val="ListParagraph"/>
        <w:numPr>
          <w:ilvl w:val="1"/>
          <w:numId w:val="2"/>
        </w:numPr>
        <w:tabs>
          <w:tab w:pos="937" w:val="left" w:leader="none"/>
          <w:tab w:pos="938" w:val="left" w:leader="none"/>
          <w:tab w:pos="9879" w:val="left" w:leader="none"/>
        </w:tabs>
        <w:spacing w:line="368" w:lineRule="exact" w:before="0" w:after="0"/>
        <w:ind w:left="937"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基本保险金额</w:t>
        <w:tab/>
      </w:r>
    </w:p>
    <w:p>
      <w:pPr>
        <w:pStyle w:val="BodyText"/>
        <w:spacing w:before="22"/>
        <w:ind w:left="632"/>
      </w:pPr>
      <w:r>
        <w:rPr/>
        <w:t>本附加合同的基本保险金额与主合同基本保险金额相同，并随您申请主合同基本保险金额的变更而变</w:t>
      </w:r>
    </w:p>
    <w:p>
      <w:pPr>
        <w:spacing w:after="0"/>
        <w:sectPr>
          <w:headerReference w:type="default" r:id="rId7"/>
          <w:footerReference w:type="default" r:id="rId8"/>
          <w:pgSz w:w="11900" w:h="16840"/>
          <w:pgMar w:header="895" w:footer="547" w:top="1080" w:bottom="740" w:left="920" w:right="920"/>
          <w:pgNumType w:start="1"/>
        </w:sectPr>
      </w:pPr>
    </w:p>
    <w:p>
      <w:pPr>
        <w:pStyle w:val="BodyText"/>
        <w:spacing w:before="47"/>
      </w:pPr>
      <w:r>
        <w:rPr/>
        <w:t>更。</w:t>
      </w:r>
    </w:p>
    <w:p>
      <w:pPr>
        <w:pStyle w:val="BodyText"/>
        <w:ind w:left="0"/>
        <w:rPr>
          <w:sz w:val="20"/>
        </w:rPr>
      </w:pPr>
    </w:p>
    <w:p>
      <w:pPr>
        <w:pStyle w:val="BodyText"/>
        <w:spacing w:before="2"/>
        <w:ind w:left="0"/>
        <w:rPr>
          <w:sz w:val="28"/>
        </w:rPr>
      </w:pPr>
    </w:p>
    <w:p>
      <w:pPr>
        <w:pStyle w:val="Heading2"/>
        <w:numPr>
          <w:ilvl w:val="1"/>
          <w:numId w:val="2"/>
        </w:numPr>
        <w:tabs>
          <w:tab w:pos="937" w:val="left" w:leader="none"/>
          <w:tab w:pos="938" w:val="left" w:leader="none"/>
          <w:tab w:pos="9879" w:val="left" w:leader="none"/>
        </w:tabs>
        <w:spacing w:line="356" w:lineRule="exact" w:before="0" w:after="0"/>
        <w:ind w:left="937" w:right="0" w:hanging="725"/>
        <w:jc w:val="left"/>
      </w:pPr>
      <w:r>
        <w:rPr>
          <w:shd w:fill="E6E6E6" w:color="auto" w:val="clear"/>
        </w:rPr>
        <w:t>保险责任</w:t>
        <w:tab/>
      </w:r>
    </w:p>
    <w:p>
      <w:pPr>
        <w:pStyle w:val="BodyText"/>
        <w:spacing w:line="240" w:lineRule="exact"/>
        <w:ind w:left="632"/>
      </w:pPr>
      <w:r>
        <w:rPr/>
        <w:t>一、重大疾病保险金：</w:t>
      </w:r>
    </w:p>
    <w:p>
      <w:pPr>
        <w:pStyle w:val="BodyText"/>
        <w:spacing w:line="378" w:lineRule="exact"/>
        <w:ind w:left="632"/>
      </w:pPr>
      <w:r>
        <w:rPr>
          <w:spacing w:val="-3"/>
        </w:rPr>
        <w:t>如果被保险人于本附加合同生效日或复效日（以较迟者为准）</w:t>
      </w:r>
      <w:r>
        <w:rPr/>
        <w:t>起 </w:t>
      </w:r>
      <w:r>
        <w:rPr>
          <w:rFonts w:ascii="Arial" w:eastAsia="Arial"/>
        </w:rPr>
        <w:t>90 </w:t>
      </w:r>
      <w:r>
        <w:rPr>
          <w:spacing w:val="-3"/>
        </w:rPr>
        <w:t>天后，按本附加合同约定的</w:t>
      </w:r>
      <w:r>
        <w:rPr>
          <w:rFonts w:ascii="Microsoft JhengHei" w:eastAsia="Microsoft JhengHei" w:hint="eastAsia"/>
          <w:b/>
          <w:spacing w:val="-149"/>
        </w:rPr>
        <w:t>五</w:t>
      </w:r>
      <w:r>
        <w:rPr>
          <w:spacing w:val="-63"/>
          <w:position w:val="-7"/>
        </w:rPr>
        <w:t>．</w:t>
      </w:r>
      <w:r>
        <w:rPr>
          <w:rFonts w:ascii="Microsoft JhengHei" w:eastAsia="Microsoft JhengHei" w:hint="eastAsia"/>
          <w:b/>
          <w:spacing w:val="-152"/>
        </w:rPr>
        <w:t>十</w:t>
      </w:r>
      <w:r>
        <w:rPr>
          <w:position w:val="-7"/>
        </w:rPr>
        <w:t>．</w:t>
      </w:r>
    </w:p>
    <w:p>
      <w:pPr>
        <w:spacing w:line="192" w:lineRule="exact" w:before="0"/>
        <w:ind w:left="212" w:right="0" w:firstLine="0"/>
        <w:jc w:val="left"/>
        <w:rPr>
          <w:sz w:val="21"/>
        </w:rPr>
      </w:pPr>
      <w:r>
        <w:rPr>
          <w:rFonts w:ascii="Microsoft JhengHei" w:eastAsia="Microsoft JhengHei" w:hint="eastAsia"/>
          <w:b/>
          <w:sz w:val="21"/>
        </w:rPr>
        <w:t>种重大疾病</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的定义和诊断标准，被</w:t>
      </w:r>
      <w:r>
        <w:rPr>
          <w:rFonts w:ascii="Microsoft JhengHei" w:eastAsia="Microsoft JhengHei" w:hint="eastAsia"/>
          <w:b/>
          <w:sz w:val="21"/>
          <w:vertAlign w:val="baseline"/>
        </w:rPr>
        <w:t>专科医生</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或</w:t>
      </w:r>
      <w:r>
        <w:rPr>
          <w:rFonts w:ascii="Microsoft JhengHei" w:eastAsia="Microsoft JhengHei" w:hint="eastAsia"/>
          <w:b/>
          <w:sz w:val="21"/>
          <w:vertAlign w:val="baseline"/>
        </w:rPr>
        <w:t>符合条件的医疗机构</w:t>
      </w:r>
      <w:r>
        <w:rPr>
          <w:rFonts w:ascii="Times New Roman" w:eastAsia="Times New Roman"/>
          <w:b/>
          <w:sz w:val="21"/>
          <w:vertAlign w:val="superscript"/>
        </w:rPr>
        <w:t>4</w:t>
      </w:r>
      <w:r>
        <w:rPr>
          <w:rFonts w:ascii="Times New Roman" w:eastAsia="Times New Roman"/>
          <w:b/>
          <w:sz w:val="21"/>
          <w:vertAlign w:val="baseline"/>
        </w:rPr>
      </w:r>
      <w:r>
        <w:rPr>
          <w:sz w:val="21"/>
          <w:vertAlign w:val="baseline"/>
        </w:rPr>
        <w:t>首次诊断为患有重大疾病（无论一种</w:t>
      </w:r>
    </w:p>
    <w:p>
      <w:pPr>
        <w:spacing w:after="0" w:line="192" w:lineRule="exact"/>
        <w:jc w:val="left"/>
        <w:rPr>
          <w:sz w:val="21"/>
        </w:rPr>
        <w:sectPr>
          <w:pgSz w:w="11900" w:h="16840"/>
          <w:pgMar w:header="895" w:footer="547" w:top="1080" w:bottom="740" w:left="920" w:right="920"/>
        </w:sectPr>
      </w:pPr>
    </w:p>
    <w:p>
      <w:pPr>
        <w:pStyle w:val="BodyText"/>
        <w:spacing w:line="211" w:lineRule="exact"/>
        <w:ind w:left="275"/>
      </w:pPr>
      <w:r>
        <w:rPr/>
        <w:t>．．．．．</w:t>
      </w:r>
    </w:p>
    <w:p>
      <w:pPr>
        <w:pStyle w:val="BodyText"/>
        <w:spacing w:line="211" w:lineRule="exact"/>
        <w:ind w:left="275"/>
      </w:pPr>
      <w:r>
        <w:rPr/>
        <w:br w:type="column"/>
      </w:r>
      <w:r>
        <w:rPr/>
        <w:t>．．．．</w:t>
      </w:r>
    </w:p>
    <w:p>
      <w:pPr>
        <w:pStyle w:val="BodyText"/>
        <w:spacing w:line="211" w:lineRule="exact"/>
        <w:ind w:left="238"/>
      </w:pPr>
      <w:r>
        <w:rPr/>
        <w:br w:type="column"/>
      </w:r>
      <w:r>
        <w:rPr/>
        <w:t>．．．．．．．．．</w:t>
      </w:r>
    </w:p>
    <w:p>
      <w:pPr>
        <w:spacing w:after="0" w:line="211" w:lineRule="exact"/>
        <w:sectPr>
          <w:type w:val="continuous"/>
          <w:pgSz w:w="11900" w:h="16840"/>
          <w:pgMar w:top="1060" w:bottom="280" w:left="920" w:right="920"/>
          <w:cols w:num="3" w:equalWidth="0">
            <w:col w:w="1327" w:space="1882"/>
            <w:col w:w="1116" w:space="39"/>
            <w:col w:w="5696"/>
          </w:cols>
        </w:sectPr>
      </w:pPr>
    </w:p>
    <w:p>
      <w:pPr>
        <w:pStyle w:val="BodyText"/>
        <w:spacing w:line="259" w:lineRule="auto" w:before="20"/>
        <w:ind w:right="204"/>
      </w:pPr>
      <w:r>
        <w:rPr>
          <w:w w:val="100"/>
        </w:rPr>
        <w:t>或多种）的，我们将按本附加合同约定的基本保险金额的</w:t>
      </w:r>
      <w:r>
        <w:rPr/>
        <w:t> </w:t>
      </w:r>
      <w:r>
        <w:rPr>
          <w:rFonts w:ascii="Arial" w:hAnsi="Arial" w:eastAsia="Arial"/>
          <w:w w:val="100"/>
        </w:rPr>
        <w:t>100</w:t>
      </w:r>
      <w:r>
        <w:rPr>
          <w:spacing w:val="-10"/>
          <w:w w:val="100"/>
        </w:rPr>
        <w:t>％给付“重大疾病保险金”，本附加合同和</w:t>
      </w:r>
      <w:r>
        <w:rPr>
          <w:spacing w:val="-5"/>
        </w:rPr>
        <w:t>本附加合同的主合同责任同时终止。</w:t>
      </w:r>
    </w:p>
    <w:p>
      <w:pPr>
        <w:pStyle w:val="BodyText"/>
        <w:spacing w:line="259" w:lineRule="auto" w:before="20"/>
        <w:ind w:right="160" w:firstLine="419"/>
      </w:pPr>
      <w:r>
        <w:rPr>
          <w:spacing w:val="-3"/>
          <w:w w:val="100"/>
        </w:rPr>
        <w:t>如果被保险人于本附加合同生效日或复效日（以较迟者为准）</w:t>
      </w:r>
      <w:r>
        <w:rPr>
          <w:w w:val="100"/>
        </w:rPr>
        <w:t>起</w:t>
      </w:r>
      <w:r>
        <w:rPr/>
        <w:t> </w:t>
      </w:r>
      <w:r>
        <w:rPr>
          <w:rFonts w:ascii="Arial" w:eastAsia="Arial"/>
          <w:w w:val="100"/>
        </w:rPr>
        <w:t>90</w:t>
      </w:r>
      <w:r>
        <w:rPr>
          <w:rFonts w:ascii="Arial" w:eastAsia="Arial"/>
        </w:rPr>
        <w:t> </w:t>
      </w:r>
      <w:r>
        <w:rPr>
          <w:spacing w:val="-2"/>
          <w:w w:val="100"/>
        </w:rPr>
        <w:t>天内</w:t>
      </w:r>
      <w:r>
        <w:rPr>
          <w:spacing w:val="-3"/>
          <w:w w:val="100"/>
        </w:rPr>
        <w:t>（</w:t>
      </w:r>
      <w:r>
        <w:rPr>
          <w:w w:val="100"/>
        </w:rPr>
        <w:t>含</w:t>
      </w:r>
      <w:r>
        <w:rPr/>
        <w:t> </w:t>
      </w:r>
      <w:r>
        <w:rPr>
          <w:rFonts w:ascii="Arial" w:eastAsia="Arial"/>
          <w:spacing w:val="-3"/>
          <w:w w:val="100"/>
        </w:rPr>
        <w:t>9</w:t>
      </w:r>
      <w:r>
        <w:rPr>
          <w:rFonts w:ascii="Arial" w:eastAsia="Arial"/>
          <w:w w:val="100"/>
        </w:rPr>
        <w:t>0</w:t>
      </w:r>
      <w:r>
        <w:rPr>
          <w:rFonts w:ascii="Arial" w:eastAsia="Arial"/>
        </w:rPr>
        <w:t> </w:t>
      </w:r>
      <w:r>
        <w:rPr>
          <w:spacing w:val="-3"/>
          <w:w w:val="100"/>
        </w:rPr>
        <w:t>天</w:t>
      </w:r>
      <w:r>
        <w:rPr>
          <w:spacing w:val="-106"/>
          <w:w w:val="100"/>
        </w:rPr>
        <w:t>）</w:t>
      </w:r>
      <w:r>
        <w:rPr>
          <w:spacing w:val="-3"/>
          <w:w w:val="100"/>
        </w:rPr>
        <w:t>，按本附加合同</w:t>
      </w:r>
      <w:r>
        <w:rPr>
          <w:spacing w:val="-5"/>
        </w:rPr>
        <w:t>约定的五十种重大疾病的定义和诊断标准，被专科医生或符合条件的医疗机构首次诊断为患有重大疾病的</w:t>
      </w:r>
    </w:p>
    <w:p>
      <w:pPr>
        <w:pStyle w:val="BodyText"/>
        <w:spacing w:line="273" w:lineRule="auto" w:before="20"/>
        <w:ind w:right="204"/>
      </w:pPr>
      <w:r>
        <w:rPr>
          <w:spacing w:val="1"/>
          <w:w w:val="100"/>
        </w:rPr>
        <w:t>（</w:t>
      </w:r>
      <w:r>
        <w:rPr>
          <w:w w:val="100"/>
        </w:rPr>
        <w:t>无论一种或多种</w:t>
      </w:r>
      <w:r>
        <w:rPr>
          <w:spacing w:val="-106"/>
          <w:w w:val="100"/>
        </w:rPr>
        <w:t>）</w:t>
      </w:r>
      <w:r>
        <w:rPr>
          <w:w w:val="100"/>
        </w:rPr>
        <w:t>，我们不承担保险责任并无息返还索赔时主合同基本保险金额所对应的本附加合同和</w:t>
      </w:r>
      <w:r>
        <w:rPr>
          <w:spacing w:val="-3"/>
        </w:rPr>
        <w:t>本附加合同的主合同的已交保险费之和，本附加合同和本附加合同的主合同的责任同时终止。</w:t>
      </w:r>
    </w:p>
    <w:p>
      <w:pPr>
        <w:pStyle w:val="BodyText"/>
        <w:spacing w:line="365" w:lineRule="exact"/>
        <w:ind w:left="632"/>
      </w:pPr>
      <w:r>
        <w:rPr/>
        <w:pict>
          <v:shape style="position:absolute;margin-left:206.758484pt;margin-top:7.778405pt;width:10.6pt;height:10.6pt;mso-position-horizontal-relative:page;mso-position-vertical-relative:paragraph;z-index:-23152" type="#_x0000_t202" filled="false" stroked="false">
            <v:textbox inset="0,0,0,0">
              <w:txbxContent>
                <w:p>
                  <w:pPr>
                    <w:pStyle w:val="BodyText"/>
                    <w:spacing w:line="211" w:lineRule="exact"/>
                    <w:ind w:left="0"/>
                  </w:pPr>
                  <w:r>
                    <w:rPr>
                      <w:w w:val="100"/>
                    </w:rPr>
                    <w:t>．</w:t>
                  </w:r>
                </w:p>
              </w:txbxContent>
            </v:textbox>
            <w10:wrap type="none"/>
          </v:shape>
        </w:pict>
      </w:r>
      <w:r>
        <w:rPr>
          <w:spacing w:val="-3"/>
        </w:rPr>
        <w:t>被保险人因遭受</w:t>
      </w:r>
      <w:r>
        <w:rPr>
          <w:rFonts w:ascii="Microsoft JhengHei" w:eastAsia="Microsoft JhengHei" w:hint="eastAsia"/>
          <w:b/>
          <w:spacing w:val="-149"/>
        </w:rPr>
        <w:t>意</w:t>
      </w:r>
      <w:r>
        <w:rPr>
          <w:spacing w:val="-63"/>
          <w:position w:val="-7"/>
        </w:rPr>
        <w:t>．</w:t>
      </w:r>
      <w:r>
        <w:rPr>
          <w:rFonts w:ascii="Microsoft JhengHei" w:eastAsia="Microsoft JhengHei" w:hint="eastAsia"/>
          <w:b/>
          <w:spacing w:val="-152"/>
        </w:rPr>
        <w:t>外</w:t>
      </w:r>
      <w:r>
        <w:rPr>
          <w:spacing w:val="-63"/>
          <w:position w:val="-7"/>
        </w:rPr>
        <w:t>．</w:t>
      </w:r>
      <w:r>
        <w:rPr>
          <w:rFonts w:ascii="Microsoft JhengHei" w:eastAsia="Microsoft JhengHei" w:hint="eastAsia"/>
          <w:b/>
          <w:spacing w:val="-149"/>
        </w:rPr>
        <w:t>伤</w:t>
      </w:r>
      <w:r>
        <w:rPr>
          <w:spacing w:val="-63"/>
          <w:position w:val="-7"/>
        </w:rPr>
        <w:t>．</w:t>
      </w:r>
      <w:r>
        <w:rPr>
          <w:rFonts w:ascii="Microsoft JhengHei" w:eastAsia="Microsoft JhengHei" w:hint="eastAsia"/>
          <w:b/>
          <w:spacing w:val="-152"/>
        </w:rPr>
        <w:t>害</w:t>
      </w:r>
      <w:r>
        <w:rPr>
          <w:spacing w:val="-63"/>
          <w:position w:val="-7"/>
        </w:rPr>
        <w:t>．</w:t>
      </w:r>
      <w:r>
        <w:rPr>
          <w:rFonts w:ascii="Microsoft JhengHei" w:eastAsia="Microsoft JhengHei" w:hint="eastAsia"/>
          <w:b/>
          <w:spacing w:val="-149"/>
        </w:rPr>
        <w:t>事</w:t>
      </w:r>
      <w:r>
        <w:rPr>
          <w:spacing w:val="-63"/>
          <w:position w:val="-7"/>
        </w:rPr>
        <w:t>．</w:t>
      </w:r>
      <w:r>
        <w:rPr>
          <w:rFonts w:ascii="Microsoft JhengHei" w:eastAsia="Microsoft JhengHei" w:hint="eastAsia"/>
          <w:b/>
          <w:spacing w:val="-3"/>
        </w:rPr>
        <w:t>故</w:t>
      </w:r>
      <w:r>
        <w:rPr>
          <w:rFonts w:ascii="Times New Roman" w:eastAsia="Times New Roman"/>
          <w:b/>
          <w:vertAlign w:val="superscript"/>
        </w:rPr>
        <w:t>5</w:t>
      </w:r>
      <w:r>
        <w:rPr>
          <w:rFonts w:ascii="Times New Roman" w:eastAsia="Times New Roman"/>
          <w:b/>
          <w:vertAlign w:val="baseline"/>
        </w:rPr>
      </w:r>
      <w:r>
        <w:rPr>
          <w:spacing w:val="-6"/>
          <w:vertAlign w:val="baseline"/>
        </w:rPr>
        <w:t>导致重大疾病的，不受 </w:t>
      </w:r>
      <w:r>
        <w:rPr>
          <w:rFonts w:ascii="Arial" w:eastAsia="Arial"/>
          <w:vertAlign w:val="baseline"/>
        </w:rPr>
        <w:t>90 </w:t>
      </w:r>
      <w:r>
        <w:rPr>
          <w:spacing w:val="-3"/>
          <w:vertAlign w:val="baseline"/>
        </w:rPr>
        <w:t>天的限制。</w:t>
      </w:r>
    </w:p>
    <w:p>
      <w:pPr>
        <w:pStyle w:val="BodyText"/>
        <w:spacing w:line="260" w:lineRule="exact" w:before="118"/>
        <w:ind w:left="632"/>
      </w:pPr>
      <w:r>
        <w:rPr/>
        <w:t>二、特定重大疾病额外给付保险金</w:t>
      </w:r>
    </w:p>
    <w:p>
      <w:pPr>
        <w:pStyle w:val="BodyText"/>
        <w:spacing w:line="218" w:lineRule="auto" w:before="12"/>
        <w:ind w:right="142" w:firstLine="420"/>
      </w:pPr>
      <w:r>
        <w:rPr/>
        <w:pict>
          <v:shape style="position:absolute;margin-left:112.321777pt;margin-top:28.89711pt;width:10.6pt;height:10.6pt;mso-position-horizontal-relative:page;mso-position-vertical-relative:paragraph;z-index:-23128" type="#_x0000_t202" filled="false" stroked="false">
            <v:textbox inset="0,0,0,0">
              <w:txbxContent>
                <w:p>
                  <w:pPr>
                    <w:pStyle w:val="BodyText"/>
                    <w:spacing w:line="211" w:lineRule="exact"/>
                    <w:ind w:left="0"/>
                  </w:pPr>
                  <w:r>
                    <w:rPr>
                      <w:w w:val="100"/>
                    </w:rPr>
                    <w:t>．</w:t>
                  </w:r>
                </w:p>
              </w:txbxContent>
            </v:textbox>
            <w10:wrap type="none"/>
          </v:shape>
        </w:pict>
      </w:r>
      <w:r>
        <w:rPr>
          <w:spacing w:val="-3"/>
        </w:rPr>
        <w:t>如果被保险人于本附加合同生效日或复效日（以较迟者为准）</w:t>
      </w:r>
      <w:r>
        <w:rPr>
          <w:spacing w:val="-2"/>
        </w:rPr>
        <w:t>起 </w:t>
      </w:r>
      <w:r>
        <w:rPr>
          <w:rFonts w:ascii="Arial" w:eastAsia="Arial"/>
        </w:rPr>
        <w:t>90</w:t>
      </w:r>
      <w:r>
        <w:rPr>
          <w:rFonts w:ascii="Arial" w:eastAsia="Arial"/>
          <w:spacing w:val="41"/>
        </w:rPr>
        <w:t> </w:t>
      </w:r>
      <w:r>
        <w:rPr>
          <w:spacing w:val="-3"/>
        </w:rPr>
        <w:t>天后，按本附加合同约定的</w:t>
      </w:r>
      <w:r>
        <w:rPr>
          <w:rFonts w:ascii="Microsoft JhengHei" w:eastAsia="Microsoft JhengHei" w:hint="eastAsia"/>
          <w:b/>
          <w:spacing w:val="-149"/>
        </w:rPr>
        <w:t>八</w:t>
      </w:r>
      <w:r>
        <w:rPr>
          <w:spacing w:val="-63"/>
          <w:position w:val="-7"/>
        </w:rPr>
        <w:t>．</w:t>
      </w:r>
      <w:r>
        <w:rPr>
          <w:rFonts w:ascii="Microsoft JhengHei" w:eastAsia="Microsoft JhengHei" w:hint="eastAsia"/>
          <w:b/>
          <w:spacing w:val="-152"/>
        </w:rPr>
        <w:t>种</w:t>
      </w:r>
      <w:r>
        <w:rPr>
          <w:position w:val="-7"/>
        </w:rPr>
        <w:t>． </w:t>
      </w:r>
      <w:r>
        <w:rPr>
          <w:rFonts w:ascii="Microsoft JhengHei" w:eastAsia="Microsoft JhengHei" w:hint="eastAsia"/>
          <w:b/>
          <w:spacing w:val="-149"/>
        </w:rPr>
        <w:t>特</w:t>
      </w:r>
      <w:r>
        <w:rPr>
          <w:spacing w:val="-63"/>
          <w:position w:val="-7"/>
        </w:rPr>
        <w:t>．</w:t>
      </w:r>
      <w:r>
        <w:rPr>
          <w:rFonts w:ascii="Microsoft JhengHei" w:eastAsia="Microsoft JhengHei" w:hint="eastAsia"/>
          <w:b/>
          <w:spacing w:val="-149"/>
        </w:rPr>
        <w:t>定</w:t>
      </w:r>
      <w:r>
        <w:rPr>
          <w:spacing w:val="-63"/>
          <w:position w:val="-7"/>
        </w:rPr>
        <w:t>．</w:t>
      </w:r>
      <w:r>
        <w:rPr>
          <w:rFonts w:ascii="Microsoft JhengHei" w:eastAsia="Microsoft JhengHei" w:hint="eastAsia"/>
          <w:b/>
          <w:spacing w:val="-152"/>
        </w:rPr>
        <w:t>重</w:t>
      </w:r>
      <w:r>
        <w:rPr>
          <w:spacing w:val="-63"/>
          <w:position w:val="-7"/>
        </w:rPr>
        <w:t>．</w:t>
      </w:r>
      <w:r>
        <w:rPr>
          <w:rFonts w:ascii="Microsoft JhengHei" w:eastAsia="Microsoft JhengHei" w:hint="eastAsia"/>
          <w:b/>
          <w:spacing w:val="-149"/>
        </w:rPr>
        <w:t>大</w:t>
      </w:r>
      <w:r>
        <w:rPr>
          <w:spacing w:val="-63"/>
          <w:position w:val="-7"/>
        </w:rPr>
        <w:t>．</w:t>
      </w:r>
      <w:r>
        <w:rPr>
          <w:rFonts w:ascii="Microsoft JhengHei" w:eastAsia="Microsoft JhengHei" w:hint="eastAsia"/>
          <w:b/>
          <w:spacing w:val="-149"/>
        </w:rPr>
        <w:t>疾</w:t>
      </w:r>
      <w:r>
        <w:rPr>
          <w:spacing w:val="-63"/>
          <w:position w:val="-7"/>
        </w:rPr>
        <w:t>．</w:t>
      </w:r>
      <w:r>
        <w:rPr>
          <w:rFonts w:ascii="Microsoft JhengHei" w:eastAsia="Microsoft JhengHei" w:hint="eastAsia"/>
          <w:b/>
          <w:spacing w:val="-3"/>
        </w:rPr>
        <w:t>病</w:t>
      </w:r>
      <w:r>
        <w:rPr>
          <w:rFonts w:ascii="Times New Roman" w:eastAsia="Times New Roman"/>
          <w:b/>
          <w:vertAlign w:val="superscript"/>
        </w:rPr>
        <w:t>6</w:t>
      </w:r>
      <w:r>
        <w:rPr>
          <w:rFonts w:ascii="Times New Roman" w:eastAsia="Times New Roman"/>
          <w:b/>
          <w:vertAlign w:val="baseline"/>
        </w:rPr>
      </w:r>
      <w:r>
        <w:rPr>
          <w:spacing w:val="-10"/>
          <w:vertAlign w:val="baseline"/>
        </w:rPr>
        <w:t>的定义和诊断标准，被专科医生或符合条件的医疗机构首次诊断为患有特定重大疾病</w:t>
      </w:r>
      <w:r>
        <w:rPr>
          <w:spacing w:val="-3"/>
          <w:vertAlign w:val="baseline"/>
        </w:rPr>
        <w:t>（</w:t>
      </w:r>
      <w:r>
        <w:rPr>
          <w:vertAlign w:val="baseline"/>
        </w:rPr>
        <w:t>无论</w:t>
      </w:r>
    </w:p>
    <w:p>
      <w:pPr>
        <w:pStyle w:val="BodyText"/>
        <w:spacing w:line="273" w:lineRule="auto" w:before="26"/>
        <w:ind w:right="202"/>
      </w:pPr>
      <w:r>
        <w:rPr>
          <w:spacing w:val="-2"/>
        </w:rPr>
        <w:t>一种或多种</w:t>
      </w:r>
      <w:r>
        <w:rPr>
          <w:spacing w:val="-10"/>
        </w:rPr>
        <w:t>）</w:t>
      </w:r>
      <w:r>
        <w:rPr>
          <w:spacing w:val="-5"/>
        </w:rPr>
        <w:t>的，我们在按上述第一项规定给付重大疾病保险金的同时，额外按本附加合同约定的基本保</w:t>
      </w:r>
      <w:r>
        <w:rPr>
          <w:spacing w:val="-10"/>
        </w:rPr>
        <w:t>险金额的 </w:t>
      </w:r>
      <w:r>
        <w:rPr>
          <w:rFonts w:ascii="Arial" w:hAnsi="Arial" w:eastAsia="Arial"/>
        </w:rPr>
        <w:t>20</w:t>
      </w:r>
      <w:r>
        <w:rPr>
          <w:spacing w:val="-9"/>
        </w:rPr>
        <w:t>％给付“特定重大疾病额外给付保险金”。</w:t>
      </w:r>
    </w:p>
    <w:p>
      <w:pPr>
        <w:pStyle w:val="BodyText"/>
        <w:spacing w:line="261" w:lineRule="exact" w:before="82"/>
        <w:ind w:left="632"/>
      </w:pPr>
      <w:r>
        <w:rPr/>
        <w:t>三、轻症保险金</w:t>
      </w:r>
    </w:p>
    <w:p>
      <w:pPr>
        <w:pStyle w:val="BodyText"/>
        <w:spacing w:line="235" w:lineRule="auto"/>
        <w:ind w:right="98" w:firstLine="420"/>
        <w:jc w:val="both"/>
      </w:pPr>
      <w:r>
        <w:rPr/>
        <w:pict>
          <v:shape style="position:absolute;margin-left:80.76178pt;margin-top:29.260029pt;width:10.6pt;height:10.6pt;mso-position-horizontal-relative:page;mso-position-vertical-relative:paragraph;z-index:-23104" type="#_x0000_t202" filled="false" stroked="false">
            <v:textbox inset="0,0,0,0">
              <w:txbxContent>
                <w:p>
                  <w:pPr>
                    <w:pStyle w:val="BodyText"/>
                    <w:spacing w:line="211" w:lineRule="exact"/>
                    <w:ind w:left="0"/>
                  </w:pPr>
                  <w:r>
                    <w:rPr>
                      <w:w w:val="100"/>
                    </w:rPr>
                    <w:t>．</w:t>
                  </w:r>
                </w:p>
              </w:txbxContent>
            </v:textbox>
            <w10:wrap type="none"/>
          </v:shape>
        </w:pict>
      </w:r>
      <w:r>
        <w:rPr>
          <w:spacing w:val="-3"/>
        </w:rPr>
        <w:t>如果被保险人于本附加合同生效日或复效日（以较迟者为准）</w:t>
      </w:r>
      <w:r>
        <w:rPr/>
        <w:t>起 </w:t>
      </w:r>
      <w:r>
        <w:rPr>
          <w:rFonts w:ascii="Arial" w:eastAsia="Arial"/>
        </w:rPr>
        <w:t>90 </w:t>
      </w:r>
      <w:r>
        <w:rPr>
          <w:spacing w:val="-3"/>
        </w:rPr>
        <w:t>天后，按本附加合同约定的</w:t>
      </w:r>
      <w:r>
        <w:rPr>
          <w:rFonts w:ascii="Microsoft JhengHei" w:eastAsia="Microsoft JhengHei" w:hint="eastAsia"/>
          <w:b/>
          <w:spacing w:val="-149"/>
        </w:rPr>
        <w:t>十</w:t>
      </w:r>
      <w:r>
        <w:rPr>
          <w:spacing w:val="-63"/>
          <w:position w:val="-7"/>
        </w:rPr>
        <w:t>．</w:t>
      </w:r>
      <w:r>
        <w:rPr>
          <w:rFonts w:ascii="Microsoft JhengHei" w:eastAsia="Microsoft JhengHei" w:hint="eastAsia"/>
          <w:b/>
          <w:spacing w:val="-152"/>
        </w:rPr>
        <w:t>二</w:t>
      </w:r>
      <w:r>
        <w:rPr>
          <w:position w:val="-7"/>
        </w:rPr>
        <w:t>．</w:t>
      </w:r>
      <w:r>
        <w:rPr>
          <w:rFonts w:ascii="Microsoft JhengHei" w:eastAsia="Microsoft JhengHei" w:hint="eastAsia"/>
          <w:b/>
          <w:spacing w:val="-149"/>
        </w:rPr>
        <w:t>种</w:t>
      </w:r>
      <w:r>
        <w:rPr>
          <w:spacing w:val="-63"/>
          <w:w w:val="100"/>
          <w:position w:val="-7"/>
        </w:rPr>
        <w:t>．</w:t>
      </w:r>
      <w:r>
        <w:rPr>
          <w:rFonts w:ascii="Microsoft JhengHei" w:eastAsia="Microsoft JhengHei" w:hint="eastAsia"/>
          <w:b/>
          <w:spacing w:val="-149"/>
          <w:w w:val="100"/>
        </w:rPr>
        <w:t>轻</w:t>
      </w:r>
      <w:r>
        <w:rPr>
          <w:spacing w:val="-63"/>
          <w:w w:val="100"/>
          <w:position w:val="-7"/>
        </w:rPr>
        <w:t>．</w:t>
      </w:r>
      <w:r>
        <w:rPr>
          <w:rFonts w:ascii="Microsoft JhengHei" w:eastAsia="Microsoft JhengHei" w:hint="eastAsia"/>
          <w:b/>
          <w:spacing w:val="-3"/>
          <w:w w:val="100"/>
        </w:rPr>
        <w:t>症</w:t>
      </w:r>
      <w:r>
        <w:rPr>
          <w:rFonts w:ascii="Times New Roman" w:eastAsia="Times New Roman"/>
          <w:b/>
          <w:w w:val="97"/>
          <w:vertAlign w:val="superscript"/>
        </w:rPr>
        <w:t>7</w:t>
      </w:r>
      <w:r>
        <w:rPr>
          <w:rFonts w:ascii="Times New Roman" w:eastAsia="Times New Roman"/>
          <w:b/>
          <w:w w:val="97"/>
          <w:vertAlign w:val="baseline"/>
        </w:rPr>
      </w:r>
      <w:r>
        <w:rPr>
          <w:spacing w:val="-10"/>
          <w:w w:val="100"/>
          <w:vertAlign w:val="baseline"/>
        </w:rPr>
        <w:t>的定义和诊断标准，被专科医生或符合条件的医疗机构首次诊断为患有轻症的</w:t>
      </w:r>
      <w:r>
        <w:rPr>
          <w:w w:val="100"/>
          <w:vertAlign w:val="baseline"/>
        </w:rPr>
        <w:t>（</w:t>
      </w:r>
      <w:r>
        <w:rPr>
          <w:spacing w:val="-3"/>
          <w:w w:val="100"/>
          <w:vertAlign w:val="baseline"/>
        </w:rPr>
        <w:t>无论一种或多种</w:t>
      </w:r>
      <w:r>
        <w:rPr>
          <w:spacing w:val="-106"/>
          <w:w w:val="100"/>
          <w:vertAlign w:val="baseline"/>
        </w:rPr>
        <w:t>）</w:t>
      </w:r>
      <w:r>
        <w:rPr>
          <w:w w:val="100"/>
          <w:vertAlign w:val="baseline"/>
        </w:rPr>
        <w:t>，</w:t>
      </w:r>
      <w:r>
        <w:rPr>
          <w:spacing w:val="-4"/>
          <w:vertAlign w:val="baseline"/>
        </w:rPr>
        <w:t>我们将按本附加合同约定的基本保险金额的 </w:t>
      </w:r>
      <w:r>
        <w:rPr>
          <w:rFonts w:ascii="Arial" w:eastAsia="Arial"/>
          <w:vertAlign w:val="baseline"/>
        </w:rPr>
        <w:t>20%</w:t>
      </w:r>
      <w:r>
        <w:rPr>
          <w:spacing w:val="-3"/>
          <w:vertAlign w:val="baseline"/>
        </w:rPr>
        <w:t>给付轻症保险金，本项保险责任终止。</w:t>
      </w:r>
    </w:p>
    <w:p>
      <w:pPr>
        <w:pStyle w:val="BodyText"/>
        <w:ind w:left="0"/>
        <w:rPr>
          <w:sz w:val="20"/>
        </w:rPr>
      </w:pPr>
    </w:p>
    <w:p>
      <w:pPr>
        <w:pStyle w:val="BodyText"/>
        <w:ind w:left="0"/>
        <w:rPr>
          <w:sz w:val="20"/>
        </w:rPr>
      </w:pPr>
    </w:p>
    <w:p>
      <w:pPr>
        <w:pStyle w:val="Heading2"/>
        <w:numPr>
          <w:ilvl w:val="1"/>
          <w:numId w:val="2"/>
        </w:numPr>
        <w:tabs>
          <w:tab w:pos="937" w:val="left" w:leader="none"/>
          <w:tab w:pos="938" w:val="left" w:leader="none"/>
          <w:tab w:pos="9879" w:val="left" w:leader="none"/>
        </w:tabs>
        <w:spacing w:line="384" w:lineRule="exact" w:before="117" w:after="0"/>
        <w:ind w:left="937" w:right="0" w:hanging="725"/>
        <w:jc w:val="left"/>
      </w:pPr>
      <w:r>
        <w:rPr>
          <w:shd w:fill="E6E6E6" w:color="auto" w:val="clear"/>
        </w:rPr>
        <w:t>责任免除</w:t>
        <w:tab/>
      </w:r>
    </w:p>
    <w:p>
      <w:pPr>
        <w:pStyle w:val="Heading3"/>
        <w:tabs>
          <w:tab w:pos="1278" w:val="left" w:leader="none"/>
        </w:tabs>
        <w:spacing w:line="204" w:lineRule="auto" w:before="20"/>
        <w:ind w:left="647" w:right="588" w:hanging="13"/>
        <w:rPr>
          <w:rFonts w:ascii="Microsoft JhengHei" w:eastAsia="Microsoft JhengHei" w:hint="eastAsia"/>
        </w:rPr>
      </w:pPr>
      <w:r>
        <w:rPr>
          <w:rFonts w:ascii="Microsoft JhengHei" w:eastAsia="Microsoft JhengHei" w:hint="eastAsia"/>
          <w:spacing w:val="-3"/>
        </w:rPr>
        <w:t>因</w:t>
      </w:r>
      <w:r>
        <w:rPr>
          <w:rFonts w:ascii="Microsoft JhengHei" w:eastAsia="Microsoft JhengHei" w:hint="eastAsia"/>
        </w:rPr>
        <w:t>下列</w:t>
      </w:r>
      <w:r>
        <w:rPr>
          <w:rFonts w:ascii="Microsoft JhengHei" w:eastAsia="Microsoft JhengHei" w:hint="eastAsia"/>
          <w:spacing w:val="-3"/>
        </w:rPr>
        <w:t>情</w:t>
      </w:r>
      <w:r>
        <w:rPr>
          <w:rFonts w:ascii="Microsoft JhengHei" w:eastAsia="Microsoft JhengHei" w:hint="eastAsia"/>
        </w:rPr>
        <w:t>形</w:t>
      </w:r>
      <w:r>
        <w:rPr>
          <w:rFonts w:ascii="Microsoft JhengHei" w:eastAsia="Microsoft JhengHei" w:hint="eastAsia"/>
          <w:spacing w:val="-3"/>
        </w:rPr>
        <w:t>之</w:t>
      </w:r>
      <w:r>
        <w:rPr>
          <w:rFonts w:ascii="Microsoft JhengHei" w:eastAsia="Microsoft JhengHei" w:hint="eastAsia"/>
        </w:rPr>
        <w:t>一，</w:t>
      </w:r>
      <w:r>
        <w:rPr>
          <w:rFonts w:ascii="Microsoft JhengHei" w:eastAsia="Microsoft JhengHei" w:hint="eastAsia"/>
          <w:spacing w:val="-3"/>
        </w:rPr>
        <w:t>导</w:t>
      </w:r>
      <w:r>
        <w:rPr>
          <w:rFonts w:ascii="Microsoft JhengHei" w:eastAsia="Microsoft JhengHei" w:hint="eastAsia"/>
        </w:rPr>
        <w:t>致被</w:t>
      </w:r>
      <w:r>
        <w:rPr>
          <w:rFonts w:ascii="Microsoft JhengHei" w:eastAsia="Microsoft JhengHei" w:hint="eastAsia"/>
          <w:spacing w:val="-3"/>
        </w:rPr>
        <w:t>保</w:t>
      </w:r>
      <w:r>
        <w:rPr>
          <w:rFonts w:ascii="Microsoft JhengHei" w:eastAsia="Microsoft JhengHei" w:hint="eastAsia"/>
        </w:rPr>
        <w:t>险人</w:t>
      </w:r>
      <w:r>
        <w:rPr>
          <w:rFonts w:ascii="Microsoft JhengHei" w:eastAsia="Microsoft JhengHei" w:hint="eastAsia"/>
          <w:spacing w:val="-3"/>
        </w:rPr>
        <w:t>发</w:t>
      </w:r>
      <w:r>
        <w:rPr>
          <w:rFonts w:ascii="Microsoft JhengHei" w:eastAsia="Microsoft JhengHei" w:hint="eastAsia"/>
        </w:rPr>
        <w:t>Th</w:t>
      </w:r>
      <w:r>
        <w:rPr>
          <w:rFonts w:ascii="Microsoft JhengHei" w:eastAsia="Microsoft JhengHei" w:hint="eastAsia"/>
          <w:spacing w:val="-3"/>
        </w:rPr>
        <w:t>重</w:t>
      </w:r>
      <w:r>
        <w:rPr>
          <w:rFonts w:ascii="Microsoft JhengHei" w:eastAsia="Microsoft JhengHei" w:hint="eastAsia"/>
        </w:rPr>
        <w:t>大疾</w:t>
      </w:r>
      <w:r>
        <w:rPr>
          <w:rFonts w:ascii="Microsoft JhengHei" w:eastAsia="Microsoft JhengHei" w:hint="eastAsia"/>
          <w:spacing w:val="-3"/>
        </w:rPr>
        <w:t>病</w:t>
      </w:r>
      <w:r>
        <w:rPr>
          <w:rFonts w:ascii="Microsoft JhengHei" w:eastAsia="Microsoft JhengHei" w:hint="eastAsia"/>
        </w:rPr>
        <w:t>、特</w:t>
      </w:r>
      <w:r>
        <w:rPr>
          <w:rFonts w:ascii="Microsoft JhengHei" w:eastAsia="Microsoft JhengHei" w:hint="eastAsia"/>
          <w:spacing w:val="-3"/>
        </w:rPr>
        <w:t>定</w:t>
      </w:r>
      <w:r>
        <w:rPr>
          <w:rFonts w:ascii="Microsoft JhengHei" w:eastAsia="Microsoft JhengHei" w:hint="eastAsia"/>
        </w:rPr>
        <w:t>重大</w:t>
      </w:r>
      <w:r>
        <w:rPr>
          <w:rFonts w:ascii="Microsoft JhengHei" w:eastAsia="Microsoft JhengHei" w:hint="eastAsia"/>
          <w:spacing w:val="-3"/>
        </w:rPr>
        <w:t>疾</w:t>
      </w:r>
      <w:r>
        <w:rPr>
          <w:rFonts w:ascii="Microsoft JhengHei" w:eastAsia="Microsoft JhengHei" w:hint="eastAsia"/>
        </w:rPr>
        <w:t>病</w:t>
      </w:r>
      <w:r>
        <w:rPr>
          <w:rFonts w:ascii="Microsoft JhengHei" w:eastAsia="Microsoft JhengHei" w:hint="eastAsia"/>
          <w:spacing w:val="-3"/>
        </w:rPr>
        <w:t>或</w:t>
      </w:r>
      <w:r>
        <w:rPr>
          <w:rFonts w:ascii="Microsoft JhengHei" w:eastAsia="Microsoft JhengHei" w:hint="eastAsia"/>
        </w:rPr>
        <w:t>轻症</w:t>
      </w:r>
      <w:r>
        <w:rPr>
          <w:rFonts w:ascii="Microsoft JhengHei" w:eastAsia="Microsoft JhengHei" w:hint="eastAsia"/>
          <w:spacing w:val="-3"/>
        </w:rPr>
        <w:t>的</w:t>
      </w:r>
      <w:r>
        <w:rPr>
          <w:rFonts w:ascii="Microsoft JhengHei" w:eastAsia="Microsoft JhengHei" w:hint="eastAsia"/>
        </w:rPr>
        <w:t>，我</w:t>
      </w:r>
      <w:r>
        <w:rPr>
          <w:rFonts w:ascii="Microsoft JhengHei" w:eastAsia="Microsoft JhengHei" w:hint="eastAsia"/>
          <w:spacing w:val="-3"/>
        </w:rPr>
        <w:t>们</w:t>
      </w:r>
      <w:r>
        <w:rPr>
          <w:rFonts w:ascii="Microsoft JhengHei" w:eastAsia="Microsoft JhengHei" w:hint="eastAsia"/>
        </w:rPr>
        <w:t>不承</w:t>
      </w:r>
      <w:r>
        <w:rPr>
          <w:rFonts w:ascii="Microsoft JhengHei" w:eastAsia="Microsoft JhengHei" w:hint="eastAsia"/>
          <w:spacing w:val="-3"/>
        </w:rPr>
        <w:t>担</w:t>
      </w:r>
      <w:r>
        <w:rPr>
          <w:rFonts w:ascii="Microsoft JhengHei" w:eastAsia="Microsoft JhengHei" w:hint="eastAsia"/>
        </w:rPr>
        <w:t>保</w:t>
      </w:r>
      <w:r>
        <w:rPr>
          <w:rFonts w:ascii="Microsoft JhengHei" w:eastAsia="Microsoft JhengHei" w:hint="eastAsia"/>
          <w:spacing w:val="-3"/>
        </w:rPr>
        <w:t>险</w:t>
      </w:r>
      <w:r>
        <w:rPr>
          <w:rFonts w:ascii="Microsoft JhengHei" w:eastAsia="Microsoft JhengHei" w:hint="eastAsia"/>
        </w:rPr>
        <w:t>责任： 一、</w:t>
        <w:tab/>
        <w:t>您对</w:t>
      </w:r>
      <w:r>
        <w:rPr>
          <w:rFonts w:ascii="Microsoft JhengHei" w:eastAsia="Microsoft JhengHei" w:hint="eastAsia"/>
          <w:spacing w:val="-3"/>
        </w:rPr>
        <w:t>被</w:t>
      </w:r>
      <w:r>
        <w:rPr>
          <w:rFonts w:ascii="Microsoft JhengHei" w:eastAsia="Microsoft JhengHei" w:hint="eastAsia"/>
        </w:rPr>
        <w:t>保</w:t>
      </w:r>
      <w:r>
        <w:rPr>
          <w:rFonts w:ascii="Microsoft JhengHei" w:eastAsia="Microsoft JhengHei" w:hint="eastAsia"/>
          <w:spacing w:val="-3"/>
        </w:rPr>
        <w:t>险</w:t>
      </w:r>
      <w:r>
        <w:rPr>
          <w:rFonts w:ascii="Microsoft JhengHei" w:eastAsia="Microsoft JhengHei" w:hint="eastAsia"/>
        </w:rPr>
        <w:t>人的</w:t>
      </w:r>
      <w:r>
        <w:rPr>
          <w:rFonts w:ascii="Microsoft JhengHei" w:eastAsia="Microsoft JhengHei" w:hint="eastAsia"/>
          <w:spacing w:val="-3"/>
        </w:rPr>
        <w:t>故</w:t>
      </w:r>
      <w:r>
        <w:rPr>
          <w:rFonts w:ascii="Microsoft JhengHei" w:eastAsia="Microsoft JhengHei" w:hint="eastAsia"/>
        </w:rPr>
        <w:t>意杀</w:t>
      </w:r>
      <w:r>
        <w:rPr>
          <w:rFonts w:ascii="Microsoft JhengHei" w:eastAsia="Microsoft JhengHei" w:hint="eastAsia"/>
          <w:spacing w:val="-3"/>
        </w:rPr>
        <w:t>害</w:t>
      </w:r>
      <w:r>
        <w:rPr>
          <w:rFonts w:ascii="Microsoft JhengHei" w:eastAsia="Microsoft JhengHei" w:hint="eastAsia"/>
        </w:rPr>
        <w:t>、故</w:t>
      </w:r>
      <w:r>
        <w:rPr>
          <w:rFonts w:ascii="Microsoft JhengHei" w:eastAsia="Microsoft JhengHei" w:hint="eastAsia"/>
          <w:spacing w:val="-3"/>
        </w:rPr>
        <w:t>意</w:t>
      </w:r>
      <w:r>
        <w:rPr>
          <w:rFonts w:ascii="Microsoft JhengHei" w:eastAsia="Microsoft JhengHei" w:hint="eastAsia"/>
        </w:rPr>
        <w:t>伤</w:t>
      </w:r>
      <w:r>
        <w:rPr>
          <w:rFonts w:ascii="Microsoft JhengHei" w:eastAsia="Microsoft JhengHei" w:hint="eastAsia"/>
          <w:spacing w:val="-3"/>
        </w:rPr>
        <w:t>害</w:t>
      </w:r>
      <w:r>
        <w:rPr>
          <w:rFonts w:ascii="Microsoft JhengHei" w:eastAsia="Microsoft JhengHei" w:hint="eastAsia"/>
        </w:rPr>
        <w:t>；</w:t>
      </w:r>
    </w:p>
    <w:p>
      <w:pPr>
        <w:pStyle w:val="Heading3"/>
        <w:tabs>
          <w:tab w:pos="1259" w:val="left" w:leader="none"/>
        </w:tabs>
        <w:spacing w:line="206" w:lineRule="auto"/>
        <w:ind w:left="647" w:right="2698" w:hanging="20"/>
        <w:rPr>
          <w:rFonts w:ascii="Microsoft JhengHei" w:eastAsia="Microsoft JhengHei" w:hint="eastAsia"/>
        </w:rPr>
      </w:pPr>
      <w:r>
        <w:rPr/>
        <w:pict>
          <v:shape style="position:absolute;margin-left:239.15921pt;margin-top:23.77087pt;width:10.6pt;height:10.6pt;mso-position-horizontal-relative:page;mso-position-vertical-relative:paragraph;z-index:-23080" type="#_x0000_t202" filled="false" stroked="false">
            <v:textbox inset="0,0,0,0">
              <w:txbxContent>
                <w:p>
                  <w:pPr>
                    <w:pStyle w:val="BodyText"/>
                    <w:spacing w:line="211" w:lineRule="exact"/>
                    <w:ind w:left="0"/>
                  </w:pPr>
                  <w:r>
                    <w:rPr>
                      <w:w w:val="100"/>
                    </w:rPr>
                    <w:t>．</w:t>
                  </w:r>
                </w:p>
              </w:txbxContent>
            </v:textbox>
            <w10:wrap type="none"/>
          </v:shape>
        </w:pict>
      </w:r>
      <w:r>
        <w:rPr>
          <w:rFonts w:ascii="Microsoft JhengHei" w:eastAsia="Microsoft JhengHei" w:hint="eastAsia"/>
        </w:rPr>
        <w:t>二、</w:t>
        <w:tab/>
        <w:t>被保</w:t>
      </w:r>
      <w:r>
        <w:rPr>
          <w:rFonts w:ascii="Microsoft JhengHei" w:eastAsia="Microsoft JhengHei" w:hint="eastAsia"/>
          <w:spacing w:val="-3"/>
        </w:rPr>
        <w:t>险</w:t>
      </w:r>
      <w:r>
        <w:rPr>
          <w:rFonts w:ascii="Microsoft JhengHei" w:eastAsia="Microsoft JhengHei" w:hint="eastAsia"/>
        </w:rPr>
        <w:t>人</w:t>
      </w:r>
      <w:r>
        <w:rPr>
          <w:rFonts w:ascii="Microsoft JhengHei" w:eastAsia="Microsoft JhengHei" w:hint="eastAsia"/>
          <w:spacing w:val="-3"/>
        </w:rPr>
        <w:t>故</w:t>
      </w:r>
      <w:r>
        <w:rPr>
          <w:rFonts w:ascii="Microsoft JhengHei" w:eastAsia="Microsoft JhengHei" w:hint="eastAsia"/>
        </w:rPr>
        <w:t>意自</w:t>
      </w:r>
      <w:r>
        <w:rPr>
          <w:rFonts w:ascii="Microsoft JhengHei" w:eastAsia="Microsoft JhengHei" w:hint="eastAsia"/>
          <w:spacing w:val="-3"/>
        </w:rPr>
        <w:t>伤</w:t>
      </w:r>
      <w:r>
        <w:rPr>
          <w:rFonts w:ascii="Microsoft JhengHei" w:eastAsia="Microsoft JhengHei" w:hint="eastAsia"/>
        </w:rPr>
        <w:t>、故</w:t>
      </w:r>
      <w:r>
        <w:rPr>
          <w:rFonts w:ascii="Microsoft JhengHei" w:eastAsia="Microsoft JhengHei" w:hint="eastAsia"/>
          <w:spacing w:val="-3"/>
        </w:rPr>
        <w:t>意</w:t>
      </w:r>
      <w:r>
        <w:rPr>
          <w:rFonts w:ascii="Microsoft JhengHei" w:eastAsia="Microsoft JhengHei" w:hint="eastAsia"/>
        </w:rPr>
        <w:t>犯罪</w:t>
      </w:r>
      <w:r>
        <w:rPr>
          <w:rFonts w:ascii="Microsoft JhengHei" w:eastAsia="Microsoft JhengHei" w:hint="eastAsia"/>
          <w:spacing w:val="-3"/>
        </w:rPr>
        <w:t>或</w:t>
      </w:r>
      <w:r>
        <w:rPr>
          <w:rFonts w:ascii="Microsoft JhengHei" w:eastAsia="Microsoft JhengHei" w:hint="eastAsia"/>
        </w:rPr>
        <w:t>者</w:t>
      </w:r>
      <w:r>
        <w:rPr>
          <w:rFonts w:ascii="Microsoft JhengHei" w:eastAsia="Microsoft JhengHei" w:hint="eastAsia"/>
          <w:spacing w:val="-3"/>
        </w:rPr>
        <w:t>抗</w:t>
      </w:r>
      <w:r>
        <w:rPr>
          <w:rFonts w:ascii="Microsoft JhengHei" w:eastAsia="Microsoft JhengHei" w:hint="eastAsia"/>
        </w:rPr>
        <w:t>拒依</w:t>
      </w:r>
      <w:r>
        <w:rPr>
          <w:rFonts w:ascii="Microsoft JhengHei" w:eastAsia="Microsoft JhengHei" w:hint="eastAsia"/>
          <w:spacing w:val="-3"/>
        </w:rPr>
        <w:t>法</w:t>
      </w:r>
      <w:r>
        <w:rPr>
          <w:rFonts w:ascii="Microsoft JhengHei" w:eastAsia="Microsoft JhengHei" w:hint="eastAsia"/>
        </w:rPr>
        <w:t>采取</w:t>
      </w:r>
      <w:r>
        <w:rPr>
          <w:rFonts w:ascii="Microsoft JhengHei" w:eastAsia="Microsoft JhengHei" w:hint="eastAsia"/>
          <w:spacing w:val="-3"/>
        </w:rPr>
        <w:t>的</w:t>
      </w:r>
      <w:r>
        <w:rPr>
          <w:rFonts w:ascii="Microsoft JhengHei" w:eastAsia="Microsoft JhengHei" w:hint="eastAsia"/>
        </w:rPr>
        <w:t>刑事</w:t>
      </w:r>
      <w:r>
        <w:rPr>
          <w:rFonts w:ascii="Microsoft JhengHei" w:eastAsia="Microsoft JhengHei" w:hint="eastAsia"/>
          <w:spacing w:val="-3"/>
        </w:rPr>
        <w:t>强</w:t>
      </w:r>
      <w:r>
        <w:rPr>
          <w:rFonts w:ascii="Microsoft JhengHei" w:eastAsia="Microsoft JhengHei" w:hint="eastAsia"/>
        </w:rPr>
        <w:t>制</w:t>
      </w:r>
      <w:r>
        <w:rPr>
          <w:rFonts w:ascii="Microsoft JhengHei" w:eastAsia="Microsoft JhengHei" w:hint="eastAsia"/>
          <w:spacing w:val="-3"/>
        </w:rPr>
        <w:t>措</w:t>
      </w:r>
      <w:r>
        <w:rPr>
          <w:rFonts w:ascii="Microsoft JhengHei" w:eastAsia="Microsoft JhengHei" w:hint="eastAsia"/>
        </w:rPr>
        <w:t>施； 三、</w:t>
        <w:tab/>
        <w:t>被保</w:t>
      </w:r>
      <w:r>
        <w:rPr>
          <w:rFonts w:ascii="Microsoft JhengHei" w:eastAsia="Microsoft JhengHei" w:hint="eastAsia"/>
          <w:spacing w:val="-3"/>
        </w:rPr>
        <w:t>险</w:t>
      </w:r>
      <w:r>
        <w:rPr>
          <w:rFonts w:ascii="Microsoft JhengHei" w:eastAsia="Microsoft JhengHei" w:hint="eastAsia"/>
        </w:rPr>
        <w:t>人</w:t>
      </w:r>
      <w:r>
        <w:rPr>
          <w:rFonts w:ascii="Microsoft JhengHei" w:eastAsia="Microsoft JhengHei" w:hint="eastAsia"/>
          <w:spacing w:val="-3"/>
        </w:rPr>
        <w:t>主</w:t>
      </w:r>
      <w:r>
        <w:rPr>
          <w:rFonts w:ascii="Microsoft JhengHei" w:eastAsia="Microsoft JhengHei" w:hint="eastAsia"/>
        </w:rPr>
        <w:t>动吸</w:t>
      </w:r>
      <w:r>
        <w:rPr>
          <w:rFonts w:ascii="Microsoft JhengHei" w:eastAsia="Microsoft JhengHei" w:hint="eastAsia"/>
          <w:spacing w:val="-3"/>
        </w:rPr>
        <w:t>食</w:t>
      </w:r>
      <w:r>
        <w:rPr>
          <w:rFonts w:ascii="Microsoft JhengHei" w:eastAsia="Microsoft JhengHei" w:hint="eastAsia"/>
        </w:rPr>
        <w:t>或注</w:t>
      </w:r>
      <w:r>
        <w:rPr>
          <w:rFonts w:ascii="Microsoft JhengHei" w:eastAsia="Microsoft JhengHei" w:hint="eastAsia"/>
          <w:spacing w:val="-3"/>
        </w:rPr>
        <w:t>射</w:t>
      </w:r>
      <w:r>
        <w:rPr>
          <w:rFonts w:ascii="Microsoft JhengHei" w:eastAsia="Microsoft JhengHei" w:hint="eastAsia"/>
          <w:spacing w:val="-149"/>
        </w:rPr>
        <w:t>毒</w:t>
      </w:r>
      <w:r>
        <w:rPr>
          <w:rFonts w:ascii="宋体" w:eastAsia="宋体" w:hint="eastAsia"/>
          <w:b w:val="0"/>
          <w:spacing w:val="-63"/>
          <w:position w:val="-7"/>
        </w:rPr>
        <w:t>．</w:t>
      </w:r>
      <w:r>
        <w:rPr>
          <w:rFonts w:ascii="Microsoft JhengHei" w:eastAsia="Microsoft JhengHei" w:hint="eastAsia"/>
          <w:spacing w:val="-3"/>
        </w:rPr>
        <w:t>品</w:t>
      </w:r>
      <w:r>
        <w:rPr>
          <w:rFonts w:ascii="Microsoft JhengHei" w:eastAsia="Microsoft JhengHei" w:hint="eastAsia"/>
          <w:position w:val="11"/>
          <w:sz w:val="11"/>
        </w:rPr>
        <w:t>8</w:t>
      </w:r>
      <w:r>
        <w:rPr>
          <w:rFonts w:ascii="Microsoft JhengHei" w:eastAsia="Microsoft JhengHei" w:hint="eastAsia"/>
        </w:rPr>
        <w:t>；</w:t>
      </w:r>
    </w:p>
    <w:p>
      <w:pPr>
        <w:tabs>
          <w:tab w:pos="1278" w:val="left" w:leader="none"/>
        </w:tabs>
        <w:spacing w:line="180" w:lineRule="exact" w:before="2"/>
        <w:ind w:left="647" w:right="0" w:firstLine="0"/>
        <w:jc w:val="left"/>
        <w:rPr>
          <w:rFonts w:ascii="Microsoft JhengHei" w:eastAsia="Microsoft JhengHei" w:hint="eastAsia"/>
          <w:b/>
          <w:sz w:val="21"/>
        </w:rPr>
      </w:pPr>
      <w:r>
        <w:rPr>
          <w:rFonts w:ascii="Microsoft JhengHei" w:eastAsia="Microsoft JhengHei" w:hint="eastAsia"/>
          <w:b/>
          <w:sz w:val="21"/>
        </w:rPr>
        <w:t>四、</w:t>
        <w:tab/>
      </w:r>
      <w:r>
        <w:rPr>
          <w:rFonts w:ascii="Microsoft JhengHei" w:eastAsia="Microsoft JhengHei" w:hint="eastAsia"/>
          <w:b/>
          <w:w w:val="95"/>
          <w:sz w:val="21"/>
        </w:rPr>
        <w:t>被保</w:t>
      </w:r>
      <w:r>
        <w:rPr>
          <w:rFonts w:ascii="Microsoft JhengHei" w:eastAsia="Microsoft JhengHei" w:hint="eastAsia"/>
          <w:b/>
          <w:spacing w:val="-3"/>
          <w:w w:val="95"/>
          <w:sz w:val="21"/>
        </w:rPr>
        <w:t>险</w:t>
      </w:r>
      <w:r>
        <w:rPr>
          <w:rFonts w:ascii="Microsoft JhengHei" w:eastAsia="Microsoft JhengHei" w:hint="eastAsia"/>
          <w:b/>
          <w:w w:val="95"/>
          <w:sz w:val="21"/>
        </w:rPr>
        <w:t>人</w:t>
      </w:r>
      <w:r>
        <w:rPr>
          <w:rFonts w:ascii="Microsoft JhengHei" w:eastAsia="Microsoft JhengHei" w:hint="eastAsia"/>
          <w:b/>
          <w:spacing w:val="-3"/>
          <w:w w:val="95"/>
          <w:sz w:val="21"/>
        </w:rPr>
        <w:t>酒</w:t>
      </w:r>
      <w:r>
        <w:rPr>
          <w:rFonts w:ascii="Microsoft JhengHei" w:eastAsia="Microsoft JhengHei" w:hint="eastAsia"/>
          <w:b/>
          <w:w w:val="95"/>
          <w:sz w:val="21"/>
        </w:rPr>
        <w:t>后驾</w:t>
      </w:r>
      <w:r>
        <w:rPr>
          <w:rFonts w:ascii="Microsoft JhengHei" w:eastAsia="Microsoft JhengHei" w:hint="eastAsia"/>
          <w:b/>
          <w:spacing w:val="-3"/>
          <w:w w:val="95"/>
          <w:sz w:val="21"/>
        </w:rPr>
        <w:t>驶</w:t>
      </w:r>
      <w:r>
        <w:rPr>
          <w:rFonts w:ascii="Microsoft JhengHei" w:eastAsia="Microsoft JhengHei" w:hint="eastAsia"/>
          <w:b/>
          <w:w w:val="95"/>
          <w:position w:val="11"/>
          <w:sz w:val="11"/>
        </w:rPr>
        <w:t>9</w:t>
      </w:r>
      <w:r>
        <w:rPr>
          <w:rFonts w:ascii="Microsoft JhengHei" w:eastAsia="Microsoft JhengHei" w:hint="eastAsia"/>
          <w:b/>
          <w:w w:val="95"/>
          <w:sz w:val="21"/>
        </w:rPr>
        <w:t>，无</w:t>
      </w:r>
      <w:r>
        <w:rPr>
          <w:rFonts w:ascii="Microsoft JhengHei" w:eastAsia="Microsoft JhengHei" w:hint="eastAsia"/>
          <w:b/>
          <w:spacing w:val="-3"/>
          <w:w w:val="95"/>
          <w:sz w:val="21"/>
        </w:rPr>
        <w:t>合</w:t>
      </w:r>
      <w:r>
        <w:rPr>
          <w:rFonts w:ascii="Microsoft JhengHei" w:eastAsia="Microsoft JhengHei" w:hint="eastAsia"/>
          <w:b/>
          <w:w w:val="95"/>
          <w:sz w:val="21"/>
        </w:rPr>
        <w:t>法有</w:t>
      </w:r>
      <w:r>
        <w:rPr>
          <w:rFonts w:ascii="Microsoft JhengHei" w:eastAsia="Microsoft JhengHei" w:hint="eastAsia"/>
          <w:b/>
          <w:spacing w:val="-3"/>
          <w:w w:val="95"/>
          <w:sz w:val="21"/>
        </w:rPr>
        <w:t>效</w:t>
      </w:r>
      <w:r>
        <w:rPr>
          <w:rFonts w:ascii="Microsoft JhengHei" w:eastAsia="Microsoft JhengHei" w:hint="eastAsia"/>
          <w:b/>
          <w:w w:val="95"/>
          <w:sz w:val="21"/>
        </w:rPr>
        <w:t>驾</w:t>
      </w:r>
      <w:r>
        <w:rPr>
          <w:rFonts w:ascii="Microsoft JhengHei" w:eastAsia="Microsoft JhengHei" w:hint="eastAsia"/>
          <w:b/>
          <w:spacing w:val="-3"/>
          <w:w w:val="95"/>
          <w:sz w:val="21"/>
        </w:rPr>
        <w:t>驶</w:t>
      </w:r>
      <w:r>
        <w:rPr>
          <w:rFonts w:ascii="Microsoft JhengHei" w:eastAsia="Microsoft JhengHei" w:hint="eastAsia"/>
          <w:b/>
          <w:w w:val="95"/>
          <w:sz w:val="21"/>
        </w:rPr>
        <w:t>证驾</w:t>
      </w:r>
      <w:r>
        <w:rPr>
          <w:rFonts w:ascii="Microsoft JhengHei" w:eastAsia="Microsoft JhengHei" w:hint="eastAsia"/>
          <w:b/>
          <w:spacing w:val="-3"/>
          <w:w w:val="95"/>
          <w:sz w:val="21"/>
        </w:rPr>
        <w:t>驶</w:t>
      </w:r>
      <w:r>
        <w:rPr>
          <w:rFonts w:ascii="Microsoft JhengHei" w:eastAsia="Microsoft JhengHei" w:hint="eastAsia"/>
          <w:b/>
          <w:w w:val="95"/>
          <w:position w:val="11"/>
          <w:sz w:val="11"/>
        </w:rPr>
        <w:t>10</w:t>
      </w:r>
      <w:r>
        <w:rPr>
          <w:rFonts w:ascii="Microsoft JhengHei" w:eastAsia="Microsoft JhengHei" w:hint="eastAsia"/>
          <w:b/>
          <w:w w:val="95"/>
          <w:sz w:val="21"/>
        </w:rPr>
        <w:t>，或</w:t>
      </w:r>
      <w:r>
        <w:rPr>
          <w:rFonts w:ascii="Microsoft JhengHei" w:eastAsia="Microsoft JhengHei" w:hint="eastAsia"/>
          <w:b/>
          <w:spacing w:val="-3"/>
          <w:w w:val="95"/>
          <w:sz w:val="21"/>
        </w:rPr>
        <w:t>驾</w:t>
      </w:r>
      <w:r>
        <w:rPr>
          <w:rFonts w:ascii="Microsoft JhengHei" w:eastAsia="Microsoft JhengHei" w:hint="eastAsia"/>
          <w:b/>
          <w:w w:val="95"/>
          <w:sz w:val="21"/>
        </w:rPr>
        <w:t>驶无</w:t>
      </w:r>
      <w:r>
        <w:rPr>
          <w:rFonts w:ascii="Microsoft JhengHei" w:eastAsia="Microsoft JhengHei" w:hint="eastAsia"/>
          <w:b/>
          <w:spacing w:val="-3"/>
          <w:w w:val="95"/>
          <w:sz w:val="21"/>
        </w:rPr>
        <w:t>有</w:t>
      </w:r>
      <w:r>
        <w:rPr>
          <w:rFonts w:ascii="Microsoft JhengHei" w:eastAsia="Microsoft JhengHei" w:hint="eastAsia"/>
          <w:b/>
          <w:w w:val="95"/>
          <w:sz w:val="21"/>
        </w:rPr>
        <w:t>效</w:t>
      </w:r>
      <w:r>
        <w:rPr>
          <w:rFonts w:ascii="Microsoft JhengHei" w:eastAsia="Microsoft JhengHei" w:hint="eastAsia"/>
          <w:b/>
          <w:spacing w:val="-3"/>
          <w:w w:val="95"/>
          <w:sz w:val="21"/>
        </w:rPr>
        <w:t>行</w:t>
      </w:r>
      <w:r>
        <w:rPr>
          <w:rFonts w:ascii="Microsoft JhengHei" w:eastAsia="Microsoft JhengHei" w:hint="eastAsia"/>
          <w:b/>
          <w:w w:val="95"/>
          <w:sz w:val="21"/>
        </w:rPr>
        <w:t>驶</w:t>
      </w:r>
      <w:r>
        <w:rPr>
          <w:rFonts w:ascii="Microsoft JhengHei" w:eastAsia="Microsoft JhengHei" w:hint="eastAsia"/>
          <w:b/>
          <w:spacing w:val="-3"/>
          <w:w w:val="95"/>
          <w:sz w:val="21"/>
        </w:rPr>
        <w:t>证</w:t>
      </w:r>
      <w:r>
        <w:rPr>
          <w:rFonts w:ascii="Microsoft JhengHei" w:eastAsia="Microsoft JhengHei" w:hint="eastAsia"/>
          <w:b/>
          <w:w w:val="95"/>
          <w:position w:val="11"/>
          <w:sz w:val="11"/>
        </w:rPr>
        <w:t>11</w:t>
      </w:r>
      <w:r>
        <w:rPr>
          <w:rFonts w:ascii="Microsoft JhengHei" w:eastAsia="Microsoft JhengHei" w:hint="eastAsia"/>
          <w:b/>
          <w:w w:val="95"/>
          <w:sz w:val="21"/>
        </w:rPr>
        <w:t>的机动</w:t>
      </w:r>
      <w:r>
        <w:rPr>
          <w:rFonts w:ascii="Microsoft JhengHei" w:eastAsia="Microsoft JhengHei" w:hint="eastAsia"/>
          <w:b/>
          <w:spacing w:val="-3"/>
          <w:w w:val="95"/>
          <w:sz w:val="21"/>
        </w:rPr>
        <w:t>车</w:t>
      </w:r>
      <w:r>
        <w:rPr>
          <w:rFonts w:ascii="Microsoft JhengHei" w:eastAsia="Microsoft JhengHei" w:hint="eastAsia"/>
          <w:b/>
          <w:w w:val="95"/>
          <w:sz w:val="21"/>
        </w:rPr>
        <w:t>；</w:t>
      </w:r>
    </w:p>
    <w:p>
      <w:pPr>
        <w:spacing w:after="0" w:line="180" w:lineRule="exact"/>
        <w:jc w:val="left"/>
        <w:rPr>
          <w:rFonts w:ascii="Microsoft JhengHei" w:eastAsia="Microsoft JhengHei" w:hint="eastAsia"/>
          <w:sz w:val="21"/>
        </w:rPr>
        <w:sectPr>
          <w:type w:val="continuous"/>
          <w:pgSz w:w="11900" w:h="16840"/>
          <w:pgMar w:top="1060" w:bottom="280" w:left="920" w:right="920"/>
        </w:sectPr>
      </w:pPr>
    </w:p>
    <w:p>
      <w:pPr>
        <w:pStyle w:val="BodyText"/>
        <w:spacing w:line="211" w:lineRule="exact"/>
        <w:ind w:left="0"/>
        <w:jc w:val="right"/>
      </w:pPr>
      <w:r>
        <w:rPr/>
        <w:t>．．．．</w:t>
      </w:r>
    </w:p>
    <w:p>
      <w:pPr>
        <w:pStyle w:val="BodyText"/>
        <w:spacing w:line="211" w:lineRule="exact"/>
        <w:ind w:left="228"/>
      </w:pPr>
      <w:r>
        <w:rPr/>
        <w:br w:type="column"/>
      </w:r>
      <w:r>
        <w:rPr/>
        <w:t>．．．．．．．．．．</w:t>
      </w:r>
    </w:p>
    <w:p>
      <w:pPr>
        <w:pStyle w:val="BodyText"/>
        <w:spacing w:line="211" w:lineRule="exact"/>
        <w:ind w:left="917"/>
      </w:pPr>
      <w:r>
        <w:rPr/>
        <w:br w:type="column"/>
      </w:r>
      <w:r>
        <w:rPr/>
        <w:t>．．．．．．</w:t>
      </w:r>
    </w:p>
    <w:p>
      <w:pPr>
        <w:spacing w:after="0" w:line="211" w:lineRule="exact"/>
        <w:sectPr>
          <w:type w:val="continuous"/>
          <w:pgSz w:w="11900" w:h="16840"/>
          <w:pgMar w:top="1060" w:bottom="280" w:left="920" w:right="920"/>
          <w:cols w:num="3" w:equalWidth="0">
            <w:col w:w="3024" w:space="40"/>
            <w:col w:w="2332" w:space="39"/>
            <w:col w:w="4625"/>
          </w:cols>
        </w:sectPr>
      </w:pPr>
    </w:p>
    <w:p>
      <w:pPr>
        <w:tabs>
          <w:tab w:pos="1278" w:val="left" w:leader="none"/>
        </w:tabs>
        <w:spacing w:line="213" w:lineRule="auto" w:before="0"/>
        <w:ind w:left="647" w:right="5088" w:firstLine="0"/>
        <w:jc w:val="left"/>
        <w:rPr>
          <w:rFonts w:ascii="Microsoft JhengHei" w:eastAsia="Microsoft JhengHei" w:hint="eastAsia"/>
          <w:b/>
          <w:sz w:val="21"/>
        </w:rPr>
      </w:pPr>
      <w:r>
        <w:rPr/>
        <w:pict>
          <v:shape style="position:absolute;margin-left:270.719818pt;margin-top:8.907724pt;width:10.6pt;height:10.6pt;mso-position-horizontal-relative:page;mso-position-vertical-relative:paragraph;z-index:-23056" type="#_x0000_t202" filled="false" stroked="false">
            <v:textbox inset="0,0,0,0">
              <w:txbxContent>
                <w:p>
                  <w:pPr>
                    <w:pStyle w:val="BodyText"/>
                    <w:spacing w:line="211" w:lineRule="exact"/>
                    <w:ind w:left="0"/>
                  </w:pPr>
                  <w:r>
                    <w:rPr>
                      <w:w w:val="100"/>
                    </w:rPr>
                    <w:t>．</w:t>
                  </w:r>
                </w:p>
              </w:txbxContent>
            </v:textbox>
            <w10:wrap type="none"/>
          </v:shape>
        </w:pict>
      </w:r>
      <w:r>
        <w:rPr>
          <w:rFonts w:ascii="Microsoft JhengHei" w:eastAsia="Microsoft JhengHei" w:hint="eastAsia"/>
          <w:b/>
          <w:sz w:val="21"/>
        </w:rPr>
        <w:t>五、</w:t>
        <w:tab/>
        <w:t>被保</w:t>
      </w:r>
      <w:r>
        <w:rPr>
          <w:rFonts w:ascii="Microsoft JhengHei" w:eastAsia="Microsoft JhengHei" w:hint="eastAsia"/>
          <w:b/>
          <w:spacing w:val="-3"/>
          <w:sz w:val="21"/>
        </w:rPr>
        <w:t>险</w:t>
      </w:r>
      <w:r>
        <w:rPr>
          <w:rFonts w:ascii="Microsoft JhengHei" w:eastAsia="Microsoft JhengHei" w:hint="eastAsia"/>
          <w:b/>
          <w:sz w:val="21"/>
        </w:rPr>
        <w:t>人</w:t>
      </w:r>
      <w:r>
        <w:rPr>
          <w:rFonts w:ascii="Microsoft JhengHei" w:eastAsia="Microsoft JhengHei" w:hint="eastAsia"/>
          <w:b/>
          <w:spacing w:val="-152"/>
          <w:sz w:val="21"/>
        </w:rPr>
        <w:t>感</w:t>
      </w:r>
      <w:r>
        <w:rPr>
          <w:spacing w:val="-63"/>
          <w:position w:val="-7"/>
          <w:sz w:val="21"/>
        </w:rPr>
        <w:t>．</w:t>
      </w:r>
      <w:r>
        <w:rPr>
          <w:rFonts w:ascii="Microsoft JhengHei" w:eastAsia="Microsoft JhengHei" w:hint="eastAsia"/>
          <w:b/>
          <w:spacing w:val="-149"/>
          <w:sz w:val="21"/>
        </w:rPr>
        <w:t>染</w:t>
      </w:r>
      <w:r>
        <w:rPr>
          <w:spacing w:val="-63"/>
          <w:position w:val="-7"/>
          <w:sz w:val="21"/>
        </w:rPr>
        <w:t>．</w:t>
      </w:r>
      <w:r>
        <w:rPr>
          <w:rFonts w:ascii="Microsoft JhengHei" w:eastAsia="Microsoft JhengHei" w:hint="eastAsia"/>
          <w:b/>
          <w:spacing w:val="-149"/>
          <w:sz w:val="21"/>
        </w:rPr>
        <w:t>艾</w:t>
      </w:r>
      <w:r>
        <w:rPr>
          <w:spacing w:val="-63"/>
          <w:position w:val="-7"/>
          <w:sz w:val="21"/>
        </w:rPr>
        <w:t>．</w:t>
      </w:r>
      <w:r>
        <w:rPr>
          <w:rFonts w:ascii="Microsoft JhengHei" w:eastAsia="Microsoft JhengHei" w:hint="eastAsia"/>
          <w:b/>
          <w:spacing w:val="-152"/>
          <w:sz w:val="21"/>
        </w:rPr>
        <w:t>滋</w:t>
      </w:r>
      <w:r>
        <w:rPr>
          <w:spacing w:val="-63"/>
          <w:position w:val="-7"/>
          <w:sz w:val="21"/>
        </w:rPr>
        <w:t>．</w:t>
      </w:r>
      <w:r>
        <w:rPr>
          <w:rFonts w:ascii="Microsoft JhengHei" w:eastAsia="Microsoft JhengHei" w:hint="eastAsia"/>
          <w:b/>
          <w:spacing w:val="-149"/>
          <w:sz w:val="21"/>
        </w:rPr>
        <w:t>病</w:t>
      </w:r>
      <w:r>
        <w:rPr>
          <w:spacing w:val="-63"/>
          <w:position w:val="-7"/>
          <w:sz w:val="21"/>
        </w:rPr>
        <w:t>．</w:t>
      </w:r>
      <w:r>
        <w:rPr>
          <w:rFonts w:ascii="Microsoft JhengHei" w:eastAsia="Microsoft JhengHei" w:hint="eastAsia"/>
          <w:b/>
          <w:spacing w:val="-149"/>
          <w:sz w:val="21"/>
        </w:rPr>
        <w:t>病</w:t>
      </w:r>
      <w:r>
        <w:rPr>
          <w:spacing w:val="-63"/>
          <w:position w:val="-7"/>
          <w:sz w:val="21"/>
        </w:rPr>
        <w:t>．</w:t>
      </w:r>
      <w:r>
        <w:rPr>
          <w:rFonts w:ascii="Microsoft JhengHei" w:eastAsia="Microsoft JhengHei" w:hint="eastAsia"/>
          <w:b/>
          <w:spacing w:val="-152"/>
          <w:sz w:val="21"/>
        </w:rPr>
        <w:t>毒</w:t>
      </w:r>
      <w:r>
        <w:rPr>
          <w:spacing w:val="-63"/>
          <w:position w:val="-7"/>
          <w:sz w:val="21"/>
        </w:rPr>
        <w:t>．</w:t>
      </w:r>
      <w:r>
        <w:rPr>
          <w:rFonts w:ascii="Microsoft JhengHei" w:eastAsia="Microsoft JhengHei" w:hint="eastAsia"/>
          <w:b/>
          <w:spacing w:val="-149"/>
          <w:sz w:val="21"/>
        </w:rPr>
        <w:t>或</w:t>
      </w:r>
      <w:r>
        <w:rPr>
          <w:spacing w:val="-63"/>
          <w:position w:val="-7"/>
          <w:sz w:val="21"/>
        </w:rPr>
        <w:t>．</w:t>
      </w:r>
      <w:r>
        <w:rPr>
          <w:rFonts w:ascii="Microsoft JhengHei" w:eastAsia="Microsoft JhengHei" w:hint="eastAsia"/>
          <w:b/>
          <w:spacing w:val="-149"/>
          <w:sz w:val="21"/>
        </w:rPr>
        <w:t>患</w:t>
      </w:r>
      <w:r>
        <w:rPr>
          <w:spacing w:val="-63"/>
          <w:position w:val="-7"/>
          <w:sz w:val="21"/>
        </w:rPr>
        <w:t>．</w:t>
      </w:r>
      <w:r>
        <w:rPr>
          <w:rFonts w:ascii="Microsoft JhengHei" w:eastAsia="Microsoft JhengHei" w:hint="eastAsia"/>
          <w:b/>
          <w:spacing w:val="-152"/>
          <w:sz w:val="21"/>
        </w:rPr>
        <w:t>艾</w:t>
      </w:r>
      <w:r>
        <w:rPr>
          <w:spacing w:val="-63"/>
          <w:position w:val="-7"/>
          <w:sz w:val="21"/>
        </w:rPr>
        <w:t>．</w:t>
      </w:r>
      <w:r>
        <w:rPr>
          <w:rFonts w:ascii="Microsoft JhengHei" w:eastAsia="Microsoft JhengHei" w:hint="eastAsia"/>
          <w:b/>
          <w:spacing w:val="-149"/>
          <w:sz w:val="21"/>
        </w:rPr>
        <w:t>滋</w:t>
      </w:r>
      <w:r>
        <w:rPr>
          <w:spacing w:val="-63"/>
          <w:position w:val="-7"/>
          <w:sz w:val="21"/>
        </w:rPr>
        <w:t>．</w:t>
      </w:r>
      <w:r>
        <w:rPr>
          <w:rFonts w:ascii="Microsoft JhengHei" w:eastAsia="Microsoft JhengHei" w:hint="eastAsia"/>
          <w:b/>
          <w:spacing w:val="-3"/>
          <w:sz w:val="21"/>
        </w:rPr>
        <w:t>病</w:t>
      </w:r>
      <w:r>
        <w:rPr>
          <w:rFonts w:ascii="Microsoft JhengHei" w:eastAsia="Microsoft JhengHei" w:hint="eastAsia"/>
          <w:b/>
          <w:position w:val="11"/>
          <w:sz w:val="11"/>
        </w:rPr>
        <w:t>12</w:t>
      </w:r>
      <w:r>
        <w:rPr>
          <w:rFonts w:ascii="Microsoft JhengHei" w:eastAsia="Microsoft JhengHei" w:hint="eastAsia"/>
          <w:b/>
          <w:sz w:val="21"/>
        </w:rPr>
        <w:t>； 六、</w:t>
        <w:tab/>
        <w:t>战争</w:t>
      </w:r>
      <w:r>
        <w:rPr>
          <w:rFonts w:ascii="Microsoft JhengHei" w:eastAsia="Microsoft JhengHei" w:hint="eastAsia"/>
          <w:b/>
          <w:spacing w:val="-3"/>
          <w:sz w:val="21"/>
        </w:rPr>
        <w:t>、</w:t>
      </w:r>
      <w:r>
        <w:rPr>
          <w:rFonts w:ascii="Microsoft JhengHei" w:eastAsia="Microsoft JhengHei" w:hint="eastAsia"/>
          <w:b/>
          <w:sz w:val="21"/>
        </w:rPr>
        <w:t>军</w:t>
      </w:r>
      <w:r>
        <w:rPr>
          <w:rFonts w:ascii="Microsoft JhengHei" w:eastAsia="Microsoft JhengHei" w:hint="eastAsia"/>
          <w:b/>
          <w:spacing w:val="-3"/>
          <w:sz w:val="21"/>
        </w:rPr>
        <w:t>事</w:t>
      </w:r>
      <w:r>
        <w:rPr>
          <w:rFonts w:ascii="Microsoft JhengHei" w:eastAsia="Microsoft JhengHei" w:hint="eastAsia"/>
          <w:b/>
          <w:sz w:val="21"/>
        </w:rPr>
        <w:t>冲突</w:t>
      </w:r>
      <w:r>
        <w:rPr>
          <w:rFonts w:ascii="Microsoft JhengHei" w:eastAsia="Microsoft JhengHei" w:hint="eastAsia"/>
          <w:b/>
          <w:spacing w:val="-3"/>
          <w:sz w:val="21"/>
        </w:rPr>
        <w:t>、</w:t>
      </w:r>
      <w:r>
        <w:rPr>
          <w:rFonts w:ascii="Microsoft JhengHei" w:eastAsia="Microsoft JhengHei" w:hint="eastAsia"/>
          <w:b/>
          <w:sz w:val="21"/>
        </w:rPr>
        <w:t>暴乱</w:t>
      </w:r>
      <w:r>
        <w:rPr>
          <w:rFonts w:ascii="Microsoft JhengHei" w:eastAsia="Microsoft JhengHei" w:hint="eastAsia"/>
          <w:b/>
          <w:spacing w:val="-3"/>
          <w:sz w:val="21"/>
        </w:rPr>
        <w:t>或</w:t>
      </w:r>
      <w:r>
        <w:rPr>
          <w:rFonts w:ascii="Microsoft JhengHei" w:eastAsia="Microsoft JhengHei" w:hint="eastAsia"/>
          <w:b/>
          <w:sz w:val="21"/>
        </w:rPr>
        <w:t>武装</w:t>
      </w:r>
      <w:r>
        <w:rPr>
          <w:rFonts w:ascii="Microsoft JhengHei" w:eastAsia="Microsoft JhengHei" w:hint="eastAsia"/>
          <w:b/>
          <w:spacing w:val="-3"/>
          <w:sz w:val="21"/>
        </w:rPr>
        <w:t>叛</w:t>
      </w:r>
      <w:r>
        <w:rPr>
          <w:rFonts w:ascii="Microsoft JhengHei" w:eastAsia="Microsoft JhengHei" w:hint="eastAsia"/>
          <w:b/>
          <w:sz w:val="21"/>
        </w:rPr>
        <w:t>乱；</w:t>
      </w:r>
    </w:p>
    <w:p>
      <w:pPr>
        <w:pStyle w:val="Heading3"/>
        <w:tabs>
          <w:tab w:pos="1278" w:val="left" w:leader="none"/>
        </w:tabs>
        <w:spacing w:line="286" w:lineRule="exact" w:before="10"/>
        <w:ind w:left="647"/>
        <w:rPr>
          <w:rFonts w:ascii="Microsoft JhengHei" w:eastAsia="Microsoft JhengHei" w:hint="eastAsia"/>
        </w:rPr>
      </w:pPr>
      <w:r>
        <w:rPr>
          <w:rFonts w:ascii="Microsoft JhengHei" w:eastAsia="Microsoft JhengHei" w:hint="eastAsia"/>
        </w:rPr>
        <w:t>七、</w:t>
        <w:tab/>
        <w:t>核爆</w:t>
      </w:r>
      <w:r>
        <w:rPr>
          <w:rFonts w:ascii="Microsoft JhengHei" w:eastAsia="Microsoft JhengHei" w:hint="eastAsia"/>
          <w:spacing w:val="-3"/>
        </w:rPr>
        <w:t>炸</w:t>
      </w:r>
      <w:r>
        <w:rPr>
          <w:rFonts w:ascii="Microsoft JhengHei" w:eastAsia="Microsoft JhengHei" w:hint="eastAsia"/>
        </w:rPr>
        <w:t>、</w:t>
      </w:r>
      <w:r>
        <w:rPr>
          <w:rFonts w:ascii="Microsoft JhengHei" w:eastAsia="Microsoft JhengHei" w:hint="eastAsia"/>
          <w:spacing w:val="-3"/>
        </w:rPr>
        <w:t>核</w:t>
      </w:r>
      <w:r>
        <w:rPr>
          <w:rFonts w:ascii="Microsoft JhengHei" w:eastAsia="Microsoft JhengHei" w:hint="eastAsia"/>
        </w:rPr>
        <w:t>辐射</w:t>
      </w:r>
      <w:r>
        <w:rPr>
          <w:rFonts w:ascii="Microsoft JhengHei" w:eastAsia="Microsoft JhengHei" w:hint="eastAsia"/>
          <w:spacing w:val="-3"/>
        </w:rPr>
        <w:t>或</w:t>
      </w:r>
      <w:r>
        <w:rPr>
          <w:rFonts w:ascii="Microsoft JhengHei" w:eastAsia="Microsoft JhengHei" w:hint="eastAsia"/>
        </w:rPr>
        <w:t>核污</w:t>
      </w:r>
      <w:r>
        <w:rPr>
          <w:rFonts w:ascii="Microsoft JhengHei" w:eastAsia="Microsoft JhengHei" w:hint="eastAsia"/>
          <w:spacing w:val="-3"/>
        </w:rPr>
        <w:t>染</w:t>
      </w:r>
      <w:r>
        <w:rPr>
          <w:rFonts w:ascii="Microsoft JhengHei" w:eastAsia="Microsoft JhengHei" w:hint="eastAsia"/>
        </w:rPr>
        <w:t>；</w:t>
      </w:r>
    </w:p>
    <w:p>
      <w:pPr>
        <w:tabs>
          <w:tab w:pos="1278" w:val="left" w:leader="none"/>
        </w:tabs>
        <w:spacing w:line="187" w:lineRule="exact" w:before="0"/>
        <w:ind w:left="647" w:right="0" w:firstLine="0"/>
        <w:jc w:val="left"/>
        <w:rPr>
          <w:rFonts w:ascii="Microsoft JhengHei" w:eastAsia="Microsoft JhengHei" w:hint="eastAsia"/>
          <w:b/>
          <w:sz w:val="21"/>
        </w:rPr>
      </w:pPr>
      <w:r>
        <w:rPr>
          <w:rFonts w:ascii="Microsoft JhengHei" w:eastAsia="Microsoft JhengHei" w:hint="eastAsia"/>
          <w:b/>
          <w:sz w:val="21"/>
        </w:rPr>
        <w:t>八、</w:t>
        <w:tab/>
      </w:r>
      <w:r>
        <w:rPr>
          <w:rFonts w:ascii="Microsoft JhengHei" w:eastAsia="Microsoft JhengHei" w:hint="eastAsia"/>
          <w:b/>
          <w:w w:val="95"/>
          <w:sz w:val="21"/>
        </w:rPr>
        <w:t>遗传</w:t>
      </w:r>
      <w:r>
        <w:rPr>
          <w:rFonts w:ascii="Microsoft JhengHei" w:eastAsia="Microsoft JhengHei" w:hint="eastAsia"/>
          <w:b/>
          <w:spacing w:val="-3"/>
          <w:w w:val="95"/>
          <w:sz w:val="21"/>
        </w:rPr>
        <w:t>性</w:t>
      </w:r>
      <w:r>
        <w:rPr>
          <w:rFonts w:ascii="Microsoft JhengHei" w:eastAsia="Microsoft JhengHei" w:hint="eastAsia"/>
          <w:b/>
          <w:w w:val="95"/>
          <w:sz w:val="21"/>
        </w:rPr>
        <w:t>疾</w:t>
      </w:r>
      <w:r>
        <w:rPr>
          <w:rFonts w:ascii="Microsoft JhengHei" w:eastAsia="Microsoft JhengHei" w:hint="eastAsia"/>
          <w:b/>
          <w:spacing w:val="-3"/>
          <w:w w:val="95"/>
          <w:sz w:val="21"/>
        </w:rPr>
        <w:t>病</w:t>
      </w:r>
      <w:r>
        <w:rPr>
          <w:rFonts w:ascii="Microsoft JhengHei" w:eastAsia="Microsoft JhengHei" w:hint="eastAsia"/>
          <w:b/>
          <w:w w:val="95"/>
          <w:position w:val="11"/>
          <w:sz w:val="11"/>
        </w:rPr>
        <w:t>13</w:t>
      </w:r>
      <w:r>
        <w:rPr>
          <w:rFonts w:ascii="Microsoft JhengHei" w:eastAsia="Microsoft JhengHei" w:hint="eastAsia"/>
          <w:b/>
          <w:w w:val="95"/>
          <w:sz w:val="21"/>
        </w:rPr>
        <w:t>，先</w:t>
      </w:r>
      <w:r>
        <w:rPr>
          <w:rFonts w:ascii="Microsoft JhengHei" w:eastAsia="Microsoft JhengHei" w:hint="eastAsia"/>
          <w:b/>
          <w:spacing w:val="-3"/>
          <w:w w:val="95"/>
          <w:sz w:val="21"/>
        </w:rPr>
        <w:t>天</w:t>
      </w:r>
      <w:r>
        <w:rPr>
          <w:rFonts w:ascii="Microsoft JhengHei" w:eastAsia="Microsoft JhengHei" w:hint="eastAsia"/>
          <w:b/>
          <w:w w:val="95"/>
          <w:sz w:val="21"/>
        </w:rPr>
        <w:t>性畸</w:t>
      </w:r>
      <w:r>
        <w:rPr>
          <w:rFonts w:ascii="Microsoft JhengHei" w:eastAsia="Microsoft JhengHei" w:hint="eastAsia"/>
          <w:b/>
          <w:spacing w:val="-3"/>
          <w:w w:val="95"/>
          <w:sz w:val="21"/>
        </w:rPr>
        <w:t>形</w:t>
      </w:r>
      <w:r>
        <w:rPr>
          <w:rFonts w:ascii="Microsoft JhengHei" w:eastAsia="Microsoft JhengHei" w:hint="eastAsia"/>
          <w:b/>
          <w:w w:val="95"/>
          <w:sz w:val="21"/>
        </w:rPr>
        <w:t>、变</w:t>
      </w:r>
      <w:r>
        <w:rPr>
          <w:rFonts w:ascii="Microsoft JhengHei" w:eastAsia="Microsoft JhengHei" w:hint="eastAsia"/>
          <w:b/>
          <w:spacing w:val="-3"/>
          <w:w w:val="95"/>
          <w:sz w:val="21"/>
        </w:rPr>
        <w:t>形</w:t>
      </w:r>
      <w:r>
        <w:rPr>
          <w:rFonts w:ascii="Microsoft JhengHei" w:eastAsia="Microsoft JhengHei" w:hint="eastAsia"/>
          <w:b/>
          <w:w w:val="95"/>
          <w:sz w:val="21"/>
        </w:rPr>
        <w:t>或</w:t>
      </w:r>
      <w:r>
        <w:rPr>
          <w:rFonts w:ascii="Microsoft JhengHei" w:eastAsia="Microsoft JhengHei" w:hint="eastAsia"/>
          <w:b/>
          <w:spacing w:val="-3"/>
          <w:w w:val="95"/>
          <w:sz w:val="21"/>
        </w:rPr>
        <w:t>染</w:t>
      </w:r>
      <w:r>
        <w:rPr>
          <w:rFonts w:ascii="Microsoft JhengHei" w:eastAsia="Microsoft JhengHei" w:hint="eastAsia"/>
          <w:b/>
          <w:w w:val="95"/>
          <w:sz w:val="21"/>
        </w:rPr>
        <w:t>色体</w:t>
      </w:r>
      <w:r>
        <w:rPr>
          <w:rFonts w:ascii="Microsoft JhengHei" w:eastAsia="Microsoft JhengHei" w:hint="eastAsia"/>
          <w:b/>
          <w:spacing w:val="-3"/>
          <w:w w:val="95"/>
          <w:sz w:val="21"/>
        </w:rPr>
        <w:t>异</w:t>
      </w:r>
      <w:r>
        <w:rPr>
          <w:rFonts w:ascii="Microsoft JhengHei" w:eastAsia="Microsoft JhengHei" w:hint="eastAsia"/>
          <w:b/>
          <w:w w:val="95"/>
          <w:sz w:val="21"/>
        </w:rPr>
        <w:t>常</w:t>
      </w:r>
      <w:r>
        <w:rPr>
          <w:rFonts w:ascii="Microsoft JhengHei" w:eastAsia="Microsoft JhengHei" w:hint="eastAsia"/>
          <w:b/>
          <w:w w:val="95"/>
          <w:position w:val="11"/>
          <w:sz w:val="11"/>
        </w:rPr>
        <w:t>14</w:t>
      </w:r>
      <w:r>
        <w:rPr>
          <w:rFonts w:ascii="Microsoft JhengHei" w:eastAsia="Microsoft JhengHei" w:hint="eastAsia"/>
          <w:b/>
          <w:w w:val="95"/>
          <w:sz w:val="21"/>
        </w:rPr>
        <w:t>。</w:t>
      </w:r>
    </w:p>
    <w:p>
      <w:pPr>
        <w:pStyle w:val="BodyText"/>
        <w:tabs>
          <w:tab w:pos="2718" w:val="left" w:leader="none"/>
        </w:tabs>
        <w:spacing w:line="211" w:lineRule="exact"/>
        <w:ind w:left="1340"/>
      </w:pPr>
      <w:r>
        <w:rPr/>
        <w:t>．．．．．</w:t>
        <w:tab/>
        <w:t>．．．．．．．．．．．．．．</w:t>
      </w:r>
    </w:p>
    <w:p>
      <w:pPr>
        <w:pStyle w:val="Heading3"/>
        <w:spacing w:line="206" w:lineRule="auto" w:before="7"/>
        <w:ind w:right="204" w:firstLine="420"/>
        <w:rPr>
          <w:rFonts w:ascii="Microsoft JhengHei" w:eastAsia="Microsoft JhengHei" w:hint="eastAsia"/>
        </w:rPr>
      </w:pPr>
      <w:r>
        <w:rPr/>
        <w:pict>
          <v:shape style="position:absolute;margin-left:385.678772pt;margin-top:24.120863pt;width:10.6pt;height:10.6pt;mso-position-horizontal-relative:page;mso-position-vertical-relative:paragraph;z-index:-23032" type="#_x0000_t202" filled="false" stroked="false">
            <v:textbox inset="0,0,0,0">
              <w:txbxContent>
                <w:p>
                  <w:pPr>
                    <w:pStyle w:val="BodyText"/>
                    <w:spacing w:line="211" w:lineRule="exact"/>
                    <w:ind w:left="0"/>
                  </w:pPr>
                  <w:r>
                    <w:rPr>
                      <w:w w:val="100"/>
                    </w:rPr>
                    <w:t>．</w:t>
                  </w:r>
                </w:p>
              </w:txbxContent>
            </v:textbox>
            <w10:wrap type="none"/>
          </v:shape>
        </w:pict>
      </w:r>
      <w:r>
        <w:rPr>
          <w:rFonts w:ascii="Microsoft JhengHei" w:eastAsia="Microsoft JhengHei" w:hint="eastAsia"/>
          <w:w w:val="95"/>
        </w:rPr>
        <w:t>发Th</w:t>
      </w:r>
      <w:r>
        <w:rPr>
          <w:rFonts w:ascii="Microsoft JhengHei" w:eastAsia="Microsoft JhengHei" w:hint="eastAsia"/>
          <w:spacing w:val="-3"/>
          <w:w w:val="95"/>
        </w:rPr>
        <w:t>上述第一项情形导致被保险人发</w:t>
      </w:r>
      <w:r>
        <w:rPr>
          <w:rFonts w:ascii="Microsoft JhengHei" w:eastAsia="Microsoft JhengHei" w:hint="eastAsia"/>
          <w:w w:val="95"/>
        </w:rPr>
        <w:t>Th</w:t>
      </w:r>
      <w:r>
        <w:rPr>
          <w:rFonts w:ascii="Microsoft JhengHei" w:eastAsia="Microsoft JhengHei" w:hint="eastAsia"/>
          <w:spacing w:val="-7"/>
          <w:w w:val="95"/>
        </w:rPr>
        <w:t>重大疾病、特定重大疾病或轻症的，本附加合同效力终止，您     </w:t>
      </w:r>
      <w:r>
        <w:rPr>
          <w:rFonts w:ascii="Microsoft JhengHei" w:eastAsia="Microsoft JhengHei" w:hint="eastAsia"/>
          <w:spacing w:val="-6"/>
        </w:rPr>
        <w:t>已交足 </w:t>
      </w:r>
      <w:r>
        <w:rPr>
          <w:rFonts w:ascii="Microsoft JhengHei" w:eastAsia="Microsoft JhengHei" w:hint="eastAsia"/>
        </w:rPr>
        <w:t>2</w:t>
      </w:r>
      <w:r>
        <w:rPr>
          <w:rFonts w:ascii="Microsoft JhengHei" w:eastAsia="Microsoft JhengHei" w:hint="eastAsia"/>
          <w:spacing w:val="-3"/>
        </w:rPr>
        <w:t> 年以上保险费的，我们将向被保险人退还本附加合同的</w:t>
      </w:r>
      <w:r>
        <w:rPr>
          <w:rFonts w:ascii="Microsoft JhengHei" w:eastAsia="Microsoft JhengHei" w:hint="eastAsia"/>
          <w:spacing w:val="-149"/>
        </w:rPr>
        <w:t>现</w:t>
      </w:r>
      <w:r>
        <w:rPr>
          <w:rFonts w:ascii="宋体" w:eastAsia="宋体" w:hint="eastAsia"/>
          <w:b w:val="0"/>
          <w:spacing w:val="-63"/>
          <w:position w:val="-7"/>
        </w:rPr>
        <w:t>．</w:t>
      </w:r>
      <w:r>
        <w:rPr>
          <w:rFonts w:ascii="Microsoft JhengHei" w:eastAsia="Microsoft JhengHei" w:hint="eastAsia"/>
          <w:spacing w:val="-152"/>
        </w:rPr>
        <w:t>金</w:t>
      </w:r>
      <w:r>
        <w:rPr>
          <w:rFonts w:ascii="宋体" w:eastAsia="宋体" w:hint="eastAsia"/>
          <w:b w:val="0"/>
          <w:spacing w:val="-63"/>
          <w:position w:val="-7"/>
        </w:rPr>
        <w:t>．</w:t>
      </w:r>
      <w:r>
        <w:rPr>
          <w:rFonts w:ascii="Microsoft JhengHei" w:eastAsia="Microsoft JhengHei" w:hint="eastAsia"/>
          <w:spacing w:val="-149"/>
        </w:rPr>
        <w:t>价</w:t>
      </w:r>
      <w:r>
        <w:rPr>
          <w:rFonts w:ascii="宋体" w:eastAsia="宋体" w:hint="eastAsia"/>
          <w:b w:val="0"/>
          <w:spacing w:val="-63"/>
          <w:position w:val="-7"/>
        </w:rPr>
        <w:t>．</w:t>
      </w:r>
      <w:r>
        <w:rPr>
          <w:rFonts w:ascii="Microsoft JhengHei" w:eastAsia="Microsoft JhengHei" w:hint="eastAsia"/>
          <w:spacing w:val="-3"/>
        </w:rPr>
        <w:t>值</w:t>
      </w:r>
      <w:r>
        <w:rPr>
          <w:rFonts w:ascii="Microsoft JhengHei" w:eastAsia="Microsoft JhengHei" w:hint="eastAsia"/>
          <w:position w:val="11"/>
          <w:sz w:val="11"/>
        </w:rPr>
        <w:t>15</w:t>
      </w:r>
      <w:r>
        <w:rPr>
          <w:rFonts w:ascii="Microsoft JhengHei" w:eastAsia="Microsoft JhengHei" w:hint="eastAsia"/>
        </w:rPr>
        <w:t>。</w:t>
      </w:r>
    </w:p>
    <w:p>
      <w:pPr>
        <w:spacing w:line="204" w:lineRule="auto" w:before="17"/>
        <w:ind w:left="212" w:right="204" w:firstLine="420"/>
        <w:jc w:val="left"/>
        <w:rPr>
          <w:rFonts w:ascii="Microsoft JhengHei" w:eastAsia="Microsoft JhengHei" w:hint="eastAsia"/>
          <w:b/>
          <w:sz w:val="21"/>
        </w:rPr>
      </w:pPr>
      <w:r>
        <w:rPr>
          <w:rFonts w:ascii="Microsoft JhengHei" w:eastAsia="Microsoft JhengHei" w:hint="eastAsia"/>
          <w:b/>
          <w:w w:val="95"/>
          <w:sz w:val="21"/>
        </w:rPr>
        <w:t>发Th</w:t>
      </w:r>
      <w:r>
        <w:rPr>
          <w:rFonts w:ascii="Microsoft JhengHei" w:eastAsia="Microsoft JhengHei" w:hint="eastAsia"/>
          <w:b/>
          <w:spacing w:val="-3"/>
          <w:w w:val="95"/>
          <w:sz w:val="21"/>
        </w:rPr>
        <w:t>上述其他情形导致被保险人发</w:t>
      </w:r>
      <w:r>
        <w:rPr>
          <w:rFonts w:ascii="Microsoft JhengHei" w:eastAsia="Microsoft JhengHei" w:hint="eastAsia"/>
          <w:b/>
          <w:w w:val="95"/>
          <w:sz w:val="21"/>
        </w:rPr>
        <w:t>Th</w:t>
      </w:r>
      <w:r>
        <w:rPr>
          <w:rFonts w:ascii="Microsoft JhengHei" w:eastAsia="Microsoft JhengHei" w:hint="eastAsia"/>
          <w:b/>
          <w:spacing w:val="-7"/>
          <w:w w:val="95"/>
          <w:sz w:val="21"/>
        </w:rPr>
        <w:t>重大疾病、特定重大疾病或轻症的，本附加合同效力终止，我们     </w:t>
      </w:r>
      <w:r>
        <w:rPr>
          <w:rFonts w:ascii="Microsoft JhengHei" w:eastAsia="Microsoft JhengHei" w:hint="eastAsia"/>
          <w:b/>
          <w:spacing w:val="-4"/>
          <w:sz w:val="21"/>
        </w:rPr>
        <w:t>将向您退还本附加合同的现金价值。</w:t>
      </w:r>
    </w:p>
    <w:p>
      <w:pPr>
        <w:pStyle w:val="BodyText"/>
        <w:spacing w:before="14"/>
        <w:ind w:left="0"/>
        <w:rPr>
          <w:rFonts w:ascii="Microsoft JhengHei"/>
          <w:b/>
          <w:sz w:val="14"/>
        </w:rPr>
      </w:pPr>
    </w:p>
    <w:p>
      <w:pPr>
        <w:spacing w:before="0"/>
        <w:ind w:left="632" w:right="0" w:firstLine="0"/>
        <w:jc w:val="left"/>
        <w:rPr>
          <w:rFonts w:ascii="Microsoft JhengHei" w:eastAsia="Microsoft JhengHei" w:hint="eastAsia"/>
          <w:b/>
          <w:sz w:val="21"/>
        </w:rPr>
      </w:pPr>
      <w:r>
        <w:rPr>
          <w:rFonts w:ascii="Microsoft JhengHei" w:eastAsia="Microsoft JhengHei" w:hint="eastAsia"/>
          <w:b/>
          <w:sz w:val="21"/>
        </w:rPr>
        <w:t>特别提示您，本附加合同终止时，其所属主合同同时终止。</w:t>
      </w:r>
    </w:p>
    <w:p>
      <w:pPr>
        <w:spacing w:after="0"/>
        <w:jc w:val="left"/>
        <w:rPr>
          <w:rFonts w:ascii="Microsoft JhengHei" w:eastAsia="Microsoft JhengHei" w:hint="eastAsia"/>
          <w:sz w:val="21"/>
        </w:rPr>
        <w:sectPr>
          <w:type w:val="continuous"/>
          <w:pgSz w:w="11900" w:h="16840"/>
          <w:pgMar w:top="1060" w:bottom="280" w:left="920" w:right="920"/>
        </w:sectPr>
      </w:pPr>
    </w:p>
    <w:p>
      <w:pPr>
        <w:pStyle w:val="BodyText"/>
        <w:ind w:left="0"/>
        <w:rPr>
          <w:rFonts w:ascii="Microsoft JhengHei"/>
          <w:b/>
          <w:sz w:val="20"/>
        </w:rPr>
      </w:pPr>
    </w:p>
    <w:p>
      <w:pPr>
        <w:pStyle w:val="BodyText"/>
        <w:spacing w:before="7"/>
        <w:ind w:left="0"/>
        <w:rPr>
          <w:rFonts w:ascii="Microsoft JhengHei"/>
          <w:b/>
          <w:sz w:val="19"/>
        </w:rPr>
      </w:pPr>
    </w:p>
    <w:p>
      <w:pPr>
        <w:spacing w:line="458" w:lineRule="exact" w:before="0"/>
        <w:ind w:left="212" w:right="0" w:firstLine="0"/>
        <w:jc w:val="left"/>
        <w:rPr>
          <w:rFonts w:ascii="Microsoft JhengHei" w:eastAsia="Microsoft JhengHei" w:hint="eastAsia"/>
          <w:b/>
          <w:sz w:val="28"/>
        </w:rPr>
      </w:pPr>
      <w:r>
        <w:rPr>
          <w:rFonts w:ascii="MS UI Gothic" w:eastAsia="MS UI Gothic" w:hint="eastAsia"/>
          <w:w w:val="160"/>
          <w:sz w:val="32"/>
        </w:rPr>
        <w:t>0</w:t>
      </w:r>
      <w:r>
        <w:rPr>
          <w:rFonts w:ascii="MS UI Gothic" w:eastAsia="MS UI Gothic" w:hint="eastAsia"/>
          <w:spacing w:val="-76"/>
          <w:w w:val="160"/>
          <w:sz w:val="32"/>
        </w:rPr>
        <w:t> </w:t>
      </w:r>
      <w:r>
        <w:rPr>
          <w:rFonts w:ascii="Microsoft JhengHei" w:eastAsia="Microsoft JhengHei" w:hint="eastAsia"/>
          <w:b/>
          <w:w w:val="110"/>
          <w:sz w:val="28"/>
        </w:rPr>
        <w:t>一般条款</w:t>
      </w:r>
    </w:p>
    <w:p>
      <w:pPr>
        <w:pStyle w:val="BodyText"/>
        <w:spacing w:before="13"/>
        <w:ind w:left="0"/>
        <w:rPr>
          <w:rFonts w:ascii="Microsoft JhengHei"/>
          <w:b/>
          <w:sz w:val="5"/>
        </w:rPr>
      </w:pPr>
      <w:r>
        <w:rPr/>
        <w:pict>
          <v:line style="position:absolute;mso-position-horizontal-relative:page;mso-position-vertical-relative:paragraph;z-index:1288;mso-wrap-distance-left:0;mso-wrap-distance-right:0" from="51.239517pt,7.477818pt" to="543.959506pt,7.477818pt" stroked="true" strokeweight=".959531pt" strokecolor="#000000">
            <v:stroke dashstyle="solid"/>
            <w10:wrap type="topAndBottom"/>
          </v:line>
        </w:pict>
      </w:r>
    </w:p>
    <w:p>
      <w:pPr>
        <w:pStyle w:val="BodyText"/>
        <w:spacing w:before="13"/>
        <w:ind w:left="0"/>
        <w:rPr>
          <w:rFonts w:ascii="Microsoft JhengHei"/>
          <w:b/>
          <w:sz w:val="14"/>
        </w:rPr>
      </w:pPr>
    </w:p>
    <w:p>
      <w:pPr>
        <w:pStyle w:val="Heading2"/>
        <w:numPr>
          <w:ilvl w:val="1"/>
          <w:numId w:val="3"/>
        </w:numPr>
        <w:tabs>
          <w:tab w:pos="937" w:val="left" w:leader="none"/>
          <w:tab w:pos="938" w:val="left" w:leader="none"/>
          <w:tab w:pos="9879" w:val="left" w:leader="none"/>
        </w:tabs>
        <w:spacing w:line="368" w:lineRule="exact" w:before="0" w:after="0"/>
        <w:ind w:left="937" w:right="0" w:hanging="725"/>
        <w:jc w:val="left"/>
      </w:pPr>
      <w:r>
        <w:rPr>
          <w:shd w:fill="E6E6E6" w:color="auto" w:val="clear"/>
        </w:rPr>
        <w:t>保险费的交付及宽限期</w:t>
        <w:tab/>
      </w:r>
    </w:p>
    <w:p>
      <w:pPr>
        <w:pStyle w:val="BodyText"/>
        <w:spacing w:before="22"/>
        <w:ind w:left="632"/>
      </w:pPr>
      <w:r>
        <w:rPr/>
        <w:t>本附加合同的交费方式及交费期限同主合同。</w:t>
      </w:r>
    </w:p>
    <w:p>
      <w:pPr>
        <w:pStyle w:val="BodyText"/>
        <w:spacing w:before="84"/>
        <w:ind w:left="632"/>
      </w:pPr>
      <w:r>
        <w:rPr/>
        <w:t>续期保险费应按本附加合同约定的方法及日期交付。如到期未交付的，自保险费到期日当日 </w:t>
      </w:r>
      <w:r>
        <w:rPr>
          <w:rFonts w:ascii="Arial" w:eastAsia="Arial"/>
        </w:rPr>
        <w:t>24 </w:t>
      </w:r>
      <w:r>
        <w:rPr/>
        <w:t>时起</w:t>
      </w:r>
    </w:p>
    <w:p>
      <w:pPr>
        <w:pStyle w:val="BodyText"/>
        <w:spacing w:line="281" w:lineRule="exact" w:before="67"/>
      </w:pPr>
      <w:r>
        <w:rPr>
          <w:rFonts w:ascii="Arial" w:eastAsia="Arial"/>
        </w:rPr>
        <w:t>60 </w:t>
      </w:r>
      <w:r>
        <w:rPr/>
        <w:t>日为宽限期。</w:t>
      </w:r>
    </w:p>
    <w:p>
      <w:pPr>
        <w:pStyle w:val="BodyText"/>
        <w:spacing w:line="413" w:lineRule="exact"/>
        <w:ind w:left="632"/>
      </w:pPr>
      <w:r>
        <w:rPr/>
        <w:pict>
          <v:shape style="position:absolute;margin-left:218.039948pt;margin-top:10.154674pt;width:10.6pt;height:10.6pt;mso-position-horizontal-relative:page;mso-position-vertical-relative:paragraph;z-index:-22984" type="#_x0000_t202" filled="false" stroked="false">
            <v:textbox inset="0,0,0,0">
              <w:txbxContent>
                <w:p>
                  <w:pPr>
                    <w:pStyle w:val="BodyText"/>
                    <w:spacing w:line="211" w:lineRule="exact"/>
                    <w:ind w:left="0"/>
                  </w:pPr>
                  <w:r>
                    <w:rPr>
                      <w:w w:val="100"/>
                    </w:rPr>
                    <w:t>．</w:t>
                  </w:r>
                </w:p>
              </w:txbxContent>
            </v:textbox>
            <w10:wrap type="none"/>
          </v:shape>
        </w:pict>
      </w:r>
      <w:r>
        <w:rPr/>
        <w:t>宽限期内被保险人发生</w:t>
      </w:r>
      <w:r>
        <w:rPr>
          <w:rFonts w:ascii="Microsoft JhengHei" w:eastAsia="Microsoft JhengHei" w:hint="eastAsia"/>
          <w:b/>
          <w:spacing w:val="-149"/>
        </w:rPr>
        <w:t>保</w:t>
      </w:r>
      <w:r>
        <w:rPr>
          <w:spacing w:val="-63"/>
          <w:position w:val="-7"/>
        </w:rPr>
        <w:t>．</w:t>
      </w:r>
      <w:r>
        <w:rPr>
          <w:rFonts w:ascii="Microsoft JhengHei" w:eastAsia="Microsoft JhengHei" w:hint="eastAsia"/>
          <w:b/>
          <w:spacing w:val="-149"/>
        </w:rPr>
        <w:t>险</w:t>
      </w:r>
      <w:r>
        <w:rPr>
          <w:spacing w:val="-63"/>
          <w:position w:val="-7"/>
        </w:rPr>
        <w:t>．</w:t>
      </w:r>
      <w:r>
        <w:rPr>
          <w:rFonts w:ascii="Microsoft JhengHei" w:eastAsia="Microsoft JhengHei" w:hint="eastAsia"/>
          <w:b/>
          <w:spacing w:val="-149"/>
        </w:rPr>
        <w:t>事</w:t>
      </w:r>
      <w:r>
        <w:rPr>
          <w:spacing w:val="-63"/>
          <w:position w:val="-7"/>
        </w:rPr>
        <w:t>．</w:t>
      </w:r>
      <w:r>
        <w:rPr>
          <w:rFonts w:ascii="Microsoft JhengHei" w:eastAsia="Microsoft JhengHei" w:hint="eastAsia"/>
          <w:b/>
        </w:rPr>
        <w:t>故</w:t>
      </w:r>
      <w:r>
        <w:rPr>
          <w:rFonts w:ascii="Times New Roman" w:eastAsia="Times New Roman"/>
          <w:b/>
          <w:vertAlign w:val="superscript"/>
        </w:rPr>
        <w:t>1</w:t>
      </w:r>
      <w:r>
        <w:rPr>
          <w:rFonts w:ascii="Times New Roman" w:eastAsia="Times New Roman"/>
          <w:b/>
          <w:vertAlign w:val="baseline"/>
        </w:rPr>
      </w:r>
      <w:r>
        <w:rPr>
          <w:rFonts w:ascii="Times New Roman" w:eastAsia="Times New Roman"/>
          <w:b/>
          <w:vertAlign w:val="superscript"/>
        </w:rPr>
        <w:t>6</w:t>
      </w:r>
      <w:r>
        <w:rPr>
          <w:rFonts w:ascii="Times New Roman" w:eastAsia="Times New Roman"/>
          <w:b/>
          <w:vertAlign w:val="baseline"/>
        </w:rPr>
      </w:r>
      <w:r>
        <w:rPr>
          <w:vertAlign w:val="baseline"/>
        </w:rPr>
        <w:t>的，我们仍承担保险责任，但将从所给付的保险金中扣除该保险合</w:t>
      </w:r>
    </w:p>
    <w:p>
      <w:pPr>
        <w:pStyle w:val="BodyText"/>
        <w:spacing w:before="22"/>
      </w:pPr>
      <w:r>
        <w:rPr/>
        <w:t>同欠交的保险费。</w:t>
      </w:r>
    </w:p>
    <w:p>
      <w:pPr>
        <w:pStyle w:val="BodyText"/>
        <w:ind w:left="0"/>
        <w:rPr>
          <w:sz w:val="20"/>
        </w:rPr>
      </w:pPr>
    </w:p>
    <w:p>
      <w:pPr>
        <w:pStyle w:val="BodyText"/>
        <w:spacing w:before="5"/>
        <w:ind w:left="0"/>
        <w:rPr>
          <w:sz w:val="26"/>
        </w:rPr>
      </w:pPr>
    </w:p>
    <w:p>
      <w:pPr>
        <w:pStyle w:val="Heading2"/>
        <w:numPr>
          <w:ilvl w:val="1"/>
          <w:numId w:val="3"/>
        </w:numPr>
        <w:tabs>
          <w:tab w:pos="937" w:val="left" w:leader="none"/>
          <w:tab w:pos="938" w:val="left" w:leader="none"/>
          <w:tab w:pos="9879" w:val="left" w:leader="none"/>
        </w:tabs>
        <w:spacing w:line="367" w:lineRule="exact" w:before="0" w:after="0"/>
        <w:ind w:left="937" w:right="0" w:hanging="725"/>
        <w:jc w:val="left"/>
      </w:pPr>
      <w:r>
        <w:rPr>
          <w:shd w:fill="E6E6E6" w:color="auto" w:val="clear"/>
        </w:rPr>
        <w:t>垫交保险费</w:t>
        <w:tab/>
      </w:r>
    </w:p>
    <w:p>
      <w:pPr>
        <w:pStyle w:val="BodyText"/>
        <w:spacing w:line="274" w:lineRule="exact"/>
        <w:ind w:left="618"/>
      </w:pPr>
      <w:r>
        <w:rPr/>
        <w:t>本附加合同不单独提供垫交保险费选择，但其现金价值参与主合同垫交保险费。</w:t>
      </w:r>
    </w:p>
    <w:p>
      <w:pPr>
        <w:pStyle w:val="BodyText"/>
        <w:ind w:left="0"/>
        <w:rPr>
          <w:sz w:val="20"/>
        </w:rPr>
      </w:pPr>
    </w:p>
    <w:p>
      <w:pPr>
        <w:pStyle w:val="BodyText"/>
        <w:spacing w:before="5"/>
        <w:ind w:left="0"/>
        <w:rPr>
          <w:sz w:val="26"/>
        </w:rPr>
      </w:pPr>
    </w:p>
    <w:p>
      <w:pPr>
        <w:pStyle w:val="Heading2"/>
        <w:numPr>
          <w:ilvl w:val="1"/>
          <w:numId w:val="3"/>
        </w:numPr>
        <w:tabs>
          <w:tab w:pos="937" w:val="left" w:leader="none"/>
          <w:tab w:pos="938" w:val="left" w:leader="none"/>
          <w:tab w:pos="9879" w:val="left" w:leader="none"/>
        </w:tabs>
        <w:spacing w:line="356" w:lineRule="exact" w:before="0" w:after="0"/>
        <w:ind w:left="937" w:right="0" w:hanging="725"/>
        <w:jc w:val="left"/>
      </w:pPr>
      <w:r>
        <w:rPr>
          <w:shd w:fill="E6E6E6" w:color="auto" w:val="clear"/>
        </w:rPr>
        <w:t>合同效力的中止</w:t>
        <w:tab/>
      </w:r>
    </w:p>
    <w:p>
      <w:pPr>
        <w:pStyle w:val="BodyText"/>
        <w:spacing w:line="263" w:lineRule="exact"/>
        <w:ind w:left="632"/>
      </w:pPr>
      <w:r>
        <w:rPr/>
        <w:t>本附加合同效力中止的规定同主合同。</w:t>
      </w:r>
    </w:p>
    <w:p>
      <w:pPr>
        <w:pStyle w:val="BodyText"/>
        <w:ind w:left="0"/>
        <w:rPr>
          <w:sz w:val="20"/>
        </w:rPr>
      </w:pPr>
    </w:p>
    <w:p>
      <w:pPr>
        <w:pStyle w:val="BodyText"/>
        <w:spacing w:before="3"/>
        <w:ind w:left="0"/>
        <w:rPr>
          <w:sz w:val="28"/>
        </w:rPr>
      </w:pPr>
    </w:p>
    <w:p>
      <w:pPr>
        <w:pStyle w:val="Heading2"/>
        <w:numPr>
          <w:ilvl w:val="1"/>
          <w:numId w:val="3"/>
        </w:numPr>
        <w:tabs>
          <w:tab w:pos="937" w:val="left" w:leader="none"/>
          <w:tab w:pos="938" w:val="left" w:leader="none"/>
          <w:tab w:pos="9879" w:val="left" w:leader="none"/>
        </w:tabs>
        <w:spacing w:line="367" w:lineRule="exact" w:before="0" w:after="0"/>
        <w:ind w:left="937" w:right="0" w:hanging="725"/>
        <w:jc w:val="left"/>
      </w:pPr>
      <w:r>
        <w:rPr>
          <w:shd w:fill="E6E6E6" w:color="auto" w:val="clear"/>
        </w:rPr>
        <w:t>合同效力的恢复</w:t>
        <w:tab/>
      </w:r>
    </w:p>
    <w:p>
      <w:pPr>
        <w:pStyle w:val="BodyText"/>
        <w:spacing w:line="274" w:lineRule="exact"/>
        <w:ind w:left="632"/>
      </w:pPr>
      <w:r>
        <w:rPr/>
        <w:t>本附加合同效力恢复的规定同主合同。</w:t>
      </w:r>
    </w:p>
    <w:p>
      <w:pPr>
        <w:pStyle w:val="BodyText"/>
        <w:ind w:left="0"/>
        <w:rPr>
          <w:sz w:val="20"/>
        </w:rPr>
      </w:pPr>
    </w:p>
    <w:p>
      <w:pPr>
        <w:pStyle w:val="BodyText"/>
        <w:spacing w:before="5"/>
        <w:ind w:left="0"/>
        <w:rPr>
          <w:sz w:val="26"/>
        </w:rPr>
      </w:pPr>
    </w:p>
    <w:p>
      <w:pPr>
        <w:pStyle w:val="Heading2"/>
        <w:numPr>
          <w:ilvl w:val="1"/>
          <w:numId w:val="3"/>
        </w:numPr>
        <w:tabs>
          <w:tab w:pos="937" w:val="left" w:leader="none"/>
          <w:tab w:pos="938" w:val="left" w:leader="none"/>
          <w:tab w:pos="9879" w:val="left" w:leader="none"/>
        </w:tabs>
        <w:spacing w:line="356" w:lineRule="exact" w:before="0" w:after="0"/>
        <w:ind w:left="937" w:right="0" w:hanging="725"/>
        <w:jc w:val="left"/>
      </w:pPr>
      <w:r>
        <w:rPr>
          <w:shd w:fill="E6E6E6" w:color="auto" w:val="clear"/>
        </w:rPr>
        <w:t>合同的解除</w:t>
        <w:tab/>
      </w:r>
    </w:p>
    <w:p>
      <w:pPr>
        <w:pStyle w:val="BodyText"/>
        <w:spacing w:line="263" w:lineRule="exact"/>
        <w:ind w:left="632"/>
      </w:pPr>
      <w:r>
        <w:rPr/>
        <w:t>本附加合同的解除规定同主合同。</w:t>
      </w:r>
    </w:p>
    <w:p>
      <w:pPr>
        <w:pStyle w:val="Heading3"/>
        <w:spacing w:line="206" w:lineRule="auto" w:before="160"/>
        <w:ind w:left="632" w:right="2634" w:hanging="1"/>
        <w:rPr>
          <w:rFonts w:ascii="Microsoft JhengHei" w:eastAsia="Microsoft JhengHei" w:hint="eastAsia"/>
        </w:rPr>
      </w:pPr>
      <w:r>
        <w:rPr>
          <w:rFonts w:ascii="Microsoft JhengHei" w:eastAsia="Microsoft JhengHei" w:hint="eastAsia"/>
        </w:rPr>
        <w:t>特别提示您，如您申请解除本附加合同，其所属主合同将同时被解除。 当主合同效力终止且按解除合同处理时，本附加合同也同时按解除处理。</w:t>
      </w:r>
    </w:p>
    <w:p>
      <w:pPr>
        <w:pStyle w:val="BodyText"/>
        <w:ind w:left="0"/>
        <w:rPr>
          <w:rFonts w:ascii="Microsoft JhengHei"/>
          <w:b/>
          <w:sz w:val="20"/>
        </w:rPr>
      </w:pPr>
    </w:p>
    <w:p>
      <w:pPr>
        <w:pStyle w:val="BodyText"/>
        <w:spacing w:before="12"/>
        <w:ind w:left="0"/>
        <w:rPr>
          <w:rFonts w:ascii="Microsoft JhengHei"/>
          <w:b/>
          <w:sz w:val="14"/>
        </w:rPr>
      </w:pPr>
    </w:p>
    <w:p>
      <w:pPr>
        <w:pStyle w:val="ListParagraph"/>
        <w:numPr>
          <w:ilvl w:val="1"/>
          <w:numId w:val="3"/>
        </w:numPr>
        <w:tabs>
          <w:tab w:pos="937" w:val="left" w:leader="none"/>
          <w:tab w:pos="938" w:val="left" w:leader="none"/>
          <w:tab w:pos="9879" w:val="left" w:leader="none"/>
        </w:tabs>
        <w:spacing w:line="356" w:lineRule="exact" w:before="0" w:after="0"/>
        <w:ind w:left="937"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合同效力的终止</w:t>
        <w:tab/>
      </w:r>
    </w:p>
    <w:p>
      <w:pPr>
        <w:pStyle w:val="BodyText"/>
        <w:spacing w:line="292" w:lineRule="auto"/>
        <w:ind w:left="632" w:right="5220"/>
      </w:pPr>
      <w:r>
        <w:rPr/>
        <w:t>发生下列情况之一时，本附加合同效力终止： 一、主合同效力终止；</w:t>
      </w:r>
    </w:p>
    <w:p>
      <w:pPr>
        <w:pStyle w:val="BodyText"/>
        <w:spacing w:line="266" w:lineRule="exact" w:before="11"/>
        <w:ind w:left="632"/>
      </w:pPr>
      <w:r>
        <w:rPr/>
        <w:t>二、我们给付重大疾病保险金时；</w:t>
      </w:r>
    </w:p>
    <w:p>
      <w:pPr>
        <w:pStyle w:val="BodyText"/>
        <w:spacing w:before="36"/>
        <w:ind w:left="632"/>
      </w:pPr>
      <w:r>
        <w:rPr/>
        <w:t>三、您于合同有效期内向我们申请解除合同；</w:t>
      </w:r>
    </w:p>
    <w:p>
      <w:pPr>
        <w:pStyle w:val="BodyText"/>
        <w:spacing w:line="252" w:lineRule="auto" w:before="8"/>
        <w:ind w:left="632" w:right="3048" w:hanging="1"/>
      </w:pPr>
      <w:r>
        <w:rPr/>
        <w:t>四、本附加合同效力中止且未能按本附加合同第 </w:t>
      </w:r>
      <w:r>
        <w:rPr>
          <w:rFonts w:ascii="Arial" w:eastAsia="Arial"/>
        </w:rPr>
        <w:t>2.4 </w:t>
      </w:r>
      <w:r>
        <w:rPr/>
        <w:t>条办理复效的</w:t>
      </w:r>
      <w:r>
        <w:rPr>
          <w:sz w:val="24"/>
        </w:rPr>
        <w:t>； </w:t>
      </w:r>
      <w:r>
        <w:rPr/>
        <w:t>五、本附加合同约定的其它效力终止的情况。</w:t>
      </w:r>
    </w:p>
    <w:p>
      <w:pPr>
        <w:pStyle w:val="Heading3"/>
        <w:spacing w:before="52"/>
        <w:ind w:left="632"/>
        <w:rPr>
          <w:rFonts w:ascii="Microsoft JhengHei" w:eastAsia="Microsoft JhengHei" w:hint="eastAsia"/>
        </w:rPr>
      </w:pPr>
      <w:r>
        <w:rPr>
          <w:rFonts w:ascii="Microsoft JhengHei" w:eastAsia="Microsoft JhengHei" w:hint="eastAsia"/>
        </w:rPr>
        <w:t>特别提示您，本附加合同终止时，其所属主合同同时终止。</w:t>
      </w:r>
    </w:p>
    <w:p>
      <w:pPr>
        <w:pStyle w:val="BodyText"/>
        <w:ind w:left="0"/>
        <w:rPr>
          <w:rFonts w:ascii="Microsoft JhengHei"/>
          <w:b/>
          <w:sz w:val="20"/>
        </w:rPr>
      </w:pPr>
    </w:p>
    <w:p>
      <w:pPr>
        <w:pStyle w:val="BodyText"/>
        <w:spacing w:before="5"/>
        <w:ind w:left="0"/>
        <w:rPr>
          <w:rFonts w:ascii="Microsoft JhengHei"/>
          <w:b/>
          <w:sz w:val="13"/>
        </w:rPr>
      </w:pPr>
    </w:p>
    <w:p>
      <w:pPr>
        <w:pStyle w:val="ListParagraph"/>
        <w:numPr>
          <w:ilvl w:val="1"/>
          <w:numId w:val="3"/>
        </w:numPr>
        <w:tabs>
          <w:tab w:pos="937" w:val="left" w:leader="none"/>
          <w:tab w:pos="938" w:val="left" w:leader="none"/>
          <w:tab w:pos="9879" w:val="left" w:leader="none"/>
        </w:tabs>
        <w:spacing w:line="368" w:lineRule="exact" w:before="0" w:after="0"/>
        <w:ind w:left="937"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受益人的指定和变更</w:t>
        <w:tab/>
      </w:r>
    </w:p>
    <w:p>
      <w:pPr>
        <w:pStyle w:val="BodyText"/>
        <w:spacing w:line="274" w:lineRule="exact"/>
        <w:ind w:left="632"/>
      </w:pPr>
      <w:r>
        <w:rPr/>
        <w:t>除有特殊约定，本附加合同保险金的受益人为被保险人本人。</w:t>
      </w:r>
    </w:p>
    <w:p>
      <w:pPr>
        <w:spacing w:after="0" w:line="274" w:lineRule="exact"/>
        <w:sectPr>
          <w:pgSz w:w="11900" w:h="16840"/>
          <w:pgMar w:header="895" w:footer="547" w:top="1080" w:bottom="740" w:left="920" w:right="920"/>
        </w:sectPr>
      </w:pPr>
    </w:p>
    <w:p>
      <w:pPr>
        <w:pStyle w:val="Heading2"/>
        <w:numPr>
          <w:ilvl w:val="1"/>
          <w:numId w:val="3"/>
        </w:numPr>
        <w:tabs>
          <w:tab w:pos="937" w:val="left" w:leader="none"/>
          <w:tab w:pos="938" w:val="left" w:leader="none"/>
          <w:tab w:pos="9879" w:val="left" w:leader="none"/>
        </w:tabs>
        <w:spacing w:line="354" w:lineRule="exact" w:before="0" w:after="0"/>
        <w:ind w:left="937" w:right="0" w:hanging="725"/>
        <w:jc w:val="left"/>
      </w:pPr>
      <w:r>
        <w:rPr/>
        <w:pict>
          <v:line style="position:absolute;mso-position-horizontal-relative:page;mso-position-vertical-relative:paragraph;z-index:-22960" from="51.239517pt,2.296211pt" to="543.959506pt,2.296211pt" stroked="true" strokeweight=".479531pt" strokecolor="#000000">
            <v:stroke dashstyle="solid"/>
            <w10:wrap type="none"/>
          </v:line>
        </w:pict>
      </w:r>
      <w:r>
        <w:rPr>
          <w:shd w:fill="E6E6E6" w:color="auto" w:val="clear"/>
        </w:rPr>
        <w:t>保险事故的通知</w:t>
        <w:tab/>
      </w:r>
    </w:p>
    <w:p>
      <w:pPr>
        <w:pStyle w:val="Heading3"/>
        <w:spacing w:line="204" w:lineRule="auto" w:before="20"/>
        <w:ind w:right="202" w:firstLine="422"/>
        <w:jc w:val="both"/>
        <w:rPr>
          <w:rFonts w:ascii="Microsoft JhengHei" w:eastAsia="Microsoft JhengHei" w:hint="eastAsia"/>
        </w:rPr>
      </w:pPr>
      <w:r>
        <w:rPr>
          <w:rFonts w:ascii="Microsoft JhengHei" w:eastAsia="Microsoft JhengHei" w:hint="eastAsia"/>
          <w:spacing w:val="-3"/>
        </w:rPr>
        <w:t>您、被保险人或受益人应于知道保险事故发</w:t>
      </w:r>
      <w:r>
        <w:rPr>
          <w:rFonts w:ascii="Microsoft JhengHei" w:eastAsia="Microsoft JhengHei" w:hint="eastAsia"/>
        </w:rPr>
        <w:t>Th</w:t>
      </w:r>
      <w:r>
        <w:rPr>
          <w:rFonts w:ascii="Microsoft JhengHei" w:eastAsia="Microsoft JhengHei" w:hint="eastAsia"/>
          <w:spacing w:val="3"/>
        </w:rPr>
        <w:t>之日起 </w:t>
      </w:r>
      <w:r>
        <w:rPr>
          <w:rFonts w:ascii="Microsoft JhengHei" w:eastAsia="Microsoft JhengHei" w:hint="eastAsia"/>
        </w:rPr>
        <w:t>10</w:t>
      </w:r>
      <w:r>
        <w:rPr>
          <w:rFonts w:ascii="Microsoft JhengHei" w:eastAsia="Microsoft JhengHei" w:hint="eastAsia"/>
          <w:spacing w:val="-3"/>
        </w:rPr>
        <w:t> 日内通知我们。如果您、被保险人或受益人</w:t>
      </w:r>
      <w:r>
        <w:rPr>
          <w:rFonts w:ascii="Microsoft JhengHei" w:eastAsia="Microsoft JhengHei" w:hint="eastAsia"/>
          <w:spacing w:val="-7"/>
        </w:rPr>
        <w:t>故意或者因重大过失未及时通知，致使保险事故的性质、原因、损失程度等难以确定的，我们对无法确定</w:t>
      </w:r>
      <w:r>
        <w:rPr>
          <w:rFonts w:ascii="Microsoft JhengHei" w:eastAsia="Microsoft JhengHei" w:hint="eastAsia"/>
          <w:spacing w:val="-8"/>
        </w:rPr>
        <w:t>的部分，不承担给付保险金的责任，但我们通过其他途径已经及时知道或者应当及时知道保险事故发</w:t>
      </w:r>
      <w:r>
        <w:rPr>
          <w:rFonts w:ascii="Microsoft JhengHei" w:eastAsia="Microsoft JhengHei" w:hint="eastAsia"/>
        </w:rPr>
        <w:t>Th或</w:t>
      </w:r>
      <w:r>
        <w:rPr>
          <w:rFonts w:ascii="Microsoft JhengHei" w:eastAsia="Microsoft JhengHei" w:hint="eastAsia"/>
          <w:spacing w:val="-3"/>
        </w:rPr>
        <w:t>者虽未及时通知但不影响我们确定保险事故的性质、原因、损失程度的除外。</w:t>
      </w:r>
    </w:p>
    <w:p>
      <w:pPr>
        <w:pStyle w:val="BodyText"/>
        <w:ind w:left="0"/>
        <w:rPr>
          <w:rFonts w:ascii="Microsoft JhengHei"/>
          <w:b/>
          <w:sz w:val="20"/>
        </w:rPr>
      </w:pPr>
    </w:p>
    <w:p>
      <w:pPr>
        <w:pStyle w:val="BodyText"/>
        <w:spacing w:before="8"/>
        <w:ind w:left="0"/>
        <w:rPr>
          <w:rFonts w:ascii="Microsoft JhengHei"/>
          <w:b/>
          <w:sz w:val="13"/>
        </w:rPr>
      </w:pPr>
    </w:p>
    <w:p>
      <w:pPr>
        <w:pStyle w:val="ListParagraph"/>
        <w:numPr>
          <w:ilvl w:val="1"/>
          <w:numId w:val="3"/>
        </w:numPr>
        <w:tabs>
          <w:tab w:pos="937" w:val="left" w:leader="none"/>
          <w:tab w:pos="938" w:val="left" w:leader="none"/>
          <w:tab w:pos="9879" w:val="left" w:leader="none"/>
        </w:tabs>
        <w:spacing w:line="367" w:lineRule="exact" w:before="0" w:after="0"/>
        <w:ind w:left="937"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保险金的申请</w:t>
        <w:tab/>
      </w:r>
    </w:p>
    <w:p>
      <w:pPr>
        <w:pStyle w:val="BodyText"/>
        <w:spacing w:line="273" w:lineRule="auto"/>
        <w:ind w:right="204" w:firstLine="419"/>
      </w:pPr>
      <w:r>
        <w:rPr/>
        <w:t>在本附加合同有效期内被保险人被诊断为患有本附加合同所指定的重大疾病、特定重大疾病或轻症的，由被保险人作为申请人填写保险金给付申请书，并向我们提供下列证明文件、资料原件：</w:t>
      </w:r>
    </w:p>
    <w:p>
      <w:pPr>
        <w:pStyle w:val="BodyText"/>
        <w:spacing w:before="8"/>
        <w:ind w:left="947"/>
      </w:pPr>
      <w:r>
        <w:rPr>
          <w:rFonts w:ascii="Times New Roman" w:eastAsia="Times New Roman"/>
        </w:rPr>
        <w:t>1</w:t>
      </w:r>
      <w:r>
        <w:rPr/>
        <w:t>、保险合同；</w:t>
      </w:r>
    </w:p>
    <w:p>
      <w:pPr>
        <w:pStyle w:val="BodyText"/>
        <w:spacing w:line="291" w:lineRule="exact" w:before="20"/>
        <w:ind w:left="949"/>
      </w:pPr>
      <w:r>
        <w:rPr>
          <w:rFonts w:ascii="Times New Roman" w:eastAsia="Times New Roman"/>
        </w:rPr>
        <w:t>2</w:t>
      </w:r>
      <w:r>
        <w:rPr/>
        <w:t>、被保险人的有效身份证件；</w:t>
      </w:r>
    </w:p>
    <w:p>
      <w:pPr>
        <w:pStyle w:val="BodyText"/>
        <w:spacing w:line="225" w:lineRule="auto" w:before="16"/>
        <w:ind w:left="210" w:right="182" w:firstLine="736"/>
      </w:pPr>
      <w:r>
        <w:rPr>
          <w:rFonts w:ascii="Times New Roman" w:eastAsia="Times New Roman"/>
        </w:rPr>
        <w:t>3</w:t>
      </w:r>
      <w:r>
        <w:rPr/>
        <w:t>、专科医生或符合条件的医疗机构出具的病历、必要病理检验、血液检验及其他科学诊断报告、诊断书；</w:t>
      </w:r>
    </w:p>
    <w:p>
      <w:pPr>
        <w:pStyle w:val="BodyText"/>
        <w:spacing w:line="316" w:lineRule="exact"/>
        <w:ind w:left="947"/>
        <w:rPr>
          <w:sz w:val="24"/>
        </w:rPr>
      </w:pPr>
      <w:r>
        <w:rPr>
          <w:rFonts w:ascii="Times New Roman" w:eastAsia="Times New Roman"/>
        </w:rPr>
        <w:t>4</w:t>
      </w:r>
      <w:r>
        <w:rPr/>
        <w:t>、被保险人所能提供的与确认保险事故的性质、原因、伤害程度等有关的其他证明、资料</w:t>
      </w:r>
      <w:r>
        <w:rPr>
          <w:sz w:val="24"/>
        </w:rPr>
        <w:t>。</w:t>
      </w:r>
    </w:p>
    <w:p>
      <w:pPr>
        <w:pStyle w:val="BodyText"/>
        <w:spacing w:before="86"/>
        <w:ind w:left="632"/>
      </w:pPr>
      <w:r>
        <w:rPr/>
        <w:t>以上证明和资料不完整的，我们将及时一次性通知申请人补充提供有关证明和资料。</w:t>
      </w:r>
    </w:p>
    <w:p>
      <w:pPr>
        <w:pStyle w:val="BodyText"/>
        <w:spacing w:before="89"/>
        <w:ind w:right="172" w:firstLine="419"/>
      </w:pPr>
      <w:r>
        <w:rPr/>
        <w:t>受益人为无民事行为能力人或限制民事行为能力人的，由其父母或监护人作为申请人向我们申请给付保险金。</w:t>
      </w:r>
    </w:p>
    <w:p>
      <w:pPr>
        <w:pStyle w:val="BodyText"/>
        <w:ind w:left="0"/>
        <w:rPr>
          <w:sz w:val="20"/>
        </w:rPr>
      </w:pPr>
    </w:p>
    <w:p>
      <w:pPr>
        <w:pStyle w:val="BodyText"/>
        <w:spacing w:before="12"/>
        <w:ind w:left="0"/>
        <w:rPr>
          <w:sz w:val="24"/>
        </w:rPr>
      </w:pPr>
    </w:p>
    <w:p>
      <w:pPr>
        <w:pStyle w:val="Heading2"/>
        <w:numPr>
          <w:ilvl w:val="1"/>
          <w:numId w:val="3"/>
        </w:numPr>
        <w:tabs>
          <w:tab w:pos="937" w:val="left" w:leader="none"/>
          <w:tab w:pos="938" w:val="left" w:leader="none"/>
          <w:tab w:pos="9879" w:val="left" w:leader="none"/>
        </w:tabs>
        <w:spacing w:line="356" w:lineRule="exact" w:before="0" w:after="0"/>
        <w:ind w:left="937" w:right="0" w:hanging="725"/>
        <w:jc w:val="left"/>
      </w:pPr>
      <w:r>
        <w:rPr>
          <w:shd w:fill="E6E6E6" w:color="auto" w:val="clear"/>
        </w:rPr>
        <w:t>保险金的给付</w:t>
        <w:tab/>
      </w:r>
    </w:p>
    <w:p>
      <w:pPr>
        <w:pStyle w:val="BodyText"/>
        <w:spacing w:line="230" w:lineRule="auto"/>
        <w:ind w:left="200" w:right="101" w:firstLine="432"/>
      </w:pPr>
      <w:r>
        <w:rPr>
          <w:spacing w:val="-7"/>
        </w:rPr>
        <w:t>我们在收到保险金给付申请书及合同约定的证明和资料后，将在 </w:t>
      </w:r>
      <w:r>
        <w:rPr>
          <w:rFonts w:ascii="Arial" w:eastAsia="Arial"/>
        </w:rPr>
        <w:t>5 </w:t>
      </w:r>
      <w:r>
        <w:rPr>
          <w:spacing w:val="-14"/>
        </w:rPr>
        <w:t>日内作出核定；情形复杂的，在 </w:t>
      </w:r>
      <w:r>
        <w:rPr>
          <w:rFonts w:ascii="Arial" w:eastAsia="Arial"/>
        </w:rPr>
        <w:t>30 </w:t>
      </w:r>
      <w:r>
        <w:rPr>
          <w:spacing w:val="-15"/>
        </w:rPr>
        <w:t>日内作出核定</w:t>
      </w:r>
      <w:r>
        <w:rPr>
          <w:spacing w:val="-3"/>
        </w:rPr>
        <w:t>（</w:t>
      </w:r>
      <w:r>
        <w:rPr>
          <w:spacing w:val="-15"/>
        </w:rPr>
        <w:t>若需补充资料，计算期间将扣除您、被保险人或者受益人补充提供有关证明和资料的期间</w:t>
      </w:r>
      <w:r>
        <w:rPr>
          <w:spacing w:val="-108"/>
        </w:rPr>
        <w:t>）</w:t>
      </w:r>
      <w:r>
        <w:rPr/>
        <w:t>。</w:t>
      </w:r>
      <w:r>
        <w:rPr>
          <w:spacing w:val="-4"/>
        </w:rPr>
        <w:t>对属于保险责任的，我们在与受益人达成给付保险金的协议后 </w:t>
      </w:r>
      <w:r>
        <w:rPr>
          <w:rFonts w:ascii="Arial" w:eastAsia="Arial"/>
        </w:rPr>
        <w:t>10 </w:t>
      </w:r>
      <w:r>
        <w:rPr>
          <w:spacing w:val="-3"/>
        </w:rPr>
        <w:t>日内，履行给付保险金义务。</w:t>
      </w:r>
    </w:p>
    <w:p>
      <w:pPr>
        <w:pStyle w:val="BodyText"/>
        <w:spacing w:line="256" w:lineRule="exact"/>
        <w:ind w:left="635"/>
      </w:pPr>
      <w:r>
        <w:rPr/>
        <w:t>我们未及时履行前款规定义务的，除支付保险金外，应当赔偿受益人因此受到的损失。</w:t>
      </w:r>
    </w:p>
    <w:p>
      <w:pPr>
        <w:pStyle w:val="BodyText"/>
        <w:spacing w:line="289" w:lineRule="exact"/>
        <w:ind w:left="659"/>
      </w:pPr>
      <w:r>
        <w:rPr/>
        <w:t>对不属于保险责任的，我们自作出核定之日起 </w:t>
      </w:r>
      <w:r>
        <w:rPr>
          <w:rFonts w:ascii="Arial" w:eastAsia="Arial"/>
        </w:rPr>
        <w:t>3 </w:t>
      </w:r>
      <w:r>
        <w:rPr/>
        <w:t>日内向受益人发出拒绝给付保险金通知书并说明理</w:t>
      </w:r>
    </w:p>
    <w:p>
      <w:pPr>
        <w:pStyle w:val="BodyText"/>
        <w:spacing w:line="256" w:lineRule="exact"/>
      </w:pPr>
      <w:r>
        <w:rPr/>
        <w:t>由。</w:t>
      </w:r>
    </w:p>
    <w:p>
      <w:pPr>
        <w:pStyle w:val="BodyText"/>
        <w:spacing w:line="289" w:lineRule="exact"/>
        <w:ind w:left="635"/>
      </w:pPr>
      <w:r>
        <w:rPr/>
        <w:t>我们在收到保险金给付申请书及有关证明和资料之日起 </w:t>
      </w:r>
      <w:r>
        <w:rPr>
          <w:rFonts w:ascii="Arial" w:eastAsia="Arial"/>
        </w:rPr>
        <w:t>60 </w:t>
      </w:r>
      <w:r>
        <w:rPr/>
        <w:t>日内，对属于保险责任而给付保险金的数</w:t>
      </w:r>
    </w:p>
    <w:p>
      <w:pPr>
        <w:pStyle w:val="BodyText"/>
        <w:spacing w:line="274" w:lineRule="exact" w:before="7"/>
        <w:ind w:right="204" w:hanging="1"/>
      </w:pPr>
      <w:r>
        <w:rPr>
          <w:spacing w:val="-5"/>
        </w:rPr>
        <w:t>额不能确定的，根据已有证明和资料，可以确定的数额先予支付；我们最终确定给付保险金的数额后，将</w:t>
      </w:r>
      <w:r>
        <w:rPr>
          <w:spacing w:val="-4"/>
        </w:rPr>
        <w:t>支付相应的差额。</w:t>
      </w:r>
    </w:p>
    <w:p>
      <w:pPr>
        <w:pStyle w:val="BodyText"/>
        <w:ind w:left="0"/>
        <w:rPr>
          <w:sz w:val="20"/>
        </w:rPr>
      </w:pPr>
    </w:p>
    <w:p>
      <w:pPr>
        <w:pStyle w:val="BodyText"/>
        <w:spacing w:before="12"/>
        <w:ind w:left="0"/>
        <w:rPr>
          <w:sz w:val="22"/>
        </w:rPr>
      </w:pPr>
    </w:p>
    <w:p>
      <w:pPr>
        <w:pStyle w:val="Heading2"/>
        <w:numPr>
          <w:ilvl w:val="1"/>
          <w:numId w:val="3"/>
        </w:numPr>
        <w:tabs>
          <w:tab w:pos="937" w:val="left" w:leader="none"/>
          <w:tab w:pos="938" w:val="left" w:leader="none"/>
          <w:tab w:pos="9879" w:val="left" w:leader="none"/>
        </w:tabs>
        <w:spacing w:line="357" w:lineRule="exact" w:before="0" w:after="0"/>
        <w:ind w:left="937" w:right="0" w:hanging="725"/>
        <w:jc w:val="left"/>
      </w:pPr>
      <w:r>
        <w:rPr>
          <w:shd w:fill="E6E6E6" w:color="auto" w:val="clear"/>
        </w:rPr>
        <w:t>诉讼时效</w:t>
        <w:tab/>
      </w:r>
    </w:p>
    <w:p>
      <w:pPr>
        <w:pStyle w:val="BodyText"/>
        <w:spacing w:line="278" w:lineRule="exact"/>
        <w:ind w:left="632"/>
      </w:pPr>
      <w:r>
        <w:rPr/>
        <w:t>受益人向我们请求给付保险金的诉讼时效期间为 </w:t>
      </w:r>
      <w:r>
        <w:rPr>
          <w:rFonts w:ascii="Arial" w:eastAsia="Arial"/>
        </w:rPr>
        <w:t>2 </w:t>
      </w:r>
      <w:r>
        <w:rPr/>
        <w:t>年，自其知道或者应当知道保险事故发生之日起计</w:t>
      </w:r>
    </w:p>
    <w:p>
      <w:pPr>
        <w:pStyle w:val="BodyText"/>
        <w:spacing w:line="259" w:lineRule="exact"/>
        <w:ind w:left="200"/>
      </w:pPr>
      <w:r>
        <w:rPr/>
        <w:t>算。</w:t>
      </w:r>
    </w:p>
    <w:p>
      <w:pPr>
        <w:pStyle w:val="BodyText"/>
        <w:ind w:left="0"/>
        <w:rPr>
          <w:sz w:val="20"/>
        </w:rPr>
      </w:pPr>
    </w:p>
    <w:p>
      <w:pPr>
        <w:pStyle w:val="BodyText"/>
        <w:spacing w:before="12"/>
        <w:ind w:left="0"/>
        <w:rPr>
          <w:sz w:val="24"/>
        </w:rPr>
      </w:pPr>
    </w:p>
    <w:p>
      <w:pPr>
        <w:pStyle w:val="Heading2"/>
        <w:numPr>
          <w:ilvl w:val="1"/>
          <w:numId w:val="3"/>
        </w:numPr>
        <w:tabs>
          <w:tab w:pos="937" w:val="left" w:leader="none"/>
          <w:tab w:pos="938" w:val="left" w:leader="none"/>
          <w:tab w:pos="9879" w:val="left" w:leader="none"/>
        </w:tabs>
        <w:spacing w:line="367" w:lineRule="exact" w:before="0" w:after="0"/>
        <w:ind w:left="937" w:right="0" w:hanging="725"/>
        <w:jc w:val="left"/>
      </w:pPr>
      <w:r>
        <w:rPr>
          <w:shd w:fill="E6E6E6" w:color="auto" w:val="clear"/>
        </w:rPr>
        <w:t>未还款项的扣除</w:t>
        <w:tab/>
      </w:r>
    </w:p>
    <w:p>
      <w:pPr>
        <w:pStyle w:val="BodyText"/>
        <w:spacing w:line="274" w:lineRule="exact"/>
        <w:ind w:left="632"/>
      </w:pPr>
      <w:r>
        <w:rPr/>
        <w:t>本附加合同未还款项的扣除的规定同主合同。</w:t>
      </w:r>
    </w:p>
    <w:p>
      <w:pPr>
        <w:pStyle w:val="BodyText"/>
        <w:ind w:left="0"/>
        <w:rPr>
          <w:sz w:val="20"/>
        </w:rPr>
      </w:pPr>
    </w:p>
    <w:p>
      <w:pPr>
        <w:pStyle w:val="BodyText"/>
        <w:spacing w:before="5"/>
        <w:ind w:left="0"/>
        <w:rPr>
          <w:sz w:val="26"/>
        </w:rPr>
      </w:pPr>
    </w:p>
    <w:p>
      <w:pPr>
        <w:pStyle w:val="Heading2"/>
        <w:numPr>
          <w:ilvl w:val="1"/>
          <w:numId w:val="3"/>
        </w:numPr>
        <w:tabs>
          <w:tab w:pos="937" w:val="left" w:leader="none"/>
          <w:tab w:pos="938" w:val="left" w:leader="none"/>
          <w:tab w:pos="9879" w:val="left" w:leader="none"/>
        </w:tabs>
        <w:spacing w:line="367" w:lineRule="exact" w:before="0" w:after="0"/>
        <w:ind w:left="937" w:right="0" w:hanging="725"/>
        <w:jc w:val="left"/>
      </w:pPr>
      <w:r>
        <w:rPr>
          <w:shd w:fill="E6E6E6" w:color="auto" w:val="clear"/>
        </w:rPr>
        <w:t>如实告知</w:t>
        <w:tab/>
      </w:r>
    </w:p>
    <w:p>
      <w:pPr>
        <w:pStyle w:val="BodyText"/>
        <w:spacing w:line="274" w:lineRule="exact"/>
        <w:ind w:left="632"/>
      </w:pPr>
      <w:r>
        <w:rPr/>
        <w:t>本附加合同如实告知的规定同主合同。</w:t>
      </w:r>
    </w:p>
    <w:p>
      <w:pPr>
        <w:pStyle w:val="BodyText"/>
        <w:ind w:left="0"/>
        <w:rPr>
          <w:sz w:val="20"/>
        </w:rPr>
      </w:pPr>
    </w:p>
    <w:p>
      <w:pPr>
        <w:pStyle w:val="BodyText"/>
        <w:spacing w:before="5"/>
        <w:ind w:left="0"/>
        <w:rPr>
          <w:sz w:val="26"/>
        </w:rPr>
      </w:pPr>
    </w:p>
    <w:p>
      <w:pPr>
        <w:pStyle w:val="Heading2"/>
        <w:numPr>
          <w:ilvl w:val="1"/>
          <w:numId w:val="3"/>
        </w:numPr>
        <w:tabs>
          <w:tab w:pos="937" w:val="left" w:leader="none"/>
          <w:tab w:pos="938" w:val="left" w:leader="none"/>
          <w:tab w:pos="9879" w:val="left" w:leader="none"/>
        </w:tabs>
        <w:spacing w:line="368" w:lineRule="exact" w:before="0" w:after="0"/>
        <w:ind w:left="937" w:right="0" w:hanging="725"/>
        <w:jc w:val="left"/>
      </w:pPr>
      <w:r>
        <w:rPr>
          <w:shd w:fill="E6E6E6" w:color="auto" w:val="clear"/>
        </w:rPr>
        <w:t>合同解除权的限制</w:t>
        <w:tab/>
      </w:r>
    </w:p>
    <w:p>
      <w:pPr>
        <w:pStyle w:val="BodyText"/>
        <w:spacing w:before="22"/>
        <w:ind w:left="632"/>
      </w:pPr>
      <w:r>
        <w:rPr/>
        <w:t>本附加合同解除权的限制的规定同主合同。</w:t>
      </w:r>
    </w:p>
    <w:p>
      <w:pPr>
        <w:pStyle w:val="Heading3"/>
        <w:spacing w:before="87"/>
        <w:ind w:left="632"/>
        <w:rPr>
          <w:rFonts w:ascii="Microsoft JhengHei" w:eastAsia="Microsoft JhengHei" w:hint="eastAsia"/>
        </w:rPr>
      </w:pPr>
      <w:r>
        <w:rPr>
          <w:rFonts w:ascii="Microsoft JhengHei" w:eastAsia="Microsoft JhengHei" w:hint="eastAsia"/>
        </w:rPr>
        <w:t>特别提示您，若本附加合同解除，其所属主合同将同时被解除。</w:t>
      </w:r>
    </w:p>
    <w:p>
      <w:pPr>
        <w:spacing w:after="0"/>
        <w:rPr>
          <w:rFonts w:ascii="Microsoft JhengHei" w:eastAsia="Microsoft JhengHei" w:hint="eastAsia"/>
        </w:rPr>
        <w:sectPr>
          <w:headerReference w:type="default" r:id="rId10"/>
          <w:pgSz w:w="11900" w:h="16840"/>
          <w:pgMar w:header="846" w:footer="547" w:top="1040" w:bottom="740" w:left="920" w:right="920"/>
        </w:sectPr>
      </w:pPr>
    </w:p>
    <w:p>
      <w:pPr>
        <w:pStyle w:val="BodyText"/>
        <w:ind w:left="0"/>
        <w:rPr>
          <w:rFonts w:ascii="Microsoft JhengHei"/>
          <w:b/>
          <w:sz w:val="20"/>
        </w:rPr>
      </w:pPr>
    </w:p>
    <w:p>
      <w:pPr>
        <w:pStyle w:val="BodyText"/>
        <w:spacing w:before="16"/>
        <w:ind w:left="0"/>
        <w:rPr>
          <w:rFonts w:ascii="Microsoft JhengHei"/>
          <w:b/>
          <w:sz w:val="17"/>
        </w:rPr>
      </w:pPr>
    </w:p>
    <w:p>
      <w:pPr>
        <w:pStyle w:val="BodyText"/>
        <w:spacing w:line="311" w:lineRule="exact"/>
        <w:ind w:left="183"/>
        <w:rPr>
          <w:rFonts w:ascii="Microsoft JhengHei"/>
          <w:sz w:val="20"/>
        </w:rPr>
      </w:pPr>
      <w:r>
        <w:rPr>
          <w:rFonts w:ascii="Microsoft JhengHei"/>
          <w:position w:val="-5"/>
          <w:sz w:val="20"/>
        </w:rPr>
        <w:pict>
          <v:shape style="width:484.8pt;height:15.6pt;mso-position-horizontal-relative:char;mso-position-vertical-relative:line" type="#_x0000_t202" filled="true" fillcolor="#e6e6e6" stroked="false">
            <w10:anchorlock/>
            <v:textbox inset="0,0,0,0">
              <w:txbxContent>
                <w:p>
                  <w:pPr>
                    <w:tabs>
                      <w:tab w:pos="753" w:val="left" w:leader="none"/>
                    </w:tabs>
                    <w:spacing w:line="301" w:lineRule="exact" w:before="0"/>
                    <w:ind w:left="28" w:right="0" w:firstLine="0"/>
                    <w:jc w:val="left"/>
                    <w:rPr>
                      <w:rFonts w:ascii="Microsoft JhengHei" w:eastAsia="Microsoft JhengHei" w:hint="eastAsia"/>
                      <w:b/>
                      <w:sz w:val="24"/>
                    </w:rPr>
                  </w:pPr>
                  <w:r>
                    <w:rPr>
                      <w:rFonts w:ascii="Microsoft JhengHei" w:eastAsia="Microsoft JhengHei" w:hint="eastAsia"/>
                      <w:b/>
                      <w:spacing w:val="1"/>
                      <w:w w:val="83"/>
                      <w:sz w:val="24"/>
                    </w:rPr>
                    <w:t>2</w:t>
                  </w:r>
                  <w:r>
                    <w:rPr>
                      <w:rFonts w:ascii="Microsoft JhengHei" w:eastAsia="Microsoft JhengHei" w:hint="eastAsia"/>
                      <w:b/>
                      <w:w w:val="196"/>
                      <w:sz w:val="24"/>
                    </w:rPr>
                    <w:t>.</w:t>
                  </w:r>
                  <w:r>
                    <w:rPr>
                      <w:rFonts w:ascii="Microsoft JhengHei" w:eastAsia="Microsoft JhengHei" w:hint="eastAsia"/>
                      <w:b/>
                      <w:spacing w:val="1"/>
                      <w:w w:val="83"/>
                      <w:sz w:val="24"/>
                    </w:rPr>
                    <w:t>1</w:t>
                  </w:r>
                  <w:r>
                    <w:rPr>
                      <w:rFonts w:ascii="Microsoft JhengHei" w:eastAsia="Microsoft JhengHei" w:hint="eastAsia"/>
                      <w:b/>
                      <w:w w:val="83"/>
                      <w:sz w:val="24"/>
                    </w:rPr>
                    <w:t>5</w:t>
                  </w:r>
                  <w:r>
                    <w:rPr>
                      <w:rFonts w:ascii="Microsoft JhengHei" w:eastAsia="Microsoft JhengHei" w:hint="eastAsia"/>
                      <w:b/>
                      <w:sz w:val="24"/>
                    </w:rPr>
                    <w:tab/>
                  </w:r>
                  <w:r>
                    <w:rPr>
                      <w:rFonts w:ascii="Microsoft JhengHei" w:eastAsia="Microsoft JhengHei" w:hint="eastAsia"/>
                      <w:b/>
                      <w:w w:val="99"/>
                      <w:sz w:val="24"/>
                    </w:rPr>
                    <w:t>年龄及性别的确定与错误处理</w:t>
                  </w:r>
                </w:p>
              </w:txbxContent>
            </v:textbox>
            <v:fill type="solid"/>
          </v:shape>
        </w:pict>
      </w:r>
      <w:r>
        <w:rPr>
          <w:rFonts w:ascii="Microsoft JhengHei"/>
          <w:position w:val="-5"/>
          <w:sz w:val="20"/>
        </w:rPr>
      </w:r>
    </w:p>
    <w:p>
      <w:pPr>
        <w:pStyle w:val="BodyText"/>
        <w:spacing w:line="263" w:lineRule="exact"/>
        <w:ind w:left="632"/>
      </w:pPr>
      <w:r>
        <w:rPr/>
        <w:t>本附加合同年龄及性别的确定与错误处理的规定同主合同。</w:t>
      </w:r>
    </w:p>
    <w:p>
      <w:pPr>
        <w:pStyle w:val="BodyText"/>
        <w:ind w:left="0"/>
        <w:rPr>
          <w:sz w:val="20"/>
        </w:rPr>
      </w:pPr>
    </w:p>
    <w:p>
      <w:pPr>
        <w:pStyle w:val="BodyText"/>
        <w:spacing w:before="8"/>
        <w:ind w:left="0"/>
        <w:rPr>
          <w:sz w:val="29"/>
        </w:rPr>
      </w:pPr>
      <w:r>
        <w:rPr/>
        <w:pict>
          <v:shape style="position:absolute;margin-left:55.19952pt;margin-top:20.597111pt;width:484.8pt;height:15.6pt;mso-position-horizontal-relative:page;mso-position-vertical-relative:paragraph;z-index:1384;mso-wrap-distance-left:0;mso-wrap-distance-right:0" type="#_x0000_t202" filled="true" fillcolor="#e6e6e6" stroked="false">
            <v:textbox inset="0,0,0,0">
              <w:txbxContent>
                <w:p>
                  <w:pPr>
                    <w:tabs>
                      <w:tab w:pos="753" w:val="left" w:leader="none"/>
                    </w:tabs>
                    <w:spacing w:line="301" w:lineRule="exact" w:before="0"/>
                    <w:ind w:left="28" w:right="0" w:firstLine="0"/>
                    <w:jc w:val="left"/>
                    <w:rPr>
                      <w:rFonts w:ascii="Microsoft JhengHei" w:eastAsia="Microsoft JhengHei" w:hint="eastAsia"/>
                      <w:b/>
                      <w:sz w:val="24"/>
                    </w:rPr>
                  </w:pPr>
                  <w:r>
                    <w:rPr>
                      <w:rFonts w:ascii="Microsoft JhengHei" w:eastAsia="Microsoft JhengHei" w:hint="eastAsia"/>
                      <w:b/>
                      <w:spacing w:val="1"/>
                      <w:w w:val="83"/>
                      <w:sz w:val="24"/>
                    </w:rPr>
                    <w:t>2</w:t>
                  </w:r>
                  <w:r>
                    <w:rPr>
                      <w:rFonts w:ascii="Microsoft JhengHei" w:eastAsia="Microsoft JhengHei" w:hint="eastAsia"/>
                      <w:b/>
                      <w:w w:val="196"/>
                      <w:sz w:val="24"/>
                    </w:rPr>
                    <w:t>.</w:t>
                  </w:r>
                  <w:r>
                    <w:rPr>
                      <w:rFonts w:ascii="Microsoft JhengHei" w:eastAsia="Microsoft JhengHei" w:hint="eastAsia"/>
                      <w:b/>
                      <w:spacing w:val="1"/>
                      <w:w w:val="83"/>
                      <w:sz w:val="24"/>
                    </w:rPr>
                    <w:t>1</w:t>
                  </w:r>
                  <w:r>
                    <w:rPr>
                      <w:rFonts w:ascii="Microsoft JhengHei" w:eastAsia="Microsoft JhengHei" w:hint="eastAsia"/>
                      <w:b/>
                      <w:w w:val="83"/>
                      <w:sz w:val="24"/>
                    </w:rPr>
                    <w:t>6</w:t>
                  </w:r>
                  <w:r>
                    <w:rPr>
                      <w:rFonts w:ascii="Microsoft JhengHei" w:eastAsia="Microsoft JhengHei" w:hint="eastAsia"/>
                      <w:b/>
                      <w:sz w:val="24"/>
                    </w:rPr>
                    <w:tab/>
                  </w:r>
                  <w:r>
                    <w:rPr>
                      <w:rFonts w:ascii="Microsoft JhengHei" w:eastAsia="Microsoft JhengHei" w:hint="eastAsia"/>
                      <w:b/>
                      <w:w w:val="99"/>
                      <w:sz w:val="24"/>
                    </w:rPr>
                    <w:t>合同内容的变更</w:t>
                  </w:r>
                </w:p>
              </w:txbxContent>
            </v:textbox>
            <v:fill type="solid"/>
            <w10:wrap type="topAndBottom"/>
          </v:shape>
        </w:pict>
      </w:r>
    </w:p>
    <w:p>
      <w:pPr>
        <w:pStyle w:val="BodyText"/>
        <w:spacing w:line="247" w:lineRule="exact"/>
        <w:ind w:left="632"/>
      </w:pPr>
      <w:r>
        <w:rPr/>
        <w:t>本附加合同内容变更的规定同主合同。</w:t>
      </w:r>
    </w:p>
    <w:p>
      <w:pPr>
        <w:pStyle w:val="BodyText"/>
        <w:ind w:left="0"/>
        <w:rPr>
          <w:sz w:val="20"/>
        </w:rPr>
      </w:pPr>
    </w:p>
    <w:p>
      <w:pPr>
        <w:pStyle w:val="BodyText"/>
        <w:spacing w:before="8"/>
        <w:ind w:left="0"/>
        <w:rPr>
          <w:sz w:val="29"/>
        </w:rPr>
      </w:pPr>
      <w:r>
        <w:rPr/>
        <w:pict>
          <v:shape style="position:absolute;margin-left:55.19952pt;margin-top:20.597145pt;width:484.8pt;height:15.6pt;mso-position-horizontal-relative:page;mso-position-vertical-relative:paragraph;z-index:1408;mso-wrap-distance-left:0;mso-wrap-distance-right:0" type="#_x0000_t202" filled="true" fillcolor="#e6e6e6" stroked="false">
            <v:textbox inset="0,0,0,0">
              <w:txbxContent>
                <w:p>
                  <w:pPr>
                    <w:tabs>
                      <w:tab w:pos="753" w:val="left" w:leader="none"/>
                    </w:tabs>
                    <w:spacing w:line="301" w:lineRule="exact" w:before="0"/>
                    <w:ind w:left="28" w:right="0" w:firstLine="0"/>
                    <w:jc w:val="left"/>
                    <w:rPr>
                      <w:rFonts w:ascii="Microsoft JhengHei" w:eastAsia="Microsoft JhengHei" w:hint="eastAsia"/>
                      <w:b/>
                      <w:sz w:val="24"/>
                    </w:rPr>
                  </w:pPr>
                  <w:r>
                    <w:rPr>
                      <w:rFonts w:ascii="Microsoft JhengHei" w:eastAsia="Microsoft JhengHei" w:hint="eastAsia"/>
                      <w:b/>
                      <w:spacing w:val="1"/>
                      <w:w w:val="83"/>
                      <w:sz w:val="24"/>
                    </w:rPr>
                    <w:t>2</w:t>
                  </w:r>
                  <w:r>
                    <w:rPr>
                      <w:rFonts w:ascii="Microsoft JhengHei" w:eastAsia="Microsoft JhengHei" w:hint="eastAsia"/>
                      <w:b/>
                      <w:w w:val="196"/>
                      <w:sz w:val="24"/>
                    </w:rPr>
                    <w:t>.</w:t>
                  </w:r>
                  <w:r>
                    <w:rPr>
                      <w:rFonts w:ascii="Microsoft JhengHei" w:eastAsia="Microsoft JhengHei" w:hint="eastAsia"/>
                      <w:b/>
                      <w:spacing w:val="1"/>
                      <w:w w:val="83"/>
                      <w:sz w:val="24"/>
                    </w:rPr>
                    <w:t>1</w:t>
                  </w:r>
                  <w:r>
                    <w:rPr>
                      <w:rFonts w:ascii="Microsoft JhengHei" w:eastAsia="Microsoft JhengHei" w:hint="eastAsia"/>
                      <w:b/>
                      <w:w w:val="83"/>
                      <w:sz w:val="24"/>
                    </w:rPr>
                    <w:t>7</w:t>
                  </w:r>
                  <w:r>
                    <w:rPr>
                      <w:rFonts w:ascii="Microsoft JhengHei" w:eastAsia="Microsoft JhengHei" w:hint="eastAsia"/>
                      <w:b/>
                      <w:sz w:val="24"/>
                    </w:rPr>
                    <w:tab/>
                  </w:r>
                  <w:r>
                    <w:rPr>
                      <w:rFonts w:ascii="Microsoft JhengHei" w:eastAsia="Microsoft JhengHei" w:hint="eastAsia"/>
                      <w:b/>
                      <w:w w:val="99"/>
                      <w:sz w:val="24"/>
                    </w:rPr>
                    <w:t>联系方式的变更</w:t>
                  </w:r>
                </w:p>
              </w:txbxContent>
            </v:textbox>
            <v:fill type="solid"/>
            <w10:wrap type="topAndBottom"/>
          </v:shape>
        </w:pict>
      </w:r>
    </w:p>
    <w:p>
      <w:pPr>
        <w:pStyle w:val="BodyText"/>
        <w:spacing w:line="247" w:lineRule="exact"/>
        <w:ind w:left="632"/>
      </w:pPr>
      <w:r>
        <w:rPr/>
        <w:t>本附加合同联系方式变更的规定同主合同。</w:t>
      </w:r>
    </w:p>
    <w:p>
      <w:pPr>
        <w:pStyle w:val="BodyText"/>
        <w:ind w:left="0"/>
        <w:rPr>
          <w:sz w:val="20"/>
        </w:rPr>
      </w:pPr>
    </w:p>
    <w:p>
      <w:pPr>
        <w:pStyle w:val="BodyText"/>
        <w:spacing w:before="8"/>
        <w:ind w:left="0"/>
        <w:rPr>
          <w:sz w:val="29"/>
        </w:rPr>
      </w:pPr>
      <w:r>
        <w:rPr/>
        <w:pict>
          <v:shape style="position:absolute;margin-left:55.19952pt;margin-top:20.597181pt;width:484.8pt;height:15.6pt;mso-position-horizontal-relative:page;mso-position-vertical-relative:paragraph;z-index:1432;mso-wrap-distance-left:0;mso-wrap-distance-right:0" type="#_x0000_t202" filled="true" fillcolor="#e6e6e6" stroked="false">
            <v:textbox inset="0,0,0,0">
              <w:txbxContent>
                <w:p>
                  <w:pPr>
                    <w:tabs>
                      <w:tab w:pos="753" w:val="left" w:leader="none"/>
                    </w:tabs>
                    <w:spacing w:line="301" w:lineRule="exact" w:before="0"/>
                    <w:ind w:left="28" w:right="0" w:firstLine="0"/>
                    <w:jc w:val="left"/>
                    <w:rPr>
                      <w:rFonts w:ascii="Microsoft JhengHei" w:eastAsia="Microsoft JhengHei" w:hint="eastAsia"/>
                      <w:b/>
                      <w:sz w:val="24"/>
                    </w:rPr>
                  </w:pPr>
                  <w:r>
                    <w:rPr>
                      <w:rFonts w:ascii="Microsoft JhengHei" w:eastAsia="Microsoft JhengHei" w:hint="eastAsia"/>
                      <w:b/>
                      <w:spacing w:val="1"/>
                      <w:w w:val="83"/>
                      <w:sz w:val="24"/>
                    </w:rPr>
                    <w:t>2</w:t>
                  </w:r>
                  <w:r>
                    <w:rPr>
                      <w:rFonts w:ascii="Microsoft JhengHei" w:eastAsia="Microsoft JhengHei" w:hint="eastAsia"/>
                      <w:b/>
                      <w:w w:val="196"/>
                      <w:sz w:val="24"/>
                    </w:rPr>
                    <w:t>.</w:t>
                  </w:r>
                  <w:r>
                    <w:rPr>
                      <w:rFonts w:ascii="Microsoft JhengHei" w:eastAsia="Microsoft JhengHei" w:hint="eastAsia"/>
                      <w:b/>
                      <w:spacing w:val="1"/>
                      <w:w w:val="83"/>
                      <w:sz w:val="24"/>
                    </w:rPr>
                    <w:t>1</w:t>
                  </w:r>
                  <w:r>
                    <w:rPr>
                      <w:rFonts w:ascii="Microsoft JhengHei" w:eastAsia="Microsoft JhengHei" w:hint="eastAsia"/>
                      <w:b/>
                      <w:w w:val="83"/>
                      <w:sz w:val="24"/>
                    </w:rPr>
                    <w:t>8</w:t>
                  </w:r>
                  <w:r>
                    <w:rPr>
                      <w:rFonts w:ascii="Microsoft JhengHei" w:eastAsia="Microsoft JhengHei" w:hint="eastAsia"/>
                      <w:b/>
                      <w:sz w:val="24"/>
                    </w:rPr>
                    <w:tab/>
                  </w:r>
                  <w:r>
                    <w:rPr>
                      <w:rFonts w:ascii="Microsoft JhengHei" w:eastAsia="Microsoft JhengHei" w:hint="eastAsia"/>
                      <w:b/>
                      <w:w w:val="99"/>
                      <w:sz w:val="24"/>
                    </w:rPr>
                    <w:t>借款</w:t>
                  </w:r>
                </w:p>
              </w:txbxContent>
            </v:textbox>
            <v:fill type="solid"/>
            <w10:wrap type="topAndBottom"/>
          </v:shape>
        </w:pict>
      </w:r>
    </w:p>
    <w:p>
      <w:pPr>
        <w:pStyle w:val="BodyText"/>
        <w:spacing w:line="247" w:lineRule="exact"/>
        <w:ind w:left="632"/>
      </w:pPr>
      <w:r>
        <w:rPr/>
        <w:t>本附加合同不提供借款，但其现金价值参与主合同的借款。</w:t>
      </w:r>
    </w:p>
    <w:p>
      <w:pPr>
        <w:pStyle w:val="BodyText"/>
        <w:ind w:left="0"/>
        <w:rPr>
          <w:sz w:val="20"/>
        </w:rPr>
      </w:pPr>
    </w:p>
    <w:p>
      <w:pPr>
        <w:pStyle w:val="BodyText"/>
        <w:spacing w:before="8"/>
        <w:ind w:left="0"/>
        <w:rPr>
          <w:sz w:val="29"/>
        </w:rPr>
      </w:pPr>
      <w:r>
        <w:rPr/>
        <w:pict>
          <v:shape style="position:absolute;margin-left:55.19952pt;margin-top:20.597155pt;width:484.8pt;height:15.6pt;mso-position-horizontal-relative:page;mso-position-vertical-relative:paragraph;z-index:1456;mso-wrap-distance-left:0;mso-wrap-distance-right:0" type="#_x0000_t202" filled="true" fillcolor="#e6e6e6" stroked="false">
            <v:textbox inset="0,0,0,0">
              <w:txbxContent>
                <w:p>
                  <w:pPr>
                    <w:tabs>
                      <w:tab w:pos="753" w:val="left" w:leader="none"/>
                    </w:tabs>
                    <w:spacing w:line="301" w:lineRule="exact" w:before="0"/>
                    <w:ind w:left="28" w:right="0" w:firstLine="0"/>
                    <w:jc w:val="left"/>
                    <w:rPr>
                      <w:rFonts w:ascii="Microsoft JhengHei" w:eastAsia="Microsoft JhengHei" w:hint="eastAsia"/>
                      <w:b/>
                      <w:sz w:val="24"/>
                    </w:rPr>
                  </w:pPr>
                  <w:r>
                    <w:rPr>
                      <w:rFonts w:ascii="Microsoft JhengHei" w:eastAsia="Microsoft JhengHei" w:hint="eastAsia"/>
                      <w:b/>
                      <w:spacing w:val="1"/>
                      <w:w w:val="83"/>
                      <w:sz w:val="24"/>
                    </w:rPr>
                    <w:t>2</w:t>
                  </w:r>
                  <w:r>
                    <w:rPr>
                      <w:rFonts w:ascii="Microsoft JhengHei" w:eastAsia="Microsoft JhengHei" w:hint="eastAsia"/>
                      <w:b/>
                      <w:w w:val="196"/>
                      <w:sz w:val="24"/>
                    </w:rPr>
                    <w:t>.</w:t>
                  </w:r>
                  <w:r>
                    <w:rPr>
                      <w:rFonts w:ascii="Microsoft JhengHei" w:eastAsia="Microsoft JhengHei" w:hint="eastAsia"/>
                      <w:b/>
                      <w:spacing w:val="1"/>
                      <w:w w:val="83"/>
                      <w:sz w:val="24"/>
                    </w:rPr>
                    <w:t>1</w:t>
                  </w:r>
                  <w:r>
                    <w:rPr>
                      <w:rFonts w:ascii="Microsoft JhengHei" w:eastAsia="Microsoft JhengHei" w:hint="eastAsia"/>
                      <w:b/>
                      <w:w w:val="83"/>
                      <w:sz w:val="24"/>
                    </w:rPr>
                    <w:t>9</w:t>
                  </w:r>
                  <w:r>
                    <w:rPr>
                      <w:rFonts w:ascii="Microsoft JhengHei" w:eastAsia="Microsoft JhengHei" w:hint="eastAsia"/>
                      <w:b/>
                      <w:sz w:val="24"/>
                    </w:rPr>
                    <w:tab/>
                  </w:r>
                  <w:r>
                    <w:rPr>
                      <w:rFonts w:ascii="Microsoft JhengHei" w:eastAsia="Microsoft JhengHei" w:hint="eastAsia"/>
                      <w:b/>
                      <w:w w:val="99"/>
                      <w:sz w:val="24"/>
                    </w:rPr>
                    <w:t>争议处理</w:t>
                  </w:r>
                </w:p>
              </w:txbxContent>
            </v:textbox>
            <v:fill type="solid"/>
            <w10:wrap type="topAndBottom"/>
          </v:shape>
        </w:pict>
      </w:r>
    </w:p>
    <w:p>
      <w:pPr>
        <w:pStyle w:val="BodyText"/>
        <w:spacing w:line="247" w:lineRule="exact"/>
        <w:ind w:left="632"/>
      </w:pPr>
      <w:r>
        <w:rPr/>
        <w:t>在本附加合同履行过程中发生任何争议，其解决方式同主合同。</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16"/>
        </w:rPr>
      </w:pPr>
      <w:r>
        <w:rPr/>
        <w:drawing>
          <wp:anchor distT="0" distB="0" distL="0" distR="0" allowOverlap="1" layoutInCell="1" locked="0" behindDoc="0" simplePos="0" relativeHeight="1480">
            <wp:simplePos x="0" y="0"/>
            <wp:positionH relativeFrom="page">
              <wp:posOffset>650741</wp:posOffset>
            </wp:positionH>
            <wp:positionV relativeFrom="paragraph">
              <wp:posOffset>159259</wp:posOffset>
            </wp:positionV>
            <wp:extent cx="6257550" cy="38100"/>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6257550" cy="38100"/>
                    </a:xfrm>
                    <a:prstGeom prst="rect">
                      <a:avLst/>
                    </a:prstGeom>
                  </pic:spPr>
                </pic:pic>
              </a:graphicData>
            </a:graphic>
          </wp:anchor>
        </w:drawing>
      </w:r>
    </w:p>
    <w:p>
      <w:pPr>
        <w:pStyle w:val="BodyText"/>
        <w:ind w:left="0"/>
        <w:rPr>
          <w:sz w:val="20"/>
        </w:rPr>
      </w:pPr>
    </w:p>
    <w:p>
      <w:pPr>
        <w:pStyle w:val="BodyText"/>
        <w:ind w:left="0"/>
        <w:rPr>
          <w:sz w:val="20"/>
        </w:rPr>
      </w:pPr>
    </w:p>
    <w:p>
      <w:pPr>
        <w:pStyle w:val="BodyText"/>
        <w:spacing w:before="11"/>
        <w:ind w:left="0"/>
        <w:rPr>
          <w:sz w:val="15"/>
        </w:rPr>
      </w:pPr>
      <w:r>
        <w:rPr/>
        <w:pict>
          <v:line style="position:absolute;mso-position-horizontal-relative:page;mso-position-vertical-relative:paragraph;z-index:1504;mso-wrap-distance-left:0;mso-wrap-distance-right:0" from="56.639519pt,12.577168pt" to="200.639516pt,12.577168pt" stroked="true" strokeweight=".479531pt" strokecolor="#000000">
            <v:stroke dashstyle="solid"/>
            <w10:wrap type="topAndBottom"/>
          </v:line>
        </w:pict>
      </w:r>
    </w:p>
    <w:p>
      <w:pPr>
        <w:pStyle w:val="BodyText"/>
        <w:spacing w:line="290" w:lineRule="exact"/>
      </w:pPr>
      <w:r>
        <w:rPr>
          <w:rFonts w:ascii="Times New Roman" w:eastAsia="Times New Roman"/>
          <w:position w:val="10"/>
          <w:sz w:val="14"/>
        </w:rPr>
        <w:t>1    </w:t>
      </w:r>
      <w:r>
        <w:rPr>
          <w:rFonts w:ascii="微软雅黑" w:eastAsia="微软雅黑" w:hint="eastAsia"/>
          <w:b/>
        </w:rPr>
        <w:t>周岁</w:t>
      </w:r>
      <w:r>
        <w:rPr/>
        <w:t>：以有效身份证件中记载的出生日期为计算基础，满一年为一周岁，不足一年的不计。</w:t>
      </w:r>
    </w:p>
    <w:p>
      <w:pPr>
        <w:spacing w:line="272" w:lineRule="exact" w:before="0"/>
        <w:ind w:left="212" w:right="0" w:firstLine="0"/>
        <w:jc w:val="left"/>
        <w:rPr>
          <w:sz w:val="21"/>
        </w:rPr>
      </w:pPr>
      <w:r>
        <w:rPr>
          <w:rFonts w:ascii="Times New Roman" w:eastAsia="Times New Roman"/>
          <w:position w:val="10"/>
          <w:sz w:val="14"/>
        </w:rPr>
        <w:t>2   </w:t>
      </w:r>
      <w:r>
        <w:rPr>
          <w:rFonts w:ascii="微软雅黑" w:eastAsia="微软雅黑" w:hint="eastAsia"/>
          <w:b/>
          <w:sz w:val="21"/>
        </w:rPr>
        <w:t>五十种重大疾病</w:t>
      </w:r>
      <w:r>
        <w:rPr>
          <w:sz w:val="21"/>
        </w:rPr>
        <w:t>：</w:t>
      </w:r>
    </w:p>
    <w:p>
      <w:pPr>
        <w:spacing w:line="304" w:lineRule="exact" w:before="0"/>
        <w:ind w:left="212" w:right="0" w:firstLine="0"/>
        <w:jc w:val="left"/>
        <w:rPr>
          <w:rFonts w:ascii="微软雅黑" w:eastAsia="微软雅黑" w:hint="eastAsia"/>
          <w:b/>
          <w:sz w:val="21"/>
        </w:rPr>
      </w:pPr>
      <w:r>
        <w:rPr>
          <w:sz w:val="21"/>
        </w:rPr>
        <w:t>（1）</w:t>
      </w:r>
      <w:r>
        <w:rPr>
          <w:rFonts w:ascii="微软雅黑" w:eastAsia="微软雅黑" w:hint="eastAsia"/>
          <w:b/>
          <w:sz w:val="21"/>
          <w:u w:val="single"/>
        </w:rPr>
        <w:t>恶性肿瘤</w:t>
      </w:r>
    </w:p>
    <w:p>
      <w:pPr>
        <w:pStyle w:val="BodyText"/>
        <w:spacing w:line="237" w:lineRule="auto"/>
        <w:ind w:right="202" w:hanging="1"/>
        <w:jc w:val="both"/>
      </w:pPr>
      <w:r>
        <w:rPr>
          <w:spacing w:val="-6"/>
        </w:rPr>
        <w:t>指恶性细胞不受控制的进行性增长和扩散，浸润和破坏周围正常组织，可以经血管、淋巴管和体腔扩散转</w:t>
      </w:r>
      <w:r>
        <w:rPr>
          <w:spacing w:val="-7"/>
        </w:rPr>
        <w:t>移到身体其它部位的疾病。经病理学检查结果明确诊断，临床诊断属于世界卫生组织《疾病和有关健康问</w:t>
      </w:r>
      <w:r>
        <w:rPr>
          <w:spacing w:val="-15"/>
        </w:rPr>
        <w:t>题的国际统计分类》</w:t>
      </w:r>
      <w:r>
        <w:rPr>
          <w:spacing w:val="-1"/>
        </w:rPr>
        <w:t>（ICD-10）</w:t>
      </w:r>
      <w:r>
        <w:rPr>
          <w:spacing w:val="-3"/>
        </w:rPr>
        <w:t>的恶性肿瘤范畴。</w:t>
      </w:r>
    </w:p>
    <w:p>
      <w:pPr>
        <w:pStyle w:val="BodyText"/>
        <w:spacing w:line="241" w:lineRule="exact" w:before="11"/>
      </w:pPr>
      <w:r>
        <w:rPr/>
        <w:t>下列疾病不在保障范围内：</w:t>
      </w:r>
    </w:p>
    <w:p>
      <w:pPr>
        <w:spacing w:line="330" w:lineRule="exact" w:before="0"/>
        <w:ind w:left="424" w:right="0" w:firstLine="0"/>
        <w:jc w:val="left"/>
        <w:rPr>
          <w:sz w:val="21"/>
        </w:rPr>
      </w:pPr>
      <w:r>
        <w:rPr/>
        <w:pict>
          <v:shape style="position:absolute;margin-left:86.040108pt;margin-top:8.740041pt;width:31.7pt;height:10.6pt;mso-position-horizontal-relative:page;mso-position-vertical-relative:paragraph;z-index:-22768" type="#_x0000_t202" filled="false" stroked="false">
            <v:textbox inset="0,0,0,0">
              <w:txbxContent>
                <w:p>
                  <w:pPr>
                    <w:pStyle w:val="BodyText"/>
                    <w:spacing w:line="211" w:lineRule="exact"/>
                    <w:ind w:left="0"/>
                  </w:pPr>
                  <w:r>
                    <w:rPr/>
                    <w:t>．．．</w:t>
                  </w:r>
                </w:p>
              </w:txbxContent>
            </v:textbox>
            <w10:wrap type="none"/>
          </v:shape>
        </w:pict>
      </w:r>
      <w:r>
        <w:rPr>
          <w:sz w:val="21"/>
        </w:rPr>
        <w:t>Ⅰ </w:t>
      </w:r>
      <w:r>
        <w:rPr>
          <w:rFonts w:ascii="微软雅黑" w:hAnsi="微软雅黑" w:eastAsia="微软雅黑" w:hint="eastAsia"/>
          <w:b/>
          <w:sz w:val="21"/>
        </w:rPr>
        <w:t>原位癌 </w:t>
      </w:r>
      <w:r>
        <w:rPr>
          <w:rFonts w:ascii="微软雅黑" w:hAnsi="微软雅黑" w:eastAsia="微软雅黑" w:hint="eastAsia"/>
          <w:b/>
          <w:position w:val="11"/>
          <w:sz w:val="11"/>
        </w:rPr>
        <w:t>17</w:t>
      </w:r>
      <w:r>
        <w:rPr>
          <w:sz w:val="21"/>
        </w:rPr>
        <w:t>；</w:t>
      </w:r>
    </w:p>
    <w:p>
      <w:pPr>
        <w:pStyle w:val="BodyText"/>
        <w:spacing w:line="273" w:lineRule="exact" w:before="41"/>
        <w:ind w:left="424"/>
      </w:pPr>
      <w:r>
        <w:rPr>
          <w:spacing w:val="-74"/>
          <w:w w:val="175"/>
        </w:rPr>
        <w:t>" </w:t>
      </w:r>
      <w:r>
        <w:rPr>
          <w:spacing w:val="-25"/>
          <w:w w:val="105"/>
        </w:rPr>
        <w:t>相当于 </w:t>
      </w:r>
      <w:r>
        <w:rPr>
          <w:w w:val="105"/>
        </w:rPr>
        <w:t>Binet</w:t>
      </w:r>
      <w:r>
        <w:rPr>
          <w:spacing w:val="-33"/>
          <w:w w:val="105"/>
        </w:rPr>
        <w:t> 分期方案 </w:t>
      </w:r>
      <w:r>
        <w:rPr>
          <w:w w:val="105"/>
        </w:rPr>
        <w:t>A</w:t>
      </w:r>
      <w:r>
        <w:rPr>
          <w:spacing w:val="-11"/>
          <w:w w:val="105"/>
        </w:rPr>
        <w:t> 期程度的慢性淋巴细胞白血病；</w:t>
      </w:r>
    </w:p>
    <w:p>
      <w:pPr>
        <w:pStyle w:val="BodyText"/>
        <w:spacing w:line="272" w:lineRule="exact"/>
        <w:ind w:left="424"/>
      </w:pPr>
      <w:r>
        <w:rPr/>
        <w:t>Ⅲ 相当于 Ann Arbor 分期方案 I 期程度的何杰金氏病；</w:t>
      </w:r>
    </w:p>
    <w:p>
      <w:pPr>
        <w:pStyle w:val="BodyText"/>
        <w:spacing w:line="237" w:lineRule="auto" w:before="2"/>
        <w:ind w:left="424" w:right="4052" w:hanging="1"/>
      </w:pPr>
      <w:r>
        <w:rPr/>
        <w:t>Ⅳ 皮肤癌（不包括恶性黑色素瘤及已发生转移的皮肤癌）； </w:t>
      </w:r>
      <w:r>
        <w:rPr>
          <w:position w:val="1"/>
        </w:rPr>
        <w:t>Ⅴ 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line="241" w:lineRule="exact"/>
        <w:ind w:left="424"/>
      </w:pPr>
      <w:r>
        <w:rPr/>
        <w:t>Ⅵ 感染艾滋病病毒或患艾滋病期间所患恶性肿瘤。</w:t>
      </w:r>
    </w:p>
    <w:p>
      <w:pPr>
        <w:spacing w:line="316" w:lineRule="exact" w:before="0"/>
        <w:ind w:left="318" w:right="0" w:firstLine="0"/>
        <w:jc w:val="left"/>
        <w:rPr>
          <w:rFonts w:ascii="微软雅黑" w:eastAsia="微软雅黑" w:hint="eastAsia"/>
          <w:b/>
          <w:sz w:val="21"/>
        </w:rPr>
      </w:pPr>
      <w:r>
        <w:rPr>
          <w:sz w:val="21"/>
        </w:rPr>
        <w:t>（2）</w:t>
      </w:r>
      <w:r>
        <w:rPr>
          <w:rFonts w:ascii="微软雅黑" w:eastAsia="微软雅黑" w:hint="eastAsia"/>
          <w:b/>
          <w:sz w:val="21"/>
          <w:u w:val="single"/>
        </w:rPr>
        <w:t>急性心肌梗塞</w:t>
      </w:r>
    </w:p>
    <w:p>
      <w:pPr>
        <w:pStyle w:val="BodyText"/>
        <w:spacing w:line="260" w:lineRule="exact"/>
      </w:pPr>
      <w:r>
        <w:rPr/>
        <w:t>指因冠状动脉阻塞导致的相应区域供血不足造成部分心肌坏死。须满足下列至少三项条件：</w:t>
      </w:r>
    </w:p>
    <w:p>
      <w:pPr>
        <w:pStyle w:val="BodyText"/>
        <w:spacing w:line="272" w:lineRule="exact"/>
        <w:ind w:left="423"/>
      </w:pPr>
      <w:r>
        <w:rPr/>
        <w:t>Ⅰ 典型临床表现，例如急性胸痛等；</w:t>
      </w:r>
    </w:p>
    <w:p>
      <w:pPr>
        <w:pStyle w:val="BodyText"/>
        <w:spacing w:line="272" w:lineRule="exact"/>
        <w:ind w:left="424"/>
      </w:pPr>
      <w:r>
        <w:rPr>
          <w:w w:val="115"/>
        </w:rPr>
        <w:t>" </w:t>
      </w:r>
      <w:r>
        <w:rPr>
          <w:w w:val="105"/>
        </w:rPr>
        <w:t>新近的心电图改变提示急性心肌梗塞；</w:t>
      </w:r>
    </w:p>
    <w:p>
      <w:pPr>
        <w:pStyle w:val="BodyText"/>
        <w:spacing w:line="272" w:lineRule="exact"/>
        <w:ind w:left="424"/>
      </w:pPr>
      <w:r>
        <w:rPr/>
        <w:t>Ⅲ 心肌酶或肌钙蛋白有诊断意义的升高，或呈符合急性心肌梗塞的动态性变化；</w:t>
      </w:r>
    </w:p>
    <w:p>
      <w:pPr>
        <w:pStyle w:val="BodyText"/>
        <w:spacing w:line="241" w:lineRule="exact"/>
        <w:ind w:left="424"/>
      </w:pPr>
      <w:r>
        <w:rPr/>
        <w:t>Ⅳ</w:t>
      </w:r>
      <w:r>
        <w:rPr>
          <w:spacing w:val="15"/>
        </w:rPr>
        <w:t> </w:t>
      </w:r>
      <w:r>
        <w:rPr>
          <w:spacing w:val="-3"/>
        </w:rPr>
        <w:t>发</w:t>
      </w:r>
      <w:r>
        <w:rPr/>
        <w:t>病</w:t>
      </w:r>
      <w:r>
        <w:rPr>
          <w:spacing w:val="-45"/>
        </w:rPr>
        <w:t> </w:t>
      </w:r>
      <w:r>
        <w:rPr/>
        <w:t>90</w:t>
      </w:r>
      <w:r>
        <w:rPr>
          <w:spacing w:val="-48"/>
        </w:rPr>
        <w:t> </w:t>
      </w:r>
      <w:r>
        <w:rPr/>
        <w:t>天</w:t>
      </w:r>
      <w:r>
        <w:rPr>
          <w:spacing w:val="-3"/>
        </w:rPr>
        <w:t>后</w:t>
      </w:r>
      <w:r>
        <w:rPr/>
        <w:t>，</w:t>
      </w:r>
      <w:r>
        <w:rPr>
          <w:spacing w:val="-3"/>
        </w:rPr>
        <w:t>经</w:t>
      </w:r>
      <w:r>
        <w:rPr/>
        <w:t>检</w:t>
      </w:r>
      <w:r>
        <w:rPr>
          <w:spacing w:val="-3"/>
        </w:rPr>
        <w:t>查</w:t>
      </w:r>
      <w:r>
        <w:rPr/>
        <w:t>证实</w:t>
      </w:r>
      <w:r>
        <w:rPr>
          <w:spacing w:val="-3"/>
        </w:rPr>
        <w:t>左</w:t>
      </w:r>
      <w:r>
        <w:rPr/>
        <w:t>心</w:t>
      </w:r>
      <w:r>
        <w:rPr>
          <w:spacing w:val="-3"/>
        </w:rPr>
        <w:t>室</w:t>
      </w:r>
      <w:r>
        <w:rPr/>
        <w:t>功</w:t>
      </w:r>
      <w:r>
        <w:rPr>
          <w:spacing w:val="-3"/>
        </w:rPr>
        <w:t>能</w:t>
      </w:r>
      <w:r>
        <w:rPr/>
        <w:t>降</w:t>
      </w:r>
      <w:r>
        <w:rPr>
          <w:spacing w:val="-3"/>
        </w:rPr>
        <w:t>低</w:t>
      </w:r>
      <w:r>
        <w:rPr/>
        <w:t>，</w:t>
      </w:r>
      <w:r>
        <w:rPr>
          <w:spacing w:val="-3"/>
        </w:rPr>
        <w:t>如</w:t>
      </w:r>
      <w:r>
        <w:rPr/>
        <w:t>左心</w:t>
      </w:r>
      <w:r>
        <w:rPr>
          <w:spacing w:val="-3"/>
        </w:rPr>
        <w:t>室</w:t>
      </w:r>
      <w:r>
        <w:rPr/>
        <w:t>射</w:t>
      </w:r>
      <w:r>
        <w:rPr>
          <w:spacing w:val="-3"/>
        </w:rPr>
        <w:t>血</w:t>
      </w:r>
      <w:r>
        <w:rPr/>
        <w:t>分</w:t>
      </w:r>
      <w:r>
        <w:rPr>
          <w:spacing w:val="-3"/>
        </w:rPr>
        <w:t>数低</w:t>
      </w:r>
      <w:r>
        <w:rPr/>
        <w:t>于</w:t>
      </w:r>
      <w:r>
        <w:rPr>
          <w:spacing w:val="-53"/>
        </w:rPr>
        <w:t> </w:t>
      </w:r>
      <w:r>
        <w:rPr>
          <w:w w:val="100"/>
        </w:rPr>
        <w:drawing>
          <wp:inline distT="0" distB="0" distL="0" distR="0">
            <wp:extent cx="63499" cy="9525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2" cstate="print"/>
                    <a:stretch>
                      <a:fillRect/>
                    </a:stretch>
                  </pic:blipFill>
                  <pic:spPr>
                    <a:xfrm>
                      <a:off x="0" y="0"/>
                      <a:ext cx="63499" cy="95250"/>
                    </a:xfrm>
                    <a:prstGeom prst="rect">
                      <a:avLst/>
                    </a:prstGeom>
                  </pic:spPr>
                </pic:pic>
              </a:graphicData>
            </a:graphic>
          </wp:inline>
        </w:drawing>
      </w:r>
      <w:r>
        <w:rPr>
          <w:w w:val="100"/>
        </w:rPr>
      </w:r>
      <w:r>
        <w:rPr/>
        <w:t>。</w:t>
      </w:r>
    </w:p>
    <w:p>
      <w:pPr>
        <w:spacing w:line="316" w:lineRule="exact" w:before="0"/>
        <w:ind w:left="318" w:right="0" w:firstLine="0"/>
        <w:jc w:val="left"/>
        <w:rPr>
          <w:rFonts w:ascii="微软雅黑" w:eastAsia="微软雅黑" w:hint="eastAsia"/>
          <w:b/>
          <w:sz w:val="21"/>
        </w:rPr>
      </w:pPr>
      <w:r>
        <w:rPr>
          <w:sz w:val="21"/>
        </w:rPr>
        <w:t>（3）</w:t>
      </w:r>
      <w:r>
        <w:rPr>
          <w:rFonts w:ascii="微软雅黑" w:eastAsia="微软雅黑" w:hint="eastAsia"/>
          <w:b/>
          <w:sz w:val="21"/>
          <w:u w:val="single"/>
        </w:rPr>
        <w:t>脑中风后遗症</w:t>
      </w:r>
    </w:p>
    <w:p>
      <w:pPr>
        <w:pStyle w:val="BodyText"/>
        <w:spacing w:line="237" w:lineRule="auto"/>
        <w:ind w:right="202" w:hanging="1"/>
      </w:pPr>
      <w:r>
        <w:rPr>
          <w:spacing w:val="-6"/>
        </w:rPr>
        <w:t>指因脑血管的突发病变引起脑血管出血、栓塞或梗塞，并导致神经系统永久性的功能障碍。神经系统永久</w:t>
      </w:r>
      <w:r>
        <w:rPr>
          <w:spacing w:val="-7"/>
        </w:rPr>
        <w:t>性的功能障碍，指疾病确诊 </w:t>
      </w:r>
      <w:r>
        <w:rPr/>
        <w:t>180</w:t>
      </w:r>
      <w:r>
        <w:rPr>
          <w:spacing w:val="-3"/>
        </w:rPr>
        <w:t> 天后，仍遗留下列一种或一种以上障碍：</w:t>
      </w:r>
    </w:p>
    <w:p>
      <w:pPr>
        <w:spacing w:line="299" w:lineRule="exact" w:before="11"/>
        <w:ind w:left="424" w:right="0" w:firstLine="0"/>
        <w:jc w:val="left"/>
        <w:rPr>
          <w:sz w:val="21"/>
        </w:rPr>
      </w:pPr>
      <w:r>
        <w:rPr/>
        <w:pict>
          <v:shape style="position:absolute;margin-left:159.479904pt;margin-top:7.758433pt;width:84.5pt;height:10.6pt;mso-position-horizontal-relative:page;mso-position-vertical-relative:paragraph;z-index:-22744" type="#_x0000_t202" filled="false" stroked="false">
            <v:textbox inset="0,0,0,0">
              <w:txbxContent>
                <w:p>
                  <w:pPr>
                    <w:pStyle w:val="BodyText"/>
                    <w:spacing w:line="211" w:lineRule="exact"/>
                    <w:ind w:left="0"/>
                  </w:pPr>
                  <w:r>
                    <w:rPr/>
                    <w:t>．．．．．．．．</w:t>
                  </w:r>
                </w:p>
              </w:txbxContent>
            </v:textbox>
            <w10:wrap type="none"/>
          </v:shape>
        </w:pict>
      </w:r>
      <w:r>
        <w:rPr>
          <w:sz w:val="21"/>
        </w:rPr>
        <w:t>Ⅰ 一肢或一肢以上</w:t>
      </w:r>
      <w:r>
        <w:rPr>
          <w:rFonts w:ascii="微软雅黑" w:hAnsi="微软雅黑" w:eastAsia="微软雅黑" w:hint="eastAsia"/>
          <w:b/>
          <w:sz w:val="21"/>
        </w:rPr>
        <w:t>肢体机能完全丧失 </w:t>
      </w:r>
      <w:r>
        <w:rPr>
          <w:rFonts w:ascii="微软雅黑" w:hAnsi="微软雅黑" w:eastAsia="微软雅黑" w:hint="eastAsia"/>
          <w:b/>
          <w:position w:val="11"/>
          <w:sz w:val="11"/>
        </w:rPr>
        <w:t>18</w:t>
      </w:r>
      <w:r>
        <w:rPr>
          <w:sz w:val="21"/>
        </w:rPr>
        <w:t>；</w:t>
      </w:r>
    </w:p>
    <w:p>
      <w:pPr>
        <w:spacing w:after="0" w:line="299" w:lineRule="exact"/>
        <w:jc w:val="left"/>
        <w:rPr>
          <w:sz w:val="21"/>
        </w:rPr>
        <w:sectPr>
          <w:headerReference w:type="default" r:id="rId11"/>
          <w:pgSz w:w="11900" w:h="16840"/>
          <w:pgMar w:header="895" w:footer="547" w:top="1080" w:bottom="740" w:left="920" w:right="920"/>
        </w:sectPr>
      </w:pPr>
    </w:p>
    <w:p>
      <w:pPr>
        <w:pStyle w:val="BodyText"/>
        <w:ind w:left="0"/>
        <w:rPr>
          <w:sz w:val="13"/>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spacing w:line="371" w:lineRule="exact" w:before="0"/>
        <w:ind w:left="424" w:right="0" w:firstLine="0"/>
        <w:jc w:val="left"/>
        <w:rPr>
          <w:sz w:val="21"/>
        </w:rPr>
      </w:pPr>
      <w:r>
        <w:rPr/>
        <w:pict>
          <v:shape style="position:absolute;margin-left:233.640518pt;margin-top:9.975656pt;width:10.6pt;height:10.6pt;mso-position-horizontal-relative:page;mso-position-vertical-relative:paragraph;z-index:-22696" type="#_x0000_t202" filled="false" stroked="false">
            <v:textbox inset="0,0,0,0">
              <w:txbxContent>
                <w:p>
                  <w:pPr>
                    <w:pStyle w:val="BodyText"/>
                    <w:spacing w:line="211" w:lineRule="exact"/>
                    <w:ind w:left="0"/>
                  </w:pPr>
                  <w:r>
                    <w:rPr>
                      <w:w w:val="100"/>
                    </w:rPr>
                    <w:t>．</w:t>
                  </w:r>
                </w:p>
              </w:txbxContent>
            </v:textbox>
            <w10:wrap type="none"/>
          </v:shape>
        </w:pict>
      </w:r>
      <w:r>
        <w:rPr>
          <w:spacing w:val="-34"/>
          <w:w w:val="180"/>
          <w:sz w:val="21"/>
        </w:rPr>
        <w:t>" </w:t>
      </w:r>
      <w:r>
        <w:rPr>
          <w:rFonts w:ascii="微软雅黑" w:eastAsia="微软雅黑" w:hint="eastAsia"/>
          <w:b/>
          <w:spacing w:val="-149"/>
          <w:sz w:val="21"/>
        </w:rPr>
        <w:t>语</w:t>
      </w:r>
      <w:r>
        <w:rPr>
          <w:spacing w:val="-63"/>
          <w:position w:val="-7"/>
          <w:sz w:val="21"/>
        </w:rPr>
        <w:t>．</w:t>
      </w:r>
      <w:r>
        <w:rPr>
          <w:rFonts w:ascii="微软雅黑" w:eastAsia="微软雅黑" w:hint="eastAsia"/>
          <w:b/>
          <w:spacing w:val="-149"/>
          <w:sz w:val="21"/>
        </w:rPr>
        <w:t>言</w:t>
      </w:r>
      <w:r>
        <w:rPr>
          <w:spacing w:val="-63"/>
          <w:position w:val="-7"/>
          <w:sz w:val="21"/>
        </w:rPr>
        <w:t>．</w:t>
      </w:r>
      <w:r>
        <w:rPr>
          <w:rFonts w:ascii="微软雅黑" w:eastAsia="微软雅黑" w:hint="eastAsia"/>
          <w:b/>
          <w:spacing w:val="-149"/>
          <w:sz w:val="21"/>
        </w:rPr>
        <w:t>能</w:t>
      </w:r>
      <w:r>
        <w:rPr>
          <w:spacing w:val="-63"/>
          <w:position w:val="-7"/>
          <w:sz w:val="21"/>
        </w:rPr>
        <w:t>．</w:t>
      </w:r>
      <w:r>
        <w:rPr>
          <w:rFonts w:ascii="微软雅黑" w:eastAsia="微软雅黑" w:hint="eastAsia"/>
          <w:b/>
          <w:spacing w:val="-149"/>
          <w:sz w:val="21"/>
        </w:rPr>
        <w:t>力</w:t>
      </w:r>
      <w:r>
        <w:rPr>
          <w:spacing w:val="-63"/>
          <w:position w:val="-7"/>
          <w:sz w:val="21"/>
        </w:rPr>
        <w:t>．</w:t>
      </w:r>
      <w:r>
        <w:rPr>
          <w:rFonts w:ascii="微软雅黑" w:eastAsia="微软雅黑" w:hint="eastAsia"/>
          <w:b/>
          <w:spacing w:val="-149"/>
          <w:sz w:val="21"/>
        </w:rPr>
        <w:t>或</w:t>
      </w:r>
      <w:r>
        <w:rPr>
          <w:spacing w:val="-63"/>
          <w:position w:val="-7"/>
          <w:sz w:val="21"/>
        </w:rPr>
        <w:t>．</w:t>
      </w:r>
      <w:r>
        <w:rPr>
          <w:rFonts w:ascii="微软雅黑" w:eastAsia="微软雅黑" w:hint="eastAsia"/>
          <w:b/>
          <w:spacing w:val="-149"/>
          <w:sz w:val="21"/>
        </w:rPr>
        <w:t>咀</w:t>
      </w:r>
      <w:r>
        <w:rPr>
          <w:spacing w:val="-63"/>
          <w:position w:val="-7"/>
          <w:sz w:val="21"/>
        </w:rPr>
        <w:t>．</w:t>
      </w:r>
      <w:r>
        <w:rPr>
          <w:rFonts w:ascii="微软雅黑" w:eastAsia="微软雅黑" w:hint="eastAsia"/>
          <w:b/>
          <w:spacing w:val="-149"/>
          <w:sz w:val="21"/>
        </w:rPr>
        <w:t>嚼</w:t>
      </w:r>
      <w:r>
        <w:rPr>
          <w:spacing w:val="-63"/>
          <w:position w:val="-7"/>
          <w:sz w:val="21"/>
        </w:rPr>
        <w:t>．</w:t>
      </w:r>
      <w:r>
        <w:rPr>
          <w:rFonts w:ascii="微软雅黑" w:eastAsia="微软雅黑" w:hint="eastAsia"/>
          <w:b/>
          <w:spacing w:val="-152"/>
          <w:sz w:val="21"/>
        </w:rPr>
        <w:t>吞</w:t>
      </w:r>
      <w:r>
        <w:rPr>
          <w:spacing w:val="-63"/>
          <w:position w:val="-7"/>
          <w:sz w:val="21"/>
        </w:rPr>
        <w:t>．</w:t>
      </w:r>
      <w:r>
        <w:rPr>
          <w:rFonts w:ascii="微软雅黑" w:eastAsia="微软雅黑" w:hint="eastAsia"/>
          <w:b/>
          <w:spacing w:val="-152"/>
          <w:sz w:val="21"/>
        </w:rPr>
        <w:t>咽</w:t>
      </w:r>
      <w:r>
        <w:rPr>
          <w:spacing w:val="-63"/>
          <w:position w:val="-7"/>
          <w:sz w:val="21"/>
        </w:rPr>
        <w:t>．</w:t>
      </w:r>
      <w:r>
        <w:rPr>
          <w:rFonts w:ascii="微软雅黑" w:eastAsia="微软雅黑" w:hint="eastAsia"/>
          <w:b/>
          <w:spacing w:val="-149"/>
          <w:sz w:val="21"/>
        </w:rPr>
        <w:t>能</w:t>
      </w:r>
      <w:r>
        <w:rPr>
          <w:spacing w:val="-63"/>
          <w:position w:val="-7"/>
          <w:sz w:val="21"/>
        </w:rPr>
        <w:t>．</w:t>
      </w:r>
      <w:r>
        <w:rPr>
          <w:rFonts w:ascii="微软雅黑" w:eastAsia="微软雅黑" w:hint="eastAsia"/>
          <w:b/>
          <w:spacing w:val="-149"/>
          <w:sz w:val="21"/>
        </w:rPr>
        <w:t>力</w:t>
      </w:r>
      <w:r>
        <w:rPr>
          <w:spacing w:val="-63"/>
          <w:position w:val="-7"/>
          <w:sz w:val="21"/>
        </w:rPr>
        <w:t>．</w:t>
      </w:r>
      <w:r>
        <w:rPr>
          <w:rFonts w:ascii="微软雅黑" w:eastAsia="微软雅黑" w:hint="eastAsia"/>
          <w:b/>
          <w:spacing w:val="-149"/>
          <w:sz w:val="21"/>
        </w:rPr>
        <w:t>完</w:t>
      </w:r>
      <w:r>
        <w:rPr>
          <w:spacing w:val="-63"/>
          <w:position w:val="-7"/>
          <w:sz w:val="21"/>
        </w:rPr>
        <w:t>．</w:t>
      </w:r>
      <w:r>
        <w:rPr>
          <w:rFonts w:ascii="微软雅黑" w:eastAsia="微软雅黑" w:hint="eastAsia"/>
          <w:b/>
          <w:spacing w:val="-149"/>
          <w:sz w:val="21"/>
        </w:rPr>
        <w:t>全</w:t>
      </w:r>
      <w:r>
        <w:rPr>
          <w:spacing w:val="-63"/>
          <w:position w:val="-7"/>
          <w:sz w:val="21"/>
        </w:rPr>
        <w:t>．</w:t>
      </w:r>
      <w:r>
        <w:rPr>
          <w:rFonts w:ascii="微软雅黑" w:eastAsia="微软雅黑" w:hint="eastAsia"/>
          <w:b/>
          <w:spacing w:val="-149"/>
          <w:sz w:val="21"/>
        </w:rPr>
        <w:t>丧</w:t>
      </w:r>
      <w:r>
        <w:rPr>
          <w:spacing w:val="-63"/>
          <w:position w:val="-7"/>
          <w:sz w:val="21"/>
        </w:rPr>
        <w:t>．</w:t>
      </w:r>
      <w:r>
        <w:rPr>
          <w:rFonts w:ascii="微软雅黑" w:eastAsia="微软雅黑" w:hint="eastAsia"/>
          <w:b/>
          <w:spacing w:val="-1"/>
          <w:sz w:val="21"/>
        </w:rPr>
        <w:t>失 </w:t>
      </w:r>
      <w:r>
        <w:rPr>
          <w:rFonts w:ascii="微软雅黑" w:eastAsia="微软雅黑" w:hint="eastAsia"/>
          <w:b/>
          <w:position w:val="11"/>
          <w:sz w:val="11"/>
        </w:rPr>
        <w:t>19</w:t>
      </w:r>
      <w:r>
        <w:rPr>
          <w:sz w:val="21"/>
        </w:rPr>
        <w:t>；</w:t>
      </w:r>
    </w:p>
    <w:p>
      <w:pPr>
        <w:spacing w:line="379" w:lineRule="exact" w:before="0"/>
        <w:ind w:left="424" w:right="0" w:firstLine="0"/>
        <w:jc w:val="left"/>
        <w:rPr>
          <w:sz w:val="21"/>
        </w:rPr>
      </w:pPr>
      <w:r>
        <w:rPr/>
        <w:pict>
          <v:shape style="position:absolute;margin-left:359.51944pt;margin-top:8.480048pt;width:10.6pt;height:10.6pt;mso-position-horizontal-relative:page;mso-position-vertical-relative:paragraph;z-index:-22672" type="#_x0000_t202" filled="false" stroked="false">
            <v:textbox inset="0,0,0,0">
              <w:txbxContent>
                <w:p>
                  <w:pPr>
                    <w:pStyle w:val="BodyText"/>
                    <w:spacing w:line="211" w:lineRule="exact"/>
                    <w:ind w:left="0"/>
                  </w:pPr>
                  <w:r>
                    <w:rPr>
                      <w:w w:val="100"/>
                    </w:rPr>
                    <w:t>．</w:t>
                  </w:r>
                </w:p>
              </w:txbxContent>
            </v:textbox>
            <w10:wrap type="none"/>
          </v:shape>
        </w:pict>
      </w:r>
      <w:r>
        <w:rPr>
          <w:spacing w:val="-3"/>
          <w:sz w:val="21"/>
        </w:rPr>
        <w:t>Ⅲ 自主生活能力完全丧失，无法独立完成</w:t>
      </w:r>
      <w:r>
        <w:rPr>
          <w:rFonts w:ascii="微软雅黑" w:hAnsi="微软雅黑" w:eastAsia="微软雅黑" w:hint="eastAsia"/>
          <w:b/>
          <w:spacing w:val="-149"/>
          <w:sz w:val="21"/>
        </w:rPr>
        <w:t>六</w:t>
      </w:r>
      <w:r>
        <w:rPr>
          <w:spacing w:val="-63"/>
          <w:position w:val="-7"/>
          <w:sz w:val="21"/>
        </w:rPr>
        <w:t>．</w:t>
      </w:r>
      <w:r>
        <w:rPr>
          <w:rFonts w:ascii="微软雅黑" w:hAnsi="微软雅黑" w:eastAsia="微软雅黑" w:hint="eastAsia"/>
          <w:b/>
          <w:spacing w:val="-149"/>
          <w:sz w:val="21"/>
        </w:rPr>
        <w:t>项</w:t>
      </w:r>
      <w:r>
        <w:rPr>
          <w:spacing w:val="-63"/>
          <w:position w:val="-7"/>
          <w:sz w:val="21"/>
        </w:rPr>
        <w:t>．</w:t>
      </w:r>
      <w:r>
        <w:rPr>
          <w:rFonts w:ascii="微软雅黑" w:hAnsi="微软雅黑" w:eastAsia="微软雅黑" w:hint="eastAsia"/>
          <w:b/>
          <w:spacing w:val="-149"/>
          <w:sz w:val="21"/>
        </w:rPr>
        <w:t>基</w:t>
      </w:r>
      <w:r>
        <w:rPr>
          <w:spacing w:val="-63"/>
          <w:position w:val="-7"/>
          <w:sz w:val="21"/>
        </w:rPr>
        <w:t>．</w:t>
      </w:r>
      <w:r>
        <w:rPr>
          <w:rFonts w:ascii="微软雅黑" w:hAnsi="微软雅黑" w:eastAsia="微软雅黑" w:hint="eastAsia"/>
          <w:b/>
          <w:spacing w:val="-149"/>
          <w:sz w:val="21"/>
        </w:rPr>
        <w:t>本</w:t>
      </w:r>
      <w:r>
        <w:rPr>
          <w:spacing w:val="-63"/>
          <w:position w:val="-7"/>
          <w:sz w:val="21"/>
        </w:rPr>
        <w:t>．</w:t>
      </w:r>
      <w:r>
        <w:rPr>
          <w:rFonts w:ascii="微软雅黑" w:hAnsi="微软雅黑" w:eastAsia="微软雅黑" w:hint="eastAsia"/>
          <w:b/>
          <w:spacing w:val="-149"/>
          <w:sz w:val="21"/>
        </w:rPr>
        <w:t>日</w:t>
      </w:r>
      <w:r>
        <w:rPr>
          <w:spacing w:val="-63"/>
          <w:position w:val="-7"/>
          <w:sz w:val="21"/>
        </w:rPr>
        <w:t>．</w:t>
      </w:r>
      <w:r>
        <w:rPr>
          <w:rFonts w:ascii="微软雅黑" w:hAnsi="微软雅黑" w:eastAsia="微软雅黑" w:hint="eastAsia"/>
          <w:b/>
          <w:spacing w:val="-149"/>
          <w:sz w:val="21"/>
        </w:rPr>
        <w:t>常</w:t>
      </w:r>
      <w:r>
        <w:rPr>
          <w:spacing w:val="-63"/>
          <w:position w:val="-7"/>
          <w:sz w:val="21"/>
        </w:rPr>
        <w:t>．</w:t>
      </w:r>
      <w:r>
        <w:rPr>
          <w:rFonts w:ascii="微软雅黑" w:hAnsi="微软雅黑" w:eastAsia="微软雅黑" w:hint="eastAsia"/>
          <w:b/>
          <w:spacing w:val="-149"/>
          <w:sz w:val="21"/>
        </w:rPr>
        <w:t>生</w:t>
      </w:r>
      <w:r>
        <w:rPr>
          <w:spacing w:val="-63"/>
          <w:position w:val="-7"/>
          <w:sz w:val="21"/>
        </w:rPr>
        <w:t>．</w:t>
      </w:r>
      <w:r>
        <w:rPr>
          <w:rFonts w:ascii="微软雅黑" w:hAnsi="微软雅黑" w:eastAsia="微软雅黑" w:hint="eastAsia"/>
          <w:b/>
          <w:spacing w:val="-149"/>
          <w:sz w:val="21"/>
        </w:rPr>
        <w:t>活</w:t>
      </w:r>
      <w:r>
        <w:rPr>
          <w:spacing w:val="-63"/>
          <w:position w:val="-7"/>
          <w:sz w:val="21"/>
        </w:rPr>
        <w:t>．</w:t>
      </w:r>
      <w:r>
        <w:rPr>
          <w:rFonts w:ascii="微软雅黑" w:hAnsi="微软雅黑" w:eastAsia="微软雅黑" w:hint="eastAsia"/>
          <w:b/>
          <w:spacing w:val="-149"/>
          <w:sz w:val="21"/>
        </w:rPr>
        <w:t>活</w:t>
      </w:r>
      <w:r>
        <w:rPr>
          <w:spacing w:val="-63"/>
          <w:position w:val="-7"/>
          <w:sz w:val="21"/>
        </w:rPr>
        <w:t>．</w:t>
      </w:r>
      <w:r>
        <w:rPr>
          <w:rFonts w:ascii="微软雅黑" w:hAnsi="微软雅黑" w:eastAsia="微软雅黑" w:hint="eastAsia"/>
          <w:b/>
          <w:spacing w:val="-2"/>
          <w:sz w:val="21"/>
        </w:rPr>
        <w:t>动 </w:t>
      </w:r>
      <w:r>
        <w:rPr>
          <w:rFonts w:ascii="微软雅黑" w:hAnsi="微软雅黑" w:eastAsia="微软雅黑" w:hint="eastAsia"/>
          <w:b/>
          <w:position w:val="11"/>
          <w:sz w:val="11"/>
        </w:rPr>
        <w:t>20 </w:t>
      </w:r>
      <w:r>
        <w:rPr>
          <w:spacing w:val="-3"/>
          <w:sz w:val="21"/>
        </w:rPr>
        <w:t>中的三项或三项以上。</w:t>
      </w:r>
    </w:p>
    <w:p>
      <w:pPr>
        <w:pStyle w:val="Heading3"/>
        <w:spacing w:line="272" w:lineRule="exact"/>
        <w:ind w:left="318"/>
      </w:pPr>
      <w:r>
        <w:rPr>
          <w:rFonts w:ascii="宋体" w:eastAsia="宋体" w:hint="eastAsia"/>
          <w:b w:val="0"/>
        </w:rPr>
        <w:t>（4）</w:t>
      </w:r>
      <w:r>
        <w:rPr>
          <w:u w:val="single"/>
        </w:rPr>
        <w:t>重大器官移植术或造血干细胞移植术</w:t>
      </w:r>
    </w:p>
    <w:p>
      <w:pPr>
        <w:pStyle w:val="BodyText"/>
        <w:spacing w:line="260" w:lineRule="exact"/>
        <w:ind w:left="203"/>
      </w:pPr>
      <w:r>
        <w:rPr/>
        <w:t>重大器官移植术，指因相应器官功能衰竭，已经实施了肾脏、肝脏、心脏或肺脏的异体移植手术。</w:t>
      </w:r>
    </w:p>
    <w:p>
      <w:pPr>
        <w:pStyle w:val="BodyText"/>
        <w:spacing w:line="237" w:lineRule="auto" w:before="2"/>
        <w:ind w:right="202" w:hanging="10"/>
      </w:pPr>
      <w:r>
        <w:rPr>
          <w:spacing w:val="-5"/>
        </w:rPr>
        <w:t>造血干细胞移植术，指因造血功能损害或造血系统恶性肿瘤，已经实施了造血干细胞</w:t>
      </w:r>
      <w:r>
        <w:rPr>
          <w:spacing w:val="-3"/>
        </w:rPr>
        <w:t>（包括骨髓造血干细胞、外周血造血干细胞和脐血造血干细胞</w:t>
      </w:r>
      <w:r>
        <w:rPr/>
        <w:t>）</w:t>
      </w:r>
      <w:r>
        <w:rPr>
          <w:spacing w:val="-3"/>
        </w:rPr>
        <w:t>的异体移植手术。</w:t>
      </w:r>
    </w:p>
    <w:p>
      <w:pPr>
        <w:pStyle w:val="Heading3"/>
        <w:spacing w:line="299" w:lineRule="exact"/>
        <w:ind w:left="318"/>
      </w:pPr>
      <w:r>
        <w:rPr>
          <w:rFonts w:ascii="宋体" w:eastAsia="宋体" w:hint="eastAsia"/>
          <w:b w:val="0"/>
        </w:rPr>
        <w:t>（5）</w:t>
      </w:r>
      <w:r>
        <w:rPr>
          <w:u w:val="single"/>
        </w:rPr>
        <w:t>冠状动脉搭桥术（或称冠状动脉旁路移植术）</w:t>
      </w:r>
    </w:p>
    <w:p>
      <w:pPr>
        <w:pStyle w:val="BodyText"/>
        <w:spacing w:line="243" w:lineRule="exact" w:before="48"/>
      </w:pPr>
      <w:r>
        <w:rPr/>
        <w:t>指为治疗严重的冠心病，实际实施了开胸进行的冠状动脉血管旁路移植的手术。</w:t>
      </w:r>
    </w:p>
    <w:p>
      <w:pPr>
        <w:pStyle w:val="Heading3"/>
        <w:spacing w:line="180" w:lineRule="auto" w:before="59"/>
        <w:ind w:right="206" w:hanging="1"/>
        <w:rPr>
          <w:rFonts w:ascii="宋体" w:eastAsia="宋体" w:hint="eastAsia"/>
          <w:b w:val="0"/>
        </w:rPr>
      </w:pPr>
      <w:r>
        <w:rPr>
          <w:spacing w:val="-5"/>
        </w:rPr>
        <w:t>冠状动脉支架植入术、心导管球囊扩张术、激光射频技术及其它非开胸的介入手术、腔镜手术不在保障范围内</w:t>
      </w:r>
      <w:r>
        <w:rPr>
          <w:rFonts w:ascii="宋体" w:eastAsia="宋体" w:hint="eastAsia"/>
          <w:b w:val="0"/>
          <w:spacing w:val="-5"/>
        </w:rPr>
        <w:t>。</w:t>
      </w:r>
    </w:p>
    <w:p>
      <w:pPr>
        <w:spacing w:line="258" w:lineRule="exact" w:before="0"/>
        <w:ind w:left="318" w:right="0" w:firstLine="0"/>
        <w:jc w:val="left"/>
        <w:rPr>
          <w:rFonts w:ascii="微软雅黑" w:eastAsia="微软雅黑" w:hint="eastAsia"/>
          <w:b/>
          <w:sz w:val="21"/>
        </w:rPr>
      </w:pPr>
      <w:r>
        <w:rPr>
          <w:sz w:val="21"/>
        </w:rPr>
        <w:t>（6）</w:t>
      </w:r>
      <w:r>
        <w:rPr>
          <w:rFonts w:ascii="微软雅黑" w:eastAsia="微软雅黑" w:hint="eastAsia"/>
          <w:b/>
          <w:sz w:val="21"/>
          <w:u w:val="single"/>
        </w:rPr>
        <w:t>终末期肾病（或称慢性肾功能衰竭尿毒症期）</w:t>
      </w:r>
    </w:p>
    <w:p>
      <w:pPr>
        <w:pStyle w:val="BodyText"/>
        <w:spacing w:line="237" w:lineRule="auto"/>
        <w:ind w:right="154"/>
      </w:pPr>
      <w:r>
        <w:rPr/>
        <w:t>指双肾功能慢性不可逆性衰竭，达到尿毒症期，经诊断后已经进行了至少 90 天的规律性透析治疗或实施了肾脏移植手术。</w:t>
      </w:r>
    </w:p>
    <w:p>
      <w:pPr>
        <w:spacing w:line="285" w:lineRule="exact" w:before="10"/>
        <w:ind w:left="318" w:right="0" w:firstLine="0"/>
        <w:jc w:val="left"/>
        <w:rPr>
          <w:rFonts w:ascii="微软雅黑" w:eastAsia="微软雅黑" w:hint="eastAsia"/>
          <w:b/>
          <w:sz w:val="21"/>
        </w:rPr>
      </w:pPr>
      <w:r>
        <w:rPr>
          <w:sz w:val="21"/>
        </w:rPr>
        <w:t>（7）</w:t>
      </w:r>
      <w:r>
        <w:rPr>
          <w:rFonts w:ascii="微软雅黑" w:eastAsia="微软雅黑" w:hint="eastAsia"/>
          <w:b/>
          <w:sz w:val="21"/>
          <w:u w:val="single"/>
        </w:rPr>
        <w:t>多个肢体缺失</w:t>
      </w:r>
    </w:p>
    <w:p>
      <w:pPr>
        <w:pStyle w:val="BodyText"/>
        <w:spacing w:line="228" w:lineRule="exact"/>
      </w:pPr>
      <w:r>
        <w:rPr/>
        <w:t>指因疾病或意外伤害导致两个或两个以上肢体自腕关节或踝关节近端（靠近躯干端）以上完全性断离。</w:t>
      </w:r>
    </w:p>
    <w:p>
      <w:pPr>
        <w:spacing w:line="316" w:lineRule="exact" w:before="0"/>
        <w:ind w:left="318" w:right="0" w:firstLine="0"/>
        <w:jc w:val="left"/>
        <w:rPr>
          <w:rFonts w:ascii="微软雅黑" w:eastAsia="微软雅黑" w:hint="eastAsia"/>
          <w:b/>
          <w:sz w:val="21"/>
        </w:rPr>
      </w:pPr>
      <w:r>
        <w:rPr>
          <w:sz w:val="21"/>
        </w:rPr>
        <w:t>（8）</w:t>
      </w:r>
      <w:r>
        <w:rPr>
          <w:rFonts w:ascii="微软雅黑" w:eastAsia="微软雅黑" w:hint="eastAsia"/>
          <w:b/>
          <w:sz w:val="21"/>
          <w:u w:val="single"/>
        </w:rPr>
        <w:t>急性或亚急性重症肝炎</w:t>
      </w:r>
    </w:p>
    <w:p>
      <w:pPr>
        <w:pStyle w:val="BodyText"/>
        <w:spacing w:line="237" w:lineRule="auto"/>
        <w:ind w:right="202"/>
      </w:pPr>
      <w:r>
        <w:rPr>
          <w:spacing w:val="-6"/>
        </w:rPr>
        <w:t>指因肝炎病毒感染引起肝脏组织弥漫性坏死，导致急性肝功能衰竭，且经血清学或病毒学检查证实，并须</w:t>
      </w:r>
      <w:r>
        <w:rPr>
          <w:spacing w:val="-4"/>
        </w:rPr>
        <w:t>满足下列全部条件：</w:t>
      </w:r>
    </w:p>
    <w:p>
      <w:pPr>
        <w:pStyle w:val="BodyText"/>
        <w:spacing w:line="272" w:lineRule="exact" w:before="12"/>
        <w:ind w:left="423"/>
      </w:pPr>
      <w:r>
        <w:rPr/>
        <w:t>Ⅰ 重度黄疸或黄疸迅速加重；</w:t>
      </w:r>
    </w:p>
    <w:p>
      <w:pPr>
        <w:pStyle w:val="BodyText"/>
        <w:spacing w:line="272" w:lineRule="exact"/>
        <w:ind w:left="423"/>
      </w:pPr>
      <w:r>
        <w:rPr>
          <w:spacing w:val="-71"/>
          <w:w w:val="170"/>
        </w:rPr>
        <w:t>" </w:t>
      </w:r>
      <w:r>
        <w:rPr>
          <w:spacing w:val="-3"/>
          <w:w w:val="110"/>
        </w:rPr>
        <w:t>肝性脑病；</w:t>
      </w:r>
    </w:p>
    <w:p>
      <w:pPr>
        <w:pStyle w:val="BodyText"/>
        <w:spacing w:line="272" w:lineRule="exact"/>
        <w:ind w:left="423"/>
      </w:pPr>
      <w:r>
        <w:rPr/>
        <w:t>Ⅲ B 超或其它影像学检查显示肝脏体积急速萎缩；</w:t>
      </w:r>
    </w:p>
    <w:p>
      <w:pPr>
        <w:pStyle w:val="BodyText"/>
        <w:spacing w:line="241" w:lineRule="exact"/>
        <w:ind w:left="423"/>
      </w:pPr>
      <w:r>
        <w:rPr/>
        <w:t>Ⅳ 肝功能指标进行性恶化。</w:t>
      </w:r>
    </w:p>
    <w:p>
      <w:pPr>
        <w:spacing w:line="316" w:lineRule="exact" w:before="0"/>
        <w:ind w:left="318" w:right="0" w:firstLine="0"/>
        <w:jc w:val="left"/>
        <w:rPr>
          <w:rFonts w:ascii="微软雅黑" w:eastAsia="微软雅黑" w:hint="eastAsia"/>
          <w:b/>
          <w:sz w:val="21"/>
        </w:rPr>
      </w:pPr>
      <w:r>
        <w:rPr>
          <w:sz w:val="21"/>
        </w:rPr>
        <w:t>（9）</w:t>
      </w:r>
      <w:r>
        <w:rPr>
          <w:rFonts w:ascii="微软雅黑" w:eastAsia="微软雅黑" w:hint="eastAsia"/>
          <w:b/>
          <w:sz w:val="21"/>
          <w:u w:val="single"/>
        </w:rPr>
        <w:t>良性脑肿瘤</w:t>
      </w:r>
    </w:p>
    <w:p>
      <w:pPr>
        <w:pStyle w:val="BodyText"/>
        <w:spacing w:line="237" w:lineRule="auto"/>
        <w:ind w:right="101" w:hanging="10"/>
      </w:pPr>
      <w:r>
        <w:rPr>
          <w:spacing w:val="-11"/>
        </w:rPr>
        <w:t>指脑的良性肿瘤，已经引起颅内压增高，临床表现为视神经乳头水肿、精神症状、癫痫及运动感觉障碍等， </w:t>
      </w:r>
      <w:r>
        <w:rPr>
          <w:spacing w:val="-6"/>
        </w:rPr>
        <w:t>并危及生命。须由头颅断层扫描</w:t>
      </w:r>
      <w:r>
        <w:rPr/>
        <w:t>（CT）</w:t>
      </w:r>
      <w:r>
        <w:rPr>
          <w:spacing w:val="-4"/>
        </w:rPr>
        <w:t>、核磁共振检查</w:t>
      </w:r>
      <w:r>
        <w:rPr/>
        <w:t>（MRI）</w:t>
      </w:r>
      <w:r>
        <w:rPr>
          <w:spacing w:val="-4"/>
        </w:rPr>
        <w:t>或正电子发射断层扫描</w:t>
      </w:r>
      <w:r>
        <w:rPr/>
        <w:t>（PET）</w:t>
      </w:r>
      <w:r>
        <w:rPr>
          <w:spacing w:val="-3"/>
        </w:rPr>
        <w:t>等影像学检查证实，并须满足下列至少一项条件：</w:t>
      </w:r>
    </w:p>
    <w:p>
      <w:pPr>
        <w:pStyle w:val="BodyText"/>
        <w:spacing w:line="272" w:lineRule="exact" w:before="12"/>
        <w:ind w:left="414"/>
      </w:pPr>
      <w:r>
        <w:rPr/>
        <w:t>Ⅰ 实际实施了开颅进行的脑肿瘤完全切除或部分切除的手术；</w:t>
      </w:r>
    </w:p>
    <w:p>
      <w:pPr>
        <w:pStyle w:val="BodyText"/>
        <w:spacing w:line="241" w:lineRule="exact"/>
        <w:ind w:left="414"/>
      </w:pPr>
      <w:r>
        <w:rPr>
          <w:w w:val="110"/>
        </w:rPr>
        <w:t>" </w:t>
      </w:r>
      <w:r>
        <w:rPr>
          <w:w w:val="105"/>
        </w:rPr>
        <w:t>实际实施了对脑肿瘤进行的放射治疗。</w:t>
      </w:r>
    </w:p>
    <w:p>
      <w:pPr>
        <w:pStyle w:val="Heading3"/>
        <w:spacing w:line="285" w:lineRule="exact"/>
      </w:pPr>
      <w:r>
        <w:rPr/>
        <w:t>脑垂体瘤、脑囊肿、脑血管性疾病不在保障范围内。</w:t>
      </w:r>
    </w:p>
    <w:p>
      <w:pPr>
        <w:spacing w:line="304" w:lineRule="exact" w:before="0"/>
        <w:ind w:left="318" w:right="0" w:firstLine="0"/>
        <w:jc w:val="left"/>
        <w:rPr>
          <w:rFonts w:ascii="微软雅黑" w:eastAsia="微软雅黑" w:hint="eastAsia"/>
          <w:b/>
          <w:sz w:val="21"/>
        </w:rPr>
      </w:pPr>
      <w:r>
        <w:rPr>
          <w:sz w:val="21"/>
        </w:rPr>
        <w:t>（10）</w:t>
      </w:r>
      <w:r>
        <w:rPr>
          <w:rFonts w:ascii="微软雅黑" w:eastAsia="微软雅黑" w:hint="eastAsia"/>
          <w:b/>
          <w:sz w:val="21"/>
          <w:u w:val="single"/>
        </w:rPr>
        <w:t>慢性肝功能衰竭失代偿期</w:t>
      </w:r>
    </w:p>
    <w:p>
      <w:pPr>
        <w:pStyle w:val="BodyText"/>
        <w:spacing w:line="260" w:lineRule="exact"/>
        <w:ind w:left="203"/>
      </w:pPr>
      <w:r>
        <w:rPr/>
        <w:t>指因慢性肝脏疾病导致肝功能衰竭。须满足下列全部条件：</w:t>
      </w:r>
    </w:p>
    <w:p>
      <w:pPr>
        <w:pStyle w:val="BodyText"/>
        <w:spacing w:line="272" w:lineRule="exact"/>
        <w:ind w:left="423"/>
      </w:pPr>
      <w:r>
        <w:rPr/>
        <w:t>Ⅰ 持续性黄疸；</w:t>
      </w:r>
    </w:p>
    <w:p>
      <w:pPr>
        <w:pStyle w:val="BodyText"/>
        <w:spacing w:line="272" w:lineRule="exact"/>
        <w:ind w:left="423"/>
      </w:pPr>
      <w:r>
        <w:rPr>
          <w:spacing w:val="-67"/>
          <w:w w:val="185"/>
        </w:rPr>
        <w:t>" </w:t>
      </w:r>
      <w:r>
        <w:rPr>
          <w:spacing w:val="-2"/>
          <w:w w:val="110"/>
        </w:rPr>
        <w:t>腹水；</w:t>
      </w:r>
    </w:p>
    <w:p>
      <w:pPr>
        <w:pStyle w:val="BodyText"/>
        <w:spacing w:line="272" w:lineRule="exact"/>
        <w:ind w:left="423"/>
      </w:pPr>
      <w:r>
        <w:rPr/>
        <w:t>Ⅲ 肝性脑病；</w:t>
      </w:r>
    </w:p>
    <w:p>
      <w:pPr>
        <w:spacing w:line="192" w:lineRule="auto" w:before="54"/>
        <w:ind w:left="212" w:right="4697" w:firstLine="211"/>
        <w:jc w:val="left"/>
        <w:rPr>
          <w:rFonts w:ascii="微软雅黑" w:hAnsi="微软雅黑" w:eastAsia="微软雅黑" w:hint="eastAsia"/>
          <w:b/>
          <w:sz w:val="21"/>
        </w:rPr>
      </w:pPr>
      <w:r>
        <w:rPr>
          <w:sz w:val="21"/>
        </w:rPr>
        <w:t>Ⅳ 充血性脾肿大伴脾功能亢进或食管胃底静脉曲张。</w:t>
      </w:r>
      <w:r>
        <w:rPr>
          <w:rFonts w:ascii="微软雅黑" w:hAnsi="微软雅黑" w:eastAsia="微软雅黑" w:hint="eastAsia"/>
          <w:b/>
          <w:sz w:val="21"/>
        </w:rPr>
        <w:t>因酗酒或药物滥用导致的肝功能衰竭不在保障范围内。</w:t>
      </w:r>
    </w:p>
    <w:p>
      <w:pPr>
        <w:spacing w:line="259" w:lineRule="exact" w:before="0"/>
        <w:ind w:left="318" w:right="0" w:firstLine="0"/>
        <w:jc w:val="left"/>
        <w:rPr>
          <w:rFonts w:ascii="微软雅黑" w:eastAsia="微软雅黑" w:hint="eastAsia"/>
          <w:b/>
          <w:sz w:val="21"/>
        </w:rPr>
      </w:pPr>
      <w:r>
        <w:rPr>
          <w:sz w:val="21"/>
        </w:rPr>
        <w:t>（11）</w:t>
      </w:r>
      <w:r>
        <w:rPr>
          <w:rFonts w:ascii="微软雅黑" w:eastAsia="微软雅黑" w:hint="eastAsia"/>
          <w:b/>
          <w:sz w:val="21"/>
          <w:u w:val="single"/>
        </w:rPr>
        <w:t>脑炎后遗症或脑膜炎后遗症</w:t>
      </w:r>
    </w:p>
    <w:p>
      <w:pPr>
        <w:pStyle w:val="BodyText"/>
        <w:spacing w:line="237" w:lineRule="auto"/>
        <w:ind w:right="202"/>
      </w:pPr>
      <w:r>
        <w:rPr>
          <w:spacing w:val="-6"/>
        </w:rPr>
        <w:t>指因患脑炎或脑膜炎导致的神经系统永久性的功能障碍。神经系统永久性的功能障碍，指疾病确诊 </w:t>
      </w:r>
      <w:r>
        <w:rPr/>
        <w:t>180</w:t>
      </w:r>
      <w:r>
        <w:rPr>
          <w:spacing w:val="-17"/>
        </w:rPr>
        <w:t> 天</w:t>
      </w:r>
      <w:r>
        <w:rPr>
          <w:spacing w:val="-7"/>
        </w:rPr>
        <w:t>后，仍遗留下列一种或一种以上障碍：</w:t>
      </w:r>
    </w:p>
    <w:p>
      <w:pPr>
        <w:pStyle w:val="BodyText"/>
        <w:spacing w:line="272" w:lineRule="exact" w:before="11"/>
        <w:ind w:left="423"/>
      </w:pPr>
      <w:r>
        <w:rPr/>
        <w:t>Ⅰ 一肢或一肢以上肢体机能完全丧失；</w:t>
      </w:r>
    </w:p>
    <w:p>
      <w:pPr>
        <w:pStyle w:val="BodyText"/>
        <w:spacing w:line="272" w:lineRule="exact"/>
        <w:ind w:left="423"/>
      </w:pPr>
      <w:r>
        <w:rPr>
          <w:w w:val="120"/>
        </w:rPr>
        <w:t>" </w:t>
      </w:r>
      <w:r>
        <w:rPr>
          <w:w w:val="105"/>
        </w:rPr>
        <w:t>语言能力或咀嚼吞咽能力完全丧失；</w:t>
      </w:r>
    </w:p>
    <w:p>
      <w:pPr>
        <w:pStyle w:val="BodyText"/>
        <w:spacing w:line="241" w:lineRule="exact"/>
        <w:ind w:left="423"/>
      </w:pPr>
      <w:r>
        <w:rPr/>
        <w:t>Ⅲ 自主生活能力完全丧失，无法独立完成六项基本日常生活活动中的三项或三项以上。</w:t>
      </w:r>
    </w:p>
    <w:p>
      <w:pPr>
        <w:spacing w:line="316" w:lineRule="exact" w:before="0"/>
        <w:ind w:left="318" w:right="0" w:firstLine="0"/>
        <w:jc w:val="left"/>
        <w:rPr>
          <w:rFonts w:ascii="微软雅黑" w:eastAsia="微软雅黑" w:hint="eastAsia"/>
          <w:b/>
          <w:sz w:val="21"/>
        </w:rPr>
      </w:pPr>
      <w:r>
        <w:rPr>
          <w:sz w:val="21"/>
        </w:rPr>
        <w:t>（12）</w:t>
      </w:r>
      <w:r>
        <w:rPr>
          <w:rFonts w:ascii="微软雅黑" w:eastAsia="微软雅黑" w:hint="eastAsia"/>
          <w:b/>
          <w:sz w:val="21"/>
          <w:u w:val="single"/>
        </w:rPr>
        <w:t>深度昏迷</w:t>
      </w:r>
    </w:p>
    <w:p>
      <w:pPr>
        <w:pStyle w:val="BodyText"/>
        <w:spacing w:line="260" w:lineRule="exact"/>
        <w:ind w:left="203"/>
      </w:pPr>
      <w:r>
        <w:rPr/>
        <w:t>指因疾病或意外伤害导致意识丧失,对外界刺激和体内需求均无反应,昏迷程度按照格拉斯哥昏迷分级</w:t>
      </w:r>
    </w:p>
    <w:p>
      <w:pPr>
        <w:spacing w:line="194" w:lineRule="auto" w:before="50"/>
        <w:ind w:left="212" w:right="204" w:hanging="1"/>
        <w:jc w:val="left"/>
        <w:rPr>
          <w:rFonts w:ascii="微软雅黑" w:eastAsia="微软雅黑" w:hint="eastAsia"/>
          <w:b/>
          <w:sz w:val="21"/>
        </w:rPr>
      </w:pPr>
      <w:r>
        <w:rPr>
          <w:sz w:val="21"/>
        </w:rPr>
        <w:t>（Glasgow coma scale）</w:t>
      </w:r>
      <w:r>
        <w:rPr>
          <w:spacing w:val="-15"/>
          <w:sz w:val="21"/>
        </w:rPr>
        <w:t>结果为 </w:t>
      </w:r>
      <w:r>
        <w:rPr>
          <w:sz w:val="21"/>
        </w:rPr>
        <w:t>5</w:t>
      </w:r>
      <w:r>
        <w:rPr>
          <w:spacing w:val="-13"/>
          <w:sz w:val="21"/>
        </w:rPr>
        <w:t> 分或 </w:t>
      </w:r>
      <w:r>
        <w:rPr>
          <w:sz w:val="21"/>
        </w:rPr>
        <w:t>5</w:t>
      </w:r>
      <w:r>
        <w:rPr>
          <w:spacing w:val="-5"/>
          <w:sz w:val="21"/>
        </w:rPr>
        <w:t> 分以下，且已经持续使用呼吸机及其它生命维持系统 </w:t>
      </w:r>
      <w:r>
        <w:rPr>
          <w:sz w:val="21"/>
        </w:rPr>
        <w:t>96</w:t>
      </w:r>
      <w:r>
        <w:rPr>
          <w:spacing w:val="-1"/>
          <w:sz w:val="21"/>
        </w:rPr>
        <w:t> 小时以</w:t>
      </w:r>
      <w:r>
        <w:rPr>
          <w:spacing w:val="-2"/>
          <w:sz w:val="21"/>
        </w:rPr>
        <w:t>上。</w:t>
      </w:r>
      <w:r>
        <w:rPr>
          <w:rFonts w:ascii="微软雅黑" w:eastAsia="微软雅黑" w:hint="eastAsia"/>
          <w:b/>
          <w:spacing w:val="-3"/>
          <w:sz w:val="21"/>
        </w:rPr>
        <w:t>因酗酒或药物滥用导致的深度昏迷不在保障范围内。</w:t>
      </w:r>
    </w:p>
    <w:p>
      <w:pPr>
        <w:spacing w:line="227" w:lineRule="exact" w:before="0"/>
        <w:ind w:left="318" w:right="0" w:firstLine="0"/>
        <w:jc w:val="left"/>
        <w:rPr>
          <w:rFonts w:ascii="微软雅黑" w:eastAsia="微软雅黑" w:hint="eastAsia"/>
          <w:b/>
          <w:sz w:val="21"/>
        </w:rPr>
      </w:pPr>
      <w:r>
        <w:rPr>
          <w:sz w:val="21"/>
        </w:rPr>
        <w:t>（13）</w:t>
      </w:r>
      <w:r>
        <w:rPr>
          <w:rFonts w:ascii="微软雅黑" w:eastAsia="微软雅黑" w:hint="eastAsia"/>
          <w:b/>
          <w:sz w:val="21"/>
          <w:u w:val="single"/>
        </w:rPr>
        <w:t>双耳失聪</w:t>
      </w:r>
    </w:p>
    <w:p>
      <w:pPr>
        <w:pStyle w:val="BodyText"/>
        <w:spacing w:line="318" w:lineRule="exact"/>
      </w:pPr>
      <w:r>
        <w:rPr/>
        <w:pict>
          <v:shape style="position:absolute;margin-left:217.31929pt;margin-top:8.164299pt;width:52.8pt;height:10.6pt;mso-position-horizontal-relative:page;mso-position-vertical-relative:paragraph;z-index:-22648" type="#_x0000_t202" filled="false" stroked="false">
            <v:textbox inset="0,0,0,0">
              <w:txbxContent>
                <w:p>
                  <w:pPr>
                    <w:pStyle w:val="BodyText"/>
                    <w:spacing w:line="211" w:lineRule="exact"/>
                    <w:ind w:left="0"/>
                  </w:pPr>
                  <w:r>
                    <w:rPr/>
                    <w:t>．．．．．</w:t>
                  </w:r>
                </w:p>
              </w:txbxContent>
            </v:textbox>
            <w10:wrap type="none"/>
          </v:shape>
        </w:pict>
      </w:r>
      <w:r>
        <w:rPr>
          <w:spacing w:val="-3"/>
        </w:rPr>
        <w:t>指因疾病或意外伤害导致双耳听力</w:t>
      </w:r>
      <w:r>
        <w:rPr>
          <w:rFonts w:ascii="微软雅黑" w:eastAsia="微软雅黑" w:hint="eastAsia"/>
          <w:b/>
          <w:spacing w:val="-2"/>
        </w:rPr>
        <w:t>永久不可逆 </w:t>
      </w:r>
      <w:r>
        <w:rPr>
          <w:rFonts w:ascii="微软雅黑" w:eastAsia="微软雅黑" w:hint="eastAsia"/>
          <w:b/>
          <w:position w:val="11"/>
          <w:sz w:val="11"/>
        </w:rPr>
        <w:t>21 </w:t>
      </w:r>
      <w:r>
        <w:rPr>
          <w:spacing w:val="-16"/>
        </w:rPr>
        <w:t>性丧失，在 </w:t>
      </w:r>
      <w:r>
        <w:rPr/>
        <w:t>500</w:t>
      </w:r>
      <w:r>
        <w:rPr>
          <w:spacing w:val="-23"/>
        </w:rPr>
        <w:t> 赫兹、</w:t>
      </w:r>
      <w:r>
        <w:rPr/>
        <w:t>1000</w:t>
      </w:r>
      <w:r>
        <w:rPr>
          <w:spacing w:val="-22"/>
        </w:rPr>
        <w:t> 赫兹和 </w:t>
      </w:r>
      <w:r>
        <w:rPr/>
        <w:t>2000</w:t>
      </w:r>
      <w:r>
        <w:rPr>
          <w:spacing w:val="-8"/>
        </w:rPr>
        <w:t> 赫兹语音频率下，</w:t>
      </w:r>
    </w:p>
    <w:p>
      <w:pPr>
        <w:pStyle w:val="BodyText"/>
        <w:spacing w:line="242" w:lineRule="exact" w:before="40"/>
      </w:pPr>
      <w:r>
        <w:rPr/>
        <w:t>平均听阈大于 90 分贝，且经纯音听力测试、声导抗检测或听觉诱发电位检测等证实。</w:t>
      </w:r>
    </w:p>
    <w:p>
      <w:pPr>
        <w:spacing w:line="316" w:lineRule="exact" w:before="0"/>
        <w:ind w:left="318" w:right="0" w:firstLine="0"/>
        <w:jc w:val="left"/>
        <w:rPr>
          <w:rFonts w:ascii="微软雅黑" w:eastAsia="微软雅黑" w:hint="eastAsia"/>
          <w:b/>
          <w:sz w:val="21"/>
        </w:rPr>
      </w:pPr>
      <w:r>
        <w:rPr>
          <w:sz w:val="21"/>
        </w:rPr>
        <w:t>（14）</w:t>
      </w:r>
      <w:r>
        <w:rPr>
          <w:rFonts w:ascii="微软雅黑" w:eastAsia="微软雅黑" w:hint="eastAsia"/>
          <w:b/>
          <w:sz w:val="21"/>
          <w:u w:val="single"/>
        </w:rPr>
        <w:t>双目失明</w:t>
      </w:r>
    </w:p>
    <w:p>
      <w:pPr>
        <w:pStyle w:val="BodyText"/>
        <w:spacing w:line="260" w:lineRule="exact"/>
        <w:ind w:left="203"/>
      </w:pPr>
      <w:r>
        <w:rPr/>
        <w:t>指因疾病或意外伤害导致双眼视力永久不可逆性丧失，双眼中较好眼须满足下列至少一项条件：</w:t>
      </w:r>
    </w:p>
    <w:p>
      <w:pPr>
        <w:pStyle w:val="BodyText"/>
        <w:spacing w:line="273" w:lineRule="exact"/>
        <w:ind w:left="414"/>
      </w:pPr>
      <w:r>
        <w:rPr/>
        <w:t>Ⅰ 眼球缺失或摘除；</w:t>
      </w:r>
    </w:p>
    <w:p>
      <w:pPr>
        <w:spacing w:after="0" w:line="273" w:lineRule="exact"/>
        <w:sectPr>
          <w:pgSz w:w="11900" w:h="16840"/>
          <w:pgMar w:header="895" w:footer="547" w:top="1080" w:bottom="740" w:left="920" w:right="920"/>
        </w:sectPr>
      </w:pPr>
    </w:p>
    <w:p>
      <w:pPr>
        <w:pStyle w:val="BodyText"/>
        <w:ind w:left="0"/>
        <w:rPr>
          <w:sz w:val="13"/>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pStyle w:val="BodyText"/>
        <w:spacing w:line="274" w:lineRule="exact" w:before="54"/>
        <w:ind w:left="414"/>
      </w:pPr>
      <w:r>
        <w:rPr/>
        <w:t>" 矫正视力低于 0.02（采用国际标准视力表，如果使用其它视力表应进行换算）；</w:t>
      </w:r>
    </w:p>
    <w:p>
      <w:pPr>
        <w:pStyle w:val="BodyText"/>
        <w:spacing w:line="241" w:lineRule="exact"/>
        <w:ind w:left="414"/>
      </w:pPr>
      <w:r>
        <w:rPr/>
        <w:t>Ⅲ 视野半径小于 5 度。</w:t>
      </w:r>
    </w:p>
    <w:p>
      <w:pPr>
        <w:spacing w:line="316" w:lineRule="exact" w:before="0"/>
        <w:ind w:left="318" w:right="0" w:firstLine="0"/>
        <w:jc w:val="left"/>
        <w:rPr>
          <w:rFonts w:ascii="微软雅黑" w:eastAsia="微软雅黑" w:hint="eastAsia"/>
          <w:b/>
          <w:sz w:val="21"/>
        </w:rPr>
      </w:pPr>
      <w:r>
        <w:rPr>
          <w:sz w:val="21"/>
        </w:rPr>
        <w:t>（15）</w:t>
      </w:r>
      <w:r>
        <w:rPr>
          <w:rFonts w:ascii="微软雅黑" w:eastAsia="微软雅黑" w:hint="eastAsia"/>
          <w:b/>
          <w:sz w:val="21"/>
          <w:u w:val="single"/>
        </w:rPr>
        <w:t>瘫痪</w:t>
      </w:r>
    </w:p>
    <w:p>
      <w:pPr>
        <w:pStyle w:val="BodyText"/>
        <w:spacing w:line="260" w:lineRule="exact"/>
      </w:pPr>
      <w:r>
        <w:rPr>
          <w:spacing w:val="-9"/>
        </w:rPr>
        <w:t>指因疾病或意外伤害导致两肢或两肢以上肢体机能永久完全丧失。肢体机能永久完全丧失，指疾病确诊 </w:t>
      </w:r>
      <w:r>
        <w:rPr/>
        <w:t>180</w:t>
      </w:r>
    </w:p>
    <w:p>
      <w:pPr>
        <w:pStyle w:val="BodyText"/>
        <w:spacing w:line="240" w:lineRule="exact"/>
      </w:pPr>
      <w:r>
        <w:rPr/>
        <w:t>天后或意外伤害发生 180 天后，每肢三大关节中的两大关节仍然完全僵硬，或不能随意识活动。</w:t>
      </w:r>
    </w:p>
    <w:p>
      <w:pPr>
        <w:spacing w:line="316" w:lineRule="exact" w:before="0"/>
        <w:ind w:left="318" w:right="0" w:firstLine="0"/>
        <w:jc w:val="left"/>
        <w:rPr>
          <w:rFonts w:ascii="微软雅黑" w:eastAsia="微软雅黑" w:hint="eastAsia"/>
          <w:b/>
          <w:sz w:val="21"/>
        </w:rPr>
      </w:pPr>
      <w:r>
        <w:rPr>
          <w:sz w:val="21"/>
        </w:rPr>
        <w:t>（16）</w:t>
      </w:r>
      <w:r>
        <w:rPr>
          <w:rFonts w:ascii="微软雅黑" w:eastAsia="微软雅黑" w:hint="eastAsia"/>
          <w:b/>
          <w:sz w:val="21"/>
          <w:u w:val="single"/>
        </w:rPr>
        <w:t>心脏瓣膜手术</w:t>
      </w:r>
    </w:p>
    <w:p>
      <w:pPr>
        <w:pStyle w:val="BodyText"/>
        <w:spacing w:line="228" w:lineRule="exact"/>
      </w:pPr>
      <w:r>
        <w:rPr/>
        <w:t>指为治疗心脏瓣膜疾病，实际实施了开胸进行的心脏瓣膜置换或修复的手术。</w:t>
      </w:r>
    </w:p>
    <w:p>
      <w:pPr>
        <w:spacing w:line="316" w:lineRule="exact" w:before="0"/>
        <w:ind w:left="318" w:right="0" w:firstLine="0"/>
        <w:jc w:val="left"/>
        <w:rPr>
          <w:rFonts w:ascii="微软雅黑" w:eastAsia="微软雅黑" w:hint="eastAsia"/>
          <w:b/>
          <w:sz w:val="21"/>
        </w:rPr>
      </w:pPr>
      <w:r>
        <w:rPr>
          <w:sz w:val="21"/>
        </w:rPr>
        <w:t>（17）</w:t>
      </w:r>
      <w:r>
        <w:rPr>
          <w:rFonts w:ascii="微软雅黑" w:eastAsia="微软雅黑" w:hint="eastAsia"/>
          <w:b/>
          <w:sz w:val="21"/>
          <w:u w:val="single"/>
        </w:rPr>
        <w:t>严重阿尔茨海默病</w:t>
      </w:r>
    </w:p>
    <w:p>
      <w:pPr>
        <w:pStyle w:val="BodyText"/>
        <w:spacing w:line="237" w:lineRule="auto"/>
        <w:ind w:right="222"/>
      </w:pPr>
      <w:r>
        <w:rPr>
          <w:spacing w:val="-6"/>
        </w:rPr>
        <w:t>指因大脑进行性、不可逆性改变导致智能严重衰退或丧失，临床表现为明显的认知能力障碍、行为异常和</w:t>
      </w:r>
      <w:r>
        <w:rPr>
          <w:spacing w:val="-5"/>
          <w:w w:val="100"/>
        </w:rPr>
        <w:t>社交能力减退，其日常生活必须持续受到他人监护。须由头颅断层扫描</w:t>
      </w:r>
      <w:r>
        <w:rPr>
          <w:w w:val="100"/>
        </w:rPr>
        <w:t>（C</w:t>
      </w:r>
      <w:r>
        <w:rPr>
          <w:spacing w:val="-3"/>
          <w:w w:val="100"/>
        </w:rPr>
        <w:t>T</w:t>
      </w:r>
      <w:r>
        <w:rPr>
          <w:spacing w:val="-108"/>
          <w:w w:val="100"/>
        </w:rPr>
        <w:t>）</w:t>
      </w:r>
      <w:r>
        <w:rPr>
          <w:spacing w:val="-4"/>
          <w:w w:val="100"/>
        </w:rPr>
        <w:t>、核磁共振检查</w:t>
      </w:r>
      <w:r>
        <w:rPr>
          <w:w w:val="100"/>
        </w:rPr>
        <w:t>（M</w:t>
      </w:r>
      <w:r>
        <w:rPr>
          <w:spacing w:val="-3"/>
          <w:w w:val="100"/>
        </w:rPr>
        <w:t>R</w:t>
      </w:r>
      <w:r>
        <w:rPr>
          <w:w w:val="100"/>
        </w:rPr>
        <w:t>I</w:t>
      </w:r>
      <w:r>
        <w:rPr>
          <w:spacing w:val="-5"/>
          <w:w w:val="100"/>
        </w:rPr>
        <w:t>）</w:t>
      </w:r>
      <w:r>
        <w:rPr>
          <w:spacing w:val="-2"/>
          <w:w w:val="100"/>
        </w:rPr>
        <w:t>或正</w:t>
      </w:r>
      <w:r>
        <w:rPr>
          <w:spacing w:val="-3"/>
        </w:rPr>
        <w:t>电子发射断层扫描</w:t>
      </w:r>
      <w:r>
        <w:rPr/>
        <w:t>（PET）</w:t>
      </w:r>
      <w:r>
        <w:rPr>
          <w:spacing w:val="-3"/>
        </w:rPr>
        <w:t>等影像学检查证实，且自主生活能力完全丧失，无法独立完成六项基本日常生活活动中的三项或三项以上。</w:t>
      </w:r>
    </w:p>
    <w:p>
      <w:pPr>
        <w:pStyle w:val="Heading3"/>
        <w:spacing w:line="253" w:lineRule="exact" w:before="10"/>
      </w:pPr>
      <w:r>
        <w:rPr/>
        <w:t>神经官能症和精神疾病不在保障范围内。</w:t>
      </w:r>
    </w:p>
    <w:p>
      <w:pPr>
        <w:spacing w:line="272" w:lineRule="exact" w:before="0"/>
        <w:ind w:left="212" w:right="0" w:firstLine="0"/>
        <w:jc w:val="left"/>
        <w:rPr>
          <w:rFonts w:ascii="微软雅黑" w:eastAsia="微软雅黑" w:hint="eastAsia"/>
          <w:b/>
          <w:sz w:val="21"/>
        </w:rPr>
      </w:pPr>
      <w:r>
        <w:rPr>
          <w:rFonts w:ascii="微软雅黑" w:eastAsia="微软雅黑" w:hint="eastAsia"/>
          <w:b/>
          <w:sz w:val="21"/>
        </w:rPr>
        <w:t>我们只对被保险人在 70 周岁前被确诊患有本病承担保险责任。</w:t>
      </w:r>
    </w:p>
    <w:p>
      <w:pPr>
        <w:spacing w:line="304" w:lineRule="exact" w:before="0"/>
        <w:ind w:left="318" w:right="0" w:firstLine="0"/>
        <w:jc w:val="left"/>
        <w:rPr>
          <w:rFonts w:ascii="微软雅黑" w:eastAsia="微软雅黑" w:hint="eastAsia"/>
          <w:b/>
          <w:sz w:val="21"/>
        </w:rPr>
      </w:pPr>
      <w:r>
        <w:rPr>
          <w:sz w:val="21"/>
        </w:rPr>
        <w:t>（18）</w:t>
      </w:r>
      <w:r>
        <w:rPr>
          <w:rFonts w:ascii="微软雅黑" w:eastAsia="微软雅黑" w:hint="eastAsia"/>
          <w:b/>
          <w:sz w:val="21"/>
          <w:u w:val="single"/>
        </w:rPr>
        <w:t>严重脑损伤</w:t>
      </w:r>
    </w:p>
    <w:p>
      <w:pPr>
        <w:pStyle w:val="BodyText"/>
        <w:spacing w:line="260" w:lineRule="exact"/>
        <w:ind w:left="203"/>
      </w:pPr>
      <w:r>
        <w:rPr/>
        <w:t>指因头部遭受机械性外力，引起脑重要部位损伤，导致神经系统永久性的功能障碍。须由头颅断层扫描</w:t>
      </w:r>
    </w:p>
    <w:p>
      <w:pPr>
        <w:pStyle w:val="BodyText"/>
        <w:spacing w:line="237" w:lineRule="auto" w:before="2"/>
        <w:ind w:right="177"/>
      </w:pPr>
      <w:r>
        <w:rPr/>
        <w:t>（CT）、核磁共振检查（MRI）或正电子发射断层扫描（PET）等影像学检查证实。神经系统永久性的功能障碍，指脑损伤 180 天后，仍遗留下列一种或一种以上障碍：</w:t>
      </w:r>
    </w:p>
    <w:p>
      <w:pPr>
        <w:pStyle w:val="BodyText"/>
        <w:spacing w:line="272" w:lineRule="exact"/>
        <w:ind w:left="414"/>
      </w:pPr>
      <w:r>
        <w:rPr/>
        <w:t>Ⅰ 一肢或一肢以上肢体机能完全丧失；</w:t>
      </w:r>
    </w:p>
    <w:p>
      <w:pPr>
        <w:pStyle w:val="BodyText"/>
        <w:spacing w:line="272" w:lineRule="exact"/>
        <w:ind w:left="414"/>
      </w:pPr>
      <w:r>
        <w:rPr>
          <w:w w:val="120"/>
        </w:rPr>
        <w:t>" </w:t>
      </w:r>
      <w:r>
        <w:rPr>
          <w:w w:val="105"/>
        </w:rPr>
        <w:t>语言能力或咀嚼吞咽能力完全丧失；</w:t>
      </w:r>
    </w:p>
    <w:p>
      <w:pPr>
        <w:pStyle w:val="BodyText"/>
        <w:spacing w:line="241" w:lineRule="exact"/>
        <w:ind w:left="414"/>
      </w:pPr>
      <w:r>
        <w:rPr/>
        <w:t>Ⅲ 自主生活能力完全丧失，无法独立完成六项基本日常生活活动中的三项或三项以上。</w:t>
      </w:r>
    </w:p>
    <w:p>
      <w:pPr>
        <w:spacing w:line="316" w:lineRule="exact" w:before="0"/>
        <w:ind w:left="318" w:right="0" w:firstLine="0"/>
        <w:jc w:val="left"/>
        <w:rPr>
          <w:rFonts w:ascii="微软雅黑" w:eastAsia="微软雅黑" w:hint="eastAsia"/>
          <w:b/>
          <w:sz w:val="21"/>
        </w:rPr>
      </w:pPr>
      <w:r>
        <w:rPr>
          <w:sz w:val="21"/>
        </w:rPr>
        <w:t>（19）</w:t>
      </w:r>
      <w:r>
        <w:rPr>
          <w:rFonts w:ascii="微软雅黑" w:eastAsia="微软雅黑" w:hint="eastAsia"/>
          <w:b/>
          <w:sz w:val="21"/>
          <w:u w:val="single"/>
        </w:rPr>
        <w:t>严重帕金森病</w:t>
      </w:r>
    </w:p>
    <w:p>
      <w:pPr>
        <w:pStyle w:val="BodyText"/>
        <w:spacing w:line="260" w:lineRule="exact"/>
        <w:ind w:left="203"/>
      </w:pPr>
      <w:r>
        <w:rPr/>
        <w:t>是一种中枢神经系统的退行性疾病，临床表现为震颤麻痹、共济失调等。须满足下列全部条件：</w:t>
      </w:r>
    </w:p>
    <w:p>
      <w:pPr>
        <w:pStyle w:val="BodyText"/>
        <w:spacing w:line="272" w:lineRule="exact"/>
        <w:ind w:left="414"/>
      </w:pPr>
      <w:r>
        <w:rPr/>
        <w:t>Ⅰ 药物治疗无法控制病情；</w:t>
      </w:r>
    </w:p>
    <w:p>
      <w:pPr>
        <w:spacing w:line="192" w:lineRule="auto" w:before="53"/>
        <w:ind w:left="203" w:right="1501" w:firstLine="211"/>
        <w:jc w:val="left"/>
        <w:rPr>
          <w:rFonts w:ascii="微软雅黑" w:eastAsia="微软雅黑" w:hint="eastAsia"/>
          <w:b/>
          <w:sz w:val="21"/>
        </w:rPr>
      </w:pPr>
      <w:r>
        <w:rPr>
          <w:w w:val="185"/>
          <w:sz w:val="21"/>
        </w:rPr>
        <w:t>" </w:t>
      </w:r>
      <w:r>
        <w:rPr>
          <w:sz w:val="21"/>
        </w:rPr>
        <w:t>自主生活能力完全丧失，无法独立完成六项基本日常生活活动中的三项或三项以上。</w:t>
      </w:r>
      <w:r>
        <w:rPr>
          <w:rFonts w:ascii="微软雅黑" w:eastAsia="微软雅黑" w:hint="eastAsia"/>
          <w:b/>
          <w:sz w:val="21"/>
        </w:rPr>
        <w:t>继发性帕金森综合征不在保障范围内。</w:t>
      </w:r>
    </w:p>
    <w:p>
      <w:pPr>
        <w:pStyle w:val="Heading3"/>
        <w:spacing w:line="228" w:lineRule="exact"/>
        <w:ind w:left="203"/>
      </w:pPr>
      <w:r>
        <w:rPr/>
        <w:t>我们只对被保险人在 70 周岁前被确诊患有本病承担保险责任。</w:t>
      </w:r>
    </w:p>
    <w:p>
      <w:pPr>
        <w:spacing w:line="302" w:lineRule="exact" w:before="0"/>
        <w:ind w:left="318" w:right="0" w:firstLine="0"/>
        <w:jc w:val="left"/>
        <w:rPr>
          <w:rFonts w:ascii="微软雅黑" w:hAnsi="微软雅黑" w:eastAsia="微软雅黑" w:hint="eastAsia"/>
          <w:b/>
          <w:sz w:val="21"/>
        </w:rPr>
      </w:pPr>
      <w:r>
        <w:rPr>
          <w:sz w:val="21"/>
        </w:rPr>
        <w:t>（20）</w:t>
      </w:r>
      <w:r>
        <w:rPr>
          <w:rFonts w:ascii="微软雅黑" w:hAnsi="微软雅黑" w:eastAsia="微软雅黑" w:hint="eastAsia"/>
          <w:b/>
          <w:sz w:val="21"/>
          <w:u w:val="single"/>
        </w:rPr>
        <w:t>严重Ⅲ度烧伤</w:t>
      </w:r>
    </w:p>
    <w:p>
      <w:pPr>
        <w:pStyle w:val="BodyText"/>
        <w:spacing w:line="274" w:lineRule="exact" w:before="10"/>
        <w:ind w:right="173" w:hanging="1"/>
      </w:pPr>
      <w:r>
        <w:rPr/>
        <w:t>指烧伤程度为Ⅲ度，且Ⅲ度烧伤的面积达到全身体表面积的 20％或 20％以上。体表面积根据《中国新九分法》计算。</w:t>
      </w:r>
    </w:p>
    <w:p>
      <w:pPr>
        <w:spacing w:line="258" w:lineRule="exact" w:before="0"/>
        <w:ind w:left="318" w:right="0" w:firstLine="0"/>
        <w:jc w:val="left"/>
        <w:rPr>
          <w:rFonts w:ascii="微软雅黑" w:eastAsia="微软雅黑" w:hint="eastAsia"/>
          <w:b/>
          <w:sz w:val="21"/>
        </w:rPr>
      </w:pPr>
      <w:r>
        <w:rPr>
          <w:sz w:val="21"/>
        </w:rPr>
        <w:t>（21）</w:t>
      </w:r>
      <w:r>
        <w:rPr>
          <w:rFonts w:ascii="微软雅黑" w:eastAsia="微软雅黑" w:hint="eastAsia"/>
          <w:b/>
          <w:sz w:val="21"/>
          <w:u w:val="single"/>
        </w:rPr>
        <w:t>严重原发性肺动脉高压</w:t>
      </w:r>
    </w:p>
    <w:p>
      <w:pPr>
        <w:pStyle w:val="BodyText"/>
        <w:spacing w:line="237" w:lineRule="auto"/>
        <w:ind w:right="222"/>
      </w:pPr>
      <w:r>
        <w:rPr>
          <w:spacing w:val="-5"/>
        </w:rPr>
        <w:t>指不明原因的肺动脉压力持续性增高，进行性发展而导致的慢性疾病，已经造成永久不可逆性的体力活动</w:t>
      </w:r>
      <w:r>
        <w:rPr>
          <w:spacing w:val="-6"/>
        </w:rPr>
        <w:t>能力受限，达到美国纽约心脏病学会心功能状态分级 </w:t>
      </w:r>
      <w:r>
        <w:rPr/>
        <w:t>IV</w:t>
      </w:r>
      <w:r>
        <w:rPr>
          <w:spacing w:val="-10"/>
        </w:rPr>
        <w:t> 级，且静息状态下肺动脉平均压超过 </w:t>
      </w:r>
      <w:r>
        <w:rPr/>
        <w:t>30mmHg。</w:t>
      </w:r>
    </w:p>
    <w:p>
      <w:pPr>
        <w:spacing w:line="285" w:lineRule="exact" w:before="9"/>
        <w:ind w:left="318" w:right="0" w:firstLine="0"/>
        <w:jc w:val="left"/>
        <w:rPr>
          <w:rFonts w:ascii="微软雅黑" w:eastAsia="微软雅黑" w:hint="eastAsia"/>
          <w:b/>
          <w:sz w:val="21"/>
        </w:rPr>
      </w:pPr>
      <w:r>
        <w:rPr>
          <w:sz w:val="21"/>
        </w:rPr>
        <w:t>（22）</w:t>
      </w:r>
      <w:r>
        <w:rPr>
          <w:rFonts w:ascii="微软雅黑" w:eastAsia="微软雅黑" w:hint="eastAsia"/>
          <w:b/>
          <w:sz w:val="21"/>
          <w:u w:val="single"/>
        </w:rPr>
        <w:t>严重运动神经元病</w:t>
      </w:r>
    </w:p>
    <w:p>
      <w:pPr>
        <w:pStyle w:val="BodyText"/>
        <w:spacing w:line="237" w:lineRule="auto"/>
        <w:ind w:right="222" w:hanging="1"/>
        <w:jc w:val="both"/>
      </w:pPr>
      <w:r>
        <w:rPr>
          <w:spacing w:val="-6"/>
        </w:rPr>
        <w:t>是一组中枢神经系统运动神经元的进行性变性疾病，包括进行性脊肌萎缩症、进行性延髓麻痹症、原发性</w:t>
      </w:r>
      <w:r>
        <w:rPr>
          <w:spacing w:val="-7"/>
        </w:rPr>
        <w:t>侧索硬化症、肌萎缩性侧索硬化症。须满足自主生活能力完全丧失，无法独立完成六项基本日常生活活动</w:t>
      </w:r>
      <w:r>
        <w:rPr>
          <w:spacing w:val="-5"/>
        </w:rPr>
        <w:t>中的三项或三项以上的条件。</w:t>
      </w:r>
    </w:p>
    <w:p>
      <w:pPr>
        <w:spacing w:line="316" w:lineRule="exact" w:before="12"/>
        <w:ind w:left="318" w:right="0" w:firstLine="0"/>
        <w:jc w:val="left"/>
        <w:rPr>
          <w:rFonts w:ascii="微软雅黑" w:eastAsia="微软雅黑" w:hint="eastAsia"/>
          <w:b/>
          <w:sz w:val="21"/>
        </w:rPr>
      </w:pPr>
      <w:r>
        <w:rPr>
          <w:sz w:val="21"/>
        </w:rPr>
        <w:t>（23）</w:t>
      </w:r>
      <w:r>
        <w:rPr>
          <w:rFonts w:ascii="微软雅黑" w:eastAsia="微软雅黑" w:hint="eastAsia"/>
          <w:b/>
          <w:sz w:val="21"/>
          <w:u w:val="single"/>
        </w:rPr>
        <w:t>语言能力丧失</w:t>
      </w:r>
    </w:p>
    <w:p>
      <w:pPr>
        <w:pStyle w:val="BodyText"/>
        <w:spacing w:line="237" w:lineRule="auto"/>
        <w:ind w:right="116" w:hanging="1"/>
      </w:pPr>
      <w:r>
        <w:rPr>
          <w:spacing w:val="-6"/>
          <w:w w:val="100"/>
        </w:rPr>
        <w:t>指因疾病或意外伤害导致完全丧失语言能力，经过积极治疗至少</w:t>
      </w:r>
      <w:r>
        <w:rPr>
          <w:spacing w:val="-6"/>
        </w:rPr>
        <w:t> </w:t>
      </w:r>
      <w:r>
        <w:rPr>
          <w:spacing w:val="-3"/>
          <w:w w:val="100"/>
        </w:rPr>
        <w:t>1</w:t>
      </w:r>
      <w:r>
        <w:rPr>
          <w:w w:val="100"/>
        </w:rPr>
        <w:t>2</w:t>
      </w:r>
      <w:r>
        <w:rPr>
          <w:spacing w:val="-53"/>
        </w:rPr>
        <w:t> </w:t>
      </w:r>
      <w:r>
        <w:rPr>
          <w:spacing w:val="-34"/>
          <w:w w:val="100"/>
        </w:rPr>
        <w:t>个月</w:t>
      </w:r>
      <w:r>
        <w:rPr>
          <w:w w:val="100"/>
        </w:rPr>
        <w:t>（</w:t>
      </w:r>
      <w:r>
        <w:rPr>
          <w:spacing w:val="-3"/>
          <w:w w:val="100"/>
        </w:rPr>
        <w:t>声带完全切除不受此时间限制</w:t>
      </w:r>
      <w:r>
        <w:rPr>
          <w:spacing w:val="-106"/>
          <w:w w:val="100"/>
        </w:rPr>
        <w:t>）</w:t>
      </w:r>
      <w:r>
        <w:rPr>
          <w:w w:val="100"/>
        </w:rPr>
        <w:t>，</w:t>
      </w:r>
      <w:r>
        <w:rPr>
          <w:spacing w:val="-3"/>
        </w:rPr>
        <w:t>仍无法通过现有医疗手段恢复。</w:t>
      </w:r>
    </w:p>
    <w:p>
      <w:pPr>
        <w:pStyle w:val="Heading3"/>
        <w:spacing w:line="253" w:lineRule="exact" w:before="2"/>
      </w:pPr>
      <w:r>
        <w:rPr/>
        <w:t>精神心理因素所致的语言能力丧失不在保障范围内。</w:t>
      </w:r>
    </w:p>
    <w:p>
      <w:pPr>
        <w:spacing w:line="304" w:lineRule="exact" w:before="0"/>
        <w:ind w:left="318" w:right="0" w:firstLine="0"/>
        <w:jc w:val="left"/>
        <w:rPr>
          <w:rFonts w:ascii="微软雅黑" w:eastAsia="微软雅黑" w:hint="eastAsia"/>
          <w:b/>
          <w:sz w:val="21"/>
        </w:rPr>
      </w:pPr>
      <w:r>
        <w:rPr>
          <w:sz w:val="21"/>
        </w:rPr>
        <w:t>（24）</w:t>
      </w:r>
      <w:r>
        <w:rPr>
          <w:rFonts w:ascii="微软雅黑" w:eastAsia="微软雅黑" w:hint="eastAsia"/>
          <w:b/>
          <w:sz w:val="21"/>
          <w:u w:val="single"/>
        </w:rPr>
        <w:t>重型再生障碍性贫血</w:t>
      </w:r>
    </w:p>
    <w:p>
      <w:pPr>
        <w:pStyle w:val="BodyText"/>
        <w:spacing w:line="260" w:lineRule="exact"/>
        <w:ind w:left="203"/>
      </w:pPr>
      <w:r>
        <w:rPr/>
        <w:t>指因骨髓造血功能慢性持续性衰竭导致的贫血、中性粒细胞减少及血小板减少。须满足下列全部条件：</w:t>
      </w:r>
    </w:p>
    <w:p>
      <w:pPr>
        <w:pStyle w:val="BodyText"/>
        <w:spacing w:line="272" w:lineRule="exact"/>
        <w:ind w:left="414"/>
      </w:pPr>
      <w:r>
        <w:rPr/>
        <w:t>Ⅰ 骨髓穿刺检查或骨髓活检结果支持诊断；</w:t>
      </w:r>
    </w:p>
    <w:p>
      <w:pPr>
        <w:pStyle w:val="BodyText"/>
        <w:spacing w:line="272" w:lineRule="exact"/>
        <w:ind w:left="414"/>
      </w:pPr>
      <w:r>
        <w:rPr>
          <w:spacing w:val="-56"/>
          <w:w w:val="140"/>
        </w:rPr>
        <w:t>" </w:t>
      </w:r>
      <w:r>
        <w:rPr>
          <w:spacing w:val="-3"/>
          <w:w w:val="105"/>
        </w:rPr>
        <w:t>外周血象须具备以下三项条件：</w:t>
      </w:r>
    </w:p>
    <w:p>
      <w:pPr>
        <w:pStyle w:val="BodyText"/>
        <w:spacing w:line="272" w:lineRule="exact"/>
        <w:ind w:left="728"/>
      </w:pPr>
      <w:r>
        <w:rPr/>
        <w:t>①中性粒细胞绝对值 ≤0.5×10</w:t>
      </w:r>
      <w:r>
        <w:rPr>
          <w:position w:val="11"/>
          <w:sz w:val="11"/>
        </w:rPr>
        <w:t>9</w:t>
      </w:r>
      <w:r>
        <w:rPr/>
        <w:t>/L ；</w:t>
      </w:r>
    </w:p>
    <w:p>
      <w:pPr>
        <w:pStyle w:val="BodyText"/>
        <w:spacing w:line="272" w:lineRule="exact"/>
        <w:ind w:left="711" w:right="7440"/>
        <w:jc w:val="center"/>
      </w:pPr>
      <w:r>
        <w:rPr/>
        <w:t>②</w:t>
      </w:r>
      <w:r>
        <w:rPr>
          <w:spacing w:val="-3"/>
        </w:rPr>
        <w:t>网</w:t>
      </w:r>
      <w:r>
        <w:rPr/>
        <w:t>织</w:t>
      </w:r>
      <w:r>
        <w:rPr>
          <w:spacing w:val="-3"/>
        </w:rPr>
        <w:t>红</w:t>
      </w:r>
      <w:r>
        <w:rPr/>
        <w:t>细</w:t>
      </w:r>
      <w:r>
        <w:rPr>
          <w:spacing w:val="-3"/>
        </w:rPr>
        <w:t>胞</w:t>
      </w:r>
      <w:r>
        <w:rPr>
          <w:spacing w:val="-99"/>
        </w:rPr>
        <w:t> </w:t>
      </w:r>
      <w:r>
        <w:rPr>
          <w:w w:val="100"/>
        </w:rPr>
        <w:drawing>
          <wp:inline distT="0" distB="0" distL="0" distR="0">
            <wp:extent cx="63499" cy="95250"/>
            <wp:effectExtent l="0" t="0" r="0" b="0"/>
            <wp:docPr id="9" name="image4.png" descr=""/>
            <wp:cNvGraphicFramePr>
              <a:graphicFrameLocks noChangeAspect="1"/>
            </wp:cNvGraphicFramePr>
            <a:graphic>
              <a:graphicData uri="http://schemas.openxmlformats.org/drawingml/2006/picture">
                <pic:pic>
                  <pic:nvPicPr>
                    <pic:cNvPr id="10" name="image4.png"/>
                    <pic:cNvPicPr/>
                  </pic:nvPicPr>
                  <pic:blipFill>
                    <a:blip r:embed="rId12" cstate="print"/>
                    <a:stretch>
                      <a:fillRect/>
                    </a:stretch>
                  </pic:blipFill>
                  <pic:spPr>
                    <a:xfrm>
                      <a:off x="0" y="0"/>
                      <a:ext cx="63499" cy="95250"/>
                    </a:xfrm>
                    <a:prstGeom prst="rect">
                      <a:avLst/>
                    </a:prstGeom>
                  </pic:spPr>
                </pic:pic>
              </a:graphicData>
            </a:graphic>
          </wp:inline>
        </w:drawing>
      </w:r>
      <w:r>
        <w:rPr>
          <w:w w:val="100"/>
        </w:rPr>
      </w:r>
      <w:r>
        <w:rPr/>
        <w:t>；</w:t>
      </w:r>
    </w:p>
    <w:p>
      <w:pPr>
        <w:pStyle w:val="BodyText"/>
        <w:spacing w:line="252" w:lineRule="exact"/>
        <w:ind w:left="711" w:right="6439"/>
        <w:jc w:val="center"/>
      </w:pPr>
      <w:r>
        <w:rPr/>
        <w:t>③血小板绝对值 ≤20×10</w:t>
      </w:r>
      <w:r>
        <w:rPr>
          <w:position w:val="11"/>
          <w:sz w:val="11"/>
        </w:rPr>
        <w:t>9</w:t>
      </w:r>
      <w:r>
        <w:rPr/>
        <w:t>/L。</w:t>
      </w:r>
    </w:p>
    <w:p>
      <w:pPr>
        <w:spacing w:line="337" w:lineRule="exact" w:before="0"/>
        <w:ind w:left="318" w:right="0" w:firstLine="0"/>
        <w:jc w:val="left"/>
        <w:rPr>
          <w:rFonts w:ascii="微软雅黑" w:eastAsia="微软雅黑" w:hint="eastAsia"/>
          <w:b/>
          <w:sz w:val="21"/>
        </w:rPr>
      </w:pPr>
      <w:r>
        <w:rPr>
          <w:sz w:val="21"/>
        </w:rPr>
        <w:t>（25）</w:t>
      </w:r>
      <w:r>
        <w:rPr>
          <w:rFonts w:ascii="微软雅黑" w:eastAsia="微软雅黑" w:hint="eastAsia"/>
          <w:b/>
          <w:sz w:val="21"/>
          <w:u w:val="single"/>
        </w:rPr>
        <w:t>主动脉手术</w:t>
      </w:r>
    </w:p>
    <w:p>
      <w:pPr>
        <w:pStyle w:val="BodyText"/>
        <w:spacing w:line="237" w:lineRule="auto"/>
        <w:ind w:right="224"/>
      </w:pPr>
      <w:r>
        <w:rPr>
          <w:spacing w:val="-6"/>
        </w:rPr>
        <w:t>指为治疗主动脉疾病，实际实施了开胸或开腹进行的切除、置换、修补病损主动脉血管的手术。主动脉指</w:t>
      </w:r>
      <w:r>
        <w:rPr>
          <w:spacing w:val="-4"/>
        </w:rPr>
        <w:t>胸主动脉和腹主动脉，不包括胸主动脉和腹主动脉的分支血管。</w:t>
      </w:r>
    </w:p>
    <w:p>
      <w:pPr>
        <w:pStyle w:val="Heading3"/>
        <w:spacing w:line="252" w:lineRule="exact" w:before="3"/>
      </w:pPr>
      <w:r>
        <w:rPr/>
        <w:t>动脉内血管成形术不在保障范围内。</w:t>
      </w:r>
    </w:p>
    <w:p>
      <w:pPr>
        <w:spacing w:line="318" w:lineRule="exact" w:before="0"/>
        <w:ind w:left="318" w:right="0" w:firstLine="0"/>
        <w:jc w:val="left"/>
        <w:rPr>
          <w:rFonts w:ascii="微软雅黑" w:eastAsia="微软雅黑" w:hint="eastAsia"/>
          <w:b/>
          <w:sz w:val="21"/>
        </w:rPr>
      </w:pPr>
      <w:r>
        <w:rPr>
          <w:sz w:val="21"/>
        </w:rPr>
        <w:t>（26）</w:t>
      </w:r>
      <w:r>
        <w:rPr>
          <w:rFonts w:ascii="微软雅黑" w:eastAsia="微软雅黑" w:hint="eastAsia"/>
          <w:b/>
          <w:sz w:val="21"/>
          <w:u w:val="single"/>
        </w:rPr>
        <w:t>多发性硬化</w:t>
      </w:r>
    </w:p>
    <w:p>
      <w:pPr>
        <w:spacing w:after="0" w:line="318" w:lineRule="exact"/>
        <w:jc w:val="left"/>
        <w:rPr>
          <w:rFonts w:ascii="微软雅黑" w:eastAsia="微软雅黑" w:hint="eastAsia"/>
          <w:sz w:val="21"/>
        </w:rPr>
        <w:sectPr>
          <w:pgSz w:w="11900" w:h="16840"/>
          <w:pgMar w:header="895" w:footer="547" w:top="1080" w:bottom="740" w:left="920" w:right="900"/>
        </w:sectPr>
      </w:pPr>
    </w:p>
    <w:p>
      <w:pPr>
        <w:pStyle w:val="BodyText"/>
        <w:spacing w:before="14"/>
        <w:ind w:left="0"/>
        <w:rPr>
          <w:rFonts w:ascii="微软雅黑"/>
          <w:b/>
          <w:sz w:val="9"/>
        </w:rPr>
      </w:pPr>
    </w:p>
    <w:p>
      <w:pPr>
        <w:pStyle w:val="BodyText"/>
        <w:spacing w:line="20" w:lineRule="exact"/>
        <w:ind w:left="207"/>
        <w:rPr>
          <w:rFonts w:ascii="微软雅黑"/>
          <w:sz w:val="2"/>
        </w:rPr>
      </w:pPr>
      <w:r>
        <w:rPr>
          <w:rFonts w:ascii="Times New Roman"/>
          <w:spacing w:val="5"/>
          <w:sz w:val="2"/>
        </w:rPr>
        <w:t> </w:t>
      </w:r>
      <w:r>
        <w:rPr>
          <w:rFonts w:ascii="微软雅黑"/>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rFonts w:ascii="微软雅黑"/>
          <w:spacing w:val="5"/>
          <w:sz w:val="2"/>
        </w:rPr>
      </w:r>
    </w:p>
    <w:p>
      <w:pPr>
        <w:pStyle w:val="BodyText"/>
        <w:spacing w:line="237" w:lineRule="auto" w:before="57"/>
        <w:ind w:right="202"/>
        <w:jc w:val="both"/>
      </w:pPr>
      <w:r>
        <w:rPr>
          <w:spacing w:val="-4"/>
        </w:rPr>
        <w:t>被保险人因脑及脊髓内的脱髓鞘病变而出现神经系统多灶性</w:t>
      </w:r>
      <w:r>
        <w:rPr/>
        <w:t>（</w:t>
      </w:r>
      <w:r>
        <w:rPr>
          <w:spacing w:val="-3"/>
        </w:rPr>
        <w:t>多发性</w:t>
      </w:r>
      <w:r>
        <w:rPr>
          <w:spacing w:val="-8"/>
        </w:rPr>
        <w:t>）</w:t>
      </w:r>
      <w:r>
        <w:rPr>
          <w:spacing w:val="-5"/>
        </w:rPr>
        <w:t>多时相</w:t>
      </w:r>
      <w:r>
        <w:rPr>
          <w:spacing w:val="-3"/>
        </w:rPr>
        <w:t>（</w:t>
      </w:r>
      <w:r>
        <w:rPr>
          <w:spacing w:val="-12"/>
        </w:rPr>
        <w:t>至少 </w:t>
      </w:r>
      <w:r>
        <w:rPr/>
        <w:t>6</w:t>
      </w:r>
      <w:r>
        <w:rPr>
          <w:spacing w:val="-7"/>
        </w:rPr>
        <w:t> 个月以内有一次以</w:t>
      </w:r>
      <w:r>
        <w:rPr>
          <w:spacing w:val="-3"/>
          <w:w w:val="100"/>
        </w:rPr>
        <w:t>上（不包含一次</w:t>
      </w:r>
      <w:r>
        <w:rPr>
          <w:spacing w:val="-5"/>
          <w:w w:val="100"/>
        </w:rPr>
        <w:t>）</w:t>
      </w:r>
      <w:r>
        <w:rPr>
          <w:spacing w:val="-3"/>
          <w:w w:val="100"/>
        </w:rPr>
        <w:t>的发作）</w:t>
      </w:r>
      <w:r>
        <w:rPr>
          <w:spacing w:val="-4"/>
          <w:w w:val="100"/>
        </w:rPr>
        <w:t>的病变，须由计算机断层扫描</w:t>
      </w:r>
      <w:r>
        <w:rPr>
          <w:w w:val="100"/>
        </w:rPr>
        <w:t>（</w:t>
      </w:r>
      <w:r>
        <w:rPr>
          <w:spacing w:val="-3"/>
          <w:w w:val="100"/>
        </w:rPr>
        <w:t>C</w:t>
      </w:r>
      <w:r>
        <w:rPr>
          <w:w w:val="100"/>
        </w:rPr>
        <w:t>T</w:t>
      </w:r>
      <w:r>
        <w:rPr>
          <w:spacing w:val="-106"/>
          <w:w w:val="100"/>
        </w:rPr>
        <w:t>）</w:t>
      </w:r>
      <w:r>
        <w:rPr>
          <w:spacing w:val="-3"/>
          <w:w w:val="100"/>
        </w:rPr>
        <w:t>、核磁共振检查</w:t>
      </w:r>
      <w:r>
        <w:rPr>
          <w:w w:val="100"/>
        </w:rPr>
        <w:t>（</w:t>
      </w:r>
      <w:r>
        <w:rPr>
          <w:spacing w:val="-3"/>
          <w:w w:val="100"/>
        </w:rPr>
        <w:t>M</w:t>
      </w:r>
      <w:r>
        <w:rPr>
          <w:w w:val="100"/>
        </w:rPr>
        <w:t>R</w:t>
      </w:r>
      <w:r>
        <w:rPr>
          <w:spacing w:val="-3"/>
          <w:w w:val="100"/>
        </w:rPr>
        <w:t>I）或正电子发射断层</w:t>
      </w:r>
      <w:r>
        <w:rPr>
          <w:spacing w:val="-3"/>
        </w:rPr>
        <w:t>扫描（PET）等影像学检查证实，且已经造成自主生活能力完全丧失，无法独立完成六项基本日常生活活</w:t>
      </w:r>
      <w:r>
        <w:rPr>
          <w:spacing w:val="-6"/>
        </w:rPr>
        <w:t>动中的三项或三项以上，持续至少 </w:t>
      </w:r>
      <w:r>
        <w:rPr/>
        <w:t>180</w:t>
      </w:r>
      <w:r>
        <w:rPr>
          <w:spacing w:val="-16"/>
        </w:rPr>
        <w:t> 天。</w:t>
      </w:r>
    </w:p>
    <w:p>
      <w:pPr>
        <w:spacing w:line="313" w:lineRule="exact" w:before="0"/>
        <w:ind w:left="318" w:right="0" w:firstLine="0"/>
        <w:jc w:val="left"/>
        <w:rPr>
          <w:rFonts w:ascii="微软雅黑" w:eastAsia="微软雅黑" w:hint="eastAsia"/>
          <w:b/>
          <w:sz w:val="21"/>
        </w:rPr>
      </w:pPr>
      <w:r>
        <w:rPr>
          <w:sz w:val="21"/>
        </w:rPr>
        <w:t>（27）</w:t>
      </w:r>
      <w:r>
        <w:rPr>
          <w:rFonts w:ascii="微软雅黑" w:eastAsia="微软雅黑" w:hint="eastAsia"/>
          <w:b/>
          <w:sz w:val="21"/>
          <w:u w:val="single"/>
        </w:rPr>
        <w:t>慢性呼吸功能衰竭</w:t>
      </w:r>
    </w:p>
    <w:p>
      <w:pPr>
        <w:pStyle w:val="BodyText"/>
        <w:spacing w:line="237" w:lineRule="auto"/>
        <w:ind w:right="176"/>
      </w:pPr>
      <w:r>
        <w:rPr/>
        <w:t>慢性肺部疾病导致永久不可逆性的慢性呼吸功能衰竭。慢性呼吸功能衰竭必须明确诊断并满足下列全部条件：</w:t>
      </w:r>
    </w:p>
    <w:p>
      <w:pPr>
        <w:pStyle w:val="BodyText"/>
        <w:spacing w:line="271" w:lineRule="exact" w:before="2"/>
        <w:ind w:left="423"/>
      </w:pPr>
      <w:r>
        <w:rPr>
          <w:position w:val="1"/>
        </w:rPr>
        <w:t>Ⅰ 动脉血氧分压（PaO</w:t>
      </w:r>
      <w:r>
        <w:rPr>
          <w:sz w:val="11"/>
        </w:rPr>
        <w:t>2</w:t>
      </w:r>
      <w:r>
        <w:rPr>
          <w:position w:val="1"/>
        </w:rPr>
        <w:t>）&lt;50mmHg；</w:t>
      </w:r>
    </w:p>
    <w:p>
      <w:pPr>
        <w:pStyle w:val="BodyText"/>
        <w:spacing w:line="273" w:lineRule="exact"/>
        <w:ind w:left="424"/>
      </w:pPr>
      <w:r>
        <w:rPr>
          <w:w w:val="105"/>
          <w:position w:val="1"/>
        </w:rPr>
        <w:t>" 动脉血氧饱和度（Sa O</w:t>
      </w:r>
      <w:r>
        <w:rPr>
          <w:w w:val="105"/>
          <w:sz w:val="11"/>
        </w:rPr>
        <w:t>2</w:t>
      </w:r>
      <w:r>
        <w:rPr>
          <w:w w:val="105"/>
          <w:position w:val="1"/>
        </w:rPr>
        <w:t>）&lt;80％；</w:t>
      </w:r>
    </w:p>
    <w:p>
      <w:pPr>
        <w:pStyle w:val="BodyText"/>
        <w:spacing w:line="241" w:lineRule="exact"/>
        <w:ind w:left="424"/>
      </w:pPr>
      <w:r>
        <w:rPr/>
        <w:t>Ⅲ 因缺氧必须接受持续的输氧治疗。</w:t>
      </w:r>
    </w:p>
    <w:p>
      <w:pPr>
        <w:pStyle w:val="Heading3"/>
        <w:spacing w:line="296" w:lineRule="exact"/>
        <w:jc w:val="both"/>
      </w:pPr>
      <w:r>
        <w:rPr/>
        <w:t>理赔时必须提供以上三项相应的证明文件或检查报告。</w:t>
      </w:r>
    </w:p>
    <w:p>
      <w:pPr>
        <w:spacing w:line="324" w:lineRule="exact" w:before="0"/>
        <w:ind w:left="318" w:right="0" w:firstLine="0"/>
        <w:jc w:val="left"/>
        <w:rPr>
          <w:rFonts w:ascii="微软雅黑" w:eastAsia="微软雅黑" w:hint="eastAsia"/>
          <w:b/>
          <w:sz w:val="21"/>
        </w:rPr>
      </w:pPr>
      <w:r>
        <w:rPr>
          <w:sz w:val="21"/>
        </w:rPr>
        <w:t>（28）</w:t>
      </w:r>
      <w:r>
        <w:rPr>
          <w:rFonts w:ascii="微软雅黑" w:eastAsia="微软雅黑" w:hint="eastAsia"/>
          <w:b/>
          <w:sz w:val="21"/>
          <w:u w:val="single"/>
        </w:rPr>
        <w:t>颅脑手术</w:t>
      </w:r>
    </w:p>
    <w:p>
      <w:pPr>
        <w:spacing w:line="192" w:lineRule="auto" w:before="49"/>
        <w:ind w:left="212" w:right="2174" w:firstLine="0"/>
        <w:jc w:val="left"/>
        <w:rPr>
          <w:rFonts w:ascii="微软雅黑" w:eastAsia="微软雅黑" w:hint="eastAsia"/>
          <w:b/>
          <w:sz w:val="21"/>
        </w:rPr>
      </w:pPr>
      <w:r>
        <w:rPr>
          <w:spacing w:val="-3"/>
          <w:sz w:val="21"/>
        </w:rPr>
        <w:t>被保险人确已实施全麻下的开颅手术</w:t>
      </w:r>
      <w:r>
        <w:rPr>
          <w:sz w:val="21"/>
        </w:rPr>
        <w:t>（</w:t>
      </w:r>
      <w:r>
        <w:rPr>
          <w:spacing w:val="-3"/>
          <w:sz w:val="21"/>
        </w:rPr>
        <w:t>不包括颅骨钻孔手术和经鼻蝶窦入颅手术</w:t>
      </w:r>
      <w:r>
        <w:rPr>
          <w:spacing w:val="-108"/>
          <w:sz w:val="21"/>
        </w:rPr>
        <w:t>）</w:t>
      </w:r>
      <w:r>
        <w:rPr>
          <w:sz w:val="21"/>
        </w:rPr>
        <w:t>。</w:t>
      </w:r>
      <w:r>
        <w:rPr>
          <w:rFonts w:ascii="微软雅黑" w:eastAsia="微软雅黑" w:hint="eastAsia"/>
          <w:b/>
          <w:spacing w:val="-3"/>
          <w:sz w:val="21"/>
        </w:rPr>
        <w:t>因外伤而实施的脑外科手术不在保障范围之内。</w:t>
      </w:r>
    </w:p>
    <w:p>
      <w:pPr>
        <w:pStyle w:val="Heading3"/>
        <w:spacing w:line="239" w:lineRule="exact"/>
      </w:pPr>
      <w:r>
        <w:rPr/>
        <w:t>理赔时必须提供由神经外科医生出具的诊断书及手术报告。</w:t>
      </w:r>
    </w:p>
    <w:p>
      <w:pPr>
        <w:spacing w:line="323" w:lineRule="exact" w:before="0"/>
        <w:ind w:left="318" w:right="0" w:firstLine="0"/>
        <w:jc w:val="left"/>
        <w:rPr>
          <w:rFonts w:ascii="微软雅黑" w:eastAsia="微软雅黑" w:hint="eastAsia"/>
          <w:b/>
          <w:sz w:val="21"/>
        </w:rPr>
      </w:pPr>
      <w:r>
        <w:rPr>
          <w:sz w:val="21"/>
        </w:rPr>
        <w:t>（29）</w:t>
      </w:r>
      <w:r>
        <w:rPr>
          <w:rFonts w:ascii="微软雅黑" w:eastAsia="微软雅黑" w:hint="eastAsia"/>
          <w:b/>
          <w:sz w:val="21"/>
          <w:u w:val="single"/>
        </w:rPr>
        <w:t>严重类风湿性关节炎</w:t>
      </w:r>
    </w:p>
    <w:p>
      <w:pPr>
        <w:pStyle w:val="BodyText"/>
        <w:spacing w:line="237" w:lineRule="auto"/>
        <w:ind w:right="202"/>
        <w:jc w:val="both"/>
      </w:pPr>
      <w:r>
        <w:rPr>
          <w:spacing w:val="-11"/>
        </w:rPr>
        <w:t>严重类风湿性关节炎为广泛分布的慢性进行性多关节病变，伴有关节严重变形，侵犯至少三个主要关节</w:t>
      </w:r>
      <w:r>
        <w:rPr>
          <w:spacing w:val="-3"/>
        </w:rPr>
        <w:t>（</w:t>
      </w:r>
      <w:r>
        <w:rPr/>
        <w:t>腕</w:t>
      </w:r>
      <w:r>
        <w:rPr>
          <w:spacing w:val="-5"/>
        </w:rPr>
        <w:t>关节、肘关节、肩关节、踝关节、膝关节、髋关节</w:t>
      </w:r>
      <w:r>
        <w:rPr>
          <w:spacing w:val="-3"/>
        </w:rPr>
        <w:t>）或关节组</w:t>
      </w:r>
      <w:r>
        <w:rPr/>
        <w:t>（</w:t>
      </w:r>
      <w:r>
        <w:rPr>
          <w:spacing w:val="-4"/>
        </w:rPr>
        <w:t>如手的多个指间、掌指关节，足的多个足</w:t>
      </w:r>
      <w:r>
        <w:rPr>
          <w:spacing w:val="-3"/>
        </w:rPr>
        <w:t>趾、跖趾关节</w:t>
      </w:r>
      <w:r>
        <w:rPr/>
        <w:t>），X</w:t>
      </w:r>
      <w:r>
        <w:rPr>
          <w:spacing w:val="-1"/>
        </w:rPr>
        <w:t> 线显示严重的关节</w:t>
      </w:r>
      <w:r>
        <w:rPr>
          <w:spacing w:val="-3"/>
        </w:rPr>
        <w:t>（软骨和骨</w:t>
      </w:r>
      <w:r>
        <w:rPr/>
        <w:t>）</w:t>
      </w:r>
      <w:r>
        <w:rPr>
          <w:spacing w:val="-3"/>
        </w:rPr>
        <w:t>破坏和关节畸形，并已达到类风湿性关节炎功能分级</w:t>
      </w:r>
    </w:p>
    <w:p>
      <w:pPr>
        <w:pStyle w:val="BodyText"/>
        <w:spacing w:line="237" w:lineRule="auto" w:before="4"/>
        <w:ind w:right="206" w:hanging="1"/>
      </w:pPr>
      <w:r>
        <w:rPr/>
        <w:t>IV</w:t>
      </w:r>
      <w:r>
        <w:rPr>
          <w:spacing w:val="-10"/>
        </w:rPr>
        <w:t> 级的永久不可逆性关节功能障碍，致使被保险人完全丧失工作能力，生活不能自理，无法独立完成六项</w:t>
      </w:r>
      <w:r>
        <w:rPr>
          <w:spacing w:val="-5"/>
        </w:rPr>
        <w:t>基本日常生活活动中的三项或三项以上。</w:t>
      </w:r>
    </w:p>
    <w:p>
      <w:pPr>
        <w:spacing w:line="285" w:lineRule="exact" w:before="0"/>
        <w:ind w:left="318" w:right="0" w:firstLine="0"/>
        <w:jc w:val="left"/>
        <w:rPr>
          <w:rFonts w:ascii="微软雅黑" w:eastAsia="微软雅黑" w:hint="eastAsia"/>
          <w:b/>
          <w:sz w:val="21"/>
        </w:rPr>
      </w:pPr>
      <w:r>
        <w:rPr>
          <w:sz w:val="21"/>
        </w:rPr>
        <w:t>（30）</w:t>
      </w:r>
      <w:r>
        <w:rPr>
          <w:rFonts w:ascii="微软雅黑" w:eastAsia="微软雅黑" w:hint="eastAsia"/>
          <w:b/>
          <w:sz w:val="21"/>
          <w:u w:val="single"/>
        </w:rPr>
        <w:t>严重冠心病</w:t>
      </w:r>
    </w:p>
    <w:p>
      <w:pPr>
        <w:pStyle w:val="BodyText"/>
        <w:spacing w:line="260" w:lineRule="exact"/>
        <w:ind w:left="203"/>
      </w:pPr>
      <w:r>
        <w:rPr/>
        <w:t>指根据冠状动脉造影检查结果确诊的主要血管严重狭窄性病变，须满足下列至少一项条件：</w:t>
      </w:r>
    </w:p>
    <w:p>
      <w:pPr>
        <w:pStyle w:val="BodyText"/>
        <w:spacing w:line="237" w:lineRule="auto" w:before="1"/>
        <w:ind w:right="204" w:firstLine="201"/>
      </w:pPr>
      <w:r>
        <w:rPr/>
        <w:t>Ⅰ</w:t>
      </w:r>
      <w:r>
        <w:rPr>
          <w:spacing w:val="46"/>
        </w:rPr>
        <w:t> </w:t>
      </w:r>
      <w:r>
        <w:rPr/>
        <w:t>左冠状动脉主干和右冠状动脉有一支血管管腔直径减少</w:t>
      </w:r>
      <w:r>
        <w:rPr>
          <w:spacing w:val="1"/>
        </w:rPr>
        <w:t> </w:t>
      </w:r>
      <w:r>
        <w:rPr>
          <w:w w:val="100"/>
        </w:rPr>
        <w:drawing>
          <wp:inline distT="0" distB="0" distL="0" distR="0">
            <wp:extent cx="63499" cy="95250"/>
            <wp:effectExtent l="0" t="0" r="0" b="0"/>
            <wp:docPr id="11" name="image4.png" descr=""/>
            <wp:cNvGraphicFramePr>
              <a:graphicFrameLocks noChangeAspect="1"/>
            </wp:cNvGraphicFramePr>
            <a:graphic>
              <a:graphicData uri="http://schemas.openxmlformats.org/drawingml/2006/picture">
                <pic:pic>
                  <pic:nvPicPr>
                    <pic:cNvPr id="12" name="image4.png"/>
                    <pic:cNvPicPr/>
                  </pic:nvPicPr>
                  <pic:blipFill>
                    <a:blip r:embed="rId12" cstate="print"/>
                    <a:stretch>
                      <a:fillRect/>
                    </a:stretch>
                  </pic:blipFill>
                  <pic:spPr>
                    <a:xfrm>
                      <a:off x="0" y="0"/>
                      <a:ext cx="63499" cy="95250"/>
                    </a:xfrm>
                    <a:prstGeom prst="rect">
                      <a:avLst/>
                    </a:prstGeom>
                  </pic:spPr>
                </pic:pic>
              </a:graphicData>
            </a:graphic>
          </wp:inline>
        </w:drawing>
      </w:r>
      <w:r>
        <w:rPr>
          <w:w w:val="100"/>
        </w:rPr>
      </w:r>
      <w:r>
        <w:rPr/>
        <w:t>以上且另一支血管管腔直径减少</w:t>
      </w:r>
      <w:r>
        <w:rPr>
          <w:spacing w:val="26"/>
        </w:rPr>
        <w:t> </w:t>
      </w:r>
      <w:r>
        <w:rPr>
          <w:w w:val="100"/>
        </w:rPr>
        <w:drawing>
          <wp:inline distT="0" distB="0" distL="0" distR="0">
            <wp:extent cx="63499" cy="95250"/>
            <wp:effectExtent l="0" t="0" r="0" b="0"/>
            <wp:docPr id="13" name="image4.png" descr=""/>
            <wp:cNvGraphicFramePr>
              <a:graphicFrameLocks noChangeAspect="1"/>
            </wp:cNvGraphicFramePr>
            <a:graphic>
              <a:graphicData uri="http://schemas.openxmlformats.org/drawingml/2006/picture">
                <pic:pic>
                  <pic:nvPicPr>
                    <pic:cNvPr id="14" name="image4.png"/>
                    <pic:cNvPicPr/>
                  </pic:nvPicPr>
                  <pic:blipFill>
                    <a:blip r:embed="rId12" cstate="print"/>
                    <a:stretch>
                      <a:fillRect/>
                    </a:stretch>
                  </pic:blipFill>
                  <pic:spPr>
                    <a:xfrm>
                      <a:off x="0" y="0"/>
                      <a:ext cx="63499" cy="95250"/>
                    </a:xfrm>
                    <a:prstGeom prst="rect">
                      <a:avLst/>
                    </a:prstGeom>
                  </pic:spPr>
                </pic:pic>
              </a:graphicData>
            </a:graphic>
          </wp:inline>
        </w:drawing>
      </w:r>
      <w:r>
        <w:rPr>
          <w:w w:val="100"/>
        </w:rPr>
      </w:r>
      <w:r>
        <w:rPr/>
        <w:t>以   上。</w:t>
      </w:r>
    </w:p>
    <w:p>
      <w:pPr>
        <w:pStyle w:val="BodyText"/>
        <w:spacing w:line="237" w:lineRule="auto" w:before="1"/>
        <w:ind w:right="210" w:firstLine="201"/>
      </w:pPr>
      <w:r>
        <w:rPr>
          <w:w w:val="185"/>
        </w:rPr>
        <w:t>"</w:t>
      </w:r>
      <w:r>
        <w:rPr>
          <w:spacing w:val="-48"/>
          <w:w w:val="185"/>
        </w:rPr>
        <w:t> </w:t>
      </w:r>
      <w:r>
        <w:rPr/>
        <w:t>前</w:t>
      </w:r>
      <w:r>
        <w:rPr>
          <w:spacing w:val="-3"/>
        </w:rPr>
        <w:t>降</w:t>
      </w:r>
      <w:r>
        <w:rPr/>
        <w:t>支</w:t>
      </w:r>
      <w:r>
        <w:rPr>
          <w:spacing w:val="-15"/>
        </w:rPr>
        <w:t>、</w:t>
      </w:r>
      <w:r>
        <w:rPr/>
        <w:t>左</w:t>
      </w:r>
      <w:r>
        <w:rPr>
          <w:spacing w:val="-3"/>
        </w:rPr>
        <w:t>旋</w:t>
      </w:r>
      <w:r>
        <w:rPr/>
        <w:t>支</w:t>
      </w:r>
      <w:r>
        <w:rPr>
          <w:spacing w:val="-3"/>
        </w:rPr>
        <w:t>和右</w:t>
      </w:r>
      <w:r>
        <w:rPr/>
        <w:t>冠状</w:t>
      </w:r>
      <w:r>
        <w:rPr>
          <w:spacing w:val="-3"/>
        </w:rPr>
        <w:t>动</w:t>
      </w:r>
      <w:r>
        <w:rPr/>
        <w:t>脉</w:t>
      </w:r>
      <w:r>
        <w:rPr>
          <w:spacing w:val="-3"/>
        </w:rPr>
        <w:t>至</w:t>
      </w:r>
      <w:r>
        <w:rPr/>
        <w:t>少</w:t>
      </w:r>
      <w:r>
        <w:rPr>
          <w:spacing w:val="-3"/>
        </w:rPr>
        <w:t>一</w:t>
      </w:r>
      <w:r>
        <w:rPr/>
        <w:t>支</w:t>
      </w:r>
      <w:r>
        <w:rPr>
          <w:spacing w:val="-3"/>
        </w:rPr>
        <w:t>血</w:t>
      </w:r>
      <w:r>
        <w:rPr/>
        <w:t>管</w:t>
      </w:r>
      <w:r>
        <w:rPr>
          <w:spacing w:val="-3"/>
        </w:rPr>
        <w:t>管</w:t>
      </w:r>
      <w:r>
        <w:rPr/>
        <w:t>腔直</w:t>
      </w:r>
      <w:r>
        <w:rPr>
          <w:spacing w:val="-3"/>
        </w:rPr>
        <w:t>径减</w:t>
      </w:r>
      <w:r>
        <w:rPr/>
        <w:t>少</w:t>
      </w:r>
      <w:r>
        <w:rPr>
          <w:spacing w:val="-53"/>
        </w:rPr>
        <w:t> </w:t>
      </w:r>
      <w:r>
        <w:rPr>
          <w:w w:val="100"/>
        </w:rPr>
        <w:drawing>
          <wp:inline distT="0" distB="0" distL="0" distR="0">
            <wp:extent cx="63499" cy="95250"/>
            <wp:effectExtent l="0" t="0" r="0" b="0"/>
            <wp:docPr id="15" name="image4.png" descr=""/>
            <wp:cNvGraphicFramePr>
              <a:graphicFrameLocks noChangeAspect="1"/>
            </wp:cNvGraphicFramePr>
            <a:graphic>
              <a:graphicData uri="http://schemas.openxmlformats.org/drawingml/2006/picture">
                <pic:pic>
                  <pic:nvPicPr>
                    <pic:cNvPr id="16" name="image4.png"/>
                    <pic:cNvPicPr/>
                  </pic:nvPicPr>
                  <pic:blipFill>
                    <a:blip r:embed="rId12" cstate="print"/>
                    <a:stretch>
                      <a:fillRect/>
                    </a:stretch>
                  </pic:blipFill>
                  <pic:spPr>
                    <a:xfrm>
                      <a:off x="0" y="0"/>
                      <a:ext cx="63499" cy="95250"/>
                    </a:xfrm>
                    <a:prstGeom prst="rect">
                      <a:avLst/>
                    </a:prstGeom>
                  </pic:spPr>
                </pic:pic>
              </a:graphicData>
            </a:graphic>
          </wp:inline>
        </w:drawing>
      </w:r>
      <w:r>
        <w:rPr>
          <w:w w:val="100"/>
        </w:rPr>
      </w:r>
      <w:r>
        <w:rPr/>
        <w:t>以</w:t>
      </w:r>
      <w:r>
        <w:rPr>
          <w:spacing w:val="-3"/>
        </w:rPr>
        <w:t>上</w:t>
      </w:r>
      <w:r>
        <w:rPr/>
        <w:t>且</w:t>
      </w:r>
      <w:r>
        <w:rPr>
          <w:spacing w:val="-3"/>
        </w:rPr>
        <w:t>其</w:t>
      </w:r>
      <w:r>
        <w:rPr/>
        <w:t>他两</w:t>
      </w:r>
      <w:r>
        <w:rPr>
          <w:spacing w:val="-3"/>
        </w:rPr>
        <w:t>支</w:t>
      </w:r>
      <w:r>
        <w:rPr/>
        <w:t>血</w:t>
      </w:r>
      <w:r>
        <w:rPr>
          <w:spacing w:val="-3"/>
        </w:rPr>
        <w:t>管</w:t>
      </w:r>
      <w:r>
        <w:rPr/>
        <w:t>管</w:t>
      </w:r>
      <w:r>
        <w:rPr>
          <w:spacing w:val="-3"/>
        </w:rPr>
        <w:t>腔</w:t>
      </w:r>
      <w:r>
        <w:rPr/>
        <w:t>直</w:t>
      </w:r>
      <w:r>
        <w:rPr>
          <w:spacing w:val="-3"/>
        </w:rPr>
        <w:t>径减</w:t>
      </w:r>
      <w:r>
        <w:rPr/>
        <w:t>少 </w:t>
      </w:r>
      <w:r>
        <w:rPr>
          <w:w w:val="100"/>
        </w:rPr>
        <w:drawing>
          <wp:inline distT="0" distB="0" distL="0" distR="0">
            <wp:extent cx="63499" cy="95250"/>
            <wp:effectExtent l="0" t="0" r="0" b="0"/>
            <wp:docPr id="17" name="image4.png" descr=""/>
            <wp:cNvGraphicFramePr>
              <a:graphicFrameLocks noChangeAspect="1"/>
            </wp:cNvGraphicFramePr>
            <a:graphic>
              <a:graphicData uri="http://schemas.openxmlformats.org/drawingml/2006/picture">
                <pic:pic>
                  <pic:nvPicPr>
                    <pic:cNvPr id="18" name="image4.png"/>
                    <pic:cNvPicPr/>
                  </pic:nvPicPr>
                  <pic:blipFill>
                    <a:blip r:embed="rId12" cstate="print"/>
                    <a:stretch>
                      <a:fillRect/>
                    </a:stretch>
                  </pic:blipFill>
                  <pic:spPr>
                    <a:xfrm>
                      <a:off x="0" y="0"/>
                      <a:ext cx="63499" cy="95250"/>
                    </a:xfrm>
                    <a:prstGeom prst="rect">
                      <a:avLst/>
                    </a:prstGeom>
                  </pic:spPr>
                </pic:pic>
              </a:graphicData>
            </a:graphic>
          </wp:inline>
        </w:drawing>
      </w:r>
      <w:r>
        <w:rPr>
          <w:w w:val="100"/>
        </w:rPr>
      </w:r>
      <w:r>
        <w:rPr>
          <w:w w:val="100"/>
        </w:rPr>
        <w:t>     </w:t>
      </w:r>
      <w:r>
        <w:rPr/>
        <w:t>以上。</w:t>
      </w:r>
    </w:p>
    <w:p>
      <w:pPr>
        <w:pStyle w:val="Heading3"/>
        <w:spacing w:line="253" w:lineRule="exact"/>
        <w:ind w:left="203"/>
      </w:pPr>
      <w:r>
        <w:rPr/>
        <w:t>前降支、左旋支及右冠状动脉的分支血管的狭窄不作为本保障的衡量指标。</w:t>
      </w:r>
    </w:p>
    <w:p>
      <w:pPr>
        <w:spacing w:line="304" w:lineRule="exact" w:before="0"/>
        <w:ind w:left="318" w:right="0" w:firstLine="0"/>
        <w:jc w:val="left"/>
        <w:rPr>
          <w:rFonts w:ascii="微软雅黑" w:eastAsia="微软雅黑" w:hint="eastAsia"/>
          <w:b/>
          <w:sz w:val="21"/>
        </w:rPr>
      </w:pPr>
      <w:r>
        <w:rPr>
          <w:sz w:val="21"/>
        </w:rPr>
        <w:t>（31）</w:t>
      </w:r>
      <w:r>
        <w:rPr>
          <w:rFonts w:ascii="微软雅黑" w:eastAsia="微软雅黑" w:hint="eastAsia"/>
          <w:b/>
          <w:sz w:val="21"/>
          <w:u w:val="single"/>
        </w:rPr>
        <w:t>急性出血坏死性胰腺炎</w:t>
      </w:r>
    </w:p>
    <w:p>
      <w:pPr>
        <w:pStyle w:val="BodyText"/>
        <w:spacing w:line="237" w:lineRule="auto"/>
        <w:ind w:right="202" w:hanging="1"/>
      </w:pPr>
      <w:r>
        <w:rPr>
          <w:spacing w:val="-5"/>
        </w:rPr>
        <w:t>指被保险人因为急性出血坏死性胰腺炎已经接受了外科开腹手术治疗，以进行坏死组织清除、坏死病灶切</w:t>
      </w:r>
      <w:r>
        <w:rPr>
          <w:spacing w:val="-4"/>
        </w:rPr>
        <w:t>除或胰腺切除。</w:t>
      </w:r>
    </w:p>
    <w:p>
      <w:pPr>
        <w:pStyle w:val="Heading3"/>
        <w:spacing w:line="252" w:lineRule="exact" w:before="10"/>
      </w:pPr>
      <w:r>
        <w:rPr/>
        <w:t>因饮酒所致的急性出血坏死性胰腺炎或经腹腔镜手术进行的治疗不在保障范围内。</w:t>
      </w:r>
    </w:p>
    <w:p>
      <w:pPr>
        <w:spacing w:line="304" w:lineRule="exact" w:before="0"/>
        <w:ind w:left="318" w:right="0" w:firstLine="0"/>
        <w:jc w:val="left"/>
        <w:rPr>
          <w:rFonts w:ascii="微软雅黑" w:hAnsi="微软雅黑" w:eastAsia="微软雅黑" w:hint="eastAsia"/>
          <w:b/>
          <w:sz w:val="21"/>
        </w:rPr>
      </w:pPr>
      <w:r>
        <w:rPr>
          <w:sz w:val="21"/>
        </w:rPr>
        <w:t>（32）</w:t>
      </w:r>
      <w:r>
        <w:rPr>
          <w:rFonts w:ascii="微软雅黑" w:hAnsi="微软雅黑" w:eastAsia="微软雅黑" w:hint="eastAsia"/>
          <w:b/>
          <w:sz w:val="21"/>
          <w:u w:val="single"/>
        </w:rPr>
        <w:t>系统性红斑狼疮-Ⅲ  型或以上狼疮性肾炎</w:t>
      </w:r>
    </w:p>
    <w:p>
      <w:pPr>
        <w:pStyle w:val="BodyText"/>
        <w:spacing w:line="274" w:lineRule="exact" w:before="12"/>
        <w:ind w:right="202" w:hanging="10"/>
      </w:pPr>
      <w:r>
        <w:rPr>
          <w:spacing w:val="-5"/>
        </w:rPr>
        <w:t>系统性红斑狼疮是由多种因素引起，累及多系统的自身免疫性疾病。其特点是生成自身抗体对抗多种自身</w:t>
      </w:r>
      <w:r>
        <w:rPr>
          <w:spacing w:val="-4"/>
        </w:rPr>
        <w:t>抗原。多见于育龄妇女。</w:t>
      </w:r>
    </w:p>
    <w:p>
      <w:pPr>
        <w:spacing w:line="182" w:lineRule="auto" w:before="41"/>
        <w:ind w:left="212" w:right="204" w:hanging="10"/>
        <w:jc w:val="both"/>
        <w:rPr>
          <w:rFonts w:ascii="微软雅黑" w:eastAsia="微软雅黑" w:hint="eastAsia"/>
          <w:b/>
          <w:sz w:val="21"/>
        </w:rPr>
      </w:pPr>
      <w:r>
        <w:rPr>
          <w:spacing w:val="-4"/>
          <w:sz w:val="21"/>
        </w:rPr>
        <w:t>本保单所指的系统性红斑狼疮仅限于累及肾脏</w:t>
      </w:r>
      <w:r>
        <w:rPr>
          <w:spacing w:val="-3"/>
          <w:sz w:val="21"/>
        </w:rPr>
        <w:t>（</w:t>
      </w:r>
      <w:r>
        <w:rPr>
          <w:spacing w:val="-8"/>
          <w:sz w:val="21"/>
        </w:rPr>
        <w:t>经肾脏活检确认的，符合 </w:t>
      </w:r>
      <w:r>
        <w:rPr>
          <w:sz w:val="21"/>
        </w:rPr>
        <w:t>WHO</w:t>
      </w:r>
      <w:r>
        <w:rPr>
          <w:spacing w:val="-7"/>
          <w:sz w:val="21"/>
        </w:rPr>
        <w:t> 诊断标准定义 </w:t>
      </w:r>
      <w:r>
        <w:rPr>
          <w:rFonts w:ascii="Times New Roman" w:eastAsia="Times New Roman"/>
          <w:sz w:val="21"/>
        </w:rPr>
        <w:t>III </w:t>
      </w:r>
      <w:r>
        <w:rPr>
          <w:spacing w:val="-16"/>
          <w:sz w:val="21"/>
        </w:rPr>
        <w:t>型至 </w:t>
      </w:r>
      <w:r>
        <w:rPr>
          <w:sz w:val="21"/>
        </w:rPr>
        <w:t>V</w:t>
      </w:r>
      <w:r>
        <w:rPr>
          <w:spacing w:val="2"/>
          <w:sz w:val="21"/>
        </w:rPr>
        <w:t> 型</w:t>
      </w:r>
      <w:r>
        <w:rPr>
          <w:spacing w:val="-1"/>
          <w:sz w:val="21"/>
        </w:rPr>
        <w:t>狼疮性肾炎</w:t>
      </w:r>
      <w:r>
        <w:rPr>
          <w:spacing w:val="-12"/>
          <w:sz w:val="21"/>
        </w:rPr>
        <w:t>）</w:t>
      </w:r>
      <w:r>
        <w:rPr>
          <w:spacing w:val="-5"/>
          <w:sz w:val="21"/>
        </w:rPr>
        <w:t>的系统性红斑狼疮。</w:t>
      </w:r>
      <w:r>
        <w:rPr>
          <w:rFonts w:ascii="微软雅黑" w:eastAsia="微软雅黑" w:hint="eastAsia"/>
          <w:b/>
          <w:spacing w:val="-4"/>
          <w:sz w:val="21"/>
        </w:rPr>
        <w:t>其他类型的红斑性狼疮，如盘状狼疮、仅累及血液及关节的狼疮不在本保单保障范围內。</w:t>
      </w:r>
    </w:p>
    <w:p>
      <w:pPr>
        <w:pStyle w:val="BodyText"/>
        <w:spacing w:line="272" w:lineRule="exact" w:before="1"/>
        <w:ind w:left="203" w:right="6070"/>
      </w:pPr>
      <w:r>
        <w:rPr/>
        <w:t>本病必须由免疫和风湿科专家医师确诊。世界卫生组织（WHO）狼疮性肾炎分型：</w:t>
      </w:r>
    </w:p>
    <w:p>
      <w:pPr>
        <w:pStyle w:val="BodyText"/>
        <w:tabs>
          <w:tab w:pos="3143" w:val="left" w:leader="none"/>
        </w:tabs>
        <w:spacing w:line="247" w:lineRule="exact"/>
        <w:ind w:left="414"/>
      </w:pPr>
      <w:r>
        <w:rPr/>
        <w:t>Ⅰ</w:t>
      </w:r>
      <w:r>
        <w:rPr>
          <w:spacing w:val="-3"/>
        </w:rPr>
        <w:t>型</w:t>
      </w:r>
      <w:r>
        <w:rPr/>
        <w:t>（</w:t>
      </w:r>
      <w:r>
        <w:rPr>
          <w:spacing w:val="-3"/>
        </w:rPr>
        <w:t>微</w:t>
      </w:r>
      <w:r>
        <w:rPr/>
        <w:t>小</w:t>
      </w:r>
      <w:r>
        <w:rPr>
          <w:spacing w:val="-3"/>
        </w:rPr>
        <w:t>病</w:t>
      </w:r>
      <w:r>
        <w:rPr/>
        <w:t>变</w:t>
      </w:r>
      <w:r>
        <w:rPr>
          <w:spacing w:val="-3"/>
        </w:rPr>
        <w:t>型</w:t>
      </w:r>
      <w:r>
        <w:rPr/>
        <w:t>）</w:t>
        <w:tab/>
        <w:t>镜</w:t>
      </w:r>
      <w:r>
        <w:rPr>
          <w:spacing w:val="-3"/>
        </w:rPr>
        <w:t>下</w:t>
      </w:r>
      <w:r>
        <w:rPr/>
        <w:t>阴</w:t>
      </w:r>
      <w:r>
        <w:rPr>
          <w:spacing w:val="-3"/>
        </w:rPr>
        <w:t>性</w:t>
      </w:r>
      <w:r>
        <w:rPr/>
        <w:t>，</w:t>
      </w:r>
      <w:r>
        <w:rPr>
          <w:spacing w:val="-3"/>
        </w:rPr>
        <w:t>尿</w:t>
      </w:r>
      <w:r>
        <w:rPr/>
        <w:t>液</w:t>
      </w:r>
      <w:r>
        <w:rPr>
          <w:spacing w:val="-3"/>
        </w:rPr>
        <w:t>正</w:t>
      </w:r>
      <w:r>
        <w:rPr/>
        <w:t>常</w:t>
      </w:r>
    </w:p>
    <w:p>
      <w:pPr>
        <w:pStyle w:val="BodyText"/>
        <w:tabs>
          <w:tab w:pos="3143" w:val="left" w:leader="none"/>
        </w:tabs>
        <w:spacing w:line="272" w:lineRule="exact"/>
        <w:ind w:left="414"/>
      </w:pPr>
      <w:r>
        <w:rPr>
          <w:w w:val="185"/>
        </w:rPr>
        <w:t>Ⅱ</w:t>
      </w:r>
      <w:r>
        <w:rPr>
          <w:spacing w:val="-3"/>
          <w:w w:val="105"/>
        </w:rPr>
        <w:t>型</w:t>
      </w:r>
      <w:r>
        <w:rPr>
          <w:w w:val="105"/>
        </w:rPr>
        <w:t>（</w:t>
      </w:r>
      <w:r>
        <w:rPr>
          <w:spacing w:val="-3"/>
          <w:w w:val="105"/>
        </w:rPr>
        <w:t>系</w:t>
      </w:r>
      <w:r>
        <w:rPr>
          <w:w w:val="105"/>
        </w:rPr>
        <w:t>膜</w:t>
      </w:r>
      <w:r>
        <w:rPr>
          <w:spacing w:val="-3"/>
          <w:w w:val="105"/>
        </w:rPr>
        <w:t>病</w:t>
      </w:r>
      <w:r>
        <w:rPr>
          <w:w w:val="105"/>
        </w:rPr>
        <w:t>变</w:t>
      </w:r>
      <w:r>
        <w:rPr>
          <w:spacing w:val="-3"/>
          <w:w w:val="105"/>
        </w:rPr>
        <w:t>型</w:t>
      </w:r>
      <w:r>
        <w:rPr>
          <w:w w:val="105"/>
        </w:rPr>
        <w:t>）</w:t>
        <w:tab/>
      </w:r>
      <w:r>
        <w:rPr/>
        <w:t>中</w:t>
      </w:r>
      <w:r>
        <w:rPr>
          <w:spacing w:val="-3"/>
        </w:rPr>
        <w:t>度</w:t>
      </w:r>
      <w:r>
        <w:rPr/>
        <w:t>蛋</w:t>
      </w:r>
      <w:r>
        <w:rPr>
          <w:spacing w:val="-3"/>
        </w:rPr>
        <w:t>白</w:t>
      </w:r>
      <w:r>
        <w:rPr/>
        <w:t>尿</w:t>
      </w:r>
      <w:r>
        <w:rPr>
          <w:spacing w:val="-3"/>
        </w:rPr>
        <w:t>，</w:t>
      </w:r>
      <w:r>
        <w:rPr/>
        <w:t>偶</w:t>
      </w:r>
      <w:r>
        <w:rPr>
          <w:spacing w:val="-3"/>
        </w:rPr>
        <w:t>有尿</w:t>
      </w:r>
      <w:r>
        <w:rPr/>
        <w:t>沉渣</w:t>
      </w:r>
      <w:r>
        <w:rPr>
          <w:spacing w:val="-3"/>
        </w:rPr>
        <w:t>改</w:t>
      </w:r>
      <w:r>
        <w:rPr/>
        <w:t>变</w:t>
      </w:r>
    </w:p>
    <w:p>
      <w:pPr>
        <w:pStyle w:val="BodyText"/>
        <w:tabs>
          <w:tab w:pos="3145" w:val="left" w:leader="none"/>
        </w:tabs>
        <w:spacing w:line="272" w:lineRule="exact"/>
        <w:ind w:left="414"/>
      </w:pPr>
      <w:r>
        <w:rPr/>
        <w:t>Ⅲ</w:t>
      </w:r>
      <w:r>
        <w:rPr>
          <w:spacing w:val="-3"/>
        </w:rPr>
        <w:t>型</w:t>
      </w:r>
      <w:r>
        <w:rPr/>
        <w:t>（</w:t>
      </w:r>
      <w:r>
        <w:rPr>
          <w:spacing w:val="-3"/>
        </w:rPr>
        <w:t>局</w:t>
      </w:r>
      <w:r>
        <w:rPr/>
        <w:t>灶</w:t>
      </w:r>
      <w:r>
        <w:rPr>
          <w:spacing w:val="-3"/>
        </w:rPr>
        <w:t>及</w:t>
      </w:r>
      <w:r>
        <w:rPr/>
        <w:t>节</w:t>
      </w:r>
      <w:r>
        <w:rPr>
          <w:spacing w:val="-3"/>
        </w:rPr>
        <w:t>段</w:t>
      </w:r>
      <w:r>
        <w:rPr/>
        <w:t>增</w:t>
      </w:r>
      <w:r>
        <w:rPr>
          <w:spacing w:val="-3"/>
        </w:rPr>
        <w:t>生</w:t>
      </w:r>
      <w:r>
        <w:rPr/>
        <w:t>型）</w:t>
        <w:tab/>
        <w:t>蛋</w:t>
      </w:r>
      <w:r>
        <w:rPr>
          <w:spacing w:val="-3"/>
        </w:rPr>
        <w:t>白</w:t>
      </w:r>
      <w:r>
        <w:rPr/>
        <w:t>尿</w:t>
      </w:r>
      <w:r>
        <w:rPr>
          <w:spacing w:val="-3"/>
        </w:rPr>
        <w:t>，</w:t>
      </w:r>
      <w:r>
        <w:rPr/>
        <w:t>尿</w:t>
      </w:r>
      <w:r>
        <w:rPr>
          <w:spacing w:val="-3"/>
        </w:rPr>
        <w:t>沉</w:t>
      </w:r>
      <w:r>
        <w:rPr/>
        <w:t>渣</w:t>
      </w:r>
      <w:r>
        <w:rPr>
          <w:spacing w:val="-3"/>
        </w:rPr>
        <w:t>改</w:t>
      </w:r>
      <w:r>
        <w:rPr/>
        <w:t>变</w:t>
      </w:r>
    </w:p>
    <w:p>
      <w:pPr>
        <w:pStyle w:val="BodyText"/>
        <w:tabs>
          <w:tab w:pos="3143" w:val="left" w:leader="none"/>
        </w:tabs>
        <w:spacing w:line="272" w:lineRule="exact"/>
        <w:ind w:left="414"/>
      </w:pPr>
      <w:r>
        <w:rPr/>
        <w:t>Ⅳ</w:t>
      </w:r>
      <w:r>
        <w:rPr>
          <w:spacing w:val="-3"/>
        </w:rPr>
        <w:t>型</w:t>
      </w:r>
      <w:r>
        <w:rPr/>
        <w:t>（</w:t>
      </w:r>
      <w:r>
        <w:rPr>
          <w:spacing w:val="-3"/>
        </w:rPr>
        <w:t>弥</w:t>
      </w:r>
      <w:r>
        <w:rPr/>
        <w:t>漫</w:t>
      </w:r>
      <w:r>
        <w:rPr>
          <w:spacing w:val="-3"/>
        </w:rPr>
        <w:t>增</w:t>
      </w:r>
      <w:r>
        <w:rPr/>
        <w:t>生</w:t>
      </w:r>
      <w:r>
        <w:rPr>
          <w:spacing w:val="-3"/>
        </w:rPr>
        <w:t>型</w:t>
      </w:r>
      <w:r>
        <w:rPr/>
        <w:t>）</w:t>
        <w:tab/>
        <w:t>急</w:t>
      </w:r>
      <w:r>
        <w:rPr>
          <w:spacing w:val="-3"/>
        </w:rPr>
        <w:t>性</w:t>
      </w:r>
      <w:r>
        <w:rPr/>
        <w:t>肾</w:t>
      </w:r>
      <w:r>
        <w:rPr>
          <w:spacing w:val="-3"/>
        </w:rPr>
        <w:t>炎</w:t>
      </w:r>
      <w:r>
        <w:rPr/>
        <w:t>伴</w:t>
      </w:r>
      <w:r>
        <w:rPr>
          <w:spacing w:val="-3"/>
        </w:rPr>
        <w:t>有</w:t>
      </w:r>
      <w:r>
        <w:rPr/>
        <w:t>尿</w:t>
      </w:r>
      <w:r>
        <w:rPr>
          <w:spacing w:val="-3"/>
        </w:rPr>
        <w:t>沉渣</w:t>
      </w:r>
      <w:r>
        <w:rPr/>
        <w:t>改变</w:t>
      </w:r>
      <w:r>
        <w:rPr>
          <w:spacing w:val="-3"/>
        </w:rPr>
        <w:t>及</w:t>
      </w:r>
      <w:r>
        <w:rPr/>
        <w:t>／</w:t>
      </w:r>
      <w:r>
        <w:rPr>
          <w:spacing w:val="-3"/>
        </w:rPr>
        <w:t>或</w:t>
      </w:r>
      <w:r>
        <w:rPr/>
        <w:t>肾</w:t>
      </w:r>
      <w:r>
        <w:rPr>
          <w:spacing w:val="-3"/>
        </w:rPr>
        <w:t>病</w:t>
      </w:r>
      <w:r>
        <w:rPr/>
        <w:t>综</w:t>
      </w:r>
      <w:r>
        <w:rPr>
          <w:spacing w:val="-3"/>
        </w:rPr>
        <w:t>合</w:t>
      </w:r>
      <w:r>
        <w:rPr/>
        <w:t>征</w:t>
      </w:r>
    </w:p>
    <w:p>
      <w:pPr>
        <w:pStyle w:val="BodyText"/>
        <w:tabs>
          <w:tab w:pos="3143" w:val="left" w:leader="none"/>
        </w:tabs>
        <w:spacing w:line="241" w:lineRule="exact"/>
        <w:ind w:left="414"/>
      </w:pPr>
      <w:r>
        <w:rPr/>
        <w:t>Ⅴ</w:t>
      </w:r>
      <w:r>
        <w:rPr>
          <w:spacing w:val="-3"/>
        </w:rPr>
        <w:t>型</w:t>
      </w:r>
      <w:r>
        <w:rPr/>
        <w:t>（</w:t>
      </w:r>
      <w:r>
        <w:rPr>
          <w:spacing w:val="-3"/>
        </w:rPr>
        <w:t>膜</w:t>
      </w:r>
      <w:r>
        <w:rPr/>
        <w:t>型）</w:t>
        <w:tab/>
        <w:t>肾</w:t>
      </w:r>
      <w:r>
        <w:rPr>
          <w:spacing w:val="-3"/>
        </w:rPr>
        <w:t>病</w:t>
      </w:r>
      <w:r>
        <w:rPr/>
        <w:t>综</w:t>
      </w:r>
      <w:r>
        <w:rPr>
          <w:spacing w:val="-3"/>
        </w:rPr>
        <w:t>合</w:t>
      </w:r>
      <w:r>
        <w:rPr/>
        <w:t>征</w:t>
      </w:r>
      <w:r>
        <w:rPr>
          <w:spacing w:val="-3"/>
        </w:rPr>
        <w:t>或</w:t>
      </w:r>
      <w:r>
        <w:rPr/>
        <w:t>重</w:t>
      </w:r>
      <w:r>
        <w:rPr>
          <w:spacing w:val="-3"/>
        </w:rPr>
        <w:t>度蛋</w:t>
      </w:r>
      <w:r>
        <w:rPr/>
        <w:t>白尿</w:t>
      </w:r>
    </w:p>
    <w:p>
      <w:pPr>
        <w:pStyle w:val="Heading3"/>
        <w:spacing w:line="316" w:lineRule="exact"/>
        <w:ind w:left="318"/>
      </w:pPr>
      <w:r>
        <w:rPr>
          <w:rFonts w:ascii="宋体" w:eastAsia="宋体" w:hint="eastAsia"/>
          <w:b w:val="0"/>
          <w:w w:val="100"/>
        </w:rPr>
        <w:t>（3</w:t>
      </w:r>
      <w:r>
        <w:rPr>
          <w:rFonts w:ascii="宋体" w:eastAsia="宋体" w:hint="eastAsia"/>
          <w:b w:val="0"/>
          <w:spacing w:val="-3"/>
          <w:w w:val="100"/>
        </w:rPr>
        <w:t>3）</w:t>
      </w:r>
      <w:r>
        <w:rPr>
          <w:spacing w:val="-1"/>
          <w:w w:val="100"/>
          <w:u w:val="single"/>
        </w:rPr>
        <w:t>经输血导致的人类免疫缺陷病毒感染</w:t>
      </w:r>
      <w:r>
        <w:rPr>
          <w:w w:val="100"/>
          <w:u w:val="single"/>
        </w:rPr>
        <w:t>（</w:t>
      </w:r>
      <w:r>
        <w:rPr>
          <w:w w:val="61"/>
          <w:u w:val="single"/>
        </w:rPr>
        <w:t>H</w:t>
      </w:r>
      <w:r>
        <w:rPr>
          <w:w w:val="149"/>
          <w:u w:val="single"/>
        </w:rPr>
        <w:t>I</w:t>
      </w:r>
      <w:r>
        <w:rPr>
          <w:w w:val="70"/>
          <w:u w:val="single"/>
        </w:rPr>
        <w:t>V</w:t>
      </w:r>
      <w:r>
        <w:rPr>
          <w:w w:val="100"/>
          <w:u w:val="single"/>
        </w:rPr>
        <w:t>）</w:t>
      </w:r>
    </w:p>
    <w:p>
      <w:pPr>
        <w:pStyle w:val="BodyText"/>
        <w:spacing w:line="260" w:lineRule="exact"/>
        <w:ind w:left="203"/>
        <w:jc w:val="both"/>
      </w:pPr>
      <w:r>
        <w:rPr/>
        <w:t>是指被保险人感染上人类免疫缺陷病毒并且符合下列所有条件：</w:t>
      </w:r>
    </w:p>
    <w:p>
      <w:pPr>
        <w:pStyle w:val="BodyText"/>
        <w:ind w:right="206" w:firstLine="201"/>
      </w:pPr>
      <w:r>
        <w:rPr/>
        <w:t>Ⅰ 在保障起始日或复效日之后，被保险人因治疗必需而接受输血，并且因输血而感染人类免疫缺陷病毒；</w:t>
      </w:r>
    </w:p>
    <w:p>
      <w:pPr>
        <w:pStyle w:val="BodyText"/>
        <w:ind w:right="206" w:firstLine="201"/>
      </w:pPr>
      <w:r>
        <w:rPr>
          <w:w w:val="185"/>
        </w:rPr>
        <w:t>" </w:t>
      </w:r>
      <w:r>
        <w:rPr/>
        <w:t>提供输血治疗的输血中心或医院出具该项输血感染属医疗责任事故的报告，或者法院终审裁定为医疗责任并且不准上诉；</w:t>
      </w:r>
    </w:p>
    <w:p>
      <w:pPr>
        <w:pStyle w:val="BodyText"/>
        <w:spacing w:line="269" w:lineRule="exact" w:before="2"/>
        <w:ind w:left="414"/>
      </w:pPr>
      <w:r>
        <w:rPr/>
        <w:t>Ⅲ 提供输血治疗的输血中心或医院必须拥有合法经营执照；</w:t>
      </w:r>
    </w:p>
    <w:p>
      <w:pPr>
        <w:pStyle w:val="BodyText"/>
        <w:spacing w:line="273" w:lineRule="exact"/>
        <w:ind w:left="414"/>
      </w:pPr>
      <w:r>
        <w:rPr/>
        <w:t>Ⅳ 受感染的被保险人不是血友病患者。</w:t>
      </w:r>
    </w:p>
    <w:p>
      <w:pPr>
        <w:spacing w:after="0" w:line="273" w:lineRule="exact"/>
        <w:sectPr>
          <w:pgSz w:w="11900" w:h="16840"/>
          <w:pgMar w:header="895" w:footer="547" w:top="1080" w:bottom="740" w:left="920" w:right="920"/>
        </w:sectPr>
      </w:pPr>
    </w:p>
    <w:p>
      <w:pPr>
        <w:pStyle w:val="BodyText"/>
        <w:ind w:left="0"/>
        <w:rPr>
          <w:sz w:val="13"/>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pStyle w:val="Heading3"/>
        <w:spacing w:line="180" w:lineRule="auto" w:before="82"/>
        <w:ind w:right="206" w:hanging="10"/>
        <w:jc w:val="both"/>
      </w:pPr>
      <w:r>
        <w:rPr>
          <w:spacing w:val="-5"/>
        </w:rPr>
        <w:t>在任何治愈艾滋病或阻止人类免疫缺陷病毒病毒作用的疗法被发现以后，或能防止艾滋病发生的医疗方法被研究出来以后，本保障将不再予以赔付。</w:t>
      </w:r>
    </w:p>
    <w:p>
      <w:pPr>
        <w:spacing w:line="180" w:lineRule="auto" w:before="0"/>
        <w:ind w:left="212" w:right="204" w:hanging="10"/>
        <w:jc w:val="both"/>
        <w:rPr>
          <w:rFonts w:ascii="微软雅黑" w:eastAsia="微软雅黑" w:hint="eastAsia"/>
          <w:b/>
          <w:sz w:val="21"/>
        </w:rPr>
      </w:pPr>
      <w:r>
        <w:rPr>
          <w:rFonts w:ascii="微软雅黑" w:eastAsia="微软雅黑" w:hint="eastAsia"/>
          <w:b/>
          <w:spacing w:val="-2"/>
          <w:sz w:val="21"/>
        </w:rPr>
        <w:t>任何因其他传播方式</w:t>
      </w:r>
      <w:r>
        <w:rPr>
          <w:rFonts w:ascii="微软雅黑" w:eastAsia="微软雅黑" w:hint="eastAsia"/>
          <w:b/>
          <w:sz w:val="21"/>
        </w:rPr>
        <w:t>（</w:t>
      </w:r>
      <w:r>
        <w:rPr>
          <w:rFonts w:ascii="微软雅黑" w:eastAsia="微软雅黑" w:hint="eastAsia"/>
          <w:b/>
          <w:spacing w:val="-5"/>
          <w:sz w:val="21"/>
        </w:rPr>
        <w:t>包括：性传播或静脉注射毒品</w:t>
      </w:r>
      <w:r>
        <w:rPr>
          <w:rFonts w:ascii="微软雅黑" w:eastAsia="微软雅黑" w:hint="eastAsia"/>
          <w:b/>
          <w:spacing w:val="-17"/>
          <w:sz w:val="21"/>
        </w:rPr>
        <w:t>）</w:t>
      </w:r>
      <w:r>
        <w:rPr>
          <w:rFonts w:ascii="微软雅黑" w:eastAsia="微软雅黑" w:hint="eastAsia"/>
          <w:b/>
          <w:sz w:val="21"/>
        </w:rPr>
        <w:t>导致</w:t>
      </w:r>
      <w:r>
        <w:rPr>
          <w:rFonts w:ascii="Microsoft JhengHei" w:eastAsia="Microsoft JhengHei" w:hint="eastAsia"/>
          <w:b/>
          <w:sz w:val="21"/>
        </w:rPr>
        <w:t>的</w:t>
      </w:r>
      <w:r>
        <w:rPr>
          <w:rFonts w:ascii="微软雅黑" w:eastAsia="微软雅黑" w:hint="eastAsia"/>
          <w:b/>
          <w:spacing w:val="-3"/>
          <w:sz w:val="21"/>
        </w:rPr>
        <w:t>人类免疫缺陷病毒感染不在本附加合同保障范围内。</w:t>
      </w:r>
    </w:p>
    <w:p>
      <w:pPr>
        <w:spacing w:line="227" w:lineRule="exact" w:before="4"/>
        <w:ind w:left="203" w:right="0" w:firstLine="0"/>
        <w:jc w:val="left"/>
        <w:rPr>
          <w:rFonts w:ascii="微软雅黑" w:eastAsia="微软雅黑" w:hint="eastAsia"/>
          <w:b/>
          <w:sz w:val="21"/>
        </w:rPr>
      </w:pPr>
      <w:r>
        <w:rPr>
          <w:rFonts w:ascii="微软雅黑" w:eastAsia="微软雅黑" w:hint="eastAsia"/>
          <w:b/>
          <w:sz w:val="21"/>
        </w:rPr>
        <w:t>我们拥有获得使用被保险人的血液样本的权利和能够对这些样本进行独立检验的权利。</w:t>
      </w:r>
    </w:p>
    <w:p>
      <w:pPr>
        <w:spacing w:line="304" w:lineRule="exact" w:before="0"/>
        <w:ind w:left="318" w:right="0" w:firstLine="0"/>
        <w:jc w:val="left"/>
        <w:rPr>
          <w:rFonts w:ascii="微软雅黑" w:eastAsia="微软雅黑" w:hint="eastAsia"/>
          <w:b/>
          <w:sz w:val="21"/>
        </w:rPr>
      </w:pPr>
      <w:r>
        <w:rPr>
          <w:sz w:val="21"/>
        </w:rPr>
        <w:t>（34）</w:t>
      </w:r>
      <w:r>
        <w:rPr>
          <w:rFonts w:ascii="微软雅黑" w:eastAsia="微软雅黑" w:hint="eastAsia"/>
          <w:b/>
          <w:sz w:val="21"/>
          <w:u w:val="single"/>
        </w:rPr>
        <w:t>系统性硬皮病</w:t>
      </w:r>
    </w:p>
    <w:p>
      <w:pPr>
        <w:pStyle w:val="BodyText"/>
        <w:spacing w:line="274" w:lineRule="exact" w:before="12"/>
        <w:ind w:right="202" w:hanging="10"/>
        <w:jc w:val="both"/>
      </w:pPr>
      <w:r>
        <w:rPr>
          <w:spacing w:val="-3"/>
        </w:rPr>
        <w:t>系统性硬皮病（须累及内脏器官</w:t>
      </w:r>
      <w:r>
        <w:rPr>
          <w:spacing w:val="-4"/>
        </w:rPr>
        <w:t>），指一种以局限性或弥漫性皮肤增厚和皮肤、血管、内脏器官异常纤维</w:t>
      </w:r>
      <w:r>
        <w:rPr>
          <w:spacing w:val="-3"/>
        </w:rPr>
        <w:t>化为特征的结缔组织病。本病须经专科医生明确诊断，并须满足下列至少一项条件：</w:t>
      </w:r>
    </w:p>
    <w:p>
      <w:pPr>
        <w:pStyle w:val="BodyText"/>
        <w:spacing w:line="245" w:lineRule="exact"/>
        <w:ind w:left="414"/>
      </w:pPr>
      <w:r>
        <w:rPr/>
        <w:t>Ⅰ 肺脏：肺部病变进而发展为肺间质纤维化和肺动脉高压；</w:t>
      </w:r>
    </w:p>
    <w:p>
      <w:pPr>
        <w:pStyle w:val="BodyText"/>
        <w:spacing w:line="272" w:lineRule="exact"/>
        <w:ind w:left="414"/>
      </w:pPr>
      <w:r>
        <w:rPr/>
        <w:t>" 心脏：心功能受损达到美国纽约心脏病学会心功能状态分级 IV 级；</w:t>
      </w:r>
    </w:p>
    <w:p>
      <w:pPr>
        <w:pStyle w:val="BodyText"/>
        <w:spacing w:line="241" w:lineRule="exact"/>
        <w:ind w:left="414"/>
      </w:pPr>
      <w:r>
        <w:rPr/>
        <w:t>Ⅲ 肾脏：肾脏受损导致双肾功能慢性不可逆衰竭，达到尿毒症期。</w:t>
      </w:r>
    </w:p>
    <w:p>
      <w:pPr>
        <w:spacing w:line="316" w:lineRule="exact" w:before="0"/>
        <w:ind w:left="318" w:right="0" w:firstLine="0"/>
        <w:jc w:val="left"/>
        <w:rPr>
          <w:rFonts w:ascii="微软雅黑" w:eastAsia="微软雅黑" w:hint="eastAsia"/>
          <w:b/>
          <w:sz w:val="21"/>
        </w:rPr>
      </w:pPr>
      <w:r>
        <w:rPr>
          <w:sz w:val="21"/>
        </w:rPr>
        <w:t>（35）</w:t>
      </w:r>
      <w:r>
        <w:rPr>
          <w:rFonts w:ascii="微软雅黑" w:eastAsia="微软雅黑" w:hint="eastAsia"/>
          <w:b/>
          <w:sz w:val="21"/>
          <w:u w:val="single"/>
        </w:rPr>
        <w:t>重症肌无力</w:t>
      </w:r>
    </w:p>
    <w:p>
      <w:pPr>
        <w:pStyle w:val="BodyText"/>
        <w:spacing w:line="237" w:lineRule="auto"/>
        <w:ind w:right="202" w:hanging="10"/>
        <w:jc w:val="both"/>
      </w:pPr>
      <w:r>
        <w:rPr>
          <w:spacing w:val="-4"/>
        </w:rPr>
        <w:t>是指一种神经与肌肉接头部位传递障碍的自身免疫性疾病，临床特征是局部或全身横纹肌于活动时易于疲</w:t>
      </w:r>
      <w:r>
        <w:rPr>
          <w:spacing w:val="-5"/>
        </w:rPr>
        <w:t>劳无力，颅神经眼外肌最易累及，也可涉及呼吸肌、下肢近端肌群以至全身肌肉，须经本公司认可的神经</w:t>
      </w:r>
      <w:r>
        <w:rPr>
          <w:spacing w:val="-4"/>
        </w:rPr>
        <w:t>科医师确诊。其诊断必须同时具有下列情况：</w:t>
      </w:r>
    </w:p>
    <w:p>
      <w:pPr>
        <w:pStyle w:val="BodyText"/>
        <w:spacing w:line="272" w:lineRule="exact" w:before="11"/>
        <w:ind w:left="414"/>
      </w:pPr>
      <w:r>
        <w:rPr/>
        <w:t>Ⅰ 经药物、胸腺手术治疗一年以上无法控制病情，丧失正常工作能力；</w:t>
      </w:r>
    </w:p>
    <w:p>
      <w:pPr>
        <w:pStyle w:val="BodyText"/>
        <w:spacing w:line="237" w:lineRule="auto"/>
        <w:ind w:right="204" w:firstLine="201"/>
      </w:pPr>
      <w:r>
        <w:rPr>
          <w:spacing w:val="-20"/>
          <w:w w:val="185"/>
        </w:rPr>
        <w:t>" </w:t>
      </w:r>
      <w:r>
        <w:rPr>
          <w:spacing w:val="-5"/>
        </w:rPr>
        <w:t>出现眼睑下垂，或延髓肌受累引起的构音困难、进食呛咳,或由于肌无力累及延髓肌、呼吸肌而致机</w:t>
      </w:r>
      <w:r>
        <w:rPr>
          <w:spacing w:val="-4"/>
        </w:rPr>
        <w:t>体呼吸功能不正常的危急状态即肌无力危象；</w:t>
      </w:r>
    </w:p>
    <w:p>
      <w:pPr>
        <w:pStyle w:val="BodyText"/>
        <w:spacing w:line="241" w:lineRule="exact"/>
        <w:ind w:left="414"/>
      </w:pPr>
      <w:r>
        <w:rPr/>
        <w:t>Ⅲ 症状缓解、复发及恶化交替出现，临床接受新斯的明等抗胆碱酯酶药物治疗的病史。</w:t>
      </w:r>
    </w:p>
    <w:p>
      <w:pPr>
        <w:spacing w:line="316" w:lineRule="exact" w:before="0"/>
        <w:ind w:left="318" w:right="0" w:firstLine="0"/>
        <w:jc w:val="left"/>
        <w:rPr>
          <w:rFonts w:ascii="微软雅黑" w:eastAsia="微软雅黑" w:hint="eastAsia"/>
          <w:b/>
          <w:sz w:val="21"/>
        </w:rPr>
      </w:pPr>
      <w:r>
        <w:rPr>
          <w:sz w:val="21"/>
        </w:rPr>
        <w:t>（36）</w:t>
      </w:r>
      <w:r>
        <w:rPr>
          <w:rFonts w:ascii="微软雅黑" w:eastAsia="微软雅黑" w:hint="eastAsia"/>
          <w:b/>
          <w:sz w:val="21"/>
          <w:u w:val="single"/>
        </w:rPr>
        <w:t>严重心肌病</w:t>
      </w:r>
    </w:p>
    <w:p>
      <w:pPr>
        <w:pStyle w:val="BodyText"/>
        <w:spacing w:line="237" w:lineRule="auto"/>
        <w:ind w:right="202"/>
        <w:jc w:val="both"/>
      </w:pPr>
      <w:r>
        <w:rPr>
          <w:spacing w:val="-5"/>
        </w:rPr>
        <w:t>指不明原因引起的一类心肌病变，包括原发性扩张型心肌病、原发性肥厚型心肌病及原发性限制型心肌病</w:t>
      </w:r>
      <w:r>
        <w:rPr>
          <w:spacing w:val="-7"/>
        </w:rPr>
        <w:t>三种，病变必须已造成事实上心室功能障碍而出现明显的心功能衰竭</w:t>
      </w:r>
      <w:r>
        <w:rPr>
          <w:spacing w:val="-3"/>
        </w:rPr>
        <w:t>（美国纽约心脏协会心功能分类标准</w:t>
      </w:r>
      <w:r>
        <w:rPr>
          <w:spacing w:val="-3"/>
          <w:w w:val="100"/>
        </w:rPr>
        <w:t>心功能达四级</w:t>
      </w:r>
      <w:r>
        <w:rPr>
          <w:spacing w:val="-108"/>
          <w:w w:val="100"/>
        </w:rPr>
        <w:t>）</w:t>
      </w:r>
      <w:r>
        <w:rPr>
          <w:spacing w:val="-3"/>
          <w:w w:val="100"/>
        </w:rPr>
        <w:t>，且有相关住院医疗记录显示四级心功能衰竭状态持续至少一百八十天。</w:t>
      </w:r>
    </w:p>
    <w:p>
      <w:pPr>
        <w:pStyle w:val="BodyText"/>
        <w:spacing w:line="271" w:lineRule="exact" w:before="10"/>
      </w:pPr>
      <w:r>
        <w:rPr/>
        <w:t>本病须经专科医生明确诊断。继发于全身性疾病或其它器官系统疾病造成的心肌病变除外。</w:t>
      </w:r>
    </w:p>
    <w:p>
      <w:pPr>
        <w:pStyle w:val="BodyText"/>
        <w:spacing w:line="237" w:lineRule="auto" w:before="1"/>
        <w:ind w:right="202"/>
        <w:jc w:val="both"/>
      </w:pPr>
      <w:r>
        <w:rPr>
          <w:spacing w:val="-4"/>
        </w:rPr>
        <w:t>美国纽约心脏协会分类标准心功能四级是指有医院的医疗记录显示病人不能进行任何活动，休息时仍有心</w:t>
      </w:r>
      <w:r>
        <w:rPr>
          <w:spacing w:val="-3"/>
        </w:rPr>
        <w:t>悸、呼吸困难等心力衰竭表现。</w:t>
      </w:r>
    </w:p>
    <w:p>
      <w:pPr>
        <w:spacing w:line="285" w:lineRule="exact" w:before="0"/>
        <w:ind w:left="318" w:right="0" w:firstLine="0"/>
        <w:jc w:val="left"/>
        <w:rPr>
          <w:rFonts w:ascii="微软雅黑" w:eastAsia="微软雅黑" w:hint="eastAsia"/>
          <w:b/>
          <w:sz w:val="21"/>
        </w:rPr>
      </w:pPr>
      <w:r>
        <w:rPr>
          <w:sz w:val="21"/>
        </w:rPr>
        <w:t>（37）</w:t>
      </w:r>
      <w:r>
        <w:rPr>
          <w:rFonts w:ascii="微软雅黑" w:eastAsia="微软雅黑" w:hint="eastAsia"/>
          <w:b/>
          <w:sz w:val="21"/>
          <w:u w:val="single"/>
        </w:rPr>
        <w:t>象皮病</w:t>
      </w:r>
    </w:p>
    <w:p>
      <w:pPr>
        <w:pStyle w:val="BodyText"/>
        <w:spacing w:line="274" w:lineRule="exact" w:before="12"/>
        <w:ind w:right="202"/>
        <w:jc w:val="both"/>
      </w:pPr>
      <w:r>
        <w:rPr>
          <w:spacing w:val="-6"/>
        </w:rPr>
        <w:t>指末期丝虫病，按国际淋巴学会分级为三度淋巴液肿，其临床表现为肢体非凹陷性水肿伴畸形增大、硬皮</w:t>
      </w:r>
      <w:r>
        <w:rPr>
          <w:spacing w:val="-4"/>
        </w:rPr>
        <w:t>症和疣状增生。此病症须经本公司认可的专科医生根据临床表现和微丝蚴的化验结果确诊。</w:t>
      </w:r>
    </w:p>
    <w:p>
      <w:pPr>
        <w:spacing w:line="258" w:lineRule="exact" w:before="0"/>
        <w:ind w:left="318" w:right="0" w:firstLine="0"/>
        <w:jc w:val="left"/>
        <w:rPr>
          <w:rFonts w:ascii="微软雅黑" w:eastAsia="微软雅黑" w:hint="eastAsia"/>
          <w:b/>
          <w:sz w:val="21"/>
        </w:rPr>
      </w:pPr>
      <w:r>
        <w:rPr>
          <w:sz w:val="21"/>
        </w:rPr>
        <w:t>（38）</w:t>
      </w:r>
      <w:r>
        <w:rPr>
          <w:rFonts w:ascii="微软雅黑" w:eastAsia="微软雅黑" w:hint="eastAsia"/>
          <w:b/>
          <w:sz w:val="21"/>
          <w:u w:val="single"/>
        </w:rPr>
        <w:t>溶血性链球菌引起的坏疽</w:t>
      </w:r>
    </w:p>
    <w:p>
      <w:pPr>
        <w:pStyle w:val="BodyText"/>
        <w:spacing w:line="237" w:lineRule="auto"/>
        <w:ind w:right="204"/>
        <w:jc w:val="both"/>
      </w:pPr>
      <w:r>
        <w:rPr/>
        <w:t>包围肢体或躯干的浅筋膜和/或深筋膜受到溶血性链球菌的感染，病情在短时间内急剧恶化，已经立刻进行了手术及清创术。最后的诊断必须由微生物或病理学专家进行相关检查后证实。</w:t>
      </w:r>
    </w:p>
    <w:p>
      <w:pPr>
        <w:spacing w:line="285" w:lineRule="exact" w:before="10"/>
        <w:ind w:left="318" w:right="0" w:firstLine="0"/>
        <w:jc w:val="left"/>
        <w:rPr>
          <w:rFonts w:ascii="微软雅黑" w:eastAsia="微软雅黑" w:hint="eastAsia"/>
          <w:b/>
          <w:sz w:val="21"/>
        </w:rPr>
      </w:pPr>
      <w:r>
        <w:rPr>
          <w:sz w:val="21"/>
        </w:rPr>
        <w:t>（39）</w:t>
      </w:r>
      <w:r>
        <w:rPr>
          <w:rFonts w:ascii="微软雅黑" w:eastAsia="微软雅黑" w:hint="eastAsia"/>
          <w:b/>
          <w:sz w:val="21"/>
          <w:u w:val="single"/>
        </w:rPr>
        <w:t>坏死性筋膜炎</w:t>
      </w:r>
    </w:p>
    <w:p>
      <w:pPr>
        <w:pStyle w:val="BodyText"/>
        <w:spacing w:line="260" w:lineRule="exact"/>
        <w:jc w:val="both"/>
      </w:pPr>
      <w:r>
        <w:rPr/>
        <w:t>坏死性筋膜炎的诊断须同时符合下列要求：</w:t>
      </w:r>
    </w:p>
    <w:p>
      <w:pPr>
        <w:pStyle w:val="BodyText"/>
        <w:spacing w:line="272" w:lineRule="exact"/>
        <w:ind w:left="423"/>
      </w:pPr>
      <w:r>
        <w:rPr/>
        <w:t>Ⅰ 符合坏死性筋膜炎的一般临床表现；</w:t>
      </w:r>
    </w:p>
    <w:p>
      <w:pPr>
        <w:pStyle w:val="BodyText"/>
        <w:spacing w:line="272" w:lineRule="exact"/>
        <w:ind w:left="423"/>
      </w:pPr>
      <w:r>
        <w:rPr>
          <w:w w:val="105"/>
        </w:rPr>
        <w:t>" 细菌培养检出致病菌；</w:t>
      </w:r>
    </w:p>
    <w:p>
      <w:pPr>
        <w:pStyle w:val="BodyText"/>
        <w:spacing w:line="237" w:lineRule="auto" w:before="2"/>
        <w:ind w:right="204" w:firstLine="211"/>
      </w:pPr>
      <w:r>
        <w:rPr/>
        <w:t>Ⅲ 出现广泛性肌肉及软组织坏死，并导致身体受影响部位永久完全失去功能。所谓永久完全失去功能是指受影响部位的全部功能完全丧失超过 180 天者。</w:t>
      </w:r>
    </w:p>
    <w:p>
      <w:pPr>
        <w:spacing w:line="283" w:lineRule="exact" w:before="0"/>
        <w:ind w:left="318" w:right="0" w:firstLine="0"/>
        <w:jc w:val="left"/>
        <w:rPr>
          <w:rFonts w:ascii="微软雅黑" w:eastAsia="微软雅黑" w:hint="eastAsia"/>
          <w:b/>
          <w:sz w:val="21"/>
        </w:rPr>
      </w:pPr>
      <w:r>
        <w:rPr>
          <w:sz w:val="21"/>
        </w:rPr>
        <w:t>（40）</w:t>
      </w:r>
      <w:r>
        <w:rPr>
          <w:rFonts w:ascii="微软雅黑" w:eastAsia="微软雅黑" w:hint="eastAsia"/>
          <w:b/>
          <w:sz w:val="21"/>
          <w:u w:val="single"/>
        </w:rPr>
        <w:t>严重克隆病</w:t>
      </w:r>
    </w:p>
    <w:p>
      <w:pPr>
        <w:pStyle w:val="BodyText"/>
        <w:spacing w:line="237" w:lineRule="auto"/>
        <w:ind w:right="180"/>
        <w:jc w:val="both"/>
      </w:pPr>
      <w:r>
        <w:rPr/>
        <w:t>克隆病是一种慢性肉芽肿性肠炎，具有特征性的克隆病病理组织学变化。诊断必须由病理检查结果证实。被保险人所患的克隆病必须已经造成瘘管形成并伴有肠梗阻或肠穿孔。</w:t>
      </w:r>
    </w:p>
    <w:p>
      <w:pPr>
        <w:pStyle w:val="Heading3"/>
        <w:spacing w:line="285" w:lineRule="exact" w:before="10"/>
        <w:ind w:left="318"/>
      </w:pPr>
      <w:r>
        <w:rPr>
          <w:rFonts w:ascii="宋体" w:eastAsia="宋体" w:hint="eastAsia"/>
          <w:b w:val="0"/>
        </w:rPr>
        <w:t>（41）</w:t>
      </w:r>
      <w:r>
        <w:rPr>
          <w:u w:val="single"/>
        </w:rPr>
        <w:t>严重的胰岛素依赖型糖尿病（Ｉ型糖尿病）</w:t>
      </w:r>
    </w:p>
    <w:p>
      <w:pPr>
        <w:pStyle w:val="BodyText"/>
        <w:spacing w:line="260" w:lineRule="exact"/>
        <w:jc w:val="both"/>
      </w:pPr>
      <w:r>
        <w:rPr/>
        <w:t>经内分泌专科医生明确诊断为Ｉ型糖尿病，且须同时满足下列条件：</w:t>
      </w:r>
    </w:p>
    <w:p>
      <w:pPr>
        <w:pStyle w:val="BodyText"/>
        <w:spacing w:line="272" w:lineRule="exact"/>
        <w:ind w:left="423"/>
      </w:pPr>
      <w:r>
        <w:rPr/>
        <w:t>Ⅰ 必须持续性地依赖外源性胰岛素维持生命至少 180 天以上。</w:t>
      </w:r>
    </w:p>
    <w:p>
      <w:pPr>
        <w:pStyle w:val="BodyText"/>
        <w:spacing w:line="272" w:lineRule="exact"/>
        <w:ind w:left="423"/>
      </w:pPr>
      <w:r>
        <w:rPr>
          <w:spacing w:val="-77"/>
          <w:w w:val="185"/>
        </w:rPr>
        <w:t>" </w:t>
      </w:r>
      <w:r>
        <w:rPr>
          <w:spacing w:val="-13"/>
          <w:w w:val="105"/>
        </w:rPr>
        <w:t>血胰岛素测定、血 </w:t>
      </w:r>
      <w:r>
        <w:rPr>
          <w:w w:val="105"/>
        </w:rPr>
        <w:t>C</w:t>
      </w:r>
      <w:r>
        <w:rPr>
          <w:spacing w:val="-28"/>
          <w:w w:val="105"/>
        </w:rPr>
        <w:t> 肽测定或尿 </w:t>
      </w:r>
      <w:r>
        <w:rPr>
          <w:w w:val="105"/>
        </w:rPr>
        <w:t>C</w:t>
      </w:r>
      <w:r>
        <w:rPr>
          <w:spacing w:val="-13"/>
          <w:w w:val="105"/>
        </w:rPr>
        <w:t> 肽测定结果异常。</w:t>
      </w:r>
    </w:p>
    <w:p>
      <w:pPr>
        <w:pStyle w:val="BodyText"/>
        <w:spacing w:line="272" w:lineRule="exact"/>
        <w:ind w:left="423"/>
      </w:pPr>
      <w:r>
        <w:rPr/>
        <w:t>Ⅲ 出现下述三种并发症之一或一种以上：</w:t>
      </w:r>
    </w:p>
    <w:p>
      <w:pPr>
        <w:pStyle w:val="BodyText"/>
        <w:spacing w:line="272" w:lineRule="exact"/>
        <w:ind w:left="738"/>
      </w:pPr>
      <w:r>
        <w:rPr/>
        <w:t>① 并发增殖性视网膜病变；</w:t>
      </w:r>
    </w:p>
    <w:p>
      <w:pPr>
        <w:pStyle w:val="BodyText"/>
        <w:spacing w:line="272" w:lineRule="exact"/>
        <w:ind w:left="738"/>
      </w:pPr>
      <w:r>
        <w:rPr/>
        <w:t>② 并发心脏病变，并须植入心脏起搏器进行治疗；</w:t>
      </w:r>
    </w:p>
    <w:p>
      <w:pPr>
        <w:pStyle w:val="BodyText"/>
        <w:spacing w:line="241" w:lineRule="exact"/>
        <w:ind w:left="738"/>
      </w:pPr>
      <w:r>
        <w:rPr/>
        <w:t>③ 至少一个脚趾发生坏疽并已达到手术切除指征。</w:t>
      </w:r>
    </w:p>
    <w:p>
      <w:pPr>
        <w:spacing w:line="316" w:lineRule="exact" w:before="0"/>
        <w:ind w:left="318" w:right="0" w:firstLine="0"/>
        <w:jc w:val="left"/>
        <w:rPr>
          <w:rFonts w:ascii="微软雅黑" w:eastAsia="微软雅黑" w:hint="eastAsia"/>
          <w:b/>
          <w:sz w:val="21"/>
        </w:rPr>
      </w:pPr>
      <w:r>
        <w:rPr>
          <w:sz w:val="21"/>
        </w:rPr>
        <w:t>（42）</w:t>
      </w:r>
      <w:r>
        <w:rPr>
          <w:rFonts w:ascii="微软雅黑" w:eastAsia="微软雅黑" w:hint="eastAsia"/>
          <w:b/>
          <w:sz w:val="21"/>
          <w:u w:val="single"/>
        </w:rPr>
        <w:t>脊髓灰质炎</w:t>
      </w:r>
    </w:p>
    <w:p>
      <w:pPr>
        <w:pStyle w:val="BodyText"/>
        <w:spacing w:line="237" w:lineRule="auto"/>
        <w:ind w:right="202"/>
        <w:jc w:val="both"/>
      </w:pPr>
      <w:r>
        <w:rPr>
          <w:spacing w:val="-5"/>
        </w:rPr>
        <w:t>是由于脊髓灰质炎病毒感染所致的瘫痪性疾病，临床表现为运动功能损害或呼吸无力。脊髓灰质炎必须明</w:t>
      </w:r>
      <w:r>
        <w:rPr>
          <w:spacing w:val="-7"/>
        </w:rPr>
        <w:t>确诊断。本保单仅对脊髓灰质炎造成的神经系统功能损害导致被保险人一肢或一肢以上肢体机能永久完全</w:t>
      </w:r>
      <w:r>
        <w:rPr>
          <w:spacing w:val="-8"/>
        </w:rPr>
        <w:t>丧失的情况予以理赔。肢体机能永久完全丧失，指疾病确诊 </w:t>
      </w:r>
      <w:r>
        <w:rPr/>
        <w:t>180</w:t>
      </w:r>
      <w:r>
        <w:rPr>
          <w:spacing w:val="-7"/>
        </w:rPr>
        <w:t> 天后，每肢三大关节中的两大关节仍然完</w:t>
      </w:r>
    </w:p>
    <w:p>
      <w:pPr>
        <w:spacing w:after="0" w:line="237" w:lineRule="auto"/>
        <w:jc w:val="both"/>
        <w:sectPr>
          <w:pgSz w:w="11900" w:h="16840"/>
          <w:pgMar w:header="895" w:footer="547" w:top="1080" w:bottom="740" w:left="920" w:right="920"/>
        </w:sectPr>
      </w:pPr>
    </w:p>
    <w:p>
      <w:pPr>
        <w:pStyle w:val="BodyText"/>
        <w:ind w:left="0"/>
        <w:rPr>
          <w:sz w:val="13"/>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pStyle w:val="BodyText"/>
        <w:spacing w:line="243" w:lineRule="exact" w:before="54"/>
        <w:jc w:val="both"/>
      </w:pPr>
      <w:r>
        <w:rPr/>
        <w:t>全僵硬，或不能随意识活动。</w:t>
      </w:r>
    </w:p>
    <w:p>
      <w:pPr>
        <w:spacing w:line="316" w:lineRule="exact" w:before="0"/>
        <w:ind w:left="318" w:right="0" w:firstLine="0"/>
        <w:jc w:val="left"/>
        <w:rPr>
          <w:rFonts w:ascii="微软雅黑" w:eastAsia="微软雅黑" w:hint="eastAsia"/>
          <w:b/>
          <w:sz w:val="21"/>
        </w:rPr>
      </w:pPr>
      <w:r>
        <w:rPr>
          <w:sz w:val="21"/>
        </w:rPr>
        <w:t>（43）</w:t>
      </w:r>
      <w:r>
        <w:rPr>
          <w:rFonts w:ascii="微软雅黑" w:eastAsia="微软雅黑" w:hint="eastAsia"/>
          <w:b/>
          <w:sz w:val="21"/>
          <w:u w:val="single"/>
        </w:rPr>
        <w:t>严重溃疡性结肠炎</w:t>
      </w:r>
    </w:p>
    <w:p>
      <w:pPr>
        <w:pStyle w:val="BodyText"/>
        <w:spacing w:line="237" w:lineRule="auto"/>
        <w:ind w:right="222" w:hanging="1"/>
        <w:jc w:val="both"/>
      </w:pPr>
      <w:r>
        <w:rPr>
          <w:spacing w:val="-5"/>
        </w:rPr>
        <w:t>溃疡性结肠炎是指伴有致命性电解质紊乱的急性暴发性溃疡性结肠炎，病变累及全结肠，表现为严重的血</w:t>
      </w:r>
      <w:r>
        <w:rPr>
          <w:spacing w:val="-6"/>
        </w:rPr>
        <w:t>便和系统性症状体征，治疗通常采取全结肠切除和回肠造瘘术。溃疡性结肠炎必须根据组织病理学特点诊</w:t>
      </w:r>
      <w:r>
        <w:rPr>
          <w:spacing w:val="-4"/>
        </w:rPr>
        <w:t>断，并且被保险人已经接受了结肠切除和回肠造瘘术。</w:t>
      </w:r>
    </w:p>
    <w:p>
      <w:pPr>
        <w:spacing w:line="283" w:lineRule="exact" w:before="11"/>
        <w:ind w:left="318" w:right="0" w:firstLine="0"/>
        <w:jc w:val="left"/>
        <w:rPr>
          <w:rFonts w:ascii="微软雅黑" w:eastAsia="微软雅黑" w:hint="eastAsia"/>
          <w:b/>
          <w:sz w:val="21"/>
        </w:rPr>
      </w:pPr>
      <w:r>
        <w:rPr>
          <w:sz w:val="21"/>
        </w:rPr>
        <w:t>（44）</w:t>
      </w:r>
      <w:r>
        <w:rPr>
          <w:rFonts w:ascii="微软雅黑" w:eastAsia="微软雅黑" w:hint="eastAsia"/>
          <w:b/>
          <w:sz w:val="21"/>
          <w:u w:val="single"/>
        </w:rPr>
        <w:t>植物人</w:t>
      </w:r>
    </w:p>
    <w:p>
      <w:pPr>
        <w:pStyle w:val="BodyText"/>
        <w:spacing w:line="237" w:lineRule="auto"/>
        <w:ind w:right="224"/>
        <w:jc w:val="both"/>
      </w:pPr>
      <w:r>
        <w:rPr/>
        <w:t>指脑皮质广泛性坏死而导致对自身及周边的认知能力完全丧失,但脑干功能依然存在。必须由神经专科医</w:t>
      </w:r>
      <w:r>
        <w:rPr>
          <w:spacing w:val="-4"/>
          <w:w w:val="100"/>
        </w:rPr>
        <w:t>生明确诊断,并有头颅断层扫描</w:t>
      </w:r>
      <w:r>
        <w:rPr>
          <w:w w:val="100"/>
        </w:rPr>
        <w:t>（</w:t>
      </w:r>
      <w:r>
        <w:rPr>
          <w:spacing w:val="-3"/>
          <w:w w:val="100"/>
        </w:rPr>
        <w:t>C</w:t>
      </w:r>
      <w:r>
        <w:rPr>
          <w:w w:val="100"/>
        </w:rPr>
        <w:t>T</w:t>
      </w:r>
      <w:r>
        <w:rPr>
          <w:spacing w:val="-106"/>
          <w:w w:val="100"/>
        </w:rPr>
        <w:t>）</w:t>
      </w:r>
      <w:r>
        <w:rPr>
          <w:spacing w:val="-4"/>
          <w:w w:val="100"/>
        </w:rPr>
        <w:t>，核磁共振检查</w:t>
      </w:r>
      <w:r>
        <w:rPr>
          <w:w w:val="100"/>
        </w:rPr>
        <w:t>（MRI</w:t>
      </w:r>
      <w:r>
        <w:rPr>
          <w:spacing w:val="-5"/>
          <w:w w:val="100"/>
        </w:rPr>
        <w:t>）</w:t>
      </w:r>
      <w:r>
        <w:rPr>
          <w:spacing w:val="-4"/>
          <w:w w:val="100"/>
        </w:rPr>
        <w:t>或正电子发射断层扫描</w:t>
      </w:r>
      <w:r>
        <w:rPr>
          <w:w w:val="100"/>
        </w:rPr>
        <w:t>（</w:t>
      </w:r>
      <w:r>
        <w:rPr>
          <w:spacing w:val="-3"/>
          <w:w w:val="100"/>
        </w:rPr>
        <w:t>P</w:t>
      </w:r>
      <w:r>
        <w:rPr>
          <w:w w:val="100"/>
        </w:rPr>
        <w:t>ET</w:t>
      </w:r>
      <w:r>
        <w:rPr>
          <w:spacing w:val="-5"/>
          <w:w w:val="100"/>
        </w:rPr>
        <w:t>）</w:t>
      </w:r>
      <w:r>
        <w:rPr>
          <w:spacing w:val="-3"/>
          <w:w w:val="100"/>
        </w:rPr>
        <w:t>等影像学检查</w:t>
      </w:r>
      <w:r>
        <w:rPr>
          <w:spacing w:val="-3"/>
        </w:rPr>
        <w:t>证实。</w:t>
      </w:r>
    </w:p>
    <w:p>
      <w:pPr>
        <w:pStyle w:val="Heading3"/>
        <w:spacing w:line="180" w:lineRule="auto" w:before="36"/>
        <w:ind w:right="380"/>
      </w:pPr>
      <w:r>
        <w:rPr/>
        <w:t>上述情况必须有至少一个月的病历记录加以证实。由于酗酒或滥用药物所致的植物人状态不在保障范围内。</w:t>
      </w:r>
    </w:p>
    <w:p>
      <w:pPr>
        <w:spacing w:line="258" w:lineRule="exact" w:before="0"/>
        <w:ind w:left="318" w:right="0" w:firstLine="0"/>
        <w:jc w:val="left"/>
        <w:rPr>
          <w:rFonts w:ascii="微软雅黑" w:eastAsia="微软雅黑" w:hint="eastAsia"/>
          <w:b/>
          <w:sz w:val="21"/>
        </w:rPr>
      </w:pPr>
      <w:r>
        <w:rPr>
          <w:sz w:val="21"/>
        </w:rPr>
        <w:t>（45）</w:t>
      </w:r>
      <w:r>
        <w:rPr>
          <w:rFonts w:ascii="微软雅黑" w:eastAsia="微软雅黑" w:hint="eastAsia"/>
          <w:b/>
          <w:sz w:val="21"/>
          <w:u w:val="single"/>
        </w:rPr>
        <w:t>严重肌营养不良症</w:t>
      </w:r>
    </w:p>
    <w:p>
      <w:pPr>
        <w:pStyle w:val="BodyText"/>
        <w:spacing w:line="237" w:lineRule="auto"/>
        <w:ind w:right="222" w:hanging="1"/>
        <w:jc w:val="both"/>
      </w:pPr>
      <w:r>
        <w:rPr>
          <w:spacing w:val="-5"/>
        </w:rPr>
        <w:t>是一组原发于肌肉的遗传性的肌肉病变。主要临床特征为受累骨骼肌肉的无力和肌肉萎缩。经我们认可的</w:t>
      </w:r>
      <w:r>
        <w:rPr>
          <w:spacing w:val="-4"/>
        </w:rPr>
        <w:t>神经专科医生确认符合以下四项诊断指标中的三项：</w:t>
      </w:r>
    </w:p>
    <w:p>
      <w:pPr>
        <w:pStyle w:val="BodyText"/>
        <w:spacing w:line="272" w:lineRule="exact" w:before="10"/>
        <w:ind w:left="424"/>
      </w:pPr>
      <w:r>
        <w:rPr/>
        <w:t>Ⅰ 家族史中有其他成员患相同疾病；</w:t>
      </w:r>
    </w:p>
    <w:p>
      <w:pPr>
        <w:pStyle w:val="BodyText"/>
        <w:spacing w:line="272" w:lineRule="exact"/>
        <w:ind w:left="424"/>
      </w:pPr>
      <w:r>
        <w:rPr/>
        <w:t>"  临床表现包括：无感觉神经紊乱，正常脑脊液及轻微腱反射的减退；</w:t>
      </w:r>
    </w:p>
    <w:p>
      <w:pPr>
        <w:pStyle w:val="BodyText"/>
        <w:spacing w:line="272" w:lineRule="exact"/>
        <w:ind w:left="424"/>
      </w:pPr>
      <w:r>
        <w:rPr/>
        <w:t>Ⅲ 典型的肌电图；</w:t>
      </w:r>
    </w:p>
    <w:p>
      <w:pPr>
        <w:pStyle w:val="BodyText"/>
        <w:spacing w:line="241" w:lineRule="exact"/>
        <w:ind w:left="424"/>
      </w:pPr>
      <w:r>
        <w:rPr/>
        <w:t>Ⅳ 临床推测必须有肌肉或组织检查加以证实。</w:t>
      </w:r>
    </w:p>
    <w:p>
      <w:pPr>
        <w:spacing w:line="316" w:lineRule="exact" w:before="0"/>
        <w:ind w:left="318" w:right="0" w:firstLine="0"/>
        <w:jc w:val="left"/>
        <w:rPr>
          <w:rFonts w:ascii="微软雅黑" w:eastAsia="微软雅黑" w:hint="eastAsia"/>
          <w:b/>
          <w:sz w:val="21"/>
        </w:rPr>
      </w:pPr>
      <w:r>
        <w:rPr>
          <w:sz w:val="21"/>
        </w:rPr>
        <w:t>（46）</w:t>
      </w:r>
      <w:r>
        <w:rPr>
          <w:rFonts w:ascii="微软雅黑" w:eastAsia="微软雅黑" w:hint="eastAsia"/>
          <w:b/>
          <w:sz w:val="21"/>
          <w:u w:val="single"/>
        </w:rPr>
        <w:t>严重哮喘</w:t>
      </w:r>
    </w:p>
    <w:p>
      <w:pPr>
        <w:pStyle w:val="BodyText"/>
        <w:spacing w:line="260" w:lineRule="exact"/>
        <w:jc w:val="both"/>
      </w:pPr>
      <w:r>
        <w:rPr/>
        <w:t>指一种反复发作的严重支气管阻塞性疾病，经我们认可的专科医生确诊，且必须同时符合下列标准：</w:t>
      </w:r>
    </w:p>
    <w:p>
      <w:pPr>
        <w:pStyle w:val="BodyText"/>
        <w:spacing w:line="272" w:lineRule="exact"/>
        <w:ind w:left="423"/>
      </w:pPr>
      <w:r>
        <w:rPr/>
        <w:t>Ⅰ 过去两年曾因哮喘持续状态住院治疗，并提供完整住院记录；</w:t>
      </w:r>
    </w:p>
    <w:p>
      <w:pPr>
        <w:pStyle w:val="BodyText"/>
        <w:spacing w:line="272" w:lineRule="exact"/>
        <w:ind w:left="424"/>
      </w:pPr>
      <w:r>
        <w:rPr>
          <w:spacing w:val="-55"/>
          <w:w w:val="140"/>
        </w:rPr>
        <w:t>" </w:t>
      </w:r>
      <w:r>
        <w:rPr>
          <w:spacing w:val="-3"/>
          <w:w w:val="105"/>
        </w:rPr>
        <w:t>因慢性过度换气导致胸廓畸形；</w:t>
      </w:r>
    </w:p>
    <w:p>
      <w:pPr>
        <w:pStyle w:val="BodyText"/>
        <w:spacing w:line="272" w:lineRule="exact"/>
        <w:ind w:left="424"/>
      </w:pPr>
      <w:r>
        <w:rPr/>
        <w:t>Ⅲ 在家中需要医生处方的氧气治疗法；</w:t>
      </w:r>
    </w:p>
    <w:p>
      <w:pPr>
        <w:pStyle w:val="BodyText"/>
        <w:spacing w:line="241" w:lineRule="exact"/>
        <w:ind w:left="424"/>
      </w:pPr>
      <w:r>
        <w:rPr/>
        <w:t>Ⅳ 持续日常服用口服类固醇激素治疗持续至少六个月。</w:t>
      </w:r>
    </w:p>
    <w:p>
      <w:pPr>
        <w:spacing w:line="316" w:lineRule="exact" w:before="0"/>
        <w:ind w:left="318" w:right="0" w:firstLine="0"/>
        <w:jc w:val="left"/>
        <w:rPr>
          <w:rFonts w:ascii="微软雅黑" w:eastAsia="微软雅黑" w:hint="eastAsia"/>
          <w:b/>
          <w:sz w:val="21"/>
        </w:rPr>
      </w:pPr>
      <w:r>
        <w:rPr>
          <w:sz w:val="21"/>
        </w:rPr>
        <w:t>（47）</w:t>
      </w:r>
      <w:r>
        <w:rPr>
          <w:rFonts w:ascii="微软雅黑" w:eastAsia="微软雅黑" w:hint="eastAsia"/>
          <w:b/>
          <w:sz w:val="21"/>
          <w:u w:val="single"/>
        </w:rPr>
        <w:t>慢性肾上腺皮质功能衰竭</w:t>
      </w:r>
    </w:p>
    <w:p>
      <w:pPr>
        <w:pStyle w:val="BodyText"/>
        <w:spacing w:line="274" w:lineRule="exact" w:before="10"/>
        <w:ind w:right="116"/>
      </w:pPr>
      <w:r>
        <w:rPr>
          <w:spacing w:val="-12"/>
        </w:rPr>
        <w:t>因为自身免疫功能紊乱，使肾上腺组织逐渐受损，而需要长期接受糖皮质激素及肾上腺皮质激素替代疗法。</w:t>
      </w:r>
      <w:r>
        <w:rPr>
          <w:spacing w:val="-6"/>
        </w:rPr>
        <w:t>该病必须经内分泌专科医生确诊，并有以下报告作为证据：</w:t>
      </w:r>
    </w:p>
    <w:p>
      <w:pPr>
        <w:pStyle w:val="BodyText"/>
        <w:spacing w:line="244" w:lineRule="exact"/>
        <w:ind w:left="423"/>
      </w:pPr>
      <w:r>
        <w:rPr/>
        <w:t>Ⅰ 促肾上腺皮质激素(ACTH)刺激试验；</w:t>
      </w:r>
    </w:p>
    <w:p>
      <w:pPr>
        <w:pStyle w:val="BodyText"/>
        <w:spacing w:line="272" w:lineRule="exact"/>
        <w:ind w:left="423"/>
      </w:pPr>
      <w:r>
        <w:rPr>
          <w:w w:val="105"/>
        </w:rPr>
        <w:t>" 胰岛素血糖减少测试；</w:t>
      </w:r>
    </w:p>
    <w:p>
      <w:pPr>
        <w:pStyle w:val="BodyText"/>
        <w:spacing w:line="272" w:lineRule="exact"/>
        <w:ind w:left="423"/>
      </w:pPr>
      <w:r>
        <w:rPr/>
        <w:t>Ⅲ 血浆促肾上腺皮质激素(ACTH)水平测定；</w:t>
      </w:r>
    </w:p>
    <w:p>
      <w:pPr>
        <w:pStyle w:val="BodyText"/>
        <w:spacing w:line="241" w:lineRule="exact"/>
        <w:ind w:left="423"/>
      </w:pPr>
      <w:r>
        <w:rPr/>
        <w:t>Ⅳ 血浆肾素活性(PRA)测定</w:t>
      </w:r>
    </w:p>
    <w:p>
      <w:pPr>
        <w:pStyle w:val="Heading3"/>
        <w:spacing w:line="285" w:lineRule="exact"/>
        <w:jc w:val="both"/>
      </w:pPr>
      <w:r>
        <w:rPr/>
        <w:t>慢性肾上腺皮质功能衰竭只对由自身免疫功能紊乱引起的承担保险责任，其他原因引起的除外。</w:t>
      </w:r>
    </w:p>
    <w:p>
      <w:pPr>
        <w:spacing w:line="304" w:lineRule="exact" w:before="0"/>
        <w:ind w:left="318" w:right="0" w:firstLine="0"/>
        <w:jc w:val="left"/>
        <w:rPr>
          <w:rFonts w:ascii="微软雅黑" w:eastAsia="微软雅黑" w:hint="eastAsia"/>
          <w:b/>
          <w:sz w:val="21"/>
        </w:rPr>
      </w:pPr>
      <w:r>
        <w:rPr>
          <w:sz w:val="21"/>
        </w:rPr>
        <w:t>（48）</w:t>
      </w:r>
      <w:r>
        <w:rPr>
          <w:rFonts w:ascii="微软雅黑" w:eastAsia="微软雅黑" w:hint="eastAsia"/>
          <w:b/>
          <w:sz w:val="21"/>
          <w:u w:val="single"/>
        </w:rPr>
        <w:t>非阿尔茨海默病所致严重痴呆</w:t>
      </w:r>
    </w:p>
    <w:p>
      <w:pPr>
        <w:pStyle w:val="BodyText"/>
        <w:spacing w:line="237" w:lineRule="auto"/>
        <w:ind w:right="222"/>
        <w:jc w:val="both"/>
      </w:pPr>
      <w:r>
        <w:rPr>
          <w:spacing w:val="-4"/>
        </w:rPr>
        <w:t>指因阿尔茨海默病以外的脑的器质性疾病造成脑功能衰竭导致永久不可逆性的严重痴呆，临床表现为明显</w:t>
      </w:r>
      <w:r>
        <w:rPr>
          <w:spacing w:val="-6"/>
        </w:rPr>
        <w:t>的认知能力障碍、行为异常和社交能力减退。被保险人自主生活能力完全丧失，无法独立完成六项基本日</w:t>
      </w:r>
      <w:r>
        <w:rPr>
          <w:spacing w:val="-7"/>
        </w:rPr>
        <w:t>常生活活动中的三项或三项以上，日常生活必须持续受到他人监护。导致痴呆的疾病必须明确诊断，并且</w:t>
      </w:r>
      <w:r>
        <w:rPr>
          <w:spacing w:val="-5"/>
        </w:rPr>
        <w:t>由完整的临床、实验室和影像学检查结果证实。</w:t>
      </w:r>
    </w:p>
    <w:p>
      <w:pPr>
        <w:pStyle w:val="Heading3"/>
        <w:spacing w:line="253" w:lineRule="exact" w:before="11"/>
        <w:jc w:val="both"/>
      </w:pPr>
      <w:r>
        <w:rPr/>
        <w:t>神经官能症和精神疾病不在保障范围内。</w:t>
      </w:r>
    </w:p>
    <w:p>
      <w:pPr>
        <w:spacing w:line="304" w:lineRule="exact" w:before="0"/>
        <w:ind w:left="318" w:right="0" w:firstLine="0"/>
        <w:jc w:val="left"/>
        <w:rPr>
          <w:rFonts w:ascii="微软雅黑" w:eastAsia="微软雅黑" w:hint="eastAsia"/>
          <w:b/>
          <w:sz w:val="21"/>
        </w:rPr>
      </w:pPr>
      <w:r>
        <w:rPr>
          <w:sz w:val="21"/>
        </w:rPr>
        <w:t>（49）</w:t>
      </w:r>
      <w:r>
        <w:rPr>
          <w:rFonts w:ascii="微软雅黑" w:eastAsia="微软雅黑" w:hint="eastAsia"/>
          <w:b/>
          <w:sz w:val="21"/>
          <w:u w:val="single"/>
        </w:rPr>
        <w:t>主动脉夹层血肿</w:t>
      </w:r>
    </w:p>
    <w:p>
      <w:pPr>
        <w:pStyle w:val="BodyText"/>
        <w:spacing w:line="237" w:lineRule="auto"/>
        <w:ind w:right="222"/>
        <w:jc w:val="both"/>
      </w:pPr>
      <w:r>
        <w:rPr>
          <w:spacing w:val="-6"/>
        </w:rPr>
        <w:t>是指主动脉壁在受到某些病理因素的破坏后，高速、高压的主动脉血流将其内膜撕裂，以致主动脉腔内的</w:t>
      </w:r>
      <w:r>
        <w:rPr>
          <w:spacing w:val="-4"/>
          <w:w w:val="100"/>
        </w:rPr>
        <w:t>血流通过主动脉内膜的破裂口进入主动脉内壁而形成血肿。被保险人需通过</w:t>
      </w:r>
      <w:r>
        <w:rPr>
          <w:spacing w:val="-4"/>
        </w:rPr>
        <w:t> </w:t>
      </w:r>
      <w:r>
        <w:rPr>
          <w:w w:val="100"/>
        </w:rPr>
        <w:t>X</w:t>
      </w:r>
      <w:r>
        <w:rPr/>
        <w:t> </w:t>
      </w:r>
      <w:r>
        <w:rPr>
          <w:spacing w:val="-3"/>
          <w:w w:val="100"/>
        </w:rPr>
        <w:t>线断层扫描</w:t>
      </w:r>
      <w:r>
        <w:rPr>
          <w:w w:val="100"/>
        </w:rPr>
        <w:t>（</w:t>
      </w:r>
      <w:r>
        <w:rPr>
          <w:spacing w:val="-3"/>
          <w:w w:val="100"/>
        </w:rPr>
        <w:t>C</w:t>
      </w:r>
      <w:r>
        <w:rPr>
          <w:w w:val="100"/>
        </w:rPr>
        <w:t>T</w:t>
      </w:r>
      <w:r>
        <w:rPr>
          <w:spacing w:val="-106"/>
          <w:w w:val="100"/>
        </w:rPr>
        <w:t>）</w:t>
      </w:r>
      <w:r>
        <w:rPr>
          <w:spacing w:val="-3"/>
          <w:w w:val="100"/>
        </w:rPr>
        <w:t>、磁共振扫描（</w:t>
      </w:r>
      <w:r>
        <w:rPr>
          <w:w w:val="100"/>
        </w:rPr>
        <w:t>MRI</w:t>
      </w:r>
      <w:r>
        <w:rPr>
          <w:spacing w:val="-108"/>
          <w:w w:val="100"/>
        </w:rPr>
        <w:t>）</w:t>
      </w:r>
      <w:r>
        <w:rPr>
          <w:spacing w:val="-3"/>
          <w:w w:val="100"/>
        </w:rPr>
        <w:t>、磁共振血管检验法</w:t>
      </w:r>
      <w:r>
        <w:rPr>
          <w:w w:val="100"/>
        </w:rPr>
        <w:t>（M</w:t>
      </w:r>
      <w:r>
        <w:rPr>
          <w:spacing w:val="-3"/>
          <w:w w:val="100"/>
        </w:rPr>
        <w:t>R</w:t>
      </w:r>
      <w:r>
        <w:rPr>
          <w:w w:val="100"/>
        </w:rPr>
        <w:t>A</w:t>
      </w:r>
      <w:r>
        <w:rPr>
          <w:spacing w:val="-3"/>
          <w:w w:val="100"/>
        </w:rPr>
        <w:t>）或血管扫描等检查，并且实施了胸腹切开的直视主动脉手术。</w:t>
      </w:r>
    </w:p>
    <w:p>
      <w:pPr>
        <w:spacing w:line="283" w:lineRule="exact" w:before="10"/>
        <w:ind w:left="318" w:right="0" w:firstLine="0"/>
        <w:jc w:val="left"/>
        <w:rPr>
          <w:rFonts w:ascii="微软雅黑" w:eastAsia="微软雅黑" w:hint="eastAsia"/>
          <w:b/>
          <w:sz w:val="21"/>
        </w:rPr>
      </w:pPr>
      <w:r>
        <w:rPr>
          <w:sz w:val="21"/>
        </w:rPr>
        <w:t>（50）</w:t>
      </w:r>
      <w:r>
        <w:rPr>
          <w:rFonts w:ascii="微软雅黑" w:eastAsia="微软雅黑" w:hint="eastAsia"/>
          <w:b/>
          <w:sz w:val="21"/>
          <w:u w:val="single"/>
        </w:rPr>
        <w:t>原发性硬化性胆管炎</w:t>
      </w:r>
    </w:p>
    <w:p>
      <w:pPr>
        <w:pStyle w:val="BodyText"/>
        <w:spacing w:line="237" w:lineRule="auto"/>
        <w:ind w:right="222"/>
        <w:jc w:val="both"/>
      </w:pPr>
      <w:r>
        <w:rPr>
          <w:spacing w:val="-6"/>
        </w:rPr>
        <w:t>指一种胆汁淤积综合征，其特征是肝内、肝外胆道因纤维化性炎症逐渐狭窄，并最终导致完全阻塞而发展</w:t>
      </w:r>
      <w:r>
        <w:rPr>
          <w:spacing w:val="-4"/>
        </w:rPr>
        <w:t>为肝硬化。本病须经内镜逆行胰胆管造影等影像学检查证实，并须满足下列全部条件：</w:t>
      </w:r>
    </w:p>
    <w:p>
      <w:pPr>
        <w:pStyle w:val="BodyText"/>
        <w:spacing w:line="272" w:lineRule="exact" w:before="10"/>
        <w:ind w:left="423"/>
      </w:pPr>
      <w:r>
        <w:rPr/>
        <w:t>Ⅰ 总胆红素和直接胆红素同时升高，血清 ALP&gt;200U/L；</w:t>
      </w:r>
    </w:p>
    <w:p>
      <w:pPr>
        <w:pStyle w:val="BodyText"/>
        <w:spacing w:line="272" w:lineRule="exact"/>
        <w:ind w:left="423"/>
      </w:pPr>
      <w:r>
        <w:rPr>
          <w:w w:val="115"/>
        </w:rPr>
        <w:t>" </w:t>
      </w:r>
      <w:r>
        <w:rPr>
          <w:w w:val="110"/>
        </w:rPr>
        <w:t>持续性黄疸病史；</w:t>
      </w:r>
    </w:p>
    <w:p>
      <w:pPr>
        <w:pStyle w:val="BodyText"/>
        <w:spacing w:line="241" w:lineRule="exact"/>
        <w:ind w:left="423"/>
      </w:pPr>
      <w:r>
        <w:rPr/>
        <w:t>Ⅲ 出现胆汁性肝硬化或门脉高压。</w:t>
      </w:r>
    </w:p>
    <w:p>
      <w:pPr>
        <w:pStyle w:val="Heading3"/>
        <w:spacing w:line="295" w:lineRule="exact"/>
        <w:jc w:val="both"/>
      </w:pPr>
      <w:r>
        <w:rPr/>
        <w:t>因肿瘤或胆管损伤等继发性的硬化性胆管炎不在保障范围内。</w:t>
      </w:r>
    </w:p>
    <w:p>
      <w:pPr>
        <w:spacing w:line="328" w:lineRule="exact" w:before="0"/>
        <w:ind w:left="212" w:right="0" w:firstLine="0"/>
        <w:jc w:val="both"/>
        <w:rPr>
          <w:sz w:val="21"/>
        </w:rPr>
      </w:pPr>
      <w:r>
        <w:rPr>
          <w:rFonts w:ascii="Times New Roman" w:eastAsia="Times New Roman"/>
          <w:position w:val="10"/>
          <w:sz w:val="14"/>
        </w:rPr>
        <w:t>3   </w:t>
      </w:r>
      <w:r>
        <w:rPr>
          <w:rFonts w:ascii="微软雅黑" w:eastAsia="微软雅黑" w:hint="eastAsia"/>
          <w:b/>
          <w:sz w:val="21"/>
        </w:rPr>
        <w:t>专科医生：</w:t>
      </w:r>
      <w:r>
        <w:rPr>
          <w:sz w:val="21"/>
        </w:rPr>
        <w:t>专科医生应当同时满足以下四项资格条件：</w:t>
      </w:r>
    </w:p>
    <w:p>
      <w:pPr>
        <w:pStyle w:val="BodyText"/>
        <w:spacing w:before="11"/>
        <w:ind w:left="318"/>
      </w:pPr>
      <w:r>
        <w:rPr/>
        <w:t>（1）具有有效的中华人民共和国《医师资格证书》；</w:t>
      </w:r>
    </w:p>
    <w:p>
      <w:pPr>
        <w:pStyle w:val="BodyText"/>
        <w:spacing w:before="37"/>
        <w:ind w:left="318"/>
      </w:pPr>
      <w:r>
        <w:rPr/>
        <w:t>（2）具有有效的中华人民共和国《医师执业证书》，并按期到相关部门登记注册；</w:t>
      </w:r>
    </w:p>
    <w:p>
      <w:pPr>
        <w:pStyle w:val="BodyText"/>
        <w:spacing w:before="37"/>
        <w:ind w:left="318"/>
      </w:pPr>
      <w:r>
        <w:rPr/>
        <w:t>（3）具有有效的中华人民共和国主治医师或主治医师以上职称的《医师职称证书》；</w:t>
      </w:r>
    </w:p>
    <w:p>
      <w:pPr>
        <w:spacing w:after="0"/>
        <w:sectPr>
          <w:footerReference w:type="default" r:id="rId13"/>
          <w:pgSz w:w="11900" w:h="16840"/>
          <w:pgMar w:footer="547" w:header="895" w:top="1080" w:bottom="740" w:left="920" w:right="900"/>
          <w:pgNumType w:start="10"/>
        </w:sectPr>
      </w:pPr>
    </w:p>
    <w:p>
      <w:pPr>
        <w:pStyle w:val="BodyText"/>
        <w:ind w:left="0"/>
        <w:rPr>
          <w:sz w:val="13"/>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pStyle w:val="BodyText"/>
        <w:spacing w:line="243" w:lineRule="exact" w:before="54"/>
        <w:ind w:left="318"/>
      </w:pPr>
      <w:r>
        <w:rPr/>
        <w:t>（4）在二级或二级以上医院的相应科室从事临床工作三年以上。</w:t>
      </w:r>
    </w:p>
    <w:p>
      <w:pPr>
        <w:spacing w:line="316" w:lineRule="exact" w:before="0"/>
        <w:ind w:left="212" w:right="0" w:firstLine="0"/>
        <w:jc w:val="left"/>
        <w:rPr>
          <w:sz w:val="21"/>
        </w:rPr>
      </w:pPr>
      <w:r>
        <w:rPr>
          <w:rFonts w:ascii="Times New Roman" w:eastAsia="Times New Roman"/>
          <w:position w:val="10"/>
          <w:sz w:val="14"/>
        </w:rPr>
        <w:t>4   </w:t>
      </w:r>
      <w:r>
        <w:rPr>
          <w:rFonts w:ascii="微软雅黑" w:eastAsia="微软雅黑" w:hint="eastAsia"/>
          <w:b/>
          <w:sz w:val="21"/>
        </w:rPr>
        <w:t>符合条件的医疗机构</w:t>
      </w:r>
      <w:r>
        <w:rPr>
          <w:sz w:val="21"/>
        </w:rPr>
        <w:t>：</w:t>
      </w:r>
    </w:p>
    <w:p>
      <w:pPr>
        <w:pStyle w:val="BodyText"/>
        <w:spacing w:line="260" w:lineRule="exact"/>
      </w:pPr>
      <w:r>
        <w:rPr/>
        <w:t>是指符合下列所有条件之中国境内机构：</w:t>
      </w:r>
    </w:p>
    <w:p>
      <w:pPr>
        <w:pStyle w:val="BodyText"/>
        <w:spacing w:line="272" w:lineRule="exact"/>
        <w:ind w:left="424"/>
      </w:pPr>
      <w:r>
        <w:rPr/>
        <w:t>Ⅰ 拥有合法经营执照；</w:t>
      </w:r>
    </w:p>
    <w:p>
      <w:pPr>
        <w:pStyle w:val="BodyText"/>
        <w:spacing w:line="271" w:lineRule="exact"/>
        <w:ind w:left="424"/>
      </w:pPr>
      <w:r>
        <w:rPr/>
        <w:t>"  设立的主要目的为向受伤者和患病者提供住院治疗；</w:t>
      </w:r>
    </w:p>
    <w:p>
      <w:pPr>
        <w:pStyle w:val="BodyText"/>
        <w:spacing w:line="272" w:lineRule="exact"/>
        <w:ind w:left="424"/>
      </w:pPr>
      <w:r>
        <w:rPr/>
        <w:t>Ⅲ 有合格的医生和护士提供全日 24 小时的医疗和护理服务；</w:t>
      </w:r>
    </w:p>
    <w:p>
      <w:pPr>
        <w:pStyle w:val="BodyText"/>
        <w:spacing w:line="272" w:lineRule="exact"/>
        <w:ind w:left="424"/>
      </w:pPr>
      <w:r>
        <w:rPr/>
        <w:t>Ⅳ 非主要作为康复、护理、疗养、戒酒、戒毒、或类似的医疗机构；</w:t>
      </w:r>
    </w:p>
    <w:p>
      <w:pPr>
        <w:pStyle w:val="BodyText"/>
        <w:spacing w:line="241" w:lineRule="exact"/>
        <w:ind w:left="424"/>
      </w:pPr>
      <w:r>
        <w:rPr/>
        <w:t>*  为当地社会（基本）医疗保险机构指定或认可的二级或二级以上及同等级别的医院。</w:t>
      </w:r>
    </w:p>
    <w:p>
      <w:pPr>
        <w:pStyle w:val="BodyText"/>
        <w:spacing w:line="216" w:lineRule="auto" w:before="4"/>
        <w:ind w:right="211"/>
      </w:pPr>
      <w:r>
        <w:rPr>
          <w:rFonts w:ascii="Times New Roman" w:eastAsia="Times New Roman"/>
          <w:position w:val="10"/>
          <w:sz w:val="14"/>
        </w:rPr>
        <w:t>5 </w:t>
      </w:r>
      <w:r>
        <w:rPr>
          <w:rFonts w:ascii="微软雅黑" w:eastAsia="微软雅黑" w:hint="eastAsia"/>
          <w:b/>
        </w:rPr>
        <w:t>意外伤害事故</w:t>
      </w:r>
      <w:r>
        <w:rPr/>
        <w:t>：指遭受外来的、突发的、非本意的、非疾病的使身体受到伤害且作为直接且单独原因导致被保险人身故或伤残的客观事件。</w:t>
      </w:r>
    </w:p>
    <w:p>
      <w:pPr>
        <w:spacing w:line="253" w:lineRule="exact" w:before="0"/>
        <w:ind w:left="212" w:right="0" w:firstLine="0"/>
        <w:jc w:val="left"/>
        <w:rPr>
          <w:rFonts w:ascii="微软雅黑" w:eastAsia="微软雅黑" w:hint="eastAsia"/>
          <w:b/>
          <w:sz w:val="21"/>
        </w:rPr>
      </w:pPr>
      <w:r>
        <w:rPr>
          <w:rFonts w:ascii="Times New Roman" w:eastAsia="Times New Roman"/>
          <w:position w:val="10"/>
          <w:sz w:val="14"/>
        </w:rPr>
        <w:t>6   </w:t>
      </w:r>
      <w:r>
        <w:rPr>
          <w:rFonts w:ascii="微软雅黑" w:eastAsia="微软雅黑" w:hint="eastAsia"/>
          <w:b/>
          <w:sz w:val="21"/>
        </w:rPr>
        <w:t>八种特定重大疾病：</w:t>
      </w:r>
    </w:p>
    <w:p>
      <w:pPr>
        <w:pStyle w:val="Heading3"/>
        <w:spacing w:line="272" w:lineRule="exact"/>
      </w:pPr>
      <w:r>
        <w:rPr>
          <w:w w:val="100"/>
        </w:rPr>
        <w:t>以下（</w:t>
      </w:r>
      <w:r>
        <w:rPr>
          <w:w w:val="81"/>
        </w:rPr>
        <w:t>1</w:t>
      </w:r>
      <w:r>
        <w:rPr>
          <w:spacing w:val="-106"/>
          <w:w w:val="100"/>
        </w:rPr>
        <w:t>）、</w:t>
      </w:r>
      <w:r>
        <w:rPr>
          <w:w w:val="100"/>
        </w:rPr>
        <w:t>（</w:t>
      </w:r>
      <w:r>
        <w:rPr>
          <w:w w:val="81"/>
        </w:rPr>
        <w:t>2</w:t>
      </w:r>
      <w:r>
        <w:rPr>
          <w:spacing w:val="-106"/>
          <w:w w:val="100"/>
        </w:rPr>
        <w:t>）、</w:t>
      </w:r>
      <w:r>
        <w:rPr>
          <w:w w:val="100"/>
        </w:rPr>
        <w:t>（</w:t>
      </w:r>
      <w:r>
        <w:rPr>
          <w:w w:val="81"/>
        </w:rPr>
        <w:t>3</w:t>
      </w:r>
      <w:r>
        <w:rPr>
          <w:w w:val="100"/>
        </w:rPr>
        <w:t>）</w:t>
      </w:r>
      <w:r>
        <w:rPr>
          <w:spacing w:val="-3"/>
          <w:w w:val="100"/>
        </w:rPr>
        <w:t>种特定重大疾病仅限男性被保险人</w:t>
      </w:r>
    </w:p>
    <w:p>
      <w:pPr>
        <w:spacing w:line="304" w:lineRule="exact" w:before="0"/>
        <w:ind w:left="212" w:right="0" w:firstLine="0"/>
        <w:jc w:val="left"/>
        <w:rPr>
          <w:rFonts w:ascii="微软雅黑" w:eastAsia="微软雅黑" w:hint="eastAsia"/>
          <w:b/>
          <w:sz w:val="21"/>
        </w:rPr>
      </w:pPr>
      <w:r>
        <w:rPr>
          <w:sz w:val="21"/>
        </w:rPr>
        <w:t>（1）</w:t>
      </w:r>
      <w:r>
        <w:rPr>
          <w:rFonts w:ascii="微软雅黑" w:eastAsia="微软雅黑" w:hint="eastAsia"/>
          <w:b/>
          <w:sz w:val="21"/>
          <w:u w:val="single"/>
        </w:rPr>
        <w:t>肝癌</w:t>
      </w:r>
    </w:p>
    <w:p>
      <w:pPr>
        <w:spacing w:line="194" w:lineRule="auto" w:before="38"/>
        <w:ind w:left="212" w:right="5001" w:firstLine="0"/>
        <w:jc w:val="left"/>
        <w:rPr>
          <w:rFonts w:ascii="微软雅黑" w:eastAsia="微软雅黑" w:hint="eastAsia"/>
          <w:b/>
          <w:sz w:val="21"/>
        </w:rPr>
      </w:pPr>
      <w:r>
        <w:rPr>
          <w:sz w:val="21"/>
        </w:rPr>
        <w:t>原发于肝组织的恶性肿瘤，国际疾病分类码为 C22。</w:t>
      </w:r>
      <w:r>
        <w:rPr>
          <w:rFonts w:ascii="微软雅黑" w:eastAsia="微软雅黑" w:hint="eastAsia"/>
          <w:b/>
          <w:sz w:val="21"/>
        </w:rPr>
        <w:t>下列疾病不在保障范围内：</w:t>
      </w:r>
    </w:p>
    <w:p>
      <w:pPr>
        <w:pStyle w:val="BodyText"/>
        <w:spacing w:line="245" w:lineRule="exact"/>
        <w:ind w:left="423"/>
      </w:pPr>
      <w:r>
        <w:rPr/>
        <w:t>Ⅰ 原位癌；</w:t>
      </w:r>
    </w:p>
    <w:p>
      <w:pPr>
        <w:pStyle w:val="BodyText"/>
        <w:spacing w:line="272" w:lineRule="exact"/>
        <w:ind w:left="423"/>
      </w:pPr>
      <w:r>
        <w:rPr>
          <w:w w:val="105"/>
        </w:rPr>
        <w:t>" 转移至肝的其他恶性肿瘤；</w:t>
      </w:r>
    </w:p>
    <w:p>
      <w:pPr>
        <w:pStyle w:val="BodyText"/>
        <w:spacing w:line="241" w:lineRule="exact"/>
        <w:ind w:left="423"/>
      </w:pPr>
      <w:r>
        <w:rPr/>
        <w:t>Ⅲ 感染艾滋病病毒或患艾滋病期间所患恶性肿瘤。</w:t>
      </w:r>
    </w:p>
    <w:p>
      <w:pPr>
        <w:spacing w:line="316" w:lineRule="exact" w:before="0"/>
        <w:ind w:left="318" w:right="0" w:firstLine="0"/>
        <w:jc w:val="left"/>
        <w:rPr>
          <w:rFonts w:ascii="微软雅黑" w:eastAsia="微软雅黑" w:hint="eastAsia"/>
          <w:b/>
          <w:sz w:val="21"/>
        </w:rPr>
      </w:pPr>
      <w:r>
        <w:rPr>
          <w:sz w:val="21"/>
        </w:rPr>
        <w:t>（2）</w:t>
      </w:r>
      <w:r>
        <w:rPr>
          <w:rFonts w:ascii="微软雅黑" w:eastAsia="微软雅黑" w:hint="eastAsia"/>
          <w:b/>
          <w:sz w:val="21"/>
          <w:u w:val="single"/>
        </w:rPr>
        <w:t>肺癌</w:t>
      </w:r>
    </w:p>
    <w:p>
      <w:pPr>
        <w:spacing w:line="194" w:lineRule="auto" w:before="37"/>
        <w:ind w:left="212" w:right="5001" w:firstLine="0"/>
        <w:jc w:val="left"/>
        <w:rPr>
          <w:rFonts w:ascii="微软雅黑" w:eastAsia="微软雅黑" w:hint="eastAsia"/>
          <w:b/>
          <w:sz w:val="21"/>
        </w:rPr>
      </w:pPr>
      <w:r>
        <w:rPr>
          <w:sz w:val="21"/>
        </w:rPr>
        <w:t>原发于肺组织的恶性肿瘤，国际疾病分类码为 C34。</w:t>
      </w:r>
      <w:r>
        <w:rPr>
          <w:rFonts w:ascii="微软雅黑" w:eastAsia="微软雅黑" w:hint="eastAsia"/>
          <w:b/>
          <w:sz w:val="21"/>
        </w:rPr>
        <w:t>下列疾病不在保障范围内：</w:t>
      </w:r>
    </w:p>
    <w:p>
      <w:pPr>
        <w:pStyle w:val="BodyText"/>
        <w:spacing w:line="245" w:lineRule="exact"/>
        <w:ind w:left="424"/>
      </w:pPr>
      <w:r>
        <w:rPr/>
        <w:t>Ⅰ 原位癌；</w:t>
      </w:r>
    </w:p>
    <w:p>
      <w:pPr>
        <w:pStyle w:val="BodyText"/>
        <w:spacing w:line="272" w:lineRule="exact"/>
        <w:ind w:left="424"/>
      </w:pPr>
      <w:r>
        <w:rPr>
          <w:w w:val="105"/>
        </w:rPr>
        <w:t>" 转移至肺的其他恶性肿瘤；</w:t>
      </w:r>
    </w:p>
    <w:p>
      <w:pPr>
        <w:pStyle w:val="BodyText"/>
        <w:spacing w:line="241" w:lineRule="exact"/>
        <w:ind w:left="424"/>
      </w:pPr>
      <w:r>
        <w:rPr/>
        <w:t>Ⅲ 感染艾滋病病毒或患艾滋病期间所患恶性肿瘤。</w:t>
      </w:r>
    </w:p>
    <w:p>
      <w:pPr>
        <w:spacing w:line="316" w:lineRule="exact" w:before="0"/>
        <w:ind w:left="318" w:right="0" w:firstLine="0"/>
        <w:jc w:val="left"/>
        <w:rPr>
          <w:rFonts w:ascii="微软雅黑" w:eastAsia="微软雅黑" w:hint="eastAsia"/>
          <w:b/>
          <w:sz w:val="21"/>
        </w:rPr>
      </w:pPr>
      <w:r>
        <w:rPr>
          <w:sz w:val="21"/>
        </w:rPr>
        <w:t>（3）</w:t>
      </w:r>
      <w:r>
        <w:rPr>
          <w:rFonts w:ascii="微软雅黑" w:eastAsia="微软雅黑" w:hint="eastAsia"/>
          <w:b/>
          <w:sz w:val="21"/>
          <w:u w:val="single"/>
        </w:rPr>
        <w:t>前列腺癌</w:t>
      </w:r>
    </w:p>
    <w:p>
      <w:pPr>
        <w:spacing w:line="194" w:lineRule="auto" w:before="37"/>
        <w:ind w:left="212" w:right="4581" w:firstLine="0"/>
        <w:jc w:val="left"/>
        <w:rPr>
          <w:rFonts w:ascii="微软雅黑" w:eastAsia="微软雅黑" w:hint="eastAsia"/>
          <w:b/>
          <w:sz w:val="21"/>
        </w:rPr>
      </w:pPr>
      <w:r>
        <w:rPr>
          <w:sz w:val="21"/>
        </w:rPr>
        <w:t>原发于前列腺组织的恶性肿瘤，国际疾病分类码为 C61。</w:t>
      </w:r>
      <w:r>
        <w:rPr>
          <w:rFonts w:ascii="微软雅黑" w:eastAsia="微软雅黑" w:hint="eastAsia"/>
          <w:b/>
          <w:sz w:val="21"/>
        </w:rPr>
        <w:t>下列疾病不在保障范围内：</w:t>
      </w:r>
    </w:p>
    <w:p>
      <w:pPr>
        <w:pStyle w:val="BodyText"/>
        <w:spacing w:line="244" w:lineRule="exact"/>
        <w:ind w:left="423"/>
      </w:pPr>
      <w:r>
        <w:rPr>
          <w:position w:val="1"/>
        </w:rPr>
        <w:t>Ⅰ 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line="273" w:lineRule="exact"/>
        <w:ind w:left="424"/>
      </w:pPr>
      <w:r>
        <w:rPr>
          <w:spacing w:val="-55"/>
          <w:w w:val="140"/>
        </w:rPr>
        <w:t>" </w:t>
      </w:r>
      <w:r>
        <w:rPr>
          <w:spacing w:val="-3"/>
          <w:w w:val="105"/>
        </w:rPr>
        <w:t>转移至前列腺的其他恶性肿瘤；</w:t>
      </w:r>
    </w:p>
    <w:p>
      <w:pPr>
        <w:pStyle w:val="BodyText"/>
        <w:spacing w:line="241" w:lineRule="exact"/>
        <w:ind w:left="424"/>
      </w:pPr>
      <w:r>
        <w:rPr/>
        <w:t>Ⅲ 感染艾滋病病毒或患艾滋病期间所患恶性肿瘤。</w:t>
      </w:r>
    </w:p>
    <w:p>
      <w:pPr>
        <w:pStyle w:val="Heading3"/>
        <w:spacing w:line="285" w:lineRule="exact"/>
      </w:pPr>
      <w:r>
        <w:rPr>
          <w:w w:val="100"/>
        </w:rPr>
        <w:t>以下（</w:t>
      </w:r>
      <w:r>
        <w:rPr>
          <w:w w:val="81"/>
        </w:rPr>
        <w:t>4</w:t>
      </w:r>
      <w:r>
        <w:rPr>
          <w:spacing w:val="-106"/>
          <w:w w:val="100"/>
        </w:rPr>
        <w:t>）、</w:t>
      </w:r>
      <w:r>
        <w:rPr>
          <w:w w:val="100"/>
        </w:rPr>
        <w:t>（</w:t>
      </w:r>
      <w:r>
        <w:rPr>
          <w:w w:val="81"/>
        </w:rPr>
        <w:t>5</w:t>
      </w:r>
      <w:r>
        <w:rPr>
          <w:spacing w:val="-106"/>
          <w:w w:val="100"/>
        </w:rPr>
        <w:t>）、</w:t>
      </w:r>
      <w:r>
        <w:rPr>
          <w:w w:val="100"/>
        </w:rPr>
        <w:t>（</w:t>
      </w:r>
      <w:r>
        <w:rPr>
          <w:w w:val="81"/>
        </w:rPr>
        <w:t>6</w:t>
      </w:r>
      <w:r>
        <w:rPr>
          <w:w w:val="100"/>
        </w:rPr>
        <w:t>）</w:t>
      </w:r>
      <w:r>
        <w:rPr>
          <w:spacing w:val="-3"/>
          <w:w w:val="100"/>
        </w:rPr>
        <w:t>三种特定重大疾病仅限女性被保险人</w:t>
      </w:r>
    </w:p>
    <w:p>
      <w:pPr>
        <w:spacing w:line="304" w:lineRule="exact" w:before="0"/>
        <w:ind w:left="318" w:right="0" w:firstLine="0"/>
        <w:jc w:val="left"/>
        <w:rPr>
          <w:rFonts w:ascii="微软雅黑" w:eastAsia="微软雅黑" w:hint="eastAsia"/>
          <w:b/>
          <w:sz w:val="21"/>
        </w:rPr>
      </w:pPr>
      <w:r>
        <w:rPr>
          <w:sz w:val="21"/>
        </w:rPr>
        <w:t>（4）</w:t>
      </w:r>
      <w:r>
        <w:rPr>
          <w:rFonts w:ascii="微软雅黑" w:eastAsia="微软雅黑" w:hint="eastAsia"/>
          <w:b/>
          <w:sz w:val="21"/>
          <w:u w:val="single"/>
        </w:rPr>
        <w:t>乳腺癌</w:t>
      </w:r>
    </w:p>
    <w:p>
      <w:pPr>
        <w:spacing w:line="194" w:lineRule="auto" w:before="38"/>
        <w:ind w:left="212" w:right="4791" w:firstLine="0"/>
        <w:jc w:val="left"/>
        <w:rPr>
          <w:rFonts w:ascii="微软雅黑" w:eastAsia="微软雅黑" w:hint="eastAsia"/>
          <w:b/>
          <w:sz w:val="21"/>
        </w:rPr>
      </w:pPr>
      <w:r>
        <w:rPr>
          <w:sz w:val="21"/>
        </w:rPr>
        <w:t>原发于乳腺组织的恶性肿瘤，国际疾病分类码为 C50。</w:t>
      </w:r>
      <w:r>
        <w:rPr>
          <w:rFonts w:ascii="微软雅黑" w:eastAsia="微软雅黑" w:hint="eastAsia"/>
          <w:b/>
          <w:sz w:val="21"/>
        </w:rPr>
        <w:t>下列疾病不在保障范围内：</w:t>
      </w:r>
    </w:p>
    <w:p>
      <w:pPr>
        <w:pStyle w:val="BodyText"/>
        <w:spacing w:line="245" w:lineRule="exact"/>
        <w:ind w:left="423"/>
      </w:pPr>
      <w:r>
        <w:rPr/>
        <w:t>Ⅰ 原位癌或导管内癌；</w:t>
      </w:r>
    </w:p>
    <w:p>
      <w:pPr>
        <w:pStyle w:val="BodyText"/>
        <w:spacing w:line="272" w:lineRule="exact"/>
        <w:ind w:left="423"/>
      </w:pPr>
      <w:r>
        <w:rPr>
          <w:spacing w:val="-61"/>
          <w:w w:val="150"/>
        </w:rPr>
        <w:t>" </w:t>
      </w:r>
      <w:r>
        <w:rPr>
          <w:spacing w:val="-3"/>
          <w:w w:val="105"/>
        </w:rPr>
        <w:t>转移至乳腺的其他恶性肿瘤；</w:t>
      </w:r>
    </w:p>
    <w:p>
      <w:pPr>
        <w:pStyle w:val="BodyText"/>
        <w:spacing w:line="241" w:lineRule="exact"/>
        <w:ind w:left="423"/>
      </w:pPr>
      <w:r>
        <w:rPr/>
        <w:t>Ⅲ 感染艾滋病病毒或患艾滋病期间所患的恶性肿瘤。</w:t>
      </w:r>
    </w:p>
    <w:p>
      <w:pPr>
        <w:spacing w:line="316" w:lineRule="exact" w:before="0"/>
        <w:ind w:left="318" w:right="0" w:firstLine="0"/>
        <w:jc w:val="left"/>
        <w:rPr>
          <w:rFonts w:ascii="微软雅黑" w:eastAsia="微软雅黑" w:hint="eastAsia"/>
          <w:b/>
          <w:sz w:val="21"/>
        </w:rPr>
      </w:pPr>
      <w:r>
        <w:rPr>
          <w:sz w:val="21"/>
        </w:rPr>
        <w:t>（5）</w:t>
      </w:r>
      <w:r>
        <w:rPr>
          <w:rFonts w:ascii="微软雅黑" w:eastAsia="微软雅黑" w:hint="eastAsia"/>
          <w:b/>
          <w:sz w:val="21"/>
          <w:u w:val="single"/>
        </w:rPr>
        <w:t>子宫癌</w:t>
      </w:r>
    </w:p>
    <w:p>
      <w:pPr>
        <w:spacing w:line="194" w:lineRule="auto" w:before="37"/>
        <w:ind w:left="212" w:right="4224" w:firstLine="0"/>
        <w:jc w:val="left"/>
        <w:rPr>
          <w:rFonts w:ascii="微软雅黑" w:eastAsia="微软雅黑" w:hint="eastAsia"/>
          <w:b/>
          <w:sz w:val="21"/>
        </w:rPr>
      </w:pPr>
      <w:r>
        <w:rPr>
          <w:spacing w:val="-6"/>
          <w:sz w:val="21"/>
        </w:rPr>
        <w:t>原发于子宫组织的恶性肿瘤，国际疾病分类码为 </w:t>
      </w:r>
      <w:r>
        <w:rPr>
          <w:sz w:val="21"/>
        </w:rPr>
        <w:t>C53</w:t>
      </w:r>
      <w:r>
        <w:rPr>
          <w:spacing w:val="-32"/>
          <w:sz w:val="21"/>
        </w:rPr>
        <w:t> 或 </w:t>
      </w:r>
      <w:r>
        <w:rPr>
          <w:sz w:val="21"/>
        </w:rPr>
        <w:t>C54。</w:t>
      </w:r>
      <w:r>
        <w:rPr>
          <w:rFonts w:ascii="微软雅黑" w:eastAsia="微软雅黑" w:hint="eastAsia"/>
          <w:b/>
          <w:spacing w:val="-2"/>
          <w:sz w:val="21"/>
        </w:rPr>
        <w:t>下列疾病不在保障范围内：</w:t>
      </w:r>
    </w:p>
    <w:p>
      <w:pPr>
        <w:pStyle w:val="BodyText"/>
        <w:spacing w:line="245" w:lineRule="exact"/>
        <w:ind w:left="423"/>
      </w:pPr>
      <w:r>
        <w:rPr/>
        <w:t>Ⅰ 原位癌；</w:t>
      </w:r>
    </w:p>
    <w:p>
      <w:pPr>
        <w:pStyle w:val="BodyText"/>
        <w:spacing w:line="272" w:lineRule="exact"/>
        <w:ind w:left="423"/>
      </w:pPr>
      <w:r>
        <w:rPr>
          <w:spacing w:val="-61"/>
          <w:w w:val="150"/>
        </w:rPr>
        <w:t>" </w:t>
      </w:r>
      <w:r>
        <w:rPr>
          <w:spacing w:val="-3"/>
          <w:w w:val="105"/>
        </w:rPr>
        <w:t>转移至子宫的其他恶性肿瘤；</w:t>
      </w:r>
    </w:p>
    <w:p>
      <w:pPr>
        <w:pStyle w:val="BodyText"/>
        <w:spacing w:line="241" w:lineRule="exact"/>
        <w:ind w:left="423"/>
      </w:pPr>
      <w:r>
        <w:rPr/>
        <w:t>Ⅲ 感染艾滋病病毒或患艾滋病期间所患恶性肿瘤。</w:t>
      </w:r>
    </w:p>
    <w:p>
      <w:pPr>
        <w:spacing w:line="316" w:lineRule="exact" w:before="0"/>
        <w:ind w:left="318" w:right="0" w:firstLine="0"/>
        <w:jc w:val="left"/>
        <w:rPr>
          <w:rFonts w:ascii="微软雅黑" w:eastAsia="微软雅黑" w:hint="eastAsia"/>
          <w:b/>
          <w:sz w:val="21"/>
        </w:rPr>
      </w:pPr>
      <w:r>
        <w:rPr>
          <w:sz w:val="21"/>
        </w:rPr>
        <w:t>（6）</w:t>
      </w:r>
      <w:r>
        <w:rPr>
          <w:rFonts w:ascii="微软雅黑" w:eastAsia="微软雅黑" w:hint="eastAsia"/>
          <w:b/>
          <w:sz w:val="21"/>
          <w:u w:val="single"/>
        </w:rPr>
        <w:t>卵巢癌</w:t>
      </w:r>
    </w:p>
    <w:p>
      <w:pPr>
        <w:spacing w:line="194" w:lineRule="auto" w:before="37"/>
        <w:ind w:left="212" w:right="4791" w:firstLine="0"/>
        <w:jc w:val="left"/>
        <w:rPr>
          <w:rFonts w:ascii="微软雅黑" w:eastAsia="微软雅黑" w:hint="eastAsia"/>
          <w:b/>
          <w:sz w:val="21"/>
        </w:rPr>
      </w:pPr>
      <w:r>
        <w:rPr>
          <w:sz w:val="21"/>
        </w:rPr>
        <w:t>原发于卵巢组织的恶性肿瘤，国际疾病分类码为 C56。</w:t>
      </w:r>
      <w:r>
        <w:rPr>
          <w:rFonts w:ascii="微软雅黑" w:eastAsia="微软雅黑" w:hint="eastAsia"/>
          <w:b/>
          <w:sz w:val="21"/>
        </w:rPr>
        <w:t>下列疾病不在保障范围内：</w:t>
      </w:r>
    </w:p>
    <w:p>
      <w:pPr>
        <w:pStyle w:val="BodyText"/>
        <w:spacing w:line="245" w:lineRule="exact"/>
        <w:ind w:left="423"/>
      </w:pPr>
      <w:r>
        <w:rPr/>
        <w:t>Ⅰ 原位癌；</w:t>
      </w:r>
    </w:p>
    <w:p>
      <w:pPr>
        <w:pStyle w:val="BodyText"/>
        <w:spacing w:line="272" w:lineRule="exact"/>
        <w:ind w:left="423"/>
      </w:pPr>
      <w:r>
        <w:rPr>
          <w:spacing w:val="-61"/>
          <w:w w:val="150"/>
        </w:rPr>
        <w:t>" </w:t>
      </w:r>
      <w:r>
        <w:rPr>
          <w:spacing w:val="-3"/>
          <w:w w:val="105"/>
        </w:rPr>
        <w:t>转移至卵巢的其他恶性肿瘤；</w:t>
      </w:r>
    </w:p>
    <w:p>
      <w:pPr>
        <w:pStyle w:val="BodyText"/>
        <w:spacing w:line="251" w:lineRule="exact"/>
        <w:ind w:left="423"/>
      </w:pPr>
      <w:r>
        <w:rPr/>
        <w:t>Ⅲ 感染艾滋病病毒或患艾滋病期间所患的恶性肿瘤。</w:t>
      </w:r>
    </w:p>
    <w:p>
      <w:pPr>
        <w:pStyle w:val="Heading3"/>
        <w:spacing w:line="304" w:lineRule="exact"/>
      </w:pPr>
      <w:r>
        <w:rPr/>
        <w:t>以下两种特定重大疾病仅限 17 周岁及以下（初次确诊时年龄）的少儿被保险人</w:t>
      </w:r>
    </w:p>
    <w:p>
      <w:pPr>
        <w:spacing w:line="313" w:lineRule="exact" w:before="0"/>
        <w:ind w:left="318" w:right="0" w:firstLine="0"/>
        <w:jc w:val="left"/>
        <w:rPr>
          <w:rFonts w:ascii="微软雅黑" w:eastAsia="微软雅黑" w:hint="eastAsia"/>
          <w:b/>
          <w:sz w:val="21"/>
        </w:rPr>
      </w:pPr>
      <w:r>
        <w:rPr>
          <w:sz w:val="21"/>
        </w:rPr>
        <w:t>（7）</w:t>
      </w:r>
      <w:r>
        <w:rPr>
          <w:rFonts w:ascii="微软雅黑" w:eastAsia="微软雅黑" w:hint="eastAsia"/>
          <w:b/>
          <w:sz w:val="21"/>
          <w:u w:val="single"/>
        </w:rPr>
        <w:t>白血病</w:t>
      </w:r>
    </w:p>
    <w:p>
      <w:pPr>
        <w:pStyle w:val="BodyText"/>
        <w:spacing w:line="237" w:lineRule="auto"/>
        <w:ind w:right="180"/>
      </w:pPr>
      <w:r>
        <w:rPr>
          <w:spacing w:val="-6"/>
        </w:rPr>
        <w:t>是一种造血系统的恶性肿瘤，其主要表现为白血病细胞在骨髓或其他造血组织中大量克隆、异常增生，大</w:t>
      </w:r>
      <w:r>
        <w:rPr>
          <w:spacing w:val="-4"/>
        </w:rPr>
        <w:t>量聚集的白细胞抑制正常造血并浸润全身器官和组织。周围白细胞有质和量的变化，出现相应临床表现。</w:t>
      </w:r>
    </w:p>
    <w:p>
      <w:pPr>
        <w:spacing w:after="0" w:line="237" w:lineRule="auto"/>
        <w:sectPr>
          <w:pgSz w:w="11900" w:h="16840"/>
          <w:pgMar w:header="895" w:footer="547" w:top="1080" w:bottom="740" w:left="920" w:right="920"/>
        </w:sectPr>
      </w:pPr>
    </w:p>
    <w:p>
      <w:pPr>
        <w:pStyle w:val="BodyText"/>
        <w:ind w:left="0"/>
        <w:rPr>
          <w:sz w:val="13"/>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pStyle w:val="Heading3"/>
        <w:spacing w:line="310" w:lineRule="exact"/>
      </w:pPr>
      <w:r>
        <w:rPr>
          <w:w w:val="100"/>
        </w:rPr>
        <w:t>相当于</w:t>
      </w:r>
      <w:r>
        <w:rPr>
          <w:spacing w:val="-10"/>
        </w:rPr>
        <w:t> </w:t>
      </w:r>
      <w:r>
        <w:rPr>
          <w:w w:val="73"/>
        </w:rPr>
        <w:t>B</w:t>
      </w:r>
      <w:r>
        <w:rPr>
          <w:w w:val="169"/>
        </w:rPr>
        <w:t>i</w:t>
      </w:r>
      <w:r>
        <w:rPr>
          <w:w w:val="77"/>
        </w:rPr>
        <w:t>n</w:t>
      </w:r>
      <w:r>
        <w:rPr>
          <w:w w:val="86"/>
        </w:rPr>
        <w:t>e</w:t>
      </w:r>
      <w:r>
        <w:rPr>
          <w:w w:val="121"/>
        </w:rPr>
        <w:t>t</w:t>
      </w:r>
      <w:r>
        <w:rPr>
          <w:spacing w:val="-10"/>
        </w:rPr>
        <w:t> </w:t>
      </w:r>
      <w:r>
        <w:rPr>
          <w:w w:val="100"/>
        </w:rPr>
        <w:t>分期方案</w:t>
      </w:r>
      <w:r>
        <w:rPr>
          <w:spacing w:val="-10"/>
        </w:rPr>
        <w:t> </w:t>
      </w:r>
      <w:r>
        <w:rPr>
          <w:w w:val="66"/>
        </w:rPr>
        <w:t>A</w:t>
      </w:r>
      <w:r>
        <w:rPr>
          <w:spacing w:val="-13"/>
        </w:rPr>
        <w:t> </w:t>
      </w:r>
      <w:r>
        <w:rPr>
          <w:spacing w:val="-3"/>
          <w:w w:val="100"/>
        </w:rPr>
        <w:t>期程度的慢性淋巴细胞白血病不在保障范围内。</w:t>
      </w:r>
    </w:p>
    <w:p>
      <w:pPr>
        <w:spacing w:line="304" w:lineRule="exact" w:before="0"/>
        <w:ind w:left="318" w:right="0" w:firstLine="0"/>
        <w:jc w:val="left"/>
        <w:rPr>
          <w:rFonts w:ascii="微软雅黑" w:eastAsia="微软雅黑" w:hint="eastAsia"/>
          <w:b/>
          <w:sz w:val="21"/>
        </w:rPr>
      </w:pPr>
      <w:r>
        <w:rPr>
          <w:sz w:val="21"/>
        </w:rPr>
        <w:t>（8）</w:t>
      </w:r>
      <w:r>
        <w:rPr>
          <w:rFonts w:ascii="微软雅黑" w:eastAsia="微软雅黑" w:hint="eastAsia"/>
          <w:b/>
          <w:sz w:val="21"/>
          <w:u w:val="single"/>
        </w:rPr>
        <w:t>脑炎后遗症或脑膜炎后遗症</w:t>
      </w:r>
    </w:p>
    <w:p>
      <w:pPr>
        <w:pStyle w:val="BodyText"/>
        <w:spacing w:line="274" w:lineRule="exact" w:before="11"/>
        <w:ind w:right="202" w:hanging="1"/>
        <w:jc w:val="both"/>
      </w:pPr>
      <w:r>
        <w:rPr>
          <w:spacing w:val="-5"/>
        </w:rPr>
        <w:t>指因患脑炎或脑膜炎导致的神经系统永久性的功能障碍。神经系统永久性的功能障碍，指疾病确诊</w:t>
      </w:r>
      <w:r>
        <w:rPr/>
        <w:t>180</w:t>
      </w:r>
      <w:r>
        <w:rPr>
          <w:spacing w:val="17"/>
        </w:rPr>
        <w:t> 天</w:t>
      </w:r>
      <w:r>
        <w:rPr>
          <w:spacing w:val="-3"/>
        </w:rPr>
        <w:t>后，仍遗留下列一种或一种以上障碍：</w:t>
      </w:r>
    </w:p>
    <w:p>
      <w:pPr>
        <w:pStyle w:val="BodyText"/>
        <w:spacing w:line="244" w:lineRule="exact"/>
        <w:ind w:left="423"/>
      </w:pPr>
      <w:r>
        <w:rPr/>
        <w:t>Ⅰ 一肢或一肢以上肢体机能完全丧失；</w:t>
      </w:r>
    </w:p>
    <w:p>
      <w:pPr>
        <w:pStyle w:val="BodyText"/>
        <w:spacing w:line="272" w:lineRule="exact"/>
        <w:ind w:left="423"/>
      </w:pPr>
      <w:r>
        <w:rPr>
          <w:w w:val="120"/>
        </w:rPr>
        <w:t>" </w:t>
      </w:r>
      <w:r>
        <w:rPr>
          <w:w w:val="105"/>
        </w:rPr>
        <w:t>语言能力或咀嚼吞咽能力完全丧失；</w:t>
      </w:r>
    </w:p>
    <w:p>
      <w:pPr>
        <w:pStyle w:val="BodyText"/>
        <w:spacing w:line="241" w:lineRule="exact"/>
        <w:ind w:left="423"/>
      </w:pPr>
      <w:r>
        <w:rPr/>
        <w:t>Ⅲ 自主生活能力完全丧失，无法独立完成六项基本日常生活活动中的三项或三项以上。</w:t>
      </w:r>
    </w:p>
    <w:p>
      <w:pPr>
        <w:spacing w:line="285" w:lineRule="exact" w:before="0"/>
        <w:ind w:left="212" w:right="0" w:firstLine="0"/>
        <w:jc w:val="both"/>
        <w:rPr>
          <w:rFonts w:ascii="微软雅黑" w:eastAsia="微软雅黑" w:hint="eastAsia"/>
          <w:b/>
          <w:sz w:val="21"/>
        </w:rPr>
      </w:pPr>
      <w:r>
        <w:rPr>
          <w:rFonts w:ascii="Times New Roman" w:eastAsia="Times New Roman"/>
          <w:position w:val="10"/>
          <w:sz w:val="14"/>
        </w:rPr>
        <w:t>7   </w:t>
      </w:r>
      <w:r>
        <w:rPr>
          <w:rFonts w:ascii="微软雅黑" w:eastAsia="微软雅黑" w:hint="eastAsia"/>
          <w:b/>
          <w:sz w:val="21"/>
        </w:rPr>
        <w:t>十二种轻症：</w:t>
      </w:r>
    </w:p>
    <w:p>
      <w:pPr>
        <w:pStyle w:val="Heading3"/>
        <w:spacing w:line="304" w:lineRule="exact"/>
        <w:ind w:left="318"/>
      </w:pPr>
      <w:r>
        <w:rPr>
          <w:rFonts w:ascii="宋体" w:eastAsia="宋体" w:hint="eastAsia"/>
          <w:b w:val="0"/>
        </w:rPr>
        <w:t>（1）</w:t>
      </w:r>
      <w:r>
        <w:rPr>
          <w:u w:val="single"/>
        </w:rPr>
        <w:t>极早期恶性肿瘤或恶性病变</w:t>
      </w:r>
    </w:p>
    <w:p>
      <w:pPr>
        <w:pStyle w:val="BodyText"/>
        <w:spacing w:line="260" w:lineRule="exact"/>
        <w:jc w:val="both"/>
      </w:pPr>
      <w:r>
        <w:rPr/>
        <w:t>指经组织病理学检查被明确诊断为下列恶性病变，并且接受了相应的治疗。</w:t>
      </w:r>
    </w:p>
    <w:p>
      <w:pPr>
        <w:pStyle w:val="BodyText"/>
        <w:spacing w:line="272" w:lineRule="exact"/>
        <w:ind w:left="423"/>
      </w:pPr>
      <w:r>
        <w:rPr/>
        <w:t>Ⅰ 原位癌；</w:t>
      </w:r>
    </w:p>
    <w:p>
      <w:pPr>
        <w:pStyle w:val="BodyText"/>
        <w:spacing w:line="272" w:lineRule="exact"/>
        <w:ind w:left="423"/>
      </w:pPr>
      <w:r>
        <w:rPr>
          <w:w w:val="110"/>
        </w:rPr>
        <w:t>" </w:t>
      </w:r>
      <w:r>
        <w:rPr>
          <w:w w:val="105"/>
        </w:rPr>
        <w:t>相当于Binet分期方案A 期程度的慢性淋巴细胞白血病；</w:t>
      </w:r>
    </w:p>
    <w:p>
      <w:pPr>
        <w:pStyle w:val="BodyText"/>
        <w:spacing w:line="272" w:lineRule="exact"/>
        <w:ind w:left="423"/>
      </w:pPr>
      <w:r>
        <w:rPr/>
        <w:t>Ⅲ 相当于Ann Arbor分期方案I期程度的何杰金氏病；</w:t>
      </w:r>
    </w:p>
    <w:p>
      <w:pPr>
        <w:pStyle w:val="BodyText"/>
        <w:ind w:left="423" w:right="4066" w:hanging="1"/>
      </w:pPr>
      <w:r>
        <w:rPr/>
        <w:t>Ⅳ 皮肤癌（不包括恶性黑色素瘤及已发生转移的皮肤癌）； </w:t>
      </w:r>
      <w:r>
        <w:rPr>
          <w:w w:val="180"/>
          <w:position w:val="1"/>
        </w:rPr>
        <w:t>Ⅴ </w:t>
      </w:r>
      <w:r>
        <w:rPr>
          <w:position w:val="1"/>
        </w:rPr>
        <w:t>TNM分期为T</w:t>
      </w:r>
      <w:r>
        <w:rPr>
          <w:sz w:val="11"/>
        </w:rPr>
        <w:t>1</w:t>
      </w:r>
      <w:r>
        <w:rPr>
          <w:position w:val="1"/>
        </w:rPr>
        <w:t>N</w:t>
      </w:r>
      <w:r>
        <w:rPr>
          <w:sz w:val="11"/>
        </w:rPr>
        <w:t>0</w:t>
      </w:r>
      <w:r>
        <w:rPr>
          <w:position w:val="1"/>
        </w:rPr>
        <w:t>M</w:t>
      </w:r>
      <w:r>
        <w:rPr>
          <w:sz w:val="11"/>
        </w:rPr>
        <w:t>0</w:t>
      </w:r>
      <w:r>
        <w:rPr>
          <w:position w:val="1"/>
        </w:rPr>
        <w:t>期或更轻分期的前列腺癌。</w:t>
      </w:r>
    </w:p>
    <w:p>
      <w:pPr>
        <w:spacing w:line="284" w:lineRule="exact" w:before="1"/>
        <w:ind w:left="318" w:right="0" w:firstLine="0"/>
        <w:jc w:val="left"/>
        <w:rPr>
          <w:rFonts w:ascii="微软雅黑" w:hAnsi="微软雅黑" w:eastAsia="微软雅黑" w:hint="eastAsia"/>
          <w:b/>
          <w:sz w:val="21"/>
        </w:rPr>
      </w:pPr>
      <w:r>
        <w:rPr>
          <w:sz w:val="21"/>
        </w:rPr>
        <w:t>（2）</w:t>
      </w:r>
      <w:r>
        <w:rPr>
          <w:rFonts w:ascii="微软雅黑" w:hAnsi="微软雅黑" w:eastAsia="微软雅黑" w:hint="eastAsia"/>
          <w:b/>
          <w:sz w:val="21"/>
          <w:u w:val="single"/>
        </w:rPr>
        <w:t>较小面积Ⅲ度烧伤</w:t>
      </w:r>
    </w:p>
    <w:p>
      <w:pPr>
        <w:pStyle w:val="BodyText"/>
        <w:spacing w:line="237" w:lineRule="auto"/>
        <w:ind w:right="202"/>
        <w:jc w:val="both"/>
      </w:pPr>
      <w:r>
        <w:rPr/>
        <w:t>指烧</w:t>
      </w:r>
      <w:r>
        <w:rPr>
          <w:spacing w:val="-3"/>
        </w:rPr>
        <w:t>伤</w:t>
      </w:r>
      <w:r>
        <w:rPr/>
        <w:t>程</w:t>
      </w:r>
      <w:r>
        <w:rPr>
          <w:spacing w:val="-3"/>
        </w:rPr>
        <w:t>度</w:t>
      </w:r>
      <w:r>
        <w:rPr/>
        <w:t>为</w:t>
      </w:r>
      <w:r>
        <w:rPr>
          <w:spacing w:val="-3"/>
        </w:rPr>
        <w:t>Ⅲ</w:t>
      </w:r>
      <w:r>
        <w:rPr/>
        <w:t>度</w:t>
      </w:r>
      <w:r>
        <w:rPr>
          <w:spacing w:val="-10"/>
        </w:rPr>
        <w:t>，</w:t>
      </w:r>
      <w:r>
        <w:rPr/>
        <w:t>且</w:t>
      </w:r>
      <w:r>
        <w:rPr>
          <w:spacing w:val="-3"/>
        </w:rPr>
        <w:t>Ⅲ</w:t>
      </w:r>
      <w:r>
        <w:rPr/>
        <w:t>度烧</w:t>
      </w:r>
      <w:r>
        <w:rPr>
          <w:spacing w:val="-3"/>
        </w:rPr>
        <w:t>伤</w:t>
      </w:r>
      <w:r>
        <w:rPr/>
        <w:t>的</w:t>
      </w:r>
      <w:r>
        <w:rPr>
          <w:spacing w:val="-3"/>
        </w:rPr>
        <w:t>面</w:t>
      </w:r>
      <w:r>
        <w:rPr/>
        <w:t>积</w:t>
      </w:r>
      <w:r>
        <w:rPr>
          <w:spacing w:val="-3"/>
        </w:rPr>
        <w:t>达</w:t>
      </w:r>
      <w:r>
        <w:rPr/>
        <w:t>到</w:t>
      </w:r>
      <w:r>
        <w:rPr>
          <w:spacing w:val="-3"/>
        </w:rPr>
        <w:t>全</w:t>
      </w:r>
      <w:r>
        <w:rPr/>
        <w:t>身</w:t>
      </w:r>
      <w:r>
        <w:rPr>
          <w:spacing w:val="-3"/>
        </w:rPr>
        <w:t>体</w:t>
      </w:r>
      <w:r>
        <w:rPr/>
        <w:t>表面</w:t>
      </w:r>
      <w:r>
        <w:rPr>
          <w:spacing w:val="-3"/>
        </w:rPr>
        <w:t>积</w:t>
      </w:r>
      <w:r>
        <w:rPr/>
        <w:t>的</w:t>
      </w:r>
      <w:r>
        <w:rPr>
          <w:spacing w:val="-26"/>
        </w:rPr>
        <w:t> </w:t>
      </w:r>
      <w:r>
        <w:rPr/>
        <w:t>15％但</w:t>
      </w:r>
      <w:r>
        <w:rPr>
          <w:spacing w:val="-3"/>
        </w:rPr>
        <w:t>不</w:t>
      </w:r>
      <w:r>
        <w:rPr/>
        <w:t>足</w:t>
      </w:r>
      <w:r>
        <w:rPr>
          <w:spacing w:val="-53"/>
        </w:rPr>
        <w:t> </w:t>
      </w:r>
      <w:r>
        <w:rPr>
          <w:w w:val="100"/>
        </w:rPr>
        <w:drawing>
          <wp:inline distT="0" distB="0" distL="0" distR="0">
            <wp:extent cx="63499" cy="95250"/>
            <wp:effectExtent l="0" t="0" r="0" b="0"/>
            <wp:docPr id="19" name="image4.png" descr=""/>
            <wp:cNvGraphicFramePr>
              <a:graphicFrameLocks noChangeAspect="1"/>
            </wp:cNvGraphicFramePr>
            <a:graphic>
              <a:graphicData uri="http://schemas.openxmlformats.org/drawingml/2006/picture">
                <pic:pic>
                  <pic:nvPicPr>
                    <pic:cNvPr id="20" name="image4.png"/>
                    <pic:cNvPicPr/>
                  </pic:nvPicPr>
                  <pic:blipFill>
                    <a:blip r:embed="rId12" cstate="print"/>
                    <a:stretch>
                      <a:fillRect/>
                    </a:stretch>
                  </pic:blipFill>
                  <pic:spPr>
                    <a:xfrm>
                      <a:off x="0" y="0"/>
                      <a:ext cx="63499" cy="95250"/>
                    </a:xfrm>
                    <a:prstGeom prst="rect">
                      <a:avLst/>
                    </a:prstGeom>
                  </pic:spPr>
                </pic:pic>
              </a:graphicData>
            </a:graphic>
          </wp:inline>
        </w:drawing>
      </w:r>
      <w:r>
        <w:rPr>
          <w:w w:val="100"/>
        </w:rPr>
      </w:r>
      <w:r>
        <w:rPr>
          <w:spacing w:val="-8"/>
        </w:rPr>
        <w:t>。</w:t>
      </w:r>
      <w:r>
        <w:rPr>
          <w:spacing w:val="-3"/>
        </w:rPr>
        <w:t>体</w:t>
      </w:r>
      <w:r>
        <w:rPr/>
        <w:t>表</w:t>
      </w:r>
      <w:r>
        <w:rPr>
          <w:spacing w:val="-3"/>
        </w:rPr>
        <w:t>面</w:t>
      </w:r>
      <w:r>
        <w:rPr/>
        <w:t>积</w:t>
      </w:r>
      <w:r>
        <w:rPr>
          <w:spacing w:val="-3"/>
        </w:rPr>
        <w:t>根</w:t>
      </w:r>
      <w:r>
        <w:rPr>
          <w:spacing w:val="-8"/>
        </w:rPr>
        <w:t>据</w:t>
      </w:r>
      <w:r>
        <w:rPr>
          <w:spacing w:val="-3"/>
        </w:rPr>
        <w:t>《</w:t>
      </w:r>
      <w:r>
        <w:rPr/>
        <w:t>中</w:t>
      </w:r>
      <w:r>
        <w:rPr>
          <w:spacing w:val="-3"/>
        </w:rPr>
        <w:t>国新</w:t>
      </w:r>
      <w:r>
        <w:rPr/>
        <w:t>九分 </w:t>
      </w:r>
      <w:r>
        <w:rPr>
          <w:spacing w:val="-1"/>
        </w:rPr>
        <w:t>法》计算。</w:t>
      </w:r>
    </w:p>
    <w:p>
      <w:pPr>
        <w:spacing w:line="285" w:lineRule="exact" w:before="11"/>
        <w:ind w:left="318" w:right="0" w:firstLine="0"/>
        <w:jc w:val="left"/>
        <w:rPr>
          <w:rFonts w:ascii="微软雅黑" w:eastAsia="微软雅黑" w:hint="eastAsia"/>
          <w:b/>
          <w:sz w:val="21"/>
        </w:rPr>
      </w:pPr>
      <w:r>
        <w:rPr>
          <w:sz w:val="21"/>
        </w:rPr>
        <w:t>（3）</w:t>
      </w:r>
      <w:r>
        <w:rPr>
          <w:rFonts w:ascii="微软雅黑" w:eastAsia="微软雅黑" w:hint="eastAsia"/>
          <w:b/>
          <w:sz w:val="21"/>
          <w:u w:val="single"/>
        </w:rPr>
        <w:t>轻微脑中风</w:t>
      </w:r>
    </w:p>
    <w:p>
      <w:pPr>
        <w:pStyle w:val="BodyText"/>
        <w:spacing w:line="237" w:lineRule="auto"/>
        <w:ind w:right="202" w:hanging="1"/>
        <w:jc w:val="both"/>
      </w:pPr>
      <w:r>
        <w:rPr>
          <w:w w:val="100"/>
        </w:rPr>
        <w:t>实际发生了脑血管的突发病变出现神经系统功能障碍表现，并接受住院治疗，头颅断层扫描</w:t>
      </w:r>
      <w:r>
        <w:rPr>
          <w:spacing w:val="1"/>
          <w:w w:val="100"/>
        </w:rPr>
        <w:t>（</w:t>
      </w:r>
      <w:r>
        <w:rPr>
          <w:spacing w:val="-3"/>
          <w:w w:val="100"/>
        </w:rPr>
        <w:t>C</w:t>
      </w:r>
      <w:r>
        <w:rPr>
          <w:spacing w:val="1"/>
          <w:w w:val="100"/>
        </w:rPr>
        <w:t>T</w:t>
      </w:r>
      <w:r>
        <w:rPr>
          <w:spacing w:val="-106"/>
          <w:w w:val="100"/>
        </w:rPr>
        <w:t>）</w:t>
      </w:r>
      <w:r>
        <w:rPr>
          <w:w w:val="100"/>
        </w:rPr>
        <w:t>、核磁</w:t>
      </w:r>
      <w:r>
        <w:rPr/>
        <w:t>共振（MRI）</w:t>
      </w:r>
      <w:r>
        <w:rPr>
          <w:spacing w:val="-3"/>
        </w:rPr>
        <w:t>等影像学检查证实存在对应病灶，确诊为脑出血、脑栓塞或脑梗塞，在确诊 </w:t>
      </w:r>
      <w:r>
        <w:rPr/>
        <w:t>180</w:t>
      </w:r>
      <w:r>
        <w:rPr>
          <w:spacing w:val="-1"/>
        </w:rPr>
        <w:t> 天后仍然遗</w:t>
      </w:r>
      <w:r>
        <w:rPr>
          <w:spacing w:val="-6"/>
        </w:rPr>
        <w:t>留一肢或一肢以上肢体肌力Ⅲ级或Ⅲ级以下的运动功能障碍，但尚未达到重大疾病“脑中风后遗症”的给</w:t>
      </w:r>
      <w:r>
        <w:rPr>
          <w:spacing w:val="-4"/>
        </w:rPr>
        <w:t>付标准。</w:t>
      </w:r>
    </w:p>
    <w:p>
      <w:pPr>
        <w:pStyle w:val="Heading3"/>
        <w:spacing w:line="283" w:lineRule="exact" w:before="11"/>
        <w:ind w:left="318"/>
      </w:pPr>
      <w:r>
        <w:rPr>
          <w:rFonts w:ascii="宋体" w:eastAsia="宋体" w:hint="eastAsia"/>
          <w:b w:val="0"/>
        </w:rPr>
        <w:t>（4）</w:t>
      </w:r>
      <w:r>
        <w:rPr>
          <w:u w:val="single"/>
        </w:rPr>
        <w:t>冠状动脉介入手术（非开胸手术）</w:t>
      </w:r>
    </w:p>
    <w:p>
      <w:pPr>
        <w:pStyle w:val="BodyText"/>
        <w:spacing w:line="237" w:lineRule="auto"/>
        <w:ind w:right="202"/>
        <w:jc w:val="both"/>
      </w:pPr>
      <w:r>
        <w:rPr>
          <w:spacing w:val="-6"/>
        </w:rPr>
        <w:t>为了治疗明显的冠状动脉狭窄性疾病，首次实际实施了冠状动脉球囊扩张成形术、冠状脉支架植入术、冠</w:t>
      </w:r>
      <w:r>
        <w:rPr>
          <w:spacing w:val="-5"/>
        </w:rPr>
        <w:t>状动脉粥肿斑块切除术或激光冠状动脉成形术。如果被保险人在冠状动脉介入治疗时发生不典型的急性心</w:t>
      </w:r>
      <w:r>
        <w:rPr>
          <w:spacing w:val="-8"/>
        </w:rPr>
        <w:t>肌梗塞，本合同只给予在本疾病项下的理赔，不再给予不典型的急性心肌梗塞理赔。理赔后不典型的急性</w:t>
      </w:r>
      <w:r>
        <w:rPr>
          <w:spacing w:val="-5"/>
        </w:rPr>
        <w:t>心肌梗塞和冠状动脉介入手术保障同时终止。</w:t>
      </w:r>
    </w:p>
    <w:p>
      <w:pPr>
        <w:pStyle w:val="Heading3"/>
        <w:spacing w:line="283" w:lineRule="exact" w:before="11"/>
        <w:ind w:left="318"/>
      </w:pPr>
      <w:r>
        <w:rPr>
          <w:rFonts w:ascii="宋体" w:eastAsia="宋体" w:hint="eastAsia"/>
          <w:b w:val="0"/>
        </w:rPr>
        <w:t>（5）</w:t>
      </w:r>
      <w:r>
        <w:rPr>
          <w:u w:val="single"/>
        </w:rPr>
        <w:t>心脏瓣膜介入手术（非开胸手术）</w:t>
      </w:r>
    </w:p>
    <w:p>
      <w:pPr>
        <w:pStyle w:val="BodyText"/>
        <w:spacing w:line="237" w:lineRule="auto"/>
        <w:ind w:right="202"/>
        <w:jc w:val="both"/>
      </w:pPr>
      <w:r>
        <w:rPr>
          <w:spacing w:val="-5"/>
        </w:rPr>
        <w:t>为了治疗心脏瓣膜疾病，实际实施了非开胸的经胸壁打孔内镜手术或经皮经导管介入手术进行的心脏瓣膜</w:t>
      </w:r>
      <w:r>
        <w:rPr>
          <w:spacing w:val="-4"/>
        </w:rPr>
        <w:t>置换或修复手术。</w:t>
      </w:r>
    </w:p>
    <w:p>
      <w:pPr>
        <w:spacing w:line="285" w:lineRule="exact" w:before="10"/>
        <w:ind w:left="318" w:right="0" w:firstLine="0"/>
        <w:jc w:val="left"/>
        <w:rPr>
          <w:rFonts w:ascii="微软雅黑" w:eastAsia="微软雅黑" w:hint="eastAsia"/>
          <w:b/>
          <w:sz w:val="21"/>
        </w:rPr>
      </w:pPr>
      <w:r>
        <w:rPr>
          <w:sz w:val="21"/>
        </w:rPr>
        <w:t>（6）</w:t>
      </w:r>
      <w:r>
        <w:rPr>
          <w:rFonts w:ascii="微软雅黑" w:eastAsia="微软雅黑" w:hint="eastAsia"/>
          <w:b/>
          <w:sz w:val="21"/>
          <w:u w:val="single"/>
        </w:rPr>
        <w:t>视力严重受损</w:t>
      </w:r>
    </w:p>
    <w:p>
      <w:pPr>
        <w:pStyle w:val="BodyText"/>
        <w:spacing w:line="274" w:lineRule="exact" w:before="11"/>
        <w:ind w:right="202" w:hanging="1"/>
        <w:jc w:val="both"/>
      </w:pPr>
      <w:r>
        <w:rPr>
          <w:spacing w:val="-5"/>
        </w:rPr>
        <w:t>指因疾病或意外伤害导致双目视力永久不可逆性丧失，虽然未达到重大疾病“双目失明”的给付标准，但</w:t>
      </w:r>
      <w:r>
        <w:rPr>
          <w:spacing w:val="-4"/>
        </w:rPr>
        <w:t>满足下列全部条件：</w:t>
      </w:r>
    </w:p>
    <w:p>
      <w:pPr>
        <w:pStyle w:val="BodyText"/>
        <w:spacing w:line="245" w:lineRule="exact"/>
        <w:ind w:left="424"/>
      </w:pPr>
      <w:r>
        <w:rPr>
          <w:w w:val="100"/>
        </w:rPr>
        <w:t>Ⅰ</w:t>
      </w:r>
      <w:r>
        <w:rPr/>
        <w:t> </w:t>
      </w:r>
      <w:r>
        <w:rPr>
          <w:spacing w:val="-3"/>
          <w:w w:val="100"/>
        </w:rPr>
        <w:t>双眼中较好眼矫正视力低于</w:t>
      </w:r>
      <w:r>
        <w:rPr>
          <w:spacing w:val="-53"/>
        </w:rPr>
        <w:t> </w:t>
      </w:r>
      <w:r>
        <w:rPr>
          <w:spacing w:val="-3"/>
          <w:w w:val="100"/>
        </w:rPr>
        <w:t>0</w:t>
      </w:r>
      <w:r>
        <w:rPr>
          <w:w w:val="100"/>
        </w:rPr>
        <w:t>.1</w:t>
      </w:r>
      <w:r>
        <w:rPr>
          <w:spacing w:val="-3"/>
          <w:w w:val="100"/>
        </w:rPr>
        <w:t>（采用国际标准视力表，如果使用其他视力表应进行换算</w:t>
      </w:r>
      <w:r>
        <w:rPr>
          <w:spacing w:val="-106"/>
          <w:w w:val="100"/>
        </w:rPr>
        <w:t>）</w:t>
      </w:r>
      <w:r>
        <w:rPr>
          <w:w w:val="100"/>
        </w:rPr>
        <w:t>；</w:t>
      </w:r>
    </w:p>
    <w:p>
      <w:pPr>
        <w:pStyle w:val="BodyText"/>
        <w:spacing w:line="241" w:lineRule="exact"/>
        <w:ind w:left="424"/>
      </w:pPr>
      <w:r>
        <w:rPr>
          <w:spacing w:val="-73"/>
          <w:w w:val="180"/>
        </w:rPr>
        <w:t>" </w:t>
      </w:r>
      <w:r>
        <w:rPr>
          <w:spacing w:val="-10"/>
          <w:w w:val="105"/>
        </w:rPr>
        <w:t>双眼中较好眼视野半径小于 </w:t>
      </w:r>
      <w:r>
        <w:rPr>
          <w:w w:val="105"/>
        </w:rPr>
        <w:t>20</w:t>
      </w:r>
      <w:r>
        <w:rPr>
          <w:spacing w:val="-31"/>
          <w:w w:val="105"/>
        </w:rPr>
        <w:t> 度。</w:t>
      </w:r>
    </w:p>
    <w:p>
      <w:pPr>
        <w:pStyle w:val="Heading3"/>
        <w:spacing w:line="285" w:lineRule="exact"/>
        <w:jc w:val="both"/>
      </w:pPr>
      <w:r>
        <w:rPr/>
        <w:t>申请理赔时，被保险人年龄必须在 3 周岁以上，并且须提供理赔当时的视力丧失诊断及检查证据。</w:t>
      </w:r>
    </w:p>
    <w:p>
      <w:pPr>
        <w:spacing w:line="304" w:lineRule="exact" w:before="0"/>
        <w:ind w:left="318" w:right="0" w:firstLine="0"/>
        <w:jc w:val="left"/>
        <w:rPr>
          <w:rFonts w:ascii="微软雅黑" w:eastAsia="微软雅黑" w:hint="eastAsia"/>
          <w:b/>
          <w:sz w:val="21"/>
        </w:rPr>
      </w:pPr>
      <w:r>
        <w:rPr>
          <w:sz w:val="21"/>
        </w:rPr>
        <w:t>（7）</w:t>
      </w:r>
      <w:r>
        <w:rPr>
          <w:rFonts w:ascii="微软雅黑" w:eastAsia="微软雅黑" w:hint="eastAsia"/>
          <w:b/>
          <w:sz w:val="21"/>
          <w:u w:val="single"/>
        </w:rPr>
        <w:t>主动脉内手术（非开胸手术）</w:t>
      </w:r>
    </w:p>
    <w:p>
      <w:pPr>
        <w:pStyle w:val="BodyText"/>
        <w:spacing w:line="274" w:lineRule="exact" w:before="11"/>
        <w:ind w:right="202" w:hanging="1"/>
        <w:jc w:val="both"/>
      </w:pPr>
      <w:r>
        <w:rPr>
          <w:spacing w:val="-5"/>
        </w:rPr>
        <w:t>为了治疗主动脉疾病实际实施了经皮经导管进行的动脉内手术。主动脉指胸主动脉和腹主动脉，不包括胸</w:t>
      </w:r>
      <w:r>
        <w:rPr>
          <w:spacing w:val="-4"/>
        </w:rPr>
        <w:t>主动脉和腹主动脉的分支血管。</w:t>
      </w:r>
    </w:p>
    <w:p>
      <w:pPr>
        <w:pStyle w:val="Heading3"/>
        <w:spacing w:line="258" w:lineRule="exact"/>
        <w:ind w:left="318"/>
      </w:pPr>
      <w:r>
        <w:rPr>
          <w:rFonts w:ascii="宋体" w:eastAsia="宋体" w:hint="eastAsia"/>
          <w:b w:val="0"/>
        </w:rPr>
        <w:t>（8）</w:t>
      </w:r>
      <w:r>
        <w:rPr>
          <w:u w:val="single"/>
        </w:rPr>
        <w:t>脑垂体瘤、脑囊肿、脑动脉瘤及脑血管瘤</w:t>
      </w:r>
    </w:p>
    <w:p>
      <w:pPr>
        <w:pStyle w:val="BodyText"/>
        <w:spacing w:line="237" w:lineRule="auto"/>
        <w:ind w:right="204"/>
        <w:jc w:val="both"/>
      </w:pPr>
      <w:r>
        <w:rPr>
          <w:spacing w:val="-4"/>
          <w:w w:val="100"/>
        </w:rPr>
        <w:t>指经头颅断层扫描</w:t>
      </w:r>
      <w:r>
        <w:rPr>
          <w:spacing w:val="-3"/>
          <w:w w:val="100"/>
        </w:rPr>
        <w:t>（</w:t>
      </w:r>
      <w:r>
        <w:rPr>
          <w:w w:val="100"/>
        </w:rPr>
        <w:t>CT</w:t>
      </w:r>
      <w:r>
        <w:rPr>
          <w:spacing w:val="-106"/>
          <w:w w:val="100"/>
        </w:rPr>
        <w:t>）</w:t>
      </w:r>
      <w:r>
        <w:rPr>
          <w:spacing w:val="-4"/>
          <w:w w:val="100"/>
        </w:rPr>
        <w:t>、核磁共振</w:t>
      </w:r>
      <w:r>
        <w:rPr>
          <w:spacing w:val="-3"/>
          <w:w w:val="100"/>
        </w:rPr>
        <w:t>（</w:t>
      </w:r>
      <w:r>
        <w:rPr>
          <w:w w:val="100"/>
        </w:rPr>
        <w:t>MRI</w:t>
      </w:r>
      <w:r>
        <w:rPr>
          <w:spacing w:val="-8"/>
          <w:w w:val="100"/>
        </w:rPr>
        <w:t>）</w:t>
      </w:r>
      <w:r>
        <w:rPr>
          <w:spacing w:val="-4"/>
          <w:w w:val="100"/>
        </w:rPr>
        <w:t>或其他影像学检查被确诊为下列病变，并实际接受了手术或放</w:t>
      </w:r>
      <w:r>
        <w:rPr>
          <w:spacing w:val="-3"/>
        </w:rPr>
        <w:t>射治疗。</w:t>
      </w:r>
    </w:p>
    <w:p>
      <w:pPr>
        <w:pStyle w:val="BodyText"/>
        <w:spacing w:line="272" w:lineRule="exact" w:before="10"/>
        <w:ind w:left="423"/>
      </w:pPr>
      <w:r>
        <w:rPr/>
        <w:t>Ⅰ 脑垂体瘤；</w:t>
      </w:r>
    </w:p>
    <w:p>
      <w:pPr>
        <w:pStyle w:val="BodyText"/>
        <w:spacing w:line="272" w:lineRule="exact"/>
        <w:ind w:left="423"/>
      </w:pPr>
      <w:r>
        <w:rPr>
          <w:spacing w:val="-77"/>
          <w:w w:val="185"/>
        </w:rPr>
        <w:t>" </w:t>
      </w:r>
      <w:r>
        <w:rPr>
          <w:spacing w:val="-3"/>
          <w:w w:val="110"/>
        </w:rPr>
        <w:t>脑囊肿；</w:t>
      </w:r>
    </w:p>
    <w:p>
      <w:pPr>
        <w:pStyle w:val="BodyText"/>
        <w:spacing w:line="241" w:lineRule="exact"/>
        <w:ind w:left="423"/>
      </w:pPr>
      <w:r>
        <w:rPr/>
        <w:t>Ⅲ 脑动脉瘤、脑血管瘤。</w:t>
      </w:r>
    </w:p>
    <w:p>
      <w:pPr>
        <w:spacing w:line="316" w:lineRule="exact" w:before="0"/>
        <w:ind w:left="318" w:right="0" w:firstLine="0"/>
        <w:jc w:val="left"/>
        <w:rPr>
          <w:rFonts w:ascii="微软雅黑" w:eastAsia="微软雅黑" w:hint="eastAsia"/>
          <w:b/>
          <w:sz w:val="21"/>
        </w:rPr>
      </w:pPr>
      <w:r>
        <w:rPr>
          <w:sz w:val="21"/>
        </w:rPr>
        <w:t>（9）</w:t>
      </w:r>
      <w:r>
        <w:rPr>
          <w:rFonts w:ascii="微软雅黑" w:eastAsia="微软雅黑" w:hint="eastAsia"/>
          <w:b/>
          <w:sz w:val="21"/>
          <w:u w:val="single"/>
        </w:rPr>
        <w:t>不典型心肌梗塞</w:t>
      </w:r>
    </w:p>
    <w:p>
      <w:pPr>
        <w:pStyle w:val="BodyText"/>
        <w:spacing w:line="237" w:lineRule="auto"/>
        <w:ind w:right="202" w:hanging="1"/>
        <w:jc w:val="both"/>
      </w:pPr>
      <w:r>
        <w:rPr>
          <w:spacing w:val="-5"/>
        </w:rPr>
        <w:t>指被临床诊断为急性心肌梗塞并接受了急性心肌梗塞治疗虽然未达到重大疾病“急性心肌梗塞”的给付标</w:t>
      </w:r>
      <w:r>
        <w:rPr>
          <w:spacing w:val="-4"/>
        </w:rPr>
        <w:t>准，但满足下列全部条件：</w:t>
      </w:r>
    </w:p>
    <w:p>
      <w:pPr>
        <w:pStyle w:val="BodyText"/>
        <w:spacing w:line="271" w:lineRule="exact" w:before="10"/>
        <w:ind w:left="424"/>
      </w:pPr>
      <w:r>
        <w:rPr/>
        <w:t>Ⅰ 肌钙蛋白有诊断意义的升高；</w:t>
      </w:r>
    </w:p>
    <w:p>
      <w:pPr>
        <w:pStyle w:val="BodyText"/>
        <w:spacing w:line="241" w:lineRule="exact"/>
        <w:ind w:left="424"/>
      </w:pPr>
      <w:r>
        <w:rPr>
          <w:spacing w:val="-71"/>
          <w:w w:val="180"/>
        </w:rPr>
        <w:t>" </w:t>
      </w:r>
      <w:r>
        <w:rPr>
          <w:spacing w:val="-13"/>
          <w:w w:val="105"/>
        </w:rPr>
        <w:t>心电图有损伤性的 </w:t>
      </w:r>
      <w:r>
        <w:rPr>
          <w:w w:val="105"/>
        </w:rPr>
        <w:t>ST</w:t>
      </w:r>
      <w:r>
        <w:rPr>
          <w:spacing w:val="-20"/>
          <w:w w:val="105"/>
        </w:rPr>
        <w:t> 段改变但未出现病理 </w:t>
      </w:r>
      <w:r>
        <w:rPr>
          <w:w w:val="105"/>
        </w:rPr>
        <w:t>Q</w:t>
      </w:r>
      <w:r>
        <w:rPr>
          <w:spacing w:val="-30"/>
          <w:w w:val="105"/>
        </w:rPr>
        <w:t> 波。</w:t>
      </w:r>
    </w:p>
    <w:p>
      <w:pPr>
        <w:pStyle w:val="Heading3"/>
        <w:spacing w:line="180" w:lineRule="auto" w:before="58"/>
        <w:ind w:right="209"/>
        <w:jc w:val="both"/>
      </w:pPr>
      <w:r>
        <w:rPr>
          <w:spacing w:val="-5"/>
        </w:rPr>
        <w:t>如果被保险人在出现不典型的急性心肌梗塞以后接受冠状动脉介入手术治疗，我们仅就其中一种疾病给付轻症疾病保险金。</w:t>
      </w:r>
    </w:p>
    <w:p>
      <w:pPr>
        <w:spacing w:after="0" w:line="180" w:lineRule="auto"/>
        <w:jc w:val="both"/>
        <w:sectPr>
          <w:pgSz w:w="11900" w:h="16840"/>
          <w:pgMar w:header="895" w:footer="547" w:top="1080" w:bottom="740" w:left="920" w:right="920"/>
        </w:sectPr>
      </w:pPr>
    </w:p>
    <w:p>
      <w:pPr>
        <w:pStyle w:val="BodyText"/>
        <w:spacing w:before="14"/>
        <w:ind w:left="0"/>
        <w:rPr>
          <w:rFonts w:ascii="微软雅黑"/>
          <w:b/>
          <w:sz w:val="9"/>
        </w:rPr>
      </w:pPr>
    </w:p>
    <w:p>
      <w:pPr>
        <w:pStyle w:val="BodyText"/>
        <w:spacing w:line="20" w:lineRule="exact"/>
        <w:ind w:left="207"/>
        <w:rPr>
          <w:rFonts w:ascii="微软雅黑"/>
          <w:sz w:val="2"/>
        </w:rPr>
      </w:pPr>
      <w:r>
        <w:rPr>
          <w:rFonts w:ascii="Times New Roman"/>
          <w:spacing w:val="5"/>
          <w:sz w:val="2"/>
        </w:rPr>
        <w:t> </w:t>
      </w:r>
      <w:r>
        <w:rPr>
          <w:rFonts w:ascii="微软雅黑"/>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rFonts w:ascii="微软雅黑"/>
          <w:spacing w:val="5"/>
          <w:sz w:val="2"/>
        </w:rPr>
      </w:r>
    </w:p>
    <w:p>
      <w:pPr>
        <w:spacing w:line="341" w:lineRule="exact" w:before="0"/>
        <w:ind w:left="318" w:right="0" w:firstLine="0"/>
        <w:jc w:val="left"/>
        <w:rPr>
          <w:rFonts w:ascii="微软雅黑" w:eastAsia="微软雅黑" w:hint="eastAsia"/>
          <w:b/>
          <w:sz w:val="21"/>
        </w:rPr>
      </w:pPr>
      <w:r>
        <w:rPr>
          <w:sz w:val="21"/>
        </w:rPr>
        <w:t>（10）</w:t>
      </w:r>
      <w:r>
        <w:rPr>
          <w:rFonts w:ascii="微软雅黑" w:eastAsia="微软雅黑" w:hint="eastAsia"/>
          <w:b/>
          <w:sz w:val="21"/>
          <w:u w:val="single"/>
        </w:rPr>
        <w:t>重度头部外伤</w:t>
      </w:r>
    </w:p>
    <w:p>
      <w:pPr>
        <w:pStyle w:val="BodyText"/>
        <w:spacing w:line="260" w:lineRule="exact"/>
      </w:pPr>
      <w:r>
        <w:rPr/>
        <w:t>指因头部遭受机械性外力，引起脑重要部位损伤，导致神经系统永久性的功能障碍。须由头颅断层扫描</w:t>
      </w:r>
    </w:p>
    <w:p>
      <w:pPr>
        <w:pStyle w:val="BodyText"/>
        <w:spacing w:line="237" w:lineRule="auto" w:before="1"/>
        <w:ind w:right="202"/>
        <w:jc w:val="both"/>
      </w:pPr>
      <w:r>
        <w:rPr>
          <w:spacing w:val="1"/>
          <w:w w:val="100"/>
        </w:rPr>
        <w:t>（</w:t>
      </w:r>
      <w:r>
        <w:rPr>
          <w:w w:val="100"/>
        </w:rPr>
        <w:t>CT</w:t>
      </w:r>
      <w:r>
        <w:rPr>
          <w:spacing w:val="-106"/>
          <w:w w:val="100"/>
        </w:rPr>
        <w:t>）</w:t>
      </w:r>
      <w:r>
        <w:rPr>
          <w:w w:val="100"/>
        </w:rPr>
        <w:t>、核磁共振检查</w:t>
      </w:r>
      <w:r>
        <w:rPr>
          <w:spacing w:val="1"/>
          <w:w w:val="100"/>
        </w:rPr>
        <w:t>（</w:t>
      </w:r>
      <w:r>
        <w:rPr>
          <w:w w:val="100"/>
        </w:rPr>
        <w:t>M</w:t>
      </w:r>
      <w:r>
        <w:rPr>
          <w:spacing w:val="-3"/>
          <w:w w:val="100"/>
        </w:rPr>
        <w:t>R</w:t>
      </w:r>
      <w:r>
        <w:rPr>
          <w:spacing w:val="1"/>
          <w:w w:val="100"/>
        </w:rPr>
        <w:t>I</w:t>
      </w:r>
      <w:r>
        <w:rPr>
          <w:w w:val="100"/>
        </w:rPr>
        <w:t>）或正电子发射断层扫描</w:t>
      </w:r>
      <w:r>
        <w:rPr>
          <w:spacing w:val="1"/>
          <w:w w:val="100"/>
        </w:rPr>
        <w:t>（</w:t>
      </w:r>
      <w:r>
        <w:rPr>
          <w:w w:val="100"/>
        </w:rPr>
        <w:t>P</w:t>
      </w:r>
      <w:r>
        <w:rPr>
          <w:spacing w:val="-3"/>
          <w:w w:val="100"/>
        </w:rPr>
        <w:t>E</w:t>
      </w:r>
      <w:r>
        <w:rPr>
          <w:spacing w:val="1"/>
          <w:w w:val="100"/>
        </w:rPr>
        <w:t>T</w:t>
      </w:r>
      <w:r>
        <w:rPr>
          <w:w w:val="100"/>
        </w:rPr>
        <w:t>）等影像学检查证实。神经系统永久性的功能</w:t>
      </w:r>
      <w:r>
        <w:rPr>
          <w:spacing w:val="-8"/>
        </w:rPr>
        <w:t>障碍，指脑损伤 </w:t>
      </w:r>
      <w:r>
        <w:rPr/>
        <w:t>180</w:t>
      </w:r>
      <w:r>
        <w:rPr>
          <w:spacing w:val="-9"/>
        </w:rPr>
        <w:t> 天后，仍完全丧失自主生活能力，无法独立完成六项基本日常生活活动中的二项或以</w:t>
      </w:r>
      <w:r>
        <w:rPr>
          <w:spacing w:val="-5"/>
        </w:rPr>
        <w:t>上，但尚未达到重大疾病“严重脑损伤”的给付标准。</w:t>
      </w:r>
    </w:p>
    <w:p>
      <w:pPr>
        <w:pStyle w:val="Heading3"/>
        <w:spacing w:line="283" w:lineRule="exact"/>
        <w:ind w:left="318"/>
      </w:pPr>
      <w:r>
        <w:rPr>
          <w:rFonts w:ascii="宋体" w:eastAsia="宋体" w:hint="eastAsia"/>
          <w:b w:val="0"/>
        </w:rPr>
        <w:t>（11）</w:t>
      </w:r>
      <w:r>
        <w:rPr>
          <w:u w:val="single"/>
        </w:rPr>
        <w:t>糖尿病（至少已发生一项或以上合同约定的并发症）</w:t>
      </w:r>
    </w:p>
    <w:p>
      <w:pPr>
        <w:pStyle w:val="BodyText"/>
        <w:spacing w:line="260" w:lineRule="exact"/>
      </w:pPr>
      <w:r>
        <w:rPr/>
        <w:t>指被保险人被确诊为糖尿病，并且出现以下任意一项并发症：</w:t>
      </w:r>
    </w:p>
    <w:p>
      <w:pPr>
        <w:pStyle w:val="BodyText"/>
        <w:spacing w:line="272" w:lineRule="exact"/>
        <w:ind w:left="423"/>
      </w:pPr>
      <w:r>
        <w:rPr/>
        <w:t>Ⅰ 糖尿病导致肢体坏疽，并实施了脚趾切除手术；</w:t>
      </w:r>
    </w:p>
    <w:p>
      <w:pPr>
        <w:pStyle w:val="BodyText"/>
        <w:spacing w:line="237" w:lineRule="auto" w:before="2"/>
        <w:ind w:right="204" w:firstLine="211"/>
      </w:pPr>
      <w:r>
        <w:rPr>
          <w:spacing w:val="-27"/>
          <w:w w:val="170"/>
        </w:rPr>
        <w:t>" </w:t>
      </w:r>
      <w:r>
        <w:rPr>
          <w:spacing w:val="-15"/>
        </w:rPr>
        <w:t>糖尿病导致糖尿病肾病，出现持续 </w:t>
      </w:r>
      <w:r>
        <w:rPr/>
        <w:t>180</w:t>
      </w:r>
      <w:r>
        <w:rPr>
          <w:spacing w:val="-15"/>
        </w:rPr>
        <w:t> 天以上的血肌酐值大于 </w:t>
      </w:r>
      <w:r>
        <w:rPr/>
        <w:t>450umol/L</w:t>
      </w:r>
      <w:r>
        <w:rPr>
          <w:spacing w:val="-15"/>
        </w:rPr>
        <w:t> 或肌酐清除率小于 </w:t>
      </w:r>
      <w:r>
        <w:rPr/>
        <w:t>20ml/min </w:t>
      </w:r>
      <w:r>
        <w:rPr>
          <w:spacing w:val="-3"/>
        </w:rPr>
        <w:t>或肾小球滤过率</w:t>
      </w:r>
      <w:r>
        <w:rPr>
          <w:spacing w:val="-1"/>
        </w:rPr>
        <w:t>（GFR）&lt;25ml/min</w:t>
      </w:r>
      <w:r>
        <w:rPr/>
        <w:t>。</w:t>
      </w:r>
    </w:p>
    <w:p>
      <w:pPr>
        <w:spacing w:line="285" w:lineRule="exact" w:before="0"/>
        <w:ind w:left="318" w:right="0" w:firstLine="0"/>
        <w:jc w:val="left"/>
        <w:rPr>
          <w:rFonts w:ascii="微软雅黑" w:eastAsia="微软雅黑" w:hint="eastAsia"/>
          <w:b/>
          <w:sz w:val="21"/>
        </w:rPr>
      </w:pPr>
      <w:r>
        <w:rPr>
          <w:sz w:val="21"/>
        </w:rPr>
        <w:t>（12）</w:t>
      </w:r>
      <w:r>
        <w:rPr>
          <w:rFonts w:ascii="微软雅黑" w:eastAsia="微软雅黑" w:hint="eastAsia"/>
          <w:b/>
          <w:sz w:val="21"/>
          <w:u w:val="single"/>
        </w:rPr>
        <w:t>轻度颅脑手术</w:t>
      </w:r>
    </w:p>
    <w:p>
      <w:pPr>
        <w:pStyle w:val="BodyText"/>
        <w:spacing w:line="274" w:lineRule="exact" w:before="11"/>
        <w:ind w:right="202"/>
        <w:jc w:val="both"/>
      </w:pPr>
      <w:r>
        <w:rPr>
          <w:spacing w:val="-4"/>
        </w:rPr>
        <w:t>被保险人确已实施全麻下的颅骨钻孔手术或经鼻蝶窦入颅手术。因外伤而实施的脑外科手术不在保障范围内。</w:t>
      </w:r>
    </w:p>
    <w:p>
      <w:pPr>
        <w:pStyle w:val="BodyText"/>
        <w:spacing w:line="293" w:lineRule="exact"/>
        <w:jc w:val="both"/>
      </w:pPr>
      <w:r>
        <w:rPr>
          <w:rFonts w:ascii="Times New Roman" w:eastAsia="Times New Roman"/>
          <w:position w:val="10"/>
          <w:sz w:val="14"/>
        </w:rPr>
        <w:t>8</w:t>
      </w:r>
      <w:r>
        <w:rPr>
          <w:rFonts w:ascii="Times New Roman" w:eastAsia="Times New Roman"/>
          <w:spacing w:val="2"/>
          <w:position w:val="10"/>
          <w:sz w:val="14"/>
        </w:rPr>
        <w:t>    </w:t>
      </w:r>
      <w:r>
        <w:rPr>
          <w:rFonts w:ascii="微软雅黑" w:eastAsia="微软雅黑" w:hint="eastAsia"/>
          <w:b/>
        </w:rPr>
        <w:t>毒品</w:t>
      </w:r>
      <w:r>
        <w:rPr>
          <w:spacing w:val="-8"/>
        </w:rPr>
        <w:t>：指中华人民共和国刑法规定的鸦片、海洛因、甲基苯丙胺</w:t>
      </w:r>
      <w:r>
        <w:rPr/>
        <w:t>（</w:t>
      </w:r>
      <w:r>
        <w:rPr>
          <w:spacing w:val="-2"/>
        </w:rPr>
        <w:t>冰毒</w:t>
      </w:r>
      <w:r>
        <w:rPr>
          <w:spacing w:val="-106"/>
        </w:rPr>
        <w:t>）</w:t>
      </w:r>
      <w:r>
        <w:rPr>
          <w:spacing w:val="-8"/>
        </w:rPr>
        <w:t>、吗啡、大麻、可卡因以及国家</w:t>
      </w:r>
    </w:p>
    <w:p>
      <w:pPr>
        <w:pStyle w:val="BodyText"/>
        <w:spacing w:line="273" w:lineRule="auto" w:before="12"/>
        <w:ind w:right="202"/>
        <w:jc w:val="both"/>
      </w:pPr>
      <w:r>
        <w:rPr>
          <w:spacing w:val="-4"/>
        </w:rPr>
        <w:t>规定管制的其他能够使人形成瘾癖的麻醉药品和精神药品，但不包括由医生开具并遵医嘱使用的用于治疗</w:t>
      </w:r>
      <w:r>
        <w:rPr>
          <w:spacing w:val="-3"/>
        </w:rPr>
        <w:t>疾病但含有毒品成分的处方药品。</w:t>
      </w:r>
    </w:p>
    <w:p>
      <w:pPr>
        <w:pStyle w:val="BodyText"/>
        <w:spacing w:line="312" w:lineRule="exact" w:before="3"/>
        <w:ind w:right="211" w:hanging="1"/>
        <w:jc w:val="both"/>
      </w:pPr>
      <w:r>
        <w:rPr>
          <w:rFonts w:ascii="Times New Roman" w:eastAsia="Times New Roman"/>
          <w:position w:val="10"/>
          <w:sz w:val="14"/>
        </w:rPr>
        <w:t>9 </w:t>
      </w:r>
      <w:r>
        <w:rPr>
          <w:rFonts w:ascii="微软雅黑" w:eastAsia="微软雅黑" w:hint="eastAsia"/>
          <w:b/>
        </w:rPr>
        <w:t>酒后驾驶</w:t>
      </w:r>
      <w:r>
        <w:rPr/>
        <w:t>：指经检测或鉴定，发生事故时车辆驾驶人员每百毫升血液中的酒精含量达到或超过一定的标准，公安机关交通管理部门依据《道路交通安全法》的规定认定为饮酒后驾驶或醉酒后驾驶。</w:t>
      </w:r>
    </w:p>
    <w:p>
      <w:pPr>
        <w:spacing w:line="305" w:lineRule="exact" w:before="0"/>
        <w:ind w:left="212" w:right="0" w:firstLine="0"/>
        <w:jc w:val="both"/>
        <w:rPr>
          <w:sz w:val="21"/>
        </w:rPr>
      </w:pPr>
      <w:r>
        <w:rPr>
          <w:rFonts w:ascii="Times New Roman" w:eastAsia="Times New Roman"/>
          <w:position w:val="10"/>
          <w:sz w:val="14"/>
        </w:rPr>
        <w:t>10   </w:t>
      </w:r>
      <w:r>
        <w:rPr>
          <w:rFonts w:ascii="微软雅黑" w:eastAsia="微软雅黑" w:hint="eastAsia"/>
          <w:b/>
          <w:sz w:val="21"/>
        </w:rPr>
        <w:t>无合法有效驾驶证驾驶</w:t>
      </w:r>
      <w:r>
        <w:rPr>
          <w:sz w:val="21"/>
        </w:rPr>
        <w:t>：指下列情形之一：</w:t>
      </w:r>
    </w:p>
    <w:p>
      <w:pPr>
        <w:pStyle w:val="ListParagraph"/>
        <w:numPr>
          <w:ilvl w:val="0"/>
          <w:numId w:val="4"/>
        </w:numPr>
        <w:tabs>
          <w:tab w:pos="1158" w:val="left" w:leader="none"/>
          <w:tab w:pos="1159" w:val="left" w:leader="none"/>
        </w:tabs>
        <w:spacing w:line="240" w:lineRule="auto" w:before="12" w:after="0"/>
        <w:ind w:left="1158" w:right="0" w:hanging="840"/>
        <w:jc w:val="left"/>
        <w:rPr>
          <w:sz w:val="21"/>
        </w:rPr>
      </w:pPr>
      <w:r>
        <w:rPr>
          <w:spacing w:val="-3"/>
          <w:sz w:val="21"/>
        </w:rPr>
        <w:t>没有取得驾驶资格；</w:t>
      </w:r>
    </w:p>
    <w:p>
      <w:pPr>
        <w:pStyle w:val="ListParagraph"/>
        <w:numPr>
          <w:ilvl w:val="0"/>
          <w:numId w:val="4"/>
        </w:numPr>
        <w:tabs>
          <w:tab w:pos="1158" w:val="left" w:leader="none"/>
          <w:tab w:pos="1159" w:val="left" w:leader="none"/>
        </w:tabs>
        <w:spacing w:line="240" w:lineRule="auto" w:before="37" w:after="0"/>
        <w:ind w:left="1158" w:right="0" w:hanging="840"/>
        <w:jc w:val="left"/>
        <w:rPr>
          <w:sz w:val="21"/>
        </w:rPr>
      </w:pPr>
      <w:r>
        <w:rPr>
          <w:spacing w:val="-3"/>
          <w:sz w:val="21"/>
        </w:rPr>
        <w:t>驾驶与驾驶证准驾车型不相符合的车辆；</w:t>
      </w:r>
    </w:p>
    <w:p>
      <w:pPr>
        <w:pStyle w:val="ListParagraph"/>
        <w:numPr>
          <w:ilvl w:val="0"/>
          <w:numId w:val="4"/>
        </w:numPr>
        <w:tabs>
          <w:tab w:pos="1158" w:val="left" w:leader="none"/>
          <w:tab w:pos="1159" w:val="left" w:leader="none"/>
        </w:tabs>
        <w:spacing w:line="240" w:lineRule="auto" w:before="37" w:after="0"/>
        <w:ind w:left="1158" w:right="0" w:hanging="840"/>
        <w:jc w:val="left"/>
        <w:rPr>
          <w:sz w:val="21"/>
        </w:rPr>
      </w:pPr>
      <w:r>
        <w:rPr>
          <w:spacing w:val="-3"/>
          <w:sz w:val="21"/>
        </w:rPr>
        <w:t>持审验不合格或过期的驾驶证驾驶；</w:t>
      </w:r>
    </w:p>
    <w:p>
      <w:pPr>
        <w:pStyle w:val="ListParagraph"/>
        <w:numPr>
          <w:ilvl w:val="0"/>
          <w:numId w:val="4"/>
        </w:numPr>
        <w:tabs>
          <w:tab w:pos="1158" w:val="left" w:leader="none"/>
          <w:tab w:pos="1159" w:val="left" w:leader="none"/>
        </w:tabs>
        <w:spacing w:line="262" w:lineRule="exact" w:before="37" w:after="0"/>
        <w:ind w:left="1158" w:right="0" w:hanging="840"/>
        <w:jc w:val="left"/>
        <w:rPr>
          <w:sz w:val="21"/>
        </w:rPr>
      </w:pPr>
      <w:r>
        <w:rPr>
          <w:spacing w:val="-3"/>
          <w:sz w:val="21"/>
        </w:rPr>
        <w:t>持学习驾驶证学习驾车时，无教练员随车指导，或不按指定时间、路线学习驾车。</w:t>
      </w:r>
    </w:p>
    <w:p>
      <w:pPr>
        <w:spacing w:line="350" w:lineRule="exact" w:before="0"/>
        <w:ind w:left="212" w:right="0" w:firstLine="0"/>
        <w:jc w:val="both"/>
        <w:rPr>
          <w:sz w:val="21"/>
        </w:rPr>
      </w:pPr>
      <w:r>
        <w:rPr>
          <w:rFonts w:ascii="Times New Roman" w:eastAsia="Times New Roman"/>
          <w:position w:val="10"/>
          <w:sz w:val="14"/>
        </w:rPr>
        <w:t>11   </w:t>
      </w:r>
      <w:r>
        <w:rPr>
          <w:rFonts w:ascii="微软雅黑" w:eastAsia="微软雅黑" w:hint="eastAsia"/>
          <w:b/>
          <w:sz w:val="21"/>
        </w:rPr>
        <w:t>无有效行驶证</w:t>
      </w:r>
      <w:r>
        <w:rPr>
          <w:sz w:val="21"/>
        </w:rPr>
        <w:t>：指下列情形之一：</w:t>
      </w:r>
    </w:p>
    <w:p>
      <w:pPr>
        <w:pStyle w:val="ListParagraph"/>
        <w:numPr>
          <w:ilvl w:val="0"/>
          <w:numId w:val="5"/>
        </w:numPr>
        <w:tabs>
          <w:tab w:pos="1152" w:val="left" w:leader="none"/>
        </w:tabs>
        <w:spacing w:line="240" w:lineRule="auto" w:before="12" w:after="0"/>
        <w:ind w:left="1151" w:right="0" w:hanging="840"/>
        <w:jc w:val="both"/>
        <w:rPr>
          <w:sz w:val="21"/>
        </w:rPr>
      </w:pPr>
      <w:r>
        <w:rPr>
          <w:spacing w:val="-3"/>
          <w:sz w:val="21"/>
        </w:rPr>
        <w:t>未取得行驶证；</w:t>
      </w:r>
    </w:p>
    <w:p>
      <w:pPr>
        <w:pStyle w:val="ListParagraph"/>
        <w:numPr>
          <w:ilvl w:val="0"/>
          <w:numId w:val="5"/>
        </w:numPr>
        <w:tabs>
          <w:tab w:pos="1158" w:val="left" w:leader="none"/>
          <w:tab w:pos="1159" w:val="left" w:leader="none"/>
        </w:tabs>
        <w:spacing w:line="240" w:lineRule="auto" w:before="37" w:after="0"/>
        <w:ind w:left="1158" w:right="0" w:hanging="840"/>
        <w:jc w:val="left"/>
        <w:rPr>
          <w:sz w:val="21"/>
        </w:rPr>
      </w:pPr>
      <w:r>
        <w:rPr>
          <w:spacing w:val="-3"/>
          <w:sz w:val="21"/>
        </w:rPr>
        <w:t>机动车被依法注销登记的；</w:t>
      </w:r>
    </w:p>
    <w:p>
      <w:pPr>
        <w:pStyle w:val="ListParagraph"/>
        <w:numPr>
          <w:ilvl w:val="0"/>
          <w:numId w:val="5"/>
        </w:numPr>
        <w:tabs>
          <w:tab w:pos="1158" w:val="left" w:leader="none"/>
          <w:tab w:pos="1159" w:val="left" w:leader="none"/>
        </w:tabs>
        <w:spacing w:line="262" w:lineRule="exact" w:before="37" w:after="0"/>
        <w:ind w:left="1158" w:right="0" w:hanging="840"/>
        <w:jc w:val="left"/>
        <w:rPr>
          <w:sz w:val="21"/>
        </w:rPr>
      </w:pPr>
      <w:r>
        <w:rPr>
          <w:spacing w:val="-3"/>
          <w:sz w:val="21"/>
        </w:rPr>
        <w:t>未依法按时进行或通过机动车安全技术检验。</w:t>
      </w:r>
    </w:p>
    <w:p>
      <w:pPr>
        <w:pStyle w:val="BodyText"/>
        <w:spacing w:line="312" w:lineRule="exact" w:before="45"/>
        <w:ind w:right="180"/>
        <w:jc w:val="both"/>
      </w:pPr>
      <w:r>
        <w:rPr>
          <w:rFonts w:ascii="Times New Roman" w:eastAsia="Times New Roman"/>
          <w:position w:val="10"/>
          <w:sz w:val="14"/>
        </w:rPr>
        <w:t>12 </w:t>
      </w:r>
      <w:r>
        <w:rPr>
          <w:rFonts w:ascii="微软雅黑" w:eastAsia="微软雅黑" w:hint="eastAsia"/>
          <w:b/>
          <w:spacing w:val="-2"/>
        </w:rPr>
        <w:t>感染艾滋病病毒或患艾滋病</w:t>
      </w:r>
      <w:r>
        <w:rPr>
          <w:spacing w:val="-6"/>
        </w:rPr>
        <w:t>：艾滋病病毒指人类免疫缺陷病毒，英文缩写为 </w:t>
      </w:r>
      <w:r>
        <w:rPr/>
        <w:t>HIV</w:t>
      </w:r>
      <w:r>
        <w:rPr>
          <w:spacing w:val="-3"/>
        </w:rPr>
        <w:t>。艾滋病指人类免疫缺</w:t>
      </w:r>
      <w:r>
        <w:rPr>
          <w:spacing w:val="-7"/>
        </w:rPr>
        <w:t>陷病毒引起的获得性免疫缺陷综合征，英文缩写为 </w:t>
      </w:r>
      <w:r>
        <w:rPr/>
        <w:t>AIDS</w:t>
      </w:r>
      <w:r>
        <w:rPr>
          <w:spacing w:val="-8"/>
        </w:rPr>
        <w:t>。在人体血液或其它样本中检测到艾滋病病毒或其</w:t>
      </w:r>
      <w:r>
        <w:rPr>
          <w:spacing w:val="-5"/>
        </w:rPr>
        <w:t>抗体呈阳性，没有出现临床症状或体征的，为感染艾滋病病毒；如果同时出现了明显临床症状或体征的， </w:t>
      </w:r>
      <w:r>
        <w:rPr>
          <w:spacing w:val="-4"/>
        </w:rPr>
        <w:t>为患艾滋病。</w:t>
      </w:r>
    </w:p>
    <w:p>
      <w:pPr>
        <w:pStyle w:val="BodyText"/>
        <w:spacing w:line="312" w:lineRule="exact"/>
        <w:ind w:right="206"/>
        <w:jc w:val="both"/>
      </w:pPr>
      <w:r>
        <w:rPr>
          <w:rFonts w:ascii="Times New Roman" w:eastAsia="Times New Roman"/>
          <w:position w:val="10"/>
          <w:sz w:val="14"/>
        </w:rPr>
        <w:t>13 </w:t>
      </w:r>
      <w:r>
        <w:rPr>
          <w:rFonts w:ascii="微软雅黑" w:eastAsia="微软雅黑" w:hint="eastAsia"/>
          <w:b/>
        </w:rPr>
        <w:t>遗传性疾病</w:t>
      </w:r>
      <w:r>
        <w:rPr>
          <w:spacing w:val="-6"/>
        </w:rPr>
        <w:t>：指生殖细胞或受精卵的遗传物质</w:t>
      </w:r>
      <w:r>
        <w:rPr>
          <w:spacing w:val="-3"/>
        </w:rPr>
        <w:t>（染色体和基因</w:t>
      </w:r>
      <w:r>
        <w:rPr>
          <w:spacing w:val="-17"/>
        </w:rPr>
        <w:t>）</w:t>
      </w:r>
      <w:r>
        <w:rPr>
          <w:spacing w:val="-4"/>
        </w:rPr>
        <w:t>发生突变或畸变所引起的疾病，通常具</w:t>
      </w:r>
      <w:r>
        <w:rPr>
          <w:spacing w:val="-3"/>
        </w:rPr>
        <w:t>有由亲代传至后代的垂直传递的特征。</w:t>
      </w:r>
    </w:p>
    <w:p>
      <w:pPr>
        <w:pStyle w:val="BodyText"/>
        <w:spacing w:line="312" w:lineRule="exact"/>
        <w:ind w:right="132"/>
        <w:jc w:val="both"/>
      </w:pPr>
      <w:r>
        <w:rPr>
          <w:rFonts w:ascii="Times New Roman" w:eastAsia="Times New Roman"/>
          <w:position w:val="10"/>
          <w:sz w:val="14"/>
        </w:rPr>
        <w:t>14 </w:t>
      </w:r>
      <w:r>
        <w:rPr>
          <w:rFonts w:ascii="微软雅黑" w:eastAsia="微软雅黑" w:hint="eastAsia"/>
          <w:b/>
          <w:spacing w:val="-2"/>
        </w:rPr>
        <w:t>先天性畸形、变形或染色体异常</w:t>
      </w:r>
      <w:r>
        <w:rPr>
          <w:spacing w:val="-3"/>
        </w:rPr>
        <w:t>：指被保险人出生时就具有的畸形、变形或染色体异常。先天性畸形、</w:t>
      </w:r>
      <w:r>
        <w:rPr>
          <w:spacing w:val="-7"/>
        </w:rPr>
        <w:t>变形和染色体异常依照世界卫生组织《疾病和有关健康问题的国际统计分类》</w:t>
      </w:r>
      <w:r>
        <w:rPr/>
        <w:t>（ICD-10）</w:t>
      </w:r>
      <w:r>
        <w:rPr>
          <w:spacing w:val="-2"/>
        </w:rPr>
        <w:t>确定。</w:t>
      </w:r>
    </w:p>
    <w:p>
      <w:pPr>
        <w:pStyle w:val="BodyText"/>
        <w:spacing w:line="312" w:lineRule="exact"/>
        <w:ind w:right="206" w:hanging="1"/>
        <w:jc w:val="both"/>
      </w:pPr>
      <w:r>
        <w:rPr>
          <w:rFonts w:ascii="Times New Roman" w:eastAsia="Times New Roman"/>
          <w:position w:val="10"/>
          <w:sz w:val="14"/>
        </w:rPr>
        <w:t>15 </w:t>
      </w:r>
      <w:r>
        <w:rPr>
          <w:rFonts w:ascii="微软雅黑" w:eastAsia="微软雅黑" w:hint="eastAsia"/>
          <w:b/>
        </w:rPr>
        <w:t>现金价值</w:t>
      </w:r>
      <w:r>
        <w:rPr>
          <w:spacing w:val="-8"/>
        </w:rPr>
        <w:t>：指保险单所具有的价值，通常体现为解除合同时，根据精算原理计算的，由我们退还的那部</w:t>
      </w:r>
      <w:r>
        <w:rPr>
          <w:spacing w:val="-6"/>
        </w:rPr>
        <w:t>分金额。</w:t>
      </w:r>
    </w:p>
    <w:p>
      <w:pPr>
        <w:spacing w:line="279" w:lineRule="exact" w:before="0"/>
        <w:ind w:left="212" w:right="0" w:firstLine="0"/>
        <w:jc w:val="both"/>
        <w:rPr>
          <w:sz w:val="21"/>
        </w:rPr>
      </w:pPr>
      <w:r>
        <w:rPr>
          <w:rFonts w:ascii="Times New Roman" w:eastAsia="Times New Roman"/>
          <w:position w:val="10"/>
          <w:sz w:val="14"/>
        </w:rPr>
        <w:t>16   </w:t>
      </w:r>
      <w:r>
        <w:rPr>
          <w:rFonts w:ascii="微软雅黑" w:eastAsia="微软雅黑" w:hint="eastAsia"/>
          <w:b/>
          <w:sz w:val="21"/>
        </w:rPr>
        <w:t>保险事故</w:t>
      </w:r>
      <w:r>
        <w:rPr>
          <w:sz w:val="21"/>
        </w:rPr>
        <w:t>：指保险合同约定的保险责任范围内的事故。</w:t>
      </w:r>
    </w:p>
    <w:p>
      <w:pPr>
        <w:pStyle w:val="BodyText"/>
        <w:spacing w:line="312" w:lineRule="exact" w:before="32"/>
        <w:ind w:right="202" w:hanging="1"/>
        <w:jc w:val="both"/>
      </w:pPr>
      <w:r>
        <w:rPr>
          <w:rFonts w:ascii="Times New Roman" w:eastAsia="Times New Roman"/>
          <w:position w:val="10"/>
          <w:sz w:val="14"/>
        </w:rPr>
        <w:t>17 </w:t>
      </w:r>
      <w:r>
        <w:rPr>
          <w:rFonts w:ascii="微软雅黑" w:eastAsia="微软雅黑" w:hint="eastAsia"/>
          <w:b/>
        </w:rPr>
        <w:t>原位癌</w:t>
      </w:r>
      <w:r>
        <w:rPr>
          <w:spacing w:val="-6"/>
        </w:rPr>
        <w:t>：指恶性细胞局限于上皮内尚未穿破基底膜浸润周围正常组织的癌细胞新生物。原位癌必须经对固定活组织的组织病理学检查明确诊断。被保险人必须已经接受了针对原位癌病灶的积极治疗，所谓的积</w:t>
      </w:r>
      <w:r>
        <w:rPr>
          <w:spacing w:val="-4"/>
        </w:rPr>
        <w:t>极治疗包含手术、化疗或放疗等治疗方式。</w:t>
      </w:r>
    </w:p>
    <w:p>
      <w:pPr>
        <w:pStyle w:val="BodyText"/>
        <w:spacing w:line="312" w:lineRule="exact"/>
        <w:ind w:right="202"/>
        <w:jc w:val="both"/>
      </w:pPr>
      <w:r>
        <w:rPr>
          <w:rFonts w:ascii="Times New Roman" w:eastAsia="Times New Roman"/>
          <w:position w:val="10"/>
          <w:sz w:val="14"/>
        </w:rPr>
        <w:t>18 </w:t>
      </w:r>
      <w:r>
        <w:rPr>
          <w:rFonts w:ascii="微软雅黑" w:eastAsia="微软雅黑" w:hint="eastAsia"/>
          <w:b/>
        </w:rPr>
        <w:t>肢体机能完全丧失</w:t>
      </w:r>
      <w:r>
        <w:rPr>
          <w:spacing w:val="-7"/>
        </w:rPr>
        <w:t>：指肢体的三大关节中的两大关节僵硬，或不能随意识活动。肢体是指包括肩关节的</w:t>
      </w:r>
      <w:r>
        <w:rPr>
          <w:spacing w:val="-5"/>
        </w:rPr>
        <w:t>整个上肢或包括髋关节的整个下肢。</w:t>
      </w:r>
    </w:p>
    <w:p>
      <w:pPr>
        <w:pStyle w:val="BodyText"/>
        <w:spacing w:line="312" w:lineRule="exact"/>
        <w:ind w:right="168" w:hanging="1"/>
        <w:jc w:val="both"/>
      </w:pPr>
      <w:r>
        <w:rPr>
          <w:rFonts w:ascii="Times New Roman" w:eastAsia="Times New Roman"/>
          <w:position w:val="10"/>
          <w:sz w:val="14"/>
        </w:rPr>
        <w:t>19 </w:t>
      </w:r>
      <w:r>
        <w:rPr>
          <w:rFonts w:ascii="微软雅黑" w:eastAsia="微软雅黑" w:hint="eastAsia"/>
          <w:b/>
          <w:spacing w:val="-1"/>
        </w:rPr>
        <w:t>语言能力或咀嚼吞咽能力完全丧失</w:t>
      </w:r>
      <w:r>
        <w:rPr>
          <w:spacing w:val="-3"/>
        </w:rPr>
        <w:t>：语言能力完全丧失，指无法发出四种语音（包括口唇音、齿舌音、口盖音和喉头音</w:t>
      </w:r>
      <w:r>
        <w:rPr>
          <w:spacing w:val="-8"/>
        </w:rPr>
        <w:t>）</w:t>
      </w:r>
      <w:r>
        <w:rPr>
          <w:spacing w:val="-5"/>
        </w:rPr>
        <w:t>中的任何三种、或声带全部切除，或因大脑语言中枢受伤害而患失语症。咀嚼吞咽能力</w:t>
      </w:r>
      <w:r>
        <w:rPr>
          <w:spacing w:val="-8"/>
        </w:rPr>
        <w:t>完全丧失，指因牙齿以外的原因导致器质障碍或机能障碍，以致不能作咀嚼吞咽运动，除流质食物外不能</w:t>
      </w:r>
      <w:r>
        <w:rPr>
          <w:spacing w:val="-5"/>
        </w:rPr>
        <w:t>摄取或吞咽的状态。</w:t>
      </w:r>
    </w:p>
    <w:p>
      <w:pPr>
        <w:spacing w:line="305" w:lineRule="exact" w:before="0"/>
        <w:ind w:left="212" w:right="0" w:firstLine="0"/>
        <w:jc w:val="both"/>
        <w:rPr>
          <w:sz w:val="21"/>
        </w:rPr>
      </w:pPr>
      <w:r>
        <w:rPr>
          <w:rFonts w:ascii="Times New Roman" w:hAnsi="Times New Roman" w:eastAsia="Times New Roman"/>
          <w:position w:val="10"/>
          <w:sz w:val="14"/>
        </w:rPr>
        <w:t>20   </w:t>
      </w:r>
      <w:r>
        <w:rPr>
          <w:rFonts w:ascii="微软雅黑" w:hAnsi="微软雅黑" w:eastAsia="微软雅黑" w:hint="eastAsia"/>
          <w:b/>
          <w:sz w:val="21"/>
        </w:rPr>
        <w:t>六项基本日常生活活动</w:t>
      </w:r>
      <w:r>
        <w:rPr>
          <w:sz w:val="21"/>
        </w:rPr>
        <w:t>：六项基本日常生活活动是指：①穿衣：自己能够穿衣及脱衣；②移动：自己从</w:t>
      </w:r>
    </w:p>
    <w:p>
      <w:pPr>
        <w:spacing w:after="0" w:line="305" w:lineRule="exact"/>
        <w:jc w:val="both"/>
        <w:rPr>
          <w:sz w:val="21"/>
        </w:rPr>
        <w:sectPr>
          <w:pgSz w:w="11900" w:h="16840"/>
          <w:pgMar w:header="895" w:footer="547" w:top="1080" w:bottom="740" w:left="920" w:right="920"/>
        </w:sectPr>
      </w:pPr>
    </w:p>
    <w:p>
      <w:pPr>
        <w:pStyle w:val="BodyText"/>
        <w:ind w:left="0"/>
        <w:rPr>
          <w:sz w:val="13"/>
        </w:rPr>
      </w:pPr>
    </w:p>
    <w:p>
      <w:pPr>
        <w:pStyle w:val="BodyText"/>
        <w:spacing w:line="20" w:lineRule="exact"/>
        <w:ind w:left="2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79531pt" strokecolor="#000000">
              <v:stroke dashstyle="solid"/>
            </v:line>
          </v:group>
        </w:pict>
      </w:r>
      <w:r>
        <w:rPr>
          <w:spacing w:val="5"/>
          <w:sz w:val="2"/>
        </w:rPr>
      </w:r>
    </w:p>
    <w:p>
      <w:pPr>
        <w:pStyle w:val="BodyText"/>
        <w:spacing w:line="273" w:lineRule="auto" w:before="75"/>
        <w:ind w:right="202" w:hanging="1"/>
      </w:pPr>
      <w:r>
        <w:rPr>
          <w:spacing w:val="-6"/>
        </w:rPr>
        <w:t>一个房间到另一个房间；③行动：自己上下床或上下轮椅；④如厕：自己控制进行大小便；⑤进食：自己</w:t>
      </w:r>
      <w:r>
        <w:rPr>
          <w:spacing w:val="-3"/>
        </w:rPr>
        <w:t>从已准备好的碗或碟中取食物放入口中；⑥洗澡：自己进行淋浴或盆浴。</w:t>
      </w:r>
    </w:p>
    <w:p>
      <w:pPr>
        <w:pStyle w:val="BodyText"/>
        <w:spacing w:line="312" w:lineRule="exact" w:before="2"/>
        <w:ind w:right="202" w:hanging="1"/>
      </w:pPr>
      <w:r>
        <w:rPr>
          <w:rFonts w:ascii="Times New Roman" w:eastAsia="Times New Roman"/>
          <w:position w:val="10"/>
          <w:sz w:val="14"/>
        </w:rPr>
        <w:t>21 </w:t>
      </w:r>
      <w:r>
        <w:rPr>
          <w:rFonts w:ascii="微软雅黑" w:eastAsia="微软雅黑" w:hint="eastAsia"/>
          <w:b/>
        </w:rPr>
        <w:t>永久不可逆</w:t>
      </w:r>
      <w:r>
        <w:rPr>
          <w:spacing w:val="-7"/>
        </w:rPr>
        <w:t>：永久不可逆系指自疾病确诊或意外伤害发生之日起，经过积极治疗 </w:t>
      </w:r>
      <w:r>
        <w:rPr/>
        <w:t>180</w:t>
      </w:r>
      <w:r>
        <w:rPr>
          <w:spacing w:val="-8"/>
        </w:rPr>
        <w:t> 天后，仍无法通过</w:t>
      </w:r>
      <w:r>
        <w:rPr>
          <w:spacing w:val="-5"/>
        </w:rPr>
        <w:t>现有医疗手段恢复。</w:t>
      </w:r>
    </w:p>
    <w:p>
      <w:pPr>
        <w:pStyle w:val="BodyText"/>
        <w:spacing w:before="1"/>
        <w:ind w:left="0"/>
        <w:rPr>
          <w:sz w:val="22"/>
        </w:rPr>
      </w:pPr>
      <w:r>
        <w:rPr/>
        <w:drawing>
          <wp:anchor distT="0" distB="0" distL="0" distR="0" allowOverlap="1" layoutInCell="1" locked="0" behindDoc="0" simplePos="0" relativeHeight="1864">
            <wp:simplePos x="0" y="0"/>
            <wp:positionH relativeFrom="page">
              <wp:posOffset>650741</wp:posOffset>
            </wp:positionH>
            <wp:positionV relativeFrom="paragraph">
              <wp:posOffset>208329</wp:posOffset>
            </wp:positionV>
            <wp:extent cx="6257550" cy="38100"/>
            <wp:effectExtent l="0" t="0" r="0" b="0"/>
            <wp:wrapTopAndBottom/>
            <wp:docPr id="21" name="image3.png" descr=""/>
            <wp:cNvGraphicFramePr>
              <a:graphicFrameLocks noChangeAspect="1"/>
            </wp:cNvGraphicFramePr>
            <a:graphic>
              <a:graphicData uri="http://schemas.openxmlformats.org/drawingml/2006/picture">
                <pic:pic>
                  <pic:nvPicPr>
                    <pic:cNvPr id="22" name="image3.png"/>
                    <pic:cNvPicPr/>
                  </pic:nvPicPr>
                  <pic:blipFill>
                    <a:blip r:embed="rId9" cstate="print"/>
                    <a:stretch>
                      <a:fillRect/>
                    </a:stretch>
                  </pic:blipFill>
                  <pic:spPr>
                    <a:xfrm>
                      <a:off x="0" y="0"/>
                      <a:ext cx="6257550" cy="38100"/>
                    </a:xfrm>
                    <a:prstGeom prst="rect">
                      <a:avLst/>
                    </a:prstGeom>
                  </pic:spPr>
                </pic:pic>
              </a:graphicData>
            </a:graphic>
          </wp:anchor>
        </w:drawing>
      </w:r>
    </w:p>
    <w:p>
      <w:pPr>
        <w:pStyle w:val="Heading2"/>
        <w:spacing w:line="240" w:lineRule="auto" w:before="128"/>
        <w:ind w:left="1970" w:right="1969" w:firstLine="0"/>
        <w:jc w:val="center"/>
      </w:pPr>
      <w:r>
        <w:rPr/>
        <w:t>[本页内容结束]</w:t>
      </w:r>
    </w:p>
    <w:sectPr>
      <w:pgSz w:w="11900" w:h="16840"/>
      <w:pgMar w:header="895" w:footer="547" w:top="1080" w:bottom="740" w:left="92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微软雅黑">
    <w:altName w:val="微软雅黑"/>
    <w:charset w:val="86"/>
    <w:family w:val="swiss"/>
    <w:pitch w:val="variable"/>
  </w:font>
  <w:font w:name="宋体">
    <w:altName w:val="宋体"/>
    <w:charset w:val="86"/>
    <w:family w:val="auto"/>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1.239517pt;margin-top:800.879089pt;width:474.75pt;height:.15pt;mso-position-horizontal-relative:page;mso-position-vertical-relative:page;z-index:-23224" coordorigin="1025,16018" coordsize="9495,3" path="m1025,16020l10519,16020m1025,16018l9986,16018e" filled="false" stroked="true" strokeweight=".479531pt" strokecolor="#000000">
          <v:path arrowok="t"/>
          <v:stroke dashstyle="solid"/>
          <w10:wrap type="none"/>
        </v:shape>
      </w:pict>
    </w:r>
    <w:r>
      <w:rPr/>
      <w:pict>
        <v:shape style="position:absolute;margin-left:55.639477pt;margin-top:802.022522pt;width:152.15pt;height:9.6pt;mso-position-horizontal-relative:page;mso-position-vertical-relative:page;z-index:-23200" type="#_x0000_t202" filled="false" stroked="false">
          <v:textbox inset="0,0,0,0">
            <w:txbxContent>
              <w:p>
                <w:pPr>
                  <w:spacing w:line="171" w:lineRule="exact" w:before="0"/>
                  <w:ind w:left="20" w:right="0" w:firstLine="0"/>
                  <w:jc w:val="left"/>
                  <w:rPr>
                    <w:sz w:val="15"/>
                  </w:rPr>
                </w:pPr>
                <w:r>
                  <w:rPr>
                    <w:sz w:val="15"/>
                  </w:rPr>
                  <w:t>工银安盛人寿附加盛世如意重大疾病保险条款</w:t>
                </w:r>
              </w:p>
            </w:txbxContent>
          </v:textbox>
          <w10:wrap type="none"/>
        </v:shape>
      </w:pict>
    </w:r>
    <w:r>
      <w:rPr/>
      <w:pict>
        <v:shape style="position:absolute;margin-left:464.479279pt;margin-top:801.675537pt;width:31.5pt;height:10.5pt;mso-position-horizontal-relative:page;mso-position-vertical-relative:page;z-index:-23176" type="#_x0000_t202" filled="false" stroked="false">
          <v:textbox inset="0,0,0,0">
            <w:txbxContent>
              <w:p>
                <w:pPr>
                  <w:spacing w:before="16"/>
                  <w:ind w:left="20" w:right="0" w:firstLine="0"/>
                  <w:jc w:val="left"/>
                  <w:rPr>
                    <w:rFonts w:ascii="Times New Roman"/>
                    <w:sz w:val="15"/>
                  </w:rPr>
                </w:pPr>
                <w:r>
                  <w:rPr>
                    <w:rFonts w:ascii="Arial"/>
                    <w:sz w:val="15"/>
                  </w:rPr>
                  <w:t>TRCIR </w:t>
                </w:r>
                <w:r>
                  <w:rPr/>
                  <w:fldChar w:fldCharType="begin"/>
                </w:r>
                <w:r>
                  <w:rPr>
                    <w:rFonts w:ascii="Times New Roman"/>
                    <w:sz w:val="15"/>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1.239517pt;margin-top:800.879089pt;width:474.75pt;height:.15pt;mso-position-horizontal-relative:page;mso-position-vertical-relative:page;z-index:-23080" coordorigin="1025,16018" coordsize="9495,3" path="m1025,16020l10519,16020m1025,16018l10061,16018e" filled="false" stroked="true" strokeweight=".479531pt" strokecolor="#000000">
          <v:path arrowok="t"/>
          <v:stroke dashstyle="solid"/>
          <w10:wrap type="none"/>
        </v:shape>
      </w:pict>
    </w:r>
    <w:r>
      <w:rPr/>
      <w:pict>
        <v:shape style="position:absolute;margin-left:55.639477pt;margin-top:802.022522pt;width:152.15pt;height:9.6pt;mso-position-horizontal-relative:page;mso-position-vertical-relative:page;z-index:-23056" type="#_x0000_t202" filled="false" stroked="false">
          <v:textbox inset="0,0,0,0">
            <w:txbxContent>
              <w:p>
                <w:pPr>
                  <w:spacing w:line="171" w:lineRule="exact" w:before="0"/>
                  <w:ind w:left="20" w:right="0" w:firstLine="0"/>
                  <w:jc w:val="left"/>
                  <w:rPr>
                    <w:sz w:val="15"/>
                  </w:rPr>
                </w:pPr>
                <w:r>
                  <w:rPr>
                    <w:sz w:val="15"/>
                  </w:rPr>
                  <w:t>工银安盛人寿附加盛世如意重大疾病保险条款</w:t>
                </w:r>
              </w:p>
            </w:txbxContent>
          </v:textbox>
          <w10:wrap type="none"/>
        </v:shape>
      </w:pict>
    </w:r>
    <w:r>
      <w:rPr/>
      <w:pict>
        <v:shape style="position:absolute;margin-left:464.479279pt;margin-top:801.675537pt;width:35.25pt;height:10.5pt;mso-position-horizontal-relative:page;mso-position-vertical-relative:page;z-index:-23032" type="#_x0000_t202" filled="false" stroked="false">
          <v:textbox inset="0,0,0,0">
            <w:txbxContent>
              <w:p>
                <w:pPr>
                  <w:spacing w:before="16"/>
                  <w:ind w:left="20" w:right="0" w:firstLine="0"/>
                  <w:jc w:val="left"/>
                  <w:rPr>
                    <w:rFonts w:ascii="Times New Roman"/>
                    <w:sz w:val="15"/>
                  </w:rPr>
                </w:pPr>
                <w:r>
                  <w:rPr>
                    <w:rFonts w:ascii="Arial"/>
                    <w:sz w:val="15"/>
                  </w:rPr>
                  <w:t>TRCIR </w:t>
                </w:r>
                <w:r>
                  <w:rPr/>
                  <w:fldChar w:fldCharType="begin"/>
                </w:r>
                <w:r>
                  <w:rPr>
                    <w:rFonts w:ascii="Times New Roman"/>
                    <w:sz w:val="15"/>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23272" from="51.239517pt,54.598652pt" to="543.959506pt,54.598652pt" stroked="true" strokeweight=".479531pt" strokecolor="#000000">
          <v:stroke dashstyle="solid"/>
          <w10:wrap type="none"/>
        </v:line>
      </w:pict>
    </w:r>
    <w:r>
      <w:rPr/>
      <w:pict>
        <v:shape style="position:absolute;margin-left:447.559814pt;margin-top:43.742443pt;width:92.15pt;height:9.6pt;mso-position-horizontal-relative:page;mso-position-vertical-relative:page;z-index:-23248" type="#_x0000_t202" filled="false" stroked="false">
          <v:textbox inset="0,0,0,0">
            <w:txbxContent>
              <w:p>
                <w:pPr>
                  <w:spacing w:line="171" w:lineRule="exact" w:before="0"/>
                  <w:ind w:left="20" w:right="0" w:firstLine="0"/>
                  <w:jc w:val="left"/>
                  <w:rPr>
                    <w:sz w:val="15"/>
                  </w:rPr>
                </w:pPr>
                <w:r>
                  <w:rPr>
                    <w:sz w:val="15"/>
                  </w:rPr>
                  <w:t>工银安盛人寿保险有限公司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47.559814pt;margin-top:43.742443pt;width:92.15pt;height:9.6pt;mso-position-horizontal-relative:page;mso-position-vertical-relative:page;z-index:-23152" type="#_x0000_t202" filled="false" stroked="false">
          <v:textbox inset="0,0,0,0">
            <w:txbxContent>
              <w:p>
                <w:pPr>
                  <w:spacing w:line="171" w:lineRule="exact" w:before="0"/>
                  <w:ind w:left="20" w:right="0" w:firstLine="0"/>
                  <w:jc w:val="left"/>
                  <w:rPr>
                    <w:sz w:val="15"/>
                  </w:rPr>
                </w:pPr>
                <w:r>
                  <w:rPr>
                    <w:sz w:val="15"/>
                  </w:rPr>
                  <w:t>工银安盛人寿保险有限公司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23128" from="51.239517pt,54.598652pt" to="543.959506pt,54.598652pt" stroked="true" strokeweight=".479531pt" strokecolor="#000000">
          <v:stroke dashstyle="solid"/>
          <w10:wrap type="none"/>
        </v:line>
      </w:pict>
    </w:r>
    <w:r>
      <w:rPr/>
      <w:pict>
        <v:shape style="position:absolute;margin-left:447.559814pt;margin-top:43.742443pt;width:92.15pt;height:9.6pt;mso-position-horizontal-relative:page;mso-position-vertical-relative:page;z-index:-23104" type="#_x0000_t202" filled="false" stroked="false">
          <v:textbox inset="0,0,0,0">
            <w:txbxContent>
              <w:p>
                <w:pPr>
                  <w:spacing w:line="171" w:lineRule="exact" w:before="0"/>
                  <w:ind w:left="20" w:right="0" w:firstLine="0"/>
                  <w:jc w:val="left"/>
                  <w:rPr>
                    <w:sz w:val="15"/>
                  </w:rPr>
                </w:pPr>
                <w:r>
                  <w:rPr>
                    <w:sz w:val="15"/>
                  </w:rPr>
                  <w:t>工银安盛人寿保险有限公司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158" w:hanging="841"/>
        <w:jc w:val="left"/>
      </w:pPr>
      <w:rPr>
        <w:rFonts w:hint="default" w:ascii="宋体" w:hAnsi="宋体" w:eastAsia="宋体" w:cs="宋体"/>
        <w:w w:val="100"/>
        <w:sz w:val="21"/>
        <w:szCs w:val="21"/>
      </w:rPr>
    </w:lvl>
    <w:lvl w:ilvl="1">
      <w:start w:val="0"/>
      <w:numFmt w:val="bullet"/>
      <w:lvlText w:val="•"/>
      <w:lvlJc w:val="left"/>
      <w:pPr>
        <w:ind w:left="2050" w:hanging="841"/>
      </w:pPr>
      <w:rPr>
        <w:rFonts w:hint="default"/>
      </w:rPr>
    </w:lvl>
    <w:lvl w:ilvl="2">
      <w:start w:val="0"/>
      <w:numFmt w:val="bullet"/>
      <w:lvlText w:val="•"/>
      <w:lvlJc w:val="left"/>
      <w:pPr>
        <w:ind w:left="2940" w:hanging="841"/>
      </w:pPr>
      <w:rPr>
        <w:rFonts w:hint="default"/>
      </w:rPr>
    </w:lvl>
    <w:lvl w:ilvl="3">
      <w:start w:val="0"/>
      <w:numFmt w:val="bullet"/>
      <w:lvlText w:val="•"/>
      <w:lvlJc w:val="left"/>
      <w:pPr>
        <w:ind w:left="3830" w:hanging="841"/>
      </w:pPr>
      <w:rPr>
        <w:rFonts w:hint="default"/>
      </w:rPr>
    </w:lvl>
    <w:lvl w:ilvl="4">
      <w:start w:val="0"/>
      <w:numFmt w:val="bullet"/>
      <w:lvlText w:val="•"/>
      <w:lvlJc w:val="left"/>
      <w:pPr>
        <w:ind w:left="4720" w:hanging="841"/>
      </w:pPr>
      <w:rPr>
        <w:rFonts w:hint="default"/>
      </w:rPr>
    </w:lvl>
    <w:lvl w:ilvl="5">
      <w:start w:val="0"/>
      <w:numFmt w:val="bullet"/>
      <w:lvlText w:val="•"/>
      <w:lvlJc w:val="left"/>
      <w:pPr>
        <w:ind w:left="5610" w:hanging="841"/>
      </w:pPr>
      <w:rPr>
        <w:rFonts w:hint="default"/>
      </w:rPr>
    </w:lvl>
    <w:lvl w:ilvl="6">
      <w:start w:val="0"/>
      <w:numFmt w:val="bullet"/>
      <w:lvlText w:val="•"/>
      <w:lvlJc w:val="left"/>
      <w:pPr>
        <w:ind w:left="6500" w:hanging="841"/>
      </w:pPr>
      <w:rPr>
        <w:rFonts w:hint="default"/>
      </w:rPr>
    </w:lvl>
    <w:lvl w:ilvl="7">
      <w:start w:val="0"/>
      <w:numFmt w:val="bullet"/>
      <w:lvlText w:val="•"/>
      <w:lvlJc w:val="left"/>
      <w:pPr>
        <w:ind w:left="7390" w:hanging="841"/>
      </w:pPr>
      <w:rPr>
        <w:rFonts w:hint="default"/>
      </w:rPr>
    </w:lvl>
    <w:lvl w:ilvl="8">
      <w:start w:val="0"/>
      <w:numFmt w:val="bullet"/>
      <w:lvlText w:val="•"/>
      <w:lvlJc w:val="left"/>
      <w:pPr>
        <w:ind w:left="8280" w:hanging="841"/>
      </w:pPr>
      <w:rPr>
        <w:rFonts w:hint="default"/>
      </w:rPr>
    </w:lvl>
  </w:abstractNum>
  <w:abstractNum w:abstractNumId="4">
    <w:multiLevelType w:val="hybridMultilevel"/>
    <w:lvl w:ilvl="0">
      <w:start w:val="1"/>
      <w:numFmt w:val="decimal"/>
      <w:lvlText w:val="（%1）"/>
      <w:lvlJc w:val="left"/>
      <w:pPr>
        <w:ind w:left="1151" w:hanging="841"/>
        <w:jc w:val="left"/>
      </w:pPr>
      <w:rPr>
        <w:rFonts w:hint="default" w:ascii="宋体" w:hAnsi="宋体" w:eastAsia="宋体" w:cs="宋体"/>
        <w:spacing w:val="-3"/>
        <w:w w:val="100"/>
        <w:sz w:val="21"/>
        <w:szCs w:val="21"/>
      </w:rPr>
    </w:lvl>
    <w:lvl w:ilvl="1">
      <w:start w:val="0"/>
      <w:numFmt w:val="bullet"/>
      <w:lvlText w:val="•"/>
      <w:lvlJc w:val="left"/>
      <w:pPr>
        <w:ind w:left="2050" w:hanging="841"/>
      </w:pPr>
      <w:rPr>
        <w:rFonts w:hint="default"/>
      </w:rPr>
    </w:lvl>
    <w:lvl w:ilvl="2">
      <w:start w:val="0"/>
      <w:numFmt w:val="bullet"/>
      <w:lvlText w:val="•"/>
      <w:lvlJc w:val="left"/>
      <w:pPr>
        <w:ind w:left="2940" w:hanging="841"/>
      </w:pPr>
      <w:rPr>
        <w:rFonts w:hint="default"/>
      </w:rPr>
    </w:lvl>
    <w:lvl w:ilvl="3">
      <w:start w:val="0"/>
      <w:numFmt w:val="bullet"/>
      <w:lvlText w:val="•"/>
      <w:lvlJc w:val="left"/>
      <w:pPr>
        <w:ind w:left="3830" w:hanging="841"/>
      </w:pPr>
      <w:rPr>
        <w:rFonts w:hint="default"/>
      </w:rPr>
    </w:lvl>
    <w:lvl w:ilvl="4">
      <w:start w:val="0"/>
      <w:numFmt w:val="bullet"/>
      <w:lvlText w:val="•"/>
      <w:lvlJc w:val="left"/>
      <w:pPr>
        <w:ind w:left="4720" w:hanging="841"/>
      </w:pPr>
      <w:rPr>
        <w:rFonts w:hint="default"/>
      </w:rPr>
    </w:lvl>
    <w:lvl w:ilvl="5">
      <w:start w:val="0"/>
      <w:numFmt w:val="bullet"/>
      <w:lvlText w:val="•"/>
      <w:lvlJc w:val="left"/>
      <w:pPr>
        <w:ind w:left="5610" w:hanging="841"/>
      </w:pPr>
      <w:rPr>
        <w:rFonts w:hint="default"/>
      </w:rPr>
    </w:lvl>
    <w:lvl w:ilvl="6">
      <w:start w:val="0"/>
      <w:numFmt w:val="bullet"/>
      <w:lvlText w:val="•"/>
      <w:lvlJc w:val="left"/>
      <w:pPr>
        <w:ind w:left="6500" w:hanging="841"/>
      </w:pPr>
      <w:rPr>
        <w:rFonts w:hint="default"/>
      </w:rPr>
    </w:lvl>
    <w:lvl w:ilvl="7">
      <w:start w:val="0"/>
      <w:numFmt w:val="bullet"/>
      <w:lvlText w:val="•"/>
      <w:lvlJc w:val="left"/>
      <w:pPr>
        <w:ind w:left="7390" w:hanging="841"/>
      </w:pPr>
      <w:rPr>
        <w:rFonts w:hint="default"/>
      </w:rPr>
    </w:lvl>
    <w:lvl w:ilvl="8">
      <w:start w:val="0"/>
      <w:numFmt w:val="bullet"/>
      <w:lvlText w:val="•"/>
      <w:lvlJc w:val="left"/>
      <w:pPr>
        <w:ind w:left="8280" w:hanging="841"/>
      </w:pPr>
      <w:rPr>
        <w:rFonts w:hint="default"/>
      </w:rPr>
    </w:lvl>
  </w:abstractNum>
  <w:abstractNum w:abstractNumId="2">
    <w:multiLevelType w:val="hybridMultilevel"/>
    <w:lvl w:ilvl="0">
      <w:start w:val="2"/>
      <w:numFmt w:val="decimal"/>
      <w:lvlText w:val="%1"/>
      <w:lvlJc w:val="left"/>
      <w:pPr>
        <w:ind w:left="937" w:hanging="725"/>
        <w:jc w:val="left"/>
      </w:pPr>
      <w:rPr>
        <w:rFonts w:hint="default"/>
      </w:rPr>
    </w:lvl>
    <w:lvl w:ilvl="1">
      <w:start w:val="1"/>
      <w:numFmt w:val="decimal"/>
      <w:lvlText w:val="%1.%2"/>
      <w:lvlJc w:val="left"/>
      <w:pPr>
        <w:ind w:left="937" w:hanging="725"/>
        <w:jc w:val="left"/>
      </w:pPr>
      <w:rPr>
        <w:rFonts w:hint="default"/>
        <w:spacing w:val="0"/>
        <w:w w:val="83"/>
        <w:highlight w:val="lightGray"/>
      </w:rPr>
    </w:lvl>
    <w:lvl w:ilvl="2">
      <w:start w:val="0"/>
      <w:numFmt w:val="bullet"/>
      <w:lvlText w:val="•"/>
      <w:lvlJc w:val="left"/>
      <w:pPr>
        <w:ind w:left="2764" w:hanging="725"/>
      </w:pPr>
      <w:rPr>
        <w:rFonts w:hint="default"/>
      </w:rPr>
    </w:lvl>
    <w:lvl w:ilvl="3">
      <w:start w:val="0"/>
      <w:numFmt w:val="bullet"/>
      <w:lvlText w:val="•"/>
      <w:lvlJc w:val="left"/>
      <w:pPr>
        <w:ind w:left="3676" w:hanging="725"/>
      </w:pPr>
      <w:rPr>
        <w:rFonts w:hint="default"/>
      </w:rPr>
    </w:lvl>
    <w:lvl w:ilvl="4">
      <w:start w:val="0"/>
      <w:numFmt w:val="bullet"/>
      <w:lvlText w:val="•"/>
      <w:lvlJc w:val="left"/>
      <w:pPr>
        <w:ind w:left="4588" w:hanging="725"/>
      </w:pPr>
      <w:rPr>
        <w:rFonts w:hint="default"/>
      </w:rPr>
    </w:lvl>
    <w:lvl w:ilvl="5">
      <w:start w:val="0"/>
      <w:numFmt w:val="bullet"/>
      <w:lvlText w:val="•"/>
      <w:lvlJc w:val="left"/>
      <w:pPr>
        <w:ind w:left="5500" w:hanging="725"/>
      </w:pPr>
      <w:rPr>
        <w:rFonts w:hint="default"/>
      </w:rPr>
    </w:lvl>
    <w:lvl w:ilvl="6">
      <w:start w:val="0"/>
      <w:numFmt w:val="bullet"/>
      <w:lvlText w:val="•"/>
      <w:lvlJc w:val="left"/>
      <w:pPr>
        <w:ind w:left="6412" w:hanging="725"/>
      </w:pPr>
      <w:rPr>
        <w:rFonts w:hint="default"/>
      </w:rPr>
    </w:lvl>
    <w:lvl w:ilvl="7">
      <w:start w:val="0"/>
      <w:numFmt w:val="bullet"/>
      <w:lvlText w:val="•"/>
      <w:lvlJc w:val="left"/>
      <w:pPr>
        <w:ind w:left="7324" w:hanging="725"/>
      </w:pPr>
      <w:rPr>
        <w:rFonts w:hint="default"/>
      </w:rPr>
    </w:lvl>
    <w:lvl w:ilvl="8">
      <w:start w:val="0"/>
      <w:numFmt w:val="bullet"/>
      <w:lvlText w:val="•"/>
      <w:lvlJc w:val="left"/>
      <w:pPr>
        <w:ind w:left="8236" w:hanging="725"/>
      </w:pPr>
      <w:rPr>
        <w:rFonts w:hint="default"/>
      </w:rPr>
    </w:lvl>
  </w:abstractNum>
  <w:abstractNum w:abstractNumId="1">
    <w:multiLevelType w:val="hybridMultilevel"/>
    <w:lvl w:ilvl="0">
      <w:start w:val="1"/>
      <w:numFmt w:val="decimal"/>
      <w:lvlText w:val="%1"/>
      <w:lvlJc w:val="left"/>
      <w:pPr>
        <w:ind w:left="937" w:hanging="725"/>
        <w:jc w:val="left"/>
      </w:pPr>
      <w:rPr>
        <w:rFonts w:hint="default"/>
      </w:rPr>
    </w:lvl>
    <w:lvl w:ilvl="1">
      <w:start w:val="1"/>
      <w:numFmt w:val="decimal"/>
      <w:lvlText w:val="%1.%2"/>
      <w:lvlJc w:val="left"/>
      <w:pPr>
        <w:ind w:left="937" w:hanging="725"/>
        <w:jc w:val="left"/>
      </w:pPr>
      <w:rPr>
        <w:rFonts w:hint="default"/>
        <w:spacing w:val="0"/>
        <w:w w:val="83"/>
        <w:highlight w:val="lightGray"/>
      </w:rPr>
    </w:lvl>
    <w:lvl w:ilvl="2">
      <w:start w:val="0"/>
      <w:numFmt w:val="bullet"/>
      <w:lvlText w:val="•"/>
      <w:lvlJc w:val="left"/>
      <w:pPr>
        <w:ind w:left="2764" w:hanging="725"/>
      </w:pPr>
      <w:rPr>
        <w:rFonts w:hint="default"/>
      </w:rPr>
    </w:lvl>
    <w:lvl w:ilvl="3">
      <w:start w:val="0"/>
      <w:numFmt w:val="bullet"/>
      <w:lvlText w:val="•"/>
      <w:lvlJc w:val="left"/>
      <w:pPr>
        <w:ind w:left="3676" w:hanging="725"/>
      </w:pPr>
      <w:rPr>
        <w:rFonts w:hint="default"/>
      </w:rPr>
    </w:lvl>
    <w:lvl w:ilvl="4">
      <w:start w:val="0"/>
      <w:numFmt w:val="bullet"/>
      <w:lvlText w:val="•"/>
      <w:lvlJc w:val="left"/>
      <w:pPr>
        <w:ind w:left="4588" w:hanging="725"/>
      </w:pPr>
      <w:rPr>
        <w:rFonts w:hint="default"/>
      </w:rPr>
    </w:lvl>
    <w:lvl w:ilvl="5">
      <w:start w:val="0"/>
      <w:numFmt w:val="bullet"/>
      <w:lvlText w:val="•"/>
      <w:lvlJc w:val="left"/>
      <w:pPr>
        <w:ind w:left="5500" w:hanging="725"/>
      </w:pPr>
      <w:rPr>
        <w:rFonts w:hint="default"/>
      </w:rPr>
    </w:lvl>
    <w:lvl w:ilvl="6">
      <w:start w:val="0"/>
      <w:numFmt w:val="bullet"/>
      <w:lvlText w:val="•"/>
      <w:lvlJc w:val="left"/>
      <w:pPr>
        <w:ind w:left="6412" w:hanging="725"/>
      </w:pPr>
      <w:rPr>
        <w:rFonts w:hint="default"/>
      </w:rPr>
    </w:lvl>
    <w:lvl w:ilvl="7">
      <w:start w:val="0"/>
      <w:numFmt w:val="bullet"/>
      <w:lvlText w:val="•"/>
      <w:lvlJc w:val="left"/>
      <w:pPr>
        <w:ind w:left="7324" w:hanging="725"/>
      </w:pPr>
      <w:rPr>
        <w:rFonts w:hint="default"/>
      </w:rPr>
    </w:lvl>
    <w:lvl w:ilvl="8">
      <w:start w:val="0"/>
      <w:numFmt w:val="bullet"/>
      <w:lvlText w:val="•"/>
      <w:lvlJc w:val="left"/>
      <w:pPr>
        <w:ind w:left="8236" w:hanging="725"/>
      </w:pPr>
      <w:rPr>
        <w:rFonts w:hint="default"/>
      </w:rPr>
    </w:lvl>
  </w:abstractNum>
  <w:abstractNum w:abstractNumId="0">
    <w:multiLevelType w:val="hybridMultilevel"/>
    <w:lvl w:ilvl="0">
      <w:start w:val="0"/>
      <w:numFmt w:val="bullet"/>
      <w:lvlText w:val="❒"/>
      <w:lvlJc w:val="left"/>
      <w:pPr>
        <w:ind w:left="1457" w:hanging="339"/>
      </w:pPr>
      <w:rPr>
        <w:rFonts w:hint="default" w:ascii="MS UI Gothic" w:hAnsi="MS UI Gothic" w:eastAsia="MS UI Gothic" w:cs="MS UI Gothic"/>
        <w:w w:val="89"/>
        <w:sz w:val="18"/>
        <w:szCs w:val="18"/>
      </w:rPr>
    </w:lvl>
    <w:lvl w:ilvl="1">
      <w:start w:val="0"/>
      <w:numFmt w:val="bullet"/>
      <w:lvlText w:val="•"/>
      <w:lvlJc w:val="left"/>
      <w:pPr>
        <w:ind w:left="2328" w:hanging="339"/>
      </w:pPr>
      <w:rPr>
        <w:rFonts w:hint="default"/>
      </w:rPr>
    </w:lvl>
    <w:lvl w:ilvl="2">
      <w:start w:val="0"/>
      <w:numFmt w:val="bullet"/>
      <w:lvlText w:val="•"/>
      <w:lvlJc w:val="left"/>
      <w:pPr>
        <w:ind w:left="3196" w:hanging="339"/>
      </w:pPr>
      <w:rPr>
        <w:rFonts w:hint="default"/>
      </w:rPr>
    </w:lvl>
    <w:lvl w:ilvl="3">
      <w:start w:val="0"/>
      <w:numFmt w:val="bullet"/>
      <w:lvlText w:val="•"/>
      <w:lvlJc w:val="left"/>
      <w:pPr>
        <w:ind w:left="4064" w:hanging="339"/>
      </w:pPr>
      <w:rPr>
        <w:rFonts w:hint="default"/>
      </w:rPr>
    </w:lvl>
    <w:lvl w:ilvl="4">
      <w:start w:val="0"/>
      <w:numFmt w:val="bullet"/>
      <w:lvlText w:val="•"/>
      <w:lvlJc w:val="left"/>
      <w:pPr>
        <w:ind w:left="4932" w:hanging="339"/>
      </w:pPr>
      <w:rPr>
        <w:rFonts w:hint="default"/>
      </w:rPr>
    </w:lvl>
    <w:lvl w:ilvl="5">
      <w:start w:val="0"/>
      <w:numFmt w:val="bullet"/>
      <w:lvlText w:val="•"/>
      <w:lvlJc w:val="left"/>
      <w:pPr>
        <w:ind w:left="5800" w:hanging="339"/>
      </w:pPr>
      <w:rPr>
        <w:rFonts w:hint="default"/>
      </w:rPr>
    </w:lvl>
    <w:lvl w:ilvl="6">
      <w:start w:val="0"/>
      <w:numFmt w:val="bullet"/>
      <w:lvlText w:val="•"/>
      <w:lvlJc w:val="left"/>
      <w:pPr>
        <w:ind w:left="6668" w:hanging="339"/>
      </w:pPr>
      <w:rPr>
        <w:rFonts w:hint="default"/>
      </w:rPr>
    </w:lvl>
    <w:lvl w:ilvl="7">
      <w:start w:val="0"/>
      <w:numFmt w:val="bullet"/>
      <w:lvlText w:val="•"/>
      <w:lvlJc w:val="left"/>
      <w:pPr>
        <w:ind w:left="7536" w:hanging="339"/>
      </w:pPr>
      <w:rPr>
        <w:rFonts w:hint="default"/>
      </w:rPr>
    </w:lvl>
    <w:lvl w:ilvl="8">
      <w:start w:val="0"/>
      <w:numFmt w:val="bullet"/>
      <w:lvlText w:val="•"/>
      <w:lvlJc w:val="left"/>
      <w:pPr>
        <w:ind w:left="8404" w:hanging="339"/>
      </w:pPr>
      <w:rPr>
        <w:rFonts w:hint="default"/>
      </w:rPr>
    </w:lvl>
  </w:abstractNum>
  <w:num w:numId="4">
    <w:abstractNumId w:val="3"/>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212"/>
    </w:pPr>
    <w:rPr>
      <w:rFonts w:ascii="宋体" w:hAnsi="宋体" w:eastAsia="宋体" w:cs="宋体"/>
      <w:sz w:val="21"/>
      <w:szCs w:val="21"/>
    </w:rPr>
  </w:style>
  <w:style w:styleId="Heading1" w:type="paragraph">
    <w:name w:val="Heading 1"/>
    <w:basedOn w:val="Normal"/>
    <w:uiPriority w:val="1"/>
    <w:qFormat/>
    <w:pPr>
      <w:ind w:left="1970" w:right="1969"/>
      <w:jc w:val="center"/>
      <w:outlineLvl w:val="1"/>
    </w:pPr>
    <w:rPr>
      <w:rFonts w:ascii="Microsoft JhengHei" w:hAnsi="Microsoft JhengHei" w:eastAsia="Microsoft JhengHei" w:cs="Microsoft JhengHei"/>
      <w:b/>
      <w:bCs/>
      <w:sz w:val="32"/>
      <w:szCs w:val="32"/>
    </w:rPr>
  </w:style>
  <w:style w:styleId="Heading2" w:type="paragraph">
    <w:name w:val="Heading 2"/>
    <w:basedOn w:val="Normal"/>
    <w:uiPriority w:val="1"/>
    <w:qFormat/>
    <w:pPr>
      <w:spacing w:line="367" w:lineRule="exact"/>
      <w:ind w:left="937" w:hanging="725"/>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ind w:left="212"/>
      <w:outlineLvl w:val="3"/>
    </w:pPr>
    <w:rPr>
      <w:rFonts w:ascii="微软雅黑" w:hAnsi="微软雅黑" w:eastAsia="微软雅黑" w:cs="微软雅黑"/>
      <w:b/>
      <w:bCs/>
      <w:sz w:val="21"/>
      <w:szCs w:val="21"/>
    </w:rPr>
  </w:style>
  <w:style w:styleId="ListParagraph" w:type="paragraph">
    <w:name w:val="List Paragraph"/>
    <w:basedOn w:val="Normal"/>
    <w:uiPriority w:val="1"/>
    <w:qFormat/>
    <w:pPr>
      <w:ind w:left="937" w:hanging="725"/>
    </w:pPr>
    <w:rPr>
      <w:rFonts w:ascii="宋体" w:hAnsi="宋体" w:eastAsia="宋体" w:cs="宋体"/>
    </w:rPr>
  </w:style>
  <w:style w:styleId="TableParagraph" w:type="paragraph">
    <w:name w:val="Table Paragraph"/>
    <w:basedOn w:val="Normal"/>
    <w:uiPriority w:val="1"/>
    <w:qFormat/>
    <w:pPr>
      <w:spacing w:before="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image" Target="media/image4.png"/><Relationship Id="rId13" Type="http://schemas.openxmlformats.org/officeDocument/2006/relationships/footer" Target="foot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2017_002工银安盛人寿附加盛世如意重大疾病保险</dc:title>
  <dcterms:created xsi:type="dcterms:W3CDTF">2018-10-20T00:50:53Z</dcterms:created>
  <dcterms:modified xsi:type="dcterms:W3CDTF">2018-10-20T00:50:53Z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2017-01-24T00:00:00Z</vt:filetime>
  </property>
  <property fmtid="{D5CDD505-2E9C-101B-9397-08002B2CF9AE}" pid="3" name="Creator">
    <vt:lpwstr>PDF reDirect v2</vt:lpwstr>
  </property>
  <property fmtid="{D5CDD505-2E9C-101B-9397-08002B2CF9AE}" pid="4" name="LastSaved">
    <vt:filetime>2018-10-19T00:00:00Z</vt:filetime>
  </property>
</Properties>
</file>