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8"/>
        <w:ind w:left="920" w:right="0" w:firstLine="0"/>
        <w:jc w:val="left"/>
        <w:rPr>
          <w:rFonts w:ascii="微软雅黑" w:eastAsia="微软雅黑" w:hint="eastAsia"/>
          <w:b/>
          <w:sz w:val="28"/>
        </w:rPr>
      </w:pPr>
      <w:r>
        <w:rPr>
          <w:rFonts w:ascii="微软雅黑" w:eastAsia="微软雅黑" w:hint="eastAsia"/>
          <w:b/>
          <w:w w:val="95"/>
          <w:sz w:val="28"/>
        </w:rPr>
        <w:t>附件 1-2</w:t>
      </w:r>
    </w:p>
    <w:p>
      <w:pPr>
        <w:spacing w:before="23"/>
        <w:ind w:left="0" w:right="112" w:firstLine="0"/>
        <w:jc w:val="right"/>
        <w:rPr>
          <w:sz w:val="18"/>
        </w:rPr>
      </w:pPr>
      <w:r>
        <w:rPr/>
        <w:br w:type="column"/>
      </w:r>
      <w:r>
        <w:rPr>
          <w:sz w:val="18"/>
        </w:rPr>
        <w:t>渤海人寿[2016]疾病保险 014 号</w:t>
      </w:r>
    </w:p>
    <w:p>
      <w:pPr>
        <w:tabs>
          <w:tab w:pos="6342" w:val="left" w:leader="none"/>
        </w:tabs>
        <w:spacing w:line="1006" w:lineRule="exact" w:before="137"/>
        <w:ind w:left="161" w:right="0" w:firstLine="0"/>
        <w:jc w:val="left"/>
        <w:rPr>
          <w:rFonts w:ascii="Microsoft JhengHei" w:eastAsia="Microsoft JhengHei" w:hint="eastAsia"/>
          <w:b/>
          <w:sz w:val="32"/>
        </w:rPr>
      </w:pPr>
      <w:r>
        <w:rPr>
          <w:rFonts w:ascii="Microsoft JhengHei" w:eastAsia="Microsoft JhengHei" w:hint="eastAsia"/>
          <w:b/>
          <w:sz w:val="32"/>
        </w:rPr>
        <w:t>渤海人寿渤海</w:t>
      </w:r>
      <w:r>
        <w:rPr>
          <w:rFonts w:ascii="Microsoft JhengHei" w:eastAsia="Microsoft JhengHei" w:hint="eastAsia"/>
          <w:b/>
          <w:spacing w:val="2"/>
          <w:sz w:val="32"/>
        </w:rPr>
        <w:t> </w:t>
      </w:r>
      <w:r>
        <w:rPr>
          <w:rFonts w:ascii="Microsoft JhengHei" w:eastAsia="Microsoft JhengHei" w:hint="eastAsia"/>
          <w:b/>
          <w:sz w:val="32"/>
        </w:rPr>
        <w:t>e</w:t>
      </w:r>
      <w:r>
        <w:rPr>
          <w:rFonts w:ascii="Microsoft JhengHei" w:eastAsia="Microsoft JhengHei" w:hint="eastAsia"/>
          <w:b/>
          <w:spacing w:val="0"/>
          <w:sz w:val="32"/>
        </w:rPr>
        <w:t> </w:t>
      </w:r>
      <w:r>
        <w:rPr>
          <w:rFonts w:ascii="Microsoft JhengHei" w:eastAsia="Microsoft JhengHei" w:hint="eastAsia"/>
          <w:b/>
          <w:sz w:val="32"/>
        </w:rPr>
        <w:t>家终身重大疾病</w:t>
      </w:r>
      <w:r>
        <w:rPr>
          <w:rFonts w:ascii="Microsoft JhengHei" w:eastAsia="Microsoft JhengHei" w:hint="eastAsia"/>
          <w:b/>
          <w:spacing w:val="-5"/>
          <w:sz w:val="32"/>
        </w:rPr>
        <w:t>保</w:t>
      </w:r>
      <w:r>
        <w:rPr>
          <w:rFonts w:ascii="Microsoft JhengHei" w:eastAsia="Microsoft JhengHei" w:hint="eastAsia"/>
          <w:b/>
          <w:sz w:val="32"/>
        </w:rPr>
        <w:t>险条款</w:t>
        <w:tab/>
      </w:r>
      <w:r>
        <w:rPr>
          <w:rFonts w:ascii="Microsoft JhengHei" w:eastAsia="Microsoft JhengHei" w:hint="eastAsia"/>
          <w:b/>
          <w:position w:val="-31"/>
          <w:sz w:val="32"/>
        </w:rPr>
        <w:drawing>
          <wp:inline distT="0" distB="0" distL="0" distR="0">
            <wp:extent cx="722376" cy="7254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5424"/>
                    </a:xfrm>
                    <a:prstGeom prst="rect">
                      <a:avLst/>
                    </a:prstGeom>
                  </pic:spPr>
                </pic:pic>
              </a:graphicData>
            </a:graphic>
          </wp:inline>
        </w:drawing>
      </w:r>
      <w:r>
        <w:rPr>
          <w:rFonts w:ascii="Microsoft JhengHei" w:eastAsia="Microsoft JhengHei" w:hint="eastAsia"/>
          <w:b/>
          <w:position w:val="-31"/>
          <w:sz w:val="32"/>
        </w:rPr>
      </w:r>
    </w:p>
    <w:p>
      <w:pPr>
        <w:spacing w:line="283" w:lineRule="exact" w:before="0"/>
        <w:ind w:left="2173" w:right="0" w:firstLine="0"/>
        <w:jc w:val="left"/>
        <w:rPr>
          <w:rFonts w:ascii="Microsoft JhengHei" w:eastAsia="Microsoft JhengHei" w:hint="eastAsia"/>
          <w:b/>
          <w:sz w:val="32"/>
        </w:rPr>
      </w:pPr>
      <w:r>
        <w:rPr>
          <w:rFonts w:ascii="Microsoft JhengHei" w:eastAsia="Microsoft JhengHei" w:hint="eastAsia"/>
          <w:b/>
          <w:sz w:val="32"/>
        </w:rPr>
        <w:t>阅  读  指  引</w:t>
      </w:r>
    </w:p>
    <w:p>
      <w:pPr>
        <w:spacing w:after="0" w:line="283" w:lineRule="exact"/>
        <w:jc w:val="left"/>
        <w:rPr>
          <w:rFonts w:ascii="Microsoft JhengHei" w:eastAsia="Microsoft JhengHei" w:hint="eastAsia"/>
          <w:sz w:val="32"/>
        </w:rPr>
        <w:sectPr>
          <w:footerReference w:type="default" r:id="rId5"/>
          <w:type w:val="continuous"/>
          <w:pgSz w:w="11910" w:h="16840"/>
          <w:pgMar w:footer="150" w:top="920" w:bottom="340" w:left="880" w:right="740"/>
          <w:pgNumType w:start="1"/>
          <w:cols w:num="2" w:equalWidth="0">
            <w:col w:w="1978" w:space="40"/>
            <w:col w:w="8272"/>
          </w:cols>
        </w:sectPr>
      </w:pPr>
    </w:p>
    <w:p>
      <w:pPr>
        <w:spacing w:line="183" w:lineRule="exact" w:before="0"/>
        <w:ind w:left="0" w:right="468" w:firstLine="0"/>
        <w:jc w:val="right"/>
        <w:rPr>
          <w:sz w:val="18"/>
        </w:rPr>
      </w:pPr>
      <w:r>
        <w:rPr>
          <w:sz w:val="18"/>
        </w:rPr>
        <w:t>请扫描以查询验证条款</w:t>
      </w:r>
    </w:p>
    <w:p>
      <w:pPr>
        <w:pStyle w:val="BodyText"/>
        <w:spacing w:before="9"/>
        <w:rPr>
          <w:sz w:val="12"/>
        </w:rPr>
      </w:pPr>
    </w:p>
    <w:p>
      <w:pPr>
        <w:pStyle w:val="BodyText"/>
        <w:spacing w:line="336" w:lineRule="exact"/>
        <w:ind w:left="2026" w:right="2097"/>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8"/>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8"/>
          <w:w w:val="100"/>
        </w:rPr>
        <w:t>内</w:t>
      </w:r>
      <w:r>
        <w:rPr>
          <w:spacing w:val="-64"/>
          <w:w w:val="100"/>
          <w:position w:val="-7"/>
        </w:rPr>
        <w:t>．</w:t>
      </w:r>
      <w:r>
        <w:rPr>
          <w:spacing w:val="-148"/>
          <w:w w:val="100"/>
        </w:rPr>
        <w:t>容</w:t>
      </w:r>
      <w:r>
        <w:rPr>
          <w:spacing w:val="-64"/>
          <w:w w:val="100"/>
          <w:position w:val="-7"/>
        </w:rPr>
        <w:t>．</w:t>
      </w:r>
      <w:r>
        <w:rPr>
          <w:spacing w:val="-153"/>
          <w:w w:val="100"/>
        </w:rPr>
        <w:t>的</w:t>
      </w:r>
      <w:r>
        <w:rPr>
          <w:spacing w:val="-64"/>
          <w:w w:val="100"/>
          <w:position w:val="-7"/>
        </w:rPr>
        <w:t>．</w:t>
      </w:r>
      <w:r>
        <w:rPr>
          <w:spacing w:val="-148"/>
          <w:w w:val="100"/>
        </w:rPr>
        <w:t>解</w:t>
      </w:r>
      <w:r>
        <w:rPr>
          <w:spacing w:val="-64"/>
          <w:w w:val="100"/>
          <w:position w:val="-7"/>
        </w:rPr>
        <w:t>．</w:t>
      </w:r>
      <w:r>
        <w:rPr>
          <w:spacing w:val="-153"/>
          <w:w w:val="100"/>
        </w:rPr>
        <w:t>释</w:t>
      </w:r>
      <w:r>
        <w:rPr>
          <w:spacing w:val="-64"/>
          <w:w w:val="100"/>
          <w:position w:val="-7"/>
        </w:rPr>
        <w:t>．</w:t>
      </w:r>
      <w:r>
        <w:rPr>
          <w:spacing w:val="-148"/>
          <w:w w:val="100"/>
        </w:rPr>
        <w:t>以</w:t>
      </w:r>
      <w:r>
        <w:rPr>
          <w:spacing w:val="-64"/>
          <w:w w:val="100"/>
          <w:position w:val="-7"/>
        </w:rPr>
        <w:t>．</w:t>
      </w:r>
      <w:r>
        <w:rPr>
          <w:spacing w:val="-148"/>
          <w:w w:val="100"/>
        </w:rPr>
        <w:t>条</w:t>
      </w:r>
      <w:r>
        <w:rPr>
          <w:spacing w:val="-65"/>
          <w:w w:val="100"/>
          <w:position w:val="-7"/>
        </w:rPr>
        <w:t>．</w:t>
      </w:r>
      <w:r>
        <w:rPr>
          <w:spacing w:val="-148"/>
          <w:w w:val="100"/>
        </w:rPr>
        <w:t>款</w:t>
      </w:r>
      <w:r>
        <w:rPr>
          <w:spacing w:val="-65"/>
          <w:w w:val="100"/>
          <w:position w:val="-7"/>
        </w:rPr>
        <w:t>．</w:t>
      </w:r>
      <w:r>
        <w:rPr>
          <w:spacing w:val="-148"/>
          <w:w w:val="100"/>
        </w:rPr>
        <w:t>为</w:t>
      </w:r>
      <w:r>
        <w:rPr>
          <w:spacing w:val="-65"/>
          <w:w w:val="100"/>
          <w:position w:val="-7"/>
        </w:rPr>
        <w:t>．</w:t>
      </w:r>
      <w:r>
        <w:rPr>
          <w:spacing w:val="-152"/>
          <w:w w:val="100"/>
        </w:rPr>
        <w:t>准</w:t>
      </w:r>
      <w:r>
        <w:rPr>
          <w:spacing w:val="-65"/>
          <w:w w:val="100"/>
          <w:position w:val="-7"/>
        </w:rPr>
        <w:t>．</w:t>
      </w:r>
      <w:r>
        <w:rPr>
          <w:spacing w:val="-152"/>
          <w:w w:val="100"/>
        </w:rPr>
        <w:t>。</w:t>
      </w:r>
      <w:r>
        <w:rPr>
          <w:w w:val="100"/>
          <w:position w:val="-7"/>
        </w:rPr>
        <w:t>．</w:t>
      </w:r>
    </w:p>
    <w:p>
      <w:pPr>
        <w:pStyle w:val="ListParagraph"/>
        <w:numPr>
          <w:ilvl w:val="0"/>
          <w:numId w:val="1"/>
        </w:numPr>
        <w:tabs>
          <w:tab w:pos="641" w:val="left" w:leader="none"/>
          <w:tab w:pos="643" w:val="left" w:leader="none"/>
        </w:tabs>
        <w:spacing w:line="347" w:lineRule="exact" w:before="0" w:after="0"/>
        <w:ind w:left="642" w:right="0" w:hanging="423"/>
        <w:jc w:val="left"/>
        <w:rPr>
          <w:b/>
          <w:sz w:val="21"/>
        </w:rPr>
      </w:pPr>
      <w:r>
        <w:rPr/>
        <w:pict>
          <v:group style="position:absolute;margin-left:49.464001pt;margin-top:2.663941pt;width:496.8pt;height:609.550pt;mso-position-horizontal-relative:page;mso-position-vertical-relative:paragraph;z-index:-56560" coordorigin="989,53" coordsize="9936,12191">
            <v:line style="position:absolute" from="999,58" to="10915,58" stroked="true" strokeweight=".48pt" strokecolor="#000000">
              <v:stroke dashstyle="solid"/>
            </v:line>
            <v:line style="position:absolute" from="994,53" to="994,12244" stroked="true" strokeweight=".48pt" strokecolor="#000000">
              <v:stroke dashstyle="solid"/>
            </v:line>
            <v:line style="position:absolute" from="10920,53" to="10920,12244" stroked="true" strokeweight=".47998pt" strokecolor="#000000">
              <v:stroke dashstyle="solid"/>
            </v:line>
            <w10:wrap type="none"/>
          </v:group>
        </w:pict>
      </w:r>
      <w:r>
        <w:rPr>
          <w:b/>
          <w:sz w:val="21"/>
        </w:rPr>
        <w:t>您拥有的重要权益</w:t>
      </w:r>
    </w:p>
    <w:p>
      <w:pPr>
        <w:pStyle w:val="BodyText"/>
        <w:tabs>
          <w:tab w:pos="9678" w:val="right" w:leader="dot"/>
        </w:tabs>
        <w:spacing w:before="13"/>
        <w:ind w:left="642"/>
      </w:pPr>
      <w:r>
        <w:rPr/>
        <w:t>签收本合</w:t>
      </w:r>
      <w:r>
        <w:rPr>
          <w:spacing w:val="-5"/>
        </w:rPr>
        <w:t>同</w:t>
      </w:r>
      <w:r>
        <w:rPr/>
        <w:t>的次日</w:t>
      </w:r>
      <w:r>
        <w:rPr>
          <w:spacing w:val="-5"/>
        </w:rPr>
        <w:t>零</w:t>
      </w:r>
      <w:r>
        <w:rPr/>
        <w:t>时起</w:t>
      </w:r>
      <w:r>
        <w:rPr>
          <w:spacing w:val="-51"/>
        </w:rPr>
        <w:t> </w:t>
      </w:r>
      <w:r>
        <w:rPr/>
        <w:t>10</w:t>
      </w:r>
      <w:r>
        <w:rPr>
          <w:spacing w:val="-52"/>
        </w:rPr>
        <w:t> </w:t>
      </w:r>
      <w:r>
        <w:rPr>
          <w:spacing w:val="-5"/>
        </w:rPr>
        <w:t>日</w:t>
      </w:r>
      <w:r>
        <w:rPr/>
        <w:t>（即犹</w:t>
      </w:r>
      <w:r>
        <w:rPr>
          <w:spacing w:val="-5"/>
        </w:rPr>
        <w:t>豫</w:t>
      </w:r>
      <w:r>
        <w:rPr/>
        <w:t>期）</w:t>
      </w:r>
      <w:r>
        <w:rPr>
          <w:spacing w:val="-5"/>
        </w:rPr>
        <w:t>内</w:t>
      </w:r>
      <w:r>
        <w:rPr/>
        <w:t>您</w:t>
      </w:r>
      <w:r>
        <w:rPr>
          <w:spacing w:val="-5"/>
        </w:rPr>
        <w:t>若</w:t>
      </w:r>
      <w:r>
        <w:rPr/>
        <w:t>要求退保</w:t>
      </w:r>
      <w:r>
        <w:rPr>
          <w:spacing w:val="-5"/>
        </w:rPr>
        <w:t>，</w:t>
      </w:r>
      <w:r>
        <w:rPr/>
        <w:t>我们仅</w:t>
      </w:r>
      <w:r>
        <w:rPr>
          <w:spacing w:val="-5"/>
        </w:rPr>
        <w:t>扣</w:t>
      </w:r>
      <w:r>
        <w:rPr/>
        <w:t>除工本费</w:t>
        <w:tab/>
        <w:t>1.4</w:t>
      </w:r>
    </w:p>
    <w:p>
      <w:pPr>
        <w:pStyle w:val="BodyText"/>
        <w:tabs>
          <w:tab w:pos="9679" w:val="right" w:leader="dot"/>
        </w:tabs>
        <w:spacing w:before="37"/>
        <w:ind w:left="642"/>
      </w:pPr>
      <w:r>
        <w:rPr/>
        <w:t>本合同提</w:t>
      </w:r>
      <w:r>
        <w:rPr>
          <w:spacing w:val="-5"/>
        </w:rPr>
        <w:t>供</w:t>
      </w:r>
      <w:r>
        <w:rPr/>
        <w:t>的保障</w:t>
      </w:r>
      <w:r>
        <w:rPr>
          <w:spacing w:val="-5"/>
        </w:rPr>
        <w:t>在</w:t>
      </w:r>
      <w:r>
        <w:rPr/>
        <w:t>保险责</w:t>
      </w:r>
      <w:r>
        <w:rPr>
          <w:spacing w:val="-5"/>
        </w:rPr>
        <w:t>任</w:t>
      </w:r>
      <w:r>
        <w:rPr/>
        <w:t>条款中</w:t>
      </w:r>
      <w:r>
        <w:rPr>
          <w:spacing w:val="-5"/>
        </w:rPr>
        <w:t>列</w:t>
      </w:r>
      <w:r>
        <w:rPr/>
        <w:t>明</w:t>
        <w:tab/>
        <w:t>2.4</w:t>
      </w:r>
    </w:p>
    <w:p>
      <w:pPr>
        <w:pStyle w:val="BodyText"/>
        <w:tabs>
          <w:tab w:pos="9678" w:val="right" w:leader="dot"/>
        </w:tabs>
        <w:spacing w:before="37"/>
        <w:ind w:left="642"/>
      </w:pPr>
      <w:r>
        <w:rPr/>
        <w:t>您有按本</w:t>
      </w:r>
      <w:r>
        <w:rPr>
          <w:spacing w:val="-5"/>
        </w:rPr>
        <w:t>合</w:t>
      </w:r>
      <w:r>
        <w:rPr/>
        <w:t>同约定</w:t>
      </w:r>
      <w:r>
        <w:rPr>
          <w:spacing w:val="-5"/>
        </w:rPr>
        <w:t>申</w:t>
      </w:r>
      <w:r>
        <w:rPr/>
        <w:t>请保单</w:t>
      </w:r>
      <w:r>
        <w:rPr>
          <w:spacing w:val="-5"/>
        </w:rPr>
        <w:t>贷</w:t>
      </w:r>
      <w:r>
        <w:rPr/>
        <w:t>款的权利</w:t>
        <w:tab/>
        <w:t>5.2</w:t>
      </w:r>
    </w:p>
    <w:p>
      <w:pPr>
        <w:pStyle w:val="BodyText"/>
        <w:tabs>
          <w:tab w:pos="9678" w:val="right" w:leader="dot"/>
        </w:tabs>
        <w:spacing w:line="260" w:lineRule="exact" w:before="37"/>
        <w:ind w:left="642"/>
      </w:pPr>
      <w:r>
        <w:rPr/>
        <w:t>您有退保</w:t>
      </w:r>
      <w:r>
        <w:rPr>
          <w:spacing w:val="-5"/>
        </w:rPr>
        <w:t>的</w:t>
      </w:r>
      <w:r>
        <w:rPr/>
        <w:t>权利</w:t>
        <w:tab/>
        <w:t>7.1</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您应当特别注意的事项</w:t>
      </w:r>
    </w:p>
    <w:p>
      <w:pPr>
        <w:pStyle w:val="BodyText"/>
        <w:tabs>
          <w:tab w:pos="9678" w:val="right" w:leader="dot"/>
        </w:tabs>
        <w:spacing w:before="13"/>
        <w:ind w:left="642"/>
      </w:pPr>
      <w:r>
        <w:rPr/>
        <w:t>在某些情</w:t>
      </w:r>
      <w:r>
        <w:rPr>
          <w:spacing w:val="-5"/>
        </w:rPr>
        <w:t>况</w:t>
      </w:r>
      <w:r>
        <w:rPr/>
        <w:t>下，我</w:t>
      </w:r>
      <w:r>
        <w:rPr>
          <w:spacing w:val="-5"/>
        </w:rPr>
        <w:t>们</w:t>
      </w:r>
      <w:r>
        <w:rPr/>
        <w:t>不承担</w:t>
      </w:r>
      <w:r>
        <w:rPr>
          <w:spacing w:val="-5"/>
        </w:rPr>
        <w:t>保</w:t>
      </w:r>
      <w:r>
        <w:rPr/>
        <w:t>险责任</w:t>
        <w:tab/>
        <w:t>2.5</w:t>
      </w:r>
    </w:p>
    <w:p>
      <w:pPr>
        <w:pStyle w:val="BodyText"/>
        <w:tabs>
          <w:tab w:pos="9677" w:val="right" w:leader="dot"/>
        </w:tabs>
        <w:spacing w:before="37"/>
        <w:ind w:left="642"/>
      </w:pPr>
      <w:r>
        <w:rPr/>
        <w:t>保险事故</w:t>
      </w:r>
      <w:r>
        <w:rPr>
          <w:spacing w:val="-5"/>
        </w:rPr>
        <w:t>发</w:t>
      </w:r>
      <w:r>
        <w:rPr/>
        <w:t>生后请</w:t>
      </w:r>
      <w:r>
        <w:rPr>
          <w:spacing w:val="-5"/>
        </w:rPr>
        <w:t>您</w:t>
      </w:r>
      <w:r>
        <w:rPr/>
        <w:t>及时通</w:t>
      </w:r>
      <w:r>
        <w:rPr>
          <w:spacing w:val="-5"/>
        </w:rPr>
        <w:t>知</w:t>
      </w:r>
      <w:r>
        <w:rPr/>
        <w:t>我们</w:t>
        <w:tab/>
        <w:t>3.2</w:t>
      </w:r>
    </w:p>
    <w:p>
      <w:pPr>
        <w:pStyle w:val="BodyText"/>
        <w:tabs>
          <w:tab w:pos="9677" w:val="right" w:leader="dot"/>
        </w:tabs>
        <w:spacing w:before="37"/>
        <w:ind w:left="642"/>
      </w:pPr>
      <w:r>
        <w:rPr/>
        <w:t>您应当按</w:t>
      </w:r>
      <w:r>
        <w:rPr>
          <w:spacing w:val="-5"/>
        </w:rPr>
        <w:t>时</w:t>
      </w:r>
      <w:r>
        <w:rPr/>
        <w:t>交纳保</w:t>
      </w:r>
      <w:r>
        <w:rPr>
          <w:spacing w:val="-5"/>
        </w:rPr>
        <w:t>险</w:t>
      </w:r>
      <w:r>
        <w:rPr/>
        <w:t>费</w:t>
        <w:tab/>
        <w:t>4.1</w:t>
      </w:r>
    </w:p>
    <w:p>
      <w:pPr>
        <w:pStyle w:val="BodyText"/>
        <w:tabs>
          <w:tab w:pos="9678" w:val="right" w:leader="dot"/>
        </w:tabs>
        <w:spacing w:before="37"/>
        <w:ind w:left="642"/>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7.1</w:t>
      </w:r>
    </w:p>
    <w:p>
      <w:pPr>
        <w:pStyle w:val="BodyText"/>
        <w:tabs>
          <w:tab w:pos="9678" w:val="right" w:leader="dot"/>
        </w:tabs>
        <w:spacing w:line="260" w:lineRule="exact" w:before="37"/>
        <w:ind w:left="642"/>
      </w:pPr>
      <w:r>
        <w:rPr/>
        <w:t>您有如实</w:t>
      </w:r>
      <w:r>
        <w:rPr>
          <w:spacing w:val="-5"/>
        </w:rPr>
        <w:t>告</w:t>
      </w:r>
      <w:r>
        <w:rPr/>
        <w:t>知的义务</w:t>
        <w:tab/>
        <w:t>8.1</w:t>
      </w:r>
    </w:p>
    <w:p>
      <w:pPr>
        <w:spacing w:line="324" w:lineRule="exact" w:before="0"/>
        <w:ind w:left="219" w:right="0" w:firstLine="0"/>
        <w:jc w:val="left"/>
        <w:rPr>
          <w:rFonts w:ascii="Microsoft JhengHei" w:eastAsia="Microsoft JhengHei" w:hint="eastAsia"/>
          <w:b/>
          <w:sz w:val="21"/>
        </w:rPr>
      </w:pPr>
      <w:r>
        <w:rPr>
          <w:rFonts w:ascii="Microsoft JhengHei" w:eastAsia="Microsoft JhengHei" w:hint="eastAsia"/>
          <w:b/>
          <w:spacing w:val="-2"/>
          <w:w w:val="100"/>
          <w:sz w:val="21"/>
        </w:rPr>
        <w:t>我们对一些重要术语进行了解释，并作了显著标识，请您注意</w:t>
      </w:r>
      <w:r>
        <w:rPr>
          <w:rFonts w:ascii="Microsoft JhengHei" w:eastAsia="Microsoft JhengHei" w:hint="eastAsia"/>
          <w:b/>
          <w:w w:val="197"/>
          <w:sz w:val="21"/>
        </w:rPr>
        <w:t>...........................</w:t>
      </w:r>
      <w:r>
        <w:rPr>
          <w:rFonts w:ascii="Microsoft JhengHei" w:eastAsia="Microsoft JhengHei" w:hint="eastAsia"/>
          <w:b/>
          <w:w w:val="84"/>
          <w:sz w:val="21"/>
        </w:rPr>
        <w:t>9</w:t>
      </w:r>
      <w:r>
        <w:rPr>
          <w:rFonts w:ascii="Microsoft JhengHei" w:eastAsia="Microsoft JhengHei" w:hint="eastAsia"/>
          <w:b/>
          <w:w w:val="100"/>
          <w:sz w:val="21"/>
        </w:rPr>
        <w:t>、</w:t>
      </w:r>
      <w:r>
        <w:rPr>
          <w:rFonts w:ascii="Microsoft JhengHei" w:eastAsia="Microsoft JhengHei" w:hint="eastAsia"/>
          <w:b/>
          <w:w w:val="84"/>
          <w:sz w:val="21"/>
        </w:rPr>
        <w:t>10</w:t>
      </w:r>
      <w:r>
        <w:rPr>
          <w:rFonts w:ascii="Microsoft JhengHei" w:eastAsia="Microsoft JhengHei" w:hint="eastAsia"/>
          <w:b/>
          <w:w w:val="100"/>
          <w:sz w:val="21"/>
        </w:rPr>
        <w:t>、</w:t>
      </w:r>
      <w:r>
        <w:rPr>
          <w:rFonts w:ascii="Microsoft JhengHei" w:eastAsia="Microsoft JhengHei" w:hint="eastAsia"/>
          <w:b/>
          <w:w w:val="84"/>
          <w:sz w:val="21"/>
        </w:rPr>
        <w:t>11</w:t>
      </w:r>
    </w:p>
    <w:p>
      <w:pPr>
        <w:pStyle w:val="ListParagraph"/>
        <w:numPr>
          <w:ilvl w:val="0"/>
          <w:numId w:val="1"/>
        </w:numPr>
        <w:tabs>
          <w:tab w:pos="641" w:val="left" w:leader="none"/>
          <w:tab w:pos="643" w:val="left" w:leader="none"/>
        </w:tabs>
        <w:spacing w:line="324" w:lineRule="exact" w:before="0" w:after="0"/>
        <w:ind w:left="64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条款目录</w:t>
      </w:r>
    </w:p>
    <w:p>
      <w:pPr>
        <w:pStyle w:val="BodyText"/>
        <w:spacing w:before="10"/>
        <w:rPr>
          <w:rFonts w:ascii="Microsoft JhengHei"/>
          <w:b/>
          <w:sz w:val="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5"/>
        <w:gridCol w:w="3694"/>
        <w:gridCol w:w="3524"/>
      </w:tblGrid>
      <w:tr>
        <w:trPr>
          <w:trHeight w:val="7753" w:hRule="atLeast"/>
        </w:trPr>
        <w:tc>
          <w:tcPr>
            <w:tcW w:w="2705" w:type="dxa"/>
            <w:tcBorders>
              <w:bottom w:val="single" w:sz="4" w:space="0" w:color="000000"/>
            </w:tcBorders>
          </w:tcPr>
          <w:p>
            <w:pPr>
              <w:pStyle w:val="TableParagraph"/>
              <w:numPr>
                <w:ilvl w:val="0"/>
                <w:numId w:val="2"/>
              </w:numPr>
              <w:tabs>
                <w:tab w:pos="620" w:val="left" w:leader="none"/>
              </w:tabs>
              <w:spacing w:line="211" w:lineRule="exact" w:before="0" w:after="0"/>
              <w:ind w:left="619" w:right="0" w:hanging="317"/>
              <w:jc w:val="left"/>
              <w:rPr>
                <w:sz w:val="21"/>
              </w:rPr>
            </w:pPr>
            <w:r>
              <w:rPr>
                <w:spacing w:val="-3"/>
                <w:sz w:val="21"/>
              </w:rPr>
              <w:t>您与我们订立的合同</w:t>
            </w:r>
          </w:p>
          <w:p>
            <w:pPr>
              <w:pStyle w:val="TableParagraph"/>
              <w:numPr>
                <w:ilvl w:val="1"/>
                <w:numId w:val="2"/>
              </w:numPr>
              <w:tabs>
                <w:tab w:pos="1043" w:val="left" w:leader="none"/>
              </w:tabs>
              <w:spacing w:line="240" w:lineRule="auto" w:before="37" w:after="0"/>
              <w:ind w:left="1042" w:right="0" w:hanging="423"/>
              <w:jc w:val="left"/>
              <w:rPr>
                <w:sz w:val="21"/>
              </w:rPr>
            </w:pPr>
            <w:r>
              <w:rPr>
                <w:spacing w:val="-2"/>
                <w:sz w:val="21"/>
              </w:rPr>
              <w:t>合同构成</w:t>
            </w:r>
          </w:p>
          <w:p>
            <w:pPr>
              <w:pStyle w:val="TableParagraph"/>
              <w:numPr>
                <w:ilvl w:val="1"/>
                <w:numId w:val="2"/>
              </w:numPr>
              <w:tabs>
                <w:tab w:pos="1043" w:val="left" w:leader="none"/>
              </w:tabs>
              <w:spacing w:line="240" w:lineRule="auto" w:before="37" w:after="0"/>
              <w:ind w:left="1042" w:right="0" w:hanging="423"/>
              <w:jc w:val="left"/>
              <w:rPr>
                <w:sz w:val="21"/>
              </w:rPr>
            </w:pPr>
            <w:r>
              <w:rPr>
                <w:spacing w:val="-3"/>
                <w:sz w:val="21"/>
              </w:rPr>
              <w:t>合同成立及生效</w:t>
            </w:r>
          </w:p>
          <w:p>
            <w:pPr>
              <w:pStyle w:val="TableParagraph"/>
              <w:numPr>
                <w:ilvl w:val="1"/>
                <w:numId w:val="2"/>
              </w:numPr>
              <w:tabs>
                <w:tab w:pos="1043" w:val="left" w:leader="none"/>
              </w:tabs>
              <w:spacing w:line="240" w:lineRule="auto" w:before="37" w:after="0"/>
              <w:ind w:left="1042" w:right="0" w:hanging="423"/>
              <w:jc w:val="left"/>
              <w:rPr>
                <w:sz w:val="21"/>
              </w:rPr>
            </w:pPr>
            <w:r>
              <w:rPr>
                <w:spacing w:val="-2"/>
                <w:sz w:val="21"/>
              </w:rPr>
              <w:t>投保年龄</w:t>
            </w:r>
          </w:p>
          <w:p>
            <w:pPr>
              <w:pStyle w:val="TableParagraph"/>
              <w:numPr>
                <w:ilvl w:val="1"/>
                <w:numId w:val="2"/>
              </w:numPr>
              <w:tabs>
                <w:tab w:pos="1043" w:val="left" w:leader="none"/>
              </w:tabs>
              <w:spacing w:line="240" w:lineRule="auto" w:before="36" w:after="0"/>
              <w:ind w:left="1042" w:right="0" w:hanging="423"/>
              <w:jc w:val="left"/>
              <w:rPr>
                <w:sz w:val="21"/>
              </w:rPr>
            </w:pPr>
            <w:r>
              <w:rPr>
                <w:sz w:val="21"/>
              </w:rPr>
              <w:t>犹豫期</w:t>
            </w:r>
          </w:p>
          <w:p>
            <w:pPr>
              <w:pStyle w:val="TableParagraph"/>
              <w:numPr>
                <w:ilvl w:val="0"/>
                <w:numId w:val="2"/>
              </w:numPr>
              <w:tabs>
                <w:tab w:pos="620" w:val="left" w:leader="none"/>
              </w:tabs>
              <w:spacing w:line="240" w:lineRule="auto" w:before="36" w:after="0"/>
              <w:ind w:left="619" w:right="0" w:hanging="317"/>
              <w:jc w:val="left"/>
              <w:rPr>
                <w:sz w:val="21"/>
              </w:rPr>
            </w:pPr>
            <w:r>
              <w:rPr>
                <w:spacing w:val="-2"/>
                <w:sz w:val="21"/>
              </w:rPr>
              <w:t>我们提供的保障</w:t>
            </w:r>
          </w:p>
          <w:p>
            <w:pPr>
              <w:pStyle w:val="TableParagraph"/>
              <w:numPr>
                <w:ilvl w:val="1"/>
                <w:numId w:val="2"/>
              </w:numPr>
              <w:tabs>
                <w:tab w:pos="1043" w:val="left" w:leader="none"/>
              </w:tabs>
              <w:spacing w:line="240" w:lineRule="auto" w:before="36" w:after="0"/>
              <w:ind w:left="1037" w:right="0" w:hanging="418"/>
              <w:jc w:val="left"/>
              <w:rPr>
                <w:sz w:val="21"/>
              </w:rPr>
            </w:pPr>
            <w:r>
              <w:rPr>
                <w:spacing w:val="-2"/>
                <w:sz w:val="21"/>
              </w:rPr>
              <w:t>基本保险金额</w:t>
            </w:r>
          </w:p>
          <w:p>
            <w:pPr>
              <w:pStyle w:val="TableParagraph"/>
              <w:numPr>
                <w:ilvl w:val="1"/>
                <w:numId w:val="2"/>
              </w:numPr>
              <w:tabs>
                <w:tab w:pos="1043" w:val="left" w:leader="none"/>
              </w:tabs>
              <w:spacing w:line="273" w:lineRule="auto" w:before="36" w:after="0"/>
              <w:ind w:left="1037" w:right="187" w:hanging="418"/>
              <w:jc w:val="left"/>
              <w:rPr>
                <w:sz w:val="21"/>
              </w:rPr>
            </w:pPr>
            <w:r>
              <w:rPr>
                <w:spacing w:val="-2"/>
                <w:sz w:val="21"/>
              </w:rPr>
              <w:t>未成年人身故保险金额限制</w:t>
            </w:r>
          </w:p>
          <w:p>
            <w:pPr>
              <w:pStyle w:val="TableParagraph"/>
              <w:numPr>
                <w:ilvl w:val="1"/>
                <w:numId w:val="2"/>
              </w:numPr>
              <w:tabs>
                <w:tab w:pos="1043" w:val="left" w:leader="none"/>
              </w:tabs>
              <w:spacing w:line="240" w:lineRule="auto" w:before="7" w:after="0"/>
              <w:ind w:left="1037" w:right="0" w:hanging="418"/>
              <w:jc w:val="left"/>
              <w:rPr>
                <w:sz w:val="21"/>
              </w:rPr>
            </w:pPr>
            <w:r>
              <w:rPr>
                <w:spacing w:val="-2"/>
                <w:sz w:val="21"/>
              </w:rPr>
              <w:t>保险期间</w:t>
            </w:r>
          </w:p>
          <w:p>
            <w:pPr>
              <w:pStyle w:val="TableParagraph"/>
              <w:numPr>
                <w:ilvl w:val="1"/>
                <w:numId w:val="2"/>
              </w:numPr>
              <w:tabs>
                <w:tab w:pos="1043" w:val="left" w:leader="none"/>
              </w:tabs>
              <w:spacing w:line="240" w:lineRule="auto" w:before="37" w:after="0"/>
              <w:ind w:left="1037" w:right="0" w:hanging="418"/>
              <w:jc w:val="left"/>
              <w:rPr>
                <w:sz w:val="21"/>
              </w:rPr>
            </w:pPr>
            <w:r>
              <w:rPr>
                <w:spacing w:val="-2"/>
                <w:sz w:val="21"/>
              </w:rPr>
              <w:t>保险责任</w:t>
            </w:r>
          </w:p>
          <w:p>
            <w:pPr>
              <w:pStyle w:val="TableParagraph"/>
              <w:numPr>
                <w:ilvl w:val="1"/>
                <w:numId w:val="2"/>
              </w:numPr>
              <w:tabs>
                <w:tab w:pos="1043" w:val="left" w:leader="none"/>
              </w:tabs>
              <w:spacing w:line="240" w:lineRule="auto" w:before="37" w:after="0"/>
              <w:ind w:left="1037" w:right="0" w:hanging="418"/>
              <w:jc w:val="left"/>
              <w:rPr>
                <w:sz w:val="21"/>
              </w:rPr>
            </w:pPr>
            <w:r>
              <w:rPr>
                <w:spacing w:val="-2"/>
                <w:sz w:val="21"/>
              </w:rPr>
              <w:t>责任免除</w:t>
            </w:r>
          </w:p>
          <w:p>
            <w:pPr>
              <w:pStyle w:val="TableParagraph"/>
              <w:numPr>
                <w:ilvl w:val="0"/>
                <w:numId w:val="2"/>
              </w:numPr>
              <w:tabs>
                <w:tab w:pos="620" w:val="left" w:leader="none"/>
              </w:tabs>
              <w:spacing w:line="273" w:lineRule="auto" w:before="37" w:after="0"/>
              <w:ind w:left="619" w:right="192" w:hanging="317"/>
              <w:jc w:val="left"/>
              <w:rPr>
                <w:sz w:val="21"/>
              </w:rPr>
            </w:pPr>
            <w:r>
              <w:rPr>
                <w:spacing w:val="-3"/>
                <w:sz w:val="21"/>
              </w:rPr>
              <w:t>保险金及豁免保险费的申请</w:t>
            </w:r>
          </w:p>
          <w:p>
            <w:pPr>
              <w:pStyle w:val="TableParagraph"/>
              <w:numPr>
                <w:ilvl w:val="1"/>
                <w:numId w:val="2"/>
              </w:numPr>
              <w:tabs>
                <w:tab w:pos="1043" w:val="left" w:leader="none"/>
              </w:tabs>
              <w:spacing w:line="240" w:lineRule="auto" w:before="8" w:after="0"/>
              <w:ind w:left="1037" w:right="0" w:hanging="418"/>
              <w:jc w:val="left"/>
              <w:rPr>
                <w:sz w:val="21"/>
              </w:rPr>
            </w:pPr>
            <w:r>
              <w:rPr>
                <w:sz w:val="21"/>
              </w:rPr>
              <w:t>受益人</w:t>
            </w:r>
          </w:p>
          <w:p>
            <w:pPr>
              <w:pStyle w:val="TableParagraph"/>
              <w:numPr>
                <w:ilvl w:val="1"/>
                <w:numId w:val="2"/>
              </w:numPr>
              <w:tabs>
                <w:tab w:pos="1043" w:val="left" w:leader="none"/>
              </w:tabs>
              <w:spacing w:line="240" w:lineRule="auto" w:before="37" w:after="0"/>
              <w:ind w:left="1037" w:right="0" w:hanging="418"/>
              <w:jc w:val="left"/>
              <w:rPr>
                <w:sz w:val="21"/>
              </w:rPr>
            </w:pPr>
            <w:r>
              <w:rPr>
                <w:spacing w:val="-2"/>
                <w:sz w:val="21"/>
              </w:rPr>
              <w:t>保险事故通知</w:t>
            </w:r>
          </w:p>
          <w:p>
            <w:pPr>
              <w:pStyle w:val="TableParagraph"/>
              <w:numPr>
                <w:ilvl w:val="1"/>
                <w:numId w:val="2"/>
              </w:numPr>
              <w:tabs>
                <w:tab w:pos="1043" w:val="left" w:leader="none"/>
              </w:tabs>
              <w:spacing w:line="273" w:lineRule="auto" w:before="37" w:after="0"/>
              <w:ind w:left="1037" w:right="187" w:hanging="418"/>
              <w:jc w:val="left"/>
              <w:rPr>
                <w:sz w:val="21"/>
              </w:rPr>
            </w:pPr>
            <w:r>
              <w:rPr>
                <w:spacing w:val="-2"/>
                <w:sz w:val="21"/>
              </w:rPr>
              <w:t>保险金及豁免保险费申请</w:t>
            </w:r>
          </w:p>
          <w:p>
            <w:pPr>
              <w:pStyle w:val="TableParagraph"/>
              <w:numPr>
                <w:ilvl w:val="1"/>
                <w:numId w:val="2"/>
              </w:numPr>
              <w:tabs>
                <w:tab w:pos="1043" w:val="left" w:leader="none"/>
              </w:tabs>
              <w:spacing w:line="240" w:lineRule="auto" w:before="7" w:after="0"/>
              <w:ind w:left="1037" w:right="0" w:hanging="418"/>
              <w:jc w:val="left"/>
              <w:rPr>
                <w:sz w:val="21"/>
              </w:rPr>
            </w:pPr>
            <w:r>
              <w:rPr>
                <w:spacing w:val="-2"/>
                <w:sz w:val="21"/>
              </w:rPr>
              <w:t>保险金给付</w:t>
            </w:r>
          </w:p>
          <w:p>
            <w:pPr>
              <w:pStyle w:val="TableParagraph"/>
              <w:numPr>
                <w:ilvl w:val="1"/>
                <w:numId w:val="2"/>
              </w:numPr>
              <w:tabs>
                <w:tab w:pos="1043" w:val="left" w:leader="none"/>
              </w:tabs>
              <w:spacing w:line="240" w:lineRule="auto" w:before="37" w:after="0"/>
              <w:ind w:left="1037" w:right="0" w:hanging="418"/>
              <w:jc w:val="left"/>
              <w:rPr>
                <w:sz w:val="21"/>
              </w:rPr>
            </w:pPr>
            <w:r>
              <w:rPr>
                <w:spacing w:val="-2"/>
                <w:sz w:val="21"/>
              </w:rPr>
              <w:t>宣告死亡处理</w:t>
            </w:r>
          </w:p>
          <w:p>
            <w:pPr>
              <w:pStyle w:val="TableParagraph"/>
              <w:numPr>
                <w:ilvl w:val="1"/>
                <w:numId w:val="2"/>
              </w:numPr>
              <w:tabs>
                <w:tab w:pos="1043" w:val="left" w:leader="none"/>
              </w:tabs>
              <w:spacing w:line="240" w:lineRule="auto" w:before="37" w:after="0"/>
              <w:ind w:left="1037" w:right="0" w:hanging="418"/>
              <w:jc w:val="left"/>
              <w:rPr>
                <w:sz w:val="21"/>
              </w:rPr>
            </w:pPr>
            <w:r>
              <w:rPr>
                <w:spacing w:val="-2"/>
                <w:sz w:val="21"/>
              </w:rPr>
              <w:t>诉讼时效</w:t>
            </w:r>
          </w:p>
          <w:p>
            <w:pPr>
              <w:pStyle w:val="TableParagraph"/>
              <w:numPr>
                <w:ilvl w:val="0"/>
                <w:numId w:val="2"/>
              </w:numPr>
              <w:tabs>
                <w:tab w:pos="620" w:val="left" w:leader="none"/>
              </w:tabs>
              <w:spacing w:line="240" w:lineRule="auto" w:before="37" w:after="0"/>
              <w:ind w:left="619" w:right="0" w:hanging="317"/>
              <w:jc w:val="left"/>
              <w:rPr>
                <w:sz w:val="21"/>
              </w:rPr>
            </w:pPr>
            <w:r>
              <w:rPr>
                <w:spacing w:val="-2"/>
                <w:sz w:val="21"/>
              </w:rPr>
              <w:t>保险费的交纳</w:t>
            </w:r>
          </w:p>
          <w:p>
            <w:pPr>
              <w:pStyle w:val="TableParagraph"/>
              <w:numPr>
                <w:ilvl w:val="1"/>
                <w:numId w:val="2"/>
              </w:numPr>
              <w:tabs>
                <w:tab w:pos="1043" w:val="left" w:leader="none"/>
              </w:tabs>
              <w:spacing w:line="240" w:lineRule="auto" w:before="37" w:after="0"/>
              <w:ind w:left="1042" w:right="0" w:hanging="423"/>
              <w:jc w:val="left"/>
              <w:rPr>
                <w:sz w:val="21"/>
              </w:rPr>
            </w:pPr>
            <w:r>
              <w:rPr>
                <w:spacing w:val="-2"/>
                <w:sz w:val="21"/>
              </w:rPr>
              <w:t>保险费的交纳</w:t>
            </w:r>
          </w:p>
          <w:p>
            <w:pPr>
              <w:pStyle w:val="TableParagraph"/>
              <w:numPr>
                <w:ilvl w:val="1"/>
                <w:numId w:val="2"/>
              </w:numPr>
              <w:tabs>
                <w:tab w:pos="1043" w:val="left" w:leader="none"/>
              </w:tabs>
              <w:spacing w:line="240" w:lineRule="auto" w:before="37" w:after="0"/>
              <w:ind w:left="1042" w:right="0" w:hanging="423"/>
              <w:jc w:val="left"/>
              <w:rPr>
                <w:sz w:val="21"/>
              </w:rPr>
            </w:pPr>
            <w:r>
              <w:rPr>
                <w:sz w:val="21"/>
              </w:rPr>
              <w:t>宽限期</w:t>
            </w:r>
          </w:p>
        </w:tc>
        <w:tc>
          <w:tcPr>
            <w:tcW w:w="3694" w:type="dxa"/>
            <w:tcBorders>
              <w:bottom w:val="single" w:sz="4" w:space="0" w:color="000000"/>
            </w:tcBorders>
          </w:tcPr>
          <w:p>
            <w:pPr>
              <w:pStyle w:val="TableParagraph"/>
              <w:numPr>
                <w:ilvl w:val="0"/>
                <w:numId w:val="3"/>
              </w:numPr>
              <w:tabs>
                <w:tab w:pos="508" w:val="left" w:leader="none"/>
              </w:tabs>
              <w:spacing w:line="211" w:lineRule="exact" w:before="0" w:after="0"/>
              <w:ind w:left="507" w:right="0" w:hanging="317"/>
              <w:jc w:val="left"/>
              <w:rPr>
                <w:sz w:val="21"/>
              </w:rPr>
            </w:pPr>
            <w:r>
              <w:rPr>
                <w:spacing w:val="-2"/>
                <w:sz w:val="21"/>
              </w:rPr>
              <w:t>现金价值权益</w:t>
            </w:r>
          </w:p>
          <w:p>
            <w:pPr>
              <w:pStyle w:val="TableParagraph"/>
              <w:numPr>
                <w:ilvl w:val="1"/>
                <w:numId w:val="3"/>
              </w:numPr>
              <w:tabs>
                <w:tab w:pos="931" w:val="left" w:leader="none"/>
              </w:tabs>
              <w:spacing w:line="240" w:lineRule="auto" w:before="37" w:after="0"/>
              <w:ind w:left="930" w:right="0" w:hanging="423"/>
              <w:jc w:val="left"/>
              <w:rPr>
                <w:sz w:val="21"/>
              </w:rPr>
            </w:pPr>
            <w:r>
              <w:rPr>
                <w:spacing w:val="-3"/>
                <w:sz w:val="21"/>
              </w:rPr>
              <w:t>现金价值</w:t>
            </w:r>
          </w:p>
          <w:p>
            <w:pPr>
              <w:pStyle w:val="TableParagraph"/>
              <w:numPr>
                <w:ilvl w:val="1"/>
                <w:numId w:val="3"/>
              </w:numPr>
              <w:tabs>
                <w:tab w:pos="931" w:val="left" w:leader="none"/>
              </w:tabs>
              <w:spacing w:line="240" w:lineRule="auto" w:before="37" w:after="0"/>
              <w:ind w:left="930" w:right="0" w:hanging="423"/>
              <w:jc w:val="left"/>
              <w:rPr>
                <w:sz w:val="21"/>
              </w:rPr>
            </w:pPr>
            <w:r>
              <w:rPr>
                <w:spacing w:val="-2"/>
                <w:sz w:val="21"/>
              </w:rPr>
              <w:t>保单贷款</w:t>
            </w:r>
          </w:p>
          <w:p>
            <w:pPr>
              <w:pStyle w:val="TableParagraph"/>
              <w:numPr>
                <w:ilvl w:val="0"/>
                <w:numId w:val="3"/>
              </w:numPr>
              <w:tabs>
                <w:tab w:pos="508" w:val="left" w:leader="none"/>
              </w:tabs>
              <w:spacing w:line="240" w:lineRule="auto" w:before="37" w:after="0"/>
              <w:ind w:left="507" w:right="0" w:hanging="317"/>
              <w:jc w:val="left"/>
              <w:rPr>
                <w:sz w:val="21"/>
              </w:rPr>
            </w:pPr>
            <w:r>
              <w:rPr>
                <w:spacing w:val="-3"/>
                <w:sz w:val="21"/>
              </w:rPr>
              <w:t>合同效力的中止及恢复</w:t>
            </w:r>
          </w:p>
          <w:p>
            <w:pPr>
              <w:pStyle w:val="TableParagraph"/>
              <w:numPr>
                <w:ilvl w:val="1"/>
                <w:numId w:val="3"/>
              </w:numPr>
              <w:tabs>
                <w:tab w:pos="935" w:val="left" w:leader="none"/>
              </w:tabs>
              <w:spacing w:line="240" w:lineRule="auto" w:before="36" w:after="0"/>
              <w:ind w:left="934" w:right="0" w:hanging="423"/>
              <w:jc w:val="left"/>
              <w:rPr>
                <w:sz w:val="21"/>
              </w:rPr>
            </w:pPr>
            <w:r>
              <w:rPr>
                <w:spacing w:val="-2"/>
                <w:sz w:val="21"/>
              </w:rPr>
              <w:t>效力中止</w:t>
            </w:r>
          </w:p>
          <w:p>
            <w:pPr>
              <w:pStyle w:val="TableParagraph"/>
              <w:numPr>
                <w:ilvl w:val="1"/>
                <w:numId w:val="3"/>
              </w:numPr>
              <w:tabs>
                <w:tab w:pos="931" w:val="left" w:leader="none"/>
              </w:tabs>
              <w:spacing w:line="240" w:lineRule="auto" w:before="36" w:after="0"/>
              <w:ind w:left="930" w:right="0" w:hanging="423"/>
              <w:jc w:val="left"/>
              <w:rPr>
                <w:sz w:val="21"/>
              </w:rPr>
            </w:pPr>
            <w:r>
              <w:rPr>
                <w:spacing w:val="-2"/>
                <w:sz w:val="21"/>
              </w:rPr>
              <w:t>效力恢复</w:t>
            </w:r>
          </w:p>
          <w:p>
            <w:pPr>
              <w:pStyle w:val="TableParagraph"/>
              <w:numPr>
                <w:ilvl w:val="0"/>
                <w:numId w:val="3"/>
              </w:numPr>
              <w:tabs>
                <w:tab w:pos="508" w:val="left" w:leader="none"/>
              </w:tabs>
              <w:spacing w:line="240" w:lineRule="auto" w:before="36" w:after="0"/>
              <w:ind w:left="507" w:right="0" w:hanging="317"/>
              <w:jc w:val="left"/>
              <w:rPr>
                <w:sz w:val="21"/>
              </w:rPr>
            </w:pPr>
            <w:r>
              <w:rPr>
                <w:sz w:val="21"/>
              </w:rPr>
              <w:t>合同解除</w:t>
            </w:r>
          </w:p>
          <w:p>
            <w:pPr>
              <w:pStyle w:val="TableParagraph"/>
              <w:numPr>
                <w:ilvl w:val="1"/>
                <w:numId w:val="3"/>
              </w:numPr>
              <w:tabs>
                <w:tab w:pos="931" w:val="left" w:leader="none"/>
              </w:tabs>
              <w:spacing w:line="240" w:lineRule="auto" w:before="36" w:after="0"/>
              <w:ind w:left="930" w:right="0" w:hanging="423"/>
              <w:jc w:val="left"/>
              <w:rPr>
                <w:sz w:val="21"/>
              </w:rPr>
            </w:pPr>
            <w:r>
              <w:rPr>
                <w:spacing w:val="-3"/>
                <w:sz w:val="21"/>
              </w:rPr>
              <w:t>您解除合同的手续及风险</w:t>
            </w:r>
          </w:p>
          <w:p>
            <w:pPr>
              <w:pStyle w:val="TableParagraph"/>
              <w:numPr>
                <w:ilvl w:val="0"/>
                <w:numId w:val="3"/>
              </w:numPr>
              <w:tabs>
                <w:tab w:pos="508" w:val="left" w:leader="none"/>
              </w:tabs>
              <w:spacing w:line="240" w:lineRule="auto" w:before="37" w:after="0"/>
              <w:ind w:left="507" w:right="0" w:hanging="317"/>
              <w:jc w:val="left"/>
              <w:rPr>
                <w:sz w:val="21"/>
              </w:rPr>
            </w:pPr>
            <w:r>
              <w:rPr>
                <w:spacing w:val="-3"/>
                <w:sz w:val="21"/>
              </w:rPr>
              <w:t>其它需要关注的事项</w:t>
            </w:r>
          </w:p>
          <w:p>
            <w:pPr>
              <w:pStyle w:val="TableParagraph"/>
              <w:numPr>
                <w:ilvl w:val="1"/>
                <w:numId w:val="3"/>
              </w:numPr>
              <w:tabs>
                <w:tab w:pos="931" w:val="left" w:leader="none"/>
              </w:tabs>
              <w:spacing w:line="240" w:lineRule="auto" w:before="37" w:after="0"/>
              <w:ind w:left="930" w:right="0" w:hanging="423"/>
              <w:jc w:val="left"/>
              <w:rPr>
                <w:sz w:val="21"/>
              </w:rPr>
            </w:pPr>
            <w:r>
              <w:rPr>
                <w:spacing w:val="-3"/>
                <w:sz w:val="21"/>
              </w:rPr>
              <w:t>明确说明与如实告知</w:t>
            </w:r>
          </w:p>
          <w:p>
            <w:pPr>
              <w:pStyle w:val="TableParagraph"/>
              <w:numPr>
                <w:ilvl w:val="1"/>
                <w:numId w:val="3"/>
              </w:numPr>
              <w:tabs>
                <w:tab w:pos="931" w:val="left" w:leader="none"/>
              </w:tabs>
              <w:spacing w:line="240" w:lineRule="auto" w:before="37" w:after="0"/>
              <w:ind w:left="930" w:right="0" w:hanging="423"/>
              <w:jc w:val="left"/>
              <w:rPr>
                <w:sz w:val="21"/>
              </w:rPr>
            </w:pPr>
            <w:r>
              <w:rPr>
                <w:spacing w:val="-3"/>
                <w:sz w:val="21"/>
              </w:rPr>
              <w:t>我们合同解除权的限制</w:t>
            </w:r>
          </w:p>
          <w:p>
            <w:pPr>
              <w:pStyle w:val="TableParagraph"/>
              <w:numPr>
                <w:ilvl w:val="1"/>
                <w:numId w:val="3"/>
              </w:numPr>
              <w:tabs>
                <w:tab w:pos="931" w:val="left" w:leader="none"/>
              </w:tabs>
              <w:spacing w:line="240" w:lineRule="auto" w:before="37" w:after="0"/>
              <w:ind w:left="930" w:right="0" w:hanging="423"/>
              <w:jc w:val="left"/>
              <w:rPr>
                <w:sz w:val="21"/>
              </w:rPr>
            </w:pPr>
            <w:r>
              <w:rPr>
                <w:spacing w:val="-2"/>
                <w:sz w:val="21"/>
              </w:rPr>
              <w:t>年龄性别错误</w:t>
            </w:r>
          </w:p>
          <w:p>
            <w:pPr>
              <w:pStyle w:val="TableParagraph"/>
              <w:numPr>
                <w:ilvl w:val="1"/>
                <w:numId w:val="3"/>
              </w:numPr>
              <w:tabs>
                <w:tab w:pos="931" w:val="left" w:leader="none"/>
              </w:tabs>
              <w:spacing w:line="240" w:lineRule="auto" w:before="37" w:after="0"/>
              <w:ind w:left="930" w:right="0" w:hanging="423"/>
              <w:jc w:val="left"/>
              <w:rPr>
                <w:sz w:val="21"/>
              </w:rPr>
            </w:pPr>
            <w:r>
              <w:rPr>
                <w:spacing w:val="-2"/>
                <w:sz w:val="21"/>
              </w:rPr>
              <w:t>未还款项</w:t>
            </w:r>
          </w:p>
          <w:p>
            <w:pPr>
              <w:pStyle w:val="TableParagraph"/>
              <w:numPr>
                <w:ilvl w:val="1"/>
                <w:numId w:val="3"/>
              </w:numPr>
              <w:tabs>
                <w:tab w:pos="931" w:val="left" w:leader="none"/>
              </w:tabs>
              <w:spacing w:line="240" w:lineRule="auto" w:before="37" w:after="0"/>
              <w:ind w:left="930" w:right="0" w:hanging="423"/>
              <w:jc w:val="left"/>
              <w:rPr>
                <w:sz w:val="21"/>
              </w:rPr>
            </w:pPr>
            <w:r>
              <w:rPr>
                <w:spacing w:val="-2"/>
                <w:sz w:val="21"/>
              </w:rPr>
              <w:t>合同内容变更</w:t>
            </w:r>
          </w:p>
          <w:p>
            <w:pPr>
              <w:pStyle w:val="TableParagraph"/>
              <w:numPr>
                <w:ilvl w:val="1"/>
                <w:numId w:val="3"/>
              </w:numPr>
              <w:tabs>
                <w:tab w:pos="931" w:val="left" w:leader="none"/>
              </w:tabs>
              <w:spacing w:line="240" w:lineRule="auto" w:before="37" w:after="0"/>
              <w:ind w:left="930" w:right="0" w:hanging="423"/>
              <w:jc w:val="left"/>
              <w:rPr>
                <w:sz w:val="21"/>
              </w:rPr>
            </w:pPr>
            <w:r>
              <w:rPr>
                <w:spacing w:val="-2"/>
                <w:sz w:val="21"/>
              </w:rPr>
              <w:t>联系方式变更</w:t>
            </w:r>
          </w:p>
          <w:p>
            <w:pPr>
              <w:pStyle w:val="TableParagraph"/>
              <w:numPr>
                <w:ilvl w:val="1"/>
                <w:numId w:val="3"/>
              </w:numPr>
              <w:tabs>
                <w:tab w:pos="931" w:val="left" w:leader="none"/>
              </w:tabs>
              <w:spacing w:line="240" w:lineRule="auto" w:before="36" w:after="0"/>
              <w:ind w:left="930" w:right="0" w:hanging="423"/>
              <w:jc w:val="left"/>
              <w:rPr>
                <w:sz w:val="21"/>
              </w:rPr>
            </w:pPr>
            <w:r>
              <w:rPr>
                <w:spacing w:val="-2"/>
                <w:sz w:val="21"/>
              </w:rPr>
              <w:t>争议处理</w:t>
            </w:r>
          </w:p>
          <w:p>
            <w:pPr>
              <w:pStyle w:val="TableParagraph"/>
              <w:numPr>
                <w:ilvl w:val="1"/>
                <w:numId w:val="3"/>
              </w:numPr>
              <w:tabs>
                <w:tab w:pos="931" w:val="left" w:leader="none"/>
              </w:tabs>
              <w:spacing w:line="240" w:lineRule="auto" w:before="36" w:after="0"/>
              <w:ind w:left="930" w:right="0" w:hanging="423"/>
              <w:jc w:val="left"/>
              <w:rPr>
                <w:sz w:val="21"/>
              </w:rPr>
            </w:pPr>
            <w:r>
              <w:rPr>
                <w:spacing w:val="-2"/>
                <w:sz w:val="21"/>
              </w:rPr>
              <w:t>保险事故鉴定</w:t>
            </w:r>
          </w:p>
          <w:p>
            <w:pPr>
              <w:pStyle w:val="TableParagraph"/>
              <w:numPr>
                <w:ilvl w:val="0"/>
                <w:numId w:val="3"/>
              </w:numPr>
              <w:tabs>
                <w:tab w:pos="508" w:val="left" w:leader="none"/>
              </w:tabs>
              <w:spacing w:line="240" w:lineRule="auto" w:before="36" w:after="0"/>
              <w:ind w:left="507" w:right="0" w:hanging="317"/>
              <w:jc w:val="left"/>
              <w:rPr>
                <w:sz w:val="21"/>
              </w:rPr>
            </w:pPr>
            <w:r>
              <w:rPr>
                <w:spacing w:val="-2"/>
                <w:sz w:val="21"/>
              </w:rPr>
              <w:t>轻症疾病定义</w:t>
            </w:r>
          </w:p>
          <w:p>
            <w:pPr>
              <w:pStyle w:val="TableParagraph"/>
              <w:numPr>
                <w:ilvl w:val="1"/>
                <w:numId w:val="3"/>
              </w:numPr>
              <w:tabs>
                <w:tab w:pos="931" w:val="left" w:leader="none"/>
              </w:tabs>
              <w:spacing w:line="240" w:lineRule="auto" w:before="36" w:after="0"/>
              <w:ind w:left="930" w:right="0" w:hanging="423"/>
              <w:jc w:val="left"/>
              <w:rPr>
                <w:sz w:val="21"/>
              </w:rPr>
            </w:pPr>
            <w:r>
              <w:rPr>
                <w:spacing w:val="-2"/>
                <w:sz w:val="21"/>
              </w:rPr>
              <w:t>轻症疾病</w:t>
            </w:r>
          </w:p>
          <w:p>
            <w:pPr>
              <w:pStyle w:val="TableParagraph"/>
              <w:spacing w:before="37"/>
              <w:ind w:left="190"/>
              <w:rPr>
                <w:sz w:val="21"/>
              </w:rPr>
            </w:pPr>
            <w:r>
              <w:rPr>
                <w:sz w:val="21"/>
              </w:rPr>
              <w:t>10.重大疾病定义</w:t>
            </w:r>
          </w:p>
          <w:p>
            <w:pPr>
              <w:pStyle w:val="TableParagraph"/>
              <w:spacing w:before="37"/>
              <w:ind w:left="507"/>
              <w:rPr>
                <w:sz w:val="21"/>
              </w:rPr>
            </w:pPr>
            <w:r>
              <w:rPr>
                <w:sz w:val="21"/>
              </w:rPr>
              <w:t>10.1 重大疾病</w:t>
            </w:r>
          </w:p>
          <w:p>
            <w:pPr>
              <w:pStyle w:val="TableParagraph"/>
              <w:numPr>
                <w:ilvl w:val="0"/>
                <w:numId w:val="4"/>
              </w:numPr>
              <w:tabs>
                <w:tab w:pos="614" w:val="left" w:leader="none"/>
              </w:tabs>
              <w:spacing w:line="240" w:lineRule="auto" w:before="37" w:after="0"/>
              <w:ind w:left="613" w:right="0" w:hanging="423"/>
              <w:jc w:val="left"/>
              <w:rPr>
                <w:sz w:val="21"/>
              </w:rPr>
            </w:pPr>
            <w:r>
              <w:rPr>
                <w:sz w:val="21"/>
              </w:rPr>
              <w:t>释义</w:t>
            </w:r>
          </w:p>
          <w:p>
            <w:pPr>
              <w:pStyle w:val="TableParagraph"/>
              <w:numPr>
                <w:ilvl w:val="1"/>
                <w:numId w:val="4"/>
              </w:numPr>
              <w:tabs>
                <w:tab w:pos="1036" w:val="left" w:leader="none"/>
              </w:tabs>
              <w:spacing w:line="240" w:lineRule="auto" w:before="37" w:after="0"/>
              <w:ind w:left="1035" w:right="0" w:hanging="528"/>
              <w:jc w:val="left"/>
              <w:rPr>
                <w:sz w:val="21"/>
              </w:rPr>
            </w:pPr>
            <w:r>
              <w:rPr>
                <w:spacing w:val="-2"/>
                <w:sz w:val="21"/>
              </w:rPr>
              <w:t>合法有效</w:t>
            </w:r>
          </w:p>
          <w:p>
            <w:pPr>
              <w:pStyle w:val="TableParagraph"/>
              <w:numPr>
                <w:ilvl w:val="1"/>
                <w:numId w:val="4"/>
              </w:numPr>
              <w:tabs>
                <w:tab w:pos="1036" w:val="left" w:leader="none"/>
              </w:tabs>
              <w:spacing w:line="240" w:lineRule="auto" w:before="37" w:after="0"/>
              <w:ind w:left="1035" w:right="0" w:hanging="528"/>
              <w:jc w:val="left"/>
              <w:rPr>
                <w:sz w:val="21"/>
              </w:rPr>
            </w:pPr>
            <w:r>
              <w:rPr>
                <w:spacing w:val="-2"/>
                <w:sz w:val="21"/>
              </w:rPr>
              <w:t>保单年度</w:t>
            </w:r>
          </w:p>
        </w:tc>
        <w:tc>
          <w:tcPr>
            <w:tcW w:w="3524" w:type="dxa"/>
            <w:tcBorders>
              <w:bottom w:val="single" w:sz="4" w:space="0" w:color="000000"/>
            </w:tcBorders>
          </w:tcPr>
          <w:p>
            <w:pPr>
              <w:pStyle w:val="TableParagraph"/>
              <w:numPr>
                <w:ilvl w:val="1"/>
                <w:numId w:val="5"/>
              </w:numPr>
              <w:tabs>
                <w:tab w:pos="982" w:val="left" w:leader="none"/>
              </w:tabs>
              <w:spacing w:line="211" w:lineRule="exact" w:before="0" w:after="0"/>
              <w:ind w:left="1082" w:right="0" w:hanging="630"/>
              <w:jc w:val="left"/>
              <w:rPr>
                <w:sz w:val="21"/>
              </w:rPr>
            </w:pPr>
            <w:r>
              <w:rPr>
                <w:spacing w:val="-3"/>
                <w:sz w:val="21"/>
              </w:rPr>
              <w:t>保险费约定交纳日</w:t>
            </w:r>
          </w:p>
          <w:p>
            <w:pPr>
              <w:pStyle w:val="TableParagraph"/>
              <w:numPr>
                <w:ilvl w:val="1"/>
                <w:numId w:val="5"/>
              </w:numPr>
              <w:tabs>
                <w:tab w:pos="982" w:val="left" w:leader="none"/>
              </w:tabs>
              <w:spacing w:line="240" w:lineRule="auto" w:before="37" w:after="0"/>
              <w:ind w:left="1082" w:right="0" w:hanging="630"/>
              <w:jc w:val="left"/>
              <w:rPr>
                <w:sz w:val="21"/>
              </w:rPr>
            </w:pPr>
            <w:r>
              <w:rPr>
                <w:sz w:val="21"/>
              </w:rPr>
              <w:t>周岁</w:t>
            </w:r>
          </w:p>
          <w:p>
            <w:pPr>
              <w:pStyle w:val="TableParagraph"/>
              <w:numPr>
                <w:ilvl w:val="1"/>
                <w:numId w:val="5"/>
              </w:numPr>
              <w:tabs>
                <w:tab w:pos="982" w:val="left" w:leader="none"/>
              </w:tabs>
              <w:spacing w:line="240" w:lineRule="auto" w:before="37" w:after="0"/>
              <w:ind w:left="1082" w:right="0" w:hanging="630"/>
              <w:jc w:val="left"/>
              <w:rPr>
                <w:sz w:val="21"/>
              </w:rPr>
            </w:pPr>
            <w:r>
              <w:rPr>
                <w:spacing w:val="-2"/>
                <w:sz w:val="21"/>
              </w:rPr>
              <w:t>有效身份证件</w:t>
            </w:r>
          </w:p>
          <w:p>
            <w:pPr>
              <w:pStyle w:val="TableParagraph"/>
              <w:numPr>
                <w:ilvl w:val="1"/>
                <w:numId w:val="5"/>
              </w:numPr>
              <w:tabs>
                <w:tab w:pos="982" w:val="left" w:leader="none"/>
              </w:tabs>
              <w:spacing w:line="240" w:lineRule="auto" w:before="37" w:after="0"/>
              <w:ind w:left="1082" w:right="0" w:hanging="630"/>
              <w:jc w:val="left"/>
              <w:rPr>
                <w:sz w:val="21"/>
              </w:rPr>
            </w:pPr>
            <w:r>
              <w:rPr>
                <w:spacing w:val="-3"/>
                <w:sz w:val="21"/>
              </w:rPr>
              <w:t>意外伤害</w:t>
            </w:r>
          </w:p>
          <w:p>
            <w:pPr>
              <w:pStyle w:val="TableParagraph"/>
              <w:numPr>
                <w:ilvl w:val="1"/>
                <w:numId w:val="5"/>
              </w:numPr>
              <w:tabs>
                <w:tab w:pos="982" w:val="left" w:leader="none"/>
              </w:tabs>
              <w:spacing w:line="240" w:lineRule="auto" w:before="36" w:after="0"/>
              <w:ind w:left="1082" w:right="0" w:hanging="630"/>
              <w:jc w:val="left"/>
              <w:rPr>
                <w:sz w:val="21"/>
              </w:rPr>
            </w:pPr>
            <w:r>
              <w:rPr>
                <w:sz w:val="21"/>
              </w:rPr>
              <w:t>医院</w:t>
            </w:r>
          </w:p>
          <w:p>
            <w:pPr>
              <w:pStyle w:val="TableParagraph"/>
              <w:numPr>
                <w:ilvl w:val="1"/>
                <w:numId w:val="5"/>
              </w:numPr>
              <w:tabs>
                <w:tab w:pos="982" w:val="left" w:leader="none"/>
              </w:tabs>
              <w:spacing w:line="240" w:lineRule="auto" w:before="36" w:after="0"/>
              <w:ind w:left="1082" w:right="0" w:hanging="630"/>
              <w:jc w:val="left"/>
              <w:rPr>
                <w:sz w:val="21"/>
              </w:rPr>
            </w:pPr>
            <w:r>
              <w:rPr>
                <w:spacing w:val="-2"/>
                <w:sz w:val="21"/>
              </w:rPr>
              <w:t>专科医生</w:t>
            </w:r>
          </w:p>
          <w:p>
            <w:pPr>
              <w:pStyle w:val="TableParagraph"/>
              <w:numPr>
                <w:ilvl w:val="1"/>
                <w:numId w:val="5"/>
              </w:numPr>
              <w:tabs>
                <w:tab w:pos="982" w:val="left" w:leader="none"/>
              </w:tabs>
              <w:spacing w:line="240" w:lineRule="auto" w:before="36" w:after="0"/>
              <w:ind w:left="1082" w:right="0" w:hanging="630"/>
              <w:jc w:val="left"/>
              <w:rPr>
                <w:sz w:val="21"/>
              </w:rPr>
            </w:pPr>
            <w:r>
              <w:rPr>
                <w:spacing w:val="-3"/>
                <w:sz w:val="21"/>
              </w:rPr>
              <w:t>初次确诊</w:t>
            </w:r>
          </w:p>
          <w:p>
            <w:pPr>
              <w:pStyle w:val="TableParagraph"/>
              <w:numPr>
                <w:ilvl w:val="1"/>
                <w:numId w:val="5"/>
              </w:numPr>
              <w:tabs>
                <w:tab w:pos="1088" w:val="left" w:leader="none"/>
              </w:tabs>
              <w:spacing w:line="240" w:lineRule="auto" w:before="36" w:after="0"/>
              <w:ind w:left="1087" w:right="0" w:hanging="635"/>
              <w:jc w:val="left"/>
              <w:rPr>
                <w:sz w:val="21"/>
              </w:rPr>
            </w:pPr>
            <w:r>
              <w:rPr>
                <w:sz w:val="21"/>
              </w:rPr>
              <w:t>全残</w:t>
            </w:r>
          </w:p>
          <w:p>
            <w:pPr>
              <w:pStyle w:val="TableParagraph"/>
              <w:numPr>
                <w:ilvl w:val="1"/>
                <w:numId w:val="5"/>
              </w:numPr>
              <w:tabs>
                <w:tab w:pos="1088" w:val="left" w:leader="none"/>
              </w:tabs>
              <w:spacing w:line="240" w:lineRule="auto" w:before="37" w:after="0"/>
              <w:ind w:left="1087" w:right="0" w:hanging="635"/>
              <w:jc w:val="left"/>
              <w:rPr>
                <w:sz w:val="21"/>
              </w:rPr>
            </w:pPr>
            <w:r>
              <w:rPr>
                <w:spacing w:val="-2"/>
                <w:sz w:val="21"/>
              </w:rPr>
              <w:t>疾病终末期</w:t>
            </w:r>
          </w:p>
          <w:p>
            <w:pPr>
              <w:pStyle w:val="TableParagraph"/>
              <w:numPr>
                <w:ilvl w:val="1"/>
                <w:numId w:val="5"/>
              </w:numPr>
              <w:tabs>
                <w:tab w:pos="1088" w:val="left" w:leader="none"/>
              </w:tabs>
              <w:spacing w:line="240" w:lineRule="auto" w:before="37" w:after="0"/>
              <w:ind w:left="1087" w:right="0" w:hanging="635"/>
              <w:jc w:val="left"/>
              <w:rPr>
                <w:sz w:val="21"/>
              </w:rPr>
            </w:pPr>
            <w:r>
              <w:rPr>
                <w:sz w:val="21"/>
              </w:rPr>
              <w:t>毒品</w:t>
            </w:r>
          </w:p>
          <w:p>
            <w:pPr>
              <w:pStyle w:val="TableParagraph"/>
              <w:numPr>
                <w:ilvl w:val="1"/>
                <w:numId w:val="5"/>
              </w:numPr>
              <w:tabs>
                <w:tab w:pos="1088" w:val="left" w:leader="none"/>
              </w:tabs>
              <w:spacing w:line="240" w:lineRule="auto" w:before="37" w:after="0"/>
              <w:ind w:left="1087" w:right="0" w:hanging="635"/>
              <w:jc w:val="left"/>
              <w:rPr>
                <w:sz w:val="21"/>
              </w:rPr>
            </w:pPr>
            <w:r>
              <w:rPr>
                <w:spacing w:val="-2"/>
                <w:sz w:val="21"/>
              </w:rPr>
              <w:t>酒后驾驶</w:t>
            </w:r>
          </w:p>
          <w:p>
            <w:pPr>
              <w:pStyle w:val="TableParagraph"/>
              <w:numPr>
                <w:ilvl w:val="1"/>
                <w:numId w:val="5"/>
              </w:numPr>
              <w:tabs>
                <w:tab w:pos="1088" w:val="left" w:leader="none"/>
              </w:tabs>
              <w:spacing w:line="240" w:lineRule="auto" w:before="37" w:after="0"/>
              <w:ind w:left="1087" w:right="0" w:hanging="635"/>
              <w:jc w:val="left"/>
              <w:rPr>
                <w:sz w:val="21"/>
              </w:rPr>
            </w:pPr>
            <w:r>
              <w:rPr>
                <w:spacing w:val="-3"/>
                <w:sz w:val="21"/>
              </w:rPr>
              <w:t>无合法有效驾驶证驾驶</w:t>
            </w:r>
          </w:p>
          <w:p>
            <w:pPr>
              <w:pStyle w:val="TableParagraph"/>
              <w:numPr>
                <w:ilvl w:val="1"/>
                <w:numId w:val="5"/>
              </w:numPr>
              <w:tabs>
                <w:tab w:pos="1088" w:val="left" w:leader="none"/>
              </w:tabs>
              <w:spacing w:line="240" w:lineRule="auto" w:before="37" w:after="0"/>
              <w:ind w:left="1087" w:right="0" w:hanging="635"/>
              <w:jc w:val="left"/>
              <w:rPr>
                <w:sz w:val="21"/>
              </w:rPr>
            </w:pPr>
            <w:r>
              <w:rPr>
                <w:spacing w:val="-3"/>
                <w:sz w:val="21"/>
              </w:rPr>
              <w:t>无合法有效行驶证</w:t>
            </w:r>
          </w:p>
          <w:p>
            <w:pPr>
              <w:pStyle w:val="TableParagraph"/>
              <w:numPr>
                <w:ilvl w:val="1"/>
                <w:numId w:val="5"/>
              </w:numPr>
              <w:tabs>
                <w:tab w:pos="1088" w:val="left" w:leader="none"/>
              </w:tabs>
              <w:spacing w:line="240" w:lineRule="auto" w:before="37" w:after="0"/>
              <w:ind w:left="1087" w:right="0" w:hanging="635"/>
              <w:jc w:val="left"/>
              <w:rPr>
                <w:sz w:val="21"/>
              </w:rPr>
            </w:pPr>
            <w:r>
              <w:rPr>
                <w:spacing w:val="-2"/>
                <w:sz w:val="21"/>
              </w:rPr>
              <w:t>机动车</w:t>
            </w:r>
          </w:p>
          <w:p>
            <w:pPr>
              <w:pStyle w:val="TableParagraph"/>
              <w:numPr>
                <w:ilvl w:val="1"/>
                <w:numId w:val="5"/>
              </w:numPr>
              <w:tabs>
                <w:tab w:pos="1088" w:val="left" w:leader="none"/>
              </w:tabs>
              <w:spacing w:line="273" w:lineRule="auto" w:before="37" w:after="0"/>
              <w:ind w:left="1082" w:right="331" w:hanging="630"/>
              <w:jc w:val="left"/>
              <w:rPr>
                <w:sz w:val="21"/>
              </w:rPr>
            </w:pPr>
            <w:r>
              <w:rPr>
                <w:spacing w:val="-3"/>
                <w:sz w:val="21"/>
              </w:rPr>
              <w:t>感染艾滋病病毒或者患艾滋病</w:t>
            </w:r>
          </w:p>
          <w:p>
            <w:pPr>
              <w:pStyle w:val="TableParagraph"/>
              <w:numPr>
                <w:ilvl w:val="1"/>
                <w:numId w:val="5"/>
              </w:numPr>
              <w:tabs>
                <w:tab w:pos="1088" w:val="left" w:leader="none"/>
              </w:tabs>
              <w:spacing w:line="240" w:lineRule="auto" w:before="7" w:after="0"/>
              <w:ind w:left="1087" w:right="0" w:hanging="635"/>
              <w:jc w:val="left"/>
              <w:rPr>
                <w:sz w:val="21"/>
              </w:rPr>
            </w:pPr>
            <w:r>
              <w:rPr>
                <w:spacing w:val="-2"/>
                <w:sz w:val="21"/>
              </w:rPr>
              <w:t>遗传性疾病</w:t>
            </w:r>
          </w:p>
          <w:p>
            <w:pPr>
              <w:pStyle w:val="TableParagraph"/>
              <w:numPr>
                <w:ilvl w:val="1"/>
                <w:numId w:val="5"/>
              </w:numPr>
              <w:tabs>
                <w:tab w:pos="1088" w:val="left" w:leader="none"/>
              </w:tabs>
              <w:spacing w:line="273" w:lineRule="auto" w:before="37" w:after="0"/>
              <w:ind w:left="1082" w:right="332" w:hanging="630"/>
              <w:jc w:val="left"/>
              <w:rPr>
                <w:sz w:val="21"/>
              </w:rPr>
            </w:pPr>
            <w:r>
              <w:rPr>
                <w:spacing w:val="-3"/>
                <w:sz w:val="21"/>
              </w:rPr>
              <w:t>先天性畸形、变形或者染色体异常</w:t>
            </w:r>
          </w:p>
          <w:p>
            <w:pPr>
              <w:pStyle w:val="TableParagraph"/>
              <w:numPr>
                <w:ilvl w:val="1"/>
                <w:numId w:val="5"/>
              </w:numPr>
              <w:tabs>
                <w:tab w:pos="1088" w:val="left" w:leader="none"/>
              </w:tabs>
              <w:spacing w:line="240" w:lineRule="auto" w:before="8" w:after="0"/>
              <w:ind w:left="1087" w:right="0" w:hanging="635"/>
              <w:jc w:val="left"/>
              <w:rPr>
                <w:sz w:val="21"/>
              </w:rPr>
            </w:pPr>
            <w:r>
              <w:rPr>
                <w:spacing w:val="-2"/>
                <w:sz w:val="21"/>
              </w:rPr>
              <w:t>现金价值</w:t>
            </w:r>
          </w:p>
          <w:p>
            <w:pPr>
              <w:pStyle w:val="TableParagraph"/>
              <w:numPr>
                <w:ilvl w:val="1"/>
                <w:numId w:val="5"/>
              </w:numPr>
              <w:tabs>
                <w:tab w:pos="1088" w:val="left" w:leader="none"/>
              </w:tabs>
              <w:spacing w:line="240" w:lineRule="auto" w:before="37" w:after="0"/>
              <w:ind w:left="1087" w:right="0" w:hanging="635"/>
              <w:jc w:val="left"/>
              <w:rPr>
                <w:sz w:val="21"/>
              </w:rPr>
            </w:pPr>
            <w:r>
              <w:rPr>
                <w:spacing w:val="-2"/>
                <w:sz w:val="21"/>
              </w:rPr>
              <w:t>永久不可逆</w:t>
            </w:r>
          </w:p>
        </w:tc>
      </w:tr>
    </w:tbl>
    <w:p>
      <w:pPr>
        <w:spacing w:after="0" w:line="240" w:lineRule="auto"/>
        <w:jc w:val="left"/>
        <w:rPr>
          <w:sz w:val="21"/>
        </w:rPr>
        <w:sectPr>
          <w:type w:val="continuous"/>
          <w:pgSz w:w="11910" w:h="16840"/>
          <w:pgMar w:top="920" w:bottom="340" w:left="880" w:right="740"/>
        </w:sectPr>
      </w:pPr>
    </w:p>
    <w:p>
      <w:pPr>
        <w:spacing w:line="441" w:lineRule="exact" w:before="0"/>
        <w:ind w:left="2343" w:right="0" w:firstLine="0"/>
        <w:jc w:val="left"/>
        <w:rPr>
          <w:rFonts w:ascii="Microsoft JhengHei" w:eastAsia="Microsoft JhengHei" w:hint="eastAsia"/>
          <w:b/>
          <w:sz w:val="32"/>
        </w:rPr>
      </w:pPr>
      <w:r>
        <w:rPr>
          <w:rFonts w:ascii="Microsoft JhengHei" w:eastAsia="Microsoft JhengHei" w:hint="eastAsia"/>
          <w:b/>
          <w:sz w:val="32"/>
        </w:rPr>
        <w:t>渤海人寿保险股份有限公司</w:t>
      </w:r>
    </w:p>
    <w:p>
      <w:pPr>
        <w:spacing w:before="67"/>
        <w:ind w:left="1378" w:right="0" w:firstLine="0"/>
        <w:jc w:val="left"/>
        <w:rPr>
          <w:rFonts w:ascii="Microsoft JhengHei" w:eastAsia="Microsoft JhengHei" w:hint="eastAsia"/>
          <w:b/>
          <w:sz w:val="32"/>
        </w:rPr>
      </w:pPr>
      <w:r>
        <w:rPr>
          <w:rFonts w:ascii="Microsoft JhengHei" w:eastAsia="Microsoft JhengHei" w:hint="eastAsia"/>
          <w:b/>
          <w:sz w:val="32"/>
        </w:rPr>
        <w:t>渤海人寿渤海 e 家终身重大疾病保险条款</w:t>
      </w:r>
    </w:p>
    <w:p>
      <w:pPr>
        <w:pStyle w:val="BodyText"/>
        <w:spacing w:before="12"/>
        <w:rPr>
          <w:rFonts w:ascii="Microsoft JhengHei"/>
          <w:b/>
          <w:sz w:val="23"/>
        </w:rPr>
      </w:pPr>
    </w:p>
    <w:p>
      <w:pPr>
        <w:pStyle w:val="BodyText"/>
        <w:spacing w:line="273" w:lineRule="auto"/>
        <w:ind w:left="120" w:right="119"/>
      </w:pPr>
      <w:r>
        <w:rPr>
          <w:spacing w:val="-20"/>
          <w:w w:val="100"/>
        </w:rPr>
        <w:t>在本条款中，“您”指投保人，“我们”、“本公司”指渤海人寿保险股份有限公司，“本合</w:t>
      </w:r>
      <w:r>
        <w:rPr>
          <w:spacing w:val="-12"/>
        </w:rPr>
        <w:t>同”指您与我们之间订立的“渤海人寿渤海 </w:t>
      </w:r>
      <w:r>
        <w:rPr/>
        <w:t>e</w:t>
      </w:r>
      <w:r>
        <w:rPr>
          <w:spacing w:val="-14"/>
        </w:rPr>
        <w:t> 家终身重大疾病保险合同”。</w:t>
      </w:r>
    </w:p>
    <w:p>
      <w:pPr>
        <w:pStyle w:val="BodyText"/>
        <w:rPr>
          <w:sz w:val="20"/>
        </w:rPr>
      </w:pPr>
    </w:p>
    <w:p>
      <w:pPr>
        <w:pStyle w:val="BodyText"/>
        <w:spacing w:before="11"/>
        <w:rPr>
          <w:sz w:val="23"/>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6"/>
        <w:gridCol w:w="6116"/>
      </w:tblGrid>
      <w:tr>
        <w:trPr>
          <w:trHeight w:val="325" w:hRule="atLeast"/>
        </w:trPr>
        <w:tc>
          <w:tcPr>
            <w:tcW w:w="696" w:type="dxa"/>
            <w:tcBorders>
              <w:bottom w:val="single" w:sz="8" w:space="0" w:color="000000"/>
            </w:tcBorders>
          </w:tcPr>
          <w:p>
            <w:pPr>
              <w:pStyle w:val="TableParagraph"/>
              <w:spacing w:line="267" w:lineRule="exact"/>
              <w:ind w:left="105"/>
              <w:rPr>
                <w:rFonts w:ascii="Microsoft JhengHei"/>
                <w:b/>
                <w:sz w:val="24"/>
              </w:rPr>
            </w:pPr>
            <w:r>
              <w:rPr>
                <w:rFonts w:ascii="Microsoft JhengHei"/>
                <w:b/>
                <w:w w:val="120"/>
                <w:sz w:val="24"/>
              </w:rPr>
              <w:t>1.</w:t>
            </w:r>
          </w:p>
        </w:tc>
        <w:tc>
          <w:tcPr>
            <w:tcW w:w="7612" w:type="dxa"/>
            <w:gridSpan w:val="2"/>
            <w:tcBorders>
              <w:bottom w:val="single" w:sz="8" w:space="0" w:color="000000"/>
            </w:tcBorders>
          </w:tcPr>
          <w:p>
            <w:pPr>
              <w:pStyle w:val="TableParagraph"/>
              <w:spacing w:line="267" w:lineRule="exact"/>
              <w:ind w:left="273"/>
              <w:rPr>
                <w:rFonts w:ascii="Microsoft JhengHei" w:eastAsia="Microsoft JhengHei" w:hint="eastAsia"/>
                <w:b/>
                <w:sz w:val="24"/>
              </w:rPr>
            </w:pPr>
            <w:r>
              <w:rPr>
                <w:rFonts w:ascii="Microsoft JhengHei" w:eastAsia="Microsoft JhengHei" w:hint="eastAsia"/>
                <w:b/>
                <w:sz w:val="24"/>
              </w:rPr>
              <w:t>您与我们订立的合同</w:t>
            </w:r>
          </w:p>
        </w:tc>
      </w:tr>
      <w:tr>
        <w:trPr>
          <w:trHeight w:val="1717" w:hRule="atLeast"/>
        </w:trPr>
        <w:tc>
          <w:tcPr>
            <w:tcW w:w="696"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1.1</w:t>
            </w:r>
          </w:p>
        </w:tc>
        <w:tc>
          <w:tcPr>
            <w:tcW w:w="1496" w:type="dxa"/>
            <w:tcBorders>
              <w:top w:val="single" w:sz="8" w:space="0" w:color="000000"/>
            </w:tcBorders>
          </w:tcPr>
          <w:p>
            <w:pPr>
              <w:pStyle w:val="TableParagraph"/>
              <w:spacing w:before="3"/>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合同构成</w:t>
            </w:r>
          </w:p>
        </w:tc>
        <w:tc>
          <w:tcPr>
            <w:tcW w:w="6116" w:type="dxa"/>
            <w:tcBorders>
              <w:top w:val="single" w:sz="8" w:space="0" w:color="000000"/>
            </w:tcBorders>
          </w:tcPr>
          <w:p>
            <w:pPr>
              <w:pStyle w:val="TableParagraph"/>
              <w:ind w:left="0"/>
              <w:rPr>
                <w:sz w:val="22"/>
              </w:rPr>
            </w:pPr>
          </w:p>
          <w:p>
            <w:pPr>
              <w:pStyle w:val="TableParagraph"/>
              <w:spacing w:line="312" w:lineRule="exact"/>
              <w:ind w:left="165" w:right="101"/>
              <w:jc w:val="both"/>
              <w:rPr>
                <w:sz w:val="21"/>
              </w:rPr>
            </w:pPr>
            <w:r>
              <w:rPr>
                <w:spacing w:val="-6"/>
                <w:sz w:val="21"/>
              </w:rPr>
              <w:t>本合同是您与我们约定保险权利义务关系的协议，包括本保险条</w:t>
            </w:r>
            <w:r>
              <w:rPr>
                <w:spacing w:val="-7"/>
                <w:sz w:val="21"/>
              </w:rPr>
              <w:t>款、保险单或者其他保险凭证、投保单、与本合同有关的投保文</w:t>
            </w:r>
            <w:r>
              <w:rPr>
                <w:spacing w:val="-11"/>
                <w:sz w:val="21"/>
              </w:rPr>
              <w:t>件、</w:t>
            </w:r>
            <w:r>
              <w:rPr>
                <w:rFonts w:ascii="微软雅黑" w:eastAsia="微软雅黑" w:hint="eastAsia"/>
                <w:b/>
                <w:sz w:val="21"/>
              </w:rPr>
              <w:t>合法有效</w:t>
            </w:r>
            <w:r>
              <w:rPr>
                <w:spacing w:val="-6"/>
                <w:sz w:val="21"/>
              </w:rPr>
              <w:t>的声明、批注、批单及其他您与我们共同认可的书面协议。</w:t>
            </w:r>
          </w:p>
        </w:tc>
      </w:tr>
      <w:tr>
        <w:trPr>
          <w:trHeight w:val="1730" w:hRule="atLeast"/>
        </w:trPr>
        <w:tc>
          <w:tcPr>
            <w:tcW w:w="696" w:type="dxa"/>
          </w:tcPr>
          <w:p>
            <w:pPr>
              <w:pStyle w:val="TableParagraph"/>
              <w:spacing w:before="83"/>
              <w:ind w:left="105"/>
              <w:rPr>
                <w:rFonts w:ascii="Microsoft JhengHei"/>
                <w:b/>
                <w:sz w:val="21"/>
              </w:rPr>
            </w:pPr>
            <w:r>
              <w:rPr>
                <w:rFonts w:ascii="Microsoft JhengHei"/>
                <w:b/>
                <w:w w:val="105"/>
                <w:sz w:val="21"/>
              </w:rPr>
              <w:t>1.2</w:t>
            </w:r>
          </w:p>
        </w:tc>
        <w:tc>
          <w:tcPr>
            <w:tcW w:w="1496" w:type="dxa"/>
          </w:tcPr>
          <w:p>
            <w:pPr>
              <w:pStyle w:val="TableParagraph"/>
              <w:spacing w:line="204" w:lineRule="auto" w:before="138"/>
              <w:ind w:left="273" w:right="164"/>
              <w:rPr>
                <w:rFonts w:ascii="Microsoft JhengHei" w:eastAsia="Microsoft JhengHei" w:hint="eastAsia"/>
                <w:b/>
                <w:sz w:val="21"/>
              </w:rPr>
            </w:pPr>
            <w:r>
              <w:rPr>
                <w:rFonts w:ascii="Microsoft JhengHei" w:eastAsia="Microsoft JhengHei" w:hint="eastAsia"/>
                <w:b/>
                <w:sz w:val="21"/>
              </w:rPr>
              <w:t>合同成立及生效</w:t>
            </w:r>
          </w:p>
        </w:tc>
        <w:tc>
          <w:tcPr>
            <w:tcW w:w="6116" w:type="dxa"/>
          </w:tcPr>
          <w:p>
            <w:pPr>
              <w:pStyle w:val="TableParagraph"/>
              <w:spacing w:before="150"/>
              <w:ind w:left="165"/>
              <w:rPr>
                <w:sz w:val="21"/>
              </w:rPr>
            </w:pPr>
            <w:r>
              <w:rPr>
                <w:sz w:val="21"/>
              </w:rPr>
              <w:t>您提出保险申请且我们同意承保，本合同成立。</w:t>
            </w:r>
          </w:p>
          <w:p>
            <w:pPr>
              <w:pStyle w:val="TableParagraph"/>
              <w:spacing w:before="5"/>
              <w:ind w:left="0"/>
              <w:rPr>
                <w:sz w:val="17"/>
              </w:rPr>
            </w:pPr>
          </w:p>
          <w:p>
            <w:pPr>
              <w:pStyle w:val="TableParagraph"/>
              <w:spacing w:line="211" w:lineRule="auto" w:before="1"/>
              <w:ind w:left="165" w:right="99"/>
              <w:jc w:val="both"/>
              <w:rPr>
                <w:sz w:val="21"/>
              </w:rPr>
            </w:pPr>
            <w:r>
              <w:rPr>
                <w:spacing w:val="2"/>
                <w:sz w:val="21"/>
              </w:rPr>
              <w:t>本合同自我们同意承保、收取首期保险费并签发保险单开始生</w:t>
            </w:r>
            <w:r>
              <w:rPr>
                <w:spacing w:val="-6"/>
                <w:sz w:val="21"/>
              </w:rPr>
              <w:t>效，具体生效日以保险单记载的日期为准。</w:t>
            </w:r>
            <w:r>
              <w:rPr>
                <w:rFonts w:ascii="微软雅黑" w:eastAsia="微软雅黑" w:hint="eastAsia"/>
                <w:b/>
                <w:sz w:val="21"/>
              </w:rPr>
              <w:t>保单年度</w:t>
            </w:r>
            <w:r>
              <w:rPr>
                <w:spacing w:val="-14"/>
                <w:sz w:val="21"/>
              </w:rPr>
              <w:t>、</w:t>
            </w:r>
            <w:r>
              <w:rPr>
                <w:rFonts w:ascii="微软雅黑" w:eastAsia="微软雅黑" w:hint="eastAsia"/>
                <w:b/>
                <w:sz w:val="21"/>
              </w:rPr>
              <w:t>保险费约定交纳日</w:t>
            </w:r>
            <w:r>
              <w:rPr>
                <w:spacing w:val="-5"/>
                <w:sz w:val="21"/>
              </w:rPr>
              <w:t>均依据本合同的生效日为基础进行计算。</w:t>
            </w:r>
          </w:p>
        </w:tc>
      </w:tr>
      <w:tr>
        <w:trPr>
          <w:trHeight w:val="638" w:hRule="atLeast"/>
        </w:trPr>
        <w:tc>
          <w:tcPr>
            <w:tcW w:w="696" w:type="dxa"/>
          </w:tcPr>
          <w:p>
            <w:pPr>
              <w:pStyle w:val="TableParagraph"/>
              <w:spacing w:before="85"/>
              <w:ind w:left="105"/>
              <w:rPr>
                <w:rFonts w:ascii="Microsoft JhengHei"/>
                <w:b/>
                <w:sz w:val="21"/>
              </w:rPr>
            </w:pPr>
            <w:r>
              <w:rPr>
                <w:rFonts w:ascii="Microsoft JhengHei"/>
                <w:b/>
                <w:w w:val="105"/>
                <w:sz w:val="21"/>
              </w:rPr>
              <w:t>1.3</w:t>
            </w:r>
          </w:p>
        </w:tc>
        <w:tc>
          <w:tcPr>
            <w:tcW w:w="1496" w:type="dxa"/>
          </w:tcPr>
          <w:p>
            <w:pPr>
              <w:pStyle w:val="TableParagraph"/>
              <w:spacing w:before="85"/>
              <w:ind w:left="273"/>
              <w:rPr>
                <w:rFonts w:ascii="Microsoft JhengHei" w:eastAsia="Microsoft JhengHei" w:hint="eastAsia"/>
                <w:b/>
                <w:sz w:val="21"/>
              </w:rPr>
            </w:pPr>
            <w:r>
              <w:rPr>
                <w:rFonts w:ascii="Microsoft JhengHei" w:eastAsia="Microsoft JhengHei" w:hint="eastAsia"/>
                <w:b/>
                <w:sz w:val="21"/>
              </w:rPr>
              <w:t>投保年龄</w:t>
            </w:r>
          </w:p>
        </w:tc>
        <w:tc>
          <w:tcPr>
            <w:tcW w:w="6116" w:type="dxa"/>
          </w:tcPr>
          <w:p>
            <w:pPr>
              <w:pStyle w:val="TableParagraph"/>
              <w:spacing w:before="90"/>
              <w:ind w:left="165"/>
              <w:rPr>
                <w:sz w:val="21"/>
              </w:rPr>
            </w:pPr>
            <w:r>
              <w:rPr>
                <w:sz w:val="21"/>
              </w:rPr>
              <w:t>投保年龄指您投保时被保险人的年龄，以</w:t>
            </w:r>
            <w:r>
              <w:rPr>
                <w:rFonts w:ascii="微软雅黑" w:eastAsia="微软雅黑" w:hint="eastAsia"/>
                <w:b/>
                <w:sz w:val="21"/>
              </w:rPr>
              <w:t>周岁</w:t>
            </w:r>
            <w:r>
              <w:rPr>
                <w:sz w:val="21"/>
              </w:rPr>
              <w:t>计算。</w:t>
            </w:r>
          </w:p>
        </w:tc>
      </w:tr>
      <w:tr>
        <w:trPr>
          <w:trHeight w:val="2993" w:hRule="atLeast"/>
        </w:trPr>
        <w:tc>
          <w:tcPr>
            <w:tcW w:w="696" w:type="dxa"/>
          </w:tcPr>
          <w:p>
            <w:pPr>
              <w:pStyle w:val="TableParagraph"/>
              <w:spacing w:before="80"/>
              <w:ind w:left="105"/>
              <w:rPr>
                <w:rFonts w:ascii="Microsoft JhengHei"/>
                <w:b/>
                <w:sz w:val="21"/>
              </w:rPr>
            </w:pPr>
            <w:r>
              <w:rPr>
                <w:rFonts w:ascii="Microsoft JhengHei"/>
                <w:b/>
                <w:w w:val="105"/>
                <w:sz w:val="21"/>
              </w:rPr>
              <w:t>1.4</w:t>
            </w:r>
          </w:p>
        </w:tc>
        <w:tc>
          <w:tcPr>
            <w:tcW w:w="1496" w:type="dxa"/>
          </w:tcPr>
          <w:p>
            <w:pPr>
              <w:pStyle w:val="TableParagraph"/>
              <w:spacing w:before="80"/>
              <w:ind w:left="273"/>
              <w:rPr>
                <w:rFonts w:ascii="Microsoft JhengHei" w:eastAsia="Microsoft JhengHei" w:hint="eastAsia"/>
                <w:b/>
                <w:sz w:val="21"/>
              </w:rPr>
            </w:pPr>
            <w:r>
              <w:rPr>
                <w:rFonts w:ascii="Microsoft JhengHei" w:eastAsia="Microsoft JhengHei" w:hint="eastAsia"/>
                <w:b/>
                <w:sz w:val="21"/>
              </w:rPr>
              <w:t>犹豫期</w:t>
            </w:r>
          </w:p>
        </w:tc>
        <w:tc>
          <w:tcPr>
            <w:tcW w:w="6116" w:type="dxa"/>
          </w:tcPr>
          <w:p>
            <w:pPr>
              <w:pStyle w:val="TableParagraph"/>
              <w:spacing w:line="273" w:lineRule="auto" w:before="147"/>
              <w:ind w:left="165" w:right="99"/>
              <w:jc w:val="both"/>
              <w:rPr>
                <w:sz w:val="21"/>
              </w:rPr>
            </w:pPr>
            <w:r>
              <w:rPr>
                <w:spacing w:val="-3"/>
                <w:sz w:val="21"/>
              </w:rPr>
              <w:t>自您签收本合同的次日零时起，有 </w:t>
            </w:r>
            <w:r>
              <w:rPr>
                <w:sz w:val="21"/>
              </w:rPr>
              <w:t>10</w:t>
            </w:r>
            <w:r>
              <w:rPr>
                <w:spacing w:val="-5"/>
                <w:sz w:val="21"/>
              </w:rPr>
              <w:t> 日的犹豫期。在此期间， </w:t>
            </w:r>
            <w:r>
              <w:rPr>
                <w:spacing w:val="-8"/>
                <w:sz w:val="21"/>
              </w:rPr>
              <w:t>请您认真审视本合同，如果您认为本合同与您的需求不相符，您</w:t>
            </w:r>
            <w:r>
              <w:rPr>
                <w:spacing w:val="-6"/>
                <w:sz w:val="21"/>
              </w:rPr>
              <w:t>可以在此期间提出解除本合同，我们将在扣除不超过 </w:t>
            </w:r>
            <w:r>
              <w:rPr>
                <w:sz w:val="21"/>
              </w:rPr>
              <w:t>10</w:t>
            </w:r>
            <w:r>
              <w:rPr>
                <w:spacing w:val="-2"/>
                <w:sz w:val="21"/>
              </w:rPr>
              <w:t> 元的工</w:t>
            </w:r>
            <w:r>
              <w:rPr>
                <w:spacing w:val="-4"/>
                <w:sz w:val="21"/>
              </w:rPr>
              <w:t>本费后向您无息退还保险费。</w:t>
            </w:r>
          </w:p>
          <w:p>
            <w:pPr>
              <w:pStyle w:val="TableParagraph"/>
              <w:spacing w:line="232" w:lineRule="auto" w:before="174"/>
              <w:ind w:left="165" w:right="99"/>
              <w:jc w:val="both"/>
              <w:rPr>
                <w:sz w:val="21"/>
              </w:rPr>
            </w:pPr>
            <w:r>
              <w:rPr>
                <w:spacing w:val="-6"/>
                <w:sz w:val="21"/>
              </w:rPr>
              <w:t>在犹豫期内解除本合同时，您须填写解除合同申请书，并提供本</w:t>
            </w:r>
            <w:r>
              <w:rPr>
                <w:spacing w:val="-9"/>
                <w:sz w:val="21"/>
              </w:rPr>
              <w:t>合同、您的</w:t>
            </w:r>
            <w:r>
              <w:rPr>
                <w:rFonts w:ascii="微软雅黑" w:eastAsia="微软雅黑" w:hint="eastAsia"/>
                <w:b/>
                <w:sz w:val="21"/>
              </w:rPr>
              <w:t>有效身份证件</w:t>
            </w:r>
            <w:r>
              <w:rPr>
                <w:spacing w:val="-6"/>
                <w:sz w:val="21"/>
              </w:rPr>
              <w:t>及您所交保险费的发票。自我们收到您</w:t>
            </w:r>
            <w:r>
              <w:rPr>
                <w:spacing w:val="-8"/>
                <w:sz w:val="21"/>
              </w:rPr>
              <w:t>的解除合同申请书时起，本合同即被解除，对于本合同解除前发</w:t>
            </w:r>
          </w:p>
          <w:p>
            <w:pPr>
              <w:pStyle w:val="TableParagraph"/>
              <w:spacing w:before="37"/>
              <w:ind w:left="165"/>
              <w:jc w:val="both"/>
              <w:rPr>
                <w:sz w:val="21"/>
              </w:rPr>
            </w:pPr>
            <w:r>
              <w:rPr>
                <w:sz w:val="21"/>
              </w:rPr>
              <w:t>Th的保险事故，我们不承担给付保险金的责任。</w:t>
            </w:r>
          </w:p>
        </w:tc>
      </w:tr>
      <w:tr>
        <w:trPr>
          <w:trHeight w:val="558" w:hRule="atLeast"/>
        </w:trPr>
        <w:tc>
          <w:tcPr>
            <w:tcW w:w="696"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2.</w:t>
            </w:r>
          </w:p>
        </w:tc>
        <w:tc>
          <w:tcPr>
            <w:tcW w:w="7612" w:type="dxa"/>
            <w:gridSpan w:val="2"/>
            <w:tcBorders>
              <w:bottom w:val="single" w:sz="8" w:space="0" w:color="000000"/>
            </w:tcBorders>
          </w:tcPr>
          <w:p>
            <w:pPr>
              <w:pStyle w:val="TableParagraph"/>
              <w:spacing w:before="82"/>
              <w:ind w:left="273"/>
              <w:rPr>
                <w:rFonts w:ascii="Microsoft JhengHei" w:eastAsia="Microsoft JhengHei" w:hint="eastAsia"/>
                <w:b/>
                <w:sz w:val="24"/>
              </w:rPr>
            </w:pPr>
            <w:r>
              <w:rPr>
                <w:rFonts w:ascii="Microsoft JhengHei" w:eastAsia="Microsoft JhengHei" w:hint="eastAsia"/>
                <w:b/>
                <w:sz w:val="24"/>
              </w:rPr>
              <w:t>我们提供的保障</w:t>
            </w:r>
          </w:p>
        </w:tc>
      </w:tr>
      <w:tr>
        <w:trPr>
          <w:trHeight w:val="1054"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2.1</w:t>
            </w:r>
          </w:p>
        </w:tc>
        <w:tc>
          <w:tcPr>
            <w:tcW w:w="1496" w:type="dxa"/>
            <w:tcBorders>
              <w:top w:val="single" w:sz="8" w:space="0" w:color="000000"/>
            </w:tcBorders>
          </w:tcPr>
          <w:p>
            <w:pPr>
              <w:pStyle w:val="TableParagraph"/>
              <w:spacing w:before="5"/>
              <w:ind w:left="0"/>
              <w:rPr>
                <w:sz w:val="21"/>
              </w:rPr>
            </w:pPr>
          </w:p>
          <w:p>
            <w:pPr>
              <w:pStyle w:val="TableParagraph"/>
              <w:spacing w:line="204" w:lineRule="auto"/>
              <w:ind w:left="273" w:right="163"/>
              <w:rPr>
                <w:rFonts w:ascii="Microsoft JhengHei" w:eastAsia="Microsoft JhengHei" w:hint="eastAsia"/>
                <w:b/>
                <w:sz w:val="21"/>
              </w:rPr>
            </w:pPr>
            <w:r>
              <w:rPr>
                <w:rFonts w:ascii="Microsoft JhengHei" w:eastAsia="Microsoft JhengHei" w:hint="eastAsia"/>
                <w:b/>
                <w:sz w:val="21"/>
              </w:rPr>
              <w:t>基本保险金额</w:t>
            </w:r>
          </w:p>
        </w:tc>
        <w:tc>
          <w:tcPr>
            <w:tcW w:w="6116" w:type="dxa"/>
            <w:tcBorders>
              <w:top w:val="single" w:sz="8" w:space="0" w:color="000000"/>
            </w:tcBorders>
          </w:tcPr>
          <w:p>
            <w:pPr>
              <w:pStyle w:val="TableParagraph"/>
              <w:spacing w:before="6"/>
              <w:ind w:left="0"/>
              <w:rPr>
                <w:sz w:val="20"/>
              </w:rPr>
            </w:pPr>
          </w:p>
          <w:p>
            <w:pPr>
              <w:pStyle w:val="TableParagraph"/>
              <w:ind w:left="165" w:right="63"/>
              <w:rPr>
                <w:sz w:val="21"/>
              </w:rPr>
            </w:pPr>
            <w:r>
              <w:rPr>
                <w:sz w:val="21"/>
              </w:rPr>
              <w:t>本合同的基本保险金额由您在投保时与我们约定，并在保险单上载明。若该金额发生变更，则以变更后的金额为基本保险金额。</w:t>
            </w:r>
          </w:p>
        </w:tc>
      </w:tr>
      <w:tr>
        <w:trPr>
          <w:trHeight w:val="1224" w:hRule="atLeast"/>
        </w:trPr>
        <w:tc>
          <w:tcPr>
            <w:tcW w:w="696" w:type="dxa"/>
          </w:tcPr>
          <w:p>
            <w:pPr>
              <w:pStyle w:val="TableParagraph"/>
              <w:spacing w:before="44"/>
              <w:ind w:left="105"/>
              <w:rPr>
                <w:rFonts w:ascii="Microsoft JhengHei"/>
                <w:b/>
                <w:sz w:val="21"/>
              </w:rPr>
            </w:pPr>
            <w:r>
              <w:rPr>
                <w:rFonts w:ascii="Microsoft JhengHei"/>
                <w:b/>
                <w:w w:val="105"/>
                <w:sz w:val="21"/>
              </w:rPr>
              <w:t>2.2</w:t>
            </w:r>
          </w:p>
        </w:tc>
        <w:tc>
          <w:tcPr>
            <w:tcW w:w="1496" w:type="dxa"/>
          </w:tcPr>
          <w:p>
            <w:pPr>
              <w:pStyle w:val="TableParagraph"/>
              <w:spacing w:line="204" w:lineRule="auto" w:before="99"/>
              <w:ind w:left="273" w:right="164"/>
              <w:jc w:val="both"/>
              <w:rPr>
                <w:rFonts w:ascii="Microsoft JhengHei" w:eastAsia="Microsoft JhengHei" w:hint="eastAsia"/>
                <w:b/>
                <w:sz w:val="21"/>
              </w:rPr>
            </w:pPr>
            <w:r>
              <w:rPr>
                <w:rFonts w:ascii="Microsoft JhengHei" w:eastAsia="Microsoft JhengHei" w:hint="eastAsia"/>
                <w:b/>
                <w:sz w:val="21"/>
              </w:rPr>
              <w:t>未成年人身故保险金额限制</w:t>
            </w:r>
          </w:p>
        </w:tc>
        <w:tc>
          <w:tcPr>
            <w:tcW w:w="6116" w:type="dxa"/>
          </w:tcPr>
          <w:p>
            <w:pPr>
              <w:pStyle w:val="TableParagraph"/>
              <w:spacing w:line="273" w:lineRule="auto" w:before="111"/>
              <w:ind w:left="165" w:right="102"/>
              <w:jc w:val="both"/>
              <w:rPr>
                <w:sz w:val="21"/>
              </w:rPr>
            </w:pPr>
            <w:r>
              <w:rPr>
                <w:spacing w:val="-5"/>
                <w:sz w:val="21"/>
              </w:rPr>
              <w:t>为未成年子女投保的人身保险，因被保险人身故给付的身故保险</w:t>
            </w:r>
            <w:r>
              <w:rPr>
                <w:spacing w:val="-7"/>
                <w:sz w:val="21"/>
              </w:rPr>
              <w:t>金总和最高不得超过国务院保险监督管理机构规定的限额，身故</w:t>
            </w:r>
            <w:r>
              <w:rPr>
                <w:spacing w:val="-6"/>
                <w:sz w:val="21"/>
              </w:rPr>
              <w:t>保险金总和的约定也不得超过前述限额。</w:t>
            </w:r>
          </w:p>
        </w:tc>
      </w:tr>
      <w:tr>
        <w:trPr>
          <w:trHeight w:val="950" w:hRule="atLeast"/>
        </w:trPr>
        <w:tc>
          <w:tcPr>
            <w:tcW w:w="696" w:type="dxa"/>
          </w:tcPr>
          <w:p>
            <w:pPr>
              <w:pStyle w:val="TableParagraph"/>
              <w:spacing w:before="83"/>
              <w:ind w:left="105"/>
              <w:rPr>
                <w:rFonts w:ascii="Microsoft JhengHei"/>
                <w:b/>
                <w:sz w:val="21"/>
              </w:rPr>
            </w:pPr>
            <w:r>
              <w:rPr>
                <w:rFonts w:ascii="Microsoft JhengHei"/>
                <w:b/>
                <w:w w:val="105"/>
                <w:sz w:val="21"/>
              </w:rPr>
              <w:t>2.3</w:t>
            </w:r>
          </w:p>
        </w:tc>
        <w:tc>
          <w:tcPr>
            <w:tcW w:w="1496"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保险期间</w:t>
            </w:r>
          </w:p>
        </w:tc>
        <w:tc>
          <w:tcPr>
            <w:tcW w:w="6116" w:type="dxa"/>
          </w:tcPr>
          <w:p>
            <w:pPr>
              <w:pStyle w:val="TableParagraph"/>
              <w:spacing w:line="273" w:lineRule="auto" w:before="150"/>
              <w:ind w:left="165" w:right="52"/>
              <w:rPr>
                <w:sz w:val="21"/>
              </w:rPr>
            </w:pPr>
            <w:r>
              <w:rPr>
                <w:sz w:val="21"/>
              </w:rPr>
              <w:t>本合同的保险期间为终身，自本合同生效日零时开始，并在保险单上载明。</w:t>
            </w:r>
          </w:p>
        </w:tc>
      </w:tr>
      <w:tr>
        <w:trPr>
          <w:trHeight w:val="638" w:hRule="atLeast"/>
        </w:trPr>
        <w:tc>
          <w:tcPr>
            <w:tcW w:w="696" w:type="dxa"/>
          </w:tcPr>
          <w:p>
            <w:pPr>
              <w:pStyle w:val="TableParagraph"/>
              <w:spacing w:before="83"/>
              <w:ind w:left="105"/>
              <w:rPr>
                <w:rFonts w:ascii="Microsoft JhengHei"/>
                <w:b/>
                <w:sz w:val="21"/>
              </w:rPr>
            </w:pPr>
            <w:r>
              <w:rPr>
                <w:rFonts w:ascii="Microsoft JhengHei"/>
                <w:b/>
                <w:w w:val="105"/>
                <w:sz w:val="21"/>
              </w:rPr>
              <w:t>2.4</w:t>
            </w:r>
          </w:p>
        </w:tc>
        <w:tc>
          <w:tcPr>
            <w:tcW w:w="1496"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保险责任</w:t>
            </w:r>
          </w:p>
        </w:tc>
        <w:tc>
          <w:tcPr>
            <w:tcW w:w="6116" w:type="dxa"/>
          </w:tcPr>
          <w:p>
            <w:pPr>
              <w:pStyle w:val="TableParagraph"/>
              <w:spacing w:before="149"/>
              <w:ind w:left="165"/>
              <w:rPr>
                <w:sz w:val="21"/>
              </w:rPr>
            </w:pPr>
            <w:r>
              <w:rPr>
                <w:sz w:val="21"/>
              </w:rPr>
              <w:t>在本合同保险期间内，我们承担下列保险责任：</w:t>
            </w:r>
          </w:p>
        </w:tc>
      </w:tr>
      <w:tr>
        <w:trPr>
          <w:trHeight w:val="732" w:hRule="atLeast"/>
        </w:trPr>
        <w:tc>
          <w:tcPr>
            <w:tcW w:w="696" w:type="dxa"/>
          </w:tcPr>
          <w:p>
            <w:pPr>
              <w:pStyle w:val="TableParagraph"/>
              <w:ind w:left="0"/>
              <w:rPr>
                <w:rFonts w:ascii="Times New Roman"/>
                <w:sz w:val="20"/>
              </w:rPr>
            </w:pPr>
          </w:p>
        </w:tc>
        <w:tc>
          <w:tcPr>
            <w:tcW w:w="1496" w:type="dxa"/>
          </w:tcPr>
          <w:p>
            <w:pPr>
              <w:pStyle w:val="TableParagraph"/>
              <w:spacing w:line="308" w:lineRule="exact" w:before="149"/>
              <w:ind w:left="273" w:right="163"/>
              <w:rPr>
                <w:rFonts w:ascii="Microsoft JhengHei" w:eastAsia="Microsoft JhengHei" w:hint="eastAsia"/>
                <w:b/>
                <w:sz w:val="21"/>
              </w:rPr>
            </w:pPr>
            <w:r>
              <w:rPr>
                <w:rFonts w:ascii="Microsoft JhengHei" w:eastAsia="Microsoft JhengHei" w:hint="eastAsia"/>
                <w:b/>
                <w:sz w:val="21"/>
              </w:rPr>
              <w:t>轻症疾病保险金</w:t>
            </w:r>
          </w:p>
        </w:tc>
        <w:tc>
          <w:tcPr>
            <w:tcW w:w="6116" w:type="dxa"/>
          </w:tcPr>
          <w:p>
            <w:pPr>
              <w:pStyle w:val="TableParagraph"/>
              <w:spacing w:line="280" w:lineRule="atLeast" w:before="87"/>
              <w:ind w:left="165" w:right="100"/>
              <w:rPr>
                <w:sz w:val="21"/>
              </w:rPr>
            </w:pPr>
            <w:r>
              <w:rPr>
                <w:spacing w:val="-2"/>
                <w:sz w:val="21"/>
              </w:rPr>
              <w:t>若被保险人因</w:t>
            </w:r>
            <w:r>
              <w:rPr>
                <w:rFonts w:ascii="微软雅黑" w:eastAsia="微软雅黑" w:hint="eastAsia"/>
                <w:b/>
                <w:spacing w:val="0"/>
                <w:sz w:val="21"/>
              </w:rPr>
              <w:t>意外伤害</w:t>
            </w:r>
            <w:r>
              <w:rPr>
                <w:spacing w:val="-7"/>
                <w:sz w:val="21"/>
              </w:rPr>
              <w:t>，或于本合同生效</w:t>
            </w:r>
            <w:r>
              <w:rPr>
                <w:sz w:val="21"/>
              </w:rPr>
              <w:t>（</w:t>
            </w:r>
            <w:r>
              <w:rPr>
                <w:spacing w:val="-5"/>
                <w:sz w:val="21"/>
              </w:rPr>
              <w:t>若曾复效，则自合同最后复效</w:t>
            </w:r>
            <w:r>
              <w:rPr>
                <w:spacing w:val="-14"/>
                <w:sz w:val="21"/>
              </w:rPr>
              <w:t>）</w:t>
            </w:r>
            <w:r>
              <w:rPr>
                <w:spacing w:val="-13"/>
                <w:sz w:val="21"/>
              </w:rPr>
              <w:t>之日起 </w:t>
            </w:r>
            <w:r>
              <w:rPr>
                <w:sz w:val="21"/>
              </w:rPr>
              <w:t>90</w:t>
            </w:r>
            <w:r>
              <w:rPr>
                <w:spacing w:val="-22"/>
                <w:sz w:val="21"/>
              </w:rPr>
              <w:t> 日后</w:t>
            </w:r>
            <w:r>
              <w:rPr>
                <w:sz w:val="21"/>
              </w:rPr>
              <w:t>（</w:t>
            </w:r>
            <w:r>
              <w:rPr>
                <w:spacing w:val="-12"/>
                <w:sz w:val="21"/>
              </w:rPr>
              <w:t>不含第 </w:t>
            </w:r>
            <w:r>
              <w:rPr>
                <w:spacing w:val="-3"/>
                <w:sz w:val="21"/>
              </w:rPr>
              <w:t>90</w:t>
            </w:r>
            <w:r>
              <w:rPr>
                <w:spacing w:val="-23"/>
                <w:sz w:val="21"/>
              </w:rPr>
              <w:t> 日</w:t>
            </w:r>
            <w:r>
              <w:rPr>
                <w:spacing w:val="-14"/>
                <w:sz w:val="21"/>
              </w:rPr>
              <w:t>）</w:t>
            </w:r>
            <w:r>
              <w:rPr>
                <w:spacing w:val="-3"/>
                <w:sz w:val="21"/>
              </w:rPr>
              <w:t>因意外伤害以外的原</w:t>
            </w:r>
          </w:p>
        </w:tc>
      </w:tr>
    </w:tbl>
    <w:p>
      <w:pPr>
        <w:spacing w:after="0" w:line="280" w:lineRule="atLeast"/>
        <w:rPr>
          <w:sz w:val="21"/>
        </w:rPr>
        <w:sectPr>
          <w:pgSz w:w="11910" w:h="16840"/>
          <w:pgMar w:header="0" w:footer="150" w:top="760" w:bottom="42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6252"/>
      </w:tblGrid>
      <w:tr>
        <w:trPr>
          <w:trHeight w:val="14009" w:hRule="atLeast"/>
        </w:trPr>
        <w:tc>
          <w:tcPr>
            <w:tcW w:w="1422" w:type="dxa"/>
          </w:tcPr>
          <w:p>
            <w:pPr>
              <w:pStyle w:val="TableParagraph"/>
              <w:ind w:left="0"/>
              <w:rPr>
                <w:rFonts w:ascii="Times New Roman"/>
                <w:sz w:val="20"/>
              </w:rPr>
            </w:pPr>
          </w:p>
        </w:tc>
        <w:tc>
          <w:tcPr>
            <w:tcW w:w="6252" w:type="dxa"/>
          </w:tcPr>
          <w:p>
            <w:pPr>
              <w:pStyle w:val="TableParagraph"/>
              <w:spacing w:line="236" w:lineRule="exact"/>
              <w:ind w:left="165"/>
              <w:rPr>
                <w:sz w:val="21"/>
              </w:rPr>
            </w:pPr>
            <w:r>
              <w:rPr>
                <w:sz w:val="21"/>
              </w:rPr>
              <w:t>因，导致经</w:t>
            </w:r>
            <w:r>
              <w:rPr>
                <w:rFonts w:ascii="微软雅黑" w:eastAsia="微软雅黑" w:hint="eastAsia"/>
                <w:b/>
                <w:sz w:val="21"/>
              </w:rPr>
              <w:t>医院</w:t>
            </w:r>
            <w:r>
              <w:rPr>
                <w:sz w:val="21"/>
              </w:rPr>
              <w:t>的</w:t>
            </w:r>
            <w:r>
              <w:rPr>
                <w:rFonts w:ascii="微软雅黑" w:eastAsia="微软雅黑" w:hint="eastAsia"/>
                <w:b/>
                <w:sz w:val="21"/>
              </w:rPr>
              <w:t>专科医生初次确诊</w:t>
            </w:r>
            <w:r>
              <w:rPr>
                <w:sz w:val="21"/>
              </w:rPr>
              <w:t>发生本合同所定义的轻症疾</w:t>
            </w:r>
          </w:p>
          <w:p>
            <w:pPr>
              <w:pStyle w:val="TableParagraph"/>
              <w:spacing w:line="273" w:lineRule="auto" w:before="11"/>
              <w:ind w:left="165" w:right="235"/>
              <w:jc w:val="both"/>
              <w:rPr>
                <w:sz w:val="21"/>
              </w:rPr>
            </w:pPr>
            <w:r>
              <w:rPr>
                <w:spacing w:val="-4"/>
                <w:sz w:val="21"/>
              </w:rPr>
              <w:t>病，我们将额外按本合同基本保险金额的 </w:t>
            </w:r>
            <w:r>
              <w:rPr>
                <w:sz w:val="21"/>
              </w:rPr>
              <w:t>20%</w:t>
            </w:r>
            <w:r>
              <w:rPr>
                <w:spacing w:val="-3"/>
                <w:sz w:val="21"/>
              </w:rPr>
              <w:t>给付轻症疾病保险金。</w:t>
            </w:r>
          </w:p>
          <w:p>
            <w:pPr>
              <w:pStyle w:val="TableParagraph"/>
              <w:spacing w:line="206" w:lineRule="auto" w:before="153"/>
              <w:ind w:left="165" w:right="235"/>
              <w:jc w:val="both"/>
              <w:rPr>
                <w:rFonts w:ascii="微软雅黑" w:eastAsia="微软雅黑" w:hint="eastAsia"/>
                <w:b/>
                <w:sz w:val="21"/>
              </w:rPr>
            </w:pPr>
            <w:r>
              <w:rPr>
                <w:rFonts w:ascii="微软雅黑" w:eastAsia="微软雅黑" w:hint="eastAsia"/>
                <w:b/>
                <w:spacing w:val="-5"/>
                <w:sz w:val="21"/>
              </w:rPr>
              <w:t>每种轻症疾病只给付一次轻症疾病保险金，若被保险人因同一原</w:t>
            </w:r>
            <w:r>
              <w:rPr>
                <w:rFonts w:ascii="微软雅黑" w:eastAsia="微软雅黑" w:hint="eastAsia"/>
                <w:b/>
                <w:spacing w:val="2"/>
                <w:sz w:val="21"/>
              </w:rPr>
              <w:t>因或在同一事故中导致其发生本合同所定义的两种或者两种以</w:t>
            </w:r>
            <w:r>
              <w:rPr>
                <w:rFonts w:ascii="微软雅黑" w:eastAsia="微软雅黑" w:hint="eastAsia"/>
                <w:b/>
                <w:spacing w:val="-6"/>
                <w:sz w:val="21"/>
              </w:rPr>
              <w:t>上的轻症疾病，我们仅按一种轻症疾病给付轻症疾病保险金，给</w:t>
            </w:r>
            <w:r>
              <w:rPr>
                <w:rFonts w:ascii="微软雅黑" w:eastAsia="微软雅黑" w:hint="eastAsia"/>
                <w:b/>
                <w:spacing w:val="-9"/>
                <w:sz w:val="21"/>
              </w:rPr>
              <w:t>付后该种轻症疾病保险金保险责任终止，本合同的轻症疾病保险金累计给付以五次为限。</w:t>
            </w:r>
          </w:p>
          <w:p>
            <w:pPr>
              <w:pStyle w:val="TableParagraph"/>
              <w:spacing w:line="312" w:lineRule="exact"/>
              <w:ind w:left="165"/>
              <w:jc w:val="both"/>
              <w:rPr>
                <w:sz w:val="21"/>
              </w:rPr>
            </w:pPr>
            <w:r>
              <w:rPr>
                <w:rFonts w:ascii="微软雅黑" w:eastAsia="微软雅黑" w:hint="eastAsia"/>
                <w:b/>
                <w:sz w:val="21"/>
              </w:rPr>
              <w:t>轻症疾病</w:t>
            </w:r>
            <w:r>
              <w:rPr>
                <w:sz w:val="21"/>
              </w:rPr>
              <w:t>种类：</w:t>
            </w:r>
          </w:p>
          <w:p>
            <w:pPr>
              <w:pStyle w:val="TableParagraph"/>
              <w:numPr>
                <w:ilvl w:val="0"/>
                <w:numId w:val="6"/>
              </w:numPr>
              <w:tabs>
                <w:tab w:pos="1953" w:val="left" w:leader="none"/>
              </w:tabs>
              <w:spacing w:line="240" w:lineRule="auto" w:before="12" w:after="0"/>
              <w:ind w:left="1952" w:right="0" w:hanging="264"/>
              <w:jc w:val="left"/>
              <w:rPr>
                <w:sz w:val="21"/>
              </w:rPr>
            </w:pPr>
            <w:r>
              <w:rPr>
                <w:spacing w:val="-1"/>
                <w:sz w:val="21"/>
              </w:rPr>
              <w:t>非危及生命的</w:t>
            </w:r>
            <w:r>
              <w:rPr>
                <w:sz w:val="21"/>
              </w:rPr>
              <w:t>（</w:t>
            </w:r>
            <w:r>
              <w:rPr>
                <w:spacing w:val="-2"/>
                <w:sz w:val="21"/>
              </w:rPr>
              <w:t>极早期的</w:t>
            </w:r>
            <w:r>
              <w:rPr>
                <w:sz w:val="21"/>
              </w:rPr>
              <w:t>）</w:t>
            </w:r>
            <w:r>
              <w:rPr>
                <w:spacing w:val="-2"/>
                <w:sz w:val="21"/>
              </w:rPr>
              <w:t>恶性病变</w:t>
            </w:r>
          </w:p>
          <w:p>
            <w:pPr>
              <w:pStyle w:val="TableParagraph"/>
              <w:numPr>
                <w:ilvl w:val="0"/>
                <w:numId w:val="6"/>
              </w:numPr>
              <w:tabs>
                <w:tab w:pos="1953" w:val="left" w:leader="none"/>
              </w:tabs>
              <w:spacing w:line="240" w:lineRule="auto" w:before="20" w:after="0"/>
              <w:ind w:left="1952" w:right="0" w:hanging="264"/>
              <w:jc w:val="left"/>
              <w:rPr>
                <w:sz w:val="21"/>
              </w:rPr>
            </w:pPr>
            <w:r>
              <w:rPr>
                <w:spacing w:val="-1"/>
                <w:sz w:val="21"/>
              </w:rPr>
              <w:t>冠状动脉介入手术</w:t>
            </w:r>
          </w:p>
          <w:p>
            <w:pPr>
              <w:pStyle w:val="TableParagraph"/>
              <w:numPr>
                <w:ilvl w:val="0"/>
                <w:numId w:val="6"/>
              </w:numPr>
              <w:tabs>
                <w:tab w:pos="1953" w:val="left" w:leader="none"/>
              </w:tabs>
              <w:spacing w:line="240" w:lineRule="auto" w:before="20" w:after="0"/>
              <w:ind w:left="1952" w:right="0" w:hanging="264"/>
              <w:jc w:val="left"/>
              <w:rPr>
                <w:sz w:val="21"/>
              </w:rPr>
            </w:pPr>
            <w:r>
              <w:rPr>
                <w:sz w:val="21"/>
              </w:rPr>
              <w:t>轻微脑中风</w:t>
            </w:r>
          </w:p>
          <w:p>
            <w:pPr>
              <w:pStyle w:val="TableParagraph"/>
              <w:numPr>
                <w:ilvl w:val="0"/>
                <w:numId w:val="6"/>
              </w:numPr>
              <w:tabs>
                <w:tab w:pos="1953" w:val="left" w:leader="none"/>
              </w:tabs>
              <w:spacing w:line="240" w:lineRule="auto" w:before="20" w:after="0"/>
              <w:ind w:left="1952" w:right="0" w:hanging="264"/>
              <w:jc w:val="left"/>
              <w:rPr>
                <w:sz w:val="21"/>
              </w:rPr>
            </w:pPr>
            <w:r>
              <w:rPr>
                <w:spacing w:val="-1"/>
                <w:sz w:val="21"/>
              </w:rPr>
              <w:t>心脏瓣膜介入手术</w:t>
            </w:r>
          </w:p>
          <w:p>
            <w:pPr>
              <w:pStyle w:val="TableParagraph"/>
              <w:numPr>
                <w:ilvl w:val="0"/>
                <w:numId w:val="6"/>
              </w:numPr>
              <w:tabs>
                <w:tab w:pos="1953" w:val="left" w:leader="none"/>
              </w:tabs>
              <w:spacing w:line="240" w:lineRule="auto" w:before="20" w:after="0"/>
              <w:ind w:left="1952" w:right="0" w:hanging="264"/>
              <w:jc w:val="left"/>
              <w:rPr>
                <w:sz w:val="21"/>
              </w:rPr>
            </w:pPr>
            <w:r>
              <w:rPr>
                <w:spacing w:val="-4"/>
                <w:sz w:val="21"/>
              </w:rPr>
              <w:t>脑垂体瘤、脑囊肿、脑动脉瘤及脑血管瘤</w:t>
            </w:r>
          </w:p>
          <w:p>
            <w:pPr>
              <w:pStyle w:val="TableParagraph"/>
              <w:numPr>
                <w:ilvl w:val="0"/>
                <w:numId w:val="6"/>
              </w:numPr>
              <w:tabs>
                <w:tab w:pos="1953" w:val="left" w:leader="none"/>
              </w:tabs>
              <w:spacing w:line="240" w:lineRule="auto" w:before="20" w:after="0"/>
              <w:ind w:left="1952" w:right="0" w:hanging="264"/>
              <w:jc w:val="left"/>
              <w:rPr>
                <w:sz w:val="21"/>
              </w:rPr>
            </w:pPr>
            <w:r>
              <w:rPr>
                <w:spacing w:val="-2"/>
                <w:sz w:val="21"/>
              </w:rPr>
              <w:t>视力严重受损–三周岁始理赔</w:t>
            </w:r>
          </w:p>
          <w:p>
            <w:pPr>
              <w:pStyle w:val="TableParagraph"/>
              <w:numPr>
                <w:ilvl w:val="0"/>
                <w:numId w:val="6"/>
              </w:numPr>
              <w:tabs>
                <w:tab w:pos="1953" w:val="left" w:leader="none"/>
              </w:tabs>
              <w:spacing w:line="240" w:lineRule="auto" w:before="20" w:after="0"/>
              <w:ind w:left="1952" w:right="0" w:hanging="264"/>
              <w:jc w:val="left"/>
              <w:rPr>
                <w:sz w:val="21"/>
              </w:rPr>
            </w:pPr>
            <w:r>
              <w:rPr>
                <w:spacing w:val="-1"/>
                <w:sz w:val="21"/>
              </w:rPr>
              <w:t>主动脉内介入手术</w:t>
            </w:r>
          </w:p>
          <w:p>
            <w:pPr>
              <w:pStyle w:val="TableParagraph"/>
              <w:numPr>
                <w:ilvl w:val="0"/>
                <w:numId w:val="6"/>
              </w:numPr>
              <w:tabs>
                <w:tab w:pos="1953" w:val="left" w:leader="none"/>
              </w:tabs>
              <w:spacing w:line="240" w:lineRule="auto" w:before="19" w:after="0"/>
              <w:ind w:left="1952" w:right="0" w:hanging="264"/>
              <w:jc w:val="left"/>
              <w:rPr>
                <w:sz w:val="21"/>
              </w:rPr>
            </w:pPr>
            <w:r>
              <w:rPr>
                <w:spacing w:val="-1"/>
                <w:sz w:val="21"/>
              </w:rPr>
              <w:t>较小面积</w:t>
            </w:r>
            <w:r>
              <w:rPr>
                <w:rFonts w:ascii="Cambria" w:eastAsia="Cambria"/>
                <w:spacing w:val="-2"/>
                <w:sz w:val="21"/>
              </w:rPr>
              <w:t>III</w:t>
            </w:r>
            <w:r>
              <w:rPr>
                <w:spacing w:val="-1"/>
                <w:sz w:val="21"/>
              </w:rPr>
              <w:t>度烧伤</w:t>
            </w:r>
            <w:r>
              <w:rPr>
                <w:sz w:val="21"/>
              </w:rPr>
              <w:t>（</w:t>
            </w:r>
            <w:r>
              <w:rPr>
                <w:rFonts w:ascii="Cambria" w:eastAsia="Cambria"/>
                <w:sz w:val="21"/>
              </w:rPr>
              <w:t>10%</w:t>
            </w:r>
            <w:r>
              <w:rPr>
                <w:sz w:val="21"/>
              </w:rPr>
              <w:t>）</w:t>
            </w:r>
          </w:p>
          <w:p>
            <w:pPr>
              <w:pStyle w:val="TableParagraph"/>
              <w:numPr>
                <w:ilvl w:val="0"/>
                <w:numId w:val="6"/>
              </w:numPr>
              <w:tabs>
                <w:tab w:pos="1953" w:val="left" w:leader="none"/>
              </w:tabs>
              <w:spacing w:line="240" w:lineRule="auto" w:before="19" w:after="0"/>
              <w:ind w:left="1952" w:right="0" w:hanging="264"/>
              <w:jc w:val="left"/>
              <w:rPr>
                <w:sz w:val="21"/>
              </w:rPr>
            </w:pPr>
            <w:r>
              <w:rPr>
                <w:spacing w:val="-1"/>
                <w:sz w:val="21"/>
              </w:rPr>
              <w:t>植入大脑内分流器</w:t>
            </w:r>
          </w:p>
          <w:p>
            <w:pPr>
              <w:pStyle w:val="TableParagraph"/>
              <w:numPr>
                <w:ilvl w:val="0"/>
                <w:numId w:val="6"/>
              </w:numPr>
              <w:tabs>
                <w:tab w:pos="2068" w:val="left" w:leader="none"/>
              </w:tabs>
              <w:spacing w:line="240" w:lineRule="auto" w:before="19" w:after="0"/>
              <w:ind w:left="2067" w:right="0" w:hanging="379"/>
              <w:jc w:val="left"/>
              <w:rPr>
                <w:sz w:val="21"/>
              </w:rPr>
            </w:pPr>
            <w:r>
              <w:rPr>
                <w:sz w:val="21"/>
              </w:rPr>
              <w:t>重症头部外伤</w:t>
            </w:r>
          </w:p>
          <w:p>
            <w:pPr>
              <w:pStyle w:val="TableParagraph"/>
              <w:numPr>
                <w:ilvl w:val="0"/>
                <w:numId w:val="6"/>
              </w:numPr>
              <w:tabs>
                <w:tab w:pos="2068" w:val="left" w:leader="none"/>
              </w:tabs>
              <w:spacing w:line="240" w:lineRule="auto" w:before="19" w:after="0"/>
              <w:ind w:left="2067" w:right="0" w:hanging="379"/>
              <w:jc w:val="left"/>
              <w:rPr>
                <w:sz w:val="21"/>
              </w:rPr>
            </w:pPr>
            <w:r>
              <w:rPr>
                <w:sz w:val="21"/>
              </w:rPr>
              <w:t>单个肢体缺失</w:t>
            </w:r>
          </w:p>
          <w:p>
            <w:pPr>
              <w:pStyle w:val="TableParagraph"/>
              <w:numPr>
                <w:ilvl w:val="0"/>
                <w:numId w:val="6"/>
              </w:numPr>
              <w:tabs>
                <w:tab w:pos="2068" w:val="left" w:leader="none"/>
              </w:tabs>
              <w:spacing w:line="240" w:lineRule="auto" w:before="19" w:after="0"/>
              <w:ind w:left="2067" w:right="0" w:hanging="379"/>
              <w:jc w:val="left"/>
              <w:rPr>
                <w:sz w:val="21"/>
              </w:rPr>
            </w:pPr>
            <w:r>
              <w:rPr>
                <w:sz w:val="21"/>
              </w:rPr>
              <w:t>单侧肺脏切除</w:t>
            </w:r>
          </w:p>
          <w:p>
            <w:pPr>
              <w:pStyle w:val="TableParagraph"/>
              <w:numPr>
                <w:ilvl w:val="0"/>
                <w:numId w:val="6"/>
              </w:numPr>
              <w:tabs>
                <w:tab w:pos="2082" w:val="left" w:leader="none"/>
              </w:tabs>
              <w:spacing w:line="240" w:lineRule="auto" w:before="19" w:after="0"/>
              <w:ind w:left="2081" w:right="0" w:hanging="393"/>
              <w:jc w:val="left"/>
              <w:rPr>
                <w:sz w:val="21"/>
              </w:rPr>
            </w:pPr>
            <w:r>
              <w:rPr>
                <w:sz w:val="21"/>
              </w:rPr>
              <w:t>肝脏手术</w:t>
            </w:r>
          </w:p>
          <w:p>
            <w:pPr>
              <w:pStyle w:val="TableParagraph"/>
              <w:numPr>
                <w:ilvl w:val="0"/>
                <w:numId w:val="6"/>
              </w:numPr>
              <w:tabs>
                <w:tab w:pos="2082" w:val="left" w:leader="none"/>
              </w:tabs>
              <w:spacing w:line="240" w:lineRule="auto" w:before="19" w:after="0"/>
              <w:ind w:left="2081" w:right="0" w:hanging="393"/>
              <w:jc w:val="left"/>
              <w:rPr>
                <w:sz w:val="21"/>
              </w:rPr>
            </w:pPr>
            <w:r>
              <w:rPr>
                <w:spacing w:val="-1"/>
                <w:sz w:val="21"/>
              </w:rPr>
              <w:t>早期运动神经性疾病</w:t>
            </w:r>
          </w:p>
          <w:p>
            <w:pPr>
              <w:pStyle w:val="TableParagraph"/>
              <w:numPr>
                <w:ilvl w:val="0"/>
                <w:numId w:val="6"/>
              </w:numPr>
              <w:tabs>
                <w:tab w:pos="2082" w:val="left" w:leader="none"/>
              </w:tabs>
              <w:spacing w:line="240" w:lineRule="auto" w:before="19" w:after="0"/>
              <w:ind w:left="2081" w:right="0" w:hanging="393"/>
              <w:jc w:val="left"/>
              <w:rPr>
                <w:sz w:val="21"/>
              </w:rPr>
            </w:pPr>
            <w:r>
              <w:rPr>
                <w:sz w:val="21"/>
              </w:rPr>
              <w:t>人工耳蜗植入术</w:t>
            </w:r>
          </w:p>
          <w:p>
            <w:pPr>
              <w:pStyle w:val="TableParagraph"/>
              <w:numPr>
                <w:ilvl w:val="0"/>
                <w:numId w:val="6"/>
              </w:numPr>
              <w:tabs>
                <w:tab w:pos="2082" w:val="left" w:leader="none"/>
              </w:tabs>
              <w:spacing w:line="240" w:lineRule="auto" w:before="19" w:after="0"/>
              <w:ind w:left="2081" w:right="0" w:hanging="393"/>
              <w:jc w:val="left"/>
              <w:rPr>
                <w:sz w:val="21"/>
              </w:rPr>
            </w:pPr>
            <w:r>
              <w:rPr>
                <w:sz w:val="21"/>
              </w:rPr>
              <w:t>胆道重建手术</w:t>
            </w:r>
          </w:p>
          <w:p>
            <w:pPr>
              <w:pStyle w:val="TableParagraph"/>
              <w:numPr>
                <w:ilvl w:val="0"/>
                <w:numId w:val="6"/>
              </w:numPr>
              <w:tabs>
                <w:tab w:pos="2082" w:val="left" w:leader="none"/>
              </w:tabs>
              <w:spacing w:line="240" w:lineRule="auto" w:before="19" w:after="0"/>
              <w:ind w:left="2081" w:right="0" w:hanging="393"/>
              <w:jc w:val="left"/>
              <w:rPr>
                <w:sz w:val="21"/>
              </w:rPr>
            </w:pPr>
            <w:r>
              <w:rPr>
                <w:spacing w:val="-1"/>
                <w:sz w:val="21"/>
              </w:rPr>
              <w:t>双侧卵巢或睾丸切除术</w:t>
            </w:r>
          </w:p>
          <w:p>
            <w:pPr>
              <w:pStyle w:val="TableParagraph"/>
              <w:numPr>
                <w:ilvl w:val="0"/>
                <w:numId w:val="6"/>
              </w:numPr>
              <w:tabs>
                <w:tab w:pos="2082" w:val="left" w:leader="none"/>
              </w:tabs>
              <w:spacing w:line="240" w:lineRule="auto" w:before="19" w:after="0"/>
              <w:ind w:left="2081" w:right="0" w:hanging="393"/>
              <w:jc w:val="left"/>
              <w:rPr>
                <w:sz w:val="21"/>
              </w:rPr>
            </w:pPr>
            <w:r>
              <w:rPr>
                <w:sz w:val="21"/>
              </w:rPr>
              <w:t>单侧肾脏切除</w:t>
            </w:r>
          </w:p>
          <w:p>
            <w:pPr>
              <w:pStyle w:val="TableParagraph"/>
              <w:numPr>
                <w:ilvl w:val="0"/>
                <w:numId w:val="6"/>
              </w:numPr>
              <w:tabs>
                <w:tab w:pos="2082" w:val="left" w:leader="none"/>
              </w:tabs>
              <w:spacing w:line="240" w:lineRule="auto" w:before="19" w:after="0"/>
              <w:ind w:left="2081" w:right="0" w:hanging="393"/>
              <w:jc w:val="left"/>
              <w:rPr>
                <w:sz w:val="21"/>
              </w:rPr>
            </w:pPr>
            <w:r>
              <w:rPr>
                <w:sz w:val="21"/>
              </w:rPr>
              <w:t>肝叶切除</w:t>
            </w:r>
          </w:p>
          <w:p>
            <w:pPr>
              <w:pStyle w:val="TableParagraph"/>
              <w:numPr>
                <w:ilvl w:val="0"/>
                <w:numId w:val="6"/>
              </w:numPr>
              <w:tabs>
                <w:tab w:pos="2082" w:val="left" w:leader="none"/>
              </w:tabs>
              <w:spacing w:line="240" w:lineRule="auto" w:before="19" w:after="0"/>
              <w:ind w:left="2081" w:right="0" w:hanging="393"/>
              <w:jc w:val="left"/>
              <w:rPr>
                <w:sz w:val="21"/>
              </w:rPr>
            </w:pPr>
            <w:r>
              <w:rPr>
                <w:sz w:val="21"/>
              </w:rPr>
              <w:t>单耳失聪</w:t>
            </w:r>
          </w:p>
          <w:p>
            <w:pPr>
              <w:pStyle w:val="TableParagraph"/>
              <w:numPr>
                <w:ilvl w:val="0"/>
                <w:numId w:val="6"/>
              </w:numPr>
              <w:tabs>
                <w:tab w:pos="2082" w:val="left" w:leader="none"/>
              </w:tabs>
              <w:spacing w:line="240" w:lineRule="auto" w:before="19" w:after="0"/>
              <w:ind w:left="2081" w:right="0" w:hanging="393"/>
              <w:jc w:val="left"/>
              <w:rPr>
                <w:sz w:val="21"/>
              </w:rPr>
            </w:pPr>
            <w:r>
              <w:rPr>
                <w:spacing w:val="-1"/>
                <w:sz w:val="21"/>
              </w:rPr>
              <w:t>微创冠状动脉搭桥手术</w:t>
            </w:r>
          </w:p>
          <w:p>
            <w:pPr>
              <w:pStyle w:val="TableParagraph"/>
              <w:numPr>
                <w:ilvl w:val="0"/>
                <w:numId w:val="6"/>
              </w:numPr>
              <w:tabs>
                <w:tab w:pos="2082" w:val="left" w:leader="none"/>
              </w:tabs>
              <w:spacing w:line="240" w:lineRule="auto" w:before="20" w:after="0"/>
              <w:ind w:left="2081" w:right="0" w:hanging="393"/>
              <w:jc w:val="left"/>
              <w:rPr>
                <w:sz w:val="21"/>
              </w:rPr>
            </w:pPr>
            <w:r>
              <w:rPr>
                <w:spacing w:val="-1"/>
                <w:sz w:val="21"/>
              </w:rPr>
              <w:t>Ⅲ度房室传导阻滞</w:t>
            </w:r>
            <w:r>
              <w:rPr>
                <w:rFonts w:ascii="Cambria" w:hAnsi="Cambria" w:eastAsia="Cambria"/>
                <w:sz w:val="21"/>
              </w:rPr>
              <w:t>-</w:t>
            </w:r>
            <w:r>
              <w:rPr>
                <w:spacing w:val="-3"/>
                <w:sz w:val="21"/>
              </w:rPr>
              <w:t>已放置心脏起搏器</w:t>
            </w:r>
          </w:p>
          <w:p>
            <w:pPr>
              <w:pStyle w:val="TableParagraph"/>
              <w:numPr>
                <w:ilvl w:val="0"/>
                <w:numId w:val="6"/>
              </w:numPr>
              <w:tabs>
                <w:tab w:pos="2082" w:val="left" w:leader="none"/>
              </w:tabs>
              <w:spacing w:line="240" w:lineRule="auto" w:before="20" w:after="0"/>
              <w:ind w:left="2081" w:right="0" w:hanging="393"/>
              <w:jc w:val="left"/>
              <w:rPr>
                <w:sz w:val="21"/>
              </w:rPr>
            </w:pPr>
            <w:r>
              <w:rPr>
                <w:spacing w:val="-3"/>
                <w:sz w:val="21"/>
              </w:rPr>
              <w:t>于颈动脉进行血管成形术或内膜切除术</w:t>
            </w:r>
          </w:p>
          <w:p>
            <w:pPr>
              <w:pStyle w:val="TableParagraph"/>
              <w:numPr>
                <w:ilvl w:val="0"/>
                <w:numId w:val="6"/>
              </w:numPr>
              <w:tabs>
                <w:tab w:pos="2082" w:val="left" w:leader="none"/>
              </w:tabs>
              <w:spacing w:line="240" w:lineRule="auto" w:before="20" w:after="0"/>
              <w:ind w:left="2081" w:right="0" w:hanging="393"/>
              <w:jc w:val="left"/>
              <w:rPr>
                <w:sz w:val="21"/>
              </w:rPr>
            </w:pPr>
            <w:r>
              <w:rPr>
                <w:spacing w:val="-3"/>
                <w:sz w:val="21"/>
              </w:rPr>
              <w:t>微创心包剥脱、切除或粘连松解手术</w:t>
            </w:r>
          </w:p>
          <w:p>
            <w:pPr>
              <w:pStyle w:val="TableParagraph"/>
              <w:numPr>
                <w:ilvl w:val="0"/>
                <w:numId w:val="6"/>
              </w:numPr>
              <w:tabs>
                <w:tab w:pos="2082" w:val="left" w:leader="none"/>
              </w:tabs>
              <w:spacing w:line="240" w:lineRule="auto" w:before="20" w:after="0"/>
              <w:ind w:left="2081" w:right="0" w:hanging="393"/>
              <w:jc w:val="left"/>
              <w:rPr>
                <w:sz w:val="21"/>
              </w:rPr>
            </w:pPr>
            <w:r>
              <w:rPr>
                <w:sz w:val="21"/>
              </w:rPr>
              <w:t>脑炎或脑膜炎</w:t>
            </w:r>
          </w:p>
          <w:p>
            <w:pPr>
              <w:pStyle w:val="TableParagraph"/>
              <w:numPr>
                <w:ilvl w:val="0"/>
                <w:numId w:val="6"/>
              </w:numPr>
              <w:tabs>
                <w:tab w:pos="2082" w:val="left" w:leader="none"/>
              </w:tabs>
              <w:spacing w:line="240" w:lineRule="auto" w:before="20" w:after="0"/>
              <w:ind w:left="2081" w:right="0" w:hanging="393"/>
              <w:jc w:val="left"/>
              <w:rPr>
                <w:sz w:val="21"/>
              </w:rPr>
            </w:pPr>
            <w:r>
              <w:rPr>
                <w:spacing w:val="-1"/>
                <w:sz w:val="21"/>
              </w:rPr>
              <w:t>硬脑膜下血肿手术</w:t>
            </w:r>
          </w:p>
          <w:p>
            <w:pPr>
              <w:pStyle w:val="TableParagraph"/>
              <w:numPr>
                <w:ilvl w:val="0"/>
                <w:numId w:val="6"/>
              </w:numPr>
              <w:tabs>
                <w:tab w:pos="2082" w:val="left" w:leader="none"/>
              </w:tabs>
              <w:spacing w:line="240" w:lineRule="auto" w:before="20" w:after="0"/>
              <w:ind w:left="2081" w:right="0" w:hanging="393"/>
              <w:jc w:val="left"/>
              <w:rPr>
                <w:sz w:val="21"/>
              </w:rPr>
            </w:pPr>
            <w:r>
              <w:rPr>
                <w:spacing w:val="-1"/>
                <w:sz w:val="21"/>
              </w:rPr>
              <w:t>严重阻塞性睡眠窒息症</w:t>
            </w:r>
          </w:p>
          <w:p>
            <w:pPr>
              <w:pStyle w:val="TableParagraph"/>
              <w:numPr>
                <w:ilvl w:val="0"/>
                <w:numId w:val="6"/>
              </w:numPr>
              <w:tabs>
                <w:tab w:pos="2082" w:val="left" w:leader="none"/>
              </w:tabs>
              <w:spacing w:line="240" w:lineRule="auto" w:before="20" w:after="0"/>
              <w:ind w:left="2081" w:right="0" w:hanging="393"/>
              <w:jc w:val="left"/>
              <w:rPr>
                <w:sz w:val="21"/>
              </w:rPr>
            </w:pPr>
            <w:r>
              <w:rPr>
                <w:spacing w:val="-2"/>
                <w:sz w:val="21"/>
              </w:rPr>
              <w:t>因意外毁容而施行的面部整形手术</w:t>
            </w:r>
          </w:p>
          <w:p>
            <w:pPr>
              <w:pStyle w:val="TableParagraph"/>
              <w:numPr>
                <w:ilvl w:val="0"/>
                <w:numId w:val="6"/>
              </w:numPr>
              <w:tabs>
                <w:tab w:pos="2082" w:val="left" w:leader="none"/>
              </w:tabs>
              <w:spacing w:line="240" w:lineRule="auto" w:before="19" w:after="0"/>
              <w:ind w:left="2081" w:right="0" w:hanging="393"/>
              <w:jc w:val="left"/>
              <w:rPr>
                <w:sz w:val="21"/>
              </w:rPr>
            </w:pPr>
            <w:r>
              <w:rPr>
                <w:sz w:val="21"/>
              </w:rPr>
              <w:t>角膜移植</w:t>
            </w:r>
          </w:p>
          <w:p>
            <w:pPr>
              <w:pStyle w:val="TableParagraph"/>
              <w:numPr>
                <w:ilvl w:val="0"/>
                <w:numId w:val="6"/>
              </w:numPr>
              <w:tabs>
                <w:tab w:pos="2082" w:val="left" w:leader="none"/>
              </w:tabs>
              <w:spacing w:line="240" w:lineRule="auto" w:before="19" w:after="0"/>
              <w:ind w:left="2081" w:right="0" w:hanging="393"/>
              <w:jc w:val="left"/>
              <w:rPr>
                <w:sz w:val="21"/>
              </w:rPr>
            </w:pPr>
            <w:r>
              <w:rPr>
                <w:sz w:val="21"/>
              </w:rPr>
              <w:t>单眼失明</w:t>
            </w:r>
          </w:p>
          <w:p>
            <w:pPr>
              <w:pStyle w:val="TableParagraph"/>
              <w:numPr>
                <w:ilvl w:val="0"/>
                <w:numId w:val="6"/>
              </w:numPr>
              <w:tabs>
                <w:tab w:pos="2082" w:val="left" w:leader="none"/>
              </w:tabs>
              <w:spacing w:line="240" w:lineRule="auto" w:before="19" w:after="0"/>
              <w:ind w:left="2081" w:right="0" w:hanging="393"/>
              <w:jc w:val="left"/>
              <w:rPr>
                <w:sz w:val="21"/>
              </w:rPr>
            </w:pPr>
            <w:r>
              <w:rPr>
                <w:spacing w:val="-1"/>
                <w:sz w:val="21"/>
              </w:rPr>
              <w:t>可逆性再生障碍性贫血</w:t>
            </w:r>
          </w:p>
          <w:p>
            <w:pPr>
              <w:pStyle w:val="TableParagraph"/>
              <w:numPr>
                <w:ilvl w:val="0"/>
                <w:numId w:val="6"/>
              </w:numPr>
              <w:tabs>
                <w:tab w:pos="2082" w:val="left" w:leader="none"/>
              </w:tabs>
              <w:spacing w:line="240" w:lineRule="auto" w:before="19" w:after="0"/>
              <w:ind w:left="2081" w:right="0" w:hanging="393"/>
              <w:jc w:val="left"/>
              <w:rPr>
                <w:sz w:val="21"/>
              </w:rPr>
            </w:pPr>
            <w:r>
              <w:rPr>
                <w:spacing w:val="-2"/>
                <w:sz w:val="21"/>
              </w:rPr>
              <w:t>骨质疏松症连骨折</w:t>
            </w:r>
          </w:p>
          <w:p>
            <w:pPr>
              <w:pStyle w:val="TableParagraph"/>
              <w:numPr>
                <w:ilvl w:val="0"/>
                <w:numId w:val="6"/>
              </w:numPr>
              <w:tabs>
                <w:tab w:pos="2082" w:val="left" w:leader="none"/>
              </w:tabs>
              <w:spacing w:line="240" w:lineRule="auto" w:before="20" w:after="0"/>
              <w:ind w:left="2081" w:right="0" w:hanging="393"/>
              <w:jc w:val="left"/>
              <w:rPr>
                <w:sz w:val="21"/>
              </w:rPr>
            </w:pPr>
            <w:r>
              <w:rPr>
                <w:spacing w:val="-2"/>
                <w:sz w:val="21"/>
              </w:rPr>
              <w:t>特定周围动脉疾病的血管介入治疗</w:t>
            </w:r>
          </w:p>
          <w:p>
            <w:pPr>
              <w:pStyle w:val="TableParagraph"/>
              <w:numPr>
                <w:ilvl w:val="0"/>
                <w:numId w:val="6"/>
              </w:numPr>
              <w:tabs>
                <w:tab w:pos="2068" w:val="left" w:leader="none"/>
              </w:tabs>
              <w:spacing w:line="240" w:lineRule="auto" w:before="19" w:after="0"/>
              <w:ind w:left="2067" w:right="0" w:hanging="379"/>
              <w:jc w:val="left"/>
              <w:rPr>
                <w:sz w:val="21"/>
              </w:rPr>
            </w:pPr>
            <w:r>
              <w:rPr>
                <w:spacing w:val="-2"/>
                <w:sz w:val="21"/>
              </w:rPr>
              <w:t>因肾上腺皮质腺瘤切除肾上腺</w:t>
            </w:r>
          </w:p>
          <w:p>
            <w:pPr>
              <w:pStyle w:val="TableParagraph"/>
              <w:numPr>
                <w:ilvl w:val="0"/>
                <w:numId w:val="6"/>
              </w:numPr>
              <w:tabs>
                <w:tab w:pos="2068" w:val="left" w:leader="none"/>
              </w:tabs>
              <w:spacing w:line="240" w:lineRule="auto" w:before="19" w:after="0"/>
              <w:ind w:left="2067" w:right="0" w:hanging="379"/>
              <w:jc w:val="left"/>
              <w:rPr>
                <w:sz w:val="21"/>
              </w:rPr>
            </w:pPr>
            <w:r>
              <w:rPr>
                <w:spacing w:val="-1"/>
                <w:sz w:val="21"/>
              </w:rPr>
              <w:t>植入腔静脉过滤器</w:t>
            </w:r>
          </w:p>
        </w:tc>
      </w:tr>
      <w:tr>
        <w:trPr>
          <w:trHeight w:val="1038" w:hRule="atLeast"/>
        </w:trPr>
        <w:tc>
          <w:tcPr>
            <w:tcW w:w="1422" w:type="dxa"/>
          </w:tcPr>
          <w:p>
            <w:pPr>
              <w:pStyle w:val="TableParagraph"/>
              <w:spacing w:line="201" w:lineRule="auto" w:before="135"/>
              <w:ind w:left="200" w:right="163"/>
              <w:rPr>
                <w:rFonts w:ascii="Microsoft JhengHei" w:eastAsia="Microsoft JhengHei" w:hint="eastAsia"/>
                <w:b/>
                <w:sz w:val="21"/>
              </w:rPr>
            </w:pPr>
            <w:r>
              <w:rPr>
                <w:rFonts w:ascii="Microsoft JhengHei" w:eastAsia="Microsoft JhengHei" w:hint="eastAsia"/>
                <w:b/>
                <w:sz w:val="21"/>
              </w:rPr>
              <w:t>重大疾病保险金</w:t>
            </w:r>
          </w:p>
        </w:tc>
        <w:tc>
          <w:tcPr>
            <w:tcW w:w="6252" w:type="dxa"/>
          </w:tcPr>
          <w:p>
            <w:pPr>
              <w:pStyle w:val="TableParagraph"/>
              <w:spacing w:line="268" w:lineRule="auto" w:before="143"/>
              <w:ind w:left="588" w:right="198" w:hanging="423"/>
              <w:rPr>
                <w:sz w:val="21"/>
              </w:rPr>
            </w:pPr>
            <w:r>
              <w:rPr>
                <w:spacing w:val="-2"/>
                <w:sz w:val="21"/>
              </w:rPr>
              <w:t>一、若被保险人于本合同生效</w:t>
            </w:r>
            <w:r>
              <w:rPr>
                <w:sz w:val="21"/>
              </w:rPr>
              <w:t>（</w:t>
            </w:r>
            <w:r>
              <w:rPr>
                <w:spacing w:val="-5"/>
                <w:sz w:val="21"/>
              </w:rPr>
              <w:t>若曾复效，则自合同最后复效</w:t>
            </w:r>
            <w:r>
              <w:rPr>
                <w:sz w:val="21"/>
              </w:rPr>
              <w:t>） </w:t>
            </w:r>
            <w:r>
              <w:rPr>
                <w:spacing w:val="-12"/>
                <w:sz w:val="21"/>
              </w:rPr>
              <w:t>之日起 </w:t>
            </w:r>
            <w:r>
              <w:rPr>
                <w:sz w:val="21"/>
              </w:rPr>
              <w:t>90</w:t>
            </w:r>
            <w:r>
              <w:rPr>
                <w:spacing w:val="-22"/>
                <w:sz w:val="21"/>
              </w:rPr>
              <w:t> 日内</w:t>
            </w:r>
            <w:r>
              <w:rPr>
                <w:sz w:val="21"/>
              </w:rPr>
              <w:t>（</w:t>
            </w:r>
            <w:r>
              <w:rPr>
                <w:spacing w:val="-16"/>
                <w:sz w:val="21"/>
              </w:rPr>
              <w:t>含第 </w:t>
            </w:r>
            <w:r>
              <w:rPr>
                <w:sz w:val="21"/>
              </w:rPr>
              <w:t>90</w:t>
            </w:r>
            <w:r>
              <w:rPr>
                <w:spacing w:val="-25"/>
                <w:sz w:val="21"/>
              </w:rPr>
              <w:t> 日</w:t>
            </w:r>
            <w:r>
              <w:rPr>
                <w:spacing w:val="-15"/>
                <w:sz w:val="21"/>
              </w:rPr>
              <w:t>）</w:t>
            </w:r>
            <w:r>
              <w:rPr>
                <w:spacing w:val="-5"/>
                <w:sz w:val="21"/>
              </w:rPr>
              <w:t>因意外伤害以外的原因，导致</w:t>
            </w:r>
          </w:p>
          <w:p>
            <w:pPr>
              <w:pStyle w:val="TableParagraph"/>
              <w:spacing w:line="255" w:lineRule="exact" w:before="11"/>
              <w:ind w:left="588"/>
              <w:rPr>
                <w:sz w:val="21"/>
              </w:rPr>
            </w:pPr>
            <w:r>
              <w:rPr>
                <w:sz w:val="21"/>
              </w:rPr>
              <w:t>经医院的专科医生初次确诊发生本合同所定义的重大疾病</w:t>
            </w:r>
          </w:p>
        </w:tc>
      </w:tr>
    </w:tbl>
    <w:p>
      <w:pPr>
        <w:spacing w:after="0" w:line="255" w:lineRule="exact"/>
        <w:rPr>
          <w:sz w:val="21"/>
        </w:rPr>
        <w:sectPr>
          <w:pgSz w:w="11910" w:h="16840"/>
          <w:pgMar w:header="0" w:footer="150" w:top="740" w:bottom="340" w:left="1680" w:right="154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6318"/>
      </w:tblGrid>
      <w:tr>
        <w:trPr>
          <w:trHeight w:val="2297" w:hRule="atLeast"/>
        </w:trPr>
        <w:tc>
          <w:tcPr>
            <w:tcW w:w="1422" w:type="dxa"/>
          </w:tcPr>
          <w:p>
            <w:pPr>
              <w:pStyle w:val="TableParagraph"/>
              <w:ind w:left="0"/>
              <w:rPr>
                <w:rFonts w:ascii="Times New Roman"/>
                <w:sz w:val="20"/>
              </w:rPr>
            </w:pPr>
          </w:p>
        </w:tc>
        <w:tc>
          <w:tcPr>
            <w:tcW w:w="6318" w:type="dxa"/>
          </w:tcPr>
          <w:p>
            <w:pPr>
              <w:pStyle w:val="TableParagraph"/>
              <w:spacing w:line="211" w:lineRule="exact"/>
              <w:ind w:left="588"/>
              <w:rPr>
                <w:sz w:val="21"/>
              </w:rPr>
            </w:pPr>
            <w:r>
              <w:rPr>
                <w:spacing w:val="3"/>
                <w:w w:val="100"/>
                <w:sz w:val="21"/>
              </w:rPr>
              <w:t>（</w:t>
            </w:r>
            <w:r>
              <w:rPr>
                <w:w w:val="100"/>
                <w:sz w:val="21"/>
              </w:rPr>
              <w:t>无论一种或者多种</w:t>
            </w:r>
            <w:r>
              <w:rPr>
                <w:spacing w:val="-101"/>
                <w:w w:val="100"/>
                <w:sz w:val="21"/>
              </w:rPr>
              <w:t>）</w:t>
            </w:r>
            <w:r>
              <w:rPr>
                <w:w w:val="100"/>
                <w:sz w:val="21"/>
              </w:rPr>
              <w:t>，我们将按累计已交保险费（不计利</w:t>
            </w:r>
          </w:p>
          <w:p>
            <w:pPr>
              <w:pStyle w:val="TableParagraph"/>
              <w:spacing w:before="37"/>
              <w:ind w:left="588"/>
              <w:rPr>
                <w:sz w:val="21"/>
              </w:rPr>
            </w:pPr>
            <w:r>
              <w:rPr>
                <w:sz w:val="21"/>
              </w:rPr>
              <w:t>息）给付重大疾病保险金，同时本合同终止。</w:t>
            </w:r>
          </w:p>
          <w:p>
            <w:pPr>
              <w:pStyle w:val="TableParagraph"/>
              <w:spacing w:line="273" w:lineRule="auto" w:before="37"/>
              <w:ind w:left="588" w:right="301" w:hanging="423"/>
              <w:jc w:val="both"/>
              <w:rPr>
                <w:sz w:val="21"/>
              </w:rPr>
            </w:pPr>
            <w:r>
              <w:rPr>
                <w:spacing w:val="-5"/>
                <w:sz w:val="21"/>
              </w:rPr>
              <w:t>二、若被保险人因意外伤害，或于本合同生效</w:t>
            </w:r>
            <w:r>
              <w:rPr>
                <w:sz w:val="21"/>
              </w:rPr>
              <w:t>（</w:t>
            </w:r>
            <w:r>
              <w:rPr>
                <w:spacing w:val="-5"/>
                <w:sz w:val="21"/>
              </w:rPr>
              <w:t>若曾复效，则自合同最后复效</w:t>
            </w:r>
            <w:r>
              <w:rPr>
                <w:spacing w:val="-14"/>
                <w:sz w:val="21"/>
              </w:rPr>
              <w:t>）</w:t>
            </w:r>
            <w:r>
              <w:rPr>
                <w:spacing w:val="-12"/>
                <w:sz w:val="21"/>
              </w:rPr>
              <w:t>之日起 </w:t>
            </w:r>
            <w:r>
              <w:rPr>
                <w:spacing w:val="-3"/>
                <w:sz w:val="21"/>
              </w:rPr>
              <w:t>90</w:t>
            </w:r>
            <w:r>
              <w:rPr>
                <w:spacing w:val="-21"/>
                <w:sz w:val="21"/>
              </w:rPr>
              <w:t> 日后</w:t>
            </w:r>
            <w:r>
              <w:rPr>
                <w:sz w:val="21"/>
              </w:rPr>
              <w:t>（</w:t>
            </w:r>
            <w:r>
              <w:rPr>
                <w:spacing w:val="-13"/>
                <w:sz w:val="21"/>
              </w:rPr>
              <w:t>不含第 </w:t>
            </w:r>
            <w:r>
              <w:rPr>
                <w:sz w:val="21"/>
              </w:rPr>
              <w:t>90</w:t>
            </w:r>
            <w:r>
              <w:rPr>
                <w:spacing w:val="-23"/>
                <w:sz w:val="21"/>
              </w:rPr>
              <w:t> 日</w:t>
            </w:r>
            <w:r>
              <w:rPr>
                <w:spacing w:val="-15"/>
                <w:sz w:val="21"/>
              </w:rPr>
              <w:t>）</w:t>
            </w:r>
            <w:r>
              <w:rPr>
                <w:spacing w:val="-3"/>
                <w:sz w:val="21"/>
              </w:rPr>
              <w:t>因意外伤害</w:t>
            </w:r>
            <w:r>
              <w:rPr>
                <w:spacing w:val="-8"/>
                <w:sz w:val="21"/>
              </w:rPr>
              <w:t>以外的原因，导致经医院的专科医生初次确诊发生本合同所</w:t>
            </w:r>
            <w:r>
              <w:rPr>
                <w:spacing w:val="-17"/>
                <w:sz w:val="21"/>
              </w:rPr>
              <w:t>定义的重大疾病</w:t>
            </w:r>
            <w:r>
              <w:rPr>
                <w:sz w:val="21"/>
              </w:rPr>
              <w:t>（</w:t>
            </w:r>
            <w:r>
              <w:rPr>
                <w:spacing w:val="-3"/>
                <w:sz w:val="21"/>
              </w:rPr>
              <w:t>无论一种或者多种</w:t>
            </w:r>
            <w:r>
              <w:rPr>
                <w:spacing w:val="-89"/>
                <w:sz w:val="21"/>
              </w:rPr>
              <w:t>）</w:t>
            </w:r>
            <w:r>
              <w:rPr>
                <w:spacing w:val="-13"/>
                <w:sz w:val="21"/>
              </w:rPr>
              <w:t>，我们将按本合同载明</w:t>
            </w:r>
            <w:r>
              <w:rPr>
                <w:spacing w:val="-8"/>
                <w:sz w:val="21"/>
              </w:rPr>
              <w:t>的基本保险金额给付重大疾病保险金，同时本合同终止。</w:t>
            </w:r>
          </w:p>
        </w:tc>
      </w:tr>
      <w:tr>
        <w:trPr>
          <w:trHeight w:val="4071" w:hRule="atLeast"/>
        </w:trPr>
        <w:tc>
          <w:tcPr>
            <w:tcW w:w="1422" w:type="dxa"/>
          </w:tcPr>
          <w:p>
            <w:pPr>
              <w:pStyle w:val="TableParagraph"/>
              <w:spacing w:before="83"/>
              <w:ind w:left="0" w:right="165"/>
              <w:jc w:val="right"/>
              <w:rPr>
                <w:rFonts w:ascii="Microsoft JhengHei" w:eastAsia="Microsoft JhengHei" w:hint="eastAsia"/>
                <w:b/>
                <w:sz w:val="21"/>
              </w:rPr>
            </w:pPr>
            <w:r>
              <w:rPr>
                <w:rFonts w:ascii="Microsoft JhengHei" w:eastAsia="Microsoft JhengHei" w:hint="eastAsia"/>
                <w:b/>
                <w:sz w:val="21"/>
              </w:rPr>
              <w:t>身故保险金</w:t>
            </w:r>
          </w:p>
        </w:tc>
        <w:tc>
          <w:tcPr>
            <w:tcW w:w="6318" w:type="dxa"/>
          </w:tcPr>
          <w:p>
            <w:pPr>
              <w:pStyle w:val="TableParagraph"/>
              <w:spacing w:before="150"/>
              <w:ind w:left="165"/>
              <w:rPr>
                <w:sz w:val="21"/>
              </w:rPr>
            </w:pPr>
            <w:r>
              <w:rPr>
                <w:sz w:val="21"/>
              </w:rPr>
              <w:t>一、若被保险人于本合同生效或者最后一次复效之日起 90 日内</w:t>
            </w:r>
          </w:p>
          <w:p>
            <w:pPr>
              <w:pStyle w:val="TableParagraph"/>
              <w:spacing w:line="273" w:lineRule="auto" w:before="37"/>
              <w:ind w:left="588" w:right="302"/>
              <w:jc w:val="both"/>
              <w:rPr>
                <w:sz w:val="21"/>
              </w:rPr>
            </w:pPr>
            <w:r>
              <w:rPr>
                <w:sz w:val="21"/>
              </w:rPr>
              <w:t>（</w:t>
            </w:r>
            <w:r>
              <w:rPr>
                <w:spacing w:val="-2"/>
                <w:sz w:val="21"/>
              </w:rPr>
              <w:t>含第 </w:t>
            </w:r>
            <w:r>
              <w:rPr>
                <w:sz w:val="21"/>
              </w:rPr>
              <w:t>90</w:t>
            </w:r>
            <w:r>
              <w:rPr>
                <w:spacing w:val="-5"/>
                <w:sz w:val="21"/>
              </w:rPr>
              <w:t> 日</w:t>
            </w:r>
            <w:r>
              <w:rPr>
                <w:sz w:val="21"/>
              </w:rPr>
              <w:t>）</w:t>
            </w:r>
            <w:r>
              <w:rPr>
                <w:spacing w:val="-5"/>
                <w:sz w:val="21"/>
              </w:rPr>
              <w:t>因意外伤害以外的原因导致身故，我们将按</w:t>
            </w:r>
            <w:r>
              <w:rPr>
                <w:spacing w:val="-7"/>
                <w:sz w:val="21"/>
              </w:rPr>
              <w:t>累计已交保险费</w:t>
            </w:r>
            <w:r>
              <w:rPr>
                <w:sz w:val="21"/>
              </w:rPr>
              <w:t>（</w:t>
            </w:r>
            <w:r>
              <w:rPr>
                <w:spacing w:val="-2"/>
                <w:sz w:val="21"/>
              </w:rPr>
              <w:t>不计利息</w:t>
            </w:r>
            <w:r>
              <w:rPr>
                <w:spacing w:val="-14"/>
                <w:sz w:val="21"/>
              </w:rPr>
              <w:t>）</w:t>
            </w:r>
            <w:r>
              <w:rPr>
                <w:spacing w:val="-5"/>
                <w:sz w:val="21"/>
              </w:rPr>
              <w:t>给付身故保险金，同时本合同终止。</w:t>
            </w:r>
          </w:p>
          <w:p>
            <w:pPr>
              <w:pStyle w:val="TableParagraph"/>
              <w:spacing w:before="7"/>
              <w:ind w:left="165"/>
              <w:rPr>
                <w:sz w:val="21"/>
              </w:rPr>
            </w:pPr>
            <w:r>
              <w:rPr>
                <w:sz w:val="21"/>
              </w:rPr>
              <w:t>二、若被保险人身故时未满 18 周岁，且因意外伤害或于本合同</w:t>
            </w:r>
          </w:p>
          <w:p>
            <w:pPr>
              <w:pStyle w:val="TableParagraph"/>
              <w:spacing w:before="36"/>
              <w:ind w:left="588"/>
              <w:jc w:val="both"/>
              <w:rPr>
                <w:sz w:val="21"/>
              </w:rPr>
            </w:pPr>
            <w:r>
              <w:rPr>
                <w:sz w:val="21"/>
              </w:rPr>
              <w:t>生效（若曾复效，则自合同最后复效）之日起 90 日后（不含</w:t>
            </w:r>
          </w:p>
          <w:p>
            <w:pPr>
              <w:pStyle w:val="TableParagraph"/>
              <w:spacing w:before="36"/>
              <w:ind w:left="588"/>
              <w:jc w:val="both"/>
              <w:rPr>
                <w:sz w:val="21"/>
              </w:rPr>
            </w:pPr>
            <w:r>
              <w:rPr>
                <w:sz w:val="21"/>
              </w:rPr>
              <w:t>第 90 日）因意外伤害以外的原因导致身故，我们将按累计</w:t>
            </w:r>
          </w:p>
          <w:p>
            <w:pPr>
              <w:pStyle w:val="TableParagraph"/>
              <w:spacing w:before="37"/>
              <w:ind w:left="588"/>
              <w:jc w:val="both"/>
              <w:rPr>
                <w:sz w:val="21"/>
              </w:rPr>
            </w:pPr>
            <w:r>
              <w:rPr>
                <w:sz w:val="21"/>
              </w:rPr>
              <w:t>已交保险费的 1.5 倍给付身故保险金，同时本合同终止。</w:t>
            </w:r>
          </w:p>
          <w:p>
            <w:pPr>
              <w:pStyle w:val="TableParagraph"/>
              <w:spacing w:before="37"/>
              <w:ind w:left="165"/>
              <w:rPr>
                <w:sz w:val="21"/>
              </w:rPr>
            </w:pPr>
            <w:r>
              <w:rPr>
                <w:sz w:val="21"/>
              </w:rPr>
              <w:t>三、若被保险人身故时已满 18 周岁，且因意外伤害或于本合同</w:t>
            </w:r>
          </w:p>
          <w:p>
            <w:pPr>
              <w:pStyle w:val="TableParagraph"/>
              <w:spacing w:before="37"/>
              <w:ind w:left="588"/>
              <w:jc w:val="both"/>
              <w:rPr>
                <w:sz w:val="21"/>
              </w:rPr>
            </w:pPr>
            <w:r>
              <w:rPr>
                <w:sz w:val="21"/>
              </w:rPr>
              <w:t>生效（若曾复效，则自合同最后复效）之日起 90 日后（不含</w:t>
            </w:r>
          </w:p>
          <w:p>
            <w:pPr>
              <w:pStyle w:val="TableParagraph"/>
              <w:spacing w:line="273" w:lineRule="auto" w:before="37"/>
              <w:ind w:left="588" w:right="263"/>
              <w:jc w:val="both"/>
              <w:rPr>
                <w:sz w:val="21"/>
              </w:rPr>
            </w:pPr>
            <w:r>
              <w:rPr>
                <w:sz w:val="21"/>
              </w:rPr>
              <w:t>第 90 日）因意外伤害以外的原因导致身故，我们将按本合同载明的基本保险金额给付身故保险金，同时本合同终止。</w:t>
            </w:r>
          </w:p>
        </w:tc>
      </w:tr>
      <w:tr>
        <w:trPr>
          <w:trHeight w:val="4071" w:hRule="atLeast"/>
        </w:trPr>
        <w:tc>
          <w:tcPr>
            <w:tcW w:w="1422" w:type="dxa"/>
          </w:tcPr>
          <w:p>
            <w:pPr>
              <w:pStyle w:val="TableParagraph"/>
              <w:spacing w:before="83"/>
              <w:ind w:left="0" w:right="165"/>
              <w:jc w:val="right"/>
              <w:rPr>
                <w:rFonts w:ascii="Microsoft JhengHei" w:eastAsia="Microsoft JhengHei" w:hint="eastAsia"/>
                <w:b/>
                <w:sz w:val="21"/>
              </w:rPr>
            </w:pPr>
            <w:r>
              <w:rPr>
                <w:rFonts w:ascii="Microsoft JhengHei" w:eastAsia="Microsoft JhengHei" w:hint="eastAsia"/>
                <w:b/>
                <w:sz w:val="21"/>
              </w:rPr>
              <w:t>全残保险金</w:t>
            </w:r>
          </w:p>
        </w:tc>
        <w:tc>
          <w:tcPr>
            <w:tcW w:w="6318" w:type="dxa"/>
          </w:tcPr>
          <w:p>
            <w:pPr>
              <w:pStyle w:val="TableParagraph"/>
              <w:spacing w:line="262" w:lineRule="exact" w:before="150"/>
              <w:ind w:left="165"/>
              <w:rPr>
                <w:sz w:val="21"/>
              </w:rPr>
            </w:pPr>
            <w:r>
              <w:rPr>
                <w:sz w:val="21"/>
              </w:rPr>
              <w:t>一、若被保险人于本合同生效或者最后一次复效之日起 90 日内</w:t>
            </w:r>
          </w:p>
          <w:p>
            <w:pPr>
              <w:pStyle w:val="TableParagraph"/>
              <w:spacing w:line="259" w:lineRule="auto"/>
              <w:ind w:left="588" w:right="302"/>
              <w:jc w:val="both"/>
              <w:rPr>
                <w:sz w:val="21"/>
              </w:rPr>
            </w:pPr>
            <w:r>
              <w:rPr>
                <w:sz w:val="21"/>
              </w:rPr>
              <w:t>（</w:t>
            </w:r>
            <w:r>
              <w:rPr>
                <w:spacing w:val="-2"/>
                <w:sz w:val="21"/>
              </w:rPr>
              <w:t>含第 </w:t>
            </w:r>
            <w:r>
              <w:rPr>
                <w:sz w:val="21"/>
              </w:rPr>
              <w:t>90</w:t>
            </w:r>
            <w:r>
              <w:rPr>
                <w:spacing w:val="-5"/>
                <w:sz w:val="21"/>
              </w:rPr>
              <w:t> 日</w:t>
            </w:r>
            <w:r>
              <w:rPr>
                <w:sz w:val="21"/>
              </w:rPr>
              <w:t>）</w:t>
            </w:r>
            <w:r>
              <w:rPr>
                <w:spacing w:val="-4"/>
                <w:sz w:val="21"/>
              </w:rPr>
              <w:t>因意外伤害以外的原因导致</w:t>
            </w:r>
            <w:r>
              <w:rPr>
                <w:rFonts w:ascii="微软雅黑" w:eastAsia="微软雅黑" w:hint="eastAsia"/>
                <w:b/>
                <w:spacing w:val="0"/>
                <w:sz w:val="21"/>
              </w:rPr>
              <w:t>全残</w:t>
            </w:r>
            <w:r>
              <w:rPr>
                <w:spacing w:val="-3"/>
                <w:sz w:val="21"/>
              </w:rPr>
              <w:t>，我们将按</w:t>
            </w:r>
            <w:r>
              <w:rPr>
                <w:spacing w:val="-6"/>
                <w:sz w:val="21"/>
              </w:rPr>
              <w:t>累计已交保险费</w:t>
            </w:r>
            <w:r>
              <w:rPr>
                <w:sz w:val="21"/>
              </w:rPr>
              <w:t>（</w:t>
            </w:r>
            <w:r>
              <w:rPr>
                <w:spacing w:val="-2"/>
                <w:sz w:val="21"/>
              </w:rPr>
              <w:t>不计利息</w:t>
            </w:r>
            <w:r>
              <w:rPr>
                <w:spacing w:val="-14"/>
                <w:sz w:val="21"/>
              </w:rPr>
              <w:t>）</w:t>
            </w:r>
            <w:r>
              <w:rPr>
                <w:spacing w:val="-5"/>
                <w:sz w:val="21"/>
              </w:rPr>
              <w:t>给付全残保险金，同时本合同终止。</w:t>
            </w:r>
          </w:p>
          <w:p>
            <w:pPr>
              <w:pStyle w:val="TableParagraph"/>
              <w:spacing w:before="33"/>
              <w:ind w:left="165"/>
              <w:rPr>
                <w:sz w:val="21"/>
              </w:rPr>
            </w:pPr>
            <w:r>
              <w:rPr>
                <w:sz w:val="21"/>
              </w:rPr>
              <w:t>二、若被保险人全残时未满 18 周岁，且因意外伤害或于本合同</w:t>
            </w:r>
          </w:p>
          <w:p>
            <w:pPr>
              <w:pStyle w:val="TableParagraph"/>
              <w:spacing w:before="37"/>
              <w:ind w:left="588"/>
              <w:jc w:val="both"/>
              <w:rPr>
                <w:sz w:val="21"/>
              </w:rPr>
            </w:pPr>
            <w:r>
              <w:rPr>
                <w:sz w:val="21"/>
              </w:rPr>
              <w:t>生效（若曾复效，则自合同最后复效）之日起 90 日后（不含</w:t>
            </w:r>
          </w:p>
          <w:p>
            <w:pPr>
              <w:pStyle w:val="TableParagraph"/>
              <w:spacing w:before="36"/>
              <w:ind w:left="588"/>
              <w:jc w:val="both"/>
              <w:rPr>
                <w:sz w:val="21"/>
              </w:rPr>
            </w:pPr>
            <w:r>
              <w:rPr>
                <w:sz w:val="21"/>
              </w:rPr>
              <w:t>第 90 日）因意外伤害以外的原因导致全残，我们将按累计</w:t>
            </w:r>
          </w:p>
          <w:p>
            <w:pPr>
              <w:pStyle w:val="TableParagraph"/>
              <w:spacing w:before="36"/>
              <w:ind w:left="588"/>
              <w:jc w:val="both"/>
              <w:rPr>
                <w:sz w:val="21"/>
              </w:rPr>
            </w:pPr>
            <w:r>
              <w:rPr>
                <w:sz w:val="21"/>
              </w:rPr>
              <w:t>已交保险费的 1.5 倍给付全残保险金，同时本合同终止。</w:t>
            </w:r>
          </w:p>
          <w:p>
            <w:pPr>
              <w:pStyle w:val="TableParagraph"/>
              <w:spacing w:before="36"/>
              <w:ind w:left="165"/>
              <w:rPr>
                <w:sz w:val="21"/>
              </w:rPr>
            </w:pPr>
            <w:r>
              <w:rPr>
                <w:sz w:val="21"/>
              </w:rPr>
              <w:t>三、若被保险人全残时已满 18 周岁，且因意外伤害或于本合同</w:t>
            </w:r>
          </w:p>
          <w:p>
            <w:pPr>
              <w:pStyle w:val="TableParagraph"/>
              <w:spacing w:before="36"/>
              <w:ind w:left="588"/>
              <w:jc w:val="both"/>
              <w:rPr>
                <w:sz w:val="21"/>
              </w:rPr>
            </w:pPr>
            <w:r>
              <w:rPr>
                <w:sz w:val="21"/>
              </w:rPr>
              <w:t>生效（若曾复效，则自合同最后复效）之日起 90 日后（不含</w:t>
            </w:r>
          </w:p>
          <w:p>
            <w:pPr>
              <w:pStyle w:val="TableParagraph"/>
              <w:spacing w:line="273" w:lineRule="auto" w:before="37"/>
              <w:ind w:left="588" w:right="263"/>
              <w:jc w:val="both"/>
              <w:rPr>
                <w:sz w:val="21"/>
              </w:rPr>
            </w:pPr>
            <w:r>
              <w:rPr>
                <w:sz w:val="21"/>
              </w:rPr>
              <w:t>第 90 日）因意外伤害以外的原因导致全残，我们将按本合同载明的基本保险金额给付全残保险金，同时本合同终止。</w:t>
            </w:r>
          </w:p>
        </w:tc>
      </w:tr>
      <w:tr>
        <w:trPr>
          <w:trHeight w:val="4789" w:hRule="atLeast"/>
        </w:trPr>
        <w:tc>
          <w:tcPr>
            <w:tcW w:w="1422" w:type="dxa"/>
          </w:tcPr>
          <w:p>
            <w:pPr>
              <w:pStyle w:val="TableParagraph"/>
              <w:spacing w:line="201" w:lineRule="auto" w:before="141"/>
              <w:ind w:left="200" w:right="163"/>
              <w:rPr>
                <w:rFonts w:ascii="Microsoft JhengHei" w:eastAsia="Microsoft JhengHei" w:hint="eastAsia"/>
                <w:b/>
                <w:sz w:val="21"/>
              </w:rPr>
            </w:pPr>
            <w:r>
              <w:rPr>
                <w:rFonts w:ascii="Microsoft JhengHei" w:eastAsia="Microsoft JhengHei" w:hint="eastAsia"/>
                <w:b/>
                <w:sz w:val="21"/>
              </w:rPr>
              <w:t>疾病终末期保险金</w:t>
            </w:r>
          </w:p>
        </w:tc>
        <w:tc>
          <w:tcPr>
            <w:tcW w:w="6318" w:type="dxa"/>
          </w:tcPr>
          <w:p>
            <w:pPr>
              <w:pStyle w:val="TableParagraph"/>
              <w:spacing w:before="150"/>
              <w:ind w:left="165"/>
              <w:rPr>
                <w:sz w:val="21"/>
              </w:rPr>
            </w:pPr>
            <w:r>
              <w:rPr>
                <w:sz w:val="21"/>
              </w:rPr>
              <w:t>一、若被保险人于本合同生效或者最后一次复效之日起 90 日内</w:t>
            </w:r>
          </w:p>
          <w:p>
            <w:pPr>
              <w:pStyle w:val="TableParagraph"/>
              <w:spacing w:line="235" w:lineRule="auto" w:before="38"/>
              <w:ind w:left="588" w:right="296"/>
              <w:jc w:val="both"/>
              <w:rPr>
                <w:sz w:val="21"/>
              </w:rPr>
            </w:pPr>
            <w:r>
              <w:rPr>
                <w:sz w:val="21"/>
              </w:rPr>
              <w:t>（</w:t>
            </w:r>
            <w:r>
              <w:rPr>
                <w:spacing w:val="-2"/>
                <w:sz w:val="21"/>
              </w:rPr>
              <w:t>含第 </w:t>
            </w:r>
            <w:r>
              <w:rPr>
                <w:sz w:val="21"/>
              </w:rPr>
              <w:t>90</w:t>
            </w:r>
            <w:r>
              <w:rPr>
                <w:spacing w:val="-5"/>
                <w:sz w:val="21"/>
              </w:rPr>
              <w:t> 日</w:t>
            </w:r>
            <w:r>
              <w:rPr>
                <w:sz w:val="21"/>
              </w:rPr>
              <w:t>）</w:t>
            </w:r>
            <w:r>
              <w:rPr>
                <w:spacing w:val="-5"/>
                <w:sz w:val="21"/>
              </w:rPr>
              <w:t>因意外伤害以外的原因导致经医院的专科医生初次确诊达到</w:t>
            </w:r>
            <w:r>
              <w:rPr>
                <w:rFonts w:ascii="微软雅黑" w:eastAsia="微软雅黑" w:hint="eastAsia"/>
                <w:b/>
                <w:sz w:val="21"/>
              </w:rPr>
              <w:t>疾病终末期</w:t>
            </w:r>
            <w:r>
              <w:rPr>
                <w:spacing w:val="-7"/>
                <w:sz w:val="21"/>
              </w:rPr>
              <w:t>，我们将按累计已交保险费</w:t>
            </w:r>
            <w:r>
              <w:rPr>
                <w:sz w:val="21"/>
              </w:rPr>
              <w:t>（不计利息）</w:t>
            </w:r>
            <w:r>
              <w:rPr>
                <w:spacing w:val="-5"/>
                <w:sz w:val="21"/>
              </w:rPr>
              <w:t>给付疾病终末期保险金，同时本合同终止。</w:t>
            </w:r>
          </w:p>
          <w:p>
            <w:pPr>
              <w:pStyle w:val="TableParagraph"/>
              <w:spacing w:line="273" w:lineRule="auto" w:before="37"/>
              <w:ind w:left="588" w:right="301" w:hanging="423"/>
              <w:rPr>
                <w:sz w:val="21"/>
              </w:rPr>
            </w:pPr>
            <w:r>
              <w:rPr>
                <w:sz w:val="21"/>
              </w:rPr>
              <w:t>二、若被保险人经医院的专科医生初次确诊达到疾病终末期阶</w:t>
            </w:r>
            <w:r>
              <w:rPr>
                <w:spacing w:val="-1"/>
                <w:sz w:val="21"/>
              </w:rPr>
              <w:t>段时未满 </w:t>
            </w:r>
            <w:r>
              <w:rPr>
                <w:sz w:val="21"/>
              </w:rPr>
              <w:t>18</w:t>
            </w:r>
            <w:r>
              <w:rPr>
                <w:spacing w:val="-5"/>
                <w:sz w:val="21"/>
              </w:rPr>
              <w:t> 周岁，且因意外伤害或于本合同生效（</w:t>
            </w:r>
            <w:r>
              <w:rPr>
                <w:sz w:val="21"/>
              </w:rPr>
              <w:t>若曾复</w:t>
            </w:r>
          </w:p>
          <w:p>
            <w:pPr>
              <w:pStyle w:val="TableParagraph"/>
              <w:spacing w:line="273" w:lineRule="auto" w:before="7"/>
              <w:ind w:left="588" w:right="197"/>
              <w:jc w:val="both"/>
              <w:rPr>
                <w:sz w:val="21"/>
              </w:rPr>
            </w:pPr>
            <w:r>
              <w:rPr>
                <w:spacing w:val="-5"/>
                <w:sz w:val="21"/>
              </w:rPr>
              <w:t>效，则自合同最后复效</w:t>
            </w:r>
            <w:r>
              <w:rPr>
                <w:spacing w:val="-9"/>
                <w:sz w:val="21"/>
              </w:rPr>
              <w:t>）</w:t>
            </w:r>
            <w:r>
              <w:rPr>
                <w:spacing w:val="-14"/>
                <w:sz w:val="21"/>
              </w:rPr>
              <w:t>之日起 </w:t>
            </w:r>
            <w:r>
              <w:rPr>
                <w:sz w:val="21"/>
              </w:rPr>
              <w:t>90</w:t>
            </w:r>
            <w:r>
              <w:rPr>
                <w:spacing w:val="-21"/>
                <w:sz w:val="21"/>
              </w:rPr>
              <w:t> 日后</w:t>
            </w:r>
            <w:r>
              <w:rPr>
                <w:sz w:val="21"/>
              </w:rPr>
              <w:t>（</w:t>
            </w:r>
            <w:r>
              <w:rPr>
                <w:spacing w:val="-12"/>
                <w:sz w:val="21"/>
              </w:rPr>
              <w:t>不含第 </w:t>
            </w:r>
            <w:r>
              <w:rPr>
                <w:spacing w:val="-3"/>
                <w:sz w:val="21"/>
              </w:rPr>
              <w:t>90</w:t>
            </w:r>
            <w:r>
              <w:rPr>
                <w:spacing w:val="-27"/>
                <w:sz w:val="21"/>
              </w:rPr>
              <w:t> 日</w:t>
            </w:r>
            <w:r>
              <w:rPr>
                <w:spacing w:val="-10"/>
                <w:sz w:val="21"/>
              </w:rPr>
              <w:t>）</w:t>
            </w:r>
            <w:r>
              <w:rPr>
                <w:sz w:val="21"/>
              </w:rPr>
              <w:t>因</w:t>
            </w:r>
            <w:r>
              <w:rPr>
                <w:spacing w:val="-6"/>
                <w:sz w:val="21"/>
              </w:rPr>
              <w:t>意外伤害以外的原因导致达到疾病终末期，我们将按累计已</w:t>
            </w:r>
            <w:r>
              <w:rPr>
                <w:spacing w:val="0"/>
                <w:sz w:val="21"/>
              </w:rPr>
              <w:t>交保险费的</w:t>
            </w:r>
            <w:r>
              <w:rPr>
                <w:sz w:val="21"/>
              </w:rPr>
              <w:t>1.5</w:t>
            </w:r>
            <w:r>
              <w:rPr>
                <w:spacing w:val="-14"/>
                <w:sz w:val="21"/>
              </w:rPr>
              <w:t> 倍给付疾病终末期保险金，同时本合同终止。</w:t>
            </w:r>
          </w:p>
          <w:p>
            <w:pPr>
              <w:pStyle w:val="TableParagraph"/>
              <w:spacing w:line="273" w:lineRule="auto" w:before="7"/>
              <w:ind w:left="588" w:right="301" w:hanging="423"/>
              <w:rPr>
                <w:sz w:val="21"/>
              </w:rPr>
            </w:pPr>
            <w:r>
              <w:rPr>
                <w:sz w:val="21"/>
              </w:rPr>
              <w:t>三、若被保险人经医院的专科医生初次确诊达到疾病终末期阶</w:t>
            </w:r>
            <w:r>
              <w:rPr>
                <w:spacing w:val="-1"/>
                <w:sz w:val="21"/>
              </w:rPr>
              <w:t>段时已满 </w:t>
            </w:r>
            <w:r>
              <w:rPr>
                <w:sz w:val="21"/>
              </w:rPr>
              <w:t>18</w:t>
            </w:r>
            <w:r>
              <w:rPr>
                <w:spacing w:val="-5"/>
                <w:sz w:val="21"/>
              </w:rPr>
              <w:t> 周岁，且因意外伤害或于本合同生效（</w:t>
            </w:r>
            <w:r>
              <w:rPr>
                <w:sz w:val="21"/>
              </w:rPr>
              <w:t>若曾复</w:t>
            </w:r>
          </w:p>
          <w:p>
            <w:pPr>
              <w:pStyle w:val="TableParagraph"/>
              <w:spacing w:line="273" w:lineRule="auto" w:before="7"/>
              <w:ind w:left="588" w:right="301"/>
              <w:jc w:val="both"/>
              <w:rPr>
                <w:sz w:val="21"/>
              </w:rPr>
            </w:pPr>
            <w:r>
              <w:rPr>
                <w:spacing w:val="-5"/>
                <w:sz w:val="21"/>
              </w:rPr>
              <w:t>效，则自合同最后复效</w:t>
            </w:r>
            <w:r>
              <w:rPr>
                <w:spacing w:val="-9"/>
                <w:sz w:val="21"/>
              </w:rPr>
              <w:t>）</w:t>
            </w:r>
            <w:r>
              <w:rPr>
                <w:spacing w:val="-13"/>
                <w:sz w:val="21"/>
              </w:rPr>
              <w:t>之日起 </w:t>
            </w:r>
            <w:r>
              <w:rPr>
                <w:sz w:val="21"/>
              </w:rPr>
              <w:t>90</w:t>
            </w:r>
            <w:r>
              <w:rPr>
                <w:spacing w:val="-20"/>
                <w:sz w:val="21"/>
              </w:rPr>
              <w:t> 日后</w:t>
            </w:r>
            <w:r>
              <w:rPr>
                <w:sz w:val="21"/>
              </w:rPr>
              <w:t>（</w:t>
            </w:r>
            <w:r>
              <w:rPr>
                <w:spacing w:val="-12"/>
                <w:sz w:val="21"/>
              </w:rPr>
              <w:t>不含第 </w:t>
            </w:r>
            <w:r>
              <w:rPr>
                <w:spacing w:val="-3"/>
                <w:sz w:val="21"/>
              </w:rPr>
              <w:t>90</w:t>
            </w:r>
            <w:r>
              <w:rPr>
                <w:spacing w:val="-25"/>
                <w:sz w:val="21"/>
              </w:rPr>
              <w:t> 日</w:t>
            </w:r>
            <w:r>
              <w:rPr>
                <w:spacing w:val="-10"/>
                <w:sz w:val="21"/>
              </w:rPr>
              <w:t>）</w:t>
            </w:r>
            <w:r>
              <w:rPr>
                <w:sz w:val="21"/>
              </w:rPr>
              <w:t>因</w:t>
            </w:r>
            <w:r>
              <w:rPr>
                <w:spacing w:val="-6"/>
                <w:sz w:val="21"/>
              </w:rPr>
              <w:t>意外伤害以外的原因导致达到疾病终末期，我们将按本合同</w:t>
            </w:r>
          </w:p>
          <w:p>
            <w:pPr>
              <w:pStyle w:val="TableParagraph"/>
              <w:spacing w:line="312" w:lineRule="exact" w:before="3"/>
              <w:ind w:left="588" w:right="303"/>
              <w:jc w:val="both"/>
              <w:rPr>
                <w:sz w:val="21"/>
              </w:rPr>
            </w:pPr>
            <w:r>
              <w:rPr>
                <w:spacing w:val="-6"/>
                <w:sz w:val="21"/>
              </w:rPr>
              <w:t>载明的基本保险金额给付疾病终末期保险金，同时本合同终止。</w:t>
            </w:r>
          </w:p>
        </w:tc>
      </w:tr>
    </w:tbl>
    <w:p>
      <w:pPr>
        <w:spacing w:after="0" w:line="312" w:lineRule="exact"/>
        <w:jc w:val="both"/>
        <w:rPr>
          <w:sz w:val="21"/>
        </w:rPr>
        <w:sectPr>
          <w:pgSz w:w="11910" w:h="16840"/>
          <w:pgMar w:header="0" w:footer="150" w:top="740" w:bottom="340" w:left="168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6"/>
        <w:gridCol w:w="6116"/>
      </w:tblGrid>
      <w:tr>
        <w:trPr>
          <w:trHeight w:val="736" w:hRule="atLeast"/>
        </w:trPr>
        <w:tc>
          <w:tcPr>
            <w:tcW w:w="696" w:type="dxa"/>
          </w:tcPr>
          <w:p>
            <w:pPr>
              <w:pStyle w:val="TableParagraph"/>
              <w:ind w:left="0"/>
              <w:rPr>
                <w:rFonts w:ascii="Times New Roman"/>
                <w:sz w:val="20"/>
              </w:rPr>
            </w:pPr>
          </w:p>
        </w:tc>
        <w:tc>
          <w:tcPr>
            <w:tcW w:w="1496" w:type="dxa"/>
          </w:tcPr>
          <w:p>
            <w:pPr>
              <w:pStyle w:val="TableParagraph"/>
              <w:ind w:left="0"/>
              <w:rPr>
                <w:rFonts w:ascii="Times New Roman"/>
                <w:sz w:val="20"/>
              </w:rPr>
            </w:pPr>
          </w:p>
        </w:tc>
        <w:tc>
          <w:tcPr>
            <w:tcW w:w="6116" w:type="dxa"/>
          </w:tcPr>
          <w:p>
            <w:pPr>
              <w:pStyle w:val="TableParagraph"/>
              <w:spacing w:line="204" w:lineRule="exact"/>
              <w:ind w:left="165"/>
              <w:rPr>
                <w:rFonts w:ascii="微软雅黑" w:eastAsia="微软雅黑" w:hint="eastAsia"/>
                <w:b/>
                <w:sz w:val="21"/>
              </w:rPr>
            </w:pPr>
            <w:r>
              <w:rPr>
                <w:rFonts w:ascii="微软雅黑" w:eastAsia="微软雅黑" w:hint="eastAsia"/>
                <w:b/>
                <w:spacing w:val="-14"/>
                <w:sz w:val="21"/>
              </w:rPr>
              <w:t>重大疾病保险金、身故保险金、全残保险金与疾病终末期保险金，</w:t>
            </w:r>
          </w:p>
          <w:p>
            <w:pPr>
              <w:pStyle w:val="TableParagraph"/>
              <w:spacing w:line="337" w:lineRule="exact"/>
              <w:ind w:left="165"/>
              <w:rPr>
                <w:rFonts w:ascii="微软雅黑" w:eastAsia="微软雅黑" w:hint="eastAsia"/>
                <w:b/>
                <w:sz w:val="21"/>
              </w:rPr>
            </w:pPr>
            <w:r>
              <w:rPr>
                <w:rFonts w:ascii="微软雅黑" w:eastAsia="微软雅黑" w:hint="eastAsia"/>
                <w:b/>
                <w:sz w:val="21"/>
              </w:rPr>
              <w:t>我们仅给付其中一项。</w:t>
            </w:r>
          </w:p>
        </w:tc>
      </w:tr>
      <w:tr>
        <w:trPr>
          <w:trHeight w:val="2045" w:hRule="atLeast"/>
        </w:trPr>
        <w:tc>
          <w:tcPr>
            <w:tcW w:w="696" w:type="dxa"/>
          </w:tcPr>
          <w:p>
            <w:pPr>
              <w:pStyle w:val="TableParagraph"/>
              <w:ind w:left="0"/>
              <w:rPr>
                <w:rFonts w:ascii="Times New Roman"/>
                <w:sz w:val="20"/>
              </w:rPr>
            </w:pPr>
          </w:p>
        </w:tc>
        <w:tc>
          <w:tcPr>
            <w:tcW w:w="1496" w:type="dxa"/>
          </w:tcPr>
          <w:p>
            <w:pPr>
              <w:pStyle w:val="TableParagraph"/>
              <w:spacing w:line="206" w:lineRule="auto" w:before="127"/>
              <w:ind w:left="273" w:right="163"/>
              <w:rPr>
                <w:rFonts w:ascii="Microsoft JhengHei" w:eastAsia="Microsoft JhengHei" w:hint="eastAsia"/>
                <w:b/>
                <w:sz w:val="21"/>
              </w:rPr>
            </w:pPr>
            <w:r>
              <w:rPr>
                <w:rFonts w:ascii="Microsoft JhengHei" w:eastAsia="Microsoft JhengHei" w:hint="eastAsia"/>
                <w:b/>
                <w:sz w:val="21"/>
              </w:rPr>
              <w:t>轻症疾病豁免保险费</w:t>
            </w:r>
          </w:p>
        </w:tc>
        <w:tc>
          <w:tcPr>
            <w:tcW w:w="6116" w:type="dxa"/>
          </w:tcPr>
          <w:p>
            <w:pPr>
              <w:pStyle w:val="TableParagraph"/>
              <w:spacing w:line="273" w:lineRule="auto" w:before="143"/>
              <w:ind w:left="165" w:right="99"/>
              <w:jc w:val="both"/>
              <w:rPr>
                <w:sz w:val="21"/>
              </w:rPr>
            </w:pPr>
            <w:r>
              <w:rPr>
                <w:spacing w:val="-6"/>
                <w:sz w:val="21"/>
              </w:rPr>
              <w:t>若被保险人因意外伤害，或于本合同生效</w:t>
            </w:r>
            <w:r>
              <w:rPr>
                <w:sz w:val="21"/>
              </w:rPr>
              <w:t>（</w:t>
            </w:r>
            <w:r>
              <w:rPr>
                <w:spacing w:val="-5"/>
                <w:sz w:val="21"/>
              </w:rPr>
              <w:t>若曾复效，则自合同最后复效）</w:t>
            </w:r>
            <w:r>
              <w:rPr>
                <w:spacing w:val="-1"/>
                <w:sz w:val="21"/>
              </w:rPr>
              <w:t>之日起 </w:t>
            </w:r>
            <w:r>
              <w:rPr>
                <w:sz w:val="21"/>
              </w:rPr>
              <w:t>90</w:t>
            </w:r>
            <w:r>
              <w:rPr>
                <w:spacing w:val="-5"/>
                <w:sz w:val="21"/>
              </w:rPr>
              <w:t> 日后因意外伤害以外的原因，导致经医院</w:t>
            </w:r>
            <w:r>
              <w:rPr>
                <w:spacing w:val="-7"/>
                <w:sz w:val="21"/>
              </w:rPr>
              <w:t>的专科医生初次确诊发生本合同所定义的轻症疾病，我们将豁免</w:t>
            </w:r>
            <w:r>
              <w:rPr>
                <w:spacing w:val="-6"/>
                <w:sz w:val="21"/>
              </w:rPr>
              <w:t>本合同自轻症疾病确诊之日以后的各期保险费。</w:t>
            </w:r>
          </w:p>
          <w:p>
            <w:pPr>
              <w:pStyle w:val="TableParagraph"/>
              <w:spacing w:before="103"/>
              <w:ind w:left="165"/>
              <w:jc w:val="both"/>
              <w:rPr>
                <w:rFonts w:ascii="微软雅黑" w:eastAsia="微软雅黑" w:hint="eastAsia"/>
                <w:b/>
                <w:sz w:val="21"/>
              </w:rPr>
            </w:pPr>
            <w:r>
              <w:rPr>
                <w:rFonts w:ascii="微软雅黑" w:eastAsia="微软雅黑" w:hint="eastAsia"/>
                <w:b/>
                <w:sz w:val="21"/>
              </w:rPr>
              <w:t>被豁免的保险费视为已交纳，同时本合同继续有效。</w:t>
            </w:r>
          </w:p>
        </w:tc>
      </w:tr>
      <w:tr>
        <w:trPr>
          <w:trHeight w:val="7650" w:hRule="atLeast"/>
        </w:trPr>
        <w:tc>
          <w:tcPr>
            <w:tcW w:w="696" w:type="dxa"/>
          </w:tcPr>
          <w:p>
            <w:pPr>
              <w:pStyle w:val="TableParagraph"/>
              <w:spacing w:before="76"/>
              <w:ind w:left="105"/>
              <w:rPr>
                <w:rFonts w:ascii="Microsoft JhengHei"/>
                <w:b/>
                <w:sz w:val="21"/>
              </w:rPr>
            </w:pPr>
            <w:r>
              <w:rPr>
                <w:rFonts w:ascii="Microsoft JhengHei"/>
                <w:b/>
                <w:w w:val="105"/>
                <w:sz w:val="21"/>
              </w:rPr>
              <w:t>2.5</w:t>
            </w:r>
          </w:p>
        </w:tc>
        <w:tc>
          <w:tcPr>
            <w:tcW w:w="1496" w:type="dxa"/>
          </w:tcPr>
          <w:p>
            <w:pPr>
              <w:pStyle w:val="TableParagraph"/>
              <w:spacing w:before="76"/>
              <w:ind w:left="273"/>
              <w:rPr>
                <w:rFonts w:ascii="Microsoft JhengHei" w:eastAsia="Microsoft JhengHei" w:hint="eastAsia"/>
                <w:b/>
                <w:sz w:val="21"/>
              </w:rPr>
            </w:pPr>
            <w:r>
              <w:rPr>
                <w:rFonts w:ascii="Microsoft JhengHei" w:eastAsia="Microsoft JhengHei" w:hint="eastAsia"/>
                <w:b/>
                <w:sz w:val="21"/>
              </w:rPr>
              <w:t>责任免除</w:t>
            </w:r>
          </w:p>
        </w:tc>
        <w:tc>
          <w:tcPr>
            <w:tcW w:w="6116" w:type="dxa"/>
          </w:tcPr>
          <w:p>
            <w:pPr>
              <w:pStyle w:val="TableParagraph"/>
              <w:spacing w:line="271" w:lineRule="auto" w:before="143"/>
              <w:ind w:left="165" w:right="100"/>
              <w:jc w:val="both"/>
              <w:rPr>
                <w:sz w:val="21"/>
              </w:rPr>
            </w:pPr>
            <w:r>
              <w:rPr>
                <w:spacing w:val="2"/>
                <w:sz w:val="21"/>
              </w:rPr>
              <w:t>因下列情形之一导致被保险人确诊发</w:t>
            </w:r>
            <w:r>
              <w:rPr>
                <w:sz w:val="21"/>
              </w:rPr>
              <w:t>Th</w:t>
            </w:r>
            <w:r>
              <w:rPr>
                <w:spacing w:val="1"/>
                <w:sz w:val="21"/>
              </w:rPr>
              <w:t>本合同所定义的轻症疾</w:t>
            </w:r>
            <w:r>
              <w:rPr>
                <w:spacing w:val="-7"/>
                <w:sz w:val="21"/>
              </w:rPr>
              <w:t>病、重大疾病，或导致被保险人身故、全残、进入疾病终末期阶</w:t>
            </w:r>
            <w:r>
              <w:rPr>
                <w:spacing w:val="-6"/>
                <w:sz w:val="21"/>
              </w:rPr>
              <w:t>段的，我们不承担本合同所定义的各项保险责任：</w:t>
            </w:r>
          </w:p>
          <w:p>
            <w:pPr>
              <w:pStyle w:val="TableParagraph"/>
              <w:numPr>
                <w:ilvl w:val="0"/>
                <w:numId w:val="7"/>
              </w:numPr>
              <w:tabs>
                <w:tab w:pos="589" w:val="left" w:leader="none"/>
              </w:tabs>
              <w:spacing w:line="240" w:lineRule="auto" w:before="168" w:after="0"/>
              <w:ind w:left="588" w:right="0" w:hanging="423"/>
              <w:jc w:val="left"/>
              <w:rPr>
                <w:sz w:val="21"/>
              </w:rPr>
            </w:pPr>
            <w:r>
              <w:rPr>
                <w:spacing w:val="-4"/>
                <w:sz w:val="21"/>
              </w:rPr>
              <w:t>投保人对被保险人的故意杀害、故意伤害；</w:t>
            </w:r>
          </w:p>
          <w:p>
            <w:pPr>
              <w:pStyle w:val="TableParagraph"/>
              <w:numPr>
                <w:ilvl w:val="0"/>
                <w:numId w:val="7"/>
              </w:numPr>
              <w:tabs>
                <w:tab w:pos="589" w:val="left" w:leader="none"/>
              </w:tabs>
              <w:spacing w:line="273" w:lineRule="auto" w:before="38" w:after="0"/>
              <w:ind w:left="588" w:right="63" w:hanging="423"/>
              <w:jc w:val="left"/>
              <w:rPr>
                <w:sz w:val="21"/>
              </w:rPr>
            </w:pPr>
            <w:r>
              <w:rPr>
                <w:spacing w:val="-2"/>
                <w:sz w:val="21"/>
              </w:rPr>
              <w:t>被保险人自本合同成立</w:t>
            </w:r>
            <w:r>
              <w:rPr>
                <w:sz w:val="21"/>
              </w:rPr>
              <w:t>（</w:t>
            </w:r>
            <w:r>
              <w:rPr>
                <w:spacing w:val="-5"/>
                <w:sz w:val="21"/>
              </w:rPr>
              <w:t>若曾复效，则自本合同最后复效</w:t>
            </w:r>
            <w:r>
              <w:rPr>
                <w:sz w:val="21"/>
              </w:rPr>
              <w:t>） </w:t>
            </w:r>
            <w:r>
              <w:rPr>
                <w:spacing w:val="-10"/>
                <w:sz w:val="21"/>
              </w:rPr>
              <w:t>之日起 </w:t>
            </w:r>
            <w:r>
              <w:rPr>
                <w:sz w:val="21"/>
              </w:rPr>
              <w:t>2</w:t>
            </w:r>
            <w:r>
              <w:rPr>
                <w:spacing w:val="-8"/>
                <w:sz w:val="21"/>
              </w:rPr>
              <w:t> 年内自杀，但自杀时为无民事行为能力人的除外；</w:t>
            </w:r>
          </w:p>
          <w:p>
            <w:pPr>
              <w:pStyle w:val="TableParagraph"/>
              <w:numPr>
                <w:ilvl w:val="0"/>
                <w:numId w:val="7"/>
              </w:numPr>
              <w:tabs>
                <w:tab w:pos="589" w:val="left" w:leader="none"/>
              </w:tabs>
              <w:spacing w:line="260" w:lineRule="exact" w:before="8" w:after="0"/>
              <w:ind w:left="588" w:right="0" w:hanging="423"/>
              <w:jc w:val="left"/>
              <w:rPr>
                <w:sz w:val="21"/>
              </w:rPr>
            </w:pPr>
            <w:r>
              <w:rPr>
                <w:spacing w:val="-5"/>
                <w:sz w:val="21"/>
              </w:rPr>
              <w:t>被保险人故意犯罪或者抗拒依法采取的刑事强制措施；</w:t>
            </w:r>
          </w:p>
          <w:p>
            <w:pPr>
              <w:pStyle w:val="TableParagraph"/>
              <w:numPr>
                <w:ilvl w:val="0"/>
                <w:numId w:val="7"/>
              </w:numPr>
              <w:tabs>
                <w:tab w:pos="589" w:val="left" w:leader="none"/>
              </w:tabs>
              <w:spacing w:line="324" w:lineRule="exact" w:before="0" w:after="0"/>
              <w:ind w:left="588" w:right="0" w:hanging="423"/>
              <w:jc w:val="left"/>
              <w:rPr>
                <w:sz w:val="21"/>
              </w:rPr>
            </w:pPr>
            <w:r>
              <w:rPr>
                <w:spacing w:val="-3"/>
                <w:sz w:val="21"/>
              </w:rPr>
              <w:t>被保险人主动吸食或者注射</w:t>
            </w:r>
            <w:r>
              <w:rPr>
                <w:rFonts w:ascii="Microsoft JhengHei" w:eastAsia="Microsoft JhengHei" w:hint="eastAsia"/>
                <w:b/>
                <w:sz w:val="21"/>
              </w:rPr>
              <w:t>毒品</w:t>
            </w:r>
            <w:r>
              <w:rPr>
                <w:sz w:val="21"/>
              </w:rPr>
              <w:t>；</w:t>
            </w:r>
          </w:p>
          <w:p>
            <w:pPr>
              <w:pStyle w:val="TableParagraph"/>
              <w:numPr>
                <w:ilvl w:val="0"/>
                <w:numId w:val="7"/>
              </w:numPr>
              <w:tabs>
                <w:tab w:pos="589" w:val="left" w:leader="none"/>
              </w:tabs>
              <w:spacing w:line="204" w:lineRule="auto" w:before="28" w:after="0"/>
              <w:ind w:left="588" w:right="99" w:hanging="423"/>
              <w:jc w:val="left"/>
              <w:rPr>
                <w:sz w:val="21"/>
              </w:rPr>
            </w:pPr>
            <w:r>
              <w:rPr>
                <w:spacing w:val="-2"/>
                <w:sz w:val="21"/>
              </w:rPr>
              <w:t>被保险人</w:t>
            </w:r>
            <w:r>
              <w:rPr>
                <w:rFonts w:ascii="Microsoft JhengHei" w:eastAsia="Microsoft JhengHei" w:hint="eastAsia"/>
                <w:b/>
                <w:sz w:val="21"/>
              </w:rPr>
              <w:t>酒后驾驶</w:t>
            </w:r>
            <w:r>
              <w:rPr>
                <w:spacing w:val="-29"/>
                <w:sz w:val="21"/>
              </w:rPr>
              <w:t>、</w:t>
            </w:r>
            <w:r>
              <w:rPr>
                <w:rFonts w:ascii="Microsoft JhengHei" w:eastAsia="Microsoft JhengHei" w:hint="eastAsia"/>
                <w:b/>
                <w:sz w:val="21"/>
              </w:rPr>
              <w:t>无合法有效驾驶证驾驶</w:t>
            </w:r>
            <w:r>
              <w:rPr>
                <w:spacing w:val="-8"/>
                <w:sz w:val="21"/>
              </w:rPr>
              <w:t>，或者驾驶</w:t>
            </w:r>
            <w:r>
              <w:rPr>
                <w:rFonts w:ascii="Microsoft JhengHei" w:eastAsia="Microsoft JhengHei" w:hint="eastAsia"/>
                <w:b/>
                <w:sz w:val="21"/>
              </w:rPr>
              <w:t>无合法有效行驶证</w:t>
            </w:r>
            <w:r>
              <w:rPr>
                <w:spacing w:val="-5"/>
                <w:sz w:val="21"/>
              </w:rPr>
              <w:t>的</w:t>
            </w:r>
            <w:r>
              <w:rPr>
                <w:rFonts w:ascii="Microsoft JhengHei" w:eastAsia="Microsoft JhengHei" w:hint="eastAsia"/>
                <w:b/>
                <w:sz w:val="21"/>
              </w:rPr>
              <w:t>机动车</w:t>
            </w:r>
            <w:r>
              <w:rPr>
                <w:sz w:val="21"/>
              </w:rPr>
              <w:t>；</w:t>
            </w:r>
          </w:p>
          <w:p>
            <w:pPr>
              <w:pStyle w:val="TableParagraph"/>
              <w:numPr>
                <w:ilvl w:val="0"/>
                <w:numId w:val="7"/>
              </w:numPr>
              <w:tabs>
                <w:tab w:pos="589" w:val="left" w:leader="none"/>
              </w:tabs>
              <w:spacing w:line="240" w:lineRule="auto" w:before="13" w:after="0"/>
              <w:ind w:left="588" w:right="0" w:hanging="423"/>
              <w:jc w:val="both"/>
              <w:rPr>
                <w:sz w:val="21"/>
              </w:rPr>
            </w:pPr>
            <w:r>
              <w:rPr>
                <w:spacing w:val="-3"/>
                <w:sz w:val="21"/>
              </w:rPr>
              <w:t>战争、军事冲突、暴乱或者武装叛乱；</w:t>
            </w:r>
          </w:p>
          <w:p>
            <w:pPr>
              <w:pStyle w:val="TableParagraph"/>
              <w:numPr>
                <w:ilvl w:val="0"/>
                <w:numId w:val="7"/>
              </w:numPr>
              <w:tabs>
                <w:tab w:pos="589" w:val="left" w:leader="none"/>
              </w:tabs>
              <w:spacing w:line="260" w:lineRule="exact" w:before="37" w:after="0"/>
              <w:ind w:left="588" w:right="0" w:hanging="423"/>
              <w:jc w:val="both"/>
              <w:rPr>
                <w:sz w:val="21"/>
              </w:rPr>
            </w:pPr>
            <w:r>
              <w:rPr>
                <w:spacing w:val="-2"/>
                <w:sz w:val="21"/>
              </w:rPr>
              <w:t>核爆炸、核辐射或者核污染；</w:t>
            </w:r>
          </w:p>
          <w:p>
            <w:pPr>
              <w:pStyle w:val="TableParagraph"/>
              <w:numPr>
                <w:ilvl w:val="0"/>
                <w:numId w:val="7"/>
              </w:numPr>
              <w:tabs>
                <w:tab w:pos="589" w:val="left" w:leader="none"/>
              </w:tabs>
              <w:spacing w:line="324" w:lineRule="exact" w:before="0" w:after="0"/>
              <w:ind w:left="588" w:right="0" w:hanging="423"/>
              <w:jc w:val="both"/>
              <w:rPr>
                <w:sz w:val="21"/>
              </w:rPr>
            </w:pPr>
            <w:r>
              <w:rPr>
                <w:spacing w:val="-2"/>
                <w:sz w:val="21"/>
              </w:rPr>
              <w:t>被保险人</w:t>
            </w:r>
            <w:r>
              <w:rPr>
                <w:rFonts w:ascii="Microsoft JhengHei" w:eastAsia="Microsoft JhengHei" w:hint="eastAsia"/>
                <w:b/>
                <w:sz w:val="21"/>
              </w:rPr>
              <w:t>感染艾滋病病毒或者患艾滋病</w:t>
            </w:r>
            <w:r>
              <w:rPr>
                <w:sz w:val="21"/>
              </w:rPr>
              <w:t>；</w:t>
            </w:r>
          </w:p>
          <w:p>
            <w:pPr>
              <w:pStyle w:val="TableParagraph"/>
              <w:numPr>
                <w:ilvl w:val="0"/>
                <w:numId w:val="7"/>
              </w:numPr>
              <w:tabs>
                <w:tab w:pos="589" w:val="left" w:leader="none"/>
              </w:tabs>
              <w:spacing w:line="339" w:lineRule="exact" w:before="0" w:after="0"/>
              <w:ind w:left="588" w:right="0" w:hanging="423"/>
              <w:jc w:val="both"/>
              <w:rPr>
                <w:sz w:val="21"/>
              </w:rPr>
            </w:pPr>
            <w:r>
              <w:rPr>
                <w:rFonts w:ascii="Microsoft JhengHei" w:eastAsia="Microsoft JhengHei" w:hint="eastAsia"/>
                <w:b/>
                <w:sz w:val="21"/>
              </w:rPr>
              <w:t>遗传性疾病</w:t>
            </w:r>
            <w:r>
              <w:rPr>
                <w:spacing w:val="-5"/>
                <w:sz w:val="21"/>
              </w:rPr>
              <w:t>，</w:t>
            </w:r>
            <w:r>
              <w:rPr>
                <w:rFonts w:ascii="Microsoft JhengHei" w:eastAsia="Microsoft JhengHei" w:hint="eastAsia"/>
                <w:b/>
                <w:sz w:val="21"/>
              </w:rPr>
              <w:t>先天性畸形、变形或者染色体异常</w:t>
            </w:r>
            <w:r>
              <w:rPr>
                <w:sz w:val="21"/>
              </w:rPr>
              <w:t>。</w:t>
            </w:r>
          </w:p>
          <w:p>
            <w:pPr>
              <w:pStyle w:val="TableParagraph"/>
              <w:spacing w:before="3"/>
              <w:ind w:left="0"/>
              <w:rPr>
                <w:sz w:val="15"/>
              </w:rPr>
            </w:pPr>
          </w:p>
          <w:p>
            <w:pPr>
              <w:pStyle w:val="TableParagraph"/>
              <w:spacing w:line="216" w:lineRule="auto"/>
              <w:ind w:left="165" w:right="100"/>
              <w:rPr>
                <w:sz w:val="21"/>
              </w:rPr>
            </w:pPr>
            <w:r>
              <w:rPr>
                <w:sz w:val="21"/>
              </w:rPr>
              <w:t>发Th</w:t>
            </w:r>
            <w:r>
              <w:rPr>
                <w:spacing w:val="-13"/>
                <w:sz w:val="21"/>
              </w:rPr>
              <w:t>上述第（1）</w:t>
            </w:r>
            <w:r>
              <w:rPr>
                <w:spacing w:val="-9"/>
                <w:sz w:val="21"/>
              </w:rPr>
              <w:t>种情形导致被保险人身故的，本合同终止，我们</w:t>
            </w:r>
            <w:r>
              <w:rPr>
                <w:spacing w:val="-4"/>
                <w:sz w:val="21"/>
              </w:rPr>
              <w:t>向被保险人的继承人退还本合同终止时的</w:t>
            </w:r>
            <w:r>
              <w:rPr>
                <w:rFonts w:ascii="Microsoft JhengHei" w:eastAsia="Microsoft JhengHei" w:hint="eastAsia"/>
                <w:b/>
                <w:sz w:val="21"/>
              </w:rPr>
              <w:t>现金价值</w:t>
            </w:r>
            <w:r>
              <w:rPr>
                <w:spacing w:val="-22"/>
                <w:sz w:val="21"/>
              </w:rPr>
              <w:t>；发</w:t>
            </w:r>
            <w:r>
              <w:rPr>
                <w:sz w:val="21"/>
              </w:rPr>
              <w:t>Th上述第</w:t>
            </w:r>
          </w:p>
          <w:p>
            <w:pPr>
              <w:pStyle w:val="TableParagraph"/>
              <w:spacing w:line="273" w:lineRule="auto" w:before="13"/>
              <w:ind w:left="165" w:right="99"/>
              <w:jc w:val="both"/>
              <w:rPr>
                <w:sz w:val="21"/>
              </w:rPr>
            </w:pPr>
            <w:r>
              <w:rPr>
                <w:spacing w:val="-25"/>
                <w:sz w:val="21"/>
              </w:rPr>
              <w:t>（1）</w:t>
            </w:r>
            <w:r>
              <w:rPr>
                <w:spacing w:val="-10"/>
                <w:sz w:val="21"/>
              </w:rPr>
              <w:t>种情形导致被保险人全残、进入疾病终末期阶段或确诊发</w:t>
            </w:r>
            <w:r>
              <w:rPr>
                <w:sz w:val="21"/>
              </w:rPr>
              <w:t>Th </w:t>
            </w:r>
            <w:r>
              <w:rPr>
                <w:spacing w:val="-7"/>
                <w:sz w:val="21"/>
              </w:rPr>
              <w:t>本合同所定义的轻症疾病、重大疾病的，本合同终止，我们向被</w:t>
            </w:r>
            <w:r>
              <w:rPr>
                <w:spacing w:val="-6"/>
                <w:sz w:val="21"/>
              </w:rPr>
              <w:t>保险人退还本合同终止时的现金价值。</w:t>
            </w:r>
          </w:p>
          <w:p>
            <w:pPr>
              <w:pStyle w:val="TableParagraph"/>
              <w:spacing w:line="273" w:lineRule="auto" w:before="167"/>
              <w:ind w:left="165" w:right="61"/>
              <w:jc w:val="both"/>
              <w:rPr>
                <w:sz w:val="21"/>
              </w:rPr>
            </w:pPr>
            <w:r>
              <w:rPr>
                <w:sz w:val="21"/>
              </w:rPr>
              <w:t>发Th</w:t>
            </w:r>
            <w:r>
              <w:rPr>
                <w:spacing w:val="-8"/>
                <w:sz w:val="21"/>
              </w:rPr>
              <w:t>上述第</w:t>
            </w:r>
            <w:r>
              <w:rPr>
                <w:spacing w:val="-12"/>
                <w:sz w:val="21"/>
              </w:rPr>
              <w:t>（2）-（9）</w:t>
            </w:r>
            <w:r>
              <w:rPr>
                <w:spacing w:val="-7"/>
                <w:sz w:val="21"/>
              </w:rPr>
              <w:t>情形导致被保险人身故、全残、进入疾病</w:t>
            </w:r>
            <w:r>
              <w:rPr>
                <w:spacing w:val="-6"/>
                <w:sz w:val="21"/>
              </w:rPr>
              <w:t>终末期阶段或确诊发</w:t>
            </w:r>
            <w:r>
              <w:rPr>
                <w:sz w:val="21"/>
              </w:rPr>
              <w:t>Th</w:t>
            </w:r>
            <w:r>
              <w:rPr>
                <w:spacing w:val="-5"/>
                <w:sz w:val="21"/>
              </w:rPr>
              <w:t>本合同所定义的轻症疾病、重大疾病的， 本合同终止，我们向您退还本合同终止时的现金价值。</w:t>
            </w:r>
          </w:p>
        </w:tc>
      </w:tr>
      <w:tr>
        <w:trPr>
          <w:trHeight w:val="580" w:hRule="atLeast"/>
        </w:trPr>
        <w:tc>
          <w:tcPr>
            <w:tcW w:w="696" w:type="dxa"/>
            <w:tcBorders>
              <w:bottom w:val="single" w:sz="8" w:space="0" w:color="000000"/>
            </w:tcBorders>
          </w:tcPr>
          <w:p>
            <w:pPr>
              <w:pStyle w:val="TableParagraph"/>
              <w:spacing w:before="97"/>
              <w:ind w:left="105"/>
              <w:rPr>
                <w:rFonts w:ascii="Microsoft JhengHei"/>
                <w:b/>
                <w:sz w:val="24"/>
              </w:rPr>
            </w:pPr>
            <w:r>
              <w:rPr>
                <w:rFonts w:ascii="Microsoft JhengHei"/>
                <w:b/>
                <w:w w:val="120"/>
                <w:sz w:val="24"/>
              </w:rPr>
              <w:t>3.</w:t>
            </w:r>
          </w:p>
        </w:tc>
        <w:tc>
          <w:tcPr>
            <w:tcW w:w="7612" w:type="dxa"/>
            <w:gridSpan w:val="2"/>
            <w:tcBorders>
              <w:bottom w:val="single" w:sz="8" w:space="0" w:color="000000"/>
            </w:tcBorders>
          </w:tcPr>
          <w:p>
            <w:pPr>
              <w:pStyle w:val="TableParagraph"/>
              <w:spacing w:before="49"/>
              <w:ind w:left="273"/>
              <w:rPr>
                <w:rFonts w:ascii="Microsoft JhengHei" w:eastAsia="Microsoft JhengHei" w:hint="eastAsia"/>
                <w:b/>
                <w:sz w:val="24"/>
              </w:rPr>
            </w:pPr>
            <w:r>
              <w:rPr>
                <w:rFonts w:ascii="Microsoft JhengHei" w:eastAsia="Microsoft JhengHei" w:hint="eastAsia"/>
                <w:b/>
                <w:sz w:val="24"/>
              </w:rPr>
              <w:t>保险金及豁免保险费的申请</w:t>
            </w:r>
          </w:p>
        </w:tc>
      </w:tr>
      <w:tr>
        <w:trPr>
          <w:trHeight w:val="3846" w:hRule="atLeast"/>
        </w:trPr>
        <w:tc>
          <w:tcPr>
            <w:tcW w:w="696" w:type="dxa"/>
            <w:tcBorders>
              <w:top w:val="single" w:sz="8" w:space="0" w:color="000000"/>
            </w:tcBorders>
          </w:tcPr>
          <w:p>
            <w:pPr>
              <w:pStyle w:val="TableParagraph"/>
              <w:spacing w:before="9"/>
              <w:ind w:left="0"/>
              <w:rPr>
                <w:sz w:val="16"/>
              </w:rPr>
            </w:pPr>
          </w:p>
          <w:p>
            <w:pPr>
              <w:pStyle w:val="TableParagraph"/>
              <w:ind w:left="105"/>
              <w:rPr>
                <w:rFonts w:ascii="Microsoft JhengHei"/>
                <w:b/>
                <w:sz w:val="21"/>
              </w:rPr>
            </w:pPr>
            <w:r>
              <w:rPr>
                <w:rFonts w:ascii="Microsoft JhengHei"/>
                <w:b/>
                <w:w w:val="105"/>
                <w:sz w:val="21"/>
              </w:rPr>
              <w:t>3.1</w:t>
            </w:r>
          </w:p>
        </w:tc>
        <w:tc>
          <w:tcPr>
            <w:tcW w:w="1496" w:type="dxa"/>
            <w:tcBorders>
              <w:top w:val="single" w:sz="8" w:space="0" w:color="000000"/>
            </w:tcBorders>
          </w:tcPr>
          <w:p>
            <w:pPr>
              <w:pStyle w:val="TableParagraph"/>
              <w:spacing w:before="9"/>
              <w:ind w:left="0"/>
              <w:rPr>
                <w:sz w:val="16"/>
              </w:rPr>
            </w:pPr>
          </w:p>
          <w:p>
            <w:pPr>
              <w:pStyle w:val="TableParagraph"/>
              <w:ind w:left="273"/>
              <w:rPr>
                <w:rFonts w:ascii="Microsoft JhengHei" w:eastAsia="Microsoft JhengHei" w:hint="eastAsia"/>
                <w:b/>
                <w:sz w:val="21"/>
              </w:rPr>
            </w:pPr>
            <w:r>
              <w:rPr>
                <w:rFonts w:ascii="Microsoft JhengHei" w:eastAsia="Microsoft JhengHei" w:hint="eastAsia"/>
                <w:b/>
                <w:sz w:val="21"/>
              </w:rPr>
              <w:t>受益人</w:t>
            </w:r>
          </w:p>
        </w:tc>
        <w:tc>
          <w:tcPr>
            <w:tcW w:w="6116" w:type="dxa"/>
            <w:tcBorders>
              <w:top w:val="single" w:sz="8" w:space="0" w:color="000000"/>
            </w:tcBorders>
          </w:tcPr>
          <w:p>
            <w:pPr>
              <w:pStyle w:val="TableParagraph"/>
              <w:spacing w:before="10"/>
              <w:ind w:left="0"/>
              <w:rPr>
                <w:sz w:val="21"/>
              </w:rPr>
            </w:pPr>
          </w:p>
          <w:p>
            <w:pPr>
              <w:pStyle w:val="TableParagraph"/>
              <w:spacing w:line="273" w:lineRule="auto"/>
              <w:ind w:left="165" w:right="64"/>
              <w:jc w:val="both"/>
              <w:rPr>
                <w:sz w:val="21"/>
              </w:rPr>
            </w:pPr>
            <w:r>
              <w:rPr>
                <w:spacing w:val="-7"/>
                <w:sz w:val="21"/>
              </w:rPr>
              <w:t>您或者被保险人可以指定一人或者多人为身故保险金受益人。身</w:t>
            </w:r>
            <w:r>
              <w:rPr>
                <w:spacing w:val="-9"/>
                <w:sz w:val="21"/>
              </w:rPr>
              <w:t>故保险金受益人为多人时，可以确定受益顺序和受益份额；如果</w:t>
            </w:r>
            <w:r>
              <w:rPr>
                <w:spacing w:val="-7"/>
                <w:sz w:val="21"/>
              </w:rPr>
              <w:t>没有确定份额，各身故保险金受益人按照相等份额享有受益权。</w:t>
            </w:r>
          </w:p>
          <w:p>
            <w:pPr>
              <w:pStyle w:val="TableParagraph"/>
              <w:spacing w:line="268" w:lineRule="auto" w:before="166"/>
              <w:ind w:left="165" w:right="102"/>
              <w:jc w:val="both"/>
              <w:rPr>
                <w:sz w:val="21"/>
              </w:rPr>
            </w:pPr>
            <w:r>
              <w:rPr>
                <w:spacing w:val="-7"/>
                <w:sz w:val="21"/>
              </w:rPr>
              <w:t>被保险人为无民事行为能力人或者限制民事行为能力人的，可以</w:t>
            </w:r>
            <w:r>
              <w:rPr>
                <w:spacing w:val="-6"/>
                <w:sz w:val="21"/>
              </w:rPr>
              <w:t>依法由其监护人指定身故保险金受益人。</w:t>
            </w:r>
          </w:p>
          <w:p>
            <w:pPr>
              <w:pStyle w:val="TableParagraph"/>
              <w:spacing w:line="273" w:lineRule="auto" w:before="170"/>
              <w:ind w:left="165" w:right="63"/>
              <w:jc w:val="both"/>
              <w:rPr>
                <w:sz w:val="21"/>
              </w:rPr>
            </w:pPr>
            <w:r>
              <w:rPr>
                <w:spacing w:val="-5"/>
                <w:sz w:val="21"/>
              </w:rPr>
              <w:t>您或者被保险人在被保险人身故前可以变更身故保险金受益人、</w:t>
            </w:r>
            <w:r>
              <w:rPr>
                <w:spacing w:val="-8"/>
                <w:sz w:val="21"/>
              </w:rPr>
              <w:t>受益顺序或者受益份额，并书面通知我们。我们收到变更的书面</w:t>
            </w:r>
            <w:r>
              <w:rPr>
                <w:spacing w:val="2"/>
                <w:sz w:val="21"/>
              </w:rPr>
              <w:t>通知后，将及时在保险单或者其他保险凭证上批注或者附贴批</w:t>
            </w:r>
            <w:r>
              <w:rPr>
                <w:spacing w:val="-5"/>
                <w:sz w:val="21"/>
              </w:rPr>
              <w:t>单，变更的生效时间以批注或者批单中载明的时间为准。</w:t>
            </w:r>
          </w:p>
          <w:p>
            <w:pPr>
              <w:pStyle w:val="TableParagraph"/>
              <w:spacing w:line="262" w:lineRule="exact" w:before="166"/>
              <w:ind w:left="165"/>
              <w:jc w:val="both"/>
              <w:rPr>
                <w:sz w:val="21"/>
              </w:rPr>
            </w:pPr>
            <w:r>
              <w:rPr>
                <w:sz w:val="21"/>
              </w:rPr>
              <w:t>您在指定和变更身故保险金受益人、受益顺序或者受益份额时，</w:t>
            </w:r>
          </w:p>
        </w:tc>
      </w:tr>
    </w:tbl>
    <w:p>
      <w:pPr>
        <w:spacing w:after="0" w:line="262" w:lineRule="exact"/>
        <w:jc w:val="both"/>
        <w:rPr>
          <w:sz w:val="21"/>
        </w:rPr>
        <w:sectPr>
          <w:pgSz w:w="11910" w:h="16840"/>
          <w:pgMar w:header="0" w:footer="150" w:top="106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493"/>
        <w:gridCol w:w="6321"/>
      </w:tblGrid>
      <w:tr>
        <w:trPr>
          <w:trHeight w:val="5730" w:hRule="atLeast"/>
        </w:trPr>
        <w:tc>
          <w:tcPr>
            <w:tcW w:w="790" w:type="dxa"/>
          </w:tcPr>
          <w:p>
            <w:pPr>
              <w:pStyle w:val="TableParagraph"/>
              <w:ind w:left="0"/>
              <w:rPr>
                <w:rFonts w:ascii="Times New Roman"/>
                <w:sz w:val="20"/>
              </w:rPr>
            </w:pPr>
          </w:p>
        </w:tc>
        <w:tc>
          <w:tcPr>
            <w:tcW w:w="1493" w:type="dxa"/>
          </w:tcPr>
          <w:p>
            <w:pPr>
              <w:pStyle w:val="TableParagraph"/>
              <w:ind w:left="0"/>
              <w:rPr>
                <w:rFonts w:ascii="Times New Roman"/>
                <w:sz w:val="20"/>
              </w:rPr>
            </w:pPr>
          </w:p>
        </w:tc>
        <w:tc>
          <w:tcPr>
            <w:tcW w:w="6321" w:type="dxa"/>
          </w:tcPr>
          <w:p>
            <w:pPr>
              <w:pStyle w:val="TableParagraph"/>
              <w:spacing w:line="211" w:lineRule="exact"/>
              <w:ind w:left="168"/>
              <w:rPr>
                <w:sz w:val="21"/>
              </w:rPr>
            </w:pPr>
            <w:r>
              <w:rPr>
                <w:sz w:val="21"/>
              </w:rPr>
              <w:t>必须经过被保险人同意。</w:t>
            </w:r>
          </w:p>
          <w:p>
            <w:pPr>
              <w:pStyle w:val="TableParagraph"/>
              <w:spacing w:before="12"/>
              <w:ind w:left="0"/>
              <w:rPr>
                <w:sz w:val="14"/>
              </w:rPr>
            </w:pPr>
          </w:p>
          <w:p>
            <w:pPr>
              <w:pStyle w:val="TableParagraph"/>
              <w:spacing w:line="271" w:lineRule="auto"/>
              <w:ind w:left="168" w:right="304"/>
              <w:jc w:val="both"/>
              <w:rPr>
                <w:sz w:val="21"/>
              </w:rPr>
            </w:pPr>
            <w:r>
              <w:rPr>
                <w:spacing w:val="-6"/>
                <w:sz w:val="21"/>
              </w:rPr>
              <w:t>被保险人身故后，有下列情形之一的，身故保险金作为被保险人</w:t>
            </w:r>
            <w:r>
              <w:rPr>
                <w:spacing w:val="-9"/>
                <w:sz w:val="21"/>
              </w:rPr>
              <w:t>的遗产，由我们依照《中华人民共和国继承法》的规定履行给付</w:t>
            </w:r>
            <w:r>
              <w:rPr>
                <w:spacing w:val="-7"/>
                <w:sz w:val="21"/>
              </w:rPr>
              <w:t>身故保险金的义务：</w:t>
            </w:r>
          </w:p>
          <w:p>
            <w:pPr>
              <w:pStyle w:val="TableParagraph"/>
              <w:numPr>
                <w:ilvl w:val="0"/>
                <w:numId w:val="8"/>
              </w:numPr>
              <w:tabs>
                <w:tab w:pos="592" w:val="left" w:leader="none"/>
              </w:tabs>
              <w:spacing w:line="273" w:lineRule="auto" w:before="9" w:after="0"/>
              <w:ind w:left="591" w:right="303" w:hanging="423"/>
              <w:jc w:val="left"/>
              <w:rPr>
                <w:sz w:val="21"/>
              </w:rPr>
            </w:pPr>
            <w:r>
              <w:rPr>
                <w:spacing w:val="-5"/>
                <w:sz w:val="21"/>
              </w:rPr>
              <w:t>没有指定身故保险金受益人的，或者身故保险金受益人指定不明无法确定的；</w:t>
            </w:r>
          </w:p>
          <w:p>
            <w:pPr>
              <w:pStyle w:val="TableParagraph"/>
              <w:numPr>
                <w:ilvl w:val="0"/>
                <w:numId w:val="8"/>
              </w:numPr>
              <w:tabs>
                <w:tab w:pos="592" w:val="left" w:leader="none"/>
              </w:tabs>
              <w:spacing w:line="273" w:lineRule="auto" w:before="7" w:after="0"/>
              <w:ind w:left="591" w:right="303" w:hanging="423"/>
              <w:jc w:val="left"/>
              <w:rPr>
                <w:sz w:val="21"/>
              </w:rPr>
            </w:pPr>
            <w:r>
              <w:rPr>
                <w:spacing w:val="-6"/>
                <w:sz w:val="21"/>
              </w:rPr>
              <w:t>身故保险金受益人先于被保险人身故，没有其他身故保险金受益人的；</w:t>
            </w:r>
          </w:p>
          <w:p>
            <w:pPr>
              <w:pStyle w:val="TableParagraph"/>
              <w:numPr>
                <w:ilvl w:val="0"/>
                <w:numId w:val="8"/>
              </w:numPr>
              <w:tabs>
                <w:tab w:pos="592" w:val="left" w:leader="none"/>
              </w:tabs>
              <w:spacing w:line="273" w:lineRule="auto" w:before="7" w:after="0"/>
              <w:ind w:left="591" w:right="303" w:hanging="423"/>
              <w:jc w:val="left"/>
              <w:rPr>
                <w:sz w:val="21"/>
              </w:rPr>
            </w:pPr>
            <w:r>
              <w:rPr>
                <w:spacing w:val="-7"/>
                <w:sz w:val="21"/>
              </w:rPr>
              <w:t>身故保险金受益人依法丧失受益权或者放弃受益权，没有其</w:t>
            </w:r>
            <w:r>
              <w:rPr>
                <w:spacing w:val="-6"/>
                <w:sz w:val="21"/>
              </w:rPr>
              <w:t>他身故保险金受益人的。</w:t>
            </w:r>
          </w:p>
          <w:p>
            <w:pPr>
              <w:pStyle w:val="TableParagraph"/>
              <w:spacing w:line="273" w:lineRule="auto" w:before="166"/>
              <w:ind w:left="168" w:right="253"/>
              <w:rPr>
                <w:sz w:val="21"/>
              </w:rPr>
            </w:pPr>
            <w:r>
              <w:rPr>
                <w:sz w:val="21"/>
              </w:rPr>
              <w:t>身故保险金受益人与被保险人在同一事件中身故，且不能确定身故先后顺序的，推定身故保险金受益人身故在先。</w:t>
            </w:r>
          </w:p>
          <w:p>
            <w:pPr>
              <w:pStyle w:val="TableParagraph"/>
              <w:spacing w:line="268" w:lineRule="auto" w:before="166"/>
              <w:ind w:left="168" w:right="268"/>
              <w:rPr>
                <w:sz w:val="21"/>
              </w:rPr>
            </w:pPr>
            <w:r>
              <w:rPr>
                <w:sz w:val="21"/>
              </w:rPr>
              <w:t>身故保险金受益人故意造成被保险人死亡、伤残、疾病的，或者故意杀害被保险人未遂的，该受益人丧失受益权。</w:t>
            </w:r>
          </w:p>
          <w:p>
            <w:pPr>
              <w:pStyle w:val="TableParagraph"/>
              <w:spacing w:line="273" w:lineRule="auto" w:before="171"/>
              <w:ind w:left="168" w:right="197"/>
              <w:rPr>
                <w:sz w:val="21"/>
              </w:rPr>
            </w:pPr>
            <w:r>
              <w:rPr>
                <w:spacing w:val="-12"/>
                <w:sz w:val="21"/>
              </w:rPr>
              <w:t>除另有指定外，轻症疾病保险金、重大疾病保险金、全残保险金、</w:t>
            </w:r>
            <w:r>
              <w:rPr>
                <w:spacing w:val="-8"/>
                <w:sz w:val="21"/>
              </w:rPr>
              <w:t>疾病终末期保险金的受益人为被保险人本人。</w:t>
            </w:r>
          </w:p>
        </w:tc>
      </w:tr>
      <w:tr>
        <w:trPr>
          <w:trHeight w:val="2199" w:hRule="atLeast"/>
        </w:trPr>
        <w:tc>
          <w:tcPr>
            <w:tcW w:w="790" w:type="dxa"/>
          </w:tcPr>
          <w:p>
            <w:pPr>
              <w:pStyle w:val="TableParagraph"/>
              <w:spacing w:before="83"/>
              <w:ind w:left="180" w:right="251"/>
              <w:jc w:val="center"/>
              <w:rPr>
                <w:rFonts w:ascii="Microsoft JhengHei"/>
                <w:b/>
                <w:sz w:val="21"/>
              </w:rPr>
            </w:pPr>
            <w:r>
              <w:rPr>
                <w:rFonts w:ascii="Microsoft JhengHei"/>
                <w:b/>
                <w:w w:val="105"/>
                <w:sz w:val="21"/>
              </w:rPr>
              <w:t>3.2</w:t>
            </w:r>
          </w:p>
        </w:tc>
        <w:tc>
          <w:tcPr>
            <w:tcW w:w="1493" w:type="dxa"/>
          </w:tcPr>
          <w:p>
            <w:pPr>
              <w:pStyle w:val="TableParagraph"/>
              <w:spacing w:line="204" w:lineRule="auto" w:before="138"/>
              <w:ind w:left="274" w:right="160"/>
              <w:rPr>
                <w:rFonts w:ascii="Microsoft JhengHei" w:eastAsia="Microsoft JhengHei" w:hint="eastAsia"/>
                <w:b/>
                <w:sz w:val="21"/>
              </w:rPr>
            </w:pPr>
            <w:r>
              <w:rPr>
                <w:rFonts w:ascii="Microsoft JhengHei" w:eastAsia="Microsoft JhengHei" w:hint="eastAsia"/>
                <w:b/>
                <w:sz w:val="21"/>
              </w:rPr>
              <w:t>保险事故通知</w:t>
            </w:r>
          </w:p>
        </w:tc>
        <w:tc>
          <w:tcPr>
            <w:tcW w:w="6321" w:type="dxa"/>
          </w:tcPr>
          <w:p>
            <w:pPr>
              <w:pStyle w:val="TableParagraph"/>
              <w:spacing w:line="273" w:lineRule="auto" w:before="150"/>
              <w:ind w:left="168" w:right="301"/>
              <w:jc w:val="both"/>
              <w:rPr>
                <w:sz w:val="21"/>
              </w:rPr>
            </w:pPr>
            <w:r>
              <w:rPr>
                <w:spacing w:val="-4"/>
                <w:sz w:val="21"/>
              </w:rPr>
              <w:t>您或者受益人知道保险事故发生后应当在 </w:t>
            </w:r>
            <w:r>
              <w:rPr>
                <w:sz w:val="21"/>
              </w:rPr>
              <w:t>10</w:t>
            </w:r>
            <w:r>
              <w:rPr>
                <w:spacing w:val="-4"/>
                <w:sz w:val="21"/>
              </w:rPr>
              <w:t> 日内通知我们。故</w:t>
            </w:r>
            <w:r>
              <w:rPr>
                <w:spacing w:val="-8"/>
                <w:sz w:val="21"/>
              </w:rPr>
              <w:t>意或者因重大过失未及时通知，致使保险事故的性质、原因、损</w:t>
            </w:r>
            <w:r>
              <w:rPr>
                <w:spacing w:val="-10"/>
                <w:sz w:val="21"/>
              </w:rPr>
              <w:t>失程度等难以确定的，我们对无法确定的部分不承担给付保险金的责任，但我们通过其他途径已经及时知道或者应当及时知道保</w:t>
            </w:r>
            <w:r>
              <w:rPr>
                <w:spacing w:val="2"/>
                <w:sz w:val="21"/>
              </w:rPr>
              <w:t>险事故发生或者虽未及时通知但不影响我们确定保险事故的性</w:t>
            </w:r>
            <w:r>
              <w:rPr>
                <w:spacing w:val="-2"/>
                <w:sz w:val="21"/>
              </w:rPr>
              <w:t>质、原因、损失程度的除外。</w:t>
            </w:r>
          </w:p>
        </w:tc>
      </w:tr>
      <w:tr>
        <w:trPr>
          <w:trHeight w:val="1262" w:hRule="atLeast"/>
        </w:trPr>
        <w:tc>
          <w:tcPr>
            <w:tcW w:w="790" w:type="dxa"/>
          </w:tcPr>
          <w:p>
            <w:pPr>
              <w:pStyle w:val="TableParagraph"/>
              <w:spacing w:before="83"/>
              <w:ind w:left="180" w:right="251"/>
              <w:jc w:val="center"/>
              <w:rPr>
                <w:rFonts w:ascii="Microsoft JhengHei"/>
                <w:b/>
                <w:sz w:val="21"/>
              </w:rPr>
            </w:pPr>
            <w:r>
              <w:rPr>
                <w:rFonts w:ascii="Microsoft JhengHei"/>
                <w:b/>
                <w:w w:val="105"/>
                <w:sz w:val="21"/>
              </w:rPr>
              <w:t>3.3</w:t>
            </w:r>
          </w:p>
        </w:tc>
        <w:tc>
          <w:tcPr>
            <w:tcW w:w="1493" w:type="dxa"/>
          </w:tcPr>
          <w:p>
            <w:pPr>
              <w:pStyle w:val="TableParagraph"/>
              <w:spacing w:line="204" w:lineRule="auto" w:before="138"/>
              <w:ind w:left="274" w:right="160"/>
              <w:jc w:val="both"/>
              <w:rPr>
                <w:rFonts w:ascii="Microsoft JhengHei" w:eastAsia="Microsoft JhengHei" w:hint="eastAsia"/>
                <w:b/>
                <w:sz w:val="21"/>
              </w:rPr>
            </w:pPr>
            <w:r>
              <w:rPr>
                <w:rFonts w:ascii="Microsoft JhengHei" w:eastAsia="Microsoft JhengHei" w:hint="eastAsia"/>
                <w:b/>
                <w:sz w:val="21"/>
              </w:rPr>
              <w:t>保险金及豁免保险费申请</w:t>
            </w:r>
          </w:p>
        </w:tc>
        <w:tc>
          <w:tcPr>
            <w:tcW w:w="6321" w:type="dxa"/>
          </w:tcPr>
          <w:p>
            <w:pPr>
              <w:pStyle w:val="TableParagraph"/>
              <w:spacing w:before="150"/>
              <w:ind w:left="168"/>
              <w:rPr>
                <w:sz w:val="21"/>
              </w:rPr>
            </w:pPr>
            <w:r>
              <w:rPr>
                <w:sz w:val="21"/>
              </w:rPr>
              <w:t>在申请保险金或申请豁免保险费时，请按照下列方式办理：</w:t>
            </w:r>
          </w:p>
        </w:tc>
      </w:tr>
      <w:tr>
        <w:trPr>
          <w:trHeight w:val="2821" w:hRule="atLeast"/>
        </w:trPr>
        <w:tc>
          <w:tcPr>
            <w:tcW w:w="790" w:type="dxa"/>
          </w:tcPr>
          <w:p>
            <w:pPr>
              <w:pStyle w:val="TableParagraph"/>
              <w:ind w:left="0"/>
              <w:rPr>
                <w:rFonts w:ascii="Times New Roman"/>
                <w:sz w:val="20"/>
              </w:rPr>
            </w:pPr>
          </w:p>
        </w:tc>
        <w:tc>
          <w:tcPr>
            <w:tcW w:w="1493" w:type="dxa"/>
          </w:tcPr>
          <w:p>
            <w:pPr>
              <w:pStyle w:val="TableParagraph"/>
              <w:spacing w:line="204" w:lineRule="auto" w:before="138"/>
              <w:ind w:left="274" w:right="160"/>
              <w:rPr>
                <w:rFonts w:ascii="Microsoft JhengHei" w:eastAsia="Microsoft JhengHei" w:hint="eastAsia"/>
                <w:b/>
                <w:sz w:val="21"/>
              </w:rPr>
            </w:pPr>
            <w:r>
              <w:rPr>
                <w:rFonts w:ascii="Microsoft JhengHei" w:eastAsia="Microsoft JhengHei" w:hint="eastAsia"/>
                <w:b/>
                <w:sz w:val="21"/>
              </w:rPr>
              <w:t>轻症疾病保险金、重大疾 病 保 险 金、疾病终末期保险金</w:t>
            </w:r>
          </w:p>
        </w:tc>
        <w:tc>
          <w:tcPr>
            <w:tcW w:w="6321" w:type="dxa"/>
          </w:tcPr>
          <w:p>
            <w:pPr>
              <w:pStyle w:val="TableParagraph"/>
              <w:spacing w:line="268" w:lineRule="auto" w:before="150"/>
              <w:ind w:left="168" w:right="265"/>
              <w:rPr>
                <w:sz w:val="21"/>
              </w:rPr>
            </w:pPr>
            <w:r>
              <w:rPr>
                <w:sz w:val="21"/>
              </w:rPr>
              <w:t>申请轻症疾病保险金、重大疾病保险金、疾病终末期保险金的， 申请人须填写保险金给付申请书，并向我们提供下列资料：</w:t>
            </w:r>
          </w:p>
          <w:p>
            <w:pPr>
              <w:pStyle w:val="TableParagraph"/>
              <w:numPr>
                <w:ilvl w:val="0"/>
                <w:numId w:val="9"/>
              </w:numPr>
              <w:tabs>
                <w:tab w:pos="592" w:val="left" w:leader="none"/>
              </w:tabs>
              <w:spacing w:line="240" w:lineRule="auto" w:before="12" w:after="0"/>
              <w:ind w:left="591" w:right="0" w:hanging="423"/>
              <w:jc w:val="left"/>
              <w:rPr>
                <w:sz w:val="21"/>
              </w:rPr>
            </w:pPr>
            <w:r>
              <w:rPr>
                <w:sz w:val="21"/>
              </w:rPr>
              <w:t>本合同；</w:t>
            </w:r>
          </w:p>
          <w:p>
            <w:pPr>
              <w:pStyle w:val="TableParagraph"/>
              <w:numPr>
                <w:ilvl w:val="0"/>
                <w:numId w:val="9"/>
              </w:numPr>
              <w:tabs>
                <w:tab w:pos="592" w:val="left" w:leader="none"/>
              </w:tabs>
              <w:spacing w:line="240" w:lineRule="auto" w:before="37" w:after="0"/>
              <w:ind w:left="591" w:right="0" w:hanging="423"/>
              <w:jc w:val="left"/>
              <w:rPr>
                <w:sz w:val="21"/>
              </w:rPr>
            </w:pPr>
            <w:r>
              <w:rPr>
                <w:spacing w:val="-2"/>
                <w:sz w:val="21"/>
              </w:rPr>
              <w:t>申请人的有效身份证件；</w:t>
            </w:r>
          </w:p>
          <w:p>
            <w:pPr>
              <w:pStyle w:val="TableParagraph"/>
              <w:numPr>
                <w:ilvl w:val="0"/>
                <w:numId w:val="9"/>
              </w:numPr>
              <w:tabs>
                <w:tab w:pos="592" w:val="left" w:leader="none"/>
              </w:tabs>
              <w:spacing w:line="273" w:lineRule="auto" w:before="37" w:after="0"/>
              <w:ind w:left="591" w:right="307" w:hanging="423"/>
              <w:jc w:val="left"/>
              <w:rPr>
                <w:sz w:val="21"/>
              </w:rPr>
            </w:pPr>
            <w:r>
              <w:rPr>
                <w:spacing w:val="1"/>
                <w:sz w:val="21"/>
              </w:rPr>
              <w:t>由医疗机构出具的可证明被保险人所患疾病的诊断证明和</w:t>
            </w:r>
            <w:r>
              <w:rPr>
                <w:spacing w:val="-2"/>
                <w:sz w:val="21"/>
              </w:rPr>
              <w:t>诊断所患疾病必需的检查报告；</w:t>
            </w:r>
          </w:p>
          <w:p>
            <w:pPr>
              <w:pStyle w:val="TableParagraph"/>
              <w:numPr>
                <w:ilvl w:val="0"/>
                <w:numId w:val="9"/>
              </w:numPr>
              <w:tabs>
                <w:tab w:pos="592" w:val="left" w:leader="none"/>
              </w:tabs>
              <w:spacing w:line="273" w:lineRule="auto" w:before="8" w:after="0"/>
              <w:ind w:left="591" w:right="303" w:hanging="423"/>
              <w:jc w:val="left"/>
              <w:rPr>
                <w:sz w:val="21"/>
              </w:rPr>
            </w:pPr>
            <w:r>
              <w:rPr>
                <w:spacing w:val="-6"/>
                <w:sz w:val="21"/>
              </w:rPr>
              <w:t>所能提供的与确认保险事故的性质、原因、伤害程度等有关</w:t>
            </w:r>
            <w:r>
              <w:rPr>
                <w:spacing w:val="-5"/>
                <w:sz w:val="21"/>
              </w:rPr>
              <w:t>的其他资料。</w:t>
            </w:r>
          </w:p>
        </w:tc>
      </w:tr>
      <w:tr>
        <w:trPr>
          <w:trHeight w:val="3231" w:hRule="atLeast"/>
        </w:trPr>
        <w:tc>
          <w:tcPr>
            <w:tcW w:w="790" w:type="dxa"/>
          </w:tcPr>
          <w:p>
            <w:pPr>
              <w:pStyle w:val="TableParagraph"/>
              <w:ind w:left="0"/>
              <w:rPr>
                <w:rFonts w:ascii="Times New Roman"/>
                <w:sz w:val="20"/>
              </w:rPr>
            </w:pPr>
          </w:p>
        </w:tc>
        <w:tc>
          <w:tcPr>
            <w:tcW w:w="1493" w:type="dxa"/>
          </w:tcPr>
          <w:p>
            <w:pPr>
              <w:pStyle w:val="TableParagraph"/>
              <w:spacing w:line="201" w:lineRule="auto" w:before="144"/>
              <w:ind w:left="274" w:right="160"/>
              <w:rPr>
                <w:rFonts w:ascii="Microsoft JhengHei" w:eastAsia="Microsoft JhengHei" w:hint="eastAsia"/>
                <w:b/>
                <w:sz w:val="21"/>
              </w:rPr>
            </w:pPr>
            <w:r>
              <w:rPr>
                <w:rFonts w:ascii="Microsoft JhengHei" w:eastAsia="Microsoft JhengHei" w:hint="eastAsia"/>
                <w:b/>
                <w:sz w:val="21"/>
              </w:rPr>
              <w:t>身故保险金申请</w:t>
            </w:r>
          </w:p>
        </w:tc>
        <w:tc>
          <w:tcPr>
            <w:tcW w:w="6321" w:type="dxa"/>
          </w:tcPr>
          <w:p>
            <w:pPr>
              <w:pStyle w:val="TableParagraph"/>
              <w:spacing w:line="268" w:lineRule="auto" w:before="152"/>
              <w:ind w:left="163" w:right="258"/>
              <w:rPr>
                <w:sz w:val="21"/>
              </w:rPr>
            </w:pPr>
            <w:r>
              <w:rPr>
                <w:sz w:val="21"/>
              </w:rPr>
              <w:t>申请身故保险金的，申请人须填写保险金给付申请书，并向我们提供下列资料：</w:t>
            </w:r>
          </w:p>
          <w:p>
            <w:pPr>
              <w:pStyle w:val="TableParagraph"/>
              <w:numPr>
                <w:ilvl w:val="0"/>
                <w:numId w:val="10"/>
              </w:numPr>
              <w:tabs>
                <w:tab w:pos="592" w:val="left" w:leader="none"/>
              </w:tabs>
              <w:spacing w:line="240" w:lineRule="auto" w:before="12" w:after="0"/>
              <w:ind w:left="591" w:right="0" w:hanging="423"/>
              <w:jc w:val="left"/>
              <w:rPr>
                <w:sz w:val="21"/>
              </w:rPr>
            </w:pPr>
            <w:r>
              <w:rPr>
                <w:sz w:val="21"/>
              </w:rPr>
              <w:t>本合同；</w:t>
            </w:r>
          </w:p>
          <w:p>
            <w:pPr>
              <w:pStyle w:val="TableParagraph"/>
              <w:numPr>
                <w:ilvl w:val="0"/>
                <w:numId w:val="10"/>
              </w:numPr>
              <w:tabs>
                <w:tab w:pos="592" w:val="left" w:leader="none"/>
              </w:tabs>
              <w:spacing w:line="240" w:lineRule="auto" w:before="37" w:after="0"/>
              <w:ind w:left="591" w:right="0" w:hanging="423"/>
              <w:jc w:val="left"/>
              <w:rPr>
                <w:sz w:val="21"/>
              </w:rPr>
            </w:pPr>
            <w:r>
              <w:rPr>
                <w:spacing w:val="-2"/>
                <w:sz w:val="21"/>
              </w:rPr>
              <w:t>申请人的有效身份证件；</w:t>
            </w:r>
          </w:p>
          <w:p>
            <w:pPr>
              <w:pStyle w:val="TableParagraph"/>
              <w:numPr>
                <w:ilvl w:val="0"/>
                <w:numId w:val="10"/>
              </w:numPr>
              <w:tabs>
                <w:tab w:pos="592" w:val="left" w:leader="none"/>
              </w:tabs>
              <w:spacing w:line="273" w:lineRule="auto" w:before="37" w:after="0"/>
              <w:ind w:left="591" w:right="303" w:hanging="423"/>
              <w:jc w:val="left"/>
              <w:rPr>
                <w:sz w:val="21"/>
              </w:rPr>
            </w:pPr>
            <w:r>
              <w:rPr>
                <w:spacing w:val="-6"/>
                <w:sz w:val="21"/>
              </w:rPr>
              <w:t>国家卫生行政部门认定的医疗机构、公安部门或其他相关机</w:t>
            </w:r>
            <w:r>
              <w:rPr>
                <w:spacing w:val="-5"/>
                <w:sz w:val="21"/>
              </w:rPr>
              <w:t>构出具的被保险人死亡证明；</w:t>
            </w:r>
          </w:p>
          <w:p>
            <w:pPr>
              <w:pStyle w:val="TableParagraph"/>
              <w:numPr>
                <w:ilvl w:val="0"/>
                <w:numId w:val="10"/>
              </w:numPr>
              <w:tabs>
                <w:tab w:pos="592" w:val="left" w:leader="none"/>
              </w:tabs>
              <w:spacing w:line="273" w:lineRule="auto" w:before="7" w:after="0"/>
              <w:ind w:left="591" w:right="303" w:hanging="423"/>
              <w:jc w:val="left"/>
              <w:rPr>
                <w:sz w:val="21"/>
              </w:rPr>
            </w:pPr>
            <w:r>
              <w:rPr>
                <w:spacing w:val="-6"/>
                <w:sz w:val="21"/>
              </w:rPr>
              <w:t>被保险人因意外伤害导致身故的，需提供相关意外伤害的证明和资料；</w:t>
            </w:r>
          </w:p>
          <w:p>
            <w:pPr>
              <w:pStyle w:val="TableParagraph"/>
              <w:numPr>
                <w:ilvl w:val="0"/>
                <w:numId w:val="10"/>
              </w:numPr>
              <w:tabs>
                <w:tab w:pos="592" w:val="left" w:leader="none"/>
              </w:tabs>
              <w:spacing w:line="312" w:lineRule="exact" w:before="3" w:after="0"/>
              <w:ind w:left="591" w:right="307" w:hanging="423"/>
              <w:jc w:val="left"/>
              <w:rPr>
                <w:sz w:val="21"/>
              </w:rPr>
            </w:pPr>
            <w:r>
              <w:rPr>
                <w:spacing w:val="1"/>
                <w:sz w:val="21"/>
              </w:rPr>
              <w:t>所能提供的与确认保险事故的性质、原因等有关的其他资料。</w:t>
            </w:r>
          </w:p>
        </w:tc>
      </w:tr>
    </w:tbl>
    <w:p>
      <w:pPr>
        <w:spacing w:after="0" w:line="312" w:lineRule="exact"/>
        <w:jc w:val="left"/>
        <w:rPr>
          <w:sz w:val="21"/>
        </w:rPr>
        <w:sectPr>
          <w:pgSz w:w="11910" w:h="16840"/>
          <w:pgMar w:header="0" w:footer="150" w:top="740" w:bottom="340" w:left="160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493"/>
        <w:gridCol w:w="6322"/>
      </w:tblGrid>
      <w:tr>
        <w:trPr>
          <w:trHeight w:val="3233" w:hRule="atLeast"/>
        </w:trPr>
        <w:tc>
          <w:tcPr>
            <w:tcW w:w="790" w:type="dxa"/>
          </w:tcPr>
          <w:p>
            <w:pPr>
              <w:pStyle w:val="TableParagraph"/>
              <w:ind w:left="0"/>
              <w:rPr>
                <w:rFonts w:ascii="Times New Roman"/>
                <w:sz w:val="20"/>
              </w:rPr>
            </w:pPr>
          </w:p>
        </w:tc>
        <w:tc>
          <w:tcPr>
            <w:tcW w:w="1493" w:type="dxa"/>
          </w:tcPr>
          <w:p>
            <w:pPr>
              <w:pStyle w:val="TableParagraph"/>
              <w:spacing w:line="208" w:lineRule="exact"/>
              <w:ind w:left="274"/>
              <w:rPr>
                <w:rFonts w:ascii="Microsoft JhengHei" w:eastAsia="Microsoft JhengHei" w:hint="eastAsia"/>
                <w:b/>
                <w:sz w:val="21"/>
              </w:rPr>
            </w:pPr>
            <w:r>
              <w:rPr>
                <w:rFonts w:ascii="Microsoft JhengHei" w:eastAsia="Microsoft JhengHei" w:hint="eastAsia"/>
                <w:b/>
                <w:sz w:val="21"/>
              </w:rPr>
              <w:t>全残保险金</w:t>
            </w:r>
          </w:p>
          <w:p>
            <w:pPr>
              <w:pStyle w:val="TableParagraph"/>
              <w:spacing w:line="339" w:lineRule="exact"/>
              <w:ind w:left="274"/>
              <w:rPr>
                <w:rFonts w:ascii="Microsoft JhengHei" w:eastAsia="Microsoft JhengHei" w:hint="eastAsia"/>
                <w:b/>
                <w:sz w:val="21"/>
              </w:rPr>
            </w:pPr>
            <w:r>
              <w:rPr>
                <w:rFonts w:ascii="Microsoft JhengHei" w:eastAsia="Microsoft JhengHei" w:hint="eastAsia"/>
                <w:b/>
                <w:sz w:val="21"/>
              </w:rPr>
              <w:t>申请</w:t>
            </w:r>
          </w:p>
        </w:tc>
        <w:tc>
          <w:tcPr>
            <w:tcW w:w="6322" w:type="dxa"/>
          </w:tcPr>
          <w:p>
            <w:pPr>
              <w:pStyle w:val="TableParagraph"/>
              <w:spacing w:line="211" w:lineRule="exact"/>
              <w:ind w:left="163"/>
              <w:rPr>
                <w:sz w:val="21"/>
              </w:rPr>
            </w:pPr>
            <w:r>
              <w:rPr>
                <w:sz w:val="21"/>
              </w:rPr>
              <w:t>申请全残保险金的，申请人须填写保险金给付申请书，并向我们</w:t>
            </w:r>
          </w:p>
          <w:p>
            <w:pPr>
              <w:pStyle w:val="TableParagraph"/>
              <w:spacing w:before="37"/>
              <w:ind w:left="163"/>
              <w:rPr>
                <w:sz w:val="21"/>
              </w:rPr>
            </w:pPr>
            <w:r>
              <w:rPr>
                <w:sz w:val="21"/>
              </w:rPr>
              <w:t>提供下列资料：</w:t>
            </w:r>
          </w:p>
          <w:p>
            <w:pPr>
              <w:pStyle w:val="TableParagraph"/>
              <w:numPr>
                <w:ilvl w:val="0"/>
                <w:numId w:val="11"/>
              </w:numPr>
              <w:tabs>
                <w:tab w:pos="592" w:val="left" w:leader="none"/>
              </w:tabs>
              <w:spacing w:line="240" w:lineRule="auto" w:before="37" w:after="0"/>
              <w:ind w:left="591" w:right="0" w:hanging="423"/>
              <w:jc w:val="left"/>
              <w:rPr>
                <w:sz w:val="21"/>
              </w:rPr>
            </w:pPr>
            <w:r>
              <w:rPr>
                <w:sz w:val="21"/>
              </w:rPr>
              <w:t>本合同；</w:t>
            </w:r>
          </w:p>
          <w:p>
            <w:pPr>
              <w:pStyle w:val="TableParagraph"/>
              <w:numPr>
                <w:ilvl w:val="0"/>
                <w:numId w:val="11"/>
              </w:numPr>
              <w:tabs>
                <w:tab w:pos="592" w:val="left" w:leader="none"/>
              </w:tabs>
              <w:spacing w:line="240" w:lineRule="auto" w:before="37" w:after="0"/>
              <w:ind w:left="591" w:right="0" w:hanging="423"/>
              <w:jc w:val="left"/>
              <w:rPr>
                <w:sz w:val="21"/>
              </w:rPr>
            </w:pPr>
            <w:r>
              <w:rPr>
                <w:spacing w:val="-2"/>
                <w:sz w:val="21"/>
              </w:rPr>
              <w:t>申请人的有效身份证件；</w:t>
            </w:r>
          </w:p>
          <w:p>
            <w:pPr>
              <w:pStyle w:val="TableParagraph"/>
              <w:numPr>
                <w:ilvl w:val="0"/>
                <w:numId w:val="11"/>
              </w:numPr>
              <w:tabs>
                <w:tab w:pos="592" w:val="left" w:leader="none"/>
              </w:tabs>
              <w:spacing w:line="273" w:lineRule="auto" w:before="37" w:after="0"/>
              <w:ind w:left="591" w:right="292" w:hanging="423"/>
              <w:jc w:val="left"/>
              <w:rPr>
                <w:sz w:val="21"/>
              </w:rPr>
            </w:pPr>
            <w:r>
              <w:rPr>
                <w:spacing w:val="2"/>
                <w:sz w:val="21"/>
              </w:rPr>
              <w:t>国家有关机关认可或具有合法资质的伤残鉴定机构出具的</w:t>
            </w:r>
            <w:r>
              <w:rPr>
                <w:spacing w:val="-1"/>
                <w:sz w:val="21"/>
              </w:rPr>
              <w:t>全残鉴定证明；</w:t>
            </w:r>
          </w:p>
          <w:p>
            <w:pPr>
              <w:pStyle w:val="TableParagraph"/>
              <w:numPr>
                <w:ilvl w:val="0"/>
                <w:numId w:val="11"/>
              </w:numPr>
              <w:tabs>
                <w:tab w:pos="592" w:val="left" w:leader="none"/>
              </w:tabs>
              <w:spacing w:line="273" w:lineRule="auto" w:before="7" w:after="0"/>
              <w:ind w:left="591" w:right="303" w:hanging="423"/>
              <w:jc w:val="left"/>
              <w:rPr>
                <w:sz w:val="21"/>
              </w:rPr>
            </w:pPr>
            <w:r>
              <w:rPr>
                <w:spacing w:val="-6"/>
                <w:sz w:val="21"/>
              </w:rPr>
              <w:t>被保险人因意外伤害导致全残的，需提供相关意外伤害的证明和资料；</w:t>
            </w:r>
          </w:p>
          <w:p>
            <w:pPr>
              <w:pStyle w:val="TableParagraph"/>
              <w:numPr>
                <w:ilvl w:val="0"/>
                <w:numId w:val="11"/>
              </w:numPr>
              <w:tabs>
                <w:tab w:pos="592" w:val="left" w:leader="none"/>
              </w:tabs>
              <w:spacing w:line="273" w:lineRule="auto" w:before="7" w:after="0"/>
              <w:ind w:left="591" w:right="308" w:hanging="423"/>
              <w:jc w:val="left"/>
              <w:rPr>
                <w:sz w:val="21"/>
              </w:rPr>
            </w:pPr>
            <w:r>
              <w:rPr>
                <w:spacing w:val="1"/>
                <w:sz w:val="21"/>
              </w:rPr>
              <w:t>所能提供的与确认保险事故的性质、原因等有关的其他资料。</w:t>
            </w:r>
          </w:p>
        </w:tc>
      </w:tr>
      <w:tr>
        <w:trPr>
          <w:trHeight w:val="2823" w:hRule="atLeast"/>
        </w:trPr>
        <w:tc>
          <w:tcPr>
            <w:tcW w:w="790" w:type="dxa"/>
          </w:tcPr>
          <w:p>
            <w:pPr>
              <w:pStyle w:val="TableParagraph"/>
              <w:ind w:left="0"/>
              <w:rPr>
                <w:rFonts w:ascii="Times New Roman"/>
                <w:sz w:val="20"/>
              </w:rPr>
            </w:pPr>
          </w:p>
        </w:tc>
        <w:tc>
          <w:tcPr>
            <w:tcW w:w="1493" w:type="dxa"/>
          </w:tcPr>
          <w:p>
            <w:pPr>
              <w:pStyle w:val="TableParagraph"/>
              <w:spacing w:line="204" w:lineRule="auto" w:before="138"/>
              <w:ind w:left="274" w:right="160"/>
              <w:jc w:val="both"/>
              <w:rPr>
                <w:rFonts w:ascii="Microsoft JhengHei" w:eastAsia="Microsoft JhengHei" w:hint="eastAsia"/>
                <w:b/>
                <w:sz w:val="21"/>
              </w:rPr>
            </w:pPr>
            <w:r>
              <w:rPr>
                <w:rFonts w:ascii="Microsoft JhengHei" w:eastAsia="Microsoft JhengHei" w:hint="eastAsia"/>
                <w:b/>
                <w:sz w:val="21"/>
              </w:rPr>
              <w:t>轻症疾病豁免保险费申请</w:t>
            </w:r>
          </w:p>
        </w:tc>
        <w:tc>
          <w:tcPr>
            <w:tcW w:w="6322" w:type="dxa"/>
          </w:tcPr>
          <w:p>
            <w:pPr>
              <w:pStyle w:val="TableParagraph"/>
              <w:spacing w:line="273" w:lineRule="auto" w:before="150"/>
              <w:ind w:left="168" w:right="264"/>
              <w:rPr>
                <w:sz w:val="21"/>
              </w:rPr>
            </w:pPr>
            <w:r>
              <w:rPr>
                <w:sz w:val="21"/>
              </w:rPr>
              <w:t>申请轻症疾病豁免保险费的，申请人须填写豁免保险费申请书， 并向我们提供下列资料：</w:t>
            </w:r>
          </w:p>
          <w:p>
            <w:pPr>
              <w:pStyle w:val="TableParagraph"/>
              <w:spacing w:before="8"/>
              <w:ind w:left="168"/>
              <w:rPr>
                <w:sz w:val="21"/>
              </w:rPr>
            </w:pPr>
            <w:r>
              <w:rPr>
                <w:sz w:val="21"/>
              </w:rPr>
              <w:t>（1）本合同；</w:t>
            </w:r>
          </w:p>
          <w:p>
            <w:pPr>
              <w:pStyle w:val="TableParagraph"/>
              <w:spacing w:before="38"/>
              <w:ind w:left="168"/>
              <w:rPr>
                <w:sz w:val="21"/>
              </w:rPr>
            </w:pPr>
            <w:r>
              <w:rPr>
                <w:sz w:val="21"/>
              </w:rPr>
              <w:t>（2）申请人的有效身份证件；</w:t>
            </w:r>
          </w:p>
          <w:p>
            <w:pPr>
              <w:pStyle w:val="TableParagraph"/>
              <w:spacing w:line="273" w:lineRule="auto" w:before="37"/>
              <w:ind w:left="692" w:right="305" w:hanging="524"/>
              <w:rPr>
                <w:sz w:val="21"/>
              </w:rPr>
            </w:pPr>
            <w:r>
              <w:rPr>
                <w:sz w:val="21"/>
              </w:rPr>
              <w:t>（3）由医疗机构出具的可证明被保险人所患疾病的诊断证明和诊断所患疾病必需的检查报告；</w:t>
            </w:r>
          </w:p>
          <w:p>
            <w:pPr>
              <w:pStyle w:val="TableParagraph"/>
              <w:spacing w:line="273" w:lineRule="auto" w:before="7"/>
              <w:ind w:left="692" w:right="304" w:hanging="524"/>
              <w:rPr>
                <w:sz w:val="21"/>
              </w:rPr>
            </w:pPr>
            <w:r>
              <w:rPr>
                <w:spacing w:val="-16"/>
                <w:sz w:val="21"/>
              </w:rPr>
              <w:t>（4）</w:t>
            </w:r>
            <w:r>
              <w:rPr>
                <w:spacing w:val="-11"/>
                <w:sz w:val="21"/>
              </w:rPr>
              <w:t>所能提供的与确认保险事故的性质、原因、伤害程度等有关</w:t>
            </w:r>
            <w:r>
              <w:rPr>
                <w:spacing w:val="-9"/>
                <w:sz w:val="21"/>
              </w:rPr>
              <w:t>的其他资料。</w:t>
            </w:r>
          </w:p>
        </w:tc>
      </w:tr>
      <w:tr>
        <w:trPr>
          <w:trHeight w:val="3805" w:hRule="atLeast"/>
        </w:trPr>
        <w:tc>
          <w:tcPr>
            <w:tcW w:w="790" w:type="dxa"/>
          </w:tcPr>
          <w:p>
            <w:pPr>
              <w:pStyle w:val="TableParagraph"/>
              <w:ind w:left="0"/>
              <w:rPr>
                <w:rFonts w:ascii="Times New Roman"/>
                <w:sz w:val="20"/>
              </w:rPr>
            </w:pPr>
          </w:p>
        </w:tc>
        <w:tc>
          <w:tcPr>
            <w:tcW w:w="1493" w:type="dxa"/>
          </w:tcPr>
          <w:p>
            <w:pPr>
              <w:pStyle w:val="TableParagraph"/>
              <w:spacing w:line="201" w:lineRule="auto" w:before="141"/>
              <w:ind w:left="274" w:right="160"/>
              <w:rPr>
                <w:rFonts w:ascii="Microsoft JhengHei" w:eastAsia="Microsoft JhengHei" w:hint="eastAsia"/>
                <w:b/>
                <w:sz w:val="21"/>
              </w:rPr>
            </w:pPr>
            <w:r>
              <w:rPr>
                <w:rFonts w:ascii="Microsoft JhengHei" w:eastAsia="Microsoft JhengHei" w:hint="eastAsia"/>
                <w:b/>
                <w:sz w:val="21"/>
              </w:rPr>
              <w:t>特别注意事项</w:t>
            </w:r>
          </w:p>
        </w:tc>
        <w:tc>
          <w:tcPr>
            <w:tcW w:w="6322" w:type="dxa"/>
          </w:tcPr>
          <w:p>
            <w:pPr>
              <w:pStyle w:val="TableParagraph"/>
              <w:spacing w:line="268" w:lineRule="auto" w:before="150"/>
              <w:ind w:left="168" w:right="305"/>
              <w:jc w:val="both"/>
              <w:rPr>
                <w:sz w:val="21"/>
              </w:rPr>
            </w:pPr>
            <w:r>
              <w:rPr>
                <w:spacing w:val="-6"/>
                <w:sz w:val="21"/>
              </w:rPr>
              <w:t>以上证明和资料不完整的，我们将及时一次性通知受益人补充提</w:t>
            </w:r>
            <w:r>
              <w:rPr>
                <w:spacing w:val="-5"/>
                <w:sz w:val="21"/>
              </w:rPr>
              <w:t>供有关的证明和资料。</w:t>
            </w:r>
          </w:p>
          <w:p>
            <w:pPr>
              <w:pStyle w:val="TableParagraph"/>
              <w:spacing w:line="273" w:lineRule="auto" w:before="132"/>
              <w:ind w:left="168" w:right="305"/>
              <w:jc w:val="both"/>
              <w:rPr>
                <w:sz w:val="21"/>
              </w:rPr>
            </w:pPr>
            <w:r>
              <w:rPr>
                <w:spacing w:val="-6"/>
                <w:sz w:val="21"/>
              </w:rPr>
              <w:t>委托他人领取保险金时，受托人还必须提供本人的有效身份证件</w:t>
            </w:r>
            <w:r>
              <w:rPr>
                <w:spacing w:val="-5"/>
                <w:sz w:val="21"/>
              </w:rPr>
              <w:t>及委托人亲笔签名的授权委托书。</w:t>
            </w:r>
          </w:p>
          <w:p>
            <w:pPr>
              <w:pStyle w:val="TableParagraph"/>
              <w:spacing w:line="273" w:lineRule="auto" w:before="128"/>
              <w:ind w:left="168" w:right="305"/>
              <w:jc w:val="both"/>
              <w:rPr>
                <w:sz w:val="21"/>
              </w:rPr>
            </w:pPr>
            <w:r>
              <w:rPr>
                <w:spacing w:val="-5"/>
                <w:sz w:val="21"/>
              </w:rPr>
              <w:t>保险金作为被保险人遗产时，继承人还必须提供可证明其合法继承权的相关权利文件。</w:t>
            </w:r>
          </w:p>
          <w:p>
            <w:pPr>
              <w:pStyle w:val="TableParagraph"/>
              <w:spacing w:line="273" w:lineRule="auto" w:before="127"/>
              <w:ind w:left="168" w:right="305"/>
              <w:jc w:val="both"/>
              <w:rPr>
                <w:sz w:val="21"/>
              </w:rPr>
            </w:pPr>
            <w:r>
              <w:rPr>
                <w:spacing w:val="2"/>
                <w:sz w:val="21"/>
              </w:rPr>
              <w:t>受益人或者继承人为无民事行为能力人或者限制民事行为能力</w:t>
            </w:r>
            <w:r>
              <w:rPr>
                <w:spacing w:val="-6"/>
                <w:sz w:val="21"/>
              </w:rPr>
              <w:t>人时，由其合法监护人代其申请领取保险金，其合法监护人还必</w:t>
            </w:r>
            <w:r>
              <w:rPr>
                <w:spacing w:val="2"/>
                <w:sz w:val="21"/>
              </w:rPr>
              <w:t>须提供受益人或者继承人为无民事行为能力人或者限制民事行</w:t>
            </w:r>
            <w:r>
              <w:rPr>
                <w:spacing w:val="-5"/>
                <w:sz w:val="21"/>
              </w:rPr>
              <w:t>为能力人的证明和监护人具有合法监护权的证明。</w:t>
            </w:r>
          </w:p>
        </w:tc>
      </w:tr>
      <w:tr>
        <w:trPr>
          <w:trHeight w:val="4839" w:hRule="atLeast"/>
        </w:trPr>
        <w:tc>
          <w:tcPr>
            <w:tcW w:w="790" w:type="dxa"/>
          </w:tcPr>
          <w:p>
            <w:pPr>
              <w:pStyle w:val="TableParagraph"/>
              <w:spacing w:before="85"/>
              <w:ind w:left="200"/>
              <w:rPr>
                <w:rFonts w:ascii="Microsoft JhengHei"/>
                <w:b/>
                <w:sz w:val="21"/>
              </w:rPr>
            </w:pPr>
            <w:r>
              <w:rPr>
                <w:rFonts w:ascii="Microsoft JhengHei"/>
                <w:b/>
                <w:w w:val="105"/>
                <w:sz w:val="21"/>
              </w:rPr>
              <w:t>3.4</w:t>
            </w:r>
          </w:p>
        </w:tc>
        <w:tc>
          <w:tcPr>
            <w:tcW w:w="1493" w:type="dxa"/>
          </w:tcPr>
          <w:p>
            <w:pPr>
              <w:pStyle w:val="TableParagraph"/>
              <w:spacing w:before="85"/>
              <w:ind w:left="274"/>
              <w:rPr>
                <w:rFonts w:ascii="Microsoft JhengHei" w:eastAsia="Microsoft JhengHei" w:hint="eastAsia"/>
                <w:b/>
                <w:sz w:val="21"/>
              </w:rPr>
            </w:pPr>
            <w:r>
              <w:rPr>
                <w:rFonts w:ascii="Microsoft JhengHei" w:eastAsia="Microsoft JhengHei" w:hint="eastAsia"/>
                <w:b/>
                <w:sz w:val="21"/>
              </w:rPr>
              <w:t>保险金给付</w:t>
            </w:r>
          </w:p>
        </w:tc>
        <w:tc>
          <w:tcPr>
            <w:tcW w:w="6322" w:type="dxa"/>
          </w:tcPr>
          <w:p>
            <w:pPr>
              <w:pStyle w:val="TableParagraph"/>
              <w:spacing w:line="268" w:lineRule="auto" w:before="152"/>
              <w:ind w:left="168" w:right="303"/>
              <w:rPr>
                <w:sz w:val="21"/>
              </w:rPr>
            </w:pPr>
            <w:r>
              <w:rPr>
                <w:spacing w:val="-7"/>
                <w:sz w:val="21"/>
              </w:rPr>
              <w:t>我们在收到领取保险金申请书及本合同约定的证明和资料后，将</w:t>
            </w:r>
            <w:r>
              <w:rPr>
                <w:spacing w:val="-19"/>
                <w:sz w:val="21"/>
              </w:rPr>
              <w:t>在 </w:t>
            </w:r>
            <w:r>
              <w:rPr>
                <w:sz w:val="21"/>
              </w:rPr>
              <w:t>5</w:t>
            </w:r>
            <w:r>
              <w:rPr>
                <w:spacing w:val="-8"/>
                <w:sz w:val="21"/>
              </w:rPr>
              <w:t> 日内作出核定；情形复杂的，在 </w:t>
            </w:r>
            <w:r>
              <w:rPr>
                <w:sz w:val="21"/>
              </w:rPr>
              <w:t>30</w:t>
            </w:r>
            <w:r>
              <w:rPr>
                <w:spacing w:val="-7"/>
                <w:sz w:val="21"/>
              </w:rPr>
              <w:t> 日内作出核定。对属于</w:t>
            </w:r>
          </w:p>
          <w:p>
            <w:pPr>
              <w:pStyle w:val="TableParagraph"/>
              <w:spacing w:line="273" w:lineRule="auto" w:before="11"/>
              <w:ind w:left="168" w:right="196"/>
              <w:rPr>
                <w:sz w:val="21"/>
              </w:rPr>
            </w:pPr>
            <w:r>
              <w:rPr>
                <w:spacing w:val="-9"/>
                <w:sz w:val="21"/>
              </w:rPr>
              <w:t>保险责任的，我们在与受益人达成给付保险金的协议后 </w:t>
            </w:r>
            <w:r>
              <w:rPr>
                <w:sz w:val="21"/>
              </w:rPr>
              <w:t>10</w:t>
            </w:r>
            <w:r>
              <w:rPr>
                <w:spacing w:val="-10"/>
                <w:sz w:val="21"/>
              </w:rPr>
              <w:t> 日内， </w:t>
            </w:r>
            <w:r>
              <w:rPr>
                <w:spacing w:val="-7"/>
                <w:sz w:val="21"/>
              </w:rPr>
              <w:t>履行给付保险金义务。</w:t>
            </w:r>
          </w:p>
          <w:p>
            <w:pPr>
              <w:pStyle w:val="TableParagraph"/>
              <w:spacing w:line="273" w:lineRule="auto" w:before="127"/>
              <w:ind w:left="168" w:right="264"/>
              <w:jc w:val="both"/>
              <w:rPr>
                <w:sz w:val="21"/>
              </w:rPr>
            </w:pPr>
            <w:r>
              <w:rPr>
                <w:spacing w:val="-6"/>
                <w:sz w:val="21"/>
              </w:rPr>
              <w:t>我们未及时履行前款规定义务的，对属于保险责任的，除支付保</w:t>
            </w:r>
            <w:r>
              <w:rPr>
                <w:spacing w:val="-9"/>
                <w:sz w:val="21"/>
              </w:rPr>
              <w:t>险金外，应当赔偿受益人因此受到的利息损失。前述“损失”是</w:t>
            </w:r>
            <w:r>
              <w:rPr>
                <w:spacing w:val="-7"/>
                <w:sz w:val="21"/>
              </w:rPr>
              <w:t>指按照中国人民银行公布的同时期的人民币活期存款基准利率、</w:t>
            </w:r>
            <w:r>
              <w:rPr>
                <w:spacing w:val="-6"/>
                <w:sz w:val="21"/>
              </w:rPr>
              <w:t>以复利方式计算的利息损失。</w:t>
            </w:r>
          </w:p>
          <w:p>
            <w:pPr>
              <w:pStyle w:val="TableParagraph"/>
              <w:spacing w:line="273" w:lineRule="auto" w:before="128"/>
              <w:ind w:left="168" w:right="303"/>
              <w:rPr>
                <w:sz w:val="21"/>
              </w:rPr>
            </w:pPr>
            <w:r>
              <w:rPr>
                <w:spacing w:val="-8"/>
                <w:sz w:val="21"/>
              </w:rPr>
              <w:t>对不属于保险责任的，我们自作出核定之日起 </w:t>
            </w:r>
            <w:r>
              <w:rPr>
                <w:sz w:val="21"/>
              </w:rPr>
              <w:t>3</w:t>
            </w:r>
            <w:r>
              <w:rPr>
                <w:spacing w:val="-8"/>
                <w:sz w:val="21"/>
              </w:rPr>
              <w:t> 日内向受益人发</w:t>
            </w:r>
            <w:r>
              <w:rPr>
                <w:spacing w:val="-6"/>
                <w:sz w:val="21"/>
              </w:rPr>
              <w:t>出拒绝给付保险金通知书并说明理由。</w:t>
            </w:r>
          </w:p>
          <w:p>
            <w:pPr>
              <w:pStyle w:val="TableParagraph"/>
              <w:spacing w:line="273" w:lineRule="auto" w:before="127"/>
              <w:ind w:left="168" w:right="196"/>
              <w:rPr>
                <w:sz w:val="21"/>
              </w:rPr>
            </w:pPr>
            <w:r>
              <w:rPr>
                <w:spacing w:val="-4"/>
                <w:sz w:val="21"/>
              </w:rPr>
              <w:t>我们在收到领取保险金申请书及有关证明和资料之日起</w:t>
            </w:r>
            <w:r>
              <w:rPr>
                <w:sz w:val="21"/>
              </w:rPr>
              <w:t>60</w:t>
            </w:r>
            <w:r>
              <w:rPr>
                <w:spacing w:val="-12"/>
                <w:sz w:val="21"/>
              </w:rPr>
              <w:t> 日内， </w:t>
            </w:r>
            <w:r>
              <w:rPr>
                <w:spacing w:val="-11"/>
                <w:sz w:val="21"/>
              </w:rPr>
              <w:t>对给付保险金的数额不能确定的，根据已有证明和资料可以确定</w:t>
            </w:r>
            <w:r>
              <w:rPr>
                <w:spacing w:val="-10"/>
                <w:sz w:val="21"/>
              </w:rPr>
              <w:t>的数额先予支付；我们最终确定给付保险金的数额后，将支付相</w:t>
            </w:r>
          </w:p>
          <w:p>
            <w:pPr>
              <w:pStyle w:val="TableParagraph"/>
              <w:spacing w:line="255" w:lineRule="exact" w:before="7"/>
              <w:ind w:left="168"/>
              <w:rPr>
                <w:sz w:val="21"/>
              </w:rPr>
            </w:pPr>
            <w:r>
              <w:rPr>
                <w:sz w:val="21"/>
              </w:rPr>
              <w:t>应的差额。</w:t>
            </w:r>
          </w:p>
        </w:tc>
      </w:tr>
    </w:tbl>
    <w:p>
      <w:pPr>
        <w:spacing w:after="0" w:line="255" w:lineRule="exact"/>
        <w:rPr>
          <w:sz w:val="21"/>
        </w:rPr>
        <w:sectPr>
          <w:pgSz w:w="11910" w:h="16840"/>
          <w:pgMar w:header="0" w:footer="150" w:top="1060" w:bottom="340" w:left="160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5"/>
        <w:gridCol w:w="6116"/>
      </w:tblGrid>
      <w:tr>
        <w:trPr>
          <w:trHeight w:val="2103" w:hRule="atLeast"/>
        </w:trPr>
        <w:tc>
          <w:tcPr>
            <w:tcW w:w="696" w:type="dxa"/>
          </w:tcPr>
          <w:p>
            <w:pPr>
              <w:pStyle w:val="TableParagraph"/>
              <w:spacing w:line="235" w:lineRule="exact"/>
              <w:ind w:left="105"/>
              <w:rPr>
                <w:rFonts w:ascii="Microsoft JhengHei"/>
                <w:b/>
                <w:sz w:val="21"/>
              </w:rPr>
            </w:pPr>
            <w:r>
              <w:rPr>
                <w:rFonts w:ascii="Microsoft JhengHei"/>
                <w:b/>
                <w:w w:val="105"/>
                <w:sz w:val="21"/>
              </w:rPr>
              <w:t>3.5</w:t>
            </w:r>
          </w:p>
        </w:tc>
        <w:tc>
          <w:tcPr>
            <w:tcW w:w="1495" w:type="dxa"/>
          </w:tcPr>
          <w:p>
            <w:pPr>
              <w:pStyle w:val="TableParagraph"/>
              <w:spacing w:line="206" w:lineRule="exact"/>
              <w:ind w:left="273"/>
              <w:rPr>
                <w:rFonts w:ascii="Microsoft JhengHei" w:eastAsia="Microsoft JhengHei" w:hint="eastAsia"/>
                <w:b/>
                <w:sz w:val="21"/>
              </w:rPr>
            </w:pPr>
            <w:r>
              <w:rPr>
                <w:rFonts w:ascii="Microsoft JhengHei" w:eastAsia="Microsoft JhengHei" w:hint="eastAsia"/>
                <w:b/>
                <w:sz w:val="21"/>
              </w:rPr>
              <w:t>宣告死亡处</w:t>
            </w:r>
          </w:p>
          <w:p>
            <w:pPr>
              <w:pStyle w:val="TableParagraph"/>
              <w:spacing w:line="336" w:lineRule="exact"/>
              <w:ind w:left="273"/>
              <w:rPr>
                <w:rFonts w:ascii="Microsoft JhengHei" w:eastAsia="Microsoft JhengHei" w:hint="eastAsia"/>
                <w:b/>
                <w:sz w:val="21"/>
              </w:rPr>
            </w:pPr>
            <w:r>
              <w:rPr>
                <w:rFonts w:ascii="Microsoft JhengHei" w:eastAsia="Microsoft JhengHei" w:hint="eastAsia"/>
                <w:b/>
                <w:w w:val="100"/>
                <w:sz w:val="21"/>
              </w:rPr>
              <w:t>理</w:t>
            </w:r>
          </w:p>
        </w:tc>
        <w:tc>
          <w:tcPr>
            <w:tcW w:w="6116" w:type="dxa"/>
          </w:tcPr>
          <w:p>
            <w:pPr>
              <w:pStyle w:val="TableParagraph"/>
              <w:spacing w:line="211" w:lineRule="exact"/>
              <w:ind w:left="166"/>
              <w:rPr>
                <w:sz w:val="21"/>
              </w:rPr>
            </w:pPr>
            <w:r>
              <w:rPr>
                <w:sz w:val="21"/>
              </w:rPr>
              <w:t>在本合同有效期内，如果被保险人被法院宣告死亡，我们以法院</w:t>
            </w:r>
          </w:p>
          <w:p>
            <w:pPr>
              <w:pStyle w:val="TableParagraph"/>
              <w:spacing w:line="273" w:lineRule="auto" w:before="32"/>
              <w:ind w:left="166" w:right="100"/>
              <w:jc w:val="both"/>
              <w:rPr>
                <w:sz w:val="21"/>
              </w:rPr>
            </w:pPr>
            <w:r>
              <w:rPr>
                <w:spacing w:val="-6"/>
                <w:sz w:val="21"/>
              </w:rPr>
              <w:t>判决宣告的死亡日期作为被保险人的死亡时间，按本合同的约定</w:t>
            </w:r>
            <w:r>
              <w:rPr>
                <w:spacing w:val="-5"/>
                <w:sz w:val="21"/>
              </w:rPr>
              <w:t>给付身故保险金，本合同终止。</w:t>
            </w:r>
          </w:p>
          <w:p>
            <w:pPr>
              <w:pStyle w:val="TableParagraph"/>
              <w:spacing w:line="273" w:lineRule="auto" w:before="127"/>
              <w:ind w:left="166" w:right="98"/>
              <w:jc w:val="both"/>
              <w:rPr>
                <w:sz w:val="21"/>
              </w:rPr>
            </w:pPr>
            <w:r>
              <w:rPr>
                <w:spacing w:val="-7"/>
                <w:sz w:val="21"/>
              </w:rPr>
              <w:t>如果被保险人在宣告死亡后重新出现或者确知其没有死亡，身故</w:t>
            </w:r>
            <w:r>
              <w:rPr>
                <w:spacing w:val="-6"/>
                <w:sz w:val="21"/>
              </w:rPr>
              <w:t>保险金受益人应在知道后 </w:t>
            </w:r>
            <w:r>
              <w:rPr>
                <w:sz w:val="21"/>
              </w:rPr>
              <w:t>30</w:t>
            </w:r>
            <w:r>
              <w:rPr>
                <w:spacing w:val="-5"/>
                <w:sz w:val="21"/>
              </w:rPr>
              <w:t> 日内向我们退还已领取的身故保险金，在前述情形下，本合同的效力依法确定。</w:t>
            </w:r>
          </w:p>
        </w:tc>
      </w:tr>
      <w:tr>
        <w:trPr>
          <w:trHeight w:val="967" w:hRule="atLeast"/>
        </w:trPr>
        <w:tc>
          <w:tcPr>
            <w:tcW w:w="696" w:type="dxa"/>
          </w:tcPr>
          <w:p>
            <w:pPr>
              <w:pStyle w:val="TableParagraph"/>
              <w:spacing w:before="85"/>
              <w:ind w:left="105"/>
              <w:rPr>
                <w:rFonts w:ascii="Microsoft JhengHei"/>
                <w:b/>
                <w:sz w:val="21"/>
              </w:rPr>
            </w:pPr>
            <w:r>
              <w:rPr>
                <w:rFonts w:ascii="Microsoft JhengHei"/>
                <w:b/>
                <w:w w:val="105"/>
                <w:sz w:val="21"/>
              </w:rPr>
              <w:t>3.6</w:t>
            </w:r>
          </w:p>
        </w:tc>
        <w:tc>
          <w:tcPr>
            <w:tcW w:w="1495" w:type="dxa"/>
          </w:tcPr>
          <w:p>
            <w:pPr>
              <w:pStyle w:val="TableParagraph"/>
              <w:spacing w:before="85"/>
              <w:ind w:left="273"/>
              <w:rPr>
                <w:rFonts w:ascii="Microsoft JhengHei" w:eastAsia="Microsoft JhengHei" w:hint="eastAsia"/>
                <w:b/>
                <w:sz w:val="21"/>
              </w:rPr>
            </w:pPr>
            <w:r>
              <w:rPr>
                <w:rFonts w:ascii="Microsoft JhengHei" w:eastAsia="Microsoft JhengHei" w:hint="eastAsia"/>
                <w:b/>
                <w:sz w:val="21"/>
              </w:rPr>
              <w:t>诉讼时效</w:t>
            </w:r>
          </w:p>
        </w:tc>
        <w:tc>
          <w:tcPr>
            <w:tcW w:w="6116" w:type="dxa"/>
          </w:tcPr>
          <w:p>
            <w:pPr>
              <w:pStyle w:val="TableParagraph"/>
              <w:spacing w:line="268" w:lineRule="auto" w:before="152"/>
              <w:ind w:left="166" w:right="99"/>
              <w:rPr>
                <w:sz w:val="21"/>
              </w:rPr>
            </w:pPr>
            <w:r>
              <w:rPr>
                <w:spacing w:val="-6"/>
                <w:sz w:val="21"/>
              </w:rPr>
              <w:t>权利人向我们申请给付保险金的诉讼时效期间为 </w:t>
            </w:r>
            <w:r>
              <w:rPr>
                <w:sz w:val="21"/>
              </w:rPr>
              <w:t>2</w:t>
            </w:r>
            <w:r>
              <w:rPr>
                <w:spacing w:val="-13"/>
                <w:sz w:val="21"/>
              </w:rPr>
              <w:t> 年，自其知道</w:t>
            </w:r>
            <w:r>
              <w:rPr>
                <w:spacing w:val="-8"/>
                <w:sz w:val="21"/>
              </w:rPr>
              <w:t>或者应当知道保险事故发生之日起计算。</w:t>
            </w:r>
          </w:p>
        </w:tc>
      </w:tr>
      <w:tr>
        <w:trPr>
          <w:trHeight w:val="558" w:hRule="atLeast"/>
        </w:trPr>
        <w:tc>
          <w:tcPr>
            <w:tcW w:w="696"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4.</w:t>
            </w:r>
          </w:p>
        </w:tc>
        <w:tc>
          <w:tcPr>
            <w:tcW w:w="7611" w:type="dxa"/>
            <w:gridSpan w:val="2"/>
            <w:tcBorders>
              <w:bottom w:val="single" w:sz="8" w:space="0" w:color="000000"/>
            </w:tcBorders>
          </w:tcPr>
          <w:p>
            <w:pPr>
              <w:pStyle w:val="TableParagraph"/>
              <w:spacing w:before="82"/>
              <w:ind w:left="273"/>
              <w:rPr>
                <w:rFonts w:ascii="Microsoft JhengHei" w:eastAsia="Microsoft JhengHei" w:hint="eastAsia"/>
                <w:b/>
                <w:sz w:val="24"/>
              </w:rPr>
            </w:pPr>
            <w:r>
              <w:rPr>
                <w:rFonts w:ascii="Microsoft JhengHei" w:eastAsia="Microsoft JhengHei" w:hint="eastAsia"/>
                <w:b/>
                <w:sz w:val="24"/>
              </w:rPr>
              <w:t>保险费的交纳</w:t>
            </w:r>
          </w:p>
        </w:tc>
      </w:tr>
      <w:tr>
        <w:trPr>
          <w:trHeight w:val="1870"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4.1</w:t>
            </w:r>
          </w:p>
        </w:tc>
        <w:tc>
          <w:tcPr>
            <w:tcW w:w="1495" w:type="dxa"/>
            <w:tcBorders>
              <w:top w:val="single" w:sz="8" w:space="0" w:color="000000"/>
            </w:tcBorders>
          </w:tcPr>
          <w:p>
            <w:pPr>
              <w:pStyle w:val="TableParagraph"/>
              <w:spacing w:before="5"/>
              <w:ind w:left="0"/>
              <w:rPr>
                <w:sz w:val="21"/>
              </w:rPr>
            </w:pPr>
          </w:p>
          <w:p>
            <w:pPr>
              <w:pStyle w:val="TableParagraph"/>
              <w:spacing w:line="204" w:lineRule="auto"/>
              <w:ind w:left="273" w:right="163"/>
              <w:rPr>
                <w:rFonts w:ascii="Microsoft JhengHei" w:eastAsia="Microsoft JhengHei" w:hint="eastAsia"/>
                <w:b/>
                <w:sz w:val="21"/>
              </w:rPr>
            </w:pPr>
            <w:r>
              <w:rPr>
                <w:rFonts w:ascii="Microsoft JhengHei" w:eastAsia="Microsoft JhengHei" w:hint="eastAsia"/>
                <w:b/>
                <w:sz w:val="21"/>
              </w:rPr>
              <w:t>保险费的交纳</w:t>
            </w:r>
          </w:p>
        </w:tc>
        <w:tc>
          <w:tcPr>
            <w:tcW w:w="6116" w:type="dxa"/>
            <w:tcBorders>
              <w:top w:val="single" w:sz="8" w:space="0" w:color="000000"/>
            </w:tcBorders>
          </w:tcPr>
          <w:p>
            <w:pPr>
              <w:pStyle w:val="TableParagraph"/>
              <w:spacing w:before="4"/>
              <w:ind w:left="0"/>
              <w:rPr>
                <w:sz w:val="22"/>
              </w:rPr>
            </w:pPr>
          </w:p>
          <w:p>
            <w:pPr>
              <w:pStyle w:val="TableParagraph"/>
              <w:spacing w:line="273" w:lineRule="auto"/>
              <w:ind w:left="166" w:right="65"/>
              <w:rPr>
                <w:sz w:val="21"/>
              </w:rPr>
            </w:pPr>
            <w:r>
              <w:rPr>
                <w:sz w:val="21"/>
              </w:rPr>
              <w:t>本合同的交费方式和交费期间由您在投保时与我们约定，并在保险单上载明。</w:t>
            </w:r>
          </w:p>
          <w:p>
            <w:pPr>
              <w:pStyle w:val="TableParagraph"/>
              <w:spacing w:line="268" w:lineRule="auto" w:before="166"/>
              <w:ind w:left="166" w:right="50"/>
              <w:rPr>
                <w:sz w:val="21"/>
              </w:rPr>
            </w:pPr>
            <w:r>
              <w:rPr>
                <w:sz w:val="21"/>
              </w:rPr>
              <w:t>分期支付保险费的，在交纳首期保险费后，您应当在每个保险费约定交纳日交纳其余各期的保险费。</w:t>
            </w:r>
          </w:p>
        </w:tc>
      </w:tr>
      <w:tr>
        <w:trPr>
          <w:trHeight w:val="2371" w:hRule="atLeast"/>
        </w:trPr>
        <w:tc>
          <w:tcPr>
            <w:tcW w:w="696" w:type="dxa"/>
          </w:tcPr>
          <w:p>
            <w:pPr>
              <w:pStyle w:val="TableParagraph"/>
              <w:spacing w:before="83"/>
              <w:ind w:left="105"/>
              <w:rPr>
                <w:rFonts w:ascii="Microsoft JhengHei"/>
                <w:b/>
                <w:sz w:val="21"/>
              </w:rPr>
            </w:pPr>
            <w:r>
              <w:rPr>
                <w:rFonts w:ascii="Microsoft JhengHei"/>
                <w:b/>
                <w:w w:val="105"/>
                <w:sz w:val="21"/>
              </w:rPr>
              <w:t>4.2</w:t>
            </w:r>
          </w:p>
        </w:tc>
        <w:tc>
          <w:tcPr>
            <w:tcW w:w="1495"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宽限期</w:t>
            </w:r>
          </w:p>
        </w:tc>
        <w:tc>
          <w:tcPr>
            <w:tcW w:w="6116" w:type="dxa"/>
          </w:tcPr>
          <w:p>
            <w:pPr>
              <w:pStyle w:val="TableParagraph"/>
              <w:spacing w:line="273" w:lineRule="auto" w:before="150"/>
              <w:ind w:left="166" w:right="99"/>
              <w:jc w:val="both"/>
              <w:rPr>
                <w:sz w:val="21"/>
              </w:rPr>
            </w:pPr>
            <w:r>
              <w:rPr>
                <w:spacing w:val="-6"/>
                <w:sz w:val="21"/>
              </w:rPr>
              <w:t>分期支付保险费的，在交纳首期保险费后，如果您到期未交纳保</w:t>
            </w:r>
            <w:r>
              <w:rPr>
                <w:spacing w:val="-5"/>
                <w:sz w:val="21"/>
              </w:rPr>
              <w:t>险费，自保险费约定交纳日的次日零时起 </w:t>
            </w:r>
            <w:r>
              <w:rPr>
                <w:sz w:val="21"/>
              </w:rPr>
              <w:t>60</w:t>
            </w:r>
            <w:r>
              <w:rPr>
                <w:spacing w:val="-4"/>
                <w:sz w:val="21"/>
              </w:rPr>
              <w:t> 日为保险费交纳的</w:t>
            </w:r>
            <w:r>
              <w:rPr>
                <w:spacing w:val="-7"/>
                <w:sz w:val="21"/>
              </w:rPr>
              <w:t>宽限期。宽限期内发生的保险事故，我们仍承担保险责任，但在</w:t>
            </w:r>
            <w:r>
              <w:rPr>
                <w:spacing w:val="-6"/>
                <w:sz w:val="21"/>
              </w:rPr>
              <w:t>给付保险金时会扣除您欠交的保险费。</w:t>
            </w:r>
          </w:p>
          <w:p>
            <w:pPr>
              <w:pStyle w:val="TableParagraph"/>
              <w:spacing w:line="268" w:lineRule="auto" w:before="166"/>
              <w:ind w:left="166" w:right="100"/>
              <w:jc w:val="both"/>
              <w:rPr>
                <w:sz w:val="21"/>
              </w:rPr>
            </w:pPr>
            <w:r>
              <w:rPr>
                <w:spacing w:val="-6"/>
                <w:sz w:val="21"/>
              </w:rPr>
              <w:t>如果您在宽限期届满时仍未交纳保险费，则本合同自宽限期满日</w:t>
            </w:r>
            <w:r>
              <w:rPr>
                <w:spacing w:val="-23"/>
                <w:sz w:val="21"/>
              </w:rPr>
              <w:t>的 </w:t>
            </w:r>
            <w:r>
              <w:rPr>
                <w:sz w:val="21"/>
              </w:rPr>
              <w:t>24</w:t>
            </w:r>
            <w:r>
              <w:rPr>
                <w:spacing w:val="-8"/>
                <w:sz w:val="21"/>
              </w:rPr>
              <w:t> 时起效力中止，但本合同另有约定的除外。</w:t>
            </w:r>
          </w:p>
        </w:tc>
      </w:tr>
      <w:tr>
        <w:trPr>
          <w:trHeight w:val="558" w:hRule="atLeast"/>
        </w:trPr>
        <w:tc>
          <w:tcPr>
            <w:tcW w:w="696" w:type="dxa"/>
            <w:tcBorders>
              <w:bottom w:val="single" w:sz="4" w:space="0" w:color="000000"/>
            </w:tcBorders>
          </w:tcPr>
          <w:p>
            <w:pPr>
              <w:pStyle w:val="TableParagraph"/>
              <w:spacing w:before="82"/>
              <w:ind w:left="105"/>
              <w:rPr>
                <w:rFonts w:ascii="Microsoft JhengHei"/>
                <w:b/>
                <w:sz w:val="24"/>
              </w:rPr>
            </w:pPr>
            <w:r>
              <w:rPr>
                <w:rFonts w:ascii="Microsoft JhengHei"/>
                <w:b/>
                <w:w w:val="120"/>
                <w:sz w:val="24"/>
              </w:rPr>
              <w:t>5.</w:t>
            </w:r>
          </w:p>
        </w:tc>
        <w:tc>
          <w:tcPr>
            <w:tcW w:w="7611" w:type="dxa"/>
            <w:gridSpan w:val="2"/>
            <w:tcBorders>
              <w:bottom w:val="single" w:sz="4" w:space="0" w:color="000000"/>
            </w:tcBorders>
          </w:tcPr>
          <w:p>
            <w:pPr>
              <w:pStyle w:val="TableParagraph"/>
              <w:spacing w:before="82"/>
              <w:ind w:left="273"/>
              <w:rPr>
                <w:rFonts w:ascii="Microsoft JhengHei" w:eastAsia="Microsoft JhengHei" w:hint="eastAsia"/>
                <w:b/>
                <w:sz w:val="24"/>
              </w:rPr>
            </w:pPr>
            <w:r>
              <w:rPr>
                <w:rFonts w:ascii="Microsoft JhengHei" w:eastAsia="Microsoft JhengHei" w:hint="eastAsia"/>
                <w:b/>
                <w:sz w:val="24"/>
              </w:rPr>
              <w:t>现金价值权益</w:t>
            </w:r>
          </w:p>
        </w:tc>
      </w:tr>
      <w:tr>
        <w:trPr>
          <w:trHeight w:val="1102" w:hRule="atLeast"/>
        </w:trPr>
        <w:tc>
          <w:tcPr>
            <w:tcW w:w="696" w:type="dxa"/>
            <w:tcBorders>
              <w:top w:val="single" w:sz="4" w:space="0" w:color="000000"/>
            </w:tcBorders>
          </w:tcPr>
          <w:p>
            <w:pPr>
              <w:pStyle w:val="TableParagraph"/>
              <w:spacing w:before="12"/>
              <w:ind w:left="0"/>
              <w:rPr>
                <w:sz w:val="17"/>
              </w:rPr>
            </w:pPr>
          </w:p>
          <w:p>
            <w:pPr>
              <w:pStyle w:val="TableParagraph"/>
              <w:ind w:left="105"/>
              <w:rPr>
                <w:rFonts w:ascii="Microsoft JhengHei"/>
                <w:b/>
                <w:sz w:val="21"/>
              </w:rPr>
            </w:pPr>
            <w:r>
              <w:rPr>
                <w:rFonts w:ascii="Microsoft JhengHei"/>
                <w:b/>
                <w:w w:val="105"/>
                <w:sz w:val="21"/>
              </w:rPr>
              <w:t>5.1</w:t>
            </w:r>
          </w:p>
        </w:tc>
        <w:tc>
          <w:tcPr>
            <w:tcW w:w="1495" w:type="dxa"/>
            <w:tcBorders>
              <w:top w:val="single" w:sz="4" w:space="0" w:color="000000"/>
            </w:tcBorders>
          </w:tcPr>
          <w:p>
            <w:pPr>
              <w:pStyle w:val="TableParagraph"/>
              <w:spacing w:before="12"/>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现金价值</w:t>
            </w:r>
          </w:p>
        </w:tc>
        <w:tc>
          <w:tcPr>
            <w:tcW w:w="6116" w:type="dxa"/>
            <w:tcBorders>
              <w:top w:val="single" w:sz="4" w:space="0" w:color="000000"/>
            </w:tcBorders>
          </w:tcPr>
          <w:p>
            <w:pPr>
              <w:pStyle w:val="TableParagraph"/>
              <w:ind w:left="0"/>
              <w:rPr>
                <w:sz w:val="23"/>
              </w:rPr>
            </w:pPr>
          </w:p>
          <w:p>
            <w:pPr>
              <w:pStyle w:val="TableParagraph"/>
              <w:spacing w:line="273" w:lineRule="auto"/>
              <w:ind w:left="166" w:right="50"/>
              <w:rPr>
                <w:sz w:val="21"/>
              </w:rPr>
            </w:pPr>
            <w:r>
              <w:rPr>
                <w:sz w:val="21"/>
              </w:rPr>
              <w:t>本合同保单年度末的现金价值在保险单上载明，保单年度内的现金价值您可以向我们咨询。</w:t>
            </w:r>
          </w:p>
        </w:tc>
      </w:tr>
      <w:tr>
        <w:trPr>
          <w:trHeight w:val="3620" w:hRule="atLeast"/>
        </w:trPr>
        <w:tc>
          <w:tcPr>
            <w:tcW w:w="696" w:type="dxa"/>
          </w:tcPr>
          <w:p>
            <w:pPr>
              <w:pStyle w:val="TableParagraph"/>
              <w:spacing w:before="83"/>
              <w:ind w:left="105"/>
              <w:rPr>
                <w:rFonts w:ascii="Microsoft JhengHei"/>
                <w:b/>
                <w:sz w:val="21"/>
              </w:rPr>
            </w:pPr>
            <w:r>
              <w:rPr>
                <w:rFonts w:ascii="Microsoft JhengHei"/>
                <w:b/>
                <w:w w:val="105"/>
                <w:sz w:val="21"/>
              </w:rPr>
              <w:t>5.2</w:t>
            </w:r>
          </w:p>
        </w:tc>
        <w:tc>
          <w:tcPr>
            <w:tcW w:w="1495"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保单贷款</w:t>
            </w:r>
          </w:p>
        </w:tc>
        <w:tc>
          <w:tcPr>
            <w:tcW w:w="6116" w:type="dxa"/>
          </w:tcPr>
          <w:p>
            <w:pPr>
              <w:pStyle w:val="TableParagraph"/>
              <w:spacing w:line="273" w:lineRule="auto" w:before="150"/>
              <w:ind w:left="166" w:right="100"/>
              <w:jc w:val="both"/>
              <w:rPr>
                <w:sz w:val="21"/>
              </w:rPr>
            </w:pPr>
            <w:r>
              <w:rPr>
                <w:spacing w:val="-6"/>
                <w:sz w:val="21"/>
              </w:rPr>
              <w:t>在本合同有效期内，您可以申请并经我们审核同意后办理保单贷</w:t>
            </w:r>
            <w:r>
              <w:rPr>
                <w:spacing w:val="-8"/>
                <w:sz w:val="21"/>
              </w:rPr>
              <w:t>款。本合同的最高贷款金额不得超过您申请时本合同现金价值扣</w:t>
            </w:r>
            <w:r>
              <w:rPr>
                <w:spacing w:val="-7"/>
                <w:sz w:val="21"/>
              </w:rPr>
              <w:t>除各项欠款及应付利息后余额的 </w:t>
            </w:r>
            <w:r>
              <w:rPr>
                <w:sz w:val="21"/>
              </w:rPr>
              <w:t>80%，</w:t>
            </w:r>
            <w:r>
              <w:rPr>
                <w:spacing w:val="-4"/>
                <w:sz w:val="21"/>
              </w:rPr>
              <w:t>且具体的贷款金额以您与</w:t>
            </w:r>
            <w:r>
              <w:rPr>
                <w:spacing w:val="2"/>
                <w:sz w:val="21"/>
              </w:rPr>
              <w:t>我们签订的贷款协议中的约定为准。每次贷款期限最长不超过</w:t>
            </w:r>
          </w:p>
          <w:p>
            <w:pPr>
              <w:pStyle w:val="TableParagraph"/>
              <w:spacing w:line="273" w:lineRule="auto" w:before="8"/>
              <w:ind w:left="166" w:right="-15"/>
              <w:rPr>
                <w:sz w:val="21"/>
              </w:rPr>
            </w:pPr>
            <w:r>
              <w:rPr>
                <w:sz w:val="21"/>
              </w:rPr>
              <w:t>180</w:t>
            </w:r>
            <w:r>
              <w:rPr>
                <w:spacing w:val="-12"/>
                <w:sz w:val="21"/>
              </w:rPr>
              <w:t> 日，贷款利率按您与我们签订的贷款协议中约定的利率执行。</w:t>
            </w:r>
            <w:r>
              <w:rPr>
                <w:spacing w:val="2"/>
                <w:sz w:val="21"/>
              </w:rPr>
              <w:t>贷款本息在贷款到期时一并归还。若您到期未足额偿还贷款本</w:t>
            </w:r>
            <w:r>
              <w:rPr>
                <w:spacing w:val="-5"/>
                <w:sz w:val="21"/>
              </w:rPr>
              <w:t>息，则您所欠的贷款本金及利息将作为新的贷款本金进行计息。</w:t>
            </w:r>
          </w:p>
          <w:p>
            <w:pPr>
              <w:pStyle w:val="TableParagraph"/>
              <w:spacing w:line="268" w:lineRule="auto" w:before="166"/>
              <w:ind w:left="166" w:right="101"/>
              <w:rPr>
                <w:sz w:val="21"/>
              </w:rPr>
            </w:pPr>
            <w:r>
              <w:rPr>
                <w:sz w:val="21"/>
              </w:rPr>
              <w:t>自贷款本金及利息加上其他各项欠款及应付利息达到本合同现金价值的当日 24 时起，本合同效力中止。</w:t>
            </w:r>
          </w:p>
          <w:p>
            <w:pPr>
              <w:pStyle w:val="TableParagraph"/>
              <w:spacing w:before="12"/>
              <w:ind w:left="166"/>
              <w:rPr>
                <w:sz w:val="21"/>
              </w:rPr>
            </w:pPr>
            <w:r>
              <w:rPr>
                <w:sz w:val="21"/>
              </w:rPr>
              <w:t>经我们审核不同意您的保单贷款申请的，我们不向您提供贷款。</w:t>
            </w:r>
          </w:p>
        </w:tc>
      </w:tr>
      <w:tr>
        <w:trPr>
          <w:trHeight w:val="558" w:hRule="atLeast"/>
        </w:trPr>
        <w:tc>
          <w:tcPr>
            <w:tcW w:w="696" w:type="dxa"/>
            <w:tcBorders>
              <w:bottom w:val="single" w:sz="8" w:space="0" w:color="000000"/>
            </w:tcBorders>
          </w:tcPr>
          <w:p>
            <w:pPr>
              <w:pStyle w:val="TableParagraph"/>
              <w:spacing w:before="82"/>
              <w:ind w:left="105"/>
              <w:rPr>
                <w:rFonts w:ascii="Microsoft JhengHei"/>
                <w:b/>
                <w:sz w:val="24"/>
              </w:rPr>
            </w:pPr>
            <w:r>
              <w:rPr>
                <w:rFonts w:ascii="Microsoft JhengHei"/>
                <w:b/>
                <w:w w:val="83"/>
                <w:sz w:val="24"/>
              </w:rPr>
              <w:t>6</w:t>
            </w:r>
            <w:r>
              <w:rPr>
                <w:rFonts w:ascii="Microsoft JhengHei"/>
                <w:b/>
                <w:w w:val="196"/>
                <w:sz w:val="24"/>
              </w:rPr>
              <w:t>.</w:t>
            </w:r>
          </w:p>
        </w:tc>
        <w:tc>
          <w:tcPr>
            <w:tcW w:w="7611" w:type="dxa"/>
            <w:gridSpan w:val="2"/>
            <w:tcBorders>
              <w:bottom w:val="single" w:sz="8" w:space="0" w:color="000000"/>
            </w:tcBorders>
          </w:tcPr>
          <w:p>
            <w:pPr>
              <w:pStyle w:val="TableParagraph"/>
              <w:spacing w:before="82"/>
              <w:ind w:left="273"/>
              <w:rPr>
                <w:rFonts w:ascii="Microsoft JhengHei" w:eastAsia="Microsoft JhengHei" w:hint="eastAsia"/>
                <w:b/>
                <w:sz w:val="24"/>
              </w:rPr>
            </w:pPr>
            <w:r>
              <w:rPr>
                <w:rFonts w:ascii="Microsoft JhengHei" w:eastAsia="Microsoft JhengHei" w:hint="eastAsia"/>
                <w:b/>
                <w:sz w:val="24"/>
              </w:rPr>
              <w:t>合同效力的中止及恢复</w:t>
            </w:r>
          </w:p>
        </w:tc>
      </w:tr>
      <w:tr>
        <w:trPr>
          <w:trHeight w:val="780"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6.1</w:t>
            </w:r>
          </w:p>
        </w:tc>
        <w:tc>
          <w:tcPr>
            <w:tcW w:w="1495" w:type="dxa"/>
            <w:tcBorders>
              <w:top w:val="single" w:sz="8" w:space="0" w:color="000000"/>
            </w:tcBorders>
          </w:tcPr>
          <w:p>
            <w:pPr>
              <w:pStyle w:val="TableParagraph"/>
              <w:spacing w:before="2"/>
              <w:ind w:left="0"/>
              <w:rPr>
                <w:sz w:val="17"/>
              </w:rPr>
            </w:pPr>
          </w:p>
          <w:p>
            <w:pPr>
              <w:pStyle w:val="TableParagraph"/>
              <w:ind w:left="273"/>
              <w:rPr>
                <w:rFonts w:ascii="Microsoft JhengHei" w:eastAsia="Microsoft JhengHei" w:hint="eastAsia"/>
                <w:b/>
                <w:sz w:val="21"/>
              </w:rPr>
            </w:pPr>
            <w:r>
              <w:rPr>
                <w:rFonts w:ascii="Microsoft JhengHei" w:eastAsia="Microsoft JhengHei" w:hint="eastAsia"/>
                <w:b/>
                <w:sz w:val="21"/>
              </w:rPr>
              <w:t>效力中止</w:t>
            </w:r>
          </w:p>
        </w:tc>
        <w:tc>
          <w:tcPr>
            <w:tcW w:w="6116" w:type="dxa"/>
            <w:tcBorders>
              <w:top w:val="single" w:sz="8" w:space="0" w:color="000000"/>
            </w:tcBorders>
          </w:tcPr>
          <w:p>
            <w:pPr>
              <w:pStyle w:val="TableParagraph"/>
              <w:spacing w:before="3"/>
              <w:ind w:left="0"/>
              <w:rPr>
                <w:sz w:val="22"/>
              </w:rPr>
            </w:pPr>
          </w:p>
          <w:p>
            <w:pPr>
              <w:pStyle w:val="TableParagraph"/>
              <w:spacing w:before="1"/>
              <w:ind w:left="166"/>
              <w:rPr>
                <w:sz w:val="21"/>
              </w:rPr>
            </w:pPr>
            <w:r>
              <w:rPr>
                <w:sz w:val="21"/>
              </w:rPr>
              <w:t>在本合同效力中止期间，我们不承担保险责任。</w:t>
            </w:r>
          </w:p>
        </w:tc>
      </w:tr>
      <w:tr>
        <w:trPr>
          <w:trHeight w:val="425" w:hRule="atLeast"/>
        </w:trPr>
        <w:tc>
          <w:tcPr>
            <w:tcW w:w="696" w:type="dxa"/>
          </w:tcPr>
          <w:p>
            <w:pPr>
              <w:pStyle w:val="TableParagraph"/>
              <w:spacing w:line="322" w:lineRule="exact" w:before="83"/>
              <w:ind w:left="105"/>
              <w:rPr>
                <w:rFonts w:ascii="Microsoft JhengHei"/>
                <w:b/>
                <w:sz w:val="21"/>
              </w:rPr>
            </w:pPr>
            <w:r>
              <w:rPr>
                <w:rFonts w:ascii="Microsoft JhengHei"/>
                <w:b/>
                <w:w w:val="105"/>
                <w:sz w:val="21"/>
              </w:rPr>
              <w:t>6.2</w:t>
            </w:r>
          </w:p>
        </w:tc>
        <w:tc>
          <w:tcPr>
            <w:tcW w:w="1495" w:type="dxa"/>
          </w:tcPr>
          <w:p>
            <w:pPr>
              <w:pStyle w:val="TableParagraph"/>
              <w:spacing w:line="322" w:lineRule="exact" w:before="83"/>
              <w:ind w:left="273"/>
              <w:rPr>
                <w:rFonts w:ascii="Microsoft JhengHei" w:eastAsia="Microsoft JhengHei" w:hint="eastAsia"/>
                <w:b/>
                <w:sz w:val="21"/>
              </w:rPr>
            </w:pPr>
            <w:r>
              <w:rPr>
                <w:rFonts w:ascii="Microsoft JhengHei" w:eastAsia="Microsoft JhengHei" w:hint="eastAsia"/>
                <w:b/>
                <w:sz w:val="21"/>
              </w:rPr>
              <w:t>效力恢复</w:t>
            </w:r>
          </w:p>
        </w:tc>
        <w:tc>
          <w:tcPr>
            <w:tcW w:w="6116" w:type="dxa"/>
          </w:tcPr>
          <w:p>
            <w:pPr>
              <w:pStyle w:val="TableParagraph"/>
              <w:spacing w:line="255" w:lineRule="exact" w:before="150"/>
              <w:ind w:left="166"/>
              <w:rPr>
                <w:sz w:val="21"/>
              </w:rPr>
            </w:pPr>
            <w:r>
              <w:rPr>
                <w:spacing w:val="-6"/>
                <w:sz w:val="21"/>
              </w:rPr>
              <w:t>本合同效力中止之日起 </w:t>
            </w:r>
            <w:r>
              <w:rPr>
                <w:sz w:val="21"/>
              </w:rPr>
              <w:t>2</w:t>
            </w:r>
            <w:r>
              <w:rPr>
                <w:spacing w:val="-10"/>
                <w:sz w:val="21"/>
              </w:rPr>
              <w:t> 年内，您可以申请恢复合同效力。经您</w:t>
            </w:r>
          </w:p>
        </w:tc>
      </w:tr>
    </w:tbl>
    <w:p>
      <w:pPr>
        <w:spacing w:after="0" w:line="255" w:lineRule="exact"/>
        <w:rPr>
          <w:sz w:val="21"/>
        </w:rPr>
        <w:sectPr>
          <w:pgSz w:w="11910" w:h="16840"/>
          <w:pgMar w:header="0" w:footer="150" w:top="90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5"/>
        <w:gridCol w:w="6115"/>
      </w:tblGrid>
      <w:tr>
        <w:trPr>
          <w:trHeight w:val="1821" w:hRule="atLeast"/>
        </w:trPr>
        <w:tc>
          <w:tcPr>
            <w:tcW w:w="696" w:type="dxa"/>
          </w:tcPr>
          <w:p>
            <w:pPr>
              <w:pStyle w:val="TableParagraph"/>
              <w:ind w:left="0"/>
              <w:rPr>
                <w:rFonts w:ascii="Times New Roman"/>
                <w:sz w:val="20"/>
              </w:rPr>
            </w:pPr>
          </w:p>
        </w:tc>
        <w:tc>
          <w:tcPr>
            <w:tcW w:w="1495" w:type="dxa"/>
          </w:tcPr>
          <w:p>
            <w:pPr>
              <w:pStyle w:val="TableParagraph"/>
              <w:ind w:left="0"/>
              <w:rPr>
                <w:rFonts w:ascii="Times New Roman"/>
                <w:sz w:val="20"/>
              </w:rPr>
            </w:pPr>
          </w:p>
        </w:tc>
        <w:tc>
          <w:tcPr>
            <w:tcW w:w="6115" w:type="dxa"/>
          </w:tcPr>
          <w:p>
            <w:pPr>
              <w:pStyle w:val="TableParagraph"/>
              <w:spacing w:line="211" w:lineRule="exact"/>
              <w:ind w:left="166"/>
              <w:rPr>
                <w:sz w:val="21"/>
              </w:rPr>
            </w:pPr>
            <w:r>
              <w:rPr>
                <w:sz w:val="21"/>
              </w:rPr>
              <w:t>与我们协商并达成协议，自您补交保险费及其他未还款项之日</w:t>
            </w:r>
          </w:p>
          <w:p>
            <w:pPr>
              <w:pStyle w:val="TableParagraph"/>
              <w:spacing w:before="37"/>
              <w:ind w:left="166"/>
              <w:rPr>
                <w:sz w:val="21"/>
              </w:rPr>
            </w:pPr>
            <w:r>
              <w:rPr>
                <w:sz w:val="21"/>
              </w:rPr>
              <w:t>起，本合同效力恢复。</w:t>
            </w:r>
          </w:p>
          <w:p>
            <w:pPr>
              <w:pStyle w:val="TableParagraph"/>
              <w:spacing w:before="12"/>
              <w:ind w:left="0"/>
              <w:rPr>
                <w:sz w:val="14"/>
              </w:rPr>
            </w:pPr>
          </w:p>
          <w:p>
            <w:pPr>
              <w:pStyle w:val="TableParagraph"/>
              <w:spacing w:line="271" w:lineRule="auto"/>
              <w:ind w:left="166" w:right="99"/>
              <w:jc w:val="both"/>
              <w:rPr>
                <w:sz w:val="21"/>
              </w:rPr>
            </w:pPr>
            <w:r>
              <w:rPr>
                <w:spacing w:val="-5"/>
                <w:sz w:val="21"/>
              </w:rPr>
              <w:t>自本合同效力中止之日起满 </w:t>
            </w:r>
            <w:r>
              <w:rPr>
                <w:sz w:val="21"/>
              </w:rPr>
              <w:t>2</w:t>
            </w:r>
            <w:r>
              <w:rPr>
                <w:spacing w:val="-11"/>
                <w:sz w:val="21"/>
              </w:rPr>
              <w:t> 年您和我们未达成协议的，我们有</w:t>
            </w:r>
            <w:r>
              <w:rPr>
                <w:spacing w:val="-10"/>
                <w:sz w:val="21"/>
              </w:rPr>
              <w:t>权解除本合同，本合同自解除之日起终止。我们解除合同的，我</w:t>
            </w:r>
            <w:r>
              <w:rPr>
                <w:spacing w:val="-7"/>
                <w:sz w:val="21"/>
              </w:rPr>
              <w:t>们向您退还本合同效力中止时的现金价值。</w:t>
            </w:r>
          </w:p>
        </w:tc>
      </w:tr>
      <w:tr>
        <w:trPr>
          <w:trHeight w:val="481" w:hRule="atLeast"/>
        </w:trPr>
        <w:tc>
          <w:tcPr>
            <w:tcW w:w="696" w:type="dxa"/>
            <w:tcBorders>
              <w:bottom w:val="single" w:sz="8" w:space="0" w:color="000000"/>
            </w:tcBorders>
          </w:tcPr>
          <w:p>
            <w:pPr>
              <w:pStyle w:val="TableParagraph"/>
              <w:spacing w:line="403" w:lineRule="exact" w:before="58"/>
              <w:ind w:left="105"/>
              <w:rPr>
                <w:rFonts w:ascii="Microsoft JhengHei"/>
                <w:b/>
                <w:sz w:val="24"/>
              </w:rPr>
            </w:pPr>
            <w:r>
              <w:rPr>
                <w:rFonts w:ascii="Microsoft JhengHei"/>
                <w:b/>
                <w:w w:val="120"/>
                <w:sz w:val="24"/>
              </w:rPr>
              <w:t>7.</w:t>
            </w:r>
          </w:p>
        </w:tc>
        <w:tc>
          <w:tcPr>
            <w:tcW w:w="1495" w:type="dxa"/>
            <w:tcBorders>
              <w:bottom w:val="single" w:sz="8" w:space="0" w:color="000000"/>
            </w:tcBorders>
          </w:tcPr>
          <w:p>
            <w:pPr>
              <w:pStyle w:val="TableParagraph"/>
              <w:spacing w:line="403" w:lineRule="exact" w:before="58"/>
              <w:ind w:left="273"/>
              <w:rPr>
                <w:rFonts w:ascii="Microsoft JhengHei" w:eastAsia="Microsoft JhengHei" w:hint="eastAsia"/>
                <w:b/>
                <w:sz w:val="24"/>
              </w:rPr>
            </w:pPr>
            <w:r>
              <w:rPr>
                <w:rFonts w:ascii="Microsoft JhengHei" w:eastAsia="Microsoft JhengHei" w:hint="eastAsia"/>
                <w:b/>
                <w:sz w:val="24"/>
              </w:rPr>
              <w:t>合同解除</w:t>
            </w:r>
          </w:p>
        </w:tc>
        <w:tc>
          <w:tcPr>
            <w:tcW w:w="6115" w:type="dxa"/>
            <w:tcBorders>
              <w:bottom w:val="single" w:sz="8" w:space="0" w:color="000000"/>
            </w:tcBorders>
          </w:tcPr>
          <w:p>
            <w:pPr>
              <w:pStyle w:val="TableParagraph"/>
              <w:ind w:left="0"/>
              <w:rPr>
                <w:rFonts w:ascii="Times New Roman"/>
                <w:sz w:val="20"/>
              </w:rPr>
            </w:pPr>
          </w:p>
        </w:tc>
      </w:tr>
      <w:tr>
        <w:trPr>
          <w:trHeight w:val="2960" w:hRule="atLeast"/>
        </w:trPr>
        <w:tc>
          <w:tcPr>
            <w:tcW w:w="696"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7.1</w:t>
            </w:r>
          </w:p>
        </w:tc>
        <w:tc>
          <w:tcPr>
            <w:tcW w:w="1495" w:type="dxa"/>
            <w:tcBorders>
              <w:top w:val="single" w:sz="8" w:space="0" w:color="000000"/>
            </w:tcBorders>
          </w:tcPr>
          <w:p>
            <w:pPr>
              <w:pStyle w:val="TableParagraph"/>
              <w:spacing w:before="9"/>
              <w:ind w:left="0"/>
              <w:rPr>
                <w:sz w:val="21"/>
              </w:rPr>
            </w:pPr>
          </w:p>
          <w:p>
            <w:pPr>
              <w:pStyle w:val="TableParagraph"/>
              <w:spacing w:line="204" w:lineRule="auto" w:before="1"/>
              <w:ind w:left="273" w:right="163"/>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6115" w:type="dxa"/>
            <w:tcBorders>
              <w:top w:val="single" w:sz="8" w:space="0" w:color="000000"/>
            </w:tcBorders>
          </w:tcPr>
          <w:p>
            <w:pPr>
              <w:pStyle w:val="TableParagraph"/>
              <w:spacing w:before="8"/>
              <w:ind w:left="0"/>
              <w:rPr>
                <w:sz w:val="22"/>
              </w:rPr>
            </w:pPr>
          </w:p>
          <w:p>
            <w:pPr>
              <w:pStyle w:val="TableParagraph"/>
              <w:spacing w:line="268" w:lineRule="auto" w:before="1"/>
              <w:ind w:left="166" w:right="100"/>
              <w:rPr>
                <w:sz w:val="21"/>
              </w:rPr>
            </w:pPr>
            <w:r>
              <w:rPr>
                <w:sz w:val="21"/>
              </w:rPr>
              <w:t>如果被保险人未发生保险事故，且您在犹豫期后要求解除本合同，请填写解除合同申请书并向我们提供下列资料的原件：</w:t>
            </w:r>
          </w:p>
          <w:p>
            <w:pPr>
              <w:pStyle w:val="TableParagraph"/>
              <w:numPr>
                <w:ilvl w:val="0"/>
                <w:numId w:val="12"/>
              </w:numPr>
              <w:tabs>
                <w:tab w:pos="590" w:val="left" w:leader="none"/>
              </w:tabs>
              <w:spacing w:line="240" w:lineRule="auto" w:before="12" w:after="0"/>
              <w:ind w:left="589" w:right="0" w:hanging="423"/>
              <w:jc w:val="left"/>
              <w:rPr>
                <w:sz w:val="21"/>
              </w:rPr>
            </w:pPr>
            <w:r>
              <w:rPr>
                <w:sz w:val="21"/>
              </w:rPr>
              <w:t>本合同；</w:t>
            </w:r>
          </w:p>
          <w:p>
            <w:pPr>
              <w:pStyle w:val="TableParagraph"/>
              <w:numPr>
                <w:ilvl w:val="0"/>
                <w:numId w:val="12"/>
              </w:numPr>
              <w:tabs>
                <w:tab w:pos="590" w:val="left" w:leader="none"/>
              </w:tabs>
              <w:spacing w:line="240" w:lineRule="auto" w:before="36" w:after="0"/>
              <w:ind w:left="589" w:right="0" w:hanging="423"/>
              <w:jc w:val="left"/>
              <w:rPr>
                <w:sz w:val="21"/>
              </w:rPr>
            </w:pPr>
            <w:r>
              <w:rPr>
                <w:spacing w:val="-1"/>
                <w:sz w:val="21"/>
              </w:rPr>
              <w:t>您的有效身份证件。</w:t>
            </w:r>
          </w:p>
          <w:p>
            <w:pPr>
              <w:pStyle w:val="TableParagraph"/>
              <w:spacing w:before="11"/>
              <w:ind w:left="0"/>
              <w:rPr>
                <w:sz w:val="14"/>
              </w:rPr>
            </w:pPr>
          </w:p>
          <w:p>
            <w:pPr>
              <w:pStyle w:val="TableParagraph"/>
              <w:spacing w:line="273" w:lineRule="auto"/>
              <w:ind w:left="166" w:right="51"/>
              <w:rPr>
                <w:sz w:val="21"/>
              </w:rPr>
            </w:pPr>
            <w:r>
              <w:rPr>
                <w:sz w:val="21"/>
              </w:rPr>
              <w:t>自我们收到解除合同申请书时起，本合同终止。我们自收到解除合同申请书之日起 30 日内向您退还本合同终止时的现金价值。</w:t>
            </w:r>
          </w:p>
          <w:p>
            <w:pPr>
              <w:pStyle w:val="TableParagraph"/>
              <w:spacing w:before="166"/>
              <w:ind w:left="166"/>
              <w:rPr>
                <w:sz w:val="21"/>
              </w:rPr>
            </w:pPr>
            <w:r>
              <w:rPr>
                <w:sz w:val="21"/>
              </w:rPr>
              <w:t>您在犹豫期后解除合同会遭受一定损失。</w:t>
            </w:r>
          </w:p>
        </w:tc>
      </w:tr>
      <w:tr>
        <w:trPr>
          <w:trHeight w:val="481" w:hRule="atLeast"/>
        </w:trPr>
        <w:tc>
          <w:tcPr>
            <w:tcW w:w="696" w:type="dxa"/>
            <w:tcBorders>
              <w:bottom w:val="single" w:sz="8" w:space="0" w:color="000000"/>
            </w:tcBorders>
          </w:tcPr>
          <w:p>
            <w:pPr>
              <w:pStyle w:val="TableParagraph"/>
              <w:spacing w:line="408" w:lineRule="exact" w:before="53"/>
              <w:ind w:left="105"/>
              <w:rPr>
                <w:rFonts w:ascii="Microsoft JhengHei"/>
                <w:b/>
                <w:sz w:val="24"/>
              </w:rPr>
            </w:pPr>
            <w:r>
              <w:rPr>
                <w:rFonts w:ascii="Microsoft JhengHei"/>
                <w:b/>
                <w:w w:val="120"/>
                <w:sz w:val="24"/>
              </w:rPr>
              <w:t>8.</w:t>
            </w:r>
          </w:p>
        </w:tc>
        <w:tc>
          <w:tcPr>
            <w:tcW w:w="7610" w:type="dxa"/>
            <w:gridSpan w:val="2"/>
            <w:tcBorders>
              <w:bottom w:val="single" w:sz="8" w:space="0" w:color="000000"/>
            </w:tcBorders>
          </w:tcPr>
          <w:p>
            <w:pPr>
              <w:pStyle w:val="TableParagraph"/>
              <w:spacing w:line="408" w:lineRule="exact" w:before="53"/>
              <w:ind w:left="273"/>
              <w:rPr>
                <w:rFonts w:ascii="Microsoft JhengHei" w:eastAsia="Microsoft JhengHei" w:hint="eastAsia"/>
                <w:b/>
                <w:sz w:val="24"/>
              </w:rPr>
            </w:pPr>
            <w:r>
              <w:rPr>
                <w:rFonts w:ascii="Microsoft JhengHei" w:eastAsia="Microsoft JhengHei" w:hint="eastAsia"/>
                <w:b/>
                <w:sz w:val="24"/>
              </w:rPr>
              <w:t>其它需要关注的事项</w:t>
            </w:r>
          </w:p>
        </w:tc>
      </w:tr>
      <w:tr>
        <w:trPr>
          <w:trHeight w:val="6554" w:hRule="atLeast"/>
        </w:trPr>
        <w:tc>
          <w:tcPr>
            <w:tcW w:w="69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8.1</w:t>
            </w:r>
          </w:p>
        </w:tc>
        <w:tc>
          <w:tcPr>
            <w:tcW w:w="1495" w:type="dxa"/>
            <w:tcBorders>
              <w:top w:val="single" w:sz="8" w:space="0" w:color="000000"/>
            </w:tcBorders>
          </w:tcPr>
          <w:p>
            <w:pPr>
              <w:pStyle w:val="TableParagraph"/>
              <w:spacing w:before="5"/>
              <w:ind w:left="0"/>
              <w:rPr>
                <w:sz w:val="21"/>
              </w:rPr>
            </w:pPr>
          </w:p>
          <w:p>
            <w:pPr>
              <w:pStyle w:val="TableParagraph"/>
              <w:spacing w:line="204" w:lineRule="auto"/>
              <w:ind w:left="273" w:right="163"/>
              <w:rPr>
                <w:rFonts w:ascii="Microsoft JhengHei" w:eastAsia="Microsoft JhengHei" w:hint="eastAsia"/>
                <w:b/>
                <w:sz w:val="21"/>
              </w:rPr>
            </w:pPr>
            <w:r>
              <w:rPr>
                <w:rFonts w:ascii="Microsoft JhengHei" w:eastAsia="Microsoft JhengHei" w:hint="eastAsia"/>
                <w:b/>
                <w:sz w:val="21"/>
              </w:rPr>
              <w:t>明确说明与如实告知</w:t>
            </w:r>
          </w:p>
        </w:tc>
        <w:tc>
          <w:tcPr>
            <w:tcW w:w="6115" w:type="dxa"/>
            <w:tcBorders>
              <w:top w:val="single" w:sz="8" w:space="0" w:color="000000"/>
            </w:tcBorders>
          </w:tcPr>
          <w:p>
            <w:pPr>
              <w:pStyle w:val="TableParagraph"/>
              <w:spacing w:before="4"/>
              <w:ind w:left="0"/>
              <w:rPr>
                <w:sz w:val="22"/>
              </w:rPr>
            </w:pPr>
          </w:p>
          <w:p>
            <w:pPr>
              <w:pStyle w:val="TableParagraph"/>
              <w:spacing w:line="273" w:lineRule="auto"/>
              <w:ind w:left="166" w:right="97"/>
              <w:jc w:val="both"/>
              <w:rPr>
                <w:sz w:val="21"/>
              </w:rPr>
            </w:pPr>
            <w:r>
              <w:rPr>
                <w:spacing w:val="-6"/>
                <w:sz w:val="21"/>
              </w:rPr>
              <w:t>订立本合同时，我们应当向您说明本合同的内容。对本合同中免</w:t>
            </w:r>
            <w:r>
              <w:rPr>
                <w:spacing w:val="-8"/>
                <w:sz w:val="21"/>
              </w:rPr>
              <w:t>除我们责任的条款，我们在订立合同时应当在投保单、保险单或者其他保险凭证上作出足以引起您注意的提示，并对该条款的内容以书面或者口头形式向您作出明确说明，未作提示或者明确说</w:t>
            </w:r>
            <w:r>
              <w:rPr>
                <w:spacing w:val="-6"/>
                <w:sz w:val="21"/>
              </w:rPr>
              <w:t>明的，该条款不产生效力。</w:t>
            </w:r>
          </w:p>
          <w:p>
            <w:pPr>
              <w:pStyle w:val="TableParagraph"/>
              <w:spacing w:line="268" w:lineRule="auto" w:before="166"/>
              <w:ind w:left="166" w:right="100"/>
              <w:jc w:val="both"/>
              <w:rPr>
                <w:sz w:val="21"/>
              </w:rPr>
            </w:pPr>
            <w:r>
              <w:rPr>
                <w:spacing w:val="-6"/>
                <w:sz w:val="21"/>
              </w:rPr>
              <w:t>我们会就您和被保险人的有关情况提出书面询问，您应当如实告知。</w:t>
            </w:r>
          </w:p>
          <w:p>
            <w:pPr>
              <w:pStyle w:val="TableParagraph"/>
              <w:spacing w:line="273" w:lineRule="auto" w:before="170"/>
              <w:ind w:left="166" w:right="99"/>
              <w:jc w:val="both"/>
              <w:rPr>
                <w:sz w:val="21"/>
              </w:rPr>
            </w:pPr>
            <w:r>
              <w:rPr>
                <w:spacing w:val="-7"/>
                <w:sz w:val="21"/>
              </w:rPr>
              <w:t>如果您故意或者因重大过失未履行前款约定的如实告知义务，足</w:t>
            </w:r>
            <w:r>
              <w:rPr>
                <w:spacing w:val="-8"/>
                <w:sz w:val="21"/>
              </w:rPr>
              <w:t>以影响我们决定是否同意承保或者提高保险费率的，我们有权解除本合同。</w:t>
            </w:r>
          </w:p>
          <w:p>
            <w:pPr>
              <w:pStyle w:val="TableParagraph"/>
              <w:spacing w:line="268" w:lineRule="auto" w:before="166"/>
              <w:ind w:left="166" w:right="100"/>
              <w:jc w:val="both"/>
              <w:rPr>
                <w:sz w:val="21"/>
              </w:rPr>
            </w:pPr>
            <w:r>
              <w:rPr>
                <w:spacing w:val="-6"/>
                <w:sz w:val="21"/>
              </w:rPr>
              <w:t>如果您故意不履行如实告知义务，对于本合同解除前发</w:t>
            </w:r>
            <w:r>
              <w:rPr>
                <w:sz w:val="21"/>
              </w:rPr>
              <w:t>Th的保险</w:t>
            </w:r>
            <w:r>
              <w:rPr>
                <w:spacing w:val="-5"/>
                <w:sz w:val="21"/>
              </w:rPr>
              <w:t>事故，我们不承担给付保险金的责任，并不退还保险费。</w:t>
            </w:r>
          </w:p>
          <w:p>
            <w:pPr>
              <w:pStyle w:val="TableParagraph"/>
              <w:spacing w:line="273" w:lineRule="auto" w:before="170"/>
              <w:ind w:left="166" w:right="100"/>
              <w:jc w:val="both"/>
              <w:rPr>
                <w:sz w:val="21"/>
              </w:rPr>
            </w:pPr>
            <w:r>
              <w:rPr>
                <w:spacing w:val="-6"/>
                <w:sz w:val="21"/>
              </w:rPr>
              <w:t>如果您因重大过失未履行如实告知义务，对保险事故的发</w:t>
            </w:r>
            <w:r>
              <w:rPr>
                <w:sz w:val="21"/>
              </w:rPr>
              <w:t>Th有严</w:t>
            </w:r>
            <w:r>
              <w:rPr>
                <w:spacing w:val="-5"/>
                <w:sz w:val="21"/>
              </w:rPr>
              <w:t>重影响的，对于本合同解除前发</w:t>
            </w:r>
            <w:r>
              <w:rPr>
                <w:sz w:val="21"/>
              </w:rPr>
              <w:t>Th</w:t>
            </w:r>
            <w:r>
              <w:rPr>
                <w:spacing w:val="-5"/>
                <w:sz w:val="21"/>
              </w:rPr>
              <w:t>的保险事故，我们不承担给付保险金的责任，但应当向您退还保险费。</w:t>
            </w:r>
          </w:p>
          <w:p>
            <w:pPr>
              <w:pStyle w:val="TableParagraph"/>
              <w:spacing w:line="268" w:lineRule="auto" w:before="166"/>
              <w:ind w:left="166" w:right="99"/>
              <w:jc w:val="both"/>
              <w:rPr>
                <w:sz w:val="21"/>
              </w:rPr>
            </w:pPr>
            <w:r>
              <w:rPr>
                <w:spacing w:val="-7"/>
                <w:sz w:val="21"/>
              </w:rPr>
              <w:t>我们在本合同订立时已经知道您未如实告知的情况的，我们不得</w:t>
            </w:r>
            <w:r>
              <w:rPr>
                <w:spacing w:val="-6"/>
                <w:sz w:val="21"/>
              </w:rPr>
              <w:t>解除合同；发生保险事故的，我们承担给付保险金的责任。</w:t>
            </w:r>
          </w:p>
        </w:tc>
      </w:tr>
      <w:tr>
        <w:trPr>
          <w:trHeight w:val="1262" w:hRule="atLeast"/>
        </w:trPr>
        <w:tc>
          <w:tcPr>
            <w:tcW w:w="696" w:type="dxa"/>
          </w:tcPr>
          <w:p>
            <w:pPr>
              <w:pStyle w:val="TableParagraph"/>
              <w:spacing w:before="85"/>
              <w:ind w:left="105"/>
              <w:rPr>
                <w:rFonts w:ascii="Microsoft JhengHei"/>
                <w:b/>
                <w:sz w:val="21"/>
              </w:rPr>
            </w:pPr>
            <w:r>
              <w:rPr>
                <w:rFonts w:ascii="Microsoft JhengHei"/>
                <w:b/>
                <w:w w:val="105"/>
                <w:sz w:val="21"/>
              </w:rPr>
              <w:t>8.2</w:t>
            </w:r>
          </w:p>
        </w:tc>
        <w:tc>
          <w:tcPr>
            <w:tcW w:w="1495" w:type="dxa"/>
          </w:tcPr>
          <w:p>
            <w:pPr>
              <w:pStyle w:val="TableParagraph"/>
              <w:spacing w:line="201" w:lineRule="auto" w:before="144"/>
              <w:ind w:left="273" w:right="163"/>
              <w:rPr>
                <w:rFonts w:ascii="Microsoft JhengHei" w:eastAsia="Microsoft JhengHei" w:hint="eastAsia"/>
                <w:b/>
                <w:sz w:val="21"/>
              </w:rPr>
            </w:pPr>
            <w:r>
              <w:rPr>
                <w:rFonts w:ascii="Microsoft JhengHei" w:eastAsia="Microsoft JhengHei" w:hint="eastAsia"/>
                <w:b/>
                <w:sz w:val="21"/>
              </w:rPr>
              <w:t>我们合同解除权的限制</w:t>
            </w:r>
          </w:p>
        </w:tc>
        <w:tc>
          <w:tcPr>
            <w:tcW w:w="6115" w:type="dxa"/>
          </w:tcPr>
          <w:p>
            <w:pPr>
              <w:pStyle w:val="TableParagraph"/>
              <w:spacing w:before="152"/>
              <w:ind w:left="166"/>
              <w:rPr>
                <w:sz w:val="21"/>
              </w:rPr>
            </w:pPr>
            <w:r>
              <w:rPr>
                <w:spacing w:val="-9"/>
                <w:sz w:val="21"/>
              </w:rPr>
              <w:t>前条规定的合同解除权，自我们知道有解除事由之日起，超过 </w:t>
            </w:r>
            <w:r>
              <w:rPr>
                <w:sz w:val="21"/>
              </w:rPr>
              <w:t>30</w:t>
            </w:r>
          </w:p>
          <w:p>
            <w:pPr>
              <w:pStyle w:val="TableParagraph"/>
              <w:spacing w:line="273" w:lineRule="auto" w:before="32"/>
              <w:ind w:left="166" w:right="98"/>
              <w:rPr>
                <w:sz w:val="21"/>
              </w:rPr>
            </w:pPr>
            <w:r>
              <w:rPr>
                <w:spacing w:val="-7"/>
                <w:sz w:val="21"/>
              </w:rPr>
              <w:t>日不行使而消灭。自本合同成立之日起超过 </w:t>
            </w:r>
            <w:r>
              <w:rPr>
                <w:sz w:val="21"/>
              </w:rPr>
              <w:t>2</w:t>
            </w:r>
            <w:r>
              <w:rPr>
                <w:spacing w:val="-10"/>
                <w:sz w:val="21"/>
              </w:rPr>
              <w:t> 年的，我们不得解</w:t>
            </w:r>
            <w:r>
              <w:rPr>
                <w:spacing w:val="-7"/>
                <w:sz w:val="21"/>
              </w:rPr>
              <w:t>除合同；发生保险事故的，我们承担给付保险金的责任。</w:t>
            </w:r>
          </w:p>
        </w:tc>
      </w:tr>
      <w:tr>
        <w:trPr>
          <w:trHeight w:val="1517" w:hRule="atLeast"/>
        </w:trPr>
        <w:tc>
          <w:tcPr>
            <w:tcW w:w="696" w:type="dxa"/>
          </w:tcPr>
          <w:p>
            <w:pPr>
              <w:pStyle w:val="TableParagraph"/>
              <w:spacing w:before="85"/>
              <w:ind w:left="105"/>
              <w:rPr>
                <w:rFonts w:ascii="Microsoft JhengHei"/>
                <w:b/>
                <w:sz w:val="21"/>
              </w:rPr>
            </w:pPr>
            <w:r>
              <w:rPr>
                <w:rFonts w:ascii="Microsoft JhengHei"/>
                <w:b/>
                <w:w w:val="105"/>
                <w:sz w:val="21"/>
              </w:rPr>
              <w:t>8.3</w:t>
            </w:r>
          </w:p>
        </w:tc>
        <w:tc>
          <w:tcPr>
            <w:tcW w:w="1495" w:type="dxa"/>
          </w:tcPr>
          <w:p>
            <w:pPr>
              <w:pStyle w:val="TableParagraph"/>
              <w:spacing w:line="201" w:lineRule="auto" w:before="144"/>
              <w:ind w:left="273" w:right="163"/>
              <w:rPr>
                <w:rFonts w:ascii="Microsoft JhengHei" w:eastAsia="Microsoft JhengHei" w:hint="eastAsia"/>
                <w:b/>
                <w:sz w:val="21"/>
              </w:rPr>
            </w:pPr>
            <w:r>
              <w:rPr>
                <w:rFonts w:ascii="Microsoft JhengHei" w:eastAsia="Microsoft JhengHei" w:hint="eastAsia"/>
                <w:b/>
                <w:sz w:val="21"/>
              </w:rPr>
              <w:t>年龄性别错误</w:t>
            </w:r>
          </w:p>
        </w:tc>
        <w:tc>
          <w:tcPr>
            <w:tcW w:w="6115" w:type="dxa"/>
          </w:tcPr>
          <w:p>
            <w:pPr>
              <w:pStyle w:val="TableParagraph"/>
              <w:spacing w:line="268" w:lineRule="auto" w:before="152"/>
              <w:ind w:left="166" w:right="49"/>
              <w:rPr>
                <w:sz w:val="21"/>
              </w:rPr>
            </w:pPr>
            <w:r>
              <w:rPr>
                <w:sz w:val="21"/>
              </w:rPr>
              <w:t>您在申请投保时，应将与有效身份证件相符的被保险人的出生日期和性别在投保单上填明，如果发生错误按照下列方式办理：</w:t>
            </w:r>
          </w:p>
          <w:p>
            <w:pPr>
              <w:pStyle w:val="TableParagraph"/>
              <w:spacing w:line="310" w:lineRule="atLeast" w:before="135"/>
              <w:ind w:left="589" w:right="42" w:hanging="423"/>
              <w:rPr>
                <w:sz w:val="21"/>
              </w:rPr>
            </w:pPr>
            <w:r>
              <w:rPr>
                <w:sz w:val="21"/>
              </w:rPr>
              <w:t>(1) 您申报的被保险人年龄不真实，并且其真实年龄不符合本合同约定投保年龄限制的，我们有权解除本合同。对于解除本</w:t>
            </w:r>
          </w:p>
        </w:tc>
      </w:tr>
    </w:tbl>
    <w:p>
      <w:pPr>
        <w:spacing w:after="0" w:line="310" w:lineRule="atLeast"/>
        <w:rPr>
          <w:sz w:val="21"/>
        </w:rPr>
        <w:sectPr>
          <w:pgSz w:w="11910" w:h="16840"/>
          <w:pgMar w:header="0" w:footer="150" w:top="74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495"/>
        <w:gridCol w:w="6115"/>
      </w:tblGrid>
      <w:tr>
        <w:trPr>
          <w:trHeight w:val="3545" w:hRule="atLeast"/>
        </w:trPr>
        <w:tc>
          <w:tcPr>
            <w:tcW w:w="696" w:type="dxa"/>
          </w:tcPr>
          <w:p>
            <w:pPr>
              <w:pStyle w:val="TableParagraph"/>
              <w:ind w:left="0"/>
              <w:rPr>
                <w:rFonts w:ascii="Times New Roman"/>
                <w:sz w:val="20"/>
              </w:rPr>
            </w:pPr>
          </w:p>
        </w:tc>
        <w:tc>
          <w:tcPr>
            <w:tcW w:w="1495" w:type="dxa"/>
          </w:tcPr>
          <w:p>
            <w:pPr>
              <w:pStyle w:val="TableParagraph"/>
              <w:ind w:left="0"/>
              <w:rPr>
                <w:rFonts w:ascii="Times New Roman"/>
                <w:sz w:val="20"/>
              </w:rPr>
            </w:pPr>
          </w:p>
        </w:tc>
        <w:tc>
          <w:tcPr>
            <w:tcW w:w="6115" w:type="dxa"/>
          </w:tcPr>
          <w:p>
            <w:pPr>
              <w:pStyle w:val="TableParagraph"/>
              <w:spacing w:line="211" w:lineRule="exact"/>
              <w:ind w:left="589"/>
              <w:rPr>
                <w:sz w:val="21"/>
              </w:rPr>
            </w:pPr>
            <w:r>
              <w:rPr>
                <w:sz w:val="21"/>
              </w:rPr>
              <w:t>合同的，本合同自解除之日起终止，我们向您退还本合同终</w:t>
            </w:r>
          </w:p>
          <w:p>
            <w:pPr>
              <w:pStyle w:val="TableParagraph"/>
              <w:spacing w:line="273" w:lineRule="auto" w:before="37"/>
              <w:ind w:left="589" w:right="99"/>
              <w:jc w:val="both"/>
              <w:rPr>
                <w:sz w:val="21"/>
              </w:rPr>
            </w:pPr>
            <w:r>
              <w:rPr>
                <w:spacing w:val="-5"/>
                <w:sz w:val="21"/>
              </w:rPr>
              <w:t>止时的现金价值。对于本合同解除前发</w:t>
            </w:r>
            <w:r>
              <w:rPr>
                <w:spacing w:val="-3"/>
                <w:sz w:val="21"/>
              </w:rPr>
              <w:t>Th</w:t>
            </w:r>
            <w:r>
              <w:rPr>
                <w:spacing w:val="-6"/>
                <w:sz w:val="21"/>
              </w:rPr>
              <w:t>的保险事故，我们</w:t>
            </w:r>
            <w:r>
              <w:rPr>
                <w:spacing w:val="-8"/>
                <w:sz w:val="21"/>
              </w:rPr>
              <w:t>不承担给付保险金的责任。我们行使合同解除权适用“我们</w:t>
            </w:r>
            <w:r>
              <w:rPr>
                <w:spacing w:val="-6"/>
                <w:sz w:val="21"/>
              </w:rPr>
              <w:t>合同解除权的限制”的规定。</w:t>
            </w:r>
          </w:p>
          <w:p>
            <w:pPr>
              <w:pStyle w:val="TableParagraph"/>
              <w:numPr>
                <w:ilvl w:val="0"/>
                <w:numId w:val="13"/>
              </w:numPr>
              <w:tabs>
                <w:tab w:pos="590" w:val="left" w:leader="none"/>
              </w:tabs>
              <w:spacing w:line="271" w:lineRule="auto" w:before="166" w:after="0"/>
              <w:ind w:left="589" w:right="100" w:hanging="423"/>
              <w:jc w:val="both"/>
              <w:rPr>
                <w:sz w:val="21"/>
              </w:rPr>
            </w:pPr>
            <w:r>
              <w:rPr>
                <w:spacing w:val="-6"/>
                <w:sz w:val="21"/>
              </w:rPr>
              <w:t>您申报的被保险人年龄或者性别不真实，致使您实交保险费</w:t>
            </w:r>
            <w:r>
              <w:rPr>
                <w:spacing w:val="-8"/>
                <w:sz w:val="21"/>
              </w:rPr>
              <w:t>少于应交保险费的，我们有权更正并要求您补交保险费。如果已经发</w:t>
            </w:r>
            <w:r>
              <w:rPr>
                <w:spacing w:val="-3"/>
                <w:sz w:val="21"/>
              </w:rPr>
              <w:t>Th</w:t>
            </w:r>
            <w:r>
              <w:rPr>
                <w:spacing w:val="-7"/>
                <w:sz w:val="21"/>
              </w:rPr>
              <w:t>保险事故，在给付保险金时按实交保险费和应交</w:t>
            </w:r>
            <w:r>
              <w:rPr>
                <w:spacing w:val="-6"/>
                <w:sz w:val="21"/>
              </w:rPr>
              <w:t>保险费的比例给付。</w:t>
            </w:r>
          </w:p>
          <w:p>
            <w:pPr>
              <w:pStyle w:val="TableParagraph"/>
              <w:numPr>
                <w:ilvl w:val="0"/>
                <w:numId w:val="13"/>
              </w:numPr>
              <w:tabs>
                <w:tab w:pos="590" w:val="left" w:leader="none"/>
              </w:tabs>
              <w:spacing w:line="273" w:lineRule="auto" w:before="168" w:after="0"/>
              <w:ind w:left="589" w:right="97" w:hanging="423"/>
              <w:jc w:val="both"/>
              <w:rPr>
                <w:sz w:val="21"/>
              </w:rPr>
            </w:pPr>
            <w:r>
              <w:rPr>
                <w:spacing w:val="-6"/>
                <w:sz w:val="21"/>
              </w:rPr>
              <w:t>您申报的被保险人年龄或者性别不真实，致使您实交保险费</w:t>
            </w:r>
            <w:r>
              <w:rPr>
                <w:spacing w:val="-5"/>
                <w:sz w:val="21"/>
              </w:rPr>
              <w:t>多于应交保险费的，我们向您无息退还多收的保险费。</w:t>
            </w:r>
          </w:p>
        </w:tc>
      </w:tr>
      <w:tr>
        <w:trPr>
          <w:trHeight w:val="1262" w:hRule="atLeast"/>
        </w:trPr>
        <w:tc>
          <w:tcPr>
            <w:tcW w:w="696" w:type="dxa"/>
          </w:tcPr>
          <w:p>
            <w:pPr>
              <w:pStyle w:val="TableParagraph"/>
              <w:spacing w:before="83"/>
              <w:ind w:left="105"/>
              <w:rPr>
                <w:rFonts w:ascii="Microsoft JhengHei"/>
                <w:b/>
                <w:sz w:val="21"/>
              </w:rPr>
            </w:pPr>
            <w:r>
              <w:rPr>
                <w:rFonts w:ascii="Microsoft JhengHei"/>
                <w:b/>
                <w:w w:val="105"/>
                <w:sz w:val="21"/>
              </w:rPr>
              <w:t>8.4</w:t>
            </w:r>
          </w:p>
        </w:tc>
        <w:tc>
          <w:tcPr>
            <w:tcW w:w="1495" w:type="dxa"/>
          </w:tcPr>
          <w:p>
            <w:pPr>
              <w:pStyle w:val="TableParagraph"/>
              <w:spacing w:before="83"/>
              <w:ind w:left="273"/>
              <w:rPr>
                <w:rFonts w:ascii="Microsoft JhengHei" w:eastAsia="Microsoft JhengHei" w:hint="eastAsia"/>
                <w:b/>
                <w:sz w:val="21"/>
              </w:rPr>
            </w:pPr>
            <w:r>
              <w:rPr>
                <w:rFonts w:ascii="Microsoft JhengHei" w:eastAsia="Microsoft JhengHei" w:hint="eastAsia"/>
                <w:b/>
                <w:sz w:val="21"/>
              </w:rPr>
              <w:t>未还款项</w:t>
            </w:r>
          </w:p>
        </w:tc>
        <w:tc>
          <w:tcPr>
            <w:tcW w:w="6115" w:type="dxa"/>
          </w:tcPr>
          <w:p>
            <w:pPr>
              <w:pStyle w:val="TableParagraph"/>
              <w:spacing w:line="273" w:lineRule="auto" w:before="150"/>
              <w:ind w:left="166" w:right="97"/>
              <w:jc w:val="both"/>
              <w:rPr>
                <w:sz w:val="21"/>
              </w:rPr>
            </w:pPr>
            <w:r>
              <w:rPr>
                <w:spacing w:val="-6"/>
                <w:sz w:val="21"/>
              </w:rPr>
              <w:t>我们在给付各项保险金、退还现金价值或者返还保险费时，如果</w:t>
            </w:r>
            <w:r>
              <w:rPr>
                <w:spacing w:val="-8"/>
                <w:sz w:val="21"/>
              </w:rPr>
              <w:t>您有欠交的保险费、保单贷款或者其他各项欠款，我们将先行扣</w:t>
            </w:r>
            <w:r>
              <w:rPr>
                <w:spacing w:val="-6"/>
                <w:sz w:val="21"/>
              </w:rPr>
              <w:t>除上述各项欠款及应付利息。</w:t>
            </w:r>
          </w:p>
        </w:tc>
      </w:tr>
      <w:tr>
        <w:trPr>
          <w:trHeight w:val="1262" w:hRule="atLeast"/>
        </w:trPr>
        <w:tc>
          <w:tcPr>
            <w:tcW w:w="696" w:type="dxa"/>
          </w:tcPr>
          <w:p>
            <w:pPr>
              <w:pStyle w:val="TableParagraph"/>
              <w:spacing w:before="83"/>
              <w:ind w:left="105"/>
              <w:rPr>
                <w:rFonts w:ascii="Microsoft JhengHei"/>
                <w:b/>
                <w:sz w:val="21"/>
              </w:rPr>
            </w:pPr>
            <w:r>
              <w:rPr>
                <w:rFonts w:ascii="Microsoft JhengHei"/>
                <w:b/>
                <w:w w:val="105"/>
                <w:sz w:val="21"/>
              </w:rPr>
              <w:t>8.5</w:t>
            </w:r>
          </w:p>
        </w:tc>
        <w:tc>
          <w:tcPr>
            <w:tcW w:w="1495" w:type="dxa"/>
          </w:tcPr>
          <w:p>
            <w:pPr>
              <w:pStyle w:val="TableParagraph"/>
              <w:spacing w:line="204" w:lineRule="auto" w:before="138"/>
              <w:ind w:left="273" w:right="163"/>
              <w:rPr>
                <w:rFonts w:ascii="Microsoft JhengHei" w:eastAsia="Microsoft JhengHei" w:hint="eastAsia"/>
                <w:b/>
                <w:sz w:val="21"/>
              </w:rPr>
            </w:pPr>
            <w:r>
              <w:rPr>
                <w:rFonts w:ascii="Microsoft JhengHei" w:eastAsia="Microsoft JhengHei" w:hint="eastAsia"/>
                <w:b/>
                <w:sz w:val="21"/>
              </w:rPr>
              <w:t>合同内容变更</w:t>
            </w:r>
          </w:p>
        </w:tc>
        <w:tc>
          <w:tcPr>
            <w:tcW w:w="6115" w:type="dxa"/>
          </w:tcPr>
          <w:p>
            <w:pPr>
              <w:pStyle w:val="TableParagraph"/>
              <w:spacing w:line="273" w:lineRule="auto" w:before="150"/>
              <w:ind w:left="166" w:right="100"/>
              <w:jc w:val="both"/>
              <w:rPr>
                <w:sz w:val="21"/>
              </w:rPr>
            </w:pPr>
            <w:r>
              <w:rPr>
                <w:spacing w:val="-6"/>
                <w:sz w:val="21"/>
              </w:rPr>
              <w:t>在本合同有效期内，经您与我们协商一致，可以变更本合同的有</w:t>
            </w:r>
            <w:r>
              <w:rPr>
                <w:spacing w:val="-9"/>
                <w:sz w:val="21"/>
              </w:rPr>
              <w:t>关内容。变更本合同的，应当由我们在保险单或者其他保险凭证</w:t>
            </w:r>
            <w:r>
              <w:rPr>
                <w:spacing w:val="-7"/>
                <w:sz w:val="21"/>
              </w:rPr>
              <w:t>上批注或者附贴批单，或者由您与我们订立书面的变更协议。</w:t>
            </w:r>
          </w:p>
        </w:tc>
      </w:tr>
      <w:tr>
        <w:trPr>
          <w:trHeight w:val="1884" w:hRule="atLeast"/>
        </w:trPr>
        <w:tc>
          <w:tcPr>
            <w:tcW w:w="696" w:type="dxa"/>
          </w:tcPr>
          <w:p>
            <w:pPr>
              <w:pStyle w:val="TableParagraph"/>
              <w:spacing w:before="83"/>
              <w:ind w:left="105"/>
              <w:rPr>
                <w:rFonts w:ascii="Microsoft JhengHei"/>
                <w:b/>
                <w:sz w:val="21"/>
              </w:rPr>
            </w:pPr>
            <w:r>
              <w:rPr>
                <w:rFonts w:ascii="Microsoft JhengHei"/>
                <w:b/>
                <w:w w:val="105"/>
                <w:sz w:val="21"/>
              </w:rPr>
              <w:t>8.6</w:t>
            </w:r>
          </w:p>
        </w:tc>
        <w:tc>
          <w:tcPr>
            <w:tcW w:w="1495" w:type="dxa"/>
          </w:tcPr>
          <w:p>
            <w:pPr>
              <w:pStyle w:val="TableParagraph"/>
              <w:spacing w:line="201" w:lineRule="auto" w:before="141"/>
              <w:ind w:left="273" w:right="163"/>
              <w:rPr>
                <w:rFonts w:ascii="Microsoft JhengHei" w:eastAsia="Microsoft JhengHei" w:hint="eastAsia"/>
                <w:b/>
                <w:sz w:val="21"/>
              </w:rPr>
            </w:pPr>
            <w:r>
              <w:rPr>
                <w:rFonts w:ascii="Microsoft JhengHei" w:eastAsia="Microsoft JhengHei" w:hint="eastAsia"/>
                <w:b/>
                <w:sz w:val="21"/>
              </w:rPr>
              <w:t>联系方式变更</w:t>
            </w:r>
          </w:p>
        </w:tc>
        <w:tc>
          <w:tcPr>
            <w:tcW w:w="6115" w:type="dxa"/>
          </w:tcPr>
          <w:p>
            <w:pPr>
              <w:pStyle w:val="TableParagraph"/>
              <w:spacing w:line="271" w:lineRule="auto" w:before="150"/>
              <w:ind w:left="166" w:right="100"/>
              <w:jc w:val="both"/>
              <w:rPr>
                <w:sz w:val="21"/>
              </w:rPr>
            </w:pPr>
            <w:r>
              <w:rPr>
                <w:spacing w:val="-6"/>
                <w:sz w:val="21"/>
              </w:rPr>
              <w:t>为了保障您的合法权益，您的住所、通讯地址或者电话等联系方</w:t>
            </w:r>
            <w:r>
              <w:rPr>
                <w:spacing w:val="2"/>
                <w:sz w:val="21"/>
              </w:rPr>
              <w:t>式变更时，请及时以书面形式或者双方认可的其他形式通知我</w:t>
            </w:r>
            <w:r>
              <w:rPr>
                <w:spacing w:val="-6"/>
                <w:sz w:val="21"/>
              </w:rPr>
              <w:t>们。如果您未以书面形式或者双方认可的其他形式通知我们，我</w:t>
            </w:r>
            <w:r>
              <w:rPr>
                <w:spacing w:val="-7"/>
                <w:sz w:val="21"/>
              </w:rPr>
              <w:t>们按本合同载明的最后住所或者通讯地址发送的有关通知，均视</w:t>
            </w:r>
            <w:r>
              <w:rPr>
                <w:spacing w:val="-6"/>
                <w:sz w:val="21"/>
              </w:rPr>
              <w:t>为已送达给您。</w:t>
            </w:r>
          </w:p>
        </w:tc>
      </w:tr>
      <w:tr>
        <w:trPr>
          <w:trHeight w:val="950" w:hRule="atLeast"/>
        </w:trPr>
        <w:tc>
          <w:tcPr>
            <w:tcW w:w="696" w:type="dxa"/>
          </w:tcPr>
          <w:p>
            <w:pPr>
              <w:pStyle w:val="TableParagraph"/>
              <w:spacing w:before="85"/>
              <w:ind w:left="105"/>
              <w:rPr>
                <w:rFonts w:ascii="Microsoft JhengHei"/>
                <w:b/>
                <w:sz w:val="21"/>
              </w:rPr>
            </w:pPr>
            <w:r>
              <w:rPr>
                <w:rFonts w:ascii="Microsoft JhengHei"/>
                <w:b/>
                <w:w w:val="105"/>
                <w:sz w:val="21"/>
              </w:rPr>
              <w:t>8.7</w:t>
            </w:r>
          </w:p>
        </w:tc>
        <w:tc>
          <w:tcPr>
            <w:tcW w:w="1495" w:type="dxa"/>
          </w:tcPr>
          <w:p>
            <w:pPr>
              <w:pStyle w:val="TableParagraph"/>
              <w:spacing w:before="85"/>
              <w:ind w:left="273"/>
              <w:rPr>
                <w:rFonts w:ascii="Microsoft JhengHei" w:eastAsia="Microsoft JhengHei" w:hint="eastAsia"/>
                <w:b/>
                <w:sz w:val="21"/>
              </w:rPr>
            </w:pPr>
            <w:r>
              <w:rPr>
                <w:rFonts w:ascii="Microsoft JhengHei" w:eastAsia="Microsoft JhengHei" w:hint="eastAsia"/>
                <w:b/>
                <w:sz w:val="21"/>
              </w:rPr>
              <w:t>争议处理</w:t>
            </w:r>
          </w:p>
        </w:tc>
        <w:tc>
          <w:tcPr>
            <w:tcW w:w="6115" w:type="dxa"/>
          </w:tcPr>
          <w:p>
            <w:pPr>
              <w:pStyle w:val="TableParagraph"/>
              <w:spacing w:line="268" w:lineRule="auto" w:before="152"/>
              <w:ind w:left="166" w:right="49"/>
              <w:rPr>
                <w:sz w:val="21"/>
              </w:rPr>
            </w:pPr>
            <w:r>
              <w:rPr>
                <w:sz w:val="21"/>
              </w:rPr>
              <w:t>本合同履行过程中，双方发生争议不能协商解决的，可以达成仲裁协议通过仲裁解决，也可以依法直接向法院提起诉讼。</w:t>
            </w:r>
          </w:p>
        </w:tc>
      </w:tr>
      <w:tr>
        <w:trPr>
          <w:trHeight w:val="1255" w:hRule="atLeast"/>
        </w:trPr>
        <w:tc>
          <w:tcPr>
            <w:tcW w:w="696" w:type="dxa"/>
          </w:tcPr>
          <w:p>
            <w:pPr>
              <w:pStyle w:val="TableParagraph"/>
              <w:spacing w:before="85"/>
              <w:ind w:left="105"/>
              <w:rPr>
                <w:rFonts w:ascii="Microsoft JhengHei"/>
                <w:b/>
                <w:sz w:val="21"/>
              </w:rPr>
            </w:pPr>
            <w:r>
              <w:rPr>
                <w:rFonts w:ascii="Microsoft JhengHei"/>
                <w:b/>
                <w:w w:val="105"/>
                <w:sz w:val="21"/>
              </w:rPr>
              <w:t>8.8</w:t>
            </w:r>
          </w:p>
        </w:tc>
        <w:tc>
          <w:tcPr>
            <w:tcW w:w="1495" w:type="dxa"/>
          </w:tcPr>
          <w:p>
            <w:pPr>
              <w:pStyle w:val="TableParagraph"/>
              <w:spacing w:line="201" w:lineRule="auto" w:before="144"/>
              <w:ind w:left="273" w:right="163"/>
              <w:rPr>
                <w:rFonts w:ascii="Microsoft JhengHei" w:eastAsia="Microsoft JhengHei" w:hint="eastAsia"/>
                <w:b/>
                <w:sz w:val="21"/>
              </w:rPr>
            </w:pPr>
            <w:r>
              <w:rPr>
                <w:rFonts w:ascii="Microsoft JhengHei" w:eastAsia="Microsoft JhengHei" w:hint="eastAsia"/>
                <w:b/>
                <w:sz w:val="21"/>
              </w:rPr>
              <w:t>保险事故鉴定</w:t>
            </w:r>
          </w:p>
        </w:tc>
        <w:tc>
          <w:tcPr>
            <w:tcW w:w="6115" w:type="dxa"/>
          </w:tcPr>
          <w:p>
            <w:pPr>
              <w:pStyle w:val="TableParagraph"/>
              <w:spacing w:line="271" w:lineRule="auto" w:before="152"/>
              <w:ind w:left="166" w:right="97"/>
              <w:jc w:val="both"/>
              <w:rPr>
                <w:sz w:val="21"/>
              </w:rPr>
            </w:pPr>
            <w:r>
              <w:rPr>
                <w:spacing w:val="-5"/>
                <w:sz w:val="21"/>
              </w:rPr>
              <w:t>如果被保险人发生保险事故，您和我们均可以委托双方认可的保</w:t>
            </w:r>
            <w:r>
              <w:rPr>
                <w:spacing w:val="2"/>
                <w:sz w:val="21"/>
              </w:rPr>
              <w:t>险公估机构等依法设立的独立评估机构或者具有相关专业知识</w:t>
            </w:r>
            <w:r>
              <w:rPr>
                <w:spacing w:val="-3"/>
                <w:sz w:val="21"/>
              </w:rPr>
              <w:t>的人员，对保险事故进行评估和鉴定。</w:t>
            </w:r>
          </w:p>
        </w:tc>
      </w:tr>
      <w:tr>
        <w:trPr>
          <w:trHeight w:val="481" w:hRule="atLeast"/>
        </w:trPr>
        <w:tc>
          <w:tcPr>
            <w:tcW w:w="696" w:type="dxa"/>
            <w:tcBorders>
              <w:bottom w:val="single" w:sz="4" w:space="0" w:color="000000"/>
            </w:tcBorders>
          </w:tcPr>
          <w:p>
            <w:pPr>
              <w:pStyle w:val="TableParagraph"/>
              <w:spacing w:line="404" w:lineRule="exact" w:before="58"/>
              <w:ind w:left="105"/>
              <w:rPr>
                <w:rFonts w:ascii="Microsoft JhengHei"/>
                <w:b/>
                <w:sz w:val="24"/>
              </w:rPr>
            </w:pPr>
            <w:r>
              <w:rPr>
                <w:rFonts w:ascii="Microsoft JhengHei"/>
                <w:b/>
                <w:w w:val="120"/>
                <w:sz w:val="24"/>
              </w:rPr>
              <w:t>9.</w:t>
            </w:r>
          </w:p>
        </w:tc>
        <w:tc>
          <w:tcPr>
            <w:tcW w:w="7610" w:type="dxa"/>
            <w:gridSpan w:val="2"/>
            <w:tcBorders>
              <w:bottom w:val="single" w:sz="4" w:space="0" w:color="000000"/>
            </w:tcBorders>
          </w:tcPr>
          <w:p>
            <w:pPr>
              <w:pStyle w:val="TableParagraph"/>
              <w:spacing w:line="404" w:lineRule="exact" w:before="58"/>
              <w:ind w:left="273"/>
              <w:rPr>
                <w:rFonts w:ascii="Microsoft JhengHei" w:eastAsia="Microsoft JhengHei" w:hint="eastAsia"/>
                <w:b/>
                <w:sz w:val="24"/>
              </w:rPr>
            </w:pPr>
            <w:r>
              <w:rPr>
                <w:rFonts w:ascii="Microsoft JhengHei" w:eastAsia="Microsoft JhengHei" w:hint="eastAsia"/>
                <w:b/>
                <w:sz w:val="24"/>
              </w:rPr>
              <w:t>轻症疾病定义</w:t>
            </w:r>
          </w:p>
        </w:tc>
      </w:tr>
      <w:tr>
        <w:trPr>
          <w:trHeight w:val="1105" w:hRule="atLeast"/>
        </w:trPr>
        <w:tc>
          <w:tcPr>
            <w:tcW w:w="696" w:type="dxa"/>
            <w:tcBorders>
              <w:top w:val="single" w:sz="4" w:space="0" w:color="000000"/>
            </w:tcBorders>
          </w:tcPr>
          <w:p>
            <w:pPr>
              <w:pStyle w:val="TableParagraph"/>
              <w:spacing w:before="4"/>
              <w:ind w:left="0"/>
              <w:rPr>
                <w:sz w:val="18"/>
              </w:rPr>
            </w:pPr>
          </w:p>
          <w:p>
            <w:pPr>
              <w:pStyle w:val="TableParagraph"/>
              <w:ind w:left="105"/>
              <w:rPr>
                <w:rFonts w:ascii="Microsoft JhengHei"/>
                <w:b/>
                <w:sz w:val="21"/>
              </w:rPr>
            </w:pPr>
            <w:r>
              <w:rPr>
                <w:rFonts w:ascii="Microsoft JhengHei"/>
                <w:b/>
                <w:w w:val="105"/>
                <w:sz w:val="21"/>
              </w:rPr>
              <w:t>9.1</w:t>
            </w:r>
          </w:p>
        </w:tc>
        <w:tc>
          <w:tcPr>
            <w:tcW w:w="1495" w:type="dxa"/>
            <w:tcBorders>
              <w:top w:val="single" w:sz="4" w:space="0" w:color="000000"/>
            </w:tcBorders>
          </w:tcPr>
          <w:p>
            <w:pPr>
              <w:pStyle w:val="TableParagraph"/>
              <w:spacing w:before="4"/>
              <w:ind w:left="0"/>
              <w:rPr>
                <w:sz w:val="18"/>
              </w:rPr>
            </w:pPr>
          </w:p>
          <w:p>
            <w:pPr>
              <w:pStyle w:val="TableParagraph"/>
              <w:ind w:left="273"/>
              <w:rPr>
                <w:rFonts w:ascii="Microsoft JhengHei" w:eastAsia="Microsoft JhengHei" w:hint="eastAsia"/>
                <w:b/>
                <w:sz w:val="21"/>
              </w:rPr>
            </w:pPr>
            <w:r>
              <w:rPr>
                <w:rFonts w:ascii="Microsoft JhengHei" w:eastAsia="Microsoft JhengHei" w:hint="eastAsia"/>
                <w:b/>
                <w:sz w:val="21"/>
              </w:rPr>
              <w:t>轻症疾病</w:t>
            </w:r>
          </w:p>
        </w:tc>
        <w:tc>
          <w:tcPr>
            <w:tcW w:w="6115" w:type="dxa"/>
            <w:tcBorders>
              <w:top w:val="single" w:sz="4" w:space="0" w:color="000000"/>
            </w:tcBorders>
          </w:tcPr>
          <w:p>
            <w:pPr>
              <w:pStyle w:val="TableParagraph"/>
              <w:spacing w:before="5"/>
              <w:ind w:left="0"/>
              <w:rPr>
                <w:sz w:val="23"/>
              </w:rPr>
            </w:pPr>
          </w:p>
          <w:p>
            <w:pPr>
              <w:pStyle w:val="TableParagraph"/>
              <w:spacing w:line="254" w:lineRule="auto"/>
              <w:ind w:left="166" w:right="165"/>
              <w:rPr>
                <w:sz w:val="21"/>
              </w:rPr>
            </w:pPr>
            <w:r>
              <w:rPr>
                <w:spacing w:val="-5"/>
                <w:sz w:val="21"/>
              </w:rPr>
              <w:t>指被保险人发生符合以下疾病定义所述条件的疾病</w:t>
            </w:r>
            <w:r>
              <w:rPr>
                <w:spacing w:val="-3"/>
                <w:sz w:val="21"/>
              </w:rPr>
              <w:t>（</w:t>
            </w:r>
            <w:r>
              <w:rPr>
                <w:spacing w:val="-18"/>
                <w:sz w:val="21"/>
              </w:rPr>
              <w:t>共 </w:t>
            </w:r>
            <w:r>
              <w:rPr>
                <w:rFonts w:ascii="Times New Roman" w:eastAsia="Times New Roman"/>
                <w:sz w:val="21"/>
              </w:rPr>
              <w:t>35 </w:t>
            </w:r>
            <w:r>
              <w:rPr>
                <w:sz w:val="21"/>
              </w:rPr>
              <w:t>种</w:t>
            </w:r>
            <w:r>
              <w:rPr>
                <w:spacing w:val="-106"/>
                <w:sz w:val="21"/>
              </w:rPr>
              <w:t>），</w:t>
            </w:r>
            <w:r>
              <w:rPr>
                <w:spacing w:val="-103"/>
                <w:sz w:val="21"/>
              </w:rPr>
              <w:t> </w:t>
            </w:r>
            <w:r>
              <w:rPr>
                <w:spacing w:val="-2"/>
                <w:sz w:val="21"/>
              </w:rPr>
              <w:t>应当由专科医生明确诊断。</w:t>
            </w:r>
          </w:p>
        </w:tc>
      </w:tr>
      <w:tr>
        <w:trPr>
          <w:trHeight w:val="3543" w:hRule="atLeast"/>
        </w:trPr>
        <w:tc>
          <w:tcPr>
            <w:tcW w:w="696" w:type="dxa"/>
          </w:tcPr>
          <w:p>
            <w:pPr>
              <w:pStyle w:val="TableParagraph"/>
              <w:ind w:left="0"/>
              <w:rPr>
                <w:rFonts w:ascii="Times New Roman"/>
                <w:sz w:val="20"/>
              </w:rPr>
            </w:pPr>
          </w:p>
        </w:tc>
        <w:tc>
          <w:tcPr>
            <w:tcW w:w="1495" w:type="dxa"/>
          </w:tcPr>
          <w:p>
            <w:pPr>
              <w:pStyle w:val="TableParagraph"/>
              <w:spacing w:line="204" w:lineRule="auto" w:before="140"/>
              <w:ind w:left="273" w:right="163"/>
              <w:jc w:val="both"/>
              <w:rPr>
                <w:rFonts w:ascii="Microsoft JhengHei" w:eastAsia="Microsoft JhengHei" w:hint="eastAsia"/>
                <w:b/>
                <w:sz w:val="21"/>
              </w:rPr>
            </w:pPr>
            <w:r>
              <w:rPr>
                <w:rFonts w:ascii="Microsoft JhengHei" w:eastAsia="Microsoft JhengHei" w:hint="eastAsia"/>
                <w:b/>
                <w:sz w:val="21"/>
              </w:rPr>
              <w:t>1.非危及生命的（极早期的）恶性病变</w:t>
            </w:r>
          </w:p>
        </w:tc>
        <w:tc>
          <w:tcPr>
            <w:tcW w:w="6115" w:type="dxa"/>
          </w:tcPr>
          <w:p>
            <w:pPr>
              <w:pStyle w:val="TableParagraph"/>
              <w:spacing w:line="268" w:lineRule="auto" w:before="152"/>
              <w:ind w:left="166" w:right="62"/>
              <w:rPr>
                <w:sz w:val="21"/>
              </w:rPr>
            </w:pPr>
            <w:r>
              <w:rPr>
                <w:sz w:val="21"/>
              </w:rPr>
              <w:t>指被保险人生前经组织病理学检查被明确诊断为下列恶性病变， 并且接受了相应的治疗。</w:t>
            </w:r>
          </w:p>
          <w:p>
            <w:pPr>
              <w:pStyle w:val="TableParagraph"/>
              <w:spacing w:before="11"/>
              <w:ind w:left="166"/>
              <w:jc w:val="both"/>
              <w:rPr>
                <w:sz w:val="21"/>
              </w:rPr>
            </w:pPr>
            <w:r>
              <w:rPr>
                <w:sz w:val="21"/>
              </w:rPr>
              <w:t>（</w:t>
            </w:r>
            <w:r>
              <w:rPr>
                <w:rFonts w:ascii="Cambria" w:eastAsia="Cambria"/>
                <w:sz w:val="21"/>
              </w:rPr>
              <w:t>1</w:t>
            </w:r>
            <w:r>
              <w:rPr>
                <w:sz w:val="21"/>
              </w:rPr>
              <w:t>）原位癌</w:t>
            </w:r>
            <w:r>
              <w:rPr>
                <w:rFonts w:ascii="Cambria" w:eastAsia="Cambria"/>
                <w:position w:val="5"/>
                <w:sz w:val="14"/>
              </w:rPr>
              <w:t>*</w:t>
            </w:r>
            <w:r>
              <w:rPr>
                <w:sz w:val="21"/>
              </w:rPr>
              <w:t>；</w:t>
            </w:r>
          </w:p>
          <w:p>
            <w:pPr>
              <w:pStyle w:val="TableParagraph"/>
              <w:spacing w:before="20"/>
              <w:ind w:left="166"/>
              <w:jc w:val="both"/>
              <w:rPr>
                <w:sz w:val="21"/>
              </w:rPr>
            </w:pPr>
            <w:r>
              <w:rPr>
                <w:sz w:val="21"/>
              </w:rPr>
              <w:t>（</w:t>
            </w:r>
            <w:r>
              <w:rPr>
                <w:rFonts w:ascii="Cambria" w:eastAsia="Cambria"/>
                <w:sz w:val="21"/>
              </w:rPr>
              <w:t>2</w:t>
            </w:r>
            <w:r>
              <w:rPr>
                <w:sz w:val="21"/>
              </w:rPr>
              <w:t>）相当于</w:t>
            </w:r>
            <w:r>
              <w:rPr>
                <w:rFonts w:ascii="Cambria" w:eastAsia="Cambria"/>
                <w:sz w:val="21"/>
              </w:rPr>
              <w:t>Binet</w:t>
            </w:r>
            <w:r>
              <w:rPr>
                <w:sz w:val="21"/>
              </w:rPr>
              <w:t>分期方案</w:t>
            </w:r>
            <w:r>
              <w:rPr>
                <w:rFonts w:ascii="Cambria" w:eastAsia="Cambria"/>
                <w:sz w:val="21"/>
              </w:rPr>
              <w:t>A</w:t>
            </w:r>
            <w:r>
              <w:rPr>
                <w:sz w:val="21"/>
              </w:rPr>
              <w:t>期程度的慢性淋巴细胞白血病；</w:t>
            </w:r>
          </w:p>
          <w:p>
            <w:pPr>
              <w:pStyle w:val="TableParagraph"/>
              <w:spacing w:before="20"/>
              <w:ind w:left="166"/>
              <w:jc w:val="both"/>
              <w:rPr>
                <w:sz w:val="21"/>
              </w:rPr>
            </w:pPr>
            <w:r>
              <w:rPr>
                <w:sz w:val="21"/>
              </w:rPr>
              <w:t>（</w:t>
            </w:r>
            <w:r>
              <w:rPr>
                <w:rFonts w:ascii="Cambria" w:eastAsia="Cambria"/>
                <w:sz w:val="21"/>
              </w:rPr>
              <w:t>3</w:t>
            </w:r>
            <w:r>
              <w:rPr>
                <w:sz w:val="21"/>
              </w:rPr>
              <w:t>）相当于</w:t>
            </w:r>
            <w:r>
              <w:rPr>
                <w:rFonts w:ascii="Cambria" w:eastAsia="Cambria"/>
                <w:sz w:val="21"/>
              </w:rPr>
              <w:t>Ann Arbor</w:t>
            </w:r>
            <w:r>
              <w:rPr>
                <w:sz w:val="21"/>
              </w:rPr>
              <w:t>分期方案</w:t>
            </w:r>
            <w:r>
              <w:rPr>
                <w:rFonts w:ascii="Cambria" w:eastAsia="Cambria"/>
                <w:sz w:val="21"/>
              </w:rPr>
              <w:t>I</w:t>
            </w:r>
            <w:r>
              <w:rPr>
                <w:sz w:val="21"/>
              </w:rPr>
              <w:t>期程度的何杰金氏病；</w:t>
            </w:r>
          </w:p>
          <w:p>
            <w:pPr>
              <w:pStyle w:val="TableParagraph"/>
              <w:spacing w:before="20"/>
              <w:ind w:left="166"/>
              <w:jc w:val="both"/>
              <w:rPr>
                <w:sz w:val="21"/>
              </w:rPr>
            </w:pPr>
            <w:r>
              <w:rPr>
                <w:sz w:val="21"/>
              </w:rPr>
              <w:t>（</w:t>
            </w:r>
            <w:r>
              <w:rPr>
                <w:rFonts w:ascii="Cambria" w:eastAsia="Cambria"/>
                <w:sz w:val="21"/>
              </w:rPr>
              <w:t>4</w:t>
            </w:r>
            <w:r>
              <w:rPr>
                <w:sz w:val="21"/>
              </w:rPr>
              <w:t>）皮肤癌（不包括恶性黑色素瘤及已发生转移的皮肤癌）；</w:t>
            </w:r>
          </w:p>
          <w:p>
            <w:pPr>
              <w:pStyle w:val="TableParagraph"/>
              <w:spacing w:before="19"/>
              <w:ind w:left="166"/>
              <w:jc w:val="both"/>
              <w:rPr>
                <w:sz w:val="21"/>
              </w:rPr>
            </w:pPr>
            <w:r>
              <w:rPr>
                <w:position w:val="2"/>
                <w:sz w:val="21"/>
              </w:rPr>
              <w:t>（</w:t>
            </w:r>
            <w:r>
              <w:rPr>
                <w:rFonts w:ascii="Cambria" w:eastAsia="Cambria"/>
                <w:position w:val="2"/>
                <w:sz w:val="21"/>
              </w:rPr>
              <w:t>5</w:t>
            </w:r>
            <w:r>
              <w:rPr>
                <w:position w:val="2"/>
                <w:sz w:val="21"/>
              </w:rPr>
              <w:t>）</w:t>
            </w:r>
            <w:r>
              <w:rPr>
                <w:rFonts w:ascii="Cambria" w:eastAsia="Cambria"/>
                <w:position w:val="2"/>
                <w:sz w:val="21"/>
              </w:rPr>
              <w:t>TNM </w:t>
            </w:r>
            <w:r>
              <w:rPr>
                <w:position w:val="2"/>
                <w:sz w:val="21"/>
              </w:rPr>
              <w:t>分期为 </w:t>
            </w:r>
            <w:r>
              <w:rPr>
                <w:rFonts w:ascii="Cambria" w:eastAsia="Cambria"/>
                <w:position w:val="2"/>
                <w:sz w:val="21"/>
              </w:rPr>
              <w:t>T</w:t>
            </w:r>
            <w:r>
              <w:rPr>
                <w:rFonts w:ascii="Cambria" w:eastAsia="Cambria"/>
                <w:position w:val="2"/>
                <w:sz w:val="21"/>
                <w:vertAlign w:val="subscript"/>
              </w:rPr>
              <w:t>1</w:t>
            </w:r>
            <w:r>
              <w:rPr>
                <w:rFonts w:ascii="Cambria" w:eastAsia="Cambria"/>
                <w:position w:val="2"/>
                <w:sz w:val="21"/>
                <w:vertAlign w:val="baseline"/>
              </w:rPr>
              <w:t>N</w:t>
            </w:r>
            <w:r>
              <w:rPr>
                <w:rFonts w:ascii="Cambria" w:eastAsia="Cambria"/>
                <w:position w:val="2"/>
                <w:sz w:val="21"/>
                <w:vertAlign w:val="subscript"/>
              </w:rPr>
              <w:t>0</w:t>
            </w:r>
            <w:r>
              <w:rPr>
                <w:rFonts w:ascii="Cambria" w:eastAsia="Cambria"/>
                <w:position w:val="2"/>
                <w:sz w:val="21"/>
                <w:vertAlign w:val="baseline"/>
              </w:rPr>
              <w:t>M</w:t>
            </w:r>
            <w:r>
              <w:rPr>
                <w:rFonts w:ascii="Cambria" w:eastAsia="Cambria"/>
                <w:position w:val="2"/>
                <w:sz w:val="21"/>
                <w:vertAlign w:val="subscript"/>
              </w:rPr>
              <w:t>0</w:t>
            </w:r>
            <w:r>
              <w:rPr>
                <w:rFonts w:ascii="Cambria" w:eastAsia="Cambria"/>
                <w:position w:val="2"/>
                <w:sz w:val="21"/>
                <w:vertAlign w:val="baseline"/>
              </w:rPr>
              <w:t> </w:t>
            </w:r>
            <w:r>
              <w:rPr>
                <w:position w:val="2"/>
                <w:sz w:val="21"/>
                <w:vertAlign w:val="baseline"/>
              </w:rPr>
              <w:t>期或更轻分期的前列腺癌。</w:t>
            </w:r>
          </w:p>
          <w:p>
            <w:pPr>
              <w:pStyle w:val="TableParagraph"/>
              <w:ind w:left="166"/>
              <w:jc w:val="both"/>
              <w:rPr>
                <w:sz w:val="21"/>
              </w:rPr>
            </w:pPr>
            <w:r>
              <w:rPr>
                <w:rFonts w:ascii="Cambria" w:eastAsia="Cambria"/>
                <w:position w:val="5"/>
                <w:sz w:val="14"/>
              </w:rPr>
              <w:t>*</w:t>
            </w:r>
            <w:r>
              <w:rPr>
                <w:sz w:val="21"/>
              </w:rPr>
              <w:t>原位癌</w:t>
            </w:r>
          </w:p>
          <w:p>
            <w:pPr>
              <w:pStyle w:val="TableParagraph"/>
              <w:spacing w:line="310" w:lineRule="atLeast" w:before="2"/>
              <w:ind w:left="166" w:right="62"/>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bl>
    <w:p>
      <w:pPr>
        <w:spacing w:after="0" w:line="310" w:lineRule="atLeast"/>
        <w:jc w:val="both"/>
        <w:rPr>
          <w:sz w:val="21"/>
        </w:rPr>
        <w:sectPr>
          <w:pgSz w:w="11910" w:h="16840"/>
          <w:pgMar w:header="0" w:footer="150" w:top="740" w:bottom="34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1045"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2.冠状动脉</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介入手术</w:t>
            </w:r>
          </w:p>
        </w:tc>
        <w:tc>
          <w:tcPr>
            <w:tcW w:w="6265" w:type="dxa"/>
          </w:tcPr>
          <w:p>
            <w:pPr>
              <w:pStyle w:val="TableParagraph"/>
              <w:spacing w:line="211" w:lineRule="exact"/>
              <w:rPr>
                <w:sz w:val="21"/>
              </w:rPr>
            </w:pPr>
            <w:r>
              <w:rPr>
                <w:sz w:val="21"/>
              </w:rPr>
              <w:t>指被保险人为了治疗明显的冠状动脉狭窄性疾病，首次实际实施</w:t>
            </w:r>
          </w:p>
          <w:p>
            <w:pPr>
              <w:pStyle w:val="TableParagraph"/>
              <w:spacing w:line="273" w:lineRule="auto" w:before="37"/>
              <w:ind w:right="253"/>
              <w:rPr>
                <w:sz w:val="21"/>
              </w:rPr>
            </w:pPr>
            <w:r>
              <w:rPr>
                <w:sz w:val="21"/>
              </w:rPr>
              <w:t>了冠状动脉球囊扩张成形术、冠状动脉支架植入术、冠状动脉粥肿斑块切除术或激光冠状动脉成形术。</w:t>
            </w:r>
          </w:p>
        </w:tc>
      </w:tr>
      <w:tr>
        <w:trPr>
          <w:trHeight w:val="2202" w:hRule="atLeast"/>
        </w:trPr>
        <w:tc>
          <w:tcPr>
            <w:tcW w:w="1475" w:type="dxa"/>
          </w:tcPr>
          <w:p>
            <w:pPr>
              <w:pStyle w:val="TableParagraph"/>
              <w:spacing w:line="204" w:lineRule="auto" w:before="122"/>
              <w:ind w:left="200" w:right="245"/>
              <w:rPr>
                <w:rFonts w:ascii="Microsoft JhengHei" w:eastAsia="Microsoft JhengHei" w:hint="eastAsia"/>
                <w:b/>
                <w:sz w:val="21"/>
              </w:rPr>
            </w:pPr>
            <w:r>
              <w:rPr>
                <w:rFonts w:ascii="Microsoft JhengHei" w:eastAsia="Microsoft JhengHei" w:hint="eastAsia"/>
                <w:b/>
                <w:sz w:val="21"/>
              </w:rPr>
              <w:t>3.轻微脑中风</w:t>
            </w:r>
          </w:p>
        </w:tc>
        <w:tc>
          <w:tcPr>
            <w:tcW w:w="6265" w:type="dxa"/>
          </w:tcPr>
          <w:p>
            <w:pPr>
              <w:pStyle w:val="TableParagraph"/>
              <w:spacing w:line="264" w:lineRule="auto" w:before="153"/>
              <w:ind w:right="198"/>
              <w:rPr>
                <w:sz w:val="21"/>
              </w:rPr>
            </w:pPr>
            <w:r>
              <w:rPr>
                <w:spacing w:val="2"/>
                <w:sz w:val="21"/>
              </w:rPr>
              <w:t>指被保险人因非意外原因实际发生了脑血管的突发病变出现神</w:t>
            </w:r>
            <w:r>
              <w:rPr>
                <w:spacing w:val="-9"/>
                <w:w w:val="100"/>
                <w:sz w:val="21"/>
              </w:rPr>
              <w:t>经系统功能障碍表现，头颅断层扫描</w:t>
            </w:r>
            <w:r>
              <w:rPr>
                <w:spacing w:val="0"/>
                <w:w w:val="100"/>
                <w:sz w:val="21"/>
              </w:rPr>
              <w:t>（</w:t>
            </w:r>
            <w:r>
              <w:rPr>
                <w:rFonts w:ascii="Times New Roman" w:hAnsi="Times New Roman" w:eastAsia="Times New Roman"/>
                <w:spacing w:val="-2"/>
                <w:w w:val="100"/>
                <w:sz w:val="21"/>
              </w:rPr>
              <w:t>C</w:t>
            </w:r>
            <w:r>
              <w:rPr>
                <w:rFonts w:ascii="Times New Roman" w:hAnsi="Times New Roman" w:eastAsia="Times New Roman"/>
                <w:spacing w:val="-4"/>
                <w:w w:val="100"/>
                <w:sz w:val="21"/>
              </w:rPr>
              <w:t>T</w:t>
            </w:r>
            <w:r>
              <w:rPr>
                <w:spacing w:val="-106"/>
                <w:w w:val="100"/>
                <w:sz w:val="21"/>
              </w:rPr>
              <w:t>）</w:t>
            </w:r>
            <w:r>
              <w:rPr>
                <w:spacing w:val="-16"/>
                <w:w w:val="100"/>
                <w:sz w:val="21"/>
              </w:rPr>
              <w:t>、核磁共振</w:t>
            </w:r>
            <w:r>
              <w:rPr>
                <w:w w:val="100"/>
                <w:sz w:val="21"/>
              </w:rPr>
              <w:t>（</w:t>
            </w:r>
            <w:r>
              <w:rPr>
                <w:rFonts w:ascii="Times New Roman" w:hAnsi="Times New Roman" w:eastAsia="Times New Roman"/>
                <w:w w:val="100"/>
                <w:sz w:val="21"/>
              </w:rPr>
              <w:t>M</w:t>
            </w:r>
            <w:r>
              <w:rPr>
                <w:rFonts w:ascii="Times New Roman" w:hAnsi="Times New Roman" w:eastAsia="Times New Roman"/>
                <w:spacing w:val="-3"/>
                <w:w w:val="100"/>
                <w:sz w:val="21"/>
              </w:rPr>
              <w:t>R</w:t>
            </w:r>
            <w:r>
              <w:rPr>
                <w:rFonts w:ascii="Times New Roman" w:hAnsi="Times New Roman" w:eastAsia="Times New Roman"/>
                <w:spacing w:val="-4"/>
                <w:w w:val="100"/>
                <w:sz w:val="21"/>
              </w:rPr>
              <w:t>I</w:t>
            </w:r>
            <w:r>
              <w:rPr>
                <w:spacing w:val="-34"/>
                <w:w w:val="100"/>
                <w:sz w:val="21"/>
              </w:rPr>
              <w:t>）等</w:t>
            </w:r>
            <w:r>
              <w:rPr>
                <w:spacing w:val="-12"/>
                <w:sz w:val="21"/>
              </w:rPr>
              <w:t>影像学检查证实存在对应病灶，确诊为脑出血、脑栓塞或脑梗塞， </w:t>
            </w:r>
            <w:r>
              <w:rPr>
                <w:spacing w:val="-13"/>
                <w:sz w:val="21"/>
              </w:rPr>
              <w:t>虽未达到本合同所指重大疾病“脑中风后遗症</w:t>
            </w:r>
            <w:r>
              <w:rPr>
                <w:rFonts w:ascii="Times New Roman" w:hAnsi="Times New Roman" w:eastAsia="Times New Roman"/>
                <w:spacing w:val="-3"/>
                <w:sz w:val="21"/>
              </w:rPr>
              <w:t>”</w:t>
            </w:r>
            <w:r>
              <w:rPr>
                <w:spacing w:val="-11"/>
                <w:sz w:val="21"/>
              </w:rPr>
              <w:t>的给付标准，在确</w:t>
            </w:r>
            <w:r>
              <w:rPr>
                <w:spacing w:val="-32"/>
                <w:sz w:val="21"/>
              </w:rPr>
              <w:t>诊 </w:t>
            </w:r>
            <w:r>
              <w:rPr>
                <w:rFonts w:ascii="Times New Roman" w:hAnsi="Times New Roman" w:eastAsia="Times New Roman"/>
                <w:sz w:val="21"/>
              </w:rPr>
              <w:t>180</w:t>
            </w:r>
            <w:r>
              <w:rPr>
                <w:rFonts w:ascii="Times New Roman" w:hAnsi="Times New Roman" w:eastAsia="Times New Roman"/>
                <w:spacing w:val="-7"/>
                <w:sz w:val="21"/>
              </w:rPr>
              <w:t> </w:t>
            </w:r>
            <w:r>
              <w:rPr>
                <w:spacing w:val="-8"/>
                <w:sz w:val="21"/>
              </w:rPr>
              <w:t>天后仍然遗留一肢或一肢以上肢体肌力 </w:t>
            </w:r>
            <w:r>
              <w:rPr>
                <w:rFonts w:ascii="Times New Roman" w:hAnsi="Times New Roman" w:eastAsia="Times New Roman"/>
                <w:spacing w:val="-3"/>
                <w:sz w:val="21"/>
              </w:rPr>
              <w:t>III </w:t>
            </w:r>
            <w:r>
              <w:rPr>
                <w:spacing w:val="-18"/>
                <w:sz w:val="21"/>
              </w:rPr>
              <w:t>级或 </w:t>
            </w:r>
            <w:r>
              <w:rPr>
                <w:rFonts w:ascii="Times New Roman" w:hAnsi="Times New Roman" w:eastAsia="Times New Roman"/>
                <w:spacing w:val="-3"/>
                <w:sz w:val="21"/>
              </w:rPr>
              <w:t>III </w:t>
            </w:r>
            <w:r>
              <w:rPr>
                <w:sz w:val="21"/>
              </w:rPr>
              <w:t>级以下</w:t>
            </w:r>
            <w:r>
              <w:rPr>
                <w:spacing w:val="-1"/>
                <w:sz w:val="21"/>
              </w:rPr>
              <w:t>的运动功能障碍。</w:t>
            </w:r>
          </w:p>
        </w:tc>
      </w:tr>
      <w:tr>
        <w:trPr>
          <w:trHeight w:val="1250" w:hRule="atLeast"/>
        </w:trPr>
        <w:tc>
          <w:tcPr>
            <w:tcW w:w="1475" w:type="dxa"/>
          </w:tcPr>
          <w:p>
            <w:pPr>
              <w:pStyle w:val="TableParagraph"/>
              <w:spacing w:line="201" w:lineRule="auto" w:before="141"/>
              <w:ind w:left="200" w:right="218"/>
              <w:rPr>
                <w:rFonts w:ascii="Microsoft JhengHei" w:eastAsia="Microsoft JhengHei" w:hint="eastAsia"/>
                <w:b/>
                <w:sz w:val="21"/>
              </w:rPr>
            </w:pPr>
            <w:r>
              <w:rPr>
                <w:rFonts w:ascii="Microsoft JhengHei" w:eastAsia="Microsoft JhengHei" w:hint="eastAsia"/>
                <w:b/>
                <w:sz w:val="21"/>
              </w:rPr>
              <w:t>4.心脏瓣膜介入手术</w:t>
            </w:r>
          </w:p>
        </w:tc>
        <w:tc>
          <w:tcPr>
            <w:tcW w:w="6265" w:type="dxa"/>
          </w:tcPr>
          <w:p>
            <w:pPr>
              <w:pStyle w:val="TableParagraph"/>
              <w:spacing w:line="271" w:lineRule="auto" w:before="150"/>
              <w:ind w:right="304"/>
              <w:jc w:val="both"/>
              <w:rPr>
                <w:sz w:val="21"/>
              </w:rPr>
            </w:pPr>
            <w:r>
              <w:rPr>
                <w:spacing w:val="-6"/>
                <w:sz w:val="21"/>
              </w:rPr>
              <w:t>为了治疗心脏瓣膜疾病，被保险人实际接受了非开胸的经胸壁打</w:t>
            </w:r>
            <w:r>
              <w:rPr>
                <w:spacing w:val="2"/>
                <w:sz w:val="21"/>
              </w:rPr>
              <w:t>孔内镜手术或经皮经导管介入手术进行的心脏瓣膜置换或修复</w:t>
            </w:r>
            <w:r>
              <w:rPr>
                <w:sz w:val="21"/>
              </w:rPr>
              <w:t>手术。</w:t>
            </w:r>
          </w:p>
        </w:tc>
      </w:tr>
      <w:tr>
        <w:trPr>
          <w:trHeight w:val="1905" w:hRule="atLeast"/>
        </w:trPr>
        <w:tc>
          <w:tcPr>
            <w:tcW w:w="1475" w:type="dxa"/>
          </w:tcPr>
          <w:p>
            <w:pPr>
              <w:pStyle w:val="TableParagraph"/>
              <w:spacing w:line="204" w:lineRule="auto" w:before="150"/>
              <w:ind w:left="200" w:right="218"/>
              <w:rPr>
                <w:rFonts w:ascii="Microsoft JhengHei" w:eastAsia="Microsoft JhengHei" w:hint="eastAsia"/>
                <w:b/>
                <w:sz w:val="21"/>
              </w:rPr>
            </w:pPr>
            <w:r>
              <w:rPr>
                <w:rFonts w:ascii="Microsoft JhengHei" w:eastAsia="Microsoft JhengHei" w:hint="eastAsia"/>
                <w:b/>
                <w:sz w:val="21"/>
              </w:rPr>
              <w:t>5. 脑 垂 体 瘤 、 脑 囊 肿、脑动脉瘤及脑血管瘤</w:t>
            </w:r>
          </w:p>
        </w:tc>
        <w:tc>
          <w:tcPr>
            <w:tcW w:w="6265" w:type="dxa"/>
          </w:tcPr>
          <w:p>
            <w:pPr>
              <w:pStyle w:val="TableParagraph"/>
              <w:spacing w:line="252" w:lineRule="auto" w:before="162"/>
              <w:ind w:right="256"/>
              <w:rPr>
                <w:sz w:val="21"/>
              </w:rPr>
            </w:pPr>
            <w:r>
              <w:rPr>
                <w:sz w:val="21"/>
              </w:rPr>
              <w:t>指被保险人经头颅断层扫描（</w:t>
            </w:r>
            <w:r>
              <w:rPr>
                <w:rFonts w:ascii="Cambria" w:eastAsia="Cambria"/>
                <w:sz w:val="21"/>
              </w:rPr>
              <w:t>CT</w:t>
            </w:r>
            <w:r>
              <w:rPr>
                <w:sz w:val="21"/>
              </w:rPr>
              <w:t>）、核磁共振（</w:t>
            </w:r>
            <w:r>
              <w:rPr>
                <w:rFonts w:ascii="Cambria" w:eastAsia="Cambria"/>
                <w:sz w:val="21"/>
              </w:rPr>
              <w:t>MRI</w:t>
            </w:r>
            <w:r>
              <w:rPr>
                <w:sz w:val="21"/>
              </w:rPr>
              <w:t>）或其他影像学检查被确诊为下列病变，并实际接受了手术或放射治疗。</w:t>
            </w:r>
          </w:p>
          <w:p>
            <w:pPr>
              <w:pStyle w:val="TableParagraph"/>
              <w:spacing w:before="26"/>
              <w:rPr>
                <w:sz w:val="21"/>
              </w:rPr>
            </w:pPr>
            <w:r>
              <w:rPr>
                <w:sz w:val="21"/>
              </w:rPr>
              <w:t>（</w:t>
            </w:r>
            <w:r>
              <w:rPr>
                <w:rFonts w:ascii="Cambria" w:eastAsia="Cambria"/>
                <w:sz w:val="21"/>
              </w:rPr>
              <w:t>1</w:t>
            </w:r>
            <w:r>
              <w:rPr>
                <w:sz w:val="21"/>
              </w:rPr>
              <w:t>）脑垂体瘤；</w:t>
            </w:r>
          </w:p>
          <w:p>
            <w:pPr>
              <w:pStyle w:val="TableParagraph"/>
              <w:spacing w:before="19"/>
              <w:rPr>
                <w:sz w:val="21"/>
              </w:rPr>
            </w:pPr>
            <w:r>
              <w:rPr>
                <w:sz w:val="21"/>
              </w:rPr>
              <w:t>（</w:t>
            </w:r>
            <w:r>
              <w:rPr>
                <w:rFonts w:ascii="Cambria" w:eastAsia="Cambria"/>
                <w:sz w:val="21"/>
              </w:rPr>
              <w:t>2</w:t>
            </w:r>
            <w:r>
              <w:rPr>
                <w:sz w:val="21"/>
              </w:rPr>
              <w:t>）脑囊肿；</w:t>
            </w:r>
          </w:p>
          <w:p>
            <w:pPr>
              <w:pStyle w:val="TableParagraph"/>
              <w:spacing w:before="20"/>
              <w:rPr>
                <w:sz w:val="21"/>
              </w:rPr>
            </w:pPr>
            <w:r>
              <w:rPr>
                <w:sz w:val="21"/>
              </w:rPr>
              <w:t>（</w:t>
            </w:r>
            <w:r>
              <w:rPr>
                <w:rFonts w:ascii="Cambria" w:eastAsia="Cambria"/>
                <w:sz w:val="21"/>
              </w:rPr>
              <w:t>3</w:t>
            </w:r>
            <w:r>
              <w:rPr>
                <w:sz w:val="21"/>
              </w:rPr>
              <w:t>）脑动脉瘤（尚未破裂）、脑血管瘤。</w:t>
            </w:r>
          </w:p>
        </w:tc>
      </w:tr>
      <w:tr>
        <w:trPr>
          <w:trHeight w:val="2814" w:hRule="atLeast"/>
        </w:trPr>
        <w:tc>
          <w:tcPr>
            <w:tcW w:w="1475" w:type="dxa"/>
          </w:tcPr>
          <w:p>
            <w:pPr>
              <w:pStyle w:val="TableParagraph"/>
              <w:spacing w:line="204" w:lineRule="auto" w:before="131"/>
              <w:ind w:left="200" w:right="218"/>
              <w:jc w:val="both"/>
              <w:rPr>
                <w:rFonts w:ascii="Microsoft JhengHei" w:eastAsia="Microsoft JhengHei" w:hint="eastAsia"/>
                <w:b/>
                <w:sz w:val="21"/>
              </w:rPr>
            </w:pPr>
            <w:r>
              <w:rPr>
                <w:rFonts w:ascii="Microsoft JhengHei" w:eastAsia="Microsoft JhengHei" w:hint="eastAsia"/>
                <w:b/>
                <w:sz w:val="21"/>
              </w:rPr>
              <w:t>6.视力严重受损－三周岁始理赔</w:t>
            </w:r>
          </w:p>
        </w:tc>
        <w:tc>
          <w:tcPr>
            <w:tcW w:w="6265" w:type="dxa"/>
          </w:tcPr>
          <w:p>
            <w:pPr>
              <w:pStyle w:val="TableParagraph"/>
              <w:spacing w:line="249" w:lineRule="auto" w:before="81"/>
              <w:ind w:right="258"/>
              <w:jc w:val="both"/>
              <w:rPr>
                <w:sz w:val="21"/>
              </w:rPr>
            </w:pPr>
            <w:r>
              <w:rPr>
                <w:sz w:val="21"/>
              </w:rPr>
              <w:t>指被保险人因疾病或意外伤害导致双目视力</w:t>
            </w:r>
            <w:r>
              <w:rPr>
                <w:rFonts w:ascii="微软雅黑" w:hAnsi="微软雅黑" w:eastAsia="微软雅黑" w:hint="eastAsia"/>
                <w:b/>
                <w:sz w:val="21"/>
              </w:rPr>
              <w:t>永久不可逆</w:t>
            </w:r>
            <w:r>
              <w:rPr>
                <w:sz w:val="21"/>
              </w:rPr>
              <w:t>性丧失， 虽然未达到重大疾病</w:t>
            </w:r>
            <w:r>
              <w:rPr>
                <w:rFonts w:ascii="Cambria" w:hAnsi="Cambria" w:eastAsia="Cambria"/>
                <w:sz w:val="21"/>
              </w:rPr>
              <w:t>“</w:t>
            </w:r>
            <w:r>
              <w:rPr>
                <w:sz w:val="21"/>
              </w:rPr>
              <w:t>双目失明</w:t>
            </w:r>
            <w:r>
              <w:rPr>
                <w:rFonts w:ascii="Cambria" w:hAnsi="Cambria" w:eastAsia="Cambria"/>
                <w:sz w:val="21"/>
              </w:rPr>
              <w:t>”</w:t>
            </w:r>
            <w:r>
              <w:rPr>
                <w:sz w:val="21"/>
              </w:rPr>
              <w:t>的给付标准，但满足下列条件之一：</w:t>
            </w:r>
          </w:p>
          <w:p>
            <w:pPr>
              <w:pStyle w:val="TableParagraph"/>
              <w:spacing w:line="256" w:lineRule="auto" w:before="28"/>
              <w:ind w:left="636" w:right="261" w:hanging="524"/>
              <w:rPr>
                <w:sz w:val="21"/>
              </w:rPr>
            </w:pPr>
            <w:r>
              <w:rPr>
                <w:sz w:val="21"/>
              </w:rPr>
              <w:t>（</w:t>
            </w:r>
            <w:r>
              <w:rPr>
                <w:rFonts w:ascii="Cambria" w:eastAsia="Cambria"/>
                <w:sz w:val="21"/>
              </w:rPr>
              <w:t>1</w:t>
            </w:r>
            <w:r>
              <w:rPr>
                <w:sz w:val="21"/>
              </w:rPr>
              <w:t>）双眼中较好眼矫正视力低于</w:t>
            </w:r>
            <w:r>
              <w:rPr>
                <w:rFonts w:ascii="Cambria" w:eastAsia="Cambria"/>
                <w:sz w:val="21"/>
              </w:rPr>
              <w:t>0.1</w:t>
            </w:r>
            <w:r>
              <w:rPr>
                <w:sz w:val="21"/>
              </w:rPr>
              <w:t>（采用国际标准视力表，如果使用其他视力表应进行换算）；</w:t>
            </w:r>
          </w:p>
          <w:p>
            <w:pPr>
              <w:pStyle w:val="TableParagraph"/>
              <w:spacing w:before="22"/>
              <w:rPr>
                <w:sz w:val="21"/>
              </w:rPr>
            </w:pPr>
            <w:r>
              <w:rPr>
                <w:sz w:val="21"/>
              </w:rPr>
              <w:t>（</w:t>
            </w:r>
            <w:r>
              <w:rPr>
                <w:rFonts w:ascii="Cambria" w:eastAsia="Cambria"/>
                <w:sz w:val="21"/>
              </w:rPr>
              <w:t>2</w:t>
            </w:r>
            <w:r>
              <w:rPr>
                <w:sz w:val="21"/>
              </w:rPr>
              <w:t>）双眼中较好眼视野半径小于</w:t>
            </w:r>
            <w:r>
              <w:rPr>
                <w:rFonts w:ascii="Cambria" w:eastAsia="Cambria"/>
                <w:sz w:val="21"/>
              </w:rPr>
              <w:t>20</w:t>
            </w:r>
            <w:r>
              <w:rPr>
                <w:sz w:val="21"/>
              </w:rPr>
              <w:t>度。</w:t>
            </w:r>
          </w:p>
          <w:p>
            <w:pPr>
              <w:pStyle w:val="TableParagraph"/>
              <w:spacing w:line="273" w:lineRule="auto" w:before="20"/>
              <w:ind w:right="301"/>
              <w:jc w:val="both"/>
              <w:rPr>
                <w:sz w:val="21"/>
              </w:rPr>
            </w:pPr>
            <w:r>
              <w:rPr>
                <w:sz w:val="21"/>
              </w:rPr>
              <w:t>被保险人在3周岁之前因疾病或意外导致的视力严重受损不在保障范围内。</w:t>
            </w:r>
          </w:p>
        </w:tc>
      </w:tr>
      <w:tr>
        <w:trPr>
          <w:trHeight w:val="1262" w:hRule="atLeast"/>
        </w:trPr>
        <w:tc>
          <w:tcPr>
            <w:tcW w:w="1475" w:type="dxa"/>
          </w:tcPr>
          <w:p>
            <w:pPr>
              <w:pStyle w:val="TableParagraph"/>
              <w:spacing w:line="201" w:lineRule="auto" w:before="144"/>
              <w:ind w:left="200" w:right="218"/>
              <w:rPr>
                <w:rFonts w:ascii="Microsoft JhengHei" w:eastAsia="Microsoft JhengHei" w:hint="eastAsia"/>
                <w:b/>
                <w:sz w:val="21"/>
              </w:rPr>
            </w:pPr>
            <w:r>
              <w:rPr>
                <w:rFonts w:ascii="Microsoft JhengHei" w:eastAsia="Microsoft JhengHei" w:hint="eastAsia"/>
                <w:b/>
                <w:sz w:val="21"/>
              </w:rPr>
              <w:t>7.主动脉内介入手术</w:t>
            </w:r>
          </w:p>
        </w:tc>
        <w:tc>
          <w:tcPr>
            <w:tcW w:w="6265" w:type="dxa"/>
          </w:tcPr>
          <w:p>
            <w:pPr>
              <w:pStyle w:val="TableParagraph"/>
              <w:spacing w:line="271" w:lineRule="auto" w:before="152"/>
              <w:ind w:right="304"/>
              <w:jc w:val="both"/>
              <w:rPr>
                <w:sz w:val="21"/>
              </w:rPr>
            </w:pPr>
            <w:r>
              <w:rPr>
                <w:spacing w:val="2"/>
                <w:sz w:val="21"/>
              </w:rPr>
              <w:t>指被保险人为了治疗主动脉疾病实际实施了经皮经导管进行的</w:t>
            </w:r>
            <w:r>
              <w:rPr>
                <w:spacing w:val="-6"/>
                <w:sz w:val="21"/>
              </w:rPr>
              <w:t>动脉内手术。主动脉指胸主动脉和腹主动脉，不包括胸主动脉和</w:t>
            </w:r>
            <w:r>
              <w:rPr>
                <w:spacing w:val="-5"/>
                <w:sz w:val="21"/>
              </w:rPr>
              <w:t>腹主动脉的分支血管。</w:t>
            </w:r>
          </w:p>
        </w:tc>
      </w:tr>
      <w:tr>
        <w:trPr>
          <w:trHeight w:val="1262" w:hRule="atLeast"/>
        </w:trPr>
        <w:tc>
          <w:tcPr>
            <w:tcW w:w="1475" w:type="dxa"/>
          </w:tcPr>
          <w:p>
            <w:pPr>
              <w:pStyle w:val="TableParagraph"/>
              <w:spacing w:line="337" w:lineRule="exact" w:before="85"/>
              <w:ind w:left="200"/>
              <w:rPr>
                <w:rFonts w:ascii="Microsoft JhengHei" w:eastAsia="Microsoft JhengHei" w:hint="eastAsia"/>
                <w:b/>
                <w:sz w:val="21"/>
              </w:rPr>
            </w:pPr>
            <w:r>
              <w:rPr>
                <w:rFonts w:ascii="Microsoft JhengHei" w:eastAsia="Microsoft JhengHei" w:hint="eastAsia"/>
                <w:b/>
                <w:sz w:val="21"/>
              </w:rPr>
              <w:t>8.较小面积</w:t>
            </w:r>
          </w:p>
          <w:p>
            <w:pPr>
              <w:pStyle w:val="TableParagraph"/>
              <w:spacing w:line="310" w:lineRule="exact"/>
              <w:ind w:left="200"/>
              <w:rPr>
                <w:rFonts w:ascii="Microsoft JhengHei" w:eastAsia="Microsoft JhengHei" w:hint="eastAsia"/>
                <w:b/>
                <w:sz w:val="21"/>
              </w:rPr>
            </w:pPr>
            <w:r>
              <w:rPr>
                <w:rFonts w:ascii="Microsoft JhengHei" w:eastAsia="Microsoft JhengHei" w:hint="eastAsia"/>
                <w:b/>
                <w:w w:val="115"/>
                <w:sz w:val="21"/>
              </w:rPr>
              <w:t>III 度烧伤</w:t>
            </w:r>
          </w:p>
          <w:p>
            <w:pPr>
              <w:pStyle w:val="TableParagraph"/>
              <w:spacing w:line="339"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（10）</w:t>
            </w:r>
          </w:p>
        </w:tc>
        <w:tc>
          <w:tcPr>
            <w:tcW w:w="6265" w:type="dxa"/>
          </w:tcPr>
          <w:p>
            <w:pPr>
              <w:pStyle w:val="TableParagraph"/>
              <w:spacing w:line="268" w:lineRule="auto" w:before="152"/>
              <w:ind w:right="230"/>
              <w:rPr>
                <w:sz w:val="21"/>
              </w:rPr>
            </w:pPr>
            <w:r>
              <w:rPr>
                <w:spacing w:val="-5"/>
                <w:sz w:val="21"/>
              </w:rPr>
              <w:t>指被保险人的烧伤程度为Ⅲ度，且Ⅲ度烧伤的面积大于全身体表</w:t>
            </w:r>
            <w:r>
              <w:rPr>
                <w:spacing w:val="-14"/>
                <w:sz w:val="21"/>
              </w:rPr>
              <w:t>面积的 </w:t>
            </w:r>
            <w:r>
              <w:rPr>
                <w:rFonts w:ascii="Times New Roman" w:hAnsi="Times New Roman" w:eastAsia="Times New Roman"/>
                <w:sz w:val="21"/>
              </w:rPr>
              <w:t>10%</w:t>
            </w:r>
            <w:r>
              <w:rPr>
                <w:spacing w:val="-12"/>
                <w:sz w:val="21"/>
              </w:rPr>
              <w:t>但小于 </w:t>
            </w:r>
            <w:r>
              <w:rPr>
                <w:rFonts w:ascii="Times New Roman" w:hAnsi="Times New Roman" w:eastAsia="Times New Roman"/>
                <w:sz w:val="21"/>
              </w:rPr>
              <w:t>20%</w:t>
            </w:r>
            <w:r>
              <w:rPr>
                <w:spacing w:val="-5"/>
                <w:sz w:val="21"/>
              </w:rPr>
              <w:t>。体表面积根据《中国新九分法》计算。</w:t>
            </w:r>
          </w:p>
        </w:tc>
      </w:tr>
      <w:tr>
        <w:trPr>
          <w:trHeight w:val="1339" w:hRule="atLeast"/>
        </w:trPr>
        <w:tc>
          <w:tcPr>
            <w:tcW w:w="1475" w:type="dxa"/>
          </w:tcPr>
          <w:p>
            <w:pPr>
              <w:pStyle w:val="TableParagraph"/>
              <w:spacing w:line="201" w:lineRule="auto" w:before="144"/>
              <w:ind w:left="200" w:right="218"/>
              <w:rPr>
                <w:rFonts w:ascii="Microsoft JhengHei" w:eastAsia="Microsoft JhengHei" w:hint="eastAsia"/>
                <w:b/>
                <w:sz w:val="21"/>
              </w:rPr>
            </w:pPr>
            <w:r>
              <w:rPr>
                <w:rFonts w:ascii="Microsoft JhengHei" w:eastAsia="Microsoft JhengHei" w:hint="eastAsia"/>
                <w:b/>
                <w:sz w:val="21"/>
              </w:rPr>
              <w:t>9.植入大脑内分流器</w:t>
            </w:r>
          </w:p>
        </w:tc>
        <w:tc>
          <w:tcPr>
            <w:tcW w:w="6265" w:type="dxa"/>
          </w:tcPr>
          <w:p>
            <w:pPr>
              <w:pStyle w:val="TableParagraph"/>
              <w:spacing w:line="271" w:lineRule="auto" w:before="152"/>
              <w:ind w:right="304"/>
              <w:jc w:val="both"/>
              <w:rPr>
                <w:sz w:val="21"/>
              </w:rPr>
            </w:pPr>
            <w:r>
              <w:rPr>
                <w:spacing w:val="-7"/>
                <w:sz w:val="21"/>
              </w:rPr>
              <w:t>植入大脑内分流器是指确实在脑室进行分流器植入手术，以缓解</w:t>
            </w:r>
            <w:r>
              <w:rPr>
                <w:spacing w:val="-10"/>
                <w:sz w:val="21"/>
              </w:rPr>
              <w:t>升高的脑脊液压力。必须由脑神经专科医生证实植入分流器为医疗所需。</w:t>
            </w:r>
          </w:p>
        </w:tc>
      </w:tr>
      <w:tr>
        <w:trPr>
          <w:trHeight w:val="1747" w:hRule="atLeast"/>
        </w:trPr>
        <w:tc>
          <w:tcPr>
            <w:tcW w:w="1475" w:type="dxa"/>
          </w:tcPr>
          <w:p>
            <w:pPr>
              <w:pStyle w:val="TableParagraph"/>
              <w:spacing w:before="11"/>
              <w:ind w:left="0"/>
              <w:rPr>
                <w:sz w:val="16"/>
              </w:rPr>
            </w:pPr>
          </w:p>
          <w:p>
            <w:pPr>
              <w:pStyle w:val="TableParagraph"/>
              <w:spacing w:line="201" w:lineRule="auto"/>
              <w:ind w:left="200" w:right="112"/>
              <w:rPr>
                <w:rFonts w:ascii="Microsoft JhengHei" w:eastAsia="Microsoft JhengHei" w:hint="eastAsia"/>
                <w:b/>
                <w:sz w:val="21"/>
              </w:rPr>
            </w:pPr>
            <w:r>
              <w:rPr>
                <w:rFonts w:ascii="Microsoft JhengHei" w:eastAsia="Microsoft JhengHei" w:hint="eastAsia"/>
                <w:b/>
                <w:sz w:val="21"/>
              </w:rPr>
              <w:t>10.重症头部外伤</w:t>
            </w:r>
          </w:p>
        </w:tc>
        <w:tc>
          <w:tcPr>
            <w:tcW w:w="6265" w:type="dxa"/>
          </w:tcPr>
          <w:p>
            <w:pPr>
              <w:pStyle w:val="TableParagraph"/>
              <w:spacing w:before="6"/>
              <w:ind w:left="0"/>
              <w:rPr>
                <w:sz w:val="17"/>
              </w:rPr>
            </w:pPr>
          </w:p>
          <w:p>
            <w:pPr>
              <w:pStyle w:val="TableParagraph"/>
              <w:spacing w:line="259" w:lineRule="auto"/>
              <w:ind w:right="197"/>
              <w:rPr>
                <w:sz w:val="21"/>
              </w:rPr>
            </w:pPr>
            <w:r>
              <w:rPr>
                <w:spacing w:val="-6"/>
                <w:sz w:val="21"/>
              </w:rPr>
              <w:t>指因头部遭受机械性外力伤害，引起脑重要部位损伤，并且由头颅断层扫描</w:t>
            </w:r>
            <w:r>
              <w:rPr>
                <w:spacing w:val="-3"/>
                <w:sz w:val="21"/>
              </w:rPr>
              <w:t>（</w:t>
            </w:r>
            <w:r>
              <w:rPr>
                <w:rFonts w:ascii="Cambria" w:hAnsi="Cambria" w:eastAsia="Cambria"/>
                <w:spacing w:val="-3"/>
                <w:sz w:val="21"/>
              </w:rPr>
              <w:t>CT</w:t>
            </w:r>
            <w:r>
              <w:rPr>
                <w:spacing w:val="-3"/>
                <w:sz w:val="21"/>
              </w:rPr>
              <w:t>）</w:t>
            </w:r>
            <w:r>
              <w:rPr>
                <w:spacing w:val="-4"/>
                <w:sz w:val="21"/>
              </w:rPr>
              <w:t>、核磁共振检查</w:t>
            </w:r>
            <w:r>
              <w:rPr>
                <w:sz w:val="21"/>
              </w:rPr>
              <w:t>（</w:t>
            </w:r>
            <w:r>
              <w:rPr>
                <w:rFonts w:ascii="Cambria" w:hAnsi="Cambria" w:eastAsia="Cambria"/>
                <w:sz w:val="21"/>
              </w:rPr>
              <w:t>MRI</w:t>
            </w:r>
            <w:r>
              <w:rPr>
                <w:sz w:val="21"/>
              </w:rPr>
              <w:t>）</w:t>
            </w:r>
            <w:r>
              <w:rPr>
                <w:spacing w:val="-3"/>
                <w:sz w:val="21"/>
              </w:rPr>
              <w:t>或正电子发射断层扫</w:t>
            </w:r>
            <w:r>
              <w:rPr>
                <w:spacing w:val="-29"/>
                <w:sz w:val="21"/>
              </w:rPr>
              <w:t>描</w:t>
            </w:r>
            <w:r>
              <w:rPr>
                <w:spacing w:val="-7"/>
                <w:sz w:val="21"/>
              </w:rPr>
              <w:t>（</w:t>
            </w:r>
            <w:r>
              <w:rPr>
                <w:rFonts w:ascii="Cambria" w:hAnsi="Cambria" w:eastAsia="Cambria"/>
                <w:spacing w:val="-7"/>
                <w:sz w:val="21"/>
              </w:rPr>
              <w:t>PET</w:t>
            </w:r>
            <w:r>
              <w:rPr>
                <w:spacing w:val="-7"/>
                <w:sz w:val="21"/>
              </w:rPr>
              <w:t>）</w:t>
            </w:r>
            <w:r>
              <w:rPr>
                <w:spacing w:val="-6"/>
                <w:sz w:val="21"/>
              </w:rPr>
              <w:t>等影像学检查证实。头部外伤导致神经系统功能障碍， </w:t>
            </w:r>
            <w:r>
              <w:rPr>
                <w:spacing w:val="-7"/>
                <w:sz w:val="21"/>
              </w:rPr>
              <w:t>虽然未达到重大疾病“严重脑损伤”的给付标准，但是符合以下</w:t>
            </w:r>
          </w:p>
          <w:p>
            <w:pPr>
              <w:pStyle w:val="TableParagraph"/>
              <w:spacing w:line="255" w:lineRule="exact" w:before="20"/>
              <w:rPr>
                <w:sz w:val="21"/>
              </w:rPr>
            </w:pPr>
            <w:r>
              <w:rPr>
                <w:sz w:val="21"/>
              </w:rPr>
              <w:t>条件之一：</w:t>
            </w:r>
          </w:p>
        </w:tc>
      </w:tr>
    </w:tbl>
    <w:p>
      <w:pPr>
        <w:rPr>
          <w:sz w:val="2"/>
          <w:szCs w:val="2"/>
        </w:rPr>
      </w:pPr>
      <w:r>
        <w:rPr/>
        <w:drawing>
          <wp:anchor distT="0" distB="0" distL="0" distR="0" allowOverlap="1" layoutInCell="1" locked="0" behindDoc="1" simplePos="0" relativeHeight="268378919">
            <wp:simplePos x="0" y="0"/>
            <wp:positionH relativeFrom="page">
              <wp:posOffset>2027554</wp:posOffset>
            </wp:positionH>
            <wp:positionV relativeFrom="page">
              <wp:posOffset>7895970</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header="0" w:footer="150" w:top="106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62"/>
      </w:tblGrid>
      <w:tr>
        <w:trPr>
          <w:trHeight w:val="1380" w:hRule="atLeast"/>
        </w:trPr>
        <w:tc>
          <w:tcPr>
            <w:tcW w:w="1475" w:type="dxa"/>
          </w:tcPr>
          <w:p>
            <w:pPr>
              <w:pStyle w:val="TableParagraph"/>
              <w:ind w:left="0"/>
              <w:rPr>
                <w:rFonts w:ascii="Times New Roman"/>
                <w:sz w:val="20"/>
              </w:rPr>
            </w:pPr>
          </w:p>
        </w:tc>
        <w:tc>
          <w:tcPr>
            <w:tcW w:w="6162" w:type="dxa"/>
          </w:tcPr>
          <w:p>
            <w:pPr>
              <w:pStyle w:val="TableParagraph"/>
              <w:spacing w:line="247" w:lineRule="exact"/>
              <w:rPr>
                <w:sz w:val="21"/>
              </w:rPr>
            </w:pPr>
            <w:r>
              <w:rPr>
                <w:sz w:val="21"/>
              </w:rPr>
              <w:t>（</w:t>
            </w:r>
            <w:r>
              <w:rPr>
                <w:rFonts w:ascii="Cambria" w:eastAsia="Cambria"/>
                <w:sz w:val="21"/>
              </w:rPr>
              <w:t>1</w:t>
            </w:r>
            <w:r>
              <w:rPr>
                <w:sz w:val="21"/>
              </w:rPr>
              <w:t>）被保险人接受了全麻下颅骨切开颅内血肿清除术（颅骨钻</w:t>
            </w:r>
          </w:p>
          <w:p>
            <w:pPr>
              <w:pStyle w:val="TableParagraph"/>
              <w:spacing w:before="20"/>
              <w:ind w:left="535"/>
              <w:rPr>
                <w:sz w:val="21"/>
              </w:rPr>
            </w:pPr>
            <w:r>
              <w:rPr>
                <w:sz w:val="21"/>
              </w:rPr>
              <w:t>孔术除外）；</w:t>
            </w:r>
          </w:p>
          <w:p>
            <w:pPr>
              <w:pStyle w:val="TableParagraph"/>
              <w:spacing w:line="256" w:lineRule="auto" w:before="37"/>
              <w:ind w:left="535" w:right="129" w:hanging="423"/>
              <w:rPr>
                <w:sz w:val="21"/>
              </w:rPr>
            </w:pPr>
            <w:r>
              <w:rPr>
                <w:sz w:val="21"/>
              </w:rPr>
              <w:t>（</w:t>
            </w:r>
            <w:r>
              <w:rPr>
                <w:rFonts w:ascii="Cambria" w:eastAsia="Cambria"/>
                <w:sz w:val="21"/>
              </w:rPr>
              <w:t>2</w:t>
            </w:r>
            <w:r>
              <w:rPr>
                <w:sz w:val="21"/>
              </w:rPr>
              <w:t>）在外伤</w:t>
            </w:r>
            <w:r>
              <w:rPr>
                <w:rFonts w:ascii="Cambria" w:eastAsia="Cambria"/>
                <w:sz w:val="21"/>
              </w:rPr>
              <w:t>180</w:t>
            </w:r>
            <w:r>
              <w:rPr>
                <w:sz w:val="21"/>
              </w:rPr>
              <w:t>天后仍然遗留一肢或一肢以上肢体肌力</w:t>
            </w:r>
            <w:r>
              <w:rPr>
                <w:rFonts w:ascii="Cambria" w:eastAsia="Cambria"/>
                <w:sz w:val="21"/>
              </w:rPr>
              <w:t>III</w:t>
            </w:r>
            <w:r>
              <w:rPr>
                <w:sz w:val="21"/>
              </w:rPr>
              <w:t>级或</w:t>
            </w:r>
            <w:r>
              <w:rPr>
                <w:rFonts w:ascii="Cambria" w:eastAsia="Cambria"/>
                <w:sz w:val="21"/>
              </w:rPr>
              <w:t>III </w:t>
            </w:r>
            <w:r>
              <w:rPr>
                <w:sz w:val="21"/>
              </w:rPr>
              <w:t>级以下的运动功能障碍。</w:t>
            </w:r>
          </w:p>
        </w:tc>
      </w:tr>
      <w:tr>
        <w:trPr>
          <w:trHeight w:val="950"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11.单个肢体缺失</w:t>
            </w:r>
          </w:p>
        </w:tc>
        <w:tc>
          <w:tcPr>
            <w:tcW w:w="6162" w:type="dxa"/>
          </w:tcPr>
          <w:p>
            <w:pPr>
              <w:pStyle w:val="TableParagraph"/>
              <w:spacing w:line="273" w:lineRule="auto" w:before="150"/>
              <w:ind w:right="151"/>
              <w:rPr>
                <w:sz w:val="21"/>
              </w:rPr>
            </w:pPr>
            <w:r>
              <w:rPr>
                <w:sz w:val="21"/>
              </w:rPr>
              <w:t>指因疾病或意外伤害导致一个肢体自腕关节或踝关节近端（靠近躯干端）以上完全性断离。</w:t>
            </w:r>
          </w:p>
        </w:tc>
      </w:tr>
      <w:tr>
        <w:trPr>
          <w:trHeight w:val="950"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12.单侧肺脏切除</w:t>
            </w:r>
          </w:p>
        </w:tc>
        <w:tc>
          <w:tcPr>
            <w:tcW w:w="6162" w:type="dxa"/>
          </w:tcPr>
          <w:p>
            <w:pPr>
              <w:pStyle w:val="TableParagraph"/>
              <w:spacing w:before="150"/>
              <w:rPr>
                <w:sz w:val="21"/>
              </w:rPr>
            </w:pPr>
            <w:r>
              <w:rPr>
                <w:sz w:val="21"/>
              </w:rPr>
              <w:t>指因疾病或意外事故实际实施的一侧肺脏切除术。</w:t>
            </w:r>
          </w:p>
          <w:p>
            <w:pPr>
              <w:pStyle w:val="TableParagraph"/>
              <w:spacing w:before="37"/>
              <w:rPr>
                <w:sz w:val="21"/>
              </w:rPr>
            </w:pPr>
            <w:r>
              <w:rPr>
                <w:sz w:val="21"/>
              </w:rPr>
              <w:t>肺脏部分切除手术和肺脏捐献引起的手术不在保障范围内。</w:t>
            </w:r>
          </w:p>
        </w:tc>
      </w:tr>
      <w:tr>
        <w:trPr>
          <w:trHeight w:val="1572" w:hRule="atLeast"/>
        </w:trPr>
        <w:tc>
          <w:tcPr>
            <w:tcW w:w="1475" w:type="dxa"/>
          </w:tcPr>
          <w:p>
            <w:pPr>
              <w:pStyle w:val="TableParagraph"/>
              <w:spacing w:before="83"/>
              <w:ind w:left="0" w:right="112"/>
              <w:jc w:val="right"/>
              <w:rPr>
                <w:rFonts w:ascii="Microsoft JhengHei" w:eastAsia="Microsoft JhengHei" w:hint="eastAsia"/>
                <w:b/>
                <w:sz w:val="21"/>
              </w:rPr>
            </w:pPr>
            <w:r>
              <w:rPr>
                <w:rFonts w:ascii="Microsoft JhengHei" w:eastAsia="Microsoft JhengHei" w:hint="eastAsia"/>
                <w:b/>
                <w:sz w:val="21"/>
              </w:rPr>
              <w:t>13.肝脏手术</w:t>
            </w:r>
          </w:p>
        </w:tc>
        <w:tc>
          <w:tcPr>
            <w:tcW w:w="6162" w:type="dxa"/>
          </w:tcPr>
          <w:p>
            <w:pPr>
              <w:pStyle w:val="TableParagraph"/>
              <w:spacing w:line="268" w:lineRule="auto" w:before="150"/>
              <w:ind w:right="150"/>
              <w:rPr>
                <w:sz w:val="21"/>
              </w:rPr>
            </w:pPr>
            <w:r>
              <w:rPr>
                <w:sz w:val="21"/>
              </w:rPr>
              <w:t>指为治疗肝脏肿瘤、肝内胆管结石、肝脓肿、肝包虫病等疾病而实际实施的肝脏部分切除术。</w:t>
            </w:r>
          </w:p>
          <w:p>
            <w:pPr>
              <w:pStyle w:val="TableParagraph"/>
              <w:spacing w:line="273" w:lineRule="auto" w:before="12"/>
              <w:ind w:right="201"/>
              <w:rPr>
                <w:sz w:val="21"/>
              </w:rPr>
            </w:pPr>
            <w:r>
              <w:rPr>
                <w:sz w:val="21"/>
              </w:rPr>
              <w:t>因酒精或者滥用药物引致的疾病或者紊乱及／或者因捐赠肝脏而所需的肝脏手术均不在保障范围内。</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14.早期运动神经性疾病</w:t>
            </w:r>
          </w:p>
        </w:tc>
        <w:tc>
          <w:tcPr>
            <w:tcW w:w="6162" w:type="dxa"/>
          </w:tcPr>
          <w:p>
            <w:pPr>
              <w:pStyle w:val="TableParagraph"/>
              <w:spacing w:line="271" w:lineRule="auto" w:before="152"/>
              <w:ind w:right="201"/>
              <w:jc w:val="both"/>
              <w:rPr>
                <w:sz w:val="21"/>
              </w:rPr>
            </w:pPr>
            <w:r>
              <w:rPr>
                <w:spacing w:val="-7"/>
                <w:sz w:val="21"/>
              </w:rPr>
              <w:t>是一组中枢神经系统运动神经元的进行性变性疾病，进行性脊肌</w:t>
            </w:r>
            <w:r>
              <w:rPr>
                <w:spacing w:val="-9"/>
                <w:sz w:val="21"/>
              </w:rPr>
              <w:t>萎缩症、进行性延髓麻痹症、原发性侧索硬化症、肌萎缩性侧索硬化症。须满足自主生活能力完全丧失，无法独立完成六项基本</w:t>
            </w:r>
            <w:r>
              <w:rPr>
                <w:spacing w:val="-7"/>
                <w:sz w:val="21"/>
              </w:rPr>
              <w:t>日常生活活动中的两项。</w:t>
            </w:r>
          </w:p>
        </w:tc>
      </w:tr>
      <w:tr>
        <w:trPr>
          <w:trHeight w:val="1895"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15.人工耳蜗植入术</w:t>
            </w:r>
          </w:p>
        </w:tc>
        <w:tc>
          <w:tcPr>
            <w:tcW w:w="6162" w:type="dxa"/>
          </w:tcPr>
          <w:p>
            <w:pPr>
              <w:pStyle w:val="TableParagraph"/>
              <w:spacing w:line="271" w:lineRule="auto" w:before="152"/>
              <w:ind w:right="199"/>
              <w:jc w:val="both"/>
              <w:rPr>
                <w:sz w:val="21"/>
              </w:rPr>
            </w:pPr>
            <w:r>
              <w:rPr>
                <w:spacing w:val="-7"/>
                <w:sz w:val="21"/>
              </w:rPr>
              <w:t>指由于耳蜗的永久损害而实际实施了人工耳蜗植入手术。诊断须</w:t>
            </w:r>
            <w:r>
              <w:rPr>
                <w:spacing w:val="-9"/>
                <w:sz w:val="21"/>
              </w:rPr>
              <w:t>经专科医师确认在医学上是必要的，且在植入手术之前已经符合</w:t>
            </w:r>
            <w:r>
              <w:rPr>
                <w:spacing w:val="-8"/>
                <w:sz w:val="21"/>
              </w:rPr>
              <w:t>下       列       全       部       条       件      ：</w:t>
            </w:r>
          </w:p>
          <w:p>
            <w:pPr>
              <w:pStyle w:val="TableParagraph"/>
              <w:spacing w:before="9"/>
              <w:jc w:val="both"/>
              <w:rPr>
                <w:sz w:val="21"/>
              </w:rPr>
            </w:pPr>
            <w:r>
              <w:rPr>
                <w:sz w:val="21"/>
              </w:rPr>
              <w:t>（ </w:t>
            </w:r>
            <w:r>
              <w:rPr>
                <w:rFonts w:ascii="Cambria" w:eastAsia="Cambria"/>
                <w:sz w:val="21"/>
              </w:rPr>
              <w:t>1 </w:t>
            </w:r>
            <w:r>
              <w:rPr>
                <w:sz w:val="21"/>
              </w:rPr>
              <w:t>）</w:t>
            </w:r>
            <w:r>
              <w:rPr>
                <w:spacing w:val="-25"/>
                <w:sz w:val="21"/>
              </w:rPr>
              <w:t> 双 耳 持 续 </w:t>
            </w:r>
            <w:r>
              <w:rPr>
                <w:rFonts w:ascii="Cambria" w:eastAsia="Cambria"/>
                <w:sz w:val="21"/>
              </w:rPr>
              <w:t>12 </w:t>
            </w:r>
            <w:r>
              <w:rPr>
                <w:spacing w:val="-26"/>
                <w:sz w:val="21"/>
              </w:rPr>
              <w:t>个 月 以 上 重 度 感 音 神 经 性 耳 聋 ；</w:t>
            </w:r>
          </w:p>
          <w:p>
            <w:pPr>
              <w:pStyle w:val="TableParagraph"/>
              <w:spacing w:before="19"/>
              <w:jc w:val="both"/>
              <w:rPr>
                <w:sz w:val="21"/>
              </w:rPr>
            </w:pPr>
            <w:r>
              <w:rPr>
                <w:sz w:val="21"/>
              </w:rPr>
              <w:t>（</w:t>
            </w:r>
            <w:r>
              <w:rPr>
                <w:rFonts w:ascii="Cambria" w:eastAsia="Cambria"/>
                <w:sz w:val="21"/>
              </w:rPr>
              <w:t>2</w:t>
            </w:r>
            <w:r>
              <w:rPr>
                <w:sz w:val="21"/>
              </w:rPr>
              <w:t>）使用相应的听力辅助设备效果不佳。</w:t>
            </w:r>
          </w:p>
        </w:tc>
      </w:tr>
      <w:tr>
        <w:trPr>
          <w:trHeight w:val="1254" w:hRule="atLeast"/>
        </w:trPr>
        <w:tc>
          <w:tcPr>
            <w:tcW w:w="1475" w:type="dxa"/>
          </w:tcPr>
          <w:p>
            <w:pPr>
              <w:pStyle w:val="TableParagraph"/>
              <w:spacing w:line="201" w:lineRule="auto" w:before="135"/>
              <w:ind w:left="200" w:right="112"/>
              <w:rPr>
                <w:rFonts w:ascii="Microsoft JhengHei" w:eastAsia="Microsoft JhengHei" w:hint="eastAsia"/>
                <w:b/>
                <w:sz w:val="21"/>
              </w:rPr>
            </w:pPr>
            <w:r>
              <w:rPr>
                <w:rFonts w:ascii="Microsoft JhengHei" w:eastAsia="Microsoft JhengHei" w:hint="eastAsia"/>
                <w:b/>
                <w:sz w:val="21"/>
              </w:rPr>
              <w:t>16.胆道重建手术</w:t>
            </w:r>
          </w:p>
        </w:tc>
        <w:tc>
          <w:tcPr>
            <w:tcW w:w="6162" w:type="dxa"/>
          </w:tcPr>
          <w:p>
            <w:pPr>
              <w:pStyle w:val="TableParagraph"/>
              <w:spacing w:line="271" w:lineRule="auto" w:before="144"/>
              <w:ind w:right="145"/>
              <w:rPr>
                <w:sz w:val="21"/>
              </w:rPr>
            </w:pPr>
            <w:r>
              <w:rPr>
                <w:sz w:val="21"/>
              </w:rPr>
              <w:t>指因疾病或胆道创伤导致接受涉及胆总管小肠吻合术的胆道重建手术。手术必须在专科医生认为是医疗所需的情况下进行。胆道闭锁并</w:t>
            </w:r>
            <w:r>
              <w:rPr>
                <w:rFonts w:ascii="Arial" w:eastAsia="Arial"/>
                <w:w w:val="115"/>
                <w:sz w:val="21"/>
              </w:rPr>
              <w:t>不</w:t>
            </w:r>
            <w:r>
              <w:rPr>
                <w:sz w:val="21"/>
              </w:rPr>
              <w:t>在保障范围内。</w:t>
            </w:r>
          </w:p>
        </w:tc>
      </w:tr>
      <w:tr>
        <w:trPr>
          <w:trHeight w:val="126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17.双侧卵巢或睾丸切除术</w:t>
            </w:r>
          </w:p>
        </w:tc>
        <w:tc>
          <w:tcPr>
            <w:tcW w:w="6162" w:type="dxa"/>
          </w:tcPr>
          <w:p>
            <w:pPr>
              <w:pStyle w:val="TableParagraph"/>
              <w:spacing w:line="268" w:lineRule="auto" w:before="152"/>
              <w:ind w:right="201"/>
              <w:rPr>
                <w:sz w:val="21"/>
              </w:rPr>
            </w:pPr>
            <w:r>
              <w:rPr>
                <w:sz w:val="21"/>
              </w:rPr>
              <w:t>指为治疗疾病实际接受了经腹部切开或腹腔镜进行的双侧卵巢或睾丸完全切除手术。</w:t>
            </w:r>
          </w:p>
          <w:p>
            <w:pPr>
              <w:pStyle w:val="TableParagraph"/>
              <w:spacing w:before="11"/>
              <w:rPr>
                <w:sz w:val="21"/>
              </w:rPr>
            </w:pPr>
            <w:r>
              <w:rPr>
                <w:sz w:val="21"/>
              </w:rPr>
              <w:t>部分卵巢或睾丸切除不在保障范围。</w:t>
            </w:r>
          </w:p>
        </w:tc>
      </w:tr>
      <w:tr>
        <w:trPr>
          <w:trHeight w:val="948"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18.单侧肾脏切除</w:t>
            </w:r>
          </w:p>
        </w:tc>
        <w:tc>
          <w:tcPr>
            <w:tcW w:w="6162" w:type="dxa"/>
          </w:tcPr>
          <w:p>
            <w:pPr>
              <w:pStyle w:val="TableParagraph"/>
              <w:spacing w:before="152"/>
              <w:rPr>
                <w:sz w:val="21"/>
              </w:rPr>
            </w:pPr>
            <w:r>
              <w:rPr>
                <w:sz w:val="21"/>
              </w:rPr>
              <w:t>指因疾病或意外事故实际实施的一侧肾脏切除术。</w:t>
            </w:r>
          </w:p>
          <w:p>
            <w:pPr>
              <w:pStyle w:val="TableParagraph"/>
              <w:spacing w:before="32"/>
              <w:rPr>
                <w:sz w:val="21"/>
              </w:rPr>
            </w:pPr>
            <w:r>
              <w:rPr>
                <w:sz w:val="21"/>
              </w:rPr>
              <w:t>肾脏部分切除手术和肾脏捐献引起的手术不在保障范围内。</w:t>
            </w:r>
          </w:p>
        </w:tc>
      </w:tr>
      <w:tr>
        <w:trPr>
          <w:trHeight w:val="950" w:hRule="atLeast"/>
        </w:trPr>
        <w:tc>
          <w:tcPr>
            <w:tcW w:w="1475" w:type="dxa"/>
          </w:tcPr>
          <w:p>
            <w:pPr>
              <w:pStyle w:val="TableParagraph"/>
              <w:spacing w:before="83"/>
              <w:ind w:left="0" w:right="112"/>
              <w:jc w:val="right"/>
              <w:rPr>
                <w:rFonts w:ascii="Microsoft JhengHei" w:eastAsia="Microsoft JhengHei" w:hint="eastAsia"/>
                <w:b/>
                <w:sz w:val="21"/>
              </w:rPr>
            </w:pPr>
            <w:r>
              <w:rPr>
                <w:rFonts w:ascii="Microsoft JhengHei" w:eastAsia="Microsoft JhengHei" w:hint="eastAsia"/>
                <w:b/>
                <w:sz w:val="21"/>
              </w:rPr>
              <w:t>19.肝叶切除</w:t>
            </w:r>
          </w:p>
        </w:tc>
        <w:tc>
          <w:tcPr>
            <w:tcW w:w="6162" w:type="dxa"/>
          </w:tcPr>
          <w:p>
            <w:pPr>
              <w:pStyle w:val="TableParagraph"/>
              <w:spacing w:line="273" w:lineRule="auto" w:before="150"/>
              <w:ind w:right="150"/>
              <w:rPr>
                <w:sz w:val="21"/>
              </w:rPr>
            </w:pPr>
            <w:r>
              <w:rPr>
                <w:sz w:val="21"/>
              </w:rPr>
              <w:t>因意外伤害导致的大块肝组织离断、破碎或大胆管破裂无法修补而实际实施的至少一整叶肝脏的切除手术。</w:t>
            </w:r>
          </w:p>
        </w:tc>
      </w:tr>
      <w:tr>
        <w:trPr>
          <w:trHeight w:val="1985" w:hRule="atLeast"/>
        </w:trPr>
        <w:tc>
          <w:tcPr>
            <w:tcW w:w="1475" w:type="dxa"/>
          </w:tcPr>
          <w:p>
            <w:pPr>
              <w:pStyle w:val="TableParagraph"/>
              <w:spacing w:before="83"/>
              <w:ind w:left="0" w:right="112"/>
              <w:jc w:val="right"/>
              <w:rPr>
                <w:rFonts w:ascii="Microsoft JhengHei" w:eastAsia="Microsoft JhengHei" w:hint="eastAsia"/>
                <w:b/>
                <w:sz w:val="21"/>
              </w:rPr>
            </w:pPr>
            <w:r>
              <w:rPr>
                <w:rFonts w:ascii="Microsoft JhengHei" w:eastAsia="Microsoft JhengHei" w:hint="eastAsia"/>
                <w:b/>
                <w:sz w:val="21"/>
              </w:rPr>
              <w:t>20.单耳失聪</w:t>
            </w:r>
          </w:p>
        </w:tc>
        <w:tc>
          <w:tcPr>
            <w:tcW w:w="6162" w:type="dxa"/>
          </w:tcPr>
          <w:p>
            <w:pPr>
              <w:pStyle w:val="TableParagraph"/>
              <w:spacing w:before="150"/>
              <w:rPr>
                <w:sz w:val="21"/>
              </w:rPr>
            </w:pPr>
            <w:r>
              <w:rPr>
                <w:sz w:val="21"/>
              </w:rPr>
              <w:t>指因疾病或者意外伤害导致单耳听力永久不可逆性丧失，在 500</w:t>
            </w:r>
          </w:p>
          <w:p>
            <w:pPr>
              <w:pStyle w:val="TableParagraph"/>
              <w:spacing w:line="273" w:lineRule="auto" w:before="37"/>
              <w:ind w:right="198"/>
              <w:jc w:val="both"/>
              <w:rPr>
                <w:sz w:val="21"/>
              </w:rPr>
            </w:pPr>
            <w:r>
              <w:rPr>
                <w:sz w:val="21"/>
              </w:rPr>
              <w:t>赫兹、1000</w:t>
            </w:r>
            <w:r>
              <w:rPr>
                <w:spacing w:val="-11"/>
                <w:sz w:val="21"/>
              </w:rPr>
              <w:t> 赫兹和 </w:t>
            </w:r>
            <w:r>
              <w:rPr>
                <w:sz w:val="21"/>
              </w:rPr>
              <w:t>2000</w:t>
            </w:r>
            <w:r>
              <w:rPr>
                <w:spacing w:val="-7"/>
                <w:sz w:val="21"/>
              </w:rPr>
              <w:t> 赫兹语音频率下，平均听阈大于 </w:t>
            </w:r>
            <w:r>
              <w:rPr>
                <w:sz w:val="21"/>
              </w:rPr>
              <w:t>90</w:t>
            </w:r>
            <w:r>
              <w:rPr>
                <w:spacing w:val="-12"/>
                <w:sz w:val="21"/>
              </w:rPr>
              <w:t> 分</w:t>
            </w:r>
            <w:r>
              <w:rPr>
                <w:spacing w:val="-9"/>
                <w:sz w:val="21"/>
              </w:rPr>
              <w:t>贝，且经纯音听力测试、声导抗检测或者听觉诱发电位检测等证实。</w:t>
            </w:r>
          </w:p>
          <w:p>
            <w:pPr>
              <w:pStyle w:val="TableParagraph"/>
              <w:spacing w:line="312" w:lineRule="exact" w:before="3"/>
              <w:ind w:right="199"/>
              <w:jc w:val="both"/>
              <w:rPr>
                <w:sz w:val="21"/>
              </w:rPr>
            </w:pPr>
            <w:r>
              <w:rPr>
                <w:spacing w:val="5"/>
                <w:sz w:val="21"/>
              </w:rPr>
              <w:t>被保险人在</w:t>
            </w:r>
            <w:r>
              <w:rPr>
                <w:sz w:val="21"/>
              </w:rPr>
              <w:t>3</w:t>
            </w:r>
            <w:r>
              <w:rPr>
                <w:spacing w:val="-8"/>
                <w:sz w:val="21"/>
              </w:rPr>
              <w:t> 周岁之前因疾病或意外导致的单耳失聪不在保障范围内。</w:t>
            </w:r>
          </w:p>
        </w:tc>
      </w:tr>
    </w:tbl>
    <w:p>
      <w:pPr>
        <w:spacing w:after="0" w:line="312" w:lineRule="exact"/>
        <w:jc w:val="both"/>
        <w:rPr>
          <w:sz w:val="21"/>
        </w:rPr>
        <w:sectPr>
          <w:pgSz w:w="11910" w:h="16840"/>
          <w:pgMar w:header="0" w:footer="150" w:top="720" w:bottom="340" w:left="1680" w:right="15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6"/>
      </w:tblGrid>
      <w:tr>
        <w:trPr>
          <w:trHeight w:val="2614"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21.微创冠状</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动脉搭桥手术</w:t>
            </w:r>
          </w:p>
        </w:tc>
        <w:tc>
          <w:tcPr>
            <w:tcW w:w="6266" w:type="dxa"/>
          </w:tcPr>
          <w:p>
            <w:pPr>
              <w:pStyle w:val="TableParagraph"/>
              <w:spacing w:line="211" w:lineRule="exact"/>
              <w:rPr>
                <w:sz w:val="21"/>
              </w:rPr>
            </w:pPr>
            <w:r>
              <w:rPr>
                <w:sz w:val="21"/>
              </w:rPr>
              <w:t>指为纠正冠状动脉的狭窄或堵塞，而实际实施的微创冠状动脉旁</w:t>
            </w:r>
          </w:p>
          <w:p>
            <w:pPr>
              <w:pStyle w:val="TableParagraph"/>
              <w:spacing w:line="273" w:lineRule="auto" w:before="32"/>
              <w:ind w:right="304"/>
              <w:jc w:val="both"/>
              <w:rPr>
                <w:sz w:val="21"/>
              </w:rPr>
            </w:pPr>
            <w:r>
              <w:rPr>
                <w:spacing w:val="-6"/>
                <w:sz w:val="21"/>
              </w:rPr>
              <w:t>路移植手术。手术通过微创开胸术</w:t>
            </w:r>
            <w:r>
              <w:rPr>
                <w:sz w:val="21"/>
              </w:rPr>
              <w:t>（</w:t>
            </w:r>
            <w:r>
              <w:rPr>
                <w:spacing w:val="-3"/>
                <w:sz w:val="21"/>
              </w:rPr>
              <w:t>肋骨间小切口</w:t>
            </w:r>
            <w:r>
              <w:rPr>
                <w:spacing w:val="-15"/>
                <w:sz w:val="21"/>
              </w:rPr>
              <w:t>）</w:t>
            </w:r>
            <w:r>
              <w:rPr>
                <w:spacing w:val="-3"/>
                <w:sz w:val="21"/>
              </w:rPr>
              <w:t>进行，且诊</w:t>
            </w:r>
            <w:r>
              <w:rPr>
                <w:spacing w:val="-7"/>
                <w:sz w:val="21"/>
              </w:rPr>
              <w:t>断须由冠状动脉血管造影检查确诊狭窄或堵塞。微创冠状动脉绕</w:t>
            </w:r>
            <w:r>
              <w:rPr>
                <w:spacing w:val="-6"/>
                <w:sz w:val="21"/>
              </w:rPr>
              <w:t>道也包括“锁孔”冠脉搭桥手术。</w:t>
            </w:r>
          </w:p>
          <w:p>
            <w:pPr>
              <w:pStyle w:val="TableParagraph"/>
              <w:spacing w:before="7"/>
              <w:rPr>
                <w:sz w:val="21"/>
              </w:rPr>
            </w:pPr>
            <w:r>
              <w:rPr>
                <w:sz w:val="21"/>
              </w:rPr>
              <w:t>必须满足下列全部条件：</w:t>
            </w:r>
          </w:p>
          <w:p>
            <w:pPr>
              <w:pStyle w:val="TableParagraph"/>
              <w:spacing w:line="256" w:lineRule="auto" w:before="37"/>
              <w:ind w:right="307"/>
              <w:rPr>
                <w:sz w:val="21"/>
              </w:rPr>
            </w:pPr>
            <w:r>
              <w:rPr>
                <w:sz w:val="21"/>
              </w:rPr>
              <w:t>（</w:t>
            </w:r>
            <w:r>
              <w:rPr>
                <w:rFonts w:ascii="Cambria" w:eastAsia="Cambria"/>
                <w:sz w:val="21"/>
              </w:rPr>
              <w:t>1</w:t>
            </w:r>
            <w:r>
              <w:rPr>
                <w:sz w:val="21"/>
              </w:rPr>
              <w:t>）血管造影显示至少两支冠状动脉狭窄超过</w:t>
            </w:r>
            <w:r>
              <w:rPr>
                <w:rFonts w:ascii="Cambria" w:eastAsia="Cambria"/>
                <w:sz w:val="21"/>
              </w:rPr>
              <w:t>50%</w:t>
            </w:r>
            <w:r>
              <w:rPr>
                <w:sz w:val="21"/>
              </w:rPr>
              <w:t>或一支冠状动脉狭窄超过</w:t>
            </w:r>
            <w:r>
              <w:rPr>
                <w:rFonts w:ascii="Cambria" w:eastAsia="Cambria"/>
                <w:sz w:val="21"/>
              </w:rPr>
              <w:t>70%</w:t>
            </w:r>
            <w:r>
              <w:rPr>
                <w:sz w:val="21"/>
              </w:rPr>
              <w:t>；</w:t>
            </w:r>
          </w:p>
          <w:p>
            <w:pPr>
              <w:pStyle w:val="TableParagraph"/>
              <w:spacing w:before="2"/>
              <w:jc w:val="both"/>
              <w:rPr>
                <w:sz w:val="21"/>
              </w:rPr>
            </w:pPr>
            <w:r>
              <w:rPr>
                <w:sz w:val="21"/>
              </w:rPr>
              <w:t>（</w:t>
            </w:r>
            <w:r>
              <w:rPr>
                <w:rFonts w:ascii="Times New Roman" w:eastAsia="Times New Roman"/>
                <w:sz w:val="21"/>
              </w:rPr>
              <w:t>2</w:t>
            </w:r>
            <w:r>
              <w:rPr>
                <w:sz w:val="21"/>
              </w:rPr>
              <w:t>）手术须由心脏专科医师进行，并确认该手术的必要性。</w:t>
            </w:r>
          </w:p>
        </w:tc>
      </w:tr>
      <w:tr>
        <w:trPr>
          <w:trHeight w:val="2191" w:hRule="atLeast"/>
        </w:trPr>
        <w:tc>
          <w:tcPr>
            <w:tcW w:w="1475" w:type="dxa"/>
          </w:tcPr>
          <w:p>
            <w:pPr>
              <w:pStyle w:val="TableParagraph"/>
              <w:spacing w:line="204" w:lineRule="auto" w:before="132"/>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22.Ⅲ度房室传导阻滞-已</w:t>
            </w:r>
            <w:r>
              <w:rPr>
                <w:rFonts w:ascii="Microsoft JhengHei" w:hAnsi="Microsoft JhengHei" w:eastAsia="Microsoft JhengHei" w:hint="eastAsia"/>
                <w:b/>
                <w:w w:val="105"/>
                <w:sz w:val="21"/>
              </w:rPr>
              <w:t>放置心脏起</w:t>
            </w:r>
            <w:r>
              <w:rPr>
                <w:rFonts w:ascii="Microsoft JhengHei" w:hAnsi="Microsoft JhengHei" w:eastAsia="Microsoft JhengHei" w:hint="eastAsia"/>
                <w:b/>
                <w:sz w:val="21"/>
              </w:rPr>
              <w:t>搏器</w:t>
            </w:r>
          </w:p>
        </w:tc>
        <w:tc>
          <w:tcPr>
            <w:tcW w:w="6266" w:type="dxa"/>
          </w:tcPr>
          <w:p>
            <w:pPr>
              <w:pStyle w:val="TableParagraph"/>
              <w:spacing w:line="268" w:lineRule="auto" w:before="144"/>
              <w:ind w:right="254"/>
              <w:rPr>
                <w:sz w:val="21"/>
              </w:rPr>
            </w:pPr>
            <w:r>
              <w:rPr>
                <w:sz w:val="21"/>
              </w:rPr>
              <w:t>指心房激动在房室交界区、房室束及其分支内发生阻滞，不能正常地传到心室的心脏传导性疾病须满足下列所有条件：</w:t>
            </w:r>
          </w:p>
          <w:p>
            <w:pPr>
              <w:pStyle w:val="TableParagraph"/>
              <w:spacing w:before="11"/>
              <w:rPr>
                <w:sz w:val="21"/>
              </w:rPr>
            </w:pPr>
            <w:r>
              <w:rPr>
                <w:sz w:val="21"/>
              </w:rPr>
              <w:t>（</w:t>
            </w:r>
            <w:r>
              <w:rPr>
                <w:rFonts w:ascii="Cambria" w:eastAsia="Cambria"/>
                <w:sz w:val="21"/>
              </w:rPr>
              <w:t>1</w:t>
            </w:r>
            <w:r>
              <w:rPr>
                <w:sz w:val="21"/>
              </w:rPr>
              <w:t>）心电图显示房室搏动彼此独立，心室率</w:t>
            </w:r>
            <w:r>
              <w:rPr>
                <w:rFonts w:ascii="Cambria" w:eastAsia="Cambria"/>
                <w:sz w:val="21"/>
              </w:rPr>
              <w:t>&lt;50</w:t>
            </w:r>
            <w:r>
              <w:rPr>
                <w:sz w:val="21"/>
              </w:rPr>
              <w:t>次</w:t>
            </w:r>
            <w:r>
              <w:rPr>
                <w:rFonts w:ascii="Cambria" w:eastAsia="Cambria"/>
                <w:sz w:val="21"/>
              </w:rPr>
              <w:t>/</w:t>
            </w:r>
            <w:r>
              <w:rPr>
                <w:sz w:val="21"/>
              </w:rPr>
              <w:t>分钟；</w:t>
            </w:r>
          </w:p>
          <w:p>
            <w:pPr>
              <w:pStyle w:val="TableParagraph"/>
              <w:spacing w:before="19"/>
              <w:rPr>
                <w:sz w:val="21"/>
              </w:rPr>
            </w:pPr>
            <w:r>
              <w:rPr>
                <w:sz w:val="21"/>
              </w:rPr>
              <w:t>（</w:t>
            </w:r>
            <w:r>
              <w:rPr>
                <w:rFonts w:ascii="Cambria" w:eastAsia="Cambria"/>
                <w:sz w:val="21"/>
              </w:rPr>
              <w:t>2</w:t>
            </w:r>
            <w:r>
              <w:rPr>
                <w:sz w:val="21"/>
              </w:rPr>
              <w:t>）出现阿</w:t>
            </w:r>
            <w:r>
              <w:rPr>
                <w:rFonts w:ascii="Cambria" w:eastAsia="Cambria"/>
                <w:sz w:val="21"/>
              </w:rPr>
              <w:t>-</w:t>
            </w:r>
            <w:r>
              <w:rPr>
                <w:sz w:val="21"/>
              </w:rPr>
              <w:t>斯综合征或心力衰竭的表现；</w:t>
            </w:r>
          </w:p>
          <w:p>
            <w:pPr>
              <w:pStyle w:val="TableParagraph"/>
              <w:spacing w:line="256" w:lineRule="auto" w:before="19"/>
              <w:ind w:right="304"/>
              <w:rPr>
                <w:sz w:val="21"/>
              </w:rPr>
            </w:pPr>
            <w:r>
              <w:rPr>
                <w:spacing w:val="-25"/>
                <w:sz w:val="21"/>
              </w:rPr>
              <w:t>（</w:t>
            </w:r>
            <w:r>
              <w:rPr>
                <w:rFonts w:ascii="Times New Roman" w:eastAsia="Times New Roman"/>
                <w:spacing w:val="-25"/>
                <w:sz w:val="21"/>
              </w:rPr>
              <w:t>3</w:t>
            </w:r>
            <w:r>
              <w:rPr>
                <w:spacing w:val="-25"/>
                <w:sz w:val="21"/>
              </w:rPr>
              <w:t>）</w:t>
            </w:r>
            <w:r>
              <w:rPr>
                <w:spacing w:val="-9"/>
                <w:sz w:val="21"/>
              </w:rPr>
              <w:t>必须持续性依赖心脏起搏器维持心脏正常功能，且已经放置</w:t>
            </w:r>
            <w:r>
              <w:rPr>
                <w:spacing w:val="-8"/>
                <w:sz w:val="21"/>
              </w:rPr>
              <w:t>心脏起搏器。</w:t>
            </w:r>
          </w:p>
        </w:tc>
      </w:tr>
      <w:tr>
        <w:trPr>
          <w:trHeight w:val="2508"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23.于颈动脉进行血管成形术或内膜切除术</w:t>
            </w:r>
          </w:p>
        </w:tc>
        <w:tc>
          <w:tcPr>
            <w:tcW w:w="6266" w:type="dxa"/>
          </w:tcPr>
          <w:p>
            <w:pPr>
              <w:pStyle w:val="TableParagraph"/>
              <w:spacing w:line="266" w:lineRule="auto" w:before="152"/>
              <w:ind w:right="302"/>
              <w:jc w:val="both"/>
              <w:rPr>
                <w:sz w:val="21"/>
              </w:rPr>
            </w:pPr>
            <w:r>
              <w:rPr>
                <w:spacing w:val="-5"/>
                <w:sz w:val="21"/>
              </w:rPr>
              <w:t>指根据颈动脉造影检查结果，确诊一条或以上颈动脉存在严重狭</w:t>
            </w:r>
            <w:r>
              <w:rPr>
                <w:spacing w:val="-8"/>
                <w:sz w:val="21"/>
              </w:rPr>
              <w:t>窄性病变</w:t>
            </w:r>
            <w:r>
              <w:rPr>
                <w:sz w:val="21"/>
              </w:rPr>
              <w:t>（</w:t>
            </w:r>
            <w:r>
              <w:rPr>
                <w:spacing w:val="-4"/>
                <w:sz w:val="21"/>
              </w:rPr>
              <w:t>至少一支血管管腔直径减少</w:t>
            </w:r>
            <w:r>
              <w:rPr>
                <w:rFonts w:ascii="Cambria" w:eastAsia="Cambria"/>
                <w:sz w:val="21"/>
              </w:rPr>
              <w:t>50%</w:t>
            </w:r>
            <w:r>
              <w:rPr>
                <w:sz w:val="21"/>
              </w:rPr>
              <w:t>以上</w:t>
            </w:r>
            <w:r>
              <w:rPr>
                <w:spacing w:val="-15"/>
                <w:sz w:val="21"/>
              </w:rPr>
              <w:t>）</w:t>
            </w:r>
            <w:r>
              <w:rPr>
                <w:spacing w:val="-5"/>
                <w:sz w:val="21"/>
              </w:rPr>
              <w:t>。本病须经国</w:t>
            </w:r>
            <w:r>
              <w:rPr>
                <w:spacing w:val="-7"/>
                <w:sz w:val="21"/>
              </w:rPr>
              <w:t>家机关认可的有合法资质的专科医生明确诊断，同时必须已经采</w:t>
            </w:r>
            <w:r>
              <w:rPr>
                <w:spacing w:val="-6"/>
                <w:sz w:val="21"/>
              </w:rPr>
              <w:t>取以下手术以减轻症状：</w:t>
            </w:r>
          </w:p>
          <w:p>
            <w:pPr>
              <w:pStyle w:val="TableParagraph"/>
              <w:spacing w:before="14"/>
              <w:rPr>
                <w:sz w:val="21"/>
              </w:rPr>
            </w:pPr>
            <w:r>
              <w:rPr>
                <w:sz w:val="21"/>
              </w:rPr>
              <w:t>（</w:t>
            </w:r>
            <w:r>
              <w:rPr>
                <w:rFonts w:ascii="Cambria" w:eastAsia="Cambria"/>
                <w:sz w:val="21"/>
              </w:rPr>
              <w:t>1</w:t>
            </w:r>
            <w:r>
              <w:rPr>
                <w:sz w:val="21"/>
              </w:rPr>
              <w:t>）确实进行动脉内膜切除术；或</w:t>
            </w:r>
          </w:p>
          <w:p>
            <w:pPr>
              <w:pStyle w:val="TableParagraph"/>
              <w:spacing w:line="256" w:lineRule="auto" w:before="20"/>
              <w:ind w:right="303"/>
              <w:jc w:val="both"/>
              <w:rPr>
                <w:sz w:val="21"/>
              </w:rPr>
            </w:pPr>
            <w:r>
              <w:rPr>
                <w:sz w:val="21"/>
              </w:rPr>
              <w:t>（</w:t>
            </w:r>
            <w:r>
              <w:rPr>
                <w:rFonts w:ascii="Times New Roman" w:eastAsia="Times New Roman"/>
                <w:sz w:val="21"/>
              </w:rPr>
              <w:t>2</w:t>
            </w:r>
            <w:r>
              <w:rPr>
                <w:sz w:val="21"/>
              </w:rPr>
              <w:t>）确实进行血管介入治疗，例如血管成形术及</w:t>
            </w:r>
            <w:r>
              <w:rPr>
                <w:rFonts w:ascii="Times New Roman" w:eastAsia="Times New Roman"/>
                <w:sz w:val="21"/>
              </w:rPr>
              <w:t>/</w:t>
            </w:r>
            <w:r>
              <w:rPr>
                <w:sz w:val="21"/>
              </w:rPr>
              <w:t>或进行植入支架或动脉粥样瘤清除手术。</w:t>
            </w:r>
          </w:p>
        </w:tc>
      </w:tr>
      <w:tr>
        <w:trPr>
          <w:trHeight w:val="1574" w:hRule="atLeast"/>
        </w:trPr>
        <w:tc>
          <w:tcPr>
            <w:tcW w:w="1475" w:type="dxa"/>
          </w:tcPr>
          <w:p>
            <w:pPr>
              <w:pStyle w:val="TableParagraph"/>
              <w:spacing w:line="204" w:lineRule="auto" w:before="138"/>
              <w:ind w:left="200" w:right="216"/>
              <w:jc w:val="both"/>
              <w:rPr>
                <w:rFonts w:ascii="Microsoft JhengHei" w:eastAsia="Microsoft JhengHei" w:hint="eastAsia"/>
                <w:b/>
                <w:sz w:val="21"/>
              </w:rPr>
            </w:pPr>
            <w:r>
              <w:rPr>
                <w:rFonts w:ascii="Microsoft JhengHei" w:eastAsia="Microsoft JhengHei" w:hint="eastAsia"/>
                <w:b/>
                <w:sz w:val="21"/>
              </w:rPr>
              <w:t>24. 微创心包剥脱、切除或粘连松解手术</w:t>
            </w:r>
          </w:p>
        </w:tc>
        <w:tc>
          <w:tcPr>
            <w:tcW w:w="6266" w:type="dxa"/>
          </w:tcPr>
          <w:p>
            <w:pPr>
              <w:pStyle w:val="TableParagraph"/>
              <w:spacing w:line="273" w:lineRule="auto" w:before="150"/>
              <w:ind w:right="266"/>
              <w:jc w:val="both"/>
              <w:rPr>
                <w:sz w:val="21"/>
              </w:rPr>
            </w:pPr>
            <w:r>
              <w:rPr>
                <w:spacing w:val="-5"/>
                <w:sz w:val="21"/>
              </w:rPr>
              <w:t>因心包疾病导致已接受了经胸腔镜、胸壁打孔进行的心包剥脱、</w:t>
            </w:r>
            <w:r>
              <w:rPr>
                <w:spacing w:val="-9"/>
                <w:sz w:val="21"/>
              </w:rPr>
              <w:t>切除或粘连松解手术。手术必须在心脏科医生认为是医学上必需</w:t>
            </w:r>
            <w:r>
              <w:rPr>
                <w:spacing w:val="-7"/>
                <w:sz w:val="21"/>
              </w:rPr>
              <w:t>的情况下进行。</w:t>
            </w:r>
          </w:p>
        </w:tc>
      </w:tr>
      <w:tr>
        <w:trPr>
          <w:trHeight w:val="1262" w:hRule="atLeast"/>
        </w:trPr>
        <w:tc>
          <w:tcPr>
            <w:tcW w:w="1475" w:type="dxa"/>
          </w:tcPr>
          <w:p>
            <w:pPr>
              <w:pStyle w:val="TableParagraph"/>
              <w:spacing w:line="206" w:lineRule="auto" w:before="134"/>
              <w:ind w:left="200" w:right="112"/>
              <w:rPr>
                <w:rFonts w:ascii="Microsoft JhengHei" w:eastAsia="Microsoft JhengHei" w:hint="eastAsia"/>
                <w:b/>
                <w:sz w:val="21"/>
              </w:rPr>
            </w:pPr>
            <w:r>
              <w:rPr>
                <w:rFonts w:ascii="Microsoft JhengHei" w:eastAsia="Microsoft JhengHei" w:hint="eastAsia"/>
                <w:b/>
                <w:sz w:val="21"/>
              </w:rPr>
              <w:t>25.脑炎或脑膜炎</w:t>
            </w:r>
          </w:p>
        </w:tc>
        <w:tc>
          <w:tcPr>
            <w:tcW w:w="6266" w:type="dxa"/>
          </w:tcPr>
          <w:p>
            <w:pPr>
              <w:pStyle w:val="TableParagraph"/>
              <w:spacing w:line="273" w:lineRule="auto" w:before="150"/>
              <w:ind w:right="198"/>
              <w:rPr>
                <w:sz w:val="21"/>
              </w:rPr>
            </w:pPr>
            <w:r>
              <w:rPr>
                <w:sz w:val="21"/>
              </w:rPr>
              <w:t>因感染脑炎或脑膜炎住院至少3</w:t>
            </w:r>
            <w:r>
              <w:rPr>
                <w:spacing w:val="-14"/>
                <w:sz w:val="21"/>
              </w:rPr>
              <w:t> 个月。诊断必须由专科医生证实， </w:t>
            </w:r>
            <w:r>
              <w:rPr>
                <w:spacing w:val="-12"/>
                <w:sz w:val="21"/>
              </w:rPr>
              <w:t>但尚未达到本合同所指重大疾病“脑炎后遗症或脑膜炎后遗症” </w:t>
            </w:r>
            <w:r>
              <w:rPr>
                <w:spacing w:val="-10"/>
                <w:sz w:val="21"/>
              </w:rPr>
              <w:t>的给付标准。</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26.硬脑膜下血肿手术</w:t>
            </w:r>
          </w:p>
        </w:tc>
        <w:tc>
          <w:tcPr>
            <w:tcW w:w="6266" w:type="dxa"/>
          </w:tcPr>
          <w:p>
            <w:pPr>
              <w:pStyle w:val="TableParagraph"/>
              <w:spacing w:line="273" w:lineRule="auto" w:before="150"/>
              <w:ind w:right="305"/>
              <w:jc w:val="both"/>
              <w:rPr>
                <w:sz w:val="21"/>
              </w:rPr>
            </w:pPr>
            <w:r>
              <w:rPr>
                <w:spacing w:val="2"/>
                <w:sz w:val="21"/>
              </w:rPr>
              <w:t>为清除或引流因意外导致的血肿，需于头部进行开颅或钻孔手</w:t>
            </w:r>
            <w:r>
              <w:rPr>
                <w:spacing w:val="-7"/>
                <w:sz w:val="21"/>
              </w:rPr>
              <w:t>术。开颅或钻孔手术必须由专科医生认为是医学上必需的情况下进行。</w:t>
            </w:r>
          </w:p>
        </w:tc>
      </w:tr>
      <w:tr>
        <w:trPr>
          <w:trHeight w:val="2518"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27.严重阻塞性睡眠窒息症</w:t>
            </w:r>
          </w:p>
        </w:tc>
        <w:tc>
          <w:tcPr>
            <w:tcW w:w="6266" w:type="dxa"/>
          </w:tcPr>
          <w:p>
            <w:pPr>
              <w:pStyle w:val="TableParagraph"/>
              <w:spacing w:line="264" w:lineRule="auto" w:before="150"/>
              <w:ind w:right="303"/>
              <w:jc w:val="both"/>
              <w:rPr>
                <w:sz w:val="21"/>
              </w:rPr>
            </w:pPr>
            <w:r>
              <w:rPr>
                <w:spacing w:val="-6"/>
                <w:sz w:val="21"/>
              </w:rPr>
              <w:t>须由相关医学范畴的注册专科医生，经多导睡眠监测仪检查明确</w:t>
            </w:r>
            <w:r>
              <w:rPr>
                <w:spacing w:val="-3"/>
                <w:sz w:val="21"/>
              </w:rPr>
              <w:t>诊断为严重阻塞性睡眠呼吸暂停综合征</w:t>
            </w:r>
            <w:r>
              <w:rPr>
                <w:sz w:val="21"/>
              </w:rPr>
              <w:t>（</w:t>
            </w:r>
            <w:r>
              <w:rPr>
                <w:rFonts w:ascii="Cambria" w:eastAsia="Cambria"/>
                <w:sz w:val="21"/>
              </w:rPr>
              <w:t>OSA</w:t>
            </w:r>
            <w:r>
              <w:rPr>
                <w:sz w:val="21"/>
              </w:rPr>
              <w:t>），</w:t>
            </w:r>
            <w:r>
              <w:rPr>
                <w:spacing w:val="-2"/>
                <w:sz w:val="21"/>
              </w:rPr>
              <w:t>并必须符合以</w:t>
            </w:r>
            <w:r>
              <w:rPr>
                <w:spacing w:val="-3"/>
                <w:sz w:val="21"/>
              </w:rPr>
              <w:t>下两项条件：</w:t>
            </w:r>
          </w:p>
          <w:p>
            <w:pPr>
              <w:pStyle w:val="TableParagraph"/>
              <w:spacing w:line="256" w:lineRule="auto" w:before="17"/>
              <w:ind w:left="636" w:right="261" w:hanging="524"/>
              <w:rPr>
                <w:sz w:val="21"/>
              </w:rPr>
            </w:pPr>
            <w:r>
              <w:rPr>
                <w:sz w:val="21"/>
              </w:rPr>
              <w:t>（</w:t>
            </w:r>
            <w:r>
              <w:rPr>
                <w:rFonts w:ascii="Cambria" w:eastAsia="Cambria"/>
                <w:sz w:val="21"/>
              </w:rPr>
              <w:t>1</w:t>
            </w:r>
            <w:r>
              <w:rPr>
                <w:sz w:val="21"/>
              </w:rPr>
              <w:t>）受保人必须现正接受持续气道正压呼吸器（</w:t>
            </w:r>
            <w:r>
              <w:rPr>
                <w:rFonts w:ascii="Cambria" w:eastAsia="Cambria"/>
                <w:sz w:val="21"/>
              </w:rPr>
              <w:t>CPAP</w:t>
            </w:r>
            <w:r>
              <w:rPr>
                <w:sz w:val="21"/>
              </w:rPr>
              <w:t>）之夜间治疗；及</w:t>
            </w:r>
          </w:p>
          <w:p>
            <w:pPr>
              <w:pStyle w:val="TableParagraph"/>
              <w:spacing w:line="256" w:lineRule="auto" w:before="22"/>
              <w:ind w:left="636" w:right="303" w:hanging="524"/>
              <w:rPr>
                <w:sz w:val="21"/>
              </w:rPr>
            </w:pPr>
            <w:r>
              <w:rPr>
                <w:spacing w:val="-18"/>
                <w:sz w:val="21"/>
              </w:rPr>
              <w:t>（</w:t>
            </w:r>
            <w:r>
              <w:rPr>
                <w:rFonts w:ascii="Times New Roman" w:eastAsia="Times New Roman"/>
                <w:spacing w:val="-18"/>
                <w:sz w:val="21"/>
              </w:rPr>
              <w:t>2</w:t>
            </w:r>
            <w:r>
              <w:rPr>
                <w:spacing w:val="-18"/>
                <w:sz w:val="21"/>
              </w:rPr>
              <w:t>）</w:t>
            </w:r>
            <w:r>
              <w:rPr>
                <w:spacing w:val="-11"/>
                <w:sz w:val="21"/>
              </w:rPr>
              <w:t>必须提供睡眠测试的文件证明，显示 </w:t>
            </w:r>
            <w:r>
              <w:rPr>
                <w:rFonts w:ascii="Times New Roman" w:eastAsia="Times New Roman"/>
                <w:sz w:val="21"/>
              </w:rPr>
              <w:t>AHI&gt;30 </w:t>
            </w:r>
            <w:r>
              <w:rPr>
                <w:spacing w:val="-2"/>
                <w:sz w:val="21"/>
              </w:rPr>
              <w:t>及夜间血氧饱</w:t>
            </w:r>
            <w:r>
              <w:rPr>
                <w:spacing w:val="-1"/>
                <w:sz w:val="21"/>
              </w:rPr>
              <w:t>和平均值</w:t>
            </w:r>
            <w:r>
              <w:rPr>
                <w:rFonts w:ascii="Times New Roman" w:eastAsia="Times New Roman"/>
                <w:spacing w:val="-1"/>
                <w:sz w:val="21"/>
              </w:rPr>
              <w:t>&lt;85</w:t>
            </w:r>
            <w:r>
              <w:rPr>
                <w:sz w:val="21"/>
              </w:rPr>
              <w:t>。</w:t>
            </w:r>
          </w:p>
        </w:tc>
      </w:tr>
      <w:tr>
        <w:trPr>
          <w:trHeight w:val="1041" w:hRule="atLeast"/>
        </w:trPr>
        <w:tc>
          <w:tcPr>
            <w:tcW w:w="1475" w:type="dxa"/>
          </w:tcPr>
          <w:p>
            <w:pPr>
              <w:pStyle w:val="TableParagraph"/>
              <w:spacing w:line="339" w:lineRule="exact" w:before="75"/>
              <w:ind w:left="200"/>
              <w:rPr>
                <w:rFonts w:ascii="Microsoft JhengHei" w:eastAsia="Microsoft JhengHei" w:hint="eastAsia"/>
                <w:b/>
                <w:sz w:val="21"/>
              </w:rPr>
            </w:pPr>
            <w:r>
              <w:rPr>
                <w:rFonts w:ascii="Microsoft JhengHei" w:eastAsia="Microsoft JhengHei" w:hint="eastAsia"/>
                <w:b/>
                <w:sz w:val="21"/>
              </w:rPr>
              <w:t>28.因意外毁</w:t>
            </w:r>
          </w:p>
          <w:p>
            <w:pPr>
              <w:pStyle w:val="TableParagraph"/>
              <w:spacing w:line="312" w:lineRule="exact" w:before="36"/>
              <w:ind w:left="200" w:right="218"/>
              <w:rPr>
                <w:rFonts w:ascii="Microsoft JhengHei" w:eastAsia="Microsoft JhengHei" w:hint="eastAsia"/>
                <w:b/>
                <w:sz w:val="21"/>
              </w:rPr>
            </w:pPr>
            <w:r>
              <w:rPr>
                <w:rFonts w:ascii="Microsoft JhengHei" w:eastAsia="Microsoft JhengHei" w:hint="eastAsia"/>
                <w:b/>
                <w:sz w:val="21"/>
              </w:rPr>
              <w:t>容而施行的面部整形手</w:t>
            </w:r>
          </w:p>
        </w:tc>
        <w:tc>
          <w:tcPr>
            <w:tcW w:w="6266" w:type="dxa"/>
          </w:tcPr>
          <w:p>
            <w:pPr>
              <w:pStyle w:val="TableParagraph"/>
              <w:spacing w:before="141"/>
              <w:rPr>
                <w:sz w:val="21"/>
              </w:rPr>
            </w:pPr>
            <w:r>
              <w:rPr>
                <w:sz w:val="21"/>
              </w:rPr>
              <w:t>指为修复意外伤害或暴力袭击造成的面部毁损，实际接受了在全</w:t>
            </w:r>
          </w:p>
          <w:p>
            <w:pPr>
              <w:pStyle w:val="TableParagraph"/>
              <w:spacing w:line="310" w:lineRule="atLeast" w:before="1"/>
              <w:ind w:right="269"/>
              <w:rPr>
                <w:sz w:val="21"/>
              </w:rPr>
            </w:pPr>
            <w:r>
              <w:rPr>
                <w:sz w:val="21"/>
              </w:rPr>
              <w:t>身麻醉的情況下，由整形外科医生实施的对严重缺陷、缺失、损害或变形的面部形态和结构进行修复或重建的面部整形手术。</w:t>
            </w:r>
          </w:p>
        </w:tc>
      </w:tr>
    </w:tbl>
    <w:p>
      <w:pPr>
        <w:spacing w:after="0" w:line="310" w:lineRule="atLeast"/>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61"/>
      </w:tblGrid>
      <w:tr>
        <w:trPr>
          <w:trHeight w:val="2324" w:hRule="atLeast"/>
        </w:trPr>
        <w:tc>
          <w:tcPr>
            <w:tcW w:w="1475" w:type="dxa"/>
          </w:tcPr>
          <w:p>
            <w:pPr>
              <w:pStyle w:val="TableParagraph"/>
              <w:spacing w:line="254" w:lineRule="exact"/>
              <w:ind w:left="200"/>
              <w:rPr>
                <w:rFonts w:ascii="Microsoft JhengHei" w:eastAsia="Microsoft JhengHei" w:hint="eastAsia"/>
                <w:b/>
                <w:sz w:val="21"/>
              </w:rPr>
            </w:pPr>
            <w:r>
              <w:rPr>
                <w:rFonts w:ascii="Microsoft JhengHei" w:eastAsia="Microsoft JhengHei" w:hint="eastAsia"/>
                <w:b/>
                <w:w w:val="100"/>
                <w:sz w:val="21"/>
              </w:rPr>
              <w:t>术</w:t>
            </w:r>
          </w:p>
        </w:tc>
        <w:tc>
          <w:tcPr>
            <w:tcW w:w="6161" w:type="dxa"/>
          </w:tcPr>
          <w:p>
            <w:pPr>
              <w:pStyle w:val="TableParagraph"/>
              <w:spacing w:line="247" w:lineRule="exact"/>
              <w:rPr>
                <w:sz w:val="21"/>
              </w:rPr>
            </w:pPr>
            <w:r>
              <w:rPr>
                <w:sz w:val="21"/>
              </w:rPr>
              <w:t>面部整形手术必须在意外伤害后的</w:t>
            </w:r>
            <w:r>
              <w:rPr>
                <w:rFonts w:ascii="Cambria" w:eastAsia="Cambria"/>
                <w:sz w:val="21"/>
              </w:rPr>
              <w:t>180</w:t>
            </w:r>
            <w:r>
              <w:rPr>
                <w:sz w:val="21"/>
              </w:rPr>
              <w:t>天内实施。</w:t>
            </w:r>
          </w:p>
          <w:p>
            <w:pPr>
              <w:pStyle w:val="TableParagraph"/>
              <w:spacing w:line="273" w:lineRule="auto" w:before="20"/>
              <w:ind w:right="200"/>
              <w:rPr>
                <w:sz w:val="21"/>
              </w:rPr>
            </w:pPr>
            <w:r>
              <w:rPr>
                <w:sz w:val="21"/>
              </w:rPr>
              <w:t>因面部外伤后遗留的线条状瘢痕及色素沉着而施行的手术不在保障范围内。</w:t>
            </w:r>
          </w:p>
          <w:p>
            <w:pPr>
              <w:pStyle w:val="TableParagraph"/>
              <w:spacing w:before="7"/>
              <w:rPr>
                <w:sz w:val="21"/>
              </w:rPr>
            </w:pPr>
            <w:r>
              <w:rPr>
                <w:sz w:val="21"/>
              </w:rPr>
              <w:t>意外伤害必须满足下列全部条件：</w:t>
            </w:r>
          </w:p>
          <w:p>
            <w:pPr>
              <w:pStyle w:val="TableParagraph"/>
              <w:spacing w:line="256" w:lineRule="auto" w:before="36"/>
              <w:ind w:left="636" w:right="204" w:hanging="524"/>
              <w:rPr>
                <w:sz w:val="21"/>
              </w:rPr>
            </w:pPr>
            <w:r>
              <w:rPr>
                <w:sz w:val="21"/>
              </w:rPr>
              <w:t>（</w:t>
            </w:r>
            <w:r>
              <w:rPr>
                <w:rFonts w:ascii="Cambria" w:eastAsia="Cambria"/>
                <w:sz w:val="21"/>
              </w:rPr>
              <w:t>1</w:t>
            </w:r>
            <w:r>
              <w:rPr>
                <w:sz w:val="21"/>
              </w:rPr>
              <w:t>）由外在暴力引起并且造成表面可视性伤口和面部骨结构损害的，或面部皮肤三度或全层意外烧伤；</w:t>
            </w:r>
          </w:p>
          <w:p>
            <w:pPr>
              <w:pStyle w:val="TableParagraph"/>
              <w:spacing w:before="22"/>
              <w:rPr>
                <w:sz w:val="21"/>
              </w:rPr>
            </w:pPr>
            <w:r>
              <w:rPr>
                <w:sz w:val="21"/>
              </w:rPr>
              <w:t>（</w:t>
            </w:r>
            <w:r>
              <w:rPr>
                <w:rFonts w:ascii="Times New Roman" w:eastAsia="Times New Roman"/>
                <w:sz w:val="21"/>
              </w:rPr>
              <w:t>2</w:t>
            </w:r>
            <w:r>
              <w:rPr>
                <w:sz w:val="21"/>
              </w:rPr>
              <w:t>）是造成面部毁损的直接和独立的原因。</w:t>
            </w:r>
          </w:p>
        </w:tc>
      </w:tr>
      <w:tr>
        <w:trPr>
          <w:trHeight w:val="1254" w:hRule="atLeast"/>
        </w:trPr>
        <w:tc>
          <w:tcPr>
            <w:tcW w:w="1475" w:type="dxa"/>
          </w:tcPr>
          <w:p>
            <w:pPr>
              <w:pStyle w:val="TableParagraph"/>
              <w:spacing w:before="75"/>
              <w:ind w:left="200"/>
              <w:rPr>
                <w:rFonts w:ascii="Microsoft JhengHei" w:eastAsia="Microsoft JhengHei" w:hint="eastAsia"/>
                <w:b/>
                <w:sz w:val="21"/>
              </w:rPr>
            </w:pPr>
            <w:r>
              <w:rPr>
                <w:rFonts w:ascii="Microsoft JhengHei" w:eastAsia="Microsoft JhengHei" w:hint="eastAsia"/>
                <w:b/>
                <w:sz w:val="21"/>
              </w:rPr>
              <w:t>29.角膜移植</w:t>
            </w:r>
          </w:p>
        </w:tc>
        <w:tc>
          <w:tcPr>
            <w:tcW w:w="6161" w:type="dxa"/>
          </w:tcPr>
          <w:p>
            <w:pPr>
              <w:pStyle w:val="TableParagraph"/>
              <w:spacing w:line="273" w:lineRule="auto" w:before="142"/>
              <w:ind w:right="150"/>
              <w:rPr>
                <w:sz w:val="21"/>
              </w:rPr>
            </w:pPr>
            <w:r>
              <w:rPr>
                <w:sz w:val="21"/>
              </w:rPr>
              <w:t>指为增进视力或治疗某些角膜疾患，已经实施了异体的角膜移植手术。</w:t>
            </w:r>
          </w:p>
          <w:p>
            <w:pPr>
              <w:pStyle w:val="TableParagraph"/>
              <w:spacing w:before="8"/>
              <w:rPr>
                <w:sz w:val="21"/>
              </w:rPr>
            </w:pPr>
            <w:r>
              <w:rPr>
                <w:sz w:val="21"/>
              </w:rPr>
              <w:t>此手术必须由专科医Th认为是医学上必需的情况下进行。</w:t>
            </w:r>
          </w:p>
        </w:tc>
      </w:tr>
      <w:tr>
        <w:trPr>
          <w:trHeight w:val="2206"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30.单眼失明</w:t>
            </w:r>
          </w:p>
        </w:tc>
        <w:tc>
          <w:tcPr>
            <w:tcW w:w="6161" w:type="dxa"/>
          </w:tcPr>
          <w:p>
            <w:pPr>
              <w:pStyle w:val="TableParagraph"/>
              <w:spacing w:line="273" w:lineRule="auto" w:before="150"/>
              <w:ind w:right="164"/>
              <w:rPr>
                <w:sz w:val="21"/>
              </w:rPr>
            </w:pPr>
            <w:r>
              <w:rPr>
                <w:sz w:val="21"/>
              </w:rPr>
              <w:t>指因疾病或意外伤害导致单眼视力永久不可逆性丧失，须满足下列至少一项条件：</w:t>
            </w:r>
          </w:p>
          <w:p>
            <w:pPr>
              <w:pStyle w:val="TableParagraph"/>
              <w:spacing w:before="8"/>
              <w:rPr>
                <w:sz w:val="21"/>
              </w:rPr>
            </w:pPr>
            <w:r>
              <w:rPr>
                <w:sz w:val="21"/>
              </w:rPr>
              <w:t>（</w:t>
            </w:r>
            <w:r>
              <w:rPr>
                <w:rFonts w:ascii="Cambria" w:eastAsia="Cambria"/>
                <w:sz w:val="21"/>
              </w:rPr>
              <w:t>1</w:t>
            </w:r>
            <w:r>
              <w:rPr>
                <w:sz w:val="21"/>
              </w:rPr>
              <w:t>）眼球缺失或摘除；</w:t>
            </w:r>
          </w:p>
          <w:p>
            <w:pPr>
              <w:pStyle w:val="TableParagraph"/>
              <w:spacing w:line="256" w:lineRule="auto" w:before="20"/>
              <w:ind w:left="636" w:right="199" w:hanging="524"/>
              <w:rPr>
                <w:sz w:val="21"/>
              </w:rPr>
            </w:pPr>
            <w:r>
              <w:rPr>
                <w:spacing w:val="-16"/>
                <w:sz w:val="21"/>
              </w:rPr>
              <w:t>（</w:t>
            </w:r>
            <w:r>
              <w:rPr>
                <w:rFonts w:ascii="Cambria" w:eastAsia="Cambria"/>
                <w:spacing w:val="-16"/>
                <w:sz w:val="21"/>
              </w:rPr>
              <w:t>2</w:t>
            </w:r>
            <w:r>
              <w:rPr>
                <w:spacing w:val="-16"/>
                <w:sz w:val="21"/>
              </w:rPr>
              <w:t>）</w:t>
            </w:r>
            <w:r>
              <w:rPr>
                <w:spacing w:val="-1"/>
                <w:sz w:val="21"/>
              </w:rPr>
              <w:t>矫正视力低于</w:t>
            </w:r>
            <w:r>
              <w:rPr>
                <w:rFonts w:ascii="Cambria" w:eastAsia="Cambria"/>
                <w:spacing w:val="-10"/>
                <w:sz w:val="21"/>
              </w:rPr>
              <w:t>0.02</w:t>
            </w:r>
            <w:r>
              <w:rPr>
                <w:spacing w:val="-10"/>
                <w:sz w:val="21"/>
              </w:rPr>
              <w:t>（</w:t>
            </w:r>
            <w:r>
              <w:rPr>
                <w:spacing w:val="-6"/>
                <w:sz w:val="21"/>
              </w:rPr>
              <w:t>采用国际标准视力表，如果使用其它视</w:t>
            </w:r>
            <w:r>
              <w:rPr>
                <w:spacing w:val="-5"/>
                <w:sz w:val="21"/>
              </w:rPr>
              <w:t>力表应进行换算</w:t>
            </w:r>
            <w:r>
              <w:rPr>
                <w:sz w:val="21"/>
              </w:rPr>
              <w:t>）；</w:t>
            </w:r>
          </w:p>
          <w:p>
            <w:pPr>
              <w:pStyle w:val="TableParagraph"/>
              <w:spacing w:before="2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2196" w:hRule="atLeast"/>
        </w:trPr>
        <w:tc>
          <w:tcPr>
            <w:tcW w:w="1475" w:type="dxa"/>
          </w:tcPr>
          <w:p>
            <w:pPr>
              <w:pStyle w:val="TableParagraph"/>
              <w:spacing w:line="204" w:lineRule="auto" w:before="130"/>
              <w:ind w:left="200" w:right="112"/>
              <w:rPr>
                <w:rFonts w:ascii="Microsoft JhengHei" w:eastAsia="Microsoft JhengHei" w:hint="eastAsia"/>
                <w:b/>
                <w:sz w:val="21"/>
              </w:rPr>
            </w:pPr>
            <w:r>
              <w:rPr>
                <w:rFonts w:ascii="Microsoft JhengHei" w:eastAsia="Microsoft JhengHei" w:hint="eastAsia"/>
                <w:b/>
                <w:sz w:val="21"/>
              </w:rPr>
              <w:t>31.可逆性再生障碍性贫血</w:t>
            </w:r>
          </w:p>
        </w:tc>
        <w:tc>
          <w:tcPr>
            <w:tcW w:w="6161" w:type="dxa"/>
          </w:tcPr>
          <w:p>
            <w:pPr>
              <w:pStyle w:val="TableParagraph"/>
              <w:spacing w:line="271" w:lineRule="auto" w:before="142"/>
              <w:ind w:right="200"/>
              <w:jc w:val="both"/>
              <w:rPr>
                <w:sz w:val="21"/>
              </w:rPr>
            </w:pPr>
            <w:r>
              <w:rPr>
                <w:spacing w:val="-6"/>
                <w:sz w:val="21"/>
              </w:rPr>
              <w:t>指因急性可逆性的骨髓造血功能衰竭而导致贫血、中性粒细胞减</w:t>
            </w:r>
            <w:r>
              <w:rPr>
                <w:spacing w:val="-8"/>
                <w:sz w:val="21"/>
              </w:rPr>
              <w:t>少和血小板减少，必须由血液科医生的诊断，且病历资料显示接</w:t>
            </w:r>
            <w:r>
              <w:rPr>
                <w:spacing w:val="-6"/>
                <w:sz w:val="21"/>
              </w:rPr>
              <w:t>受了下列任一治疗：</w:t>
            </w:r>
          </w:p>
          <w:p>
            <w:pPr>
              <w:pStyle w:val="TableParagraph"/>
              <w:spacing w:before="10"/>
              <w:jc w:val="both"/>
              <w:rPr>
                <w:sz w:val="21"/>
              </w:rPr>
            </w:pPr>
            <w:r>
              <w:rPr>
                <w:sz w:val="21"/>
              </w:rPr>
              <w:t>（</w:t>
            </w:r>
            <w:r>
              <w:rPr>
                <w:rFonts w:ascii="Cambria" w:eastAsia="Cambria"/>
                <w:sz w:val="21"/>
              </w:rPr>
              <w:t>1</w:t>
            </w:r>
            <w:r>
              <w:rPr>
                <w:sz w:val="21"/>
              </w:rPr>
              <w:t>）骨髓刺激疗法至少</w:t>
            </w:r>
            <w:r>
              <w:rPr>
                <w:rFonts w:ascii="Cambria" w:eastAsia="Cambria"/>
                <w:sz w:val="21"/>
              </w:rPr>
              <w:t>1</w:t>
            </w:r>
            <w:r>
              <w:rPr>
                <w:sz w:val="21"/>
              </w:rPr>
              <w:t>个月；</w:t>
            </w:r>
          </w:p>
          <w:p>
            <w:pPr>
              <w:pStyle w:val="TableParagraph"/>
              <w:spacing w:before="20"/>
              <w:jc w:val="both"/>
              <w:rPr>
                <w:sz w:val="21"/>
              </w:rPr>
            </w:pPr>
            <w:r>
              <w:rPr>
                <w:sz w:val="21"/>
              </w:rPr>
              <w:t>（</w:t>
            </w:r>
            <w:r>
              <w:rPr>
                <w:rFonts w:ascii="Cambria" w:eastAsia="Cambria"/>
                <w:sz w:val="21"/>
              </w:rPr>
              <w:t>2</w:t>
            </w:r>
            <w:r>
              <w:rPr>
                <w:sz w:val="21"/>
              </w:rPr>
              <w:t>）免疫抑制剂治疗至少</w:t>
            </w:r>
            <w:r>
              <w:rPr>
                <w:rFonts w:ascii="Cambria" w:eastAsia="Cambria"/>
                <w:sz w:val="21"/>
              </w:rPr>
              <w:t>1</w:t>
            </w:r>
            <w:r>
              <w:rPr>
                <w:sz w:val="21"/>
              </w:rPr>
              <w:t>个月；</w:t>
            </w:r>
          </w:p>
          <w:p>
            <w:pPr>
              <w:pStyle w:val="TableParagraph"/>
              <w:spacing w:before="20"/>
              <w:jc w:val="both"/>
              <w:rPr>
                <w:sz w:val="21"/>
              </w:rPr>
            </w:pPr>
            <w:r>
              <w:rPr>
                <w:sz w:val="21"/>
              </w:rPr>
              <w:t>（</w:t>
            </w:r>
            <w:r>
              <w:rPr>
                <w:rFonts w:ascii="Times New Roman" w:eastAsia="Times New Roman"/>
                <w:sz w:val="21"/>
              </w:rPr>
              <w:t>3</w:t>
            </w:r>
            <w:r>
              <w:rPr>
                <w:sz w:val="21"/>
              </w:rPr>
              <w:t>）接受了骨髓移植。</w:t>
            </w:r>
          </w:p>
        </w:tc>
      </w:tr>
      <w:tr>
        <w:trPr>
          <w:trHeight w:val="3127" w:hRule="atLeast"/>
        </w:trPr>
        <w:tc>
          <w:tcPr>
            <w:tcW w:w="1475" w:type="dxa"/>
          </w:tcPr>
          <w:p>
            <w:pPr>
              <w:pStyle w:val="TableParagraph"/>
              <w:spacing w:line="201" w:lineRule="auto" w:before="136"/>
              <w:ind w:left="200" w:right="112"/>
              <w:rPr>
                <w:rFonts w:ascii="Microsoft JhengHei" w:eastAsia="Microsoft JhengHei" w:hint="eastAsia"/>
                <w:b/>
                <w:sz w:val="21"/>
              </w:rPr>
            </w:pPr>
            <w:r>
              <w:rPr>
                <w:rFonts w:ascii="Microsoft JhengHei" w:eastAsia="Microsoft JhengHei" w:hint="eastAsia"/>
                <w:b/>
                <w:w w:val="84"/>
                <w:sz w:val="21"/>
              </w:rPr>
              <w:t>32</w:t>
            </w:r>
            <w:r>
              <w:rPr>
                <w:rFonts w:ascii="Microsoft JhengHei" w:eastAsia="Microsoft JhengHei" w:hint="eastAsia"/>
                <w:b/>
                <w:w w:val="197"/>
                <w:sz w:val="21"/>
              </w:rPr>
              <w:t>.</w:t>
            </w:r>
            <w:r>
              <w:rPr>
                <w:rFonts w:ascii="Microsoft JhengHei" w:eastAsia="Microsoft JhengHei" w:hint="eastAsia"/>
                <w:b/>
                <w:w w:val="100"/>
                <w:sz w:val="21"/>
              </w:rPr>
              <w:t>骨质疏松</w:t>
            </w:r>
            <w:r>
              <w:rPr>
                <w:rFonts w:ascii="Microsoft JhengHei" w:eastAsia="Microsoft JhengHei" w:hint="eastAsia"/>
                <w:b/>
                <w:sz w:val="21"/>
              </w:rPr>
              <w:t>症连骨折</w:t>
            </w:r>
          </w:p>
        </w:tc>
        <w:tc>
          <w:tcPr>
            <w:tcW w:w="6161" w:type="dxa"/>
          </w:tcPr>
          <w:p>
            <w:pPr>
              <w:pStyle w:val="TableParagraph"/>
              <w:spacing w:before="144"/>
              <w:rPr>
                <w:sz w:val="21"/>
              </w:rPr>
            </w:pPr>
            <w:r>
              <w:rPr>
                <w:sz w:val="21"/>
              </w:rPr>
              <w:t>确诊骨质疏松症连骨折并符合下列所有条件：</w:t>
            </w:r>
          </w:p>
          <w:p>
            <w:pPr>
              <w:pStyle w:val="TableParagraph"/>
              <w:numPr>
                <w:ilvl w:val="0"/>
                <w:numId w:val="14"/>
              </w:numPr>
              <w:tabs>
                <w:tab w:pos="469" w:val="left" w:leader="none"/>
              </w:tabs>
              <w:spacing w:line="256" w:lineRule="auto" w:before="32" w:after="0"/>
              <w:ind w:left="430" w:right="204" w:hanging="318"/>
              <w:jc w:val="left"/>
              <w:rPr>
                <w:sz w:val="21"/>
              </w:rPr>
            </w:pPr>
            <w:r>
              <w:rPr>
                <w:spacing w:val="-1"/>
                <w:sz w:val="21"/>
              </w:rPr>
              <w:t>因骨质疏松症导致或于骨质疏松症出现时，出现最少一处股</w:t>
            </w:r>
            <w:r>
              <w:rPr>
                <w:spacing w:val="-3"/>
                <w:sz w:val="21"/>
              </w:rPr>
              <w:t>骨颈骨折或两处脊椎骨折；</w:t>
            </w:r>
          </w:p>
          <w:p>
            <w:pPr>
              <w:pStyle w:val="TableParagraph"/>
              <w:numPr>
                <w:ilvl w:val="0"/>
                <w:numId w:val="14"/>
              </w:numPr>
              <w:tabs>
                <w:tab w:pos="469" w:val="left" w:leader="none"/>
              </w:tabs>
              <w:spacing w:line="264" w:lineRule="auto" w:before="22" w:after="0"/>
              <w:ind w:left="430" w:right="199" w:hanging="318"/>
              <w:jc w:val="both"/>
              <w:rPr>
                <w:sz w:val="21"/>
              </w:rPr>
            </w:pPr>
            <w:r>
              <w:rPr>
                <w:spacing w:val="-13"/>
                <w:sz w:val="21"/>
              </w:rPr>
              <w:t>以双能量 </w:t>
            </w:r>
            <w:r>
              <w:rPr>
                <w:rFonts w:ascii="Times New Roman" w:eastAsia="Times New Roman"/>
                <w:sz w:val="21"/>
              </w:rPr>
              <w:t>X</w:t>
            </w:r>
            <w:r>
              <w:rPr>
                <w:rFonts w:ascii="Times New Roman" w:eastAsia="Times New Roman"/>
                <w:spacing w:val="11"/>
                <w:sz w:val="21"/>
              </w:rPr>
              <w:t> </w:t>
            </w:r>
            <w:r>
              <w:rPr>
                <w:spacing w:val="-5"/>
                <w:sz w:val="21"/>
              </w:rPr>
              <w:t>光吸收仪或定量计算机断层扫描量度出最少两处</w:t>
            </w:r>
            <w:r>
              <w:rPr>
                <w:sz w:val="21"/>
              </w:rPr>
              <w:t>位置的骨骼矿物质密度与严重骨质疏松症的定义一致</w:t>
            </w:r>
            <w:r>
              <w:rPr>
                <w:spacing w:val="2"/>
                <w:sz w:val="21"/>
              </w:rPr>
              <w:t>（</w:t>
            </w:r>
            <w:r>
              <w:rPr>
                <w:sz w:val="21"/>
              </w:rPr>
              <w:t>即低于</w:t>
            </w:r>
            <w:r>
              <w:rPr>
                <w:rFonts w:ascii="Times New Roman" w:eastAsia="Times New Roman"/>
                <w:sz w:val="21"/>
              </w:rPr>
              <w:t>-2.5</w:t>
            </w:r>
            <w:r>
              <w:rPr>
                <w:rFonts w:ascii="Times New Roman" w:eastAsia="Times New Roman"/>
                <w:spacing w:val="2"/>
                <w:sz w:val="21"/>
              </w:rPr>
              <w:t> </w:t>
            </w:r>
            <w:r>
              <w:rPr>
                <w:spacing w:val="-25"/>
                <w:sz w:val="21"/>
              </w:rPr>
              <w:t>的 </w:t>
            </w:r>
            <w:r>
              <w:rPr>
                <w:rFonts w:ascii="Times New Roman" w:eastAsia="Times New Roman"/>
                <w:sz w:val="21"/>
              </w:rPr>
              <w:t>T</w:t>
            </w:r>
            <w:r>
              <w:rPr>
                <w:rFonts w:ascii="Times New Roman" w:eastAsia="Times New Roman"/>
                <w:spacing w:val="-1"/>
                <w:sz w:val="21"/>
              </w:rPr>
              <w:t> </w:t>
            </w:r>
            <w:r>
              <w:rPr>
                <w:sz w:val="21"/>
              </w:rPr>
              <w:t>数值</w:t>
            </w:r>
            <w:r>
              <w:rPr>
                <w:spacing w:val="-111"/>
                <w:sz w:val="21"/>
              </w:rPr>
              <w:t>）</w:t>
            </w:r>
            <w:r>
              <w:rPr>
                <w:sz w:val="21"/>
              </w:rPr>
              <w:t>。</w:t>
            </w:r>
          </w:p>
          <w:p>
            <w:pPr>
              <w:pStyle w:val="TableParagraph"/>
              <w:spacing w:line="273" w:lineRule="exact"/>
              <w:rPr>
                <w:sz w:val="21"/>
              </w:rPr>
            </w:pPr>
            <w:r>
              <w:rPr>
                <w:sz w:val="21"/>
              </w:rPr>
              <w:t>需要确实就骨折进行内部固定或置换。</w:t>
            </w:r>
          </w:p>
          <w:p>
            <w:pPr>
              <w:pStyle w:val="TableParagraph"/>
              <w:spacing w:line="256" w:lineRule="auto" w:before="37"/>
              <w:ind w:right="198"/>
              <w:rPr>
                <w:sz w:val="21"/>
              </w:rPr>
            </w:pPr>
            <w:r>
              <w:rPr>
                <w:spacing w:val="-4"/>
                <w:sz w:val="21"/>
              </w:rPr>
              <w:t>骨质疏松症连骨折的保障将于被保险人年满 </w:t>
            </w:r>
            <w:r>
              <w:rPr>
                <w:rFonts w:ascii="Times New Roman" w:eastAsia="Times New Roman"/>
                <w:sz w:val="21"/>
              </w:rPr>
              <w:t>70 </w:t>
            </w:r>
            <w:r>
              <w:rPr>
                <w:spacing w:val="-3"/>
                <w:sz w:val="21"/>
              </w:rPr>
              <w:t>周岁当天零时自动终止。</w:t>
            </w:r>
          </w:p>
        </w:tc>
      </w:tr>
      <w:tr>
        <w:trPr>
          <w:trHeight w:val="4167"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33.特定周围动脉疾病的血管介入治疗</w:t>
            </w:r>
          </w:p>
        </w:tc>
        <w:tc>
          <w:tcPr>
            <w:tcW w:w="6161" w:type="dxa"/>
          </w:tcPr>
          <w:p>
            <w:pPr>
              <w:pStyle w:val="TableParagraph"/>
              <w:spacing w:line="268" w:lineRule="auto" w:before="152"/>
              <w:ind w:right="205"/>
              <w:rPr>
                <w:sz w:val="21"/>
              </w:rPr>
            </w:pPr>
            <w:r>
              <w:rPr>
                <w:sz w:val="21"/>
              </w:rPr>
              <w:t>指为治疗一条或者一条以上的下列动脉狭窄而实施的血管介入治疗：</w:t>
            </w:r>
          </w:p>
          <w:p>
            <w:pPr>
              <w:pStyle w:val="TableParagraph"/>
              <w:spacing w:before="11"/>
              <w:rPr>
                <w:sz w:val="21"/>
              </w:rPr>
            </w:pPr>
            <w:r>
              <w:rPr>
                <w:sz w:val="21"/>
              </w:rPr>
              <w:t>（</w:t>
            </w:r>
            <w:r>
              <w:rPr>
                <w:rFonts w:ascii="Cambria" w:eastAsia="Cambria"/>
                <w:sz w:val="21"/>
              </w:rPr>
              <w:t>1</w:t>
            </w:r>
            <w:r>
              <w:rPr>
                <w:sz w:val="21"/>
              </w:rPr>
              <w:t>）为下肢或者上肢供血的动脉；</w:t>
            </w:r>
          </w:p>
          <w:p>
            <w:pPr>
              <w:pStyle w:val="TableParagraph"/>
              <w:spacing w:before="19"/>
              <w:rPr>
                <w:sz w:val="21"/>
              </w:rPr>
            </w:pPr>
            <w:r>
              <w:rPr>
                <w:sz w:val="21"/>
              </w:rPr>
              <w:t>（</w:t>
            </w:r>
            <w:r>
              <w:rPr>
                <w:rFonts w:ascii="Cambria" w:eastAsia="Cambria"/>
                <w:sz w:val="21"/>
              </w:rPr>
              <w:t>2</w:t>
            </w:r>
            <w:r>
              <w:rPr>
                <w:sz w:val="21"/>
              </w:rPr>
              <w:t>）肾动脉；</w:t>
            </w:r>
          </w:p>
          <w:p>
            <w:pPr>
              <w:pStyle w:val="TableParagraph"/>
              <w:spacing w:line="256" w:lineRule="auto" w:before="19"/>
              <w:ind w:right="3900"/>
              <w:rPr>
                <w:sz w:val="21"/>
              </w:rPr>
            </w:pPr>
            <w:r>
              <w:rPr>
                <w:sz w:val="21"/>
              </w:rPr>
              <w:t>（</w:t>
            </w:r>
            <w:r>
              <w:rPr>
                <w:rFonts w:ascii="Cambria" w:eastAsia="Cambria"/>
                <w:sz w:val="21"/>
              </w:rPr>
              <w:t>3</w:t>
            </w:r>
            <w:r>
              <w:rPr>
                <w:sz w:val="21"/>
              </w:rPr>
              <w:t>）肠系膜动脉。 须满足下列全部条件：</w:t>
            </w:r>
          </w:p>
          <w:p>
            <w:pPr>
              <w:pStyle w:val="TableParagraph"/>
              <w:spacing w:before="22"/>
              <w:rPr>
                <w:sz w:val="21"/>
              </w:rPr>
            </w:pPr>
            <w:r>
              <w:rPr>
                <w:sz w:val="21"/>
              </w:rPr>
              <w:t>（</w:t>
            </w:r>
            <w:r>
              <w:rPr>
                <w:rFonts w:ascii="Cambria" w:eastAsia="Cambria"/>
                <w:sz w:val="21"/>
              </w:rPr>
              <w:t>1</w:t>
            </w:r>
            <w:r>
              <w:rPr>
                <w:sz w:val="21"/>
              </w:rPr>
              <w:t>）经血管造影术证实一条或者一条以上的上述动脉狭窄达到</w:t>
            </w:r>
          </w:p>
          <w:p>
            <w:pPr>
              <w:pStyle w:val="TableParagraph"/>
              <w:spacing w:before="20"/>
              <w:rPr>
                <w:sz w:val="21"/>
              </w:rPr>
            </w:pPr>
            <w:r>
              <w:rPr>
                <w:rFonts w:ascii="Cambria" w:eastAsia="Cambria"/>
                <w:sz w:val="21"/>
              </w:rPr>
              <w:t>50%</w:t>
            </w:r>
            <w:r>
              <w:rPr>
                <w:sz w:val="21"/>
              </w:rPr>
              <w:t>或者以上；</w:t>
            </w:r>
          </w:p>
          <w:p>
            <w:pPr>
              <w:pStyle w:val="TableParagraph"/>
              <w:spacing w:line="256" w:lineRule="auto" w:before="20"/>
              <w:ind w:left="636" w:right="202" w:hanging="524"/>
              <w:jc w:val="both"/>
              <w:rPr>
                <w:sz w:val="21"/>
              </w:rPr>
            </w:pPr>
            <w:r>
              <w:rPr>
                <w:sz w:val="21"/>
              </w:rPr>
              <w:t>（</w:t>
            </w:r>
            <w:r>
              <w:rPr>
                <w:rFonts w:ascii="Cambria" w:eastAsia="Cambria"/>
                <w:sz w:val="21"/>
              </w:rPr>
              <w:t>2</w:t>
            </w:r>
            <w:r>
              <w:rPr>
                <w:sz w:val="21"/>
              </w:rPr>
              <w:t>）对一条或者一条以上的上述动脉施行了血管介入治疗，如血管成形术及</w:t>
            </w:r>
            <w:r>
              <w:rPr>
                <w:rFonts w:ascii="Cambria" w:eastAsia="Cambria"/>
                <w:sz w:val="21"/>
              </w:rPr>
              <w:t>/</w:t>
            </w:r>
            <w:r>
              <w:rPr>
                <w:sz w:val="21"/>
              </w:rPr>
              <w:t>或者进行植入支架或者动脉粥样样瘤清除手术。</w:t>
            </w:r>
          </w:p>
          <w:p>
            <w:pPr>
              <w:pStyle w:val="TableParagraph"/>
              <w:spacing w:line="312" w:lineRule="exact" w:before="18"/>
              <w:ind w:right="200"/>
              <w:rPr>
                <w:sz w:val="21"/>
              </w:rPr>
            </w:pPr>
            <w:r>
              <w:rPr>
                <w:sz w:val="21"/>
              </w:rPr>
              <w:t>上述动脉疾病的诊断以及相关治疗的必要性必须由血管疾病的专科医生确定。</w:t>
            </w:r>
          </w:p>
        </w:tc>
      </w:tr>
    </w:tbl>
    <w:p>
      <w:pPr>
        <w:spacing w:after="0" w:line="312" w:lineRule="exact"/>
        <w:rPr>
          <w:sz w:val="21"/>
        </w:rPr>
        <w:sectPr>
          <w:pgSz w:w="11910" w:h="16840"/>
          <w:pgMar w:header="0" w:footer="150" w:top="720" w:bottom="340" w:left="1680" w:right="15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496"/>
        <w:gridCol w:w="6067"/>
      </w:tblGrid>
      <w:tr>
        <w:trPr>
          <w:trHeight w:val="1049" w:hRule="atLeast"/>
        </w:trPr>
        <w:tc>
          <w:tcPr>
            <w:tcW w:w="749" w:type="dxa"/>
          </w:tcPr>
          <w:p>
            <w:pPr>
              <w:pStyle w:val="TableParagraph"/>
              <w:ind w:left="0"/>
              <w:rPr>
                <w:rFonts w:ascii="Times New Roman"/>
                <w:sz w:val="20"/>
              </w:rPr>
            </w:pPr>
          </w:p>
        </w:tc>
        <w:tc>
          <w:tcPr>
            <w:tcW w:w="1496" w:type="dxa"/>
          </w:tcPr>
          <w:p>
            <w:pPr>
              <w:pStyle w:val="TableParagraph"/>
              <w:spacing w:line="208" w:lineRule="exact"/>
              <w:ind w:left="220"/>
              <w:rPr>
                <w:rFonts w:ascii="Microsoft JhengHei" w:eastAsia="Microsoft JhengHei" w:hint="eastAsia"/>
                <w:b/>
                <w:sz w:val="21"/>
              </w:rPr>
            </w:pPr>
            <w:r>
              <w:rPr>
                <w:rFonts w:ascii="Microsoft JhengHei" w:eastAsia="Microsoft JhengHei" w:hint="eastAsia"/>
                <w:b/>
                <w:sz w:val="21"/>
              </w:rPr>
              <w:t>34.因肾上腺</w:t>
            </w:r>
          </w:p>
          <w:p>
            <w:pPr>
              <w:pStyle w:val="TableParagraph"/>
              <w:spacing w:line="204" w:lineRule="auto" w:before="28"/>
              <w:ind w:left="220" w:right="217"/>
              <w:rPr>
                <w:rFonts w:ascii="Microsoft JhengHei" w:eastAsia="Microsoft JhengHei" w:hint="eastAsia"/>
                <w:b/>
                <w:sz w:val="21"/>
              </w:rPr>
            </w:pPr>
            <w:r>
              <w:rPr>
                <w:rFonts w:ascii="Microsoft JhengHei" w:eastAsia="Microsoft JhengHei" w:hint="eastAsia"/>
                <w:b/>
                <w:sz w:val="21"/>
              </w:rPr>
              <w:t>皮质腺瘤切除肾上腺</w:t>
            </w:r>
          </w:p>
        </w:tc>
        <w:tc>
          <w:tcPr>
            <w:tcW w:w="6067" w:type="dxa"/>
          </w:tcPr>
          <w:p>
            <w:pPr>
              <w:pStyle w:val="TableParagraph"/>
              <w:spacing w:line="211" w:lineRule="exact"/>
              <w:rPr>
                <w:sz w:val="21"/>
              </w:rPr>
            </w:pPr>
            <w:r>
              <w:rPr>
                <w:sz w:val="21"/>
              </w:rPr>
              <w:t>因肾上腺皮质腺瘤所导致的醛固酮分泌过多而产生的继发性恶</w:t>
            </w:r>
          </w:p>
          <w:p>
            <w:pPr>
              <w:pStyle w:val="TableParagraph"/>
              <w:spacing w:line="223" w:lineRule="auto" w:before="56"/>
              <w:ind w:right="55"/>
              <w:rPr>
                <w:sz w:val="21"/>
              </w:rPr>
            </w:pPr>
            <w:r>
              <w:rPr>
                <w:sz w:val="21"/>
              </w:rPr>
              <w:t>性高血压而实际接受了肾上腺切除术治疗。诊断及治疗均须在本公司认可医院内由</w:t>
            </w:r>
            <w:r>
              <w:rPr>
                <w:rFonts w:ascii="微软雅黑" w:eastAsia="微软雅黑" w:hint="eastAsia"/>
                <w:b/>
                <w:sz w:val="21"/>
              </w:rPr>
              <w:t>专科医生</w:t>
            </w:r>
            <w:r>
              <w:rPr>
                <w:sz w:val="21"/>
              </w:rPr>
              <w:t>认为是医疗必须的情况下进行。</w:t>
            </w:r>
          </w:p>
        </w:tc>
      </w:tr>
      <w:tr>
        <w:trPr>
          <w:trHeight w:val="1255" w:hRule="atLeast"/>
        </w:trPr>
        <w:tc>
          <w:tcPr>
            <w:tcW w:w="749" w:type="dxa"/>
          </w:tcPr>
          <w:p>
            <w:pPr>
              <w:pStyle w:val="TableParagraph"/>
              <w:ind w:left="0"/>
              <w:rPr>
                <w:rFonts w:ascii="Times New Roman"/>
                <w:sz w:val="20"/>
              </w:rPr>
            </w:pPr>
          </w:p>
        </w:tc>
        <w:tc>
          <w:tcPr>
            <w:tcW w:w="1496" w:type="dxa"/>
          </w:tcPr>
          <w:p>
            <w:pPr>
              <w:pStyle w:val="TableParagraph"/>
              <w:spacing w:line="204" w:lineRule="auto" w:before="138"/>
              <w:ind w:left="220" w:right="111"/>
              <w:rPr>
                <w:rFonts w:ascii="Microsoft JhengHei" w:eastAsia="Microsoft JhengHei" w:hint="eastAsia"/>
                <w:b/>
                <w:sz w:val="21"/>
              </w:rPr>
            </w:pPr>
            <w:r>
              <w:rPr>
                <w:rFonts w:ascii="Microsoft JhengHei" w:eastAsia="Microsoft JhengHei" w:hint="eastAsia"/>
                <w:b/>
                <w:sz w:val="21"/>
              </w:rPr>
              <w:t>35.植入腔静脉过滤器</w:t>
            </w:r>
          </w:p>
        </w:tc>
        <w:tc>
          <w:tcPr>
            <w:tcW w:w="6067" w:type="dxa"/>
          </w:tcPr>
          <w:p>
            <w:pPr>
              <w:pStyle w:val="TableParagraph"/>
              <w:spacing w:line="235" w:lineRule="auto" w:before="155"/>
              <w:ind w:right="105"/>
              <w:jc w:val="both"/>
              <w:rPr>
                <w:sz w:val="21"/>
              </w:rPr>
            </w:pPr>
            <w:r>
              <w:rPr>
                <w:spacing w:val="-6"/>
                <w:sz w:val="21"/>
              </w:rPr>
              <w:t>指患者因反复肺栓塞发作，抗凝血疗法无效而接受手术植入腔静</w:t>
            </w:r>
            <w:r>
              <w:rPr>
                <w:spacing w:val="-9"/>
                <w:sz w:val="21"/>
              </w:rPr>
              <w:t>脉过滤器。此项手术需由</w:t>
            </w:r>
            <w:r>
              <w:rPr>
                <w:rFonts w:ascii="微软雅黑" w:eastAsia="微软雅黑" w:hint="eastAsia"/>
                <w:b/>
                <w:sz w:val="21"/>
              </w:rPr>
              <w:t>专科医生</w:t>
            </w:r>
            <w:r>
              <w:rPr>
                <w:spacing w:val="-4"/>
                <w:sz w:val="21"/>
              </w:rPr>
              <w:t>认定为医学上必需的情况下进行。</w:t>
            </w:r>
          </w:p>
        </w:tc>
      </w:tr>
      <w:tr>
        <w:trPr>
          <w:trHeight w:val="479" w:hRule="atLeast"/>
        </w:trPr>
        <w:tc>
          <w:tcPr>
            <w:tcW w:w="749" w:type="dxa"/>
            <w:tcBorders>
              <w:bottom w:val="single" w:sz="4" w:space="0" w:color="000000"/>
            </w:tcBorders>
          </w:tcPr>
          <w:p>
            <w:pPr>
              <w:pStyle w:val="TableParagraph"/>
              <w:spacing w:line="404" w:lineRule="exact" w:before="55"/>
              <w:ind w:left="105"/>
              <w:rPr>
                <w:rFonts w:ascii="Microsoft JhengHei"/>
                <w:b/>
                <w:sz w:val="24"/>
              </w:rPr>
            </w:pPr>
            <w:r>
              <w:rPr>
                <w:rFonts w:ascii="Microsoft JhengHei"/>
                <w:b/>
                <w:w w:val="95"/>
                <w:sz w:val="24"/>
              </w:rPr>
              <w:t>10</w:t>
            </w:r>
          </w:p>
        </w:tc>
        <w:tc>
          <w:tcPr>
            <w:tcW w:w="7563" w:type="dxa"/>
            <w:gridSpan w:val="2"/>
            <w:tcBorders>
              <w:bottom w:val="single" w:sz="4" w:space="0" w:color="000000"/>
            </w:tcBorders>
          </w:tcPr>
          <w:p>
            <w:pPr>
              <w:pStyle w:val="TableParagraph"/>
              <w:spacing w:line="404" w:lineRule="exact" w:before="55"/>
              <w:ind w:left="220"/>
              <w:rPr>
                <w:rFonts w:ascii="Microsoft JhengHei" w:eastAsia="Microsoft JhengHei" w:hint="eastAsia"/>
                <w:b/>
                <w:sz w:val="24"/>
              </w:rPr>
            </w:pPr>
            <w:r>
              <w:rPr>
                <w:rFonts w:ascii="Microsoft JhengHei" w:eastAsia="Microsoft JhengHei" w:hint="eastAsia"/>
                <w:b/>
                <w:sz w:val="24"/>
              </w:rPr>
              <w:t>重大疾病定义</w:t>
            </w:r>
          </w:p>
        </w:tc>
      </w:tr>
      <w:tr>
        <w:trPr>
          <w:trHeight w:val="1880" w:hRule="atLeast"/>
        </w:trPr>
        <w:tc>
          <w:tcPr>
            <w:tcW w:w="749" w:type="dxa"/>
            <w:tcBorders>
              <w:top w:val="single" w:sz="4" w:space="0" w:color="000000"/>
            </w:tcBorders>
          </w:tcPr>
          <w:p>
            <w:pPr>
              <w:pStyle w:val="TableParagraph"/>
              <w:spacing w:before="81"/>
              <w:ind w:left="105"/>
              <w:rPr>
                <w:rFonts w:ascii="Microsoft JhengHei"/>
                <w:b/>
                <w:sz w:val="21"/>
              </w:rPr>
            </w:pPr>
            <w:r>
              <w:rPr>
                <w:rFonts w:ascii="Microsoft JhengHei"/>
                <w:b/>
                <w:sz w:val="21"/>
              </w:rPr>
              <w:t>10.1</w:t>
            </w:r>
          </w:p>
        </w:tc>
        <w:tc>
          <w:tcPr>
            <w:tcW w:w="1496" w:type="dxa"/>
            <w:tcBorders>
              <w:top w:val="single" w:sz="4" w:space="0" w:color="000000"/>
            </w:tcBorders>
          </w:tcPr>
          <w:p>
            <w:pPr>
              <w:pStyle w:val="TableParagraph"/>
              <w:spacing w:before="81"/>
              <w:ind w:left="220"/>
              <w:rPr>
                <w:rFonts w:ascii="Microsoft JhengHei" w:eastAsia="Microsoft JhengHei" w:hint="eastAsia"/>
                <w:b/>
                <w:sz w:val="21"/>
              </w:rPr>
            </w:pPr>
            <w:r>
              <w:rPr>
                <w:rFonts w:ascii="Microsoft JhengHei" w:eastAsia="Microsoft JhengHei" w:hint="eastAsia"/>
                <w:b/>
                <w:sz w:val="21"/>
              </w:rPr>
              <w:t>重大疾病</w:t>
            </w:r>
          </w:p>
        </w:tc>
        <w:tc>
          <w:tcPr>
            <w:tcW w:w="6067" w:type="dxa"/>
            <w:tcBorders>
              <w:top w:val="single" w:sz="4" w:space="0" w:color="000000"/>
            </w:tcBorders>
          </w:tcPr>
          <w:p>
            <w:pPr>
              <w:pStyle w:val="TableParagraph"/>
              <w:spacing w:line="268" w:lineRule="auto" w:before="148"/>
              <w:ind w:right="65"/>
              <w:rPr>
                <w:sz w:val="21"/>
              </w:rPr>
            </w:pPr>
            <w:r>
              <w:rPr>
                <w:spacing w:val="-5"/>
                <w:w w:val="100"/>
                <w:sz w:val="21"/>
              </w:rPr>
              <w:t>指被保险人发生符合以下疾病定义所述条件的疾病（</w:t>
            </w:r>
            <w:r>
              <w:rPr>
                <w:w w:val="100"/>
                <w:sz w:val="21"/>
              </w:rPr>
              <w:t>共</w:t>
            </w:r>
            <w:r>
              <w:rPr>
                <w:sz w:val="21"/>
              </w:rPr>
              <w:t> </w:t>
            </w:r>
            <w:r>
              <w:rPr>
                <w:w w:val="100"/>
                <w:sz w:val="21"/>
              </w:rPr>
              <w:t>80</w:t>
            </w:r>
            <w:r>
              <w:rPr>
                <w:spacing w:val="-53"/>
                <w:sz w:val="21"/>
              </w:rPr>
              <w:t> </w:t>
            </w:r>
            <w:r>
              <w:rPr>
                <w:w w:val="100"/>
                <w:sz w:val="21"/>
              </w:rPr>
              <w:t>种</w:t>
            </w:r>
            <w:r>
              <w:rPr>
                <w:spacing w:val="-106"/>
                <w:w w:val="100"/>
                <w:sz w:val="21"/>
              </w:rPr>
              <w:t>）</w:t>
            </w:r>
            <w:r>
              <w:rPr>
                <w:w w:val="100"/>
                <w:sz w:val="21"/>
              </w:rPr>
              <w:t>，</w:t>
            </w:r>
            <w:r>
              <w:rPr>
                <w:spacing w:val="-2"/>
                <w:sz w:val="21"/>
              </w:rPr>
              <w:t>应当由专科医生明确诊断。</w:t>
            </w:r>
          </w:p>
          <w:p>
            <w:pPr>
              <w:pStyle w:val="TableParagraph"/>
              <w:spacing w:before="11"/>
              <w:rPr>
                <w:sz w:val="21"/>
              </w:rPr>
            </w:pPr>
            <w:r>
              <w:rPr>
                <w:spacing w:val="-16"/>
                <w:sz w:val="21"/>
              </w:rPr>
              <w:t>第 </w:t>
            </w:r>
            <w:r>
              <w:rPr>
                <w:sz w:val="21"/>
              </w:rPr>
              <w:t>1</w:t>
            </w:r>
            <w:r>
              <w:rPr>
                <w:spacing w:val="-16"/>
                <w:sz w:val="21"/>
              </w:rPr>
              <w:t> 至第 </w:t>
            </w:r>
            <w:r>
              <w:rPr>
                <w:sz w:val="21"/>
              </w:rPr>
              <w:t>25</w:t>
            </w:r>
            <w:r>
              <w:rPr>
                <w:spacing w:val="-6"/>
                <w:sz w:val="21"/>
              </w:rPr>
              <w:t> 项为中国保险行业协会与中国医师协会共同制定的</w:t>
            </w:r>
          </w:p>
          <w:p>
            <w:pPr>
              <w:pStyle w:val="TableParagraph"/>
              <w:spacing w:line="273" w:lineRule="auto" w:before="36"/>
              <w:ind w:right="105"/>
              <w:rPr>
                <w:sz w:val="21"/>
              </w:rPr>
            </w:pPr>
            <w:r>
              <w:rPr>
                <w:spacing w:val="-9"/>
                <w:sz w:val="21"/>
              </w:rPr>
              <w:t>重大疾病保险的疾病定义，第 </w:t>
            </w:r>
            <w:r>
              <w:rPr>
                <w:sz w:val="21"/>
              </w:rPr>
              <w:t>26</w:t>
            </w:r>
            <w:r>
              <w:rPr>
                <w:spacing w:val="-24"/>
                <w:sz w:val="21"/>
              </w:rPr>
              <w:t> 至第 </w:t>
            </w:r>
            <w:r>
              <w:rPr>
                <w:sz w:val="21"/>
              </w:rPr>
              <w:t>80</w:t>
            </w:r>
            <w:r>
              <w:rPr>
                <w:spacing w:val="-8"/>
                <w:sz w:val="21"/>
              </w:rPr>
              <w:t> 项为我们增加的疾病种</w:t>
            </w:r>
            <w:r>
              <w:rPr>
                <w:spacing w:val="-6"/>
                <w:sz w:val="21"/>
              </w:rPr>
              <w:t>类并自行制定的疾病定义。</w:t>
            </w:r>
          </w:p>
        </w:tc>
      </w:tr>
      <w:tr>
        <w:trPr>
          <w:trHeight w:val="3759" w:hRule="atLeast"/>
        </w:trPr>
        <w:tc>
          <w:tcPr>
            <w:tcW w:w="749" w:type="dxa"/>
          </w:tcPr>
          <w:p>
            <w:pPr>
              <w:pStyle w:val="TableParagraph"/>
              <w:ind w:left="0"/>
              <w:rPr>
                <w:rFonts w:ascii="Times New Roman"/>
                <w:sz w:val="20"/>
              </w:rPr>
            </w:pPr>
          </w:p>
        </w:tc>
        <w:tc>
          <w:tcPr>
            <w:tcW w:w="1496" w:type="dxa"/>
          </w:tcPr>
          <w:p>
            <w:pPr>
              <w:pStyle w:val="TableParagraph"/>
              <w:spacing w:before="83"/>
              <w:ind w:left="220"/>
              <w:rPr>
                <w:rFonts w:ascii="Microsoft JhengHei" w:eastAsia="Microsoft JhengHei" w:hint="eastAsia"/>
                <w:b/>
                <w:sz w:val="21"/>
              </w:rPr>
            </w:pPr>
            <w:r>
              <w:rPr>
                <w:rFonts w:ascii="Microsoft JhengHei" w:eastAsia="Microsoft JhengHei" w:hint="eastAsia"/>
                <w:b/>
                <w:sz w:val="21"/>
              </w:rPr>
              <w:t>1.恶性肿瘤</w:t>
            </w:r>
          </w:p>
        </w:tc>
        <w:tc>
          <w:tcPr>
            <w:tcW w:w="6067" w:type="dxa"/>
          </w:tcPr>
          <w:p>
            <w:pPr>
              <w:pStyle w:val="TableParagraph"/>
              <w:spacing w:line="273" w:lineRule="auto" w:before="150"/>
              <w:rPr>
                <w:sz w:val="21"/>
              </w:rPr>
            </w:pPr>
            <w:r>
              <w:rPr>
                <w:spacing w:val="-6"/>
                <w:sz w:val="21"/>
              </w:rPr>
              <w:t>指恶性细胞不受控制的进行性增长和扩散，浸润和破坏周围正常</w:t>
            </w:r>
            <w:r>
              <w:rPr>
                <w:spacing w:val="-9"/>
                <w:sz w:val="21"/>
              </w:rPr>
              <w:t>组织，可以经血管、淋巴管和体腔扩散转移到身体其它部位的疾</w:t>
            </w:r>
            <w:r>
              <w:rPr>
                <w:spacing w:val="-19"/>
                <w:sz w:val="21"/>
              </w:rPr>
              <w:t>病。经病理学检查结果明确诊断，临床诊断属于世界卫生组织《疾</w:t>
            </w:r>
            <w:r>
              <w:rPr>
                <w:spacing w:val="-10"/>
                <w:sz w:val="21"/>
              </w:rPr>
              <w:t>病和有关健康问题的国际统计分类</w:t>
            </w:r>
            <w:r>
              <w:rPr>
                <w:spacing w:val="-125"/>
                <w:sz w:val="21"/>
              </w:rPr>
              <w:t>》</w:t>
            </w:r>
            <w:r>
              <w:rPr>
                <w:spacing w:val="-4"/>
                <w:sz w:val="21"/>
              </w:rPr>
              <w:t>（ICD-10）</w:t>
            </w:r>
            <w:r>
              <w:rPr>
                <w:spacing w:val="-3"/>
                <w:sz w:val="21"/>
              </w:rPr>
              <w:t>的恶性肿瘤范畴。</w:t>
            </w:r>
            <w:r>
              <w:rPr>
                <w:spacing w:val="-5"/>
                <w:sz w:val="21"/>
              </w:rPr>
              <w:t>下列疾病不在保障范围内：</w:t>
            </w:r>
          </w:p>
          <w:p>
            <w:pPr>
              <w:pStyle w:val="TableParagraph"/>
              <w:spacing w:before="7"/>
              <w:rPr>
                <w:sz w:val="21"/>
              </w:rPr>
            </w:pPr>
            <w:r>
              <w:rPr>
                <w:sz w:val="21"/>
              </w:rPr>
              <w:t>（1）原位癌；</w:t>
            </w:r>
          </w:p>
          <w:p>
            <w:pPr>
              <w:pStyle w:val="TableParagraph"/>
              <w:spacing w:before="36"/>
              <w:rPr>
                <w:sz w:val="21"/>
              </w:rPr>
            </w:pPr>
            <w:r>
              <w:rPr>
                <w:sz w:val="21"/>
              </w:rPr>
              <w:t>（2）</w:t>
            </w:r>
            <w:r>
              <w:rPr>
                <w:spacing w:val="-13"/>
                <w:sz w:val="21"/>
              </w:rPr>
              <w:t>相当于 </w:t>
            </w:r>
            <w:r>
              <w:rPr>
                <w:sz w:val="21"/>
              </w:rPr>
              <w:t>Binet</w:t>
            </w:r>
            <w:r>
              <w:rPr>
                <w:spacing w:val="-17"/>
                <w:sz w:val="21"/>
              </w:rPr>
              <w:t> 分期方案 </w:t>
            </w:r>
            <w:r>
              <w:rPr>
                <w:sz w:val="21"/>
              </w:rPr>
              <w:t>A</w:t>
            </w:r>
            <w:r>
              <w:rPr>
                <w:spacing w:val="-8"/>
                <w:sz w:val="21"/>
              </w:rPr>
              <w:t> 期程度的慢性淋巴细胞白血病；</w:t>
            </w:r>
          </w:p>
          <w:p>
            <w:pPr>
              <w:pStyle w:val="TableParagraph"/>
              <w:spacing w:before="36"/>
              <w:rPr>
                <w:sz w:val="21"/>
              </w:rPr>
            </w:pPr>
            <w:r>
              <w:rPr>
                <w:sz w:val="21"/>
              </w:rPr>
              <w:t>（3）相当于 Ann Arbor 分期方案 I 期程度的何杰金氏病；</w:t>
            </w:r>
          </w:p>
          <w:p>
            <w:pPr>
              <w:pStyle w:val="TableParagraph"/>
              <w:spacing w:before="36"/>
              <w:rPr>
                <w:sz w:val="21"/>
              </w:rPr>
            </w:pPr>
            <w:r>
              <w:rPr>
                <w:w w:val="100"/>
                <w:sz w:val="21"/>
              </w:rPr>
              <w:t>（4）</w:t>
            </w:r>
            <w:r>
              <w:rPr>
                <w:spacing w:val="-2"/>
                <w:w w:val="100"/>
                <w:sz w:val="21"/>
              </w:rPr>
              <w:t>皮肤癌</w:t>
            </w:r>
            <w:r>
              <w:rPr>
                <w:w w:val="100"/>
                <w:sz w:val="21"/>
              </w:rPr>
              <w:t>（</w:t>
            </w:r>
            <w:r>
              <w:rPr>
                <w:spacing w:val="-4"/>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2831" w:hRule="atLeast"/>
        </w:trPr>
        <w:tc>
          <w:tcPr>
            <w:tcW w:w="749" w:type="dxa"/>
          </w:tcPr>
          <w:p>
            <w:pPr>
              <w:pStyle w:val="TableParagraph"/>
              <w:ind w:left="0"/>
              <w:rPr>
                <w:rFonts w:ascii="Times New Roman"/>
                <w:sz w:val="20"/>
              </w:rPr>
            </w:pPr>
          </w:p>
        </w:tc>
        <w:tc>
          <w:tcPr>
            <w:tcW w:w="1496" w:type="dxa"/>
          </w:tcPr>
          <w:p>
            <w:pPr>
              <w:pStyle w:val="TableParagraph"/>
              <w:spacing w:line="204" w:lineRule="auto" w:before="138"/>
              <w:ind w:left="220" w:right="217"/>
              <w:rPr>
                <w:rFonts w:ascii="Microsoft JhengHei" w:eastAsia="Microsoft JhengHei" w:hint="eastAsia"/>
                <w:b/>
                <w:sz w:val="21"/>
              </w:rPr>
            </w:pPr>
            <w:r>
              <w:rPr>
                <w:rFonts w:ascii="Microsoft JhengHei" w:eastAsia="Microsoft JhengHei" w:hint="eastAsia"/>
                <w:b/>
                <w:sz w:val="21"/>
              </w:rPr>
              <w:t>2.急性心肌梗塞</w:t>
            </w:r>
          </w:p>
        </w:tc>
        <w:tc>
          <w:tcPr>
            <w:tcW w:w="6067" w:type="dxa"/>
          </w:tcPr>
          <w:p>
            <w:pPr>
              <w:pStyle w:val="TableParagraph"/>
              <w:spacing w:line="273" w:lineRule="auto" w:before="150"/>
              <w:ind w:right="68"/>
              <w:rPr>
                <w:sz w:val="21"/>
              </w:rPr>
            </w:pPr>
            <w:r>
              <w:rPr>
                <w:sz w:val="21"/>
              </w:rPr>
              <w:t>指因冠状动脉阻塞导致的相应区域供血不足造成部分心肌坏死。须满足下列至少三项条件：</w:t>
            </w:r>
          </w:p>
          <w:p>
            <w:pPr>
              <w:pStyle w:val="TableParagraph"/>
              <w:spacing w:before="8"/>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36" w:right="106" w:hanging="524"/>
              <w:rPr>
                <w:sz w:val="21"/>
              </w:rPr>
            </w:pPr>
            <w:r>
              <w:rPr>
                <w:spacing w:val="-25"/>
                <w:sz w:val="21"/>
              </w:rPr>
              <w:t>（3）</w:t>
            </w:r>
            <w:r>
              <w:rPr>
                <w:spacing w:val="-9"/>
                <w:sz w:val="21"/>
              </w:rPr>
              <w:t>心肌酶或肌钙蛋白有诊断意义的升高，或呈符合急性心肌梗</w:t>
            </w:r>
            <w:r>
              <w:rPr>
                <w:spacing w:val="-7"/>
                <w:sz w:val="21"/>
              </w:rPr>
              <w:t>塞的动态性变化；</w:t>
            </w:r>
          </w:p>
          <w:p>
            <w:pPr>
              <w:pStyle w:val="TableParagraph"/>
              <w:spacing w:line="256" w:lineRule="auto" w:before="7"/>
              <w:ind w:left="636" w:right="105" w:hanging="524"/>
              <w:rPr>
                <w:sz w:val="21"/>
              </w:rPr>
            </w:pPr>
            <w:r>
              <w:rPr>
                <w:spacing w:val="-5"/>
                <w:sz w:val="21"/>
              </w:rPr>
              <w:t>（</w:t>
            </w:r>
            <w:r>
              <w:rPr>
                <w:rFonts w:ascii="Times New Roman" w:eastAsia="Times New Roman"/>
                <w:spacing w:val="-5"/>
                <w:sz w:val="21"/>
              </w:rPr>
              <w:t>4</w:t>
            </w:r>
            <w:r>
              <w:rPr>
                <w:spacing w:val="-5"/>
                <w:sz w:val="21"/>
              </w:rPr>
              <w:t>）</w:t>
            </w:r>
            <w:r>
              <w:rPr>
                <w:spacing w:val="-13"/>
                <w:sz w:val="21"/>
              </w:rPr>
              <w:t>发病 </w:t>
            </w:r>
            <w:r>
              <w:rPr>
                <w:rFonts w:ascii="Times New Roman" w:eastAsia="Times New Roman"/>
                <w:sz w:val="21"/>
              </w:rPr>
              <w:t>90 </w:t>
            </w:r>
            <w:r>
              <w:rPr>
                <w:spacing w:val="-6"/>
                <w:sz w:val="21"/>
              </w:rPr>
              <w:t>天后，经检查证实左心室功能降低的，如左心室射</w:t>
            </w:r>
            <w:r>
              <w:rPr>
                <w:spacing w:val="-13"/>
                <w:sz w:val="21"/>
              </w:rPr>
              <w:t>血分数低于 </w:t>
            </w:r>
            <w:r>
              <w:rPr>
                <w:rFonts w:ascii="Times New Roman" w:eastAsia="Times New Roman"/>
                <w:sz w:val="21"/>
              </w:rPr>
              <w:t>50%</w:t>
            </w:r>
            <w:r>
              <w:rPr>
                <w:sz w:val="21"/>
              </w:rPr>
              <w:t>。</w:t>
            </w:r>
          </w:p>
        </w:tc>
      </w:tr>
      <w:tr>
        <w:trPr>
          <w:trHeight w:val="2502" w:hRule="atLeast"/>
        </w:trPr>
        <w:tc>
          <w:tcPr>
            <w:tcW w:w="749" w:type="dxa"/>
          </w:tcPr>
          <w:p>
            <w:pPr>
              <w:pStyle w:val="TableParagraph"/>
              <w:ind w:left="0"/>
              <w:rPr>
                <w:rFonts w:ascii="Times New Roman"/>
                <w:sz w:val="20"/>
              </w:rPr>
            </w:pPr>
          </w:p>
        </w:tc>
        <w:tc>
          <w:tcPr>
            <w:tcW w:w="1496" w:type="dxa"/>
          </w:tcPr>
          <w:p>
            <w:pPr>
              <w:pStyle w:val="TableParagraph"/>
              <w:spacing w:line="204" w:lineRule="auto" w:before="130"/>
              <w:ind w:left="220" w:right="217"/>
              <w:rPr>
                <w:rFonts w:ascii="Microsoft JhengHei" w:eastAsia="Microsoft JhengHei" w:hint="eastAsia"/>
                <w:b/>
                <w:sz w:val="21"/>
              </w:rPr>
            </w:pPr>
            <w:r>
              <w:rPr>
                <w:rFonts w:ascii="Microsoft JhengHei" w:eastAsia="Microsoft JhengHei" w:hint="eastAsia"/>
                <w:b/>
                <w:sz w:val="21"/>
              </w:rPr>
              <w:t>3.脑中风后遗症</w:t>
            </w:r>
          </w:p>
        </w:tc>
        <w:tc>
          <w:tcPr>
            <w:tcW w:w="6067" w:type="dxa"/>
          </w:tcPr>
          <w:p>
            <w:pPr>
              <w:pStyle w:val="TableParagraph"/>
              <w:spacing w:line="273" w:lineRule="auto" w:before="142"/>
              <w:ind w:right="106"/>
              <w:jc w:val="both"/>
              <w:rPr>
                <w:sz w:val="21"/>
              </w:rPr>
            </w:pPr>
            <w:r>
              <w:rPr>
                <w:spacing w:val="-6"/>
                <w:sz w:val="21"/>
              </w:rPr>
              <w:t>指因脑血管的突发病变引起脑血管出血、栓塞或梗塞，并导致神</w:t>
            </w:r>
            <w:r>
              <w:rPr>
                <w:spacing w:val="-8"/>
                <w:sz w:val="21"/>
              </w:rPr>
              <w:t>经系统永久性功能障碍。神经系统永久性的功能障碍，指疾病确</w:t>
            </w:r>
            <w:r>
              <w:rPr>
                <w:spacing w:val="-24"/>
                <w:sz w:val="21"/>
              </w:rPr>
              <w:t>诊 </w:t>
            </w:r>
            <w:r>
              <w:rPr>
                <w:sz w:val="21"/>
              </w:rPr>
              <w:t>180</w:t>
            </w:r>
            <w:r>
              <w:rPr>
                <w:spacing w:val="-8"/>
                <w:sz w:val="21"/>
              </w:rPr>
              <w:t> 天后，仍遗留下列一种或一种以上障碍：</w:t>
            </w:r>
          </w:p>
          <w:p>
            <w:pPr>
              <w:pStyle w:val="TableParagraph"/>
              <w:spacing w:before="8"/>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35" w:right="106" w:hanging="423"/>
              <w:rPr>
                <w:sz w:val="21"/>
              </w:rPr>
            </w:pPr>
            <w:r>
              <w:rPr>
                <w:spacing w:val="-25"/>
                <w:sz w:val="21"/>
              </w:rPr>
              <w:t>（3）</w:t>
            </w:r>
            <w:r>
              <w:rPr>
                <w:spacing w:val="-10"/>
                <w:sz w:val="21"/>
              </w:rPr>
              <w:t>自主生活能力完全丧失，无法独立完成六项基本日常生活活</w:t>
            </w:r>
            <w:r>
              <w:rPr>
                <w:spacing w:val="-7"/>
                <w:sz w:val="21"/>
              </w:rPr>
              <w:t>动中的三项或三项以上。</w:t>
            </w:r>
          </w:p>
        </w:tc>
      </w:tr>
      <w:tr>
        <w:trPr>
          <w:trHeight w:val="1049" w:hRule="atLeast"/>
        </w:trPr>
        <w:tc>
          <w:tcPr>
            <w:tcW w:w="749" w:type="dxa"/>
          </w:tcPr>
          <w:p>
            <w:pPr>
              <w:pStyle w:val="TableParagraph"/>
              <w:ind w:left="0"/>
              <w:rPr>
                <w:rFonts w:ascii="Times New Roman"/>
                <w:sz w:val="20"/>
              </w:rPr>
            </w:pPr>
          </w:p>
        </w:tc>
        <w:tc>
          <w:tcPr>
            <w:tcW w:w="1496" w:type="dxa"/>
          </w:tcPr>
          <w:p>
            <w:pPr>
              <w:pStyle w:val="TableParagraph"/>
              <w:spacing w:line="339" w:lineRule="exact" w:before="83"/>
              <w:ind w:left="220"/>
              <w:rPr>
                <w:rFonts w:ascii="Microsoft JhengHei" w:eastAsia="Microsoft JhengHei" w:hint="eastAsia"/>
                <w:b/>
                <w:sz w:val="21"/>
              </w:rPr>
            </w:pPr>
            <w:r>
              <w:rPr>
                <w:rFonts w:ascii="Microsoft JhengHei" w:eastAsia="Microsoft JhengHei" w:hint="eastAsia"/>
                <w:b/>
                <w:sz w:val="21"/>
              </w:rPr>
              <w:t>4.重大器官</w:t>
            </w:r>
          </w:p>
          <w:p>
            <w:pPr>
              <w:pStyle w:val="TableParagraph"/>
              <w:spacing w:line="312" w:lineRule="exact" w:before="36"/>
              <w:ind w:left="220" w:right="217"/>
              <w:rPr>
                <w:rFonts w:ascii="Microsoft JhengHei" w:eastAsia="Microsoft JhengHei" w:hint="eastAsia"/>
                <w:b/>
                <w:sz w:val="21"/>
              </w:rPr>
            </w:pPr>
            <w:r>
              <w:rPr>
                <w:rFonts w:ascii="Microsoft JhengHei" w:eastAsia="Microsoft JhengHei" w:hint="eastAsia"/>
                <w:b/>
                <w:sz w:val="21"/>
              </w:rPr>
              <w:t>移植术或造血干细胞移</w:t>
            </w:r>
          </w:p>
        </w:tc>
        <w:tc>
          <w:tcPr>
            <w:tcW w:w="6067" w:type="dxa"/>
          </w:tcPr>
          <w:p>
            <w:pPr>
              <w:pStyle w:val="TableParagraph"/>
              <w:spacing w:line="273" w:lineRule="auto" w:before="149"/>
              <w:ind w:right="70"/>
              <w:rPr>
                <w:sz w:val="21"/>
              </w:rPr>
            </w:pPr>
            <w:r>
              <w:rPr>
                <w:sz w:val="21"/>
              </w:rPr>
              <w:t>重大器官移植术，指因相应器官功能衰竭，已经实施了肾脏、肝脏、心脏或肺脏的异体移植手术。</w:t>
            </w:r>
          </w:p>
          <w:p>
            <w:pPr>
              <w:pStyle w:val="TableParagraph"/>
              <w:spacing w:line="255" w:lineRule="exact" w:before="7"/>
              <w:rPr>
                <w:sz w:val="21"/>
              </w:rPr>
            </w:pPr>
            <w:r>
              <w:rPr>
                <w:sz w:val="21"/>
              </w:rPr>
              <w:t>造血干细胞移植术，指因造血功能损害或造血系统恶性肿瘤，已</w:t>
            </w:r>
          </w:p>
        </w:tc>
      </w:tr>
    </w:tbl>
    <w:p>
      <w:pPr>
        <w:spacing w:after="0" w:line="255" w:lineRule="exact"/>
        <w:rPr>
          <w:sz w:val="21"/>
        </w:rPr>
        <w:sectPr>
          <w:pgSz w:w="11910" w:h="16840"/>
          <w:pgMar w:header="0" w:footer="150" w:top="1060" w:bottom="340" w:left="1680" w:right="16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736"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植术</w:t>
            </w:r>
          </w:p>
        </w:tc>
        <w:tc>
          <w:tcPr>
            <w:tcW w:w="6265" w:type="dxa"/>
          </w:tcPr>
          <w:p>
            <w:pPr>
              <w:pStyle w:val="TableParagraph"/>
              <w:spacing w:line="211" w:lineRule="exact"/>
              <w:rPr>
                <w:sz w:val="21"/>
              </w:rPr>
            </w:pPr>
            <w:r>
              <w:rPr>
                <w:sz w:val="21"/>
              </w:rPr>
              <w:t>经实施了造血干细胞（包括骨髓造血干细胞、外周血造血干细胞</w:t>
            </w:r>
          </w:p>
          <w:p>
            <w:pPr>
              <w:pStyle w:val="TableParagraph"/>
              <w:spacing w:before="37"/>
              <w:rPr>
                <w:sz w:val="21"/>
              </w:rPr>
            </w:pPr>
            <w:r>
              <w:rPr>
                <w:sz w:val="21"/>
              </w:rPr>
              <w:t>和脐血造血干细胞）的异体移植手术。</w:t>
            </w:r>
          </w:p>
        </w:tc>
      </w:tr>
      <w:tr>
        <w:trPr>
          <w:trHeight w:val="1575" w:hRule="atLeast"/>
        </w:trPr>
        <w:tc>
          <w:tcPr>
            <w:tcW w:w="1475" w:type="dxa"/>
          </w:tcPr>
          <w:p>
            <w:pPr>
              <w:pStyle w:val="TableParagraph"/>
              <w:spacing w:line="204" w:lineRule="auto" w:before="138"/>
              <w:ind w:left="200" w:right="218"/>
              <w:rPr>
                <w:rFonts w:ascii="Microsoft JhengHei" w:eastAsia="Microsoft JhengHei" w:hint="eastAsia"/>
                <w:b/>
                <w:sz w:val="21"/>
              </w:rPr>
            </w:pPr>
            <w:r>
              <w:rPr>
                <w:rFonts w:ascii="Microsoft JhengHei" w:eastAsia="Microsoft JhengHei" w:hint="eastAsia"/>
                <w:b/>
                <w:sz w:val="21"/>
              </w:rPr>
              <w:t>5.冠状动脉搭桥术</w:t>
            </w:r>
          </w:p>
        </w:tc>
        <w:tc>
          <w:tcPr>
            <w:tcW w:w="6265" w:type="dxa"/>
          </w:tcPr>
          <w:p>
            <w:pPr>
              <w:pStyle w:val="TableParagraph"/>
              <w:spacing w:line="273" w:lineRule="auto" w:before="150"/>
              <w:ind w:right="253"/>
              <w:rPr>
                <w:sz w:val="21"/>
              </w:rPr>
            </w:pPr>
            <w:r>
              <w:rPr>
                <w:sz w:val="21"/>
              </w:rPr>
              <w:t>指为治疗严重的冠心病，实际实施了开胸进行的冠状动脉血管旁路移植的手术。</w:t>
            </w:r>
          </w:p>
          <w:p>
            <w:pPr>
              <w:pStyle w:val="TableParagraph"/>
              <w:spacing w:line="273" w:lineRule="auto" w:before="8"/>
              <w:ind w:right="253"/>
              <w:rPr>
                <w:sz w:val="21"/>
              </w:rPr>
            </w:pPr>
            <w:r>
              <w:rPr>
                <w:sz w:val="21"/>
              </w:rPr>
              <w:t>冠状动脉支架植入术、心导管球囊扩张术、激光射频技术及其他非开胸的介入手术、腔镜手术不在保障范围内。</w:t>
            </w:r>
          </w:p>
        </w:tc>
      </w:tr>
      <w:tr>
        <w:trPr>
          <w:trHeight w:val="950" w:hRule="atLeast"/>
        </w:trPr>
        <w:tc>
          <w:tcPr>
            <w:tcW w:w="1475" w:type="dxa"/>
          </w:tcPr>
          <w:p>
            <w:pPr>
              <w:pStyle w:val="TableParagraph"/>
              <w:spacing w:line="204" w:lineRule="auto" w:before="138"/>
              <w:ind w:left="200" w:right="218"/>
              <w:rPr>
                <w:rFonts w:ascii="Microsoft JhengHei" w:eastAsia="Microsoft JhengHei" w:hint="eastAsia"/>
                <w:b/>
                <w:sz w:val="21"/>
              </w:rPr>
            </w:pPr>
            <w:r>
              <w:rPr>
                <w:rFonts w:ascii="Microsoft JhengHei" w:eastAsia="Microsoft JhengHei" w:hint="eastAsia"/>
                <w:b/>
                <w:sz w:val="21"/>
              </w:rPr>
              <w:t>6.终末期肾</w:t>
            </w:r>
            <w:r>
              <w:rPr>
                <w:rFonts w:ascii="Microsoft JhengHei" w:eastAsia="Microsoft JhengHei" w:hint="eastAsia"/>
                <w:b/>
                <w:w w:val="105"/>
                <w:sz w:val="21"/>
              </w:rPr>
              <w:t>病</w:t>
            </w:r>
          </w:p>
        </w:tc>
        <w:tc>
          <w:tcPr>
            <w:tcW w:w="6265" w:type="dxa"/>
          </w:tcPr>
          <w:p>
            <w:pPr>
              <w:pStyle w:val="TableParagraph"/>
              <w:spacing w:line="273" w:lineRule="auto" w:before="150"/>
              <w:ind w:right="257"/>
              <w:rPr>
                <w:sz w:val="21"/>
              </w:rPr>
            </w:pPr>
            <w:r>
              <w:rPr>
                <w:sz w:val="21"/>
              </w:rPr>
              <w:t>指双肾功能慢性不可逆性衰竭，达到尿毒症期，经诊断后已经进行了至少 90 天的规律性透析治疗或实施了肾脏移植手术。</w:t>
            </w:r>
          </w:p>
        </w:tc>
      </w:tr>
      <w:tr>
        <w:trPr>
          <w:trHeight w:val="948" w:hRule="atLeast"/>
        </w:trPr>
        <w:tc>
          <w:tcPr>
            <w:tcW w:w="1475" w:type="dxa"/>
          </w:tcPr>
          <w:p>
            <w:pPr>
              <w:pStyle w:val="TableParagraph"/>
              <w:spacing w:line="201" w:lineRule="auto" w:before="141"/>
              <w:ind w:left="200" w:right="218"/>
              <w:rPr>
                <w:rFonts w:ascii="Microsoft JhengHei" w:eastAsia="Microsoft JhengHei" w:hint="eastAsia"/>
                <w:b/>
                <w:sz w:val="21"/>
              </w:rPr>
            </w:pPr>
            <w:r>
              <w:rPr>
                <w:rFonts w:ascii="Microsoft JhengHei" w:eastAsia="Microsoft JhengHei" w:hint="eastAsia"/>
                <w:b/>
                <w:sz w:val="21"/>
              </w:rPr>
              <w:t>7.多个肢体缺失</w:t>
            </w:r>
          </w:p>
        </w:tc>
        <w:tc>
          <w:tcPr>
            <w:tcW w:w="6265" w:type="dxa"/>
          </w:tcPr>
          <w:p>
            <w:pPr>
              <w:pStyle w:val="TableParagraph"/>
              <w:spacing w:line="268" w:lineRule="auto" w:before="150"/>
              <w:ind w:right="304"/>
              <w:rPr>
                <w:sz w:val="21"/>
              </w:rPr>
            </w:pPr>
            <w:r>
              <w:rPr>
                <w:sz w:val="21"/>
              </w:rPr>
              <w:t>指因疾病或意外伤害导致两个或两个以上肢体自腕关节或踝关节近端（靠近躯干端）以上完全性断离。</w:t>
            </w:r>
          </w:p>
        </w:tc>
      </w:tr>
      <w:tr>
        <w:trPr>
          <w:trHeight w:val="2199" w:hRule="atLeast"/>
        </w:trPr>
        <w:tc>
          <w:tcPr>
            <w:tcW w:w="1475" w:type="dxa"/>
          </w:tcPr>
          <w:p>
            <w:pPr>
              <w:pStyle w:val="TableParagraph"/>
              <w:spacing w:line="204" w:lineRule="auto" w:before="140"/>
              <w:ind w:left="200" w:right="218"/>
              <w:jc w:val="both"/>
              <w:rPr>
                <w:rFonts w:ascii="Microsoft JhengHei" w:eastAsia="Microsoft JhengHei" w:hint="eastAsia"/>
                <w:b/>
                <w:sz w:val="21"/>
              </w:rPr>
            </w:pPr>
            <w:r>
              <w:rPr>
                <w:rFonts w:ascii="Microsoft JhengHei" w:eastAsia="Microsoft JhengHei" w:hint="eastAsia"/>
                <w:b/>
                <w:sz w:val="21"/>
              </w:rPr>
              <w:t>8.急性或亚急性重症肝炎</w:t>
            </w:r>
          </w:p>
        </w:tc>
        <w:tc>
          <w:tcPr>
            <w:tcW w:w="6265" w:type="dxa"/>
          </w:tcPr>
          <w:p>
            <w:pPr>
              <w:pStyle w:val="TableParagraph"/>
              <w:spacing w:line="268" w:lineRule="auto" w:before="152"/>
              <w:ind w:right="253"/>
              <w:rPr>
                <w:sz w:val="21"/>
              </w:rPr>
            </w:pPr>
            <w:r>
              <w:rPr>
                <w:sz w:val="21"/>
              </w:rPr>
              <w:t>指因肝炎病毒感染引起肝脏组织弥漫性坏死，导致急性肝功能衰竭，且经血清学或病毒学检查证实，并须满足下列全部条件：</w:t>
            </w:r>
          </w:p>
          <w:p>
            <w:pPr>
              <w:pStyle w:val="TableParagraph"/>
              <w:spacing w:before="11"/>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511" w:hRule="atLeast"/>
        </w:trPr>
        <w:tc>
          <w:tcPr>
            <w:tcW w:w="1475" w:type="dxa"/>
          </w:tcPr>
          <w:p>
            <w:pPr>
              <w:pStyle w:val="TableParagraph"/>
              <w:spacing w:line="201" w:lineRule="auto" w:before="144"/>
              <w:ind w:left="200" w:right="218"/>
              <w:rPr>
                <w:rFonts w:ascii="Microsoft JhengHei" w:eastAsia="Microsoft JhengHei" w:hint="eastAsia"/>
                <w:b/>
                <w:sz w:val="21"/>
              </w:rPr>
            </w:pPr>
            <w:r>
              <w:rPr>
                <w:rFonts w:ascii="Microsoft JhengHei" w:eastAsia="Microsoft JhengHei" w:hint="eastAsia"/>
                <w:b/>
                <w:sz w:val="21"/>
              </w:rPr>
              <w:t>9.良性脑肿</w:t>
            </w:r>
            <w:r>
              <w:rPr>
                <w:rFonts w:ascii="Microsoft JhengHei" w:eastAsia="Microsoft JhengHei" w:hint="eastAsia"/>
                <w:b/>
                <w:w w:val="105"/>
                <w:sz w:val="21"/>
              </w:rPr>
              <w:t>瘤</w:t>
            </w:r>
          </w:p>
        </w:tc>
        <w:tc>
          <w:tcPr>
            <w:tcW w:w="6265" w:type="dxa"/>
          </w:tcPr>
          <w:p>
            <w:pPr>
              <w:pStyle w:val="TableParagraph"/>
              <w:spacing w:line="271" w:lineRule="auto" w:before="152"/>
              <w:ind w:right="302"/>
              <w:jc w:val="both"/>
              <w:rPr>
                <w:sz w:val="21"/>
              </w:rPr>
            </w:pPr>
            <w:r>
              <w:rPr>
                <w:spacing w:val="-7"/>
                <w:sz w:val="21"/>
              </w:rPr>
              <w:t>指脑的良性肿瘤，已经引起颅内压增高，临床表现为视神经乳头</w:t>
            </w:r>
            <w:r>
              <w:rPr>
                <w:spacing w:val="-8"/>
                <w:sz w:val="21"/>
              </w:rPr>
              <w:t>水肿、精神症状、癫痫及运动感觉障碍等，并危及生命。须由头</w:t>
            </w:r>
            <w:r>
              <w:rPr>
                <w:spacing w:val="-9"/>
                <w:w w:val="100"/>
                <w:sz w:val="21"/>
              </w:rPr>
              <w:t>颅断层扫描</w:t>
            </w:r>
            <w:r>
              <w:rPr>
                <w:spacing w:val="-5"/>
                <w:w w:val="100"/>
                <w:sz w:val="21"/>
              </w:rPr>
              <w:t>（</w:t>
            </w:r>
            <w:r>
              <w:rPr>
                <w:w w:val="100"/>
                <w:sz w:val="21"/>
              </w:rPr>
              <w:t>CT</w:t>
            </w:r>
            <w:r>
              <w:rPr>
                <w:spacing w:val="-106"/>
                <w:w w:val="100"/>
                <w:sz w:val="21"/>
              </w:rPr>
              <w:t>）</w:t>
            </w:r>
            <w:r>
              <w:rPr>
                <w:spacing w:val="-6"/>
                <w:w w:val="100"/>
                <w:sz w:val="21"/>
              </w:rPr>
              <w:t>、核磁共振检查</w:t>
            </w:r>
            <w:r>
              <w:rPr>
                <w:w w:val="100"/>
                <w:sz w:val="21"/>
              </w:rPr>
              <w:t>（MRI</w:t>
            </w:r>
            <w:r>
              <w:rPr>
                <w:spacing w:val="-15"/>
                <w:w w:val="100"/>
                <w:sz w:val="21"/>
              </w:rPr>
              <w:t>）</w:t>
            </w:r>
            <w:r>
              <w:rPr>
                <w:spacing w:val="-3"/>
                <w:w w:val="100"/>
                <w:sz w:val="21"/>
              </w:rPr>
              <w:t>或正电子发射断层扫描</w:t>
            </w:r>
          </w:p>
          <w:p>
            <w:pPr>
              <w:pStyle w:val="TableParagraph"/>
              <w:spacing w:before="9"/>
              <w:jc w:val="both"/>
              <w:rPr>
                <w:sz w:val="21"/>
              </w:rPr>
            </w:pPr>
            <w:r>
              <w:rPr>
                <w:sz w:val="21"/>
              </w:rPr>
              <w:t>（PET）等影像学检查证实，并须满足下列至少一项条件：</w:t>
            </w:r>
          </w:p>
          <w:p>
            <w:pPr>
              <w:pStyle w:val="TableParagraph"/>
              <w:spacing w:before="36"/>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2199"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10.慢性肝功能衰竭失代偿期</w:t>
            </w:r>
          </w:p>
        </w:tc>
        <w:tc>
          <w:tcPr>
            <w:tcW w:w="6265" w:type="dxa"/>
          </w:tcPr>
          <w:p>
            <w:pPr>
              <w:pStyle w:val="TableParagraph"/>
              <w:spacing w:before="152"/>
              <w:rPr>
                <w:sz w:val="21"/>
              </w:rPr>
            </w:pPr>
            <w:r>
              <w:rPr>
                <w:sz w:val="21"/>
              </w:rPr>
              <w:t>指因慢性肝脏疾病导致肝功能衰竭，须满足下列全部条件：</w:t>
            </w:r>
          </w:p>
          <w:p>
            <w:pPr>
              <w:pStyle w:val="TableParagraph"/>
              <w:spacing w:before="32"/>
              <w:rPr>
                <w:sz w:val="21"/>
              </w:rPr>
            </w:pPr>
            <w:r>
              <w:rPr>
                <w:sz w:val="21"/>
              </w:rPr>
              <w:t>（1）持续性黄疸；</w:t>
            </w:r>
          </w:p>
          <w:p>
            <w:pPr>
              <w:pStyle w:val="TableParagraph"/>
              <w:spacing w:before="37"/>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36"/>
              <w:rPr>
                <w:sz w:val="21"/>
              </w:rPr>
            </w:pPr>
            <w:r>
              <w:rPr>
                <w:sz w:val="21"/>
              </w:rPr>
              <w:t>因酗酒或药物滥用导致的肝功能衰竭不在保障范围内。</w:t>
            </w:r>
          </w:p>
        </w:tc>
      </w:tr>
      <w:tr>
        <w:trPr>
          <w:trHeight w:val="2501"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11.脑炎后遗症或脑膜炎后遗症</w:t>
            </w:r>
          </w:p>
        </w:tc>
        <w:tc>
          <w:tcPr>
            <w:tcW w:w="6265" w:type="dxa"/>
          </w:tcPr>
          <w:p>
            <w:pPr>
              <w:pStyle w:val="TableParagraph"/>
              <w:spacing w:line="271" w:lineRule="auto" w:before="152"/>
              <w:ind w:right="302"/>
              <w:jc w:val="both"/>
              <w:rPr>
                <w:sz w:val="21"/>
              </w:rPr>
            </w:pPr>
            <w:r>
              <w:rPr>
                <w:spacing w:val="-7"/>
                <w:sz w:val="21"/>
              </w:rPr>
              <w:t>指因患脑炎或脑膜炎导致的神经系统永久性的功能障碍。神经系</w:t>
            </w:r>
            <w:r>
              <w:rPr>
                <w:spacing w:val="-10"/>
                <w:sz w:val="21"/>
              </w:rPr>
              <w:t>统永久性的功能障碍，指疾病确诊 </w:t>
            </w:r>
            <w:r>
              <w:rPr>
                <w:sz w:val="21"/>
              </w:rPr>
              <w:t>180</w:t>
            </w:r>
            <w:r>
              <w:rPr>
                <w:spacing w:val="-9"/>
                <w:sz w:val="21"/>
              </w:rPr>
              <w:t> 天后，仍残留下列一种或</w:t>
            </w:r>
            <w:r>
              <w:rPr>
                <w:spacing w:val="-7"/>
                <w:sz w:val="21"/>
              </w:rPr>
              <w:t>一种以上障碍：</w:t>
            </w:r>
          </w:p>
          <w:p>
            <w:pPr>
              <w:pStyle w:val="TableParagraph"/>
              <w:spacing w:before="9"/>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7"/>
              <w:ind w:left="636" w:right="303" w:hanging="524"/>
              <w:rPr>
                <w:sz w:val="21"/>
              </w:rPr>
            </w:pPr>
            <w:r>
              <w:rPr>
                <w:spacing w:val="-25"/>
                <w:sz w:val="21"/>
              </w:rPr>
              <w:t>（3）</w:t>
            </w:r>
            <w:r>
              <w:rPr>
                <w:spacing w:val="-10"/>
                <w:sz w:val="21"/>
              </w:rPr>
              <w:t>自主生活能力完全丧失，无法独立完成六项基本日常生活活</w:t>
            </w:r>
            <w:r>
              <w:rPr>
                <w:spacing w:val="-7"/>
                <w:sz w:val="21"/>
              </w:rPr>
              <w:t>动中的三项或三项以上。</w:t>
            </w:r>
          </w:p>
        </w:tc>
      </w:tr>
      <w:tr>
        <w:trPr>
          <w:trHeight w:val="1680" w:hRule="atLeast"/>
        </w:trPr>
        <w:tc>
          <w:tcPr>
            <w:tcW w:w="1475" w:type="dxa"/>
          </w:tcPr>
          <w:p>
            <w:pPr>
              <w:pStyle w:val="TableParagraph"/>
              <w:spacing w:before="95"/>
              <w:ind w:left="200"/>
              <w:rPr>
                <w:rFonts w:ascii="Microsoft JhengHei" w:eastAsia="Microsoft JhengHei" w:hint="eastAsia"/>
                <w:b/>
                <w:sz w:val="21"/>
              </w:rPr>
            </w:pPr>
            <w:r>
              <w:rPr>
                <w:rFonts w:ascii="Microsoft JhengHei" w:eastAsia="Microsoft JhengHei" w:hint="eastAsia"/>
                <w:b/>
                <w:sz w:val="21"/>
              </w:rPr>
              <w:t>12.深度昏迷</w:t>
            </w:r>
          </w:p>
        </w:tc>
        <w:tc>
          <w:tcPr>
            <w:tcW w:w="6265" w:type="dxa"/>
          </w:tcPr>
          <w:p>
            <w:pPr>
              <w:pStyle w:val="TableParagraph"/>
              <w:spacing w:line="254" w:lineRule="auto" w:before="162"/>
              <w:ind w:right="303"/>
              <w:jc w:val="both"/>
              <w:rPr>
                <w:sz w:val="21"/>
              </w:rPr>
            </w:pPr>
            <w:r>
              <w:rPr>
                <w:sz w:val="21"/>
              </w:rPr>
              <w:t>指因疾病或意外伤害导致意识丧失</w:t>
            </w:r>
            <w:r>
              <w:rPr>
                <w:rFonts w:ascii="Cambria" w:eastAsia="Cambria"/>
                <w:spacing w:val="2"/>
                <w:sz w:val="21"/>
              </w:rPr>
              <w:t>,</w:t>
            </w:r>
            <w:r>
              <w:rPr>
                <w:sz w:val="21"/>
              </w:rPr>
              <w:t>对外界刺激和体内需求均无反应</w:t>
            </w:r>
            <w:r>
              <w:rPr>
                <w:rFonts w:ascii="Cambria" w:eastAsia="Cambria"/>
                <w:sz w:val="21"/>
              </w:rPr>
              <w:t>,</w:t>
            </w:r>
            <w:r>
              <w:rPr>
                <w:spacing w:val="-4"/>
                <w:sz w:val="21"/>
              </w:rPr>
              <w:t>昏迷程度按照格拉斯哥昏迷分级</w:t>
            </w:r>
            <w:r>
              <w:rPr>
                <w:sz w:val="21"/>
              </w:rPr>
              <w:t>（</w:t>
            </w:r>
            <w:r>
              <w:rPr>
                <w:rFonts w:ascii="Cambria" w:eastAsia="Cambria"/>
                <w:sz w:val="21"/>
              </w:rPr>
              <w:t>Glasgow coma scale</w:t>
            </w:r>
            <w:r>
              <w:rPr>
                <w:sz w:val="21"/>
              </w:rPr>
              <w:t>）结</w:t>
            </w:r>
            <w:r>
              <w:rPr>
                <w:spacing w:val="-1"/>
                <w:sz w:val="21"/>
              </w:rPr>
              <w:t>果为</w:t>
            </w:r>
            <w:r>
              <w:rPr>
                <w:rFonts w:ascii="Cambria" w:eastAsia="Cambria"/>
                <w:spacing w:val="-1"/>
                <w:sz w:val="21"/>
              </w:rPr>
              <w:t>5</w:t>
            </w:r>
            <w:r>
              <w:rPr>
                <w:spacing w:val="-1"/>
                <w:sz w:val="21"/>
              </w:rPr>
              <w:t>分或</w:t>
            </w:r>
            <w:r>
              <w:rPr>
                <w:rFonts w:ascii="Cambria" w:eastAsia="Cambria"/>
                <w:sz w:val="21"/>
              </w:rPr>
              <w:t>5</w:t>
            </w:r>
            <w:r>
              <w:rPr>
                <w:spacing w:val="-9"/>
                <w:sz w:val="21"/>
              </w:rPr>
              <w:t>分以下，且已经持续使用呼吸机及其它生命维持系统</w:t>
            </w:r>
          </w:p>
          <w:p>
            <w:pPr>
              <w:pStyle w:val="TableParagraph"/>
              <w:spacing w:before="5"/>
              <w:jc w:val="both"/>
              <w:rPr>
                <w:sz w:val="21"/>
              </w:rPr>
            </w:pPr>
            <w:r>
              <w:rPr>
                <w:rFonts w:ascii="Cambria" w:eastAsia="Cambria"/>
                <w:sz w:val="21"/>
              </w:rPr>
              <w:t>96  </w:t>
            </w:r>
            <w:r>
              <w:rPr>
                <w:sz w:val="21"/>
              </w:rPr>
              <w:t>小时以上。</w:t>
            </w:r>
          </w:p>
          <w:p>
            <w:pPr>
              <w:pStyle w:val="TableParagraph"/>
              <w:spacing w:line="255" w:lineRule="exact" w:before="19"/>
              <w:jc w:val="both"/>
              <w:rPr>
                <w:sz w:val="21"/>
              </w:rPr>
            </w:pPr>
            <w:r>
              <w:rPr>
                <w:sz w:val="21"/>
              </w:rPr>
              <w:t>因酗酒或药物滥用导致的深度昏迷不在保障范围内。</w:t>
            </w:r>
          </w:p>
        </w:tc>
      </w:tr>
    </w:tbl>
    <w:p>
      <w:pPr>
        <w:spacing w:after="0" w:line="255" w:lineRule="exact"/>
        <w:jc w:val="both"/>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1673"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13.双耳失聪</w:t>
            </w:r>
          </w:p>
          <w:p>
            <w:pPr>
              <w:pStyle w:val="TableParagraph"/>
              <w:spacing w:line="204" w:lineRule="auto" w:before="28"/>
              <w:ind w:left="200" w:right="218"/>
              <w:rPr>
                <w:rFonts w:ascii="Microsoft JhengHei" w:eastAsia="Microsoft JhengHei" w:hint="eastAsia"/>
                <w:b/>
                <w:sz w:val="21"/>
              </w:rPr>
            </w:pPr>
            <w:r>
              <w:rPr>
                <w:rFonts w:ascii="Microsoft JhengHei" w:eastAsia="Microsoft JhengHei" w:hint="eastAsia"/>
                <w:b/>
                <w:sz w:val="21"/>
              </w:rPr>
              <w:t>－三周岁始理赔</w:t>
            </w:r>
          </w:p>
        </w:tc>
        <w:tc>
          <w:tcPr>
            <w:tcW w:w="6267" w:type="dxa"/>
          </w:tcPr>
          <w:p>
            <w:pPr>
              <w:pStyle w:val="TableParagraph"/>
              <w:spacing w:line="211" w:lineRule="exact"/>
              <w:rPr>
                <w:sz w:val="21"/>
              </w:rPr>
            </w:pPr>
            <w:r>
              <w:rPr>
                <w:sz w:val="21"/>
              </w:rPr>
              <w:t>指因疾病或意外伤害导致双耳听力永久不可逆性丧失，在 500 赫</w:t>
            </w:r>
          </w:p>
          <w:p>
            <w:pPr>
              <w:pStyle w:val="TableParagraph"/>
              <w:spacing w:line="273" w:lineRule="auto" w:before="37"/>
              <w:ind w:right="212"/>
              <w:rPr>
                <w:sz w:val="21"/>
              </w:rPr>
            </w:pPr>
            <w:r>
              <w:rPr>
                <w:sz w:val="21"/>
              </w:rPr>
              <w:t>兹、1000</w:t>
            </w:r>
            <w:r>
              <w:rPr>
                <w:spacing w:val="-21"/>
                <w:sz w:val="21"/>
              </w:rPr>
              <w:t> 赫兹和 </w:t>
            </w:r>
            <w:r>
              <w:rPr>
                <w:sz w:val="21"/>
              </w:rPr>
              <w:t>2000</w:t>
            </w:r>
            <w:r>
              <w:rPr>
                <w:spacing w:val="-11"/>
                <w:sz w:val="21"/>
              </w:rPr>
              <w:t> 赫兹语音频率下，平均听阈大于 </w:t>
            </w:r>
            <w:r>
              <w:rPr>
                <w:sz w:val="21"/>
              </w:rPr>
              <w:t>90</w:t>
            </w:r>
            <w:r>
              <w:rPr>
                <w:spacing w:val="-12"/>
                <w:sz w:val="21"/>
              </w:rPr>
              <w:t> 分贝， </w:t>
            </w:r>
            <w:r>
              <w:rPr>
                <w:spacing w:val="-8"/>
                <w:sz w:val="21"/>
              </w:rPr>
              <w:t>且经纯音听力测试、声导抗检测或听觉诱发电位检测等证实。 </w:t>
            </w:r>
            <w:r>
              <w:rPr>
                <w:sz w:val="21"/>
              </w:rPr>
              <w:t>被保险人在3</w:t>
            </w:r>
            <w:r>
              <w:rPr>
                <w:spacing w:val="-10"/>
                <w:sz w:val="21"/>
              </w:rPr>
              <w:t> 周岁之前因疾病或意外导致的双耳失聪不在保障范围内。</w:t>
            </w:r>
          </w:p>
        </w:tc>
      </w:tr>
      <w:tr>
        <w:trPr>
          <w:trHeight w:val="2823" w:hRule="atLeast"/>
        </w:trPr>
        <w:tc>
          <w:tcPr>
            <w:tcW w:w="1475" w:type="dxa"/>
          </w:tcPr>
          <w:p>
            <w:pPr>
              <w:pStyle w:val="TableParagraph"/>
              <w:spacing w:line="339" w:lineRule="exact" w:before="83"/>
              <w:ind w:left="200"/>
              <w:rPr>
                <w:rFonts w:ascii="Microsoft JhengHei" w:eastAsia="Microsoft JhengHei" w:hint="eastAsia"/>
                <w:b/>
                <w:sz w:val="21"/>
              </w:rPr>
            </w:pPr>
            <w:r>
              <w:rPr>
                <w:rFonts w:ascii="Microsoft JhengHei" w:eastAsia="Microsoft JhengHei" w:hint="eastAsia"/>
                <w:b/>
                <w:sz w:val="21"/>
              </w:rPr>
              <w:t>14.双目失明</w:t>
            </w:r>
          </w:p>
          <w:p>
            <w:pPr>
              <w:pStyle w:val="TableParagraph"/>
              <w:spacing w:line="204" w:lineRule="auto" w:before="28"/>
              <w:ind w:left="200" w:right="218"/>
              <w:rPr>
                <w:rFonts w:ascii="Microsoft JhengHei" w:eastAsia="Microsoft JhengHei" w:hint="eastAsia"/>
                <w:b/>
                <w:sz w:val="21"/>
              </w:rPr>
            </w:pPr>
            <w:r>
              <w:rPr>
                <w:rFonts w:ascii="Microsoft JhengHei" w:eastAsia="Microsoft JhengHei" w:hint="eastAsia"/>
                <w:b/>
                <w:sz w:val="21"/>
              </w:rPr>
              <w:t>－三周岁始理赔</w:t>
            </w:r>
          </w:p>
        </w:tc>
        <w:tc>
          <w:tcPr>
            <w:tcW w:w="6267" w:type="dxa"/>
          </w:tcPr>
          <w:p>
            <w:pPr>
              <w:pStyle w:val="TableParagraph"/>
              <w:spacing w:line="273" w:lineRule="auto" w:before="150"/>
              <w:ind w:right="270"/>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535" w:right="305" w:hanging="423"/>
              <w:rPr>
                <w:sz w:val="21"/>
              </w:rPr>
            </w:pPr>
            <w:r>
              <w:rPr>
                <w:sz w:val="21"/>
              </w:rPr>
              <w:t>（2）</w:t>
            </w:r>
            <w:r>
              <w:rPr>
                <w:spacing w:val="-4"/>
                <w:sz w:val="21"/>
              </w:rPr>
              <w:t>矫正视力低于 </w:t>
            </w:r>
            <w:r>
              <w:rPr>
                <w:sz w:val="21"/>
              </w:rPr>
              <w:t>0.02（</w:t>
            </w:r>
            <w:r>
              <w:rPr>
                <w:spacing w:val="-5"/>
                <w:sz w:val="21"/>
              </w:rPr>
              <w:t>采用国际标准视力表，如果使用其他</w:t>
            </w:r>
            <w:r>
              <w:rPr>
                <w:spacing w:val="-5"/>
                <w:w w:val="100"/>
                <w:sz w:val="21"/>
              </w:rPr>
              <w:t>视力表应进行换算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73" w:lineRule="auto" w:before="37"/>
              <w:ind w:right="247"/>
              <w:rPr>
                <w:sz w:val="21"/>
              </w:rPr>
            </w:pPr>
            <w:r>
              <w:rPr>
                <w:sz w:val="21"/>
              </w:rPr>
              <w:t>被保险人在3 周岁之前因疾病或意外导致的双目失明不在保障范围内。</w:t>
            </w:r>
          </w:p>
        </w:tc>
      </w:tr>
      <w:tr>
        <w:trPr>
          <w:trHeight w:val="1572"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15.瘫痪</w:t>
            </w:r>
          </w:p>
        </w:tc>
        <w:tc>
          <w:tcPr>
            <w:tcW w:w="6267" w:type="dxa"/>
          </w:tcPr>
          <w:p>
            <w:pPr>
              <w:pStyle w:val="TableParagraph"/>
              <w:spacing w:line="268" w:lineRule="auto" w:before="150"/>
              <w:ind w:right="304"/>
              <w:rPr>
                <w:sz w:val="21"/>
              </w:rPr>
            </w:pPr>
            <w:r>
              <w:rPr>
                <w:spacing w:val="2"/>
                <w:sz w:val="21"/>
              </w:rPr>
              <w:t>指因疾病或意外伤害导致两肢或两肢以上肢体机能永久完全丧</w:t>
            </w:r>
            <w:r>
              <w:rPr>
                <w:spacing w:val="-9"/>
                <w:sz w:val="21"/>
              </w:rPr>
              <w:t>失。肢体机能永久完全丧失，指疾病确诊 </w:t>
            </w:r>
            <w:r>
              <w:rPr>
                <w:sz w:val="21"/>
              </w:rPr>
              <w:t>180</w:t>
            </w:r>
            <w:r>
              <w:rPr>
                <w:spacing w:val="-8"/>
                <w:sz w:val="21"/>
              </w:rPr>
              <w:t> 天后或意外伤害发</w:t>
            </w:r>
          </w:p>
          <w:p>
            <w:pPr>
              <w:pStyle w:val="TableParagraph"/>
              <w:spacing w:line="273" w:lineRule="auto" w:before="12"/>
              <w:ind w:right="305"/>
              <w:rPr>
                <w:sz w:val="21"/>
              </w:rPr>
            </w:pPr>
            <w:r>
              <w:rPr>
                <w:spacing w:val="-19"/>
                <w:sz w:val="21"/>
              </w:rPr>
              <w:t>生 </w:t>
            </w:r>
            <w:r>
              <w:rPr>
                <w:sz w:val="21"/>
              </w:rPr>
              <w:t>180</w:t>
            </w:r>
            <w:r>
              <w:rPr>
                <w:spacing w:val="-10"/>
                <w:sz w:val="21"/>
              </w:rPr>
              <w:t> 天后，每肢三大关节中的两大关节仍然完全僵硬，或不能</w:t>
            </w:r>
            <w:r>
              <w:rPr>
                <w:spacing w:val="-8"/>
                <w:sz w:val="21"/>
              </w:rPr>
              <w:t>随意识活动。</w:t>
            </w:r>
          </w:p>
        </w:tc>
      </w:tr>
      <w:tr>
        <w:trPr>
          <w:trHeight w:val="950"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16.心脏瓣膜手术</w:t>
            </w:r>
          </w:p>
        </w:tc>
        <w:tc>
          <w:tcPr>
            <w:tcW w:w="6267" w:type="dxa"/>
          </w:tcPr>
          <w:p>
            <w:pPr>
              <w:pStyle w:val="TableParagraph"/>
              <w:spacing w:line="268" w:lineRule="auto" w:before="152"/>
              <w:ind w:right="255"/>
              <w:rPr>
                <w:sz w:val="21"/>
              </w:rPr>
            </w:pPr>
            <w:r>
              <w:rPr>
                <w:sz w:val="21"/>
              </w:rPr>
              <w:t>指为治疗心脏瓣膜疾病，实际实施了开胸进行的心脏瓣膜置换或修复的手术。</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17.严重阿尔茨海默病</w:t>
            </w:r>
          </w:p>
        </w:tc>
        <w:tc>
          <w:tcPr>
            <w:tcW w:w="6267" w:type="dxa"/>
          </w:tcPr>
          <w:p>
            <w:pPr>
              <w:pStyle w:val="TableParagraph"/>
              <w:spacing w:line="271" w:lineRule="auto" w:before="152"/>
              <w:ind w:right="265"/>
              <w:jc w:val="both"/>
              <w:rPr>
                <w:sz w:val="21"/>
              </w:rPr>
            </w:pPr>
            <w:r>
              <w:rPr>
                <w:spacing w:val="-6"/>
                <w:sz w:val="21"/>
              </w:rPr>
              <w:t>指因大脑进行性、不可逆性改变导致智能严重衰退或丧失，临床</w:t>
            </w:r>
            <w:r>
              <w:rPr>
                <w:spacing w:val="-8"/>
                <w:sz w:val="21"/>
              </w:rPr>
              <w:t>表现为明显的认知能力障碍、行为异常和社交能力减退，其日常</w:t>
            </w:r>
            <w:r>
              <w:rPr>
                <w:spacing w:val="-12"/>
                <w:w w:val="100"/>
                <w:sz w:val="21"/>
              </w:rPr>
              <w:t>生活必须持续受到他人监护。须由头颅断层扫描</w:t>
            </w:r>
            <w:r>
              <w:rPr>
                <w:spacing w:val="1"/>
                <w:w w:val="100"/>
                <w:sz w:val="21"/>
              </w:rPr>
              <w:t>（</w:t>
            </w:r>
            <w:r>
              <w:rPr>
                <w:spacing w:val="-5"/>
                <w:w w:val="100"/>
                <w:sz w:val="21"/>
              </w:rPr>
              <w:t>C</w:t>
            </w:r>
            <w:r>
              <w:rPr>
                <w:w w:val="100"/>
                <w:sz w:val="21"/>
              </w:rPr>
              <w:t>T</w:t>
            </w:r>
            <w:r>
              <w:rPr>
                <w:spacing w:val="-111"/>
                <w:w w:val="100"/>
                <w:sz w:val="21"/>
              </w:rPr>
              <w:t>）</w:t>
            </w:r>
            <w:r>
              <w:rPr>
                <w:spacing w:val="-10"/>
                <w:w w:val="100"/>
                <w:sz w:val="21"/>
              </w:rPr>
              <w:t>、核磁共振</w:t>
            </w:r>
            <w:r>
              <w:rPr>
                <w:spacing w:val="-1"/>
                <w:sz w:val="21"/>
              </w:rPr>
              <w:t>检查（MRI）</w:t>
            </w:r>
            <w:r>
              <w:rPr>
                <w:spacing w:val="-3"/>
                <w:sz w:val="21"/>
              </w:rPr>
              <w:t>或正电子发射断层扫描</w:t>
            </w:r>
            <w:r>
              <w:rPr>
                <w:sz w:val="21"/>
              </w:rPr>
              <w:t>（PET）</w:t>
            </w:r>
            <w:r>
              <w:rPr>
                <w:spacing w:val="-3"/>
                <w:sz w:val="21"/>
              </w:rPr>
              <w:t>等影像学检查证实， </w:t>
            </w:r>
            <w:r>
              <w:rPr>
                <w:spacing w:val="-8"/>
                <w:sz w:val="21"/>
              </w:rPr>
              <w:t>且自主生活能力完全丧失，无法独立完成六项基本日常生活活动</w:t>
            </w:r>
            <w:r>
              <w:rPr>
                <w:spacing w:val="-6"/>
                <w:sz w:val="21"/>
              </w:rPr>
              <w:t>中的三项或三项以上。</w:t>
            </w:r>
          </w:p>
          <w:p>
            <w:pPr>
              <w:pStyle w:val="TableParagraph"/>
              <w:spacing w:before="9"/>
              <w:jc w:val="both"/>
              <w:rPr>
                <w:sz w:val="21"/>
              </w:rPr>
            </w:pPr>
            <w:r>
              <w:rPr>
                <w:sz w:val="21"/>
              </w:rPr>
              <w:t>神经官能症和精神疾病不在保障范围内。</w:t>
            </w:r>
          </w:p>
        </w:tc>
      </w:tr>
      <w:tr>
        <w:trPr>
          <w:trHeight w:val="3135"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18.严重脑损伤</w:t>
            </w:r>
          </w:p>
        </w:tc>
        <w:tc>
          <w:tcPr>
            <w:tcW w:w="6267" w:type="dxa"/>
          </w:tcPr>
          <w:p>
            <w:pPr>
              <w:pStyle w:val="TableParagraph"/>
              <w:spacing w:line="271" w:lineRule="auto" w:before="152"/>
              <w:ind w:right="199"/>
              <w:rPr>
                <w:sz w:val="21"/>
              </w:rPr>
            </w:pPr>
            <w:r>
              <w:rPr>
                <w:spacing w:val="-6"/>
                <w:sz w:val="21"/>
              </w:rPr>
              <w:t>指因头部遭受机械性外力，引起脑重要部位损伤，导致神经系统</w:t>
            </w:r>
            <w:r>
              <w:rPr>
                <w:spacing w:val="-17"/>
                <w:w w:val="100"/>
                <w:sz w:val="21"/>
              </w:rPr>
              <w:t>永久性的功能障碍。须由头颅断层扫描</w:t>
            </w:r>
            <w:r>
              <w:rPr>
                <w:spacing w:val="0"/>
                <w:w w:val="100"/>
                <w:sz w:val="21"/>
              </w:rPr>
              <w:t>（</w:t>
            </w:r>
            <w:r>
              <w:rPr>
                <w:spacing w:val="-5"/>
                <w:w w:val="100"/>
                <w:sz w:val="21"/>
              </w:rPr>
              <w:t>C</w:t>
            </w:r>
            <w:r>
              <w:rPr>
                <w:w w:val="100"/>
                <w:sz w:val="21"/>
              </w:rPr>
              <w:t>T</w:t>
            </w:r>
            <w:r>
              <w:rPr>
                <w:spacing w:val="-106"/>
                <w:w w:val="100"/>
                <w:sz w:val="21"/>
              </w:rPr>
              <w:t>）</w:t>
            </w:r>
            <w:r>
              <w:rPr>
                <w:spacing w:val="-28"/>
                <w:w w:val="100"/>
                <w:sz w:val="21"/>
              </w:rPr>
              <w:t>、核磁共振检查</w:t>
            </w:r>
            <w:r>
              <w:rPr>
                <w:w w:val="100"/>
                <w:sz w:val="21"/>
              </w:rPr>
              <w:t>（MR</w:t>
            </w:r>
            <w:r>
              <w:rPr>
                <w:spacing w:val="-5"/>
                <w:w w:val="100"/>
                <w:sz w:val="21"/>
              </w:rPr>
              <w:t>I</w:t>
            </w:r>
            <w:r>
              <w:rPr>
                <w:w w:val="100"/>
                <w:sz w:val="21"/>
              </w:rPr>
              <w:t>）</w:t>
            </w:r>
            <w:r>
              <w:rPr>
                <w:spacing w:val="-7"/>
                <w:sz w:val="21"/>
              </w:rPr>
              <w:t>或正电子发射断层扫描</w:t>
            </w:r>
            <w:r>
              <w:rPr>
                <w:spacing w:val="-10"/>
                <w:sz w:val="21"/>
              </w:rPr>
              <w:t>（PET）</w:t>
            </w:r>
            <w:r>
              <w:rPr>
                <w:spacing w:val="-9"/>
                <w:sz w:val="21"/>
              </w:rPr>
              <w:t>等影像学检查证实。神经系统永久</w:t>
            </w:r>
            <w:r>
              <w:rPr>
                <w:spacing w:val="-11"/>
                <w:sz w:val="21"/>
              </w:rPr>
              <w:t>性的功能障碍，指脑损伤 </w:t>
            </w:r>
            <w:r>
              <w:rPr>
                <w:sz w:val="21"/>
              </w:rPr>
              <w:t>180</w:t>
            </w:r>
            <w:r>
              <w:rPr>
                <w:spacing w:val="-10"/>
                <w:sz w:val="21"/>
              </w:rPr>
              <w:t> 天后，仍遗留下列一种或一种以上障碍：</w:t>
            </w:r>
          </w:p>
          <w:p>
            <w:pPr>
              <w:pStyle w:val="TableParagraph"/>
              <w:spacing w:before="9"/>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6" w:right="305" w:hanging="524"/>
              <w:rPr>
                <w:sz w:val="21"/>
              </w:rPr>
            </w:pPr>
            <w:r>
              <w:rPr>
                <w:spacing w:val="-25"/>
                <w:sz w:val="21"/>
              </w:rPr>
              <w:t>（3）</w:t>
            </w:r>
            <w:r>
              <w:rPr>
                <w:spacing w:val="-10"/>
                <w:sz w:val="21"/>
              </w:rPr>
              <w:t>自主生活能力完全丧失，无法独立完成六项基本日常生活活</w:t>
            </w:r>
            <w:r>
              <w:rPr>
                <w:spacing w:val="-7"/>
                <w:sz w:val="21"/>
              </w:rPr>
              <w:t>动中的三项或三项以上。</w:t>
            </w:r>
          </w:p>
        </w:tc>
      </w:tr>
      <w:tr>
        <w:trPr>
          <w:trHeight w:val="1983"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19.严重帕金森病</w:t>
            </w:r>
          </w:p>
        </w:tc>
        <w:tc>
          <w:tcPr>
            <w:tcW w:w="6267" w:type="dxa"/>
          </w:tcPr>
          <w:p>
            <w:pPr>
              <w:pStyle w:val="TableParagraph"/>
              <w:spacing w:line="268" w:lineRule="auto" w:before="152"/>
              <w:ind w:right="255"/>
              <w:rPr>
                <w:sz w:val="21"/>
              </w:rPr>
            </w:pPr>
            <w:r>
              <w:rPr>
                <w:sz w:val="21"/>
              </w:rPr>
              <w:t>是一种中枢神经系统的退行性疾病，临床表现为震颤麻痹、共济失调等。须满足下列全部条件：</w:t>
            </w:r>
          </w:p>
          <w:p>
            <w:pPr>
              <w:pStyle w:val="TableParagraph"/>
              <w:spacing w:before="11"/>
              <w:rPr>
                <w:sz w:val="21"/>
              </w:rPr>
            </w:pPr>
            <w:r>
              <w:rPr>
                <w:sz w:val="21"/>
              </w:rPr>
              <w:t>（1）药物治疗无法控制病情；</w:t>
            </w:r>
          </w:p>
          <w:p>
            <w:pPr>
              <w:pStyle w:val="TableParagraph"/>
              <w:spacing w:line="273" w:lineRule="auto" w:before="36"/>
              <w:ind w:left="636" w:right="305" w:hanging="524"/>
              <w:rPr>
                <w:sz w:val="21"/>
              </w:rPr>
            </w:pPr>
            <w:r>
              <w:rPr>
                <w:spacing w:val="-25"/>
                <w:sz w:val="21"/>
              </w:rPr>
              <w:t>（2）</w:t>
            </w:r>
            <w:r>
              <w:rPr>
                <w:spacing w:val="-10"/>
                <w:sz w:val="21"/>
              </w:rPr>
              <w:t>自主生活能力完全丧失，无法独立完成六项基本日常生活活</w:t>
            </w:r>
            <w:r>
              <w:rPr>
                <w:spacing w:val="-7"/>
                <w:sz w:val="21"/>
              </w:rPr>
              <w:t>动中的三项或三项以上。</w:t>
            </w:r>
          </w:p>
          <w:p>
            <w:pPr>
              <w:pStyle w:val="TableParagraph"/>
              <w:spacing w:line="255" w:lineRule="exact" w:before="7"/>
              <w:rPr>
                <w:sz w:val="21"/>
              </w:rPr>
            </w:pPr>
            <w:r>
              <w:rPr>
                <w:sz w:val="21"/>
              </w:rPr>
              <w:t>继发性帕金森综合征不在保障范围内。</w:t>
            </w:r>
          </w:p>
        </w:tc>
      </w:tr>
    </w:tbl>
    <w:p>
      <w:pPr>
        <w:spacing w:after="0" w:line="255" w:lineRule="exact"/>
        <w:rPr>
          <w:sz w:val="21"/>
        </w:rPr>
        <w:sectPr>
          <w:pgSz w:w="11910" w:h="16840"/>
          <w:pgMar w:header="0" w:footer="150" w:top="106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734"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w w:val="115"/>
                <w:sz w:val="21"/>
              </w:rPr>
              <w:t>20.严重 </w:t>
            </w:r>
            <w:r>
              <w:rPr>
                <w:rFonts w:ascii="Microsoft JhengHei" w:eastAsia="Microsoft JhengHei" w:hint="eastAsia"/>
                <w:b/>
                <w:w w:val="130"/>
                <w:sz w:val="21"/>
              </w:rPr>
              <w:t>III</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度烧伤</w:t>
            </w:r>
          </w:p>
        </w:tc>
        <w:tc>
          <w:tcPr>
            <w:tcW w:w="6265" w:type="dxa"/>
          </w:tcPr>
          <w:p>
            <w:pPr>
              <w:pStyle w:val="TableParagraph"/>
              <w:spacing w:line="211" w:lineRule="exact"/>
              <w:rPr>
                <w:sz w:val="21"/>
              </w:rPr>
            </w:pPr>
            <w:r>
              <w:rPr>
                <w:sz w:val="21"/>
              </w:rPr>
              <w:t>指烧伤程度为Ⅲ度，且Ⅲ度烧伤面积达到全身体表面积的 20%或</w:t>
            </w:r>
          </w:p>
          <w:p>
            <w:pPr>
              <w:pStyle w:val="TableParagraph"/>
              <w:spacing w:before="32"/>
              <w:rPr>
                <w:sz w:val="21"/>
              </w:rPr>
            </w:pPr>
            <w:r>
              <w:rPr>
                <w:sz w:val="21"/>
              </w:rPr>
              <w:t>20%以上。体表面积根据《中国新九分法》计算。</w:t>
            </w:r>
          </w:p>
        </w:tc>
      </w:tr>
      <w:tr>
        <w:trPr>
          <w:trHeight w:val="1575"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21.严重原发性肺动脉高压</w:t>
            </w:r>
          </w:p>
        </w:tc>
        <w:tc>
          <w:tcPr>
            <w:tcW w:w="6265" w:type="dxa"/>
          </w:tcPr>
          <w:p>
            <w:pPr>
              <w:pStyle w:val="TableParagraph"/>
              <w:spacing w:line="271" w:lineRule="auto" w:before="152"/>
              <w:ind w:right="302"/>
              <w:jc w:val="both"/>
              <w:rPr>
                <w:sz w:val="21"/>
              </w:rPr>
            </w:pPr>
            <w:r>
              <w:rPr>
                <w:spacing w:val="-6"/>
                <w:sz w:val="21"/>
              </w:rPr>
              <w:t>指不明原因的肺动脉压力持续性增高，进行性发展而导致的慢性</w:t>
            </w:r>
            <w:r>
              <w:rPr>
                <w:spacing w:val="-8"/>
                <w:sz w:val="21"/>
              </w:rPr>
              <w:t>疾病，已经造成永久不可逆性的体力活动能力受限，达到美国纽</w:t>
            </w:r>
            <w:r>
              <w:rPr>
                <w:spacing w:val="-6"/>
                <w:sz w:val="21"/>
              </w:rPr>
              <w:t>约心脏病学会心功能状态分级 </w:t>
            </w:r>
            <w:r>
              <w:rPr>
                <w:spacing w:val="-3"/>
                <w:sz w:val="21"/>
              </w:rPr>
              <w:t>IV</w:t>
            </w:r>
            <w:r>
              <w:rPr>
                <w:spacing w:val="-5"/>
                <w:sz w:val="21"/>
              </w:rPr>
              <w:t> 级，且静息状态下肺动脉平均</w:t>
            </w:r>
            <w:r>
              <w:rPr>
                <w:spacing w:val="-16"/>
                <w:sz w:val="21"/>
              </w:rPr>
              <w:t>压超过 </w:t>
            </w:r>
            <w:r>
              <w:rPr>
                <w:sz w:val="21"/>
              </w:rPr>
              <w:t>30mmHg。</w:t>
            </w:r>
          </w:p>
        </w:tc>
      </w:tr>
      <w:tr>
        <w:trPr>
          <w:trHeight w:val="1572"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22.严重运动神经元病</w:t>
            </w:r>
          </w:p>
        </w:tc>
        <w:tc>
          <w:tcPr>
            <w:tcW w:w="6265" w:type="dxa"/>
          </w:tcPr>
          <w:p>
            <w:pPr>
              <w:pStyle w:val="TableParagraph"/>
              <w:spacing w:line="271" w:lineRule="auto" w:before="152"/>
              <w:ind w:right="304"/>
              <w:jc w:val="both"/>
              <w:rPr>
                <w:sz w:val="21"/>
              </w:rPr>
            </w:pPr>
            <w:r>
              <w:rPr>
                <w:spacing w:val="-7"/>
                <w:sz w:val="21"/>
              </w:rPr>
              <w:t>是一组中枢神经系统运动神经元的进行性变性疾病，包括进行性</w:t>
            </w:r>
            <w:r>
              <w:rPr>
                <w:spacing w:val="-10"/>
                <w:sz w:val="21"/>
              </w:rPr>
              <w:t>脊肌萎缩症、进行性延髓麻痹症、原发性侧索硬化症、肌萎缩性</w:t>
            </w:r>
            <w:r>
              <w:rPr>
                <w:spacing w:val="-11"/>
                <w:sz w:val="21"/>
              </w:rPr>
              <w:t>侧索硬化症。须满足自主生活能力完全丧失，无法独立完成六项</w:t>
            </w:r>
            <w:r>
              <w:rPr>
                <w:spacing w:val="-7"/>
                <w:sz w:val="21"/>
              </w:rPr>
              <w:t>基本日常生活活动中的三项或三项以上的条件。</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23.语言能力丧失－三岁始理赔</w:t>
            </w:r>
          </w:p>
        </w:tc>
        <w:tc>
          <w:tcPr>
            <w:tcW w:w="6265" w:type="dxa"/>
          </w:tcPr>
          <w:p>
            <w:pPr>
              <w:pStyle w:val="TableParagraph"/>
              <w:spacing w:before="150"/>
              <w:rPr>
                <w:sz w:val="21"/>
              </w:rPr>
            </w:pPr>
            <w:r>
              <w:rPr>
                <w:sz w:val="21"/>
              </w:rPr>
              <w:t>指因疾病或意外伤害导致完全丧失语言能力，经过积极治疗至少</w:t>
            </w:r>
          </w:p>
          <w:p>
            <w:pPr>
              <w:pStyle w:val="TableParagraph"/>
              <w:spacing w:line="273" w:lineRule="auto" w:before="37"/>
              <w:ind w:right="303"/>
              <w:rPr>
                <w:sz w:val="21"/>
              </w:rPr>
            </w:pPr>
            <w:r>
              <w:rPr>
                <w:w w:val="100"/>
                <w:sz w:val="21"/>
              </w:rPr>
              <w:t>12</w:t>
            </w:r>
            <w:r>
              <w:rPr>
                <w:sz w:val="21"/>
              </w:rPr>
              <w:t> </w:t>
            </w:r>
            <w:r>
              <w:rPr>
                <w:w w:val="100"/>
                <w:sz w:val="21"/>
              </w:rPr>
              <w:t>个月（</w:t>
            </w:r>
            <w:r>
              <w:rPr>
                <w:spacing w:val="-4"/>
                <w:w w:val="100"/>
                <w:sz w:val="21"/>
              </w:rPr>
              <w:t>声带完全切除不受此时间限制</w:t>
            </w:r>
            <w:r>
              <w:rPr>
                <w:spacing w:val="-111"/>
                <w:w w:val="100"/>
                <w:sz w:val="21"/>
              </w:rPr>
              <w:t>）</w:t>
            </w:r>
            <w:r>
              <w:rPr>
                <w:spacing w:val="-3"/>
                <w:w w:val="100"/>
                <w:sz w:val="21"/>
              </w:rPr>
              <w:t>，仍无法通过现有医疗</w:t>
            </w:r>
            <w:r>
              <w:rPr>
                <w:spacing w:val="-3"/>
                <w:sz w:val="21"/>
              </w:rPr>
              <w:t>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253"/>
              <w:rPr>
                <w:sz w:val="21"/>
              </w:rPr>
            </w:pPr>
            <w:r>
              <w:rPr>
                <w:sz w:val="21"/>
              </w:rPr>
              <w:t>被保险人申请理赔时年龄必须在三周岁以上，并且提供理赔当时的语言能力丧失诊断及检查证据。</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24.重型再生障碍性贫血</w:t>
            </w:r>
          </w:p>
        </w:tc>
        <w:tc>
          <w:tcPr>
            <w:tcW w:w="6265" w:type="dxa"/>
          </w:tcPr>
          <w:p>
            <w:pPr>
              <w:pStyle w:val="TableParagraph"/>
              <w:spacing w:line="273" w:lineRule="auto" w:before="150"/>
              <w:ind w:right="253"/>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6"/>
              <w:ind w:left="535"/>
              <w:rPr>
                <w:sz w:val="21"/>
              </w:rPr>
            </w:pPr>
            <w:r>
              <w:rPr>
                <w:sz w:val="21"/>
              </w:rPr>
              <w:t>①中性粒细胞绝对值≤0.5×10</w:t>
            </w:r>
            <w:r>
              <w:rPr>
                <w:position w:val="11"/>
                <w:sz w:val="11"/>
              </w:rPr>
              <w:t>9</w:t>
            </w:r>
            <w:r>
              <w:rPr>
                <w:sz w:val="21"/>
              </w:rPr>
              <w:t>/L；</w:t>
            </w:r>
          </w:p>
          <w:p>
            <w:pPr>
              <w:pStyle w:val="TableParagraph"/>
              <w:spacing w:before="37"/>
              <w:ind w:left="535"/>
              <w:rPr>
                <w:sz w:val="21"/>
              </w:rPr>
            </w:pPr>
            <w:r>
              <w:rPr>
                <w:sz w:val="21"/>
              </w:rPr>
              <w:t>②网织红细胞＜1%；</w:t>
            </w:r>
          </w:p>
          <w:p>
            <w:pPr>
              <w:pStyle w:val="TableParagraph"/>
              <w:spacing w:before="37"/>
              <w:ind w:left="535"/>
              <w:rPr>
                <w:sz w:val="21"/>
              </w:rPr>
            </w:pPr>
            <w:r>
              <w:rPr>
                <w:sz w:val="21"/>
              </w:rPr>
              <w:t>③血小板绝对值≤20×10</w:t>
            </w:r>
            <w:r>
              <w:rPr>
                <w:position w:val="11"/>
                <w:sz w:val="11"/>
              </w:rPr>
              <w:t>9</w:t>
            </w:r>
            <w:r>
              <w:rPr>
                <w:sz w:val="21"/>
              </w:rPr>
              <w:t>/L。</w:t>
            </w:r>
          </w:p>
        </w:tc>
      </w:tr>
      <w:tr>
        <w:trPr>
          <w:trHeight w:val="157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25.主动脉手术</w:t>
            </w:r>
          </w:p>
        </w:tc>
        <w:tc>
          <w:tcPr>
            <w:tcW w:w="6265" w:type="dxa"/>
          </w:tcPr>
          <w:p>
            <w:pPr>
              <w:pStyle w:val="TableParagraph"/>
              <w:spacing w:line="273" w:lineRule="auto" w:before="150"/>
              <w:ind w:right="198"/>
              <w:rPr>
                <w:sz w:val="21"/>
              </w:rPr>
            </w:pPr>
            <w:r>
              <w:rPr>
                <w:spacing w:val="-12"/>
                <w:sz w:val="21"/>
              </w:rPr>
              <w:t>指为治疗主动脉疾病，实际实施了开胸或开腹进行的切除、置换、</w:t>
            </w:r>
            <w:r>
              <w:rPr>
                <w:spacing w:val="-10"/>
                <w:sz w:val="21"/>
              </w:rPr>
              <w:t>修补病损主动脉血管的手术。主动脉指胸主动脉和腹主动脉，不</w:t>
            </w:r>
            <w:r>
              <w:rPr>
                <w:spacing w:val="-7"/>
                <w:sz w:val="21"/>
              </w:rPr>
              <w:t>包括胸主动脉和腹主动脉的分支血管。</w:t>
            </w:r>
          </w:p>
          <w:p>
            <w:pPr>
              <w:pStyle w:val="TableParagraph"/>
              <w:spacing w:before="8"/>
              <w:rPr>
                <w:sz w:val="21"/>
              </w:rPr>
            </w:pPr>
            <w:r>
              <w:rPr>
                <w:sz w:val="21"/>
              </w:rPr>
              <w:t>动脉内血管成形术不在保障范围内。</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26.慢性呼吸功能衰竭</w:t>
            </w:r>
          </w:p>
        </w:tc>
        <w:tc>
          <w:tcPr>
            <w:tcW w:w="6265" w:type="dxa"/>
          </w:tcPr>
          <w:p>
            <w:pPr>
              <w:pStyle w:val="TableParagraph"/>
              <w:spacing w:line="273" w:lineRule="auto" w:before="150"/>
              <w:ind w:right="268"/>
              <w:rPr>
                <w:sz w:val="21"/>
              </w:rPr>
            </w:pPr>
            <w:r>
              <w:rPr>
                <w:sz w:val="21"/>
              </w:rPr>
              <w:t>慢性肺部疾病导致永久不可逆性的慢性呼吸功能衰竭。慢性呼吸功能衰竭必须明确诊断并满足下列全部条件：</w:t>
            </w:r>
          </w:p>
          <w:p>
            <w:pPr>
              <w:pStyle w:val="TableParagraph"/>
              <w:spacing w:before="8"/>
              <w:rPr>
                <w:sz w:val="21"/>
              </w:rPr>
            </w:pPr>
            <w:r>
              <w:rPr>
                <w:sz w:val="21"/>
              </w:rPr>
              <w:t>（1）休息时出现呼吸困难；</w:t>
            </w:r>
          </w:p>
          <w:p>
            <w:pPr>
              <w:pStyle w:val="TableParagraph"/>
              <w:spacing w:before="37"/>
              <w:rPr>
                <w:sz w:val="21"/>
              </w:rPr>
            </w:pPr>
            <w:r>
              <w:rPr>
                <w:sz w:val="21"/>
              </w:rPr>
              <w:t>（2）动脉血氧分压（PaO2）&lt;50mmHg；</w:t>
            </w:r>
          </w:p>
          <w:p>
            <w:pPr>
              <w:pStyle w:val="TableParagraph"/>
              <w:spacing w:before="37"/>
              <w:rPr>
                <w:sz w:val="21"/>
              </w:rPr>
            </w:pPr>
            <w:r>
              <w:rPr>
                <w:sz w:val="21"/>
              </w:rPr>
              <w:t>（3）动脉血氧饱和度（SaO2）&lt;80%；</w:t>
            </w:r>
          </w:p>
          <w:p>
            <w:pPr>
              <w:pStyle w:val="TableParagraph"/>
              <w:spacing w:before="37"/>
              <w:rPr>
                <w:sz w:val="21"/>
              </w:rPr>
            </w:pPr>
            <w:r>
              <w:rPr>
                <w:sz w:val="21"/>
              </w:rPr>
              <w:t>（4）因缺氧必须接受持续的输氧治疗。</w:t>
            </w:r>
          </w:p>
        </w:tc>
      </w:tr>
      <w:tr>
        <w:trPr>
          <w:trHeight w:val="2198"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27.严重多发性硬化</w:t>
            </w:r>
          </w:p>
        </w:tc>
        <w:tc>
          <w:tcPr>
            <w:tcW w:w="6265" w:type="dxa"/>
          </w:tcPr>
          <w:p>
            <w:pPr>
              <w:pStyle w:val="TableParagraph"/>
              <w:spacing w:line="273" w:lineRule="auto" w:before="150"/>
              <w:ind w:right="304"/>
              <w:jc w:val="both"/>
              <w:rPr>
                <w:sz w:val="21"/>
              </w:rPr>
            </w:pPr>
            <w:r>
              <w:rPr>
                <w:spacing w:val="-7"/>
                <w:sz w:val="21"/>
              </w:rPr>
              <w:t>多发性硬化为中枢神经系统白质多灶性脱髓鞘病变，病变有时累</w:t>
            </w:r>
            <w:r>
              <w:rPr>
                <w:spacing w:val="-8"/>
                <w:sz w:val="21"/>
              </w:rPr>
              <w:t>及灰质。多发性硬化必须明确诊断，并且已经造成永久不可逆的</w:t>
            </w:r>
            <w:r>
              <w:rPr>
                <w:spacing w:val="-10"/>
                <w:sz w:val="21"/>
              </w:rPr>
              <w:t>神经系统功能损害。永久不可逆的神经系统损害指被保险人持续</w:t>
            </w:r>
          </w:p>
          <w:p>
            <w:pPr>
              <w:pStyle w:val="TableParagraph"/>
              <w:spacing w:before="7"/>
              <w:jc w:val="both"/>
              <w:rPr>
                <w:sz w:val="21"/>
              </w:rPr>
            </w:pPr>
            <w:r>
              <w:rPr>
                <w:sz w:val="21"/>
              </w:rPr>
              <w:t>180 天无法独立完成下列基本日常生活活动：</w:t>
            </w:r>
          </w:p>
          <w:p>
            <w:pPr>
              <w:pStyle w:val="TableParagraph"/>
              <w:spacing w:before="36"/>
              <w:jc w:val="both"/>
              <w:rPr>
                <w:sz w:val="21"/>
              </w:rPr>
            </w:pPr>
            <w:r>
              <w:rPr>
                <w:sz w:val="21"/>
              </w:rPr>
              <w:t>（1）移动：自己从一个房间移动到另一个房间；或者</w:t>
            </w:r>
          </w:p>
          <w:p>
            <w:pPr>
              <w:pStyle w:val="TableParagraph"/>
              <w:spacing w:before="36"/>
              <w:jc w:val="both"/>
              <w:rPr>
                <w:sz w:val="21"/>
              </w:rPr>
            </w:pPr>
            <w:r>
              <w:rPr>
                <w:sz w:val="21"/>
              </w:rPr>
              <w:t>（2）进食：自己从已准备好的碗或碟中取食物放入口中。</w:t>
            </w:r>
          </w:p>
        </w:tc>
      </w:tr>
      <w:tr>
        <w:trPr>
          <w:trHeight w:val="425" w:hRule="atLeast"/>
        </w:trPr>
        <w:tc>
          <w:tcPr>
            <w:tcW w:w="1475" w:type="dxa"/>
          </w:tcPr>
          <w:p>
            <w:pPr>
              <w:pStyle w:val="TableParagraph"/>
              <w:spacing w:line="322" w:lineRule="exact" w:before="83"/>
              <w:ind w:left="200"/>
              <w:rPr>
                <w:rFonts w:ascii="Microsoft JhengHei" w:eastAsia="Microsoft JhengHei" w:hint="eastAsia"/>
                <w:b/>
                <w:sz w:val="21"/>
              </w:rPr>
            </w:pPr>
            <w:r>
              <w:rPr>
                <w:rFonts w:ascii="Microsoft JhengHei" w:eastAsia="Microsoft JhengHei" w:hint="eastAsia"/>
                <w:b/>
                <w:sz w:val="21"/>
              </w:rPr>
              <w:t>28.脊髓灰质</w:t>
            </w:r>
          </w:p>
        </w:tc>
        <w:tc>
          <w:tcPr>
            <w:tcW w:w="6265" w:type="dxa"/>
          </w:tcPr>
          <w:p>
            <w:pPr>
              <w:pStyle w:val="TableParagraph"/>
              <w:spacing w:line="255" w:lineRule="exact" w:before="150"/>
              <w:rPr>
                <w:sz w:val="21"/>
              </w:rPr>
            </w:pPr>
            <w:r>
              <w:rPr>
                <w:sz w:val="21"/>
              </w:rPr>
              <w:t>脊髓灰质炎是由于脊髓灰质炎病毒感染所致的瘫痪性疾病，临床</w:t>
            </w:r>
          </w:p>
        </w:tc>
      </w:tr>
    </w:tbl>
    <w:p>
      <w:pPr>
        <w:spacing w:after="0" w:line="255" w:lineRule="exact"/>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1673"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w w:val="100"/>
                <w:sz w:val="21"/>
              </w:rPr>
              <w:t>炎</w:t>
            </w:r>
          </w:p>
        </w:tc>
        <w:tc>
          <w:tcPr>
            <w:tcW w:w="6265" w:type="dxa"/>
          </w:tcPr>
          <w:p>
            <w:pPr>
              <w:pStyle w:val="TableParagraph"/>
              <w:spacing w:line="211" w:lineRule="exact"/>
              <w:rPr>
                <w:sz w:val="21"/>
              </w:rPr>
            </w:pPr>
            <w:r>
              <w:rPr>
                <w:sz w:val="21"/>
              </w:rPr>
              <w:t>表现为运动功能损害或呼吸无力。脊髓灰质炎必须明确诊断。</w:t>
            </w:r>
          </w:p>
          <w:p>
            <w:pPr>
              <w:pStyle w:val="TableParagraph"/>
              <w:spacing w:line="273" w:lineRule="auto" w:before="37"/>
              <w:ind w:right="302"/>
              <w:jc w:val="both"/>
              <w:rPr>
                <w:sz w:val="21"/>
              </w:rPr>
            </w:pPr>
            <w:r>
              <w:rPr>
                <w:spacing w:val="2"/>
                <w:sz w:val="21"/>
              </w:rPr>
              <w:t>本保单仅对脊髓灰质炎造成的神经系统功能损害导致被保险人</w:t>
            </w:r>
            <w:r>
              <w:rPr>
                <w:spacing w:val="-7"/>
                <w:sz w:val="21"/>
              </w:rPr>
              <w:t>一肢或一肢以上肢体机能永久完全丧失的情况予以理赔。肢体机</w:t>
            </w:r>
            <w:r>
              <w:rPr>
                <w:spacing w:val="-11"/>
                <w:sz w:val="21"/>
              </w:rPr>
              <w:t>能永久完全丧失，指疾病确诊 </w:t>
            </w:r>
            <w:r>
              <w:rPr>
                <w:sz w:val="21"/>
              </w:rPr>
              <w:t>180</w:t>
            </w:r>
            <w:r>
              <w:rPr>
                <w:spacing w:val="-10"/>
                <w:sz w:val="21"/>
              </w:rPr>
              <w:t> 天后，每肢三大关节中的两大</w:t>
            </w:r>
            <w:r>
              <w:rPr>
                <w:spacing w:val="-7"/>
                <w:sz w:val="21"/>
              </w:rPr>
              <w:t>关节仍然完全僵硬，或不能随意识活动。</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29.全身性重症肌无力</w:t>
            </w:r>
          </w:p>
        </w:tc>
        <w:tc>
          <w:tcPr>
            <w:tcW w:w="6265" w:type="dxa"/>
          </w:tcPr>
          <w:p>
            <w:pPr>
              <w:pStyle w:val="TableParagraph"/>
              <w:spacing w:line="273" w:lineRule="auto" w:before="150"/>
              <w:ind w:right="198"/>
              <w:jc w:val="both"/>
              <w:rPr>
                <w:sz w:val="21"/>
              </w:rPr>
            </w:pPr>
            <w:r>
              <w:rPr>
                <w:spacing w:val="-7"/>
                <w:sz w:val="21"/>
              </w:rPr>
              <w:t>重症肌无力是一种神经肌肉接头传递障碍所致的疾病，表现为局</w:t>
            </w:r>
            <w:r>
              <w:rPr>
                <w:spacing w:val="-8"/>
                <w:sz w:val="21"/>
              </w:rPr>
              <w:t>部或全身骨骼肌</w:t>
            </w:r>
            <w:r>
              <w:rPr>
                <w:sz w:val="21"/>
              </w:rPr>
              <w:t>（</w:t>
            </w:r>
            <w:r>
              <w:rPr>
                <w:spacing w:val="-2"/>
                <w:sz w:val="21"/>
              </w:rPr>
              <w:t>特别是眼外肌</w:t>
            </w:r>
            <w:r>
              <w:rPr>
                <w:spacing w:val="-15"/>
                <w:sz w:val="21"/>
              </w:rPr>
              <w:t>）</w:t>
            </w:r>
            <w:r>
              <w:rPr>
                <w:spacing w:val="-5"/>
                <w:sz w:val="21"/>
              </w:rPr>
              <w:t>极易疲劳。疾病可以累及呼吸</w:t>
            </w:r>
            <w:r>
              <w:rPr>
                <w:spacing w:val="-14"/>
                <w:sz w:val="21"/>
              </w:rPr>
              <w:t>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303"/>
              <w:rPr>
                <w:sz w:val="21"/>
              </w:rPr>
            </w:pPr>
            <w:r>
              <w:rPr>
                <w:spacing w:val="-25"/>
                <w:sz w:val="21"/>
              </w:rPr>
              <w:t>（2）</w:t>
            </w:r>
            <w:r>
              <w:rPr>
                <w:spacing w:val="-10"/>
                <w:sz w:val="21"/>
              </w:rPr>
              <w:t>自主生活能力完全丧失，无法独立完成六项基本日常生活活</w:t>
            </w:r>
            <w:r>
              <w:rPr>
                <w:spacing w:val="-7"/>
                <w:sz w:val="21"/>
              </w:rPr>
              <w:t>动中的三项或三项以上。</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30.严重冠心病</w:t>
            </w:r>
          </w:p>
        </w:tc>
        <w:tc>
          <w:tcPr>
            <w:tcW w:w="6265" w:type="dxa"/>
          </w:tcPr>
          <w:p>
            <w:pPr>
              <w:pStyle w:val="TableParagraph"/>
              <w:spacing w:line="273" w:lineRule="auto" w:before="150"/>
              <w:ind w:right="302"/>
              <w:jc w:val="both"/>
              <w:rPr>
                <w:sz w:val="21"/>
              </w:rPr>
            </w:pPr>
            <w:r>
              <w:rPr>
                <w:spacing w:val="-7"/>
                <w:sz w:val="21"/>
              </w:rPr>
              <w:t>指经根据冠状动脉造影检查结果明确诊断为三支主要血管</w:t>
            </w:r>
            <w:r>
              <w:rPr>
                <w:sz w:val="21"/>
              </w:rPr>
              <w:t>（左冠</w:t>
            </w:r>
            <w:r>
              <w:rPr>
                <w:spacing w:val="-6"/>
                <w:sz w:val="21"/>
              </w:rPr>
              <w:t>状动脉主干和右冠状动脉，或前降支、左旋支和右冠状动脉</w:t>
            </w:r>
            <w:r>
              <w:rPr>
                <w:spacing w:val="-15"/>
                <w:sz w:val="21"/>
              </w:rPr>
              <w:t>）</w:t>
            </w:r>
            <w:r>
              <w:rPr>
                <w:sz w:val="21"/>
              </w:rPr>
              <w:t>严</w:t>
            </w:r>
            <w:r>
              <w:rPr>
                <w:spacing w:val="-1"/>
                <w:sz w:val="21"/>
              </w:rPr>
              <w:t>重狭窄性病变</w:t>
            </w:r>
            <w:r>
              <w:rPr>
                <w:sz w:val="21"/>
              </w:rPr>
              <w:t>（</w:t>
            </w:r>
            <w:r>
              <w:rPr>
                <w:spacing w:val="-5"/>
                <w:sz w:val="21"/>
              </w:rPr>
              <w:t>至少一支血管管腔直径减少 </w:t>
            </w:r>
            <w:r>
              <w:rPr>
                <w:sz w:val="21"/>
              </w:rPr>
              <w:t>75%</w:t>
            </w:r>
            <w:r>
              <w:rPr>
                <w:spacing w:val="-3"/>
                <w:sz w:val="21"/>
              </w:rPr>
              <w:t>以上和其他两支</w:t>
            </w:r>
            <w:r>
              <w:rPr>
                <w:spacing w:val="-9"/>
                <w:sz w:val="21"/>
              </w:rPr>
              <w:t>血管管腔直径减少 </w:t>
            </w:r>
            <w:r>
              <w:rPr>
                <w:sz w:val="21"/>
              </w:rPr>
              <w:t>60%以上</w:t>
            </w:r>
            <w:r>
              <w:rPr>
                <w:spacing w:val="-106"/>
                <w:sz w:val="21"/>
              </w:rPr>
              <w:t>）</w:t>
            </w:r>
            <w:r>
              <w:rPr>
                <w:sz w:val="21"/>
              </w:rPr>
              <w:t>。</w:t>
            </w:r>
          </w:p>
          <w:p>
            <w:pPr>
              <w:pStyle w:val="TableParagraph"/>
              <w:spacing w:line="273" w:lineRule="auto" w:before="8"/>
              <w:ind w:right="304"/>
              <w:jc w:val="both"/>
              <w:rPr>
                <w:sz w:val="21"/>
              </w:rPr>
            </w:pPr>
            <w:r>
              <w:rPr>
                <w:spacing w:val="-7"/>
                <w:sz w:val="21"/>
              </w:rPr>
              <w:t>前降支、左旋支及右冠状动脉的分支血管的狭窄不作为本保障的衡量指标。</w:t>
            </w:r>
          </w:p>
        </w:tc>
      </w:tr>
      <w:tr>
        <w:trPr>
          <w:trHeight w:val="157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30.严重心肌病</w:t>
            </w:r>
          </w:p>
        </w:tc>
        <w:tc>
          <w:tcPr>
            <w:tcW w:w="6265" w:type="dxa"/>
          </w:tcPr>
          <w:p>
            <w:pPr>
              <w:pStyle w:val="TableParagraph"/>
              <w:spacing w:line="271" w:lineRule="auto" w:before="150"/>
              <w:ind w:right="303"/>
              <w:jc w:val="both"/>
              <w:rPr>
                <w:sz w:val="21"/>
              </w:rPr>
            </w:pPr>
            <w:r>
              <w:rPr>
                <w:spacing w:val="2"/>
                <w:sz w:val="21"/>
              </w:rPr>
              <w:t>指被保险人因心肌病导致慢性心功能损害造成永久不可逆性的</w:t>
            </w:r>
            <w:r>
              <w:rPr>
                <w:spacing w:val="-7"/>
                <w:sz w:val="21"/>
              </w:rPr>
              <w:t>心功能衰竭。心功能衰竭程度达到纽约心脏病学会的心功能分级</w:t>
            </w:r>
            <w:r>
              <w:rPr>
                <w:spacing w:val="-6"/>
                <w:sz w:val="21"/>
              </w:rPr>
              <w:t>标准之心功能 </w:t>
            </w:r>
            <w:r>
              <w:rPr>
                <w:sz w:val="21"/>
              </w:rPr>
              <w:t>IV</w:t>
            </w:r>
            <w:r>
              <w:rPr>
                <w:spacing w:val="-5"/>
                <w:sz w:val="21"/>
              </w:rPr>
              <w:t> 级。被保险人永久不可逆性的体力活动能力受限，不能从事任何体力活动。</w:t>
            </w:r>
          </w:p>
        </w:tc>
      </w:tr>
      <w:tr>
        <w:trPr>
          <w:trHeight w:val="4695"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32.系统性红</w:t>
            </w:r>
            <w:r>
              <w:rPr>
                <w:rFonts w:ascii="Microsoft JhengHei" w:eastAsia="Microsoft JhengHei" w:hint="eastAsia"/>
                <w:b/>
                <w:w w:val="110"/>
                <w:sz w:val="21"/>
              </w:rPr>
              <w:t>斑狼疮</w:t>
            </w:r>
            <w:r>
              <w:rPr>
                <w:rFonts w:ascii="Microsoft JhengHei" w:eastAsia="Microsoft JhengHei" w:hint="eastAsia"/>
                <w:b/>
                <w:w w:val="135"/>
                <w:sz w:val="21"/>
              </w:rPr>
              <w:t>-III </w:t>
            </w:r>
            <w:r>
              <w:rPr>
                <w:rFonts w:ascii="Microsoft JhengHei" w:eastAsia="Microsoft JhengHei" w:hint="eastAsia"/>
                <w:b/>
                <w:w w:val="105"/>
                <w:sz w:val="21"/>
              </w:rPr>
              <w:t>型或以上狼</w:t>
            </w:r>
            <w:r>
              <w:rPr>
                <w:rFonts w:ascii="Microsoft JhengHei" w:eastAsia="Microsoft JhengHei" w:hint="eastAsia"/>
                <w:b/>
                <w:sz w:val="21"/>
              </w:rPr>
              <w:t>疮性肾炎</w:t>
            </w:r>
          </w:p>
        </w:tc>
        <w:tc>
          <w:tcPr>
            <w:tcW w:w="6265" w:type="dxa"/>
          </w:tcPr>
          <w:p>
            <w:pPr>
              <w:pStyle w:val="TableParagraph"/>
              <w:spacing w:line="271" w:lineRule="auto" w:before="152"/>
              <w:ind w:right="198"/>
              <w:rPr>
                <w:sz w:val="21"/>
              </w:rPr>
            </w:pPr>
            <w:r>
              <w:rPr>
                <w:spacing w:val="-6"/>
                <w:sz w:val="21"/>
              </w:rPr>
              <w:t>系统性红斑狼疮是由多种因素引起，累及多系统的自身免疫性疾</w:t>
            </w:r>
            <w:r>
              <w:rPr>
                <w:spacing w:val="-13"/>
                <w:sz w:val="21"/>
              </w:rPr>
              <w:t>病。其特点是生成自身抗体对抗多种自身抗原。多见于育龄妇女。</w:t>
            </w:r>
            <w:r>
              <w:rPr>
                <w:spacing w:val="-10"/>
                <w:sz w:val="21"/>
              </w:rPr>
              <w:t>本保单所指的系统性红斑狼疮仅限于累及肾脏</w:t>
            </w:r>
            <w:r>
              <w:rPr>
                <w:sz w:val="21"/>
              </w:rPr>
              <w:t>（</w:t>
            </w:r>
            <w:r>
              <w:rPr>
                <w:spacing w:val="-3"/>
                <w:sz w:val="21"/>
              </w:rPr>
              <w:t>经肾脏活检确认</w:t>
            </w:r>
            <w:r>
              <w:rPr>
                <w:spacing w:val="-15"/>
                <w:sz w:val="21"/>
              </w:rPr>
              <w:t>的，符合 </w:t>
            </w:r>
            <w:r>
              <w:rPr>
                <w:sz w:val="21"/>
              </w:rPr>
              <w:t>WHO</w:t>
            </w:r>
            <w:r>
              <w:rPr>
                <w:spacing w:val="-15"/>
                <w:sz w:val="21"/>
              </w:rPr>
              <w:t> 诊断标准定义 </w:t>
            </w:r>
            <w:r>
              <w:rPr>
                <w:sz w:val="21"/>
              </w:rPr>
              <w:t>III</w:t>
            </w:r>
            <w:r>
              <w:rPr>
                <w:spacing w:val="-26"/>
                <w:sz w:val="21"/>
              </w:rPr>
              <w:t> 型至 </w:t>
            </w:r>
            <w:r>
              <w:rPr>
                <w:sz w:val="21"/>
              </w:rPr>
              <w:t>V</w:t>
            </w:r>
            <w:r>
              <w:rPr>
                <w:spacing w:val="-11"/>
                <w:sz w:val="21"/>
              </w:rPr>
              <w:t> 型狼疮性肾炎</w:t>
            </w:r>
            <w:r>
              <w:rPr>
                <w:spacing w:val="-20"/>
                <w:sz w:val="21"/>
              </w:rPr>
              <w:t>）</w:t>
            </w:r>
            <w:r>
              <w:rPr>
                <w:sz w:val="21"/>
              </w:rPr>
              <w:t>的系统性红斑狼疮。</w:t>
            </w:r>
          </w:p>
          <w:p>
            <w:pPr>
              <w:pStyle w:val="TableParagraph"/>
              <w:spacing w:line="273" w:lineRule="auto" w:before="9"/>
              <w:ind w:right="253"/>
              <w:rPr>
                <w:sz w:val="21"/>
              </w:rPr>
            </w:pPr>
            <w:r>
              <w:rPr>
                <w:sz w:val="21"/>
              </w:rPr>
              <w:t>其他类型的红斑性狼疮，如盘状狼疮、仅累及血液及关节的狼疮不在本保单保障范围內。</w:t>
            </w:r>
          </w:p>
          <w:p>
            <w:pPr>
              <w:pStyle w:val="TableParagraph"/>
              <w:spacing w:before="7"/>
              <w:rPr>
                <w:sz w:val="21"/>
              </w:rPr>
            </w:pPr>
            <w:r>
              <w:rPr>
                <w:sz w:val="21"/>
              </w:rPr>
              <w:t>世界卫生组织（WHO）狼疮性肾炎分型：</w:t>
            </w:r>
          </w:p>
          <w:p>
            <w:pPr>
              <w:pStyle w:val="TableParagraph"/>
              <w:numPr>
                <w:ilvl w:val="0"/>
                <w:numId w:val="15"/>
              </w:numPr>
              <w:tabs>
                <w:tab w:pos="483" w:val="left" w:leader="none"/>
                <w:tab w:pos="3109" w:val="left" w:leader="none"/>
              </w:tabs>
              <w:spacing w:line="240" w:lineRule="auto" w:before="37" w:after="0"/>
              <w:ind w:left="482" w:right="0" w:hanging="158"/>
              <w:jc w:val="left"/>
              <w:rPr>
                <w:sz w:val="21"/>
              </w:rPr>
            </w:pPr>
            <w:r>
              <w:rPr>
                <w:sz w:val="21"/>
              </w:rPr>
              <w:t>型（微小</w:t>
            </w:r>
            <w:r>
              <w:rPr>
                <w:spacing w:val="-5"/>
                <w:sz w:val="21"/>
              </w:rPr>
              <w:t>病</w:t>
            </w:r>
            <w:r>
              <w:rPr>
                <w:sz w:val="21"/>
              </w:rPr>
              <w:t>变型）</w:t>
              <w:tab/>
              <w:t>镜下阴</w:t>
            </w:r>
            <w:r>
              <w:rPr>
                <w:spacing w:val="-5"/>
                <w:sz w:val="21"/>
              </w:rPr>
              <w:t>性</w:t>
            </w:r>
            <w:r>
              <w:rPr>
                <w:sz w:val="21"/>
              </w:rPr>
              <w:t>，尿液</w:t>
            </w:r>
            <w:r>
              <w:rPr>
                <w:spacing w:val="-5"/>
                <w:sz w:val="21"/>
              </w:rPr>
              <w:t>正</w:t>
            </w:r>
            <w:r>
              <w:rPr>
                <w:sz w:val="21"/>
              </w:rPr>
              <w:t>常</w:t>
            </w:r>
          </w:p>
          <w:p>
            <w:pPr>
              <w:pStyle w:val="TableParagraph"/>
              <w:numPr>
                <w:ilvl w:val="0"/>
                <w:numId w:val="15"/>
              </w:numPr>
              <w:tabs>
                <w:tab w:pos="589" w:val="left" w:leader="none"/>
                <w:tab w:pos="3109" w:val="left" w:leader="none"/>
              </w:tabs>
              <w:spacing w:line="240" w:lineRule="auto" w:before="37" w:after="0"/>
              <w:ind w:left="588" w:right="0" w:hanging="264"/>
              <w:jc w:val="left"/>
              <w:rPr>
                <w:sz w:val="21"/>
              </w:rPr>
            </w:pPr>
            <w:r>
              <w:rPr>
                <w:sz w:val="21"/>
              </w:rPr>
              <w:t>型（系</w:t>
            </w:r>
            <w:r>
              <w:rPr>
                <w:spacing w:val="-5"/>
                <w:sz w:val="21"/>
              </w:rPr>
              <w:t>膜</w:t>
            </w:r>
            <w:r>
              <w:rPr>
                <w:sz w:val="21"/>
              </w:rPr>
              <w:t>病变型）</w:t>
              <w:tab/>
              <w:t>中度蛋</w:t>
            </w:r>
            <w:r>
              <w:rPr>
                <w:spacing w:val="-5"/>
                <w:sz w:val="21"/>
              </w:rPr>
              <w:t>白</w:t>
            </w:r>
            <w:r>
              <w:rPr>
                <w:sz w:val="21"/>
              </w:rPr>
              <w:t>尿，偶</w:t>
            </w:r>
            <w:r>
              <w:rPr>
                <w:spacing w:val="-5"/>
                <w:sz w:val="21"/>
              </w:rPr>
              <w:t>有</w:t>
            </w:r>
            <w:r>
              <w:rPr>
                <w:sz w:val="21"/>
              </w:rPr>
              <w:t>尿</w:t>
            </w:r>
            <w:r>
              <w:rPr>
                <w:spacing w:val="-5"/>
                <w:sz w:val="21"/>
              </w:rPr>
              <w:t>沉</w:t>
            </w:r>
            <w:r>
              <w:rPr>
                <w:sz w:val="21"/>
              </w:rPr>
              <w:t>渣改变</w:t>
            </w:r>
          </w:p>
          <w:p>
            <w:pPr>
              <w:pStyle w:val="TableParagraph"/>
              <w:numPr>
                <w:ilvl w:val="0"/>
                <w:numId w:val="15"/>
              </w:numPr>
              <w:tabs>
                <w:tab w:pos="694" w:val="left" w:leader="none"/>
              </w:tabs>
              <w:spacing w:line="240" w:lineRule="auto" w:before="37" w:after="0"/>
              <w:ind w:left="694" w:right="0" w:hanging="370"/>
              <w:jc w:val="left"/>
              <w:rPr>
                <w:sz w:val="21"/>
              </w:rPr>
            </w:pPr>
            <w:r>
              <w:rPr>
                <w:sz w:val="21"/>
              </w:rPr>
              <w:t>型（</w:t>
            </w:r>
            <w:r>
              <w:rPr>
                <w:spacing w:val="-3"/>
                <w:sz w:val="21"/>
              </w:rPr>
              <w:t>局灶及节段增生型</w:t>
            </w:r>
            <w:r>
              <w:rPr>
                <w:sz w:val="21"/>
              </w:rPr>
              <w:t>）</w:t>
            </w:r>
            <w:r>
              <w:rPr>
                <w:spacing w:val="-1"/>
                <w:sz w:val="21"/>
              </w:rPr>
              <w:t> 蛋白尿，尿沉渣改变</w:t>
            </w:r>
          </w:p>
          <w:p>
            <w:pPr>
              <w:pStyle w:val="TableParagraph"/>
              <w:numPr>
                <w:ilvl w:val="0"/>
                <w:numId w:val="15"/>
              </w:numPr>
              <w:tabs>
                <w:tab w:pos="589" w:val="left" w:leader="none"/>
                <w:tab w:pos="3118" w:val="left" w:leader="none"/>
              </w:tabs>
              <w:spacing w:line="240" w:lineRule="auto" w:before="37" w:after="0"/>
              <w:ind w:left="588" w:right="0" w:hanging="264"/>
              <w:jc w:val="left"/>
              <w:rPr>
                <w:sz w:val="21"/>
              </w:rPr>
            </w:pPr>
            <w:r>
              <w:rPr>
                <w:sz w:val="21"/>
              </w:rPr>
              <w:t>型（弥</w:t>
            </w:r>
            <w:r>
              <w:rPr>
                <w:spacing w:val="-5"/>
                <w:sz w:val="21"/>
              </w:rPr>
              <w:t>漫</w:t>
            </w:r>
            <w:r>
              <w:rPr>
                <w:sz w:val="21"/>
              </w:rPr>
              <w:t>增生型）</w:t>
              <w:tab/>
              <w:t>急性肾炎伴有尿沉</w:t>
            </w:r>
            <w:r>
              <w:rPr>
                <w:spacing w:val="-5"/>
                <w:sz w:val="21"/>
              </w:rPr>
              <w:t>渣改</w:t>
            </w:r>
            <w:r>
              <w:rPr>
                <w:sz w:val="21"/>
              </w:rPr>
              <w:t>变及/或</w:t>
            </w:r>
          </w:p>
          <w:p>
            <w:pPr>
              <w:pStyle w:val="TableParagraph"/>
              <w:spacing w:before="36"/>
              <w:ind w:left="3157"/>
              <w:rPr>
                <w:sz w:val="21"/>
              </w:rPr>
            </w:pPr>
            <w:r>
              <w:rPr>
                <w:sz w:val="21"/>
              </w:rPr>
              <w:t>肾病综合征</w:t>
            </w:r>
          </w:p>
          <w:p>
            <w:pPr>
              <w:pStyle w:val="TableParagraph"/>
              <w:numPr>
                <w:ilvl w:val="0"/>
                <w:numId w:val="15"/>
              </w:numPr>
              <w:tabs>
                <w:tab w:pos="483" w:val="left" w:leader="none"/>
                <w:tab w:pos="3109" w:val="left" w:leader="none"/>
              </w:tabs>
              <w:spacing w:line="240" w:lineRule="auto" w:before="36" w:after="0"/>
              <w:ind w:left="482" w:right="0" w:hanging="158"/>
              <w:jc w:val="left"/>
              <w:rPr>
                <w:sz w:val="21"/>
              </w:rPr>
            </w:pPr>
            <w:r>
              <w:rPr>
                <w:sz w:val="21"/>
              </w:rPr>
              <w:t>型（膜型）</w:t>
              <w:tab/>
              <w:t>肾病综</w:t>
            </w:r>
            <w:r>
              <w:rPr>
                <w:spacing w:val="-5"/>
                <w:sz w:val="21"/>
              </w:rPr>
              <w:t>合</w:t>
            </w:r>
            <w:r>
              <w:rPr>
                <w:sz w:val="21"/>
              </w:rPr>
              <w:t>征或重</w:t>
            </w:r>
            <w:r>
              <w:rPr>
                <w:spacing w:val="-5"/>
                <w:sz w:val="21"/>
              </w:rPr>
              <w:t>度</w:t>
            </w:r>
            <w:r>
              <w:rPr>
                <w:sz w:val="21"/>
              </w:rPr>
              <w:t>蛋</w:t>
            </w:r>
            <w:r>
              <w:rPr>
                <w:spacing w:val="-5"/>
                <w:sz w:val="21"/>
              </w:rPr>
              <w:t>白</w:t>
            </w:r>
            <w:r>
              <w:rPr>
                <w:sz w:val="21"/>
              </w:rPr>
              <w:t>尿</w:t>
            </w:r>
          </w:p>
        </w:tc>
      </w:tr>
      <w:tr>
        <w:trPr>
          <w:trHeight w:val="2919"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33.因职业关系导致的人类免疫缺陷</w:t>
            </w:r>
            <w:r>
              <w:rPr>
                <w:rFonts w:ascii="Microsoft JhengHei" w:eastAsia="Microsoft JhengHei" w:hint="eastAsia"/>
                <w:b/>
                <w:w w:val="95"/>
                <w:sz w:val="21"/>
              </w:rPr>
              <w:t>病毒（HIV） </w:t>
            </w:r>
            <w:r>
              <w:rPr>
                <w:rFonts w:ascii="Microsoft JhengHei" w:eastAsia="Microsoft JhengHei" w:hint="eastAsia"/>
                <w:b/>
                <w:sz w:val="21"/>
              </w:rPr>
              <w:t>感染</w:t>
            </w:r>
          </w:p>
        </w:tc>
        <w:tc>
          <w:tcPr>
            <w:tcW w:w="6265" w:type="dxa"/>
          </w:tcPr>
          <w:p>
            <w:pPr>
              <w:pStyle w:val="TableParagraph"/>
              <w:spacing w:line="268" w:lineRule="auto" w:before="152"/>
              <w:ind w:right="304"/>
              <w:rPr>
                <w:sz w:val="21"/>
              </w:rPr>
            </w:pPr>
            <w:r>
              <w:rPr>
                <w:spacing w:val="-6"/>
                <w:sz w:val="21"/>
              </w:rPr>
              <w:t>被保险人在其常规职业工作过程中遭遇外伤，或者职业需要处理</w:t>
            </w:r>
            <w:r>
              <w:rPr>
                <w:spacing w:val="-5"/>
                <w:w w:val="100"/>
                <w:sz w:val="21"/>
              </w:rPr>
              <w:t>血液或者其他体液时感染上人类免疫缺陷病毒</w:t>
            </w:r>
            <w:r>
              <w:rPr>
                <w:spacing w:val="-3"/>
                <w:w w:val="100"/>
                <w:sz w:val="21"/>
              </w:rPr>
              <w:t>（</w:t>
            </w:r>
            <w:r>
              <w:rPr>
                <w:w w:val="100"/>
                <w:sz w:val="21"/>
              </w:rPr>
              <w:t>HIV</w:t>
            </w:r>
            <w:r>
              <w:rPr>
                <w:spacing w:val="-111"/>
                <w:w w:val="100"/>
                <w:sz w:val="21"/>
              </w:rPr>
              <w:t>）。</w:t>
            </w:r>
          </w:p>
          <w:p>
            <w:pPr>
              <w:pStyle w:val="TableParagraph"/>
              <w:spacing w:before="11"/>
              <w:rPr>
                <w:sz w:val="21"/>
              </w:rPr>
            </w:pPr>
            <w:r>
              <w:rPr>
                <w:sz w:val="21"/>
              </w:rPr>
              <w:t>必须满足下列全部条件：</w:t>
            </w:r>
          </w:p>
          <w:p>
            <w:pPr>
              <w:pStyle w:val="TableParagraph"/>
              <w:spacing w:line="273" w:lineRule="auto" w:before="36"/>
              <w:ind w:left="636" w:right="303" w:hanging="524"/>
              <w:rPr>
                <w:sz w:val="21"/>
              </w:rPr>
            </w:pPr>
            <w:r>
              <w:rPr>
                <w:spacing w:val="-25"/>
                <w:sz w:val="21"/>
              </w:rPr>
              <w:t>（1）</w:t>
            </w:r>
            <w:r>
              <w:rPr>
                <w:spacing w:val="-8"/>
                <w:sz w:val="21"/>
              </w:rPr>
              <w:t>感染必须是在被保险人正在从事其职业工作中发生，该职业</w:t>
            </w:r>
            <w:r>
              <w:rPr>
                <w:spacing w:val="-6"/>
                <w:sz w:val="21"/>
              </w:rPr>
              <w:t>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7"/>
              <w:ind w:left="636" w:right="302" w:hanging="524"/>
              <w:rPr>
                <w:sz w:val="21"/>
              </w:rPr>
            </w:pPr>
            <w:r>
              <w:rPr>
                <w:sz w:val="21"/>
              </w:rPr>
              <w:t>（3）</w:t>
            </w:r>
            <w:r>
              <w:rPr>
                <w:spacing w:val="-5"/>
                <w:sz w:val="21"/>
              </w:rPr>
              <w:t>必须提供被保险人在所报事故发生后的 </w:t>
            </w:r>
            <w:r>
              <w:rPr>
                <w:sz w:val="21"/>
              </w:rPr>
              <w:t>5</w:t>
            </w:r>
            <w:r>
              <w:rPr>
                <w:spacing w:val="-4"/>
                <w:sz w:val="21"/>
              </w:rPr>
              <w:t> 天以内进行的检</w:t>
            </w:r>
            <w:r>
              <w:rPr>
                <w:spacing w:val="-10"/>
                <w:sz w:val="21"/>
              </w:rPr>
              <w:t>查报告，该报告必须显示被保险人血液 </w:t>
            </w:r>
            <w:r>
              <w:rPr>
                <w:sz w:val="21"/>
              </w:rPr>
              <w:t>HIV</w:t>
            </w:r>
            <w:r>
              <w:rPr>
                <w:spacing w:val="-10"/>
                <w:sz w:val="21"/>
              </w:rPr>
              <w:t> 病毒阴性和</w:t>
            </w:r>
            <w:r>
              <w:rPr>
                <w:sz w:val="21"/>
              </w:rPr>
              <w:t>/或</w:t>
            </w:r>
          </w:p>
          <w:p>
            <w:pPr>
              <w:pStyle w:val="TableParagraph"/>
              <w:spacing w:line="255" w:lineRule="exact" w:before="7"/>
              <w:ind w:left="593" w:right="4162"/>
              <w:jc w:val="center"/>
              <w:rPr>
                <w:sz w:val="21"/>
              </w:rPr>
            </w:pPr>
            <w:r>
              <w:rPr>
                <w:sz w:val="21"/>
              </w:rPr>
              <w:t>HIV 抗体阴性；</w:t>
            </w:r>
          </w:p>
        </w:tc>
      </w:tr>
    </w:tbl>
    <w:p>
      <w:pPr>
        <w:spacing w:after="0" w:line="255" w:lineRule="exact"/>
        <w:jc w:val="center"/>
        <w:rPr>
          <w:sz w:val="21"/>
        </w:rPr>
        <w:sectPr>
          <w:pgSz w:w="11910" w:h="16840"/>
          <w:pgMar w:header="0" w:footer="150" w:top="74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53"/>
      </w:tblGrid>
      <w:tr>
        <w:trPr>
          <w:trHeight w:val="2609" w:hRule="atLeast"/>
        </w:trPr>
        <w:tc>
          <w:tcPr>
            <w:tcW w:w="1475" w:type="dxa"/>
          </w:tcPr>
          <w:p>
            <w:pPr>
              <w:pStyle w:val="TableParagraph"/>
              <w:ind w:left="0"/>
              <w:rPr>
                <w:rFonts w:ascii="Times New Roman"/>
                <w:sz w:val="20"/>
              </w:rPr>
            </w:pPr>
          </w:p>
        </w:tc>
        <w:tc>
          <w:tcPr>
            <w:tcW w:w="6253" w:type="dxa"/>
          </w:tcPr>
          <w:p>
            <w:pPr>
              <w:pStyle w:val="TableParagraph"/>
              <w:spacing w:line="211" w:lineRule="exact"/>
              <w:rPr>
                <w:sz w:val="21"/>
              </w:rPr>
            </w:pPr>
            <w:r>
              <w:rPr>
                <w:sz w:val="21"/>
              </w:rPr>
              <w:t>（4）必须在事故发生后的 12 个月内证实被保险人体内存在 HIV</w:t>
            </w:r>
          </w:p>
          <w:p>
            <w:pPr>
              <w:pStyle w:val="TableParagraph"/>
              <w:spacing w:before="37"/>
              <w:ind w:left="568" w:right="3649"/>
              <w:jc w:val="center"/>
              <w:rPr>
                <w:sz w:val="21"/>
              </w:rPr>
            </w:pPr>
            <w:r>
              <w:rPr>
                <w:sz w:val="21"/>
              </w:rPr>
              <w:t>病毒或者 HIV 抗体。</w:t>
            </w:r>
          </w:p>
          <w:p>
            <w:pPr>
              <w:pStyle w:val="TableParagraph"/>
              <w:spacing w:before="37"/>
              <w:rPr>
                <w:sz w:val="21"/>
              </w:rPr>
            </w:pPr>
            <w:r>
              <w:rPr>
                <w:sz w:val="21"/>
              </w:rPr>
              <w:t>职业限制如下所示:</w:t>
            </w:r>
          </w:p>
          <w:p>
            <w:pPr>
              <w:pStyle w:val="TableParagraph"/>
              <w:tabs>
                <w:tab w:pos="2321" w:val="left" w:leader="none"/>
              </w:tabs>
              <w:spacing w:before="37"/>
              <w:rPr>
                <w:sz w:val="21"/>
              </w:rPr>
            </w:pPr>
            <w:r>
              <w:rPr>
                <w:sz w:val="21"/>
              </w:rPr>
              <w:t>医Th和牙</w:t>
            </w:r>
            <w:r>
              <w:rPr>
                <w:spacing w:val="-5"/>
                <w:sz w:val="21"/>
              </w:rPr>
              <w:t>科</w:t>
            </w:r>
            <w:r>
              <w:rPr>
                <w:sz w:val="21"/>
              </w:rPr>
              <w:t>医Th</w:t>
              <w:tab/>
              <w:t>护士</w:t>
            </w:r>
          </w:p>
          <w:p>
            <w:pPr>
              <w:pStyle w:val="TableParagraph"/>
              <w:tabs>
                <w:tab w:pos="2321" w:val="left" w:leader="none"/>
              </w:tabs>
              <w:spacing w:before="37"/>
              <w:rPr>
                <w:sz w:val="21"/>
              </w:rPr>
            </w:pPr>
            <w:r>
              <w:rPr>
                <w:sz w:val="21"/>
              </w:rPr>
              <w:t>医院化验</w:t>
            </w:r>
            <w:r>
              <w:rPr>
                <w:spacing w:val="-5"/>
                <w:sz w:val="21"/>
              </w:rPr>
              <w:t>室</w:t>
            </w:r>
            <w:r>
              <w:rPr>
                <w:sz w:val="21"/>
              </w:rPr>
              <w:t>工作人员</w:t>
              <w:tab/>
              <w:t>医院</w:t>
            </w:r>
            <w:r>
              <w:rPr>
                <w:spacing w:val="-5"/>
                <w:sz w:val="21"/>
              </w:rPr>
              <w:t>护</w:t>
            </w:r>
            <w:r>
              <w:rPr>
                <w:sz w:val="21"/>
              </w:rPr>
              <w:t>工</w:t>
            </w:r>
          </w:p>
          <w:p>
            <w:pPr>
              <w:pStyle w:val="TableParagraph"/>
              <w:tabs>
                <w:tab w:pos="2321" w:val="left" w:leader="none"/>
              </w:tabs>
              <w:spacing w:line="273" w:lineRule="auto" w:before="37"/>
              <w:ind w:right="2455"/>
              <w:rPr>
                <w:sz w:val="21"/>
              </w:rPr>
            </w:pPr>
            <w:r>
              <w:rPr>
                <w:sz w:val="21"/>
              </w:rPr>
              <w:t>医Th助理</w:t>
            </w:r>
            <w:r>
              <w:rPr>
                <w:spacing w:val="-5"/>
                <w:sz w:val="21"/>
              </w:rPr>
              <w:t>和</w:t>
            </w:r>
            <w:r>
              <w:rPr>
                <w:sz w:val="21"/>
              </w:rPr>
              <w:t>牙医助理</w:t>
              <w:tab/>
              <w:t>救护</w:t>
            </w:r>
            <w:r>
              <w:rPr>
                <w:spacing w:val="-5"/>
                <w:sz w:val="21"/>
              </w:rPr>
              <w:t>车</w:t>
            </w:r>
            <w:r>
              <w:rPr>
                <w:sz w:val="21"/>
              </w:rPr>
              <w:t>工作人员 助产士</w:t>
              <w:tab/>
              <w:t>消防</w:t>
            </w:r>
            <w:r>
              <w:rPr>
                <w:spacing w:val="-5"/>
                <w:sz w:val="21"/>
              </w:rPr>
              <w:t>队</w:t>
            </w:r>
            <w:r>
              <w:rPr>
                <w:sz w:val="21"/>
              </w:rPr>
              <w:t>员</w:t>
            </w:r>
          </w:p>
          <w:p>
            <w:pPr>
              <w:pStyle w:val="TableParagraph"/>
              <w:tabs>
                <w:tab w:pos="2321" w:val="left" w:leader="none"/>
              </w:tabs>
              <w:spacing w:before="7"/>
              <w:rPr>
                <w:sz w:val="21"/>
              </w:rPr>
            </w:pPr>
            <w:r>
              <w:rPr>
                <w:sz w:val="21"/>
              </w:rPr>
              <w:t>警察</w:t>
              <w:tab/>
              <w:t>狱警</w:t>
            </w:r>
          </w:p>
        </w:tc>
      </w:tr>
      <w:tr>
        <w:trPr>
          <w:trHeight w:val="469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34.经输血导致的人类免疫缺陷病毒</w:t>
            </w:r>
          </w:p>
          <w:p>
            <w:pPr>
              <w:pStyle w:val="TableParagraph"/>
              <w:spacing w:line="312" w:lineRule="exact"/>
              <w:ind w:left="200"/>
              <w:rPr>
                <w:rFonts w:ascii="Microsoft JhengHei" w:eastAsia="Microsoft JhengHei" w:hint="eastAsia"/>
                <w:b/>
                <w:sz w:val="21"/>
              </w:rPr>
            </w:pPr>
            <w:r>
              <w:rPr>
                <w:rFonts w:ascii="Microsoft JhengHei" w:eastAsia="Microsoft JhengHei" w:hint="eastAsia"/>
                <w:b/>
                <w:w w:val="95"/>
                <w:sz w:val="21"/>
              </w:rPr>
              <w:t>（HIV）感染</w:t>
            </w:r>
          </w:p>
        </w:tc>
        <w:tc>
          <w:tcPr>
            <w:tcW w:w="6253" w:type="dxa"/>
          </w:tcPr>
          <w:p>
            <w:pPr>
              <w:pStyle w:val="TableParagraph"/>
              <w:spacing w:line="273" w:lineRule="auto" w:before="150"/>
              <w:ind w:right="290"/>
              <w:jc w:val="both"/>
              <w:rPr>
                <w:sz w:val="21"/>
              </w:rPr>
            </w:pPr>
            <w:r>
              <w:rPr>
                <w:spacing w:val="-8"/>
                <w:sz w:val="21"/>
              </w:rPr>
              <w:t>被保险人感染上人类免疫缺陷病毒</w:t>
            </w:r>
            <w:r>
              <w:rPr>
                <w:spacing w:val="-16"/>
                <w:sz w:val="21"/>
              </w:rPr>
              <w:t>（HIV）</w:t>
            </w:r>
            <w:r>
              <w:rPr>
                <w:spacing w:val="-3"/>
                <w:sz w:val="21"/>
              </w:rPr>
              <w:t>并且满足下列全部条件件：</w:t>
            </w:r>
          </w:p>
          <w:p>
            <w:pPr>
              <w:pStyle w:val="TableParagraph"/>
              <w:spacing w:before="8"/>
              <w:rPr>
                <w:sz w:val="21"/>
              </w:rPr>
            </w:pPr>
            <w:r>
              <w:rPr>
                <w:sz w:val="21"/>
              </w:rPr>
              <w:t>（1）在保障起始日或复效日之后，被保险人因输血而感染 HIV；</w:t>
            </w:r>
          </w:p>
          <w:p>
            <w:pPr>
              <w:pStyle w:val="TableParagraph"/>
              <w:spacing w:line="273" w:lineRule="auto" w:before="37"/>
              <w:ind w:left="636" w:right="292" w:hanging="524"/>
              <w:jc w:val="both"/>
              <w:rPr>
                <w:sz w:val="21"/>
              </w:rPr>
            </w:pPr>
            <w:r>
              <w:rPr>
                <w:sz w:val="21"/>
              </w:rPr>
              <w:t>（2）提供输血治疗的输血中心或医院出具该项输血感染属医疗责任事故的报告，或者法院终审裁定为医疗责任并且不准上诉；</w:t>
            </w:r>
          </w:p>
          <w:p>
            <w:pPr>
              <w:pStyle w:val="TableParagraph"/>
              <w:spacing w:before="8"/>
              <w:rPr>
                <w:sz w:val="21"/>
              </w:rPr>
            </w:pPr>
            <w:r>
              <w:rPr>
                <w:sz w:val="21"/>
              </w:rPr>
              <w:t>（3）受感染的被保险人不是血友病患者。</w:t>
            </w:r>
          </w:p>
          <w:p>
            <w:pPr>
              <w:pStyle w:val="TableParagraph"/>
              <w:spacing w:line="273" w:lineRule="auto" w:before="37"/>
              <w:ind w:right="290"/>
              <w:jc w:val="both"/>
              <w:rPr>
                <w:sz w:val="21"/>
              </w:rPr>
            </w:pPr>
            <w:r>
              <w:rPr>
                <w:spacing w:val="-4"/>
                <w:sz w:val="21"/>
              </w:rPr>
              <w:t>在任何治愈艾滋病</w:t>
            </w:r>
            <w:r>
              <w:rPr>
                <w:spacing w:val="-5"/>
                <w:sz w:val="21"/>
              </w:rPr>
              <w:t>（AIDS）</w:t>
            </w:r>
            <w:r>
              <w:rPr>
                <w:spacing w:val="-10"/>
                <w:sz w:val="21"/>
              </w:rPr>
              <w:t>或阻止 </w:t>
            </w:r>
            <w:r>
              <w:rPr>
                <w:sz w:val="21"/>
              </w:rPr>
              <w:t>HIV</w:t>
            </w:r>
            <w:r>
              <w:rPr>
                <w:spacing w:val="-8"/>
                <w:sz w:val="21"/>
              </w:rPr>
              <w:t> 病毒作用的疗法被发现以</w:t>
            </w:r>
            <w:r>
              <w:rPr>
                <w:spacing w:val="-7"/>
                <w:sz w:val="21"/>
              </w:rPr>
              <w:t>后，或能防止 </w:t>
            </w:r>
            <w:r>
              <w:rPr>
                <w:sz w:val="21"/>
              </w:rPr>
              <w:t>AIDS</w:t>
            </w:r>
            <w:r>
              <w:rPr>
                <w:spacing w:val="-5"/>
                <w:sz w:val="21"/>
              </w:rPr>
              <w:t> 发</w:t>
            </w:r>
            <w:r>
              <w:rPr>
                <w:sz w:val="21"/>
              </w:rPr>
              <w:t>Th</w:t>
            </w:r>
            <w:r>
              <w:rPr>
                <w:spacing w:val="-5"/>
                <w:sz w:val="21"/>
              </w:rPr>
              <w:t>的医疗方法被研究出来以后，本保障将不再予以赔付。</w:t>
            </w:r>
          </w:p>
          <w:p>
            <w:pPr>
              <w:pStyle w:val="TableParagraph"/>
              <w:spacing w:line="273" w:lineRule="auto" w:before="7"/>
              <w:ind w:right="289"/>
              <w:jc w:val="both"/>
              <w:rPr>
                <w:sz w:val="21"/>
              </w:rPr>
            </w:pPr>
            <w:r>
              <w:rPr>
                <w:spacing w:val="-9"/>
                <w:sz w:val="21"/>
              </w:rPr>
              <w:t>任何因其他传播方式</w:t>
            </w:r>
            <w:r>
              <w:rPr>
                <w:sz w:val="21"/>
              </w:rPr>
              <w:t>（</w:t>
            </w:r>
            <w:r>
              <w:rPr>
                <w:spacing w:val="-10"/>
                <w:sz w:val="21"/>
              </w:rPr>
              <w:t>包括：性传播或静脉注射毒品</w:t>
            </w:r>
            <w:r>
              <w:rPr>
                <w:spacing w:val="-73"/>
                <w:sz w:val="21"/>
              </w:rPr>
              <w:t>）</w:t>
            </w:r>
            <w:r>
              <w:rPr>
                <w:spacing w:val="-5"/>
                <w:sz w:val="21"/>
              </w:rPr>
              <w:t>导致的 </w:t>
            </w:r>
            <w:r>
              <w:rPr>
                <w:sz w:val="21"/>
              </w:rPr>
              <w:t>HIV </w:t>
            </w:r>
            <w:r>
              <w:rPr>
                <w:spacing w:val="-5"/>
                <w:sz w:val="21"/>
              </w:rPr>
              <w:t>感染不在本保单保障范围内。保险公司必须拥有获得使用被保险</w:t>
            </w:r>
            <w:r>
              <w:rPr>
                <w:spacing w:val="2"/>
                <w:sz w:val="21"/>
              </w:rPr>
              <w:t>人的所有血液样本的权利和能够对这些样本进行独立检验的权</w:t>
            </w:r>
            <w:r>
              <w:rPr>
                <w:sz w:val="21"/>
              </w:rPr>
              <w:t>利。</w:t>
            </w:r>
          </w:p>
        </w:tc>
      </w:tr>
      <w:tr>
        <w:trPr>
          <w:trHeight w:val="126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35.严重克隆病</w:t>
            </w:r>
          </w:p>
        </w:tc>
        <w:tc>
          <w:tcPr>
            <w:tcW w:w="6253" w:type="dxa"/>
          </w:tcPr>
          <w:p>
            <w:pPr>
              <w:pStyle w:val="TableParagraph"/>
              <w:spacing w:line="312" w:lineRule="exact" w:before="145"/>
              <w:ind w:right="290"/>
              <w:jc w:val="both"/>
              <w:rPr>
                <w:rFonts w:ascii="微软雅黑" w:eastAsia="微软雅黑" w:hint="eastAsia"/>
                <w:b/>
                <w:sz w:val="22"/>
              </w:rPr>
            </w:pPr>
            <w:r>
              <w:rPr>
                <w:spacing w:val="-6"/>
                <w:sz w:val="21"/>
              </w:rPr>
              <w:t>克隆病是一种慢性肉芽肿性肠炎，具有特征性的克隆病病理组织</w:t>
            </w:r>
            <w:r>
              <w:rPr>
                <w:spacing w:val="-8"/>
                <w:sz w:val="21"/>
              </w:rPr>
              <w:t>学变化。诊断必须由病理检查结果证实。被保险人所患的克隆病</w:t>
            </w:r>
            <w:r>
              <w:rPr>
                <w:spacing w:val="-6"/>
                <w:sz w:val="21"/>
              </w:rPr>
              <w:t>必须已经造成瘘管形成并伴有肠梗阻或肠穿孔</w:t>
            </w:r>
            <w:r>
              <w:rPr>
                <w:rFonts w:ascii="微软雅黑" w:eastAsia="微软雅黑" w:hint="eastAsia"/>
                <w:b/>
                <w:sz w:val="22"/>
              </w:rPr>
              <w:t>。</w:t>
            </w:r>
          </w:p>
        </w:tc>
      </w:tr>
      <w:tr>
        <w:trPr>
          <w:trHeight w:val="1874" w:hRule="atLeast"/>
        </w:trPr>
        <w:tc>
          <w:tcPr>
            <w:tcW w:w="1475" w:type="dxa"/>
          </w:tcPr>
          <w:p>
            <w:pPr>
              <w:pStyle w:val="TableParagraph"/>
              <w:spacing w:line="201" w:lineRule="auto" w:before="140"/>
              <w:ind w:left="200" w:right="112"/>
              <w:rPr>
                <w:rFonts w:ascii="Microsoft JhengHei" w:eastAsia="Microsoft JhengHei" w:hint="eastAsia"/>
                <w:b/>
                <w:sz w:val="21"/>
              </w:rPr>
            </w:pPr>
            <w:r>
              <w:rPr>
                <w:rFonts w:ascii="Microsoft JhengHei" w:eastAsia="Microsoft JhengHei" w:hint="eastAsia"/>
                <w:b/>
                <w:sz w:val="21"/>
              </w:rPr>
              <w:t>36.严重溃疡性结肠炎</w:t>
            </w:r>
          </w:p>
        </w:tc>
        <w:tc>
          <w:tcPr>
            <w:tcW w:w="6253" w:type="dxa"/>
          </w:tcPr>
          <w:p>
            <w:pPr>
              <w:pStyle w:val="TableParagraph"/>
              <w:spacing w:line="271" w:lineRule="auto" w:before="149"/>
              <w:ind w:right="289"/>
              <w:jc w:val="both"/>
              <w:rPr>
                <w:sz w:val="21"/>
              </w:rPr>
            </w:pPr>
            <w:r>
              <w:rPr>
                <w:spacing w:val="2"/>
                <w:sz w:val="21"/>
              </w:rPr>
              <w:t>本保障所指的严重溃疡性结肠炎是指伴有致命性电解质紊乱的</w:t>
            </w:r>
            <w:r>
              <w:rPr>
                <w:spacing w:val="-6"/>
                <w:sz w:val="21"/>
              </w:rPr>
              <w:t>急性暴发性溃疡性结肠炎，病变累及全结肠，表现为严重的血便</w:t>
            </w:r>
            <w:r>
              <w:rPr>
                <w:spacing w:val="-8"/>
                <w:sz w:val="21"/>
              </w:rPr>
              <w:t>和系统性症状体征，治疗通常采取全结肠切除和回肠造瘘术。溃疡性结肠炎必须根据组织病理学特点诊断，并且被保险人已经接</w:t>
            </w:r>
            <w:r>
              <w:rPr>
                <w:spacing w:val="-6"/>
                <w:sz w:val="21"/>
              </w:rPr>
              <w:t>受了结肠切除和</w:t>
            </w:r>
            <w:r>
              <w:rPr>
                <w:sz w:val="21"/>
              </w:rPr>
              <w:t>/</w:t>
            </w:r>
            <w:r>
              <w:rPr>
                <w:spacing w:val="-3"/>
                <w:sz w:val="21"/>
              </w:rPr>
              <w:t>或回肠造瘘术。</w:t>
            </w:r>
          </w:p>
        </w:tc>
      </w:tr>
      <w:tr>
        <w:trPr>
          <w:trHeight w:val="3144" w:hRule="atLeast"/>
        </w:trPr>
        <w:tc>
          <w:tcPr>
            <w:tcW w:w="1475" w:type="dxa"/>
          </w:tcPr>
          <w:p>
            <w:pPr>
              <w:pStyle w:val="TableParagraph"/>
              <w:spacing w:line="201" w:lineRule="auto" w:before="153"/>
              <w:ind w:left="200" w:right="163"/>
              <w:rPr>
                <w:rFonts w:ascii="Microsoft JhengHei" w:eastAsia="Microsoft JhengHei" w:hint="eastAsia"/>
                <w:b/>
                <w:sz w:val="21"/>
              </w:rPr>
            </w:pPr>
            <w:r>
              <w:rPr>
                <w:rFonts w:ascii="Microsoft JhengHei" w:eastAsia="Microsoft JhengHei" w:hint="eastAsia"/>
                <w:b/>
                <w:sz w:val="21"/>
              </w:rPr>
              <w:t>37.1 型糖尿病</w:t>
            </w:r>
          </w:p>
        </w:tc>
        <w:tc>
          <w:tcPr>
            <w:tcW w:w="6253" w:type="dxa"/>
          </w:tcPr>
          <w:p>
            <w:pPr>
              <w:pStyle w:val="TableParagraph"/>
              <w:spacing w:line="259" w:lineRule="auto" w:before="162"/>
              <w:ind w:right="290"/>
              <w:jc w:val="both"/>
              <w:rPr>
                <w:sz w:val="21"/>
              </w:rPr>
            </w:pPr>
            <w:r>
              <w:rPr>
                <w:rFonts w:ascii="Cambria" w:eastAsia="Cambria"/>
                <w:sz w:val="21"/>
              </w:rPr>
              <w:t>1</w:t>
            </w:r>
            <w:r>
              <w:rPr>
                <w:sz w:val="21"/>
              </w:rPr>
              <w:t>型糖尿病的特征为由于胰岛素分泌绝对不足引起严重胰岛素缺</w:t>
            </w:r>
            <w:r>
              <w:rPr>
                <w:spacing w:val="-6"/>
                <w:sz w:val="21"/>
              </w:rPr>
              <w:t>乏导致慢性血糖升高，需要依赖外源性胰岛素进行机体的葡萄糖</w:t>
            </w:r>
            <w:r>
              <w:rPr>
                <w:spacing w:val="-5"/>
                <w:sz w:val="21"/>
              </w:rPr>
              <w:t>代谢和维持生命。被保险人的</w:t>
            </w:r>
            <w:r>
              <w:rPr>
                <w:rFonts w:ascii="Cambria" w:eastAsia="Cambria"/>
                <w:sz w:val="21"/>
              </w:rPr>
              <w:t>1</w:t>
            </w:r>
            <w:r>
              <w:rPr>
                <w:sz w:val="21"/>
              </w:rPr>
              <w:t>型糖尿病必须明确诊断，而且有</w:t>
            </w:r>
            <w:r>
              <w:rPr>
                <w:spacing w:val="-1"/>
                <w:sz w:val="21"/>
              </w:rPr>
              <w:t>血胰岛素测定及血</w:t>
            </w:r>
            <w:r>
              <w:rPr>
                <w:rFonts w:ascii="Cambria" w:eastAsia="Cambria"/>
                <w:spacing w:val="-4"/>
                <w:sz w:val="21"/>
              </w:rPr>
              <w:t>C</w:t>
            </w:r>
            <w:r>
              <w:rPr>
                <w:spacing w:val="-2"/>
                <w:sz w:val="21"/>
              </w:rPr>
              <w:t>肽或尿</w:t>
            </w:r>
            <w:r>
              <w:rPr>
                <w:rFonts w:ascii="Cambria" w:eastAsia="Cambria"/>
                <w:sz w:val="21"/>
              </w:rPr>
              <w:t>C</w:t>
            </w:r>
            <w:r>
              <w:rPr>
                <w:spacing w:val="-10"/>
                <w:sz w:val="21"/>
              </w:rPr>
              <w:t>肽测定结果支持诊断，并且满足下列全部条件：</w:t>
            </w:r>
          </w:p>
          <w:p>
            <w:pPr>
              <w:pStyle w:val="TableParagraph"/>
              <w:spacing w:before="20"/>
              <w:jc w:val="both"/>
              <w:rPr>
                <w:sz w:val="21"/>
              </w:rPr>
            </w:pPr>
            <w:r>
              <w:rPr>
                <w:sz w:val="21"/>
              </w:rPr>
              <w:t>（</w:t>
            </w:r>
            <w:r>
              <w:rPr>
                <w:rFonts w:ascii="Cambria" w:eastAsia="Cambria"/>
                <w:sz w:val="21"/>
              </w:rPr>
              <w:t>1</w:t>
            </w:r>
            <w:r>
              <w:rPr>
                <w:sz w:val="21"/>
              </w:rPr>
              <w:t>）已经持续性地接受外源性胰岛素注射治疗连续</w:t>
            </w:r>
            <w:r>
              <w:rPr>
                <w:rFonts w:ascii="Cambria" w:eastAsia="Cambria"/>
                <w:sz w:val="21"/>
              </w:rPr>
              <w:t>180</w:t>
            </w:r>
            <w:r>
              <w:rPr>
                <w:sz w:val="21"/>
              </w:rPr>
              <w:t>天以上；</w:t>
            </w:r>
          </w:p>
          <w:p>
            <w:pPr>
              <w:pStyle w:val="TableParagraph"/>
              <w:spacing w:before="19"/>
              <w:jc w:val="both"/>
              <w:rPr>
                <w:sz w:val="21"/>
              </w:rPr>
            </w:pPr>
            <w:r>
              <w:rPr>
                <w:sz w:val="21"/>
              </w:rPr>
              <w:t>（</w:t>
            </w:r>
            <w:r>
              <w:rPr>
                <w:rFonts w:ascii="Cambria" w:eastAsia="Cambria"/>
                <w:sz w:val="21"/>
              </w:rPr>
              <w:t>2</w:t>
            </w:r>
            <w:r>
              <w:rPr>
                <w:sz w:val="21"/>
              </w:rPr>
              <w:t>）因需要已经接受了下列治疗：</w:t>
            </w:r>
          </w:p>
          <w:p>
            <w:pPr>
              <w:pStyle w:val="TableParagraph"/>
              <w:spacing w:before="20"/>
              <w:ind w:left="535"/>
              <w:rPr>
                <w:sz w:val="21"/>
              </w:rPr>
            </w:pPr>
            <w:r>
              <w:rPr>
                <w:sz w:val="21"/>
              </w:rPr>
              <w:t>①因严重心律失常植入了心脏起搏器；或</w:t>
            </w:r>
          </w:p>
          <w:p>
            <w:pPr>
              <w:pStyle w:val="TableParagraph"/>
              <w:spacing w:before="37"/>
              <w:ind w:left="535"/>
              <w:rPr>
                <w:sz w:val="21"/>
              </w:rPr>
            </w:pPr>
            <w:r>
              <w:rPr>
                <w:sz w:val="21"/>
              </w:rPr>
              <w:t>②因坏疽自跖趾关节或以上切除了一趾或多趾。</w:t>
            </w:r>
          </w:p>
        </w:tc>
      </w:tr>
      <w:tr>
        <w:trPr>
          <w:trHeight w:val="1358"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38.肺源性心脏病</w:t>
            </w:r>
          </w:p>
        </w:tc>
        <w:tc>
          <w:tcPr>
            <w:tcW w:w="6253" w:type="dxa"/>
          </w:tcPr>
          <w:p>
            <w:pPr>
              <w:pStyle w:val="TableParagraph"/>
              <w:spacing w:line="271" w:lineRule="auto" w:before="152"/>
              <w:ind w:right="291"/>
              <w:jc w:val="both"/>
              <w:rPr>
                <w:sz w:val="21"/>
              </w:rPr>
            </w:pPr>
            <w:r>
              <w:rPr>
                <w:spacing w:val="2"/>
                <w:sz w:val="21"/>
              </w:rPr>
              <w:t>指被保人因慢性肺部疾病导致慢性心功能损害造成永久不可逆</w:t>
            </w:r>
            <w:r>
              <w:rPr>
                <w:spacing w:val="-6"/>
                <w:sz w:val="21"/>
              </w:rPr>
              <w:t>性的心功能衰竭。心功能衰竭程度达到纽约心脏病学会的心功能分级标准之心功能 </w:t>
            </w:r>
            <w:r>
              <w:rPr>
                <w:rFonts w:ascii="Times New Roman" w:eastAsia="Times New Roman"/>
                <w:sz w:val="21"/>
              </w:rPr>
              <w:t>IV </w:t>
            </w:r>
            <w:r>
              <w:rPr>
                <w:spacing w:val="-5"/>
                <w:sz w:val="21"/>
              </w:rPr>
              <w:t>级。被保险人永久不可逆性的体力活动能</w:t>
            </w:r>
          </w:p>
          <w:p>
            <w:pPr>
              <w:pStyle w:val="TableParagraph"/>
              <w:spacing w:line="246" w:lineRule="exact"/>
              <w:jc w:val="both"/>
              <w:rPr>
                <w:sz w:val="21"/>
              </w:rPr>
            </w:pPr>
            <w:r>
              <w:rPr>
                <w:sz w:val="21"/>
              </w:rPr>
              <w:t>力受限，不能从事任何体力活动。</w:t>
            </w:r>
          </w:p>
        </w:tc>
      </w:tr>
    </w:tbl>
    <w:p>
      <w:pPr>
        <w:spacing w:after="0" w:line="246" w:lineRule="exact"/>
        <w:jc w:val="both"/>
        <w:rPr>
          <w:sz w:val="21"/>
        </w:rPr>
        <w:sectPr>
          <w:pgSz w:w="11910" w:h="16840"/>
          <w:pgMar w:header="0" w:footer="150" w:top="740" w:bottom="340" w:left="1680" w:right="150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1670"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w w:val="84"/>
                <w:sz w:val="21"/>
              </w:rPr>
              <w:t>39</w:t>
            </w:r>
            <w:r>
              <w:rPr>
                <w:rFonts w:ascii="Microsoft JhengHei" w:eastAsia="Microsoft JhengHei" w:hint="eastAsia"/>
                <w:b/>
                <w:w w:val="197"/>
                <w:sz w:val="21"/>
              </w:rPr>
              <w:t>.</w:t>
            </w:r>
            <w:r>
              <w:rPr>
                <w:rFonts w:ascii="Microsoft JhengHei" w:eastAsia="Microsoft JhengHei" w:hint="eastAsia"/>
                <w:b/>
                <w:w w:val="100"/>
                <w:sz w:val="21"/>
              </w:rPr>
              <w:t>植物人状</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w w:val="100"/>
                <w:sz w:val="21"/>
              </w:rPr>
              <w:t>态</w:t>
            </w:r>
          </w:p>
        </w:tc>
        <w:tc>
          <w:tcPr>
            <w:tcW w:w="6265" w:type="dxa"/>
          </w:tcPr>
          <w:p>
            <w:pPr>
              <w:pStyle w:val="TableParagraph"/>
              <w:spacing w:line="211" w:lineRule="exact"/>
              <w:rPr>
                <w:sz w:val="21"/>
              </w:rPr>
            </w:pPr>
            <w:r>
              <w:rPr>
                <w:sz w:val="21"/>
              </w:rPr>
              <w:t>植物人状态系指由于严重颅脑外伤造成大脑和/或脑干严重损害</w:t>
            </w:r>
          </w:p>
          <w:p>
            <w:pPr>
              <w:pStyle w:val="TableParagraph"/>
              <w:spacing w:line="273" w:lineRule="auto" w:before="32"/>
              <w:ind w:right="302"/>
              <w:jc w:val="both"/>
              <w:rPr>
                <w:sz w:val="21"/>
              </w:rPr>
            </w:pPr>
            <w:r>
              <w:rPr>
                <w:spacing w:val="2"/>
                <w:sz w:val="21"/>
              </w:rPr>
              <w:t>导致完全永久性的对自身和环境的意识丧失和中枢神经系统功</w:t>
            </w:r>
            <w:r>
              <w:rPr>
                <w:spacing w:val="-6"/>
                <w:sz w:val="21"/>
              </w:rPr>
              <w:t>能丧失，仅残存植物神经功能的疾病状态。植物人状态必须明确</w:t>
            </w:r>
            <w:r>
              <w:rPr>
                <w:spacing w:val="-7"/>
                <w:sz w:val="21"/>
              </w:rPr>
              <w:t>诊断并且具有严重颅脑外伤和脑损害的证据。植物人状态必须持</w:t>
            </w:r>
            <w:r>
              <w:rPr>
                <w:spacing w:val="-26"/>
                <w:sz w:val="21"/>
              </w:rPr>
              <w:t>续 </w:t>
            </w:r>
            <w:r>
              <w:rPr>
                <w:sz w:val="21"/>
              </w:rPr>
              <w:t>30</w:t>
            </w:r>
            <w:r>
              <w:rPr>
                <w:spacing w:val="-8"/>
                <w:sz w:val="21"/>
              </w:rPr>
              <w:t> 天以上方可申请理赔。</w:t>
            </w:r>
          </w:p>
        </w:tc>
      </w:tr>
      <w:tr>
        <w:trPr>
          <w:trHeight w:val="375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40.严重类风湿性关节炎</w:t>
            </w:r>
          </w:p>
        </w:tc>
        <w:tc>
          <w:tcPr>
            <w:tcW w:w="6265" w:type="dxa"/>
          </w:tcPr>
          <w:p>
            <w:pPr>
              <w:pStyle w:val="TableParagraph"/>
              <w:spacing w:line="271" w:lineRule="auto" w:before="152"/>
              <w:ind w:right="303"/>
              <w:jc w:val="both"/>
              <w:rPr>
                <w:sz w:val="21"/>
              </w:rPr>
            </w:pPr>
            <w:r>
              <w:rPr>
                <w:spacing w:val="-7"/>
                <w:sz w:val="21"/>
              </w:rPr>
              <w:t>类风湿性关节炎为广泛分布的慢性进行性多关节病变，表现为关</w:t>
            </w:r>
            <w:r>
              <w:rPr>
                <w:spacing w:val="-10"/>
                <w:sz w:val="21"/>
              </w:rPr>
              <w:t>节严重变形，侵犯至少三个主要关节或关节组【如：双手</w:t>
            </w:r>
            <w:r>
              <w:rPr>
                <w:sz w:val="21"/>
              </w:rPr>
              <w:t>（多手指</w:t>
            </w:r>
            <w:r>
              <w:rPr>
                <w:spacing w:val="-5"/>
                <w:sz w:val="21"/>
              </w:rPr>
              <w:t>）关节、双足</w:t>
            </w:r>
            <w:r>
              <w:rPr>
                <w:sz w:val="21"/>
              </w:rPr>
              <w:t>（</w:t>
            </w:r>
            <w:r>
              <w:rPr>
                <w:spacing w:val="-2"/>
                <w:sz w:val="21"/>
              </w:rPr>
              <w:t>多足趾</w:t>
            </w:r>
            <w:r>
              <w:rPr>
                <w:spacing w:val="-5"/>
                <w:sz w:val="21"/>
              </w:rPr>
              <w:t>）关节、双腕关节、双膝关节和双髋关</w:t>
            </w:r>
            <w:r>
              <w:rPr>
                <w:spacing w:val="-10"/>
                <w:sz w:val="21"/>
              </w:rPr>
              <w:t>节】。类风湿性关节炎必须明确诊断并且已经达到类风湿性关节</w:t>
            </w:r>
            <w:r>
              <w:rPr>
                <w:spacing w:val="-15"/>
                <w:sz w:val="21"/>
              </w:rPr>
              <w:t>炎功能分级 </w:t>
            </w:r>
            <w:r>
              <w:rPr>
                <w:sz w:val="21"/>
              </w:rPr>
              <w:t>III</w:t>
            </w:r>
            <w:r>
              <w:rPr>
                <w:spacing w:val="-10"/>
                <w:sz w:val="21"/>
              </w:rPr>
              <w:t> 级以上的功能障碍</w:t>
            </w:r>
            <w:r>
              <w:rPr>
                <w:sz w:val="21"/>
              </w:rPr>
              <w:t>（</w:t>
            </w:r>
            <w:r>
              <w:rPr>
                <w:spacing w:val="-6"/>
                <w:sz w:val="21"/>
              </w:rPr>
              <w:t>关节活动严重限制，不能完</w:t>
            </w:r>
            <w:r>
              <w:rPr>
                <w:spacing w:val="-5"/>
                <w:sz w:val="21"/>
              </w:rPr>
              <w:t>成大部分的日常工作和活动）</w:t>
            </w:r>
            <w:r>
              <w:rPr>
                <w:spacing w:val="-4"/>
                <w:sz w:val="21"/>
              </w:rPr>
              <w:t>并且满足下列全部条件：</w:t>
            </w:r>
          </w:p>
          <w:p>
            <w:pPr>
              <w:pStyle w:val="TableParagraph"/>
              <w:spacing w:before="9"/>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7"/>
              <w:jc w:val="both"/>
              <w:rPr>
                <w:sz w:val="21"/>
              </w:rPr>
            </w:pPr>
            <w:r>
              <w:rPr>
                <w:sz w:val="21"/>
              </w:rPr>
              <w:t>（4）类风湿因子滴度升高；</w:t>
            </w:r>
          </w:p>
          <w:p>
            <w:pPr>
              <w:pStyle w:val="TableParagraph"/>
              <w:spacing w:before="36"/>
              <w:jc w:val="both"/>
              <w:rPr>
                <w:sz w:val="21"/>
              </w:rPr>
            </w:pPr>
            <w:r>
              <w:rPr>
                <w:sz w:val="21"/>
              </w:rPr>
              <w:t>（5）X 线显示严重的关节（软骨和骨）破坏和关节畸形。</w:t>
            </w:r>
          </w:p>
        </w:tc>
      </w:tr>
      <w:tr>
        <w:trPr>
          <w:trHeight w:val="2508"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41.非阿尔茨海默病所致严重痴呆</w:t>
            </w:r>
          </w:p>
        </w:tc>
        <w:tc>
          <w:tcPr>
            <w:tcW w:w="6265" w:type="dxa"/>
          </w:tcPr>
          <w:p>
            <w:pPr>
              <w:pStyle w:val="TableParagraph"/>
              <w:spacing w:line="271" w:lineRule="auto" w:before="152"/>
              <w:ind w:right="302"/>
              <w:jc w:val="both"/>
              <w:rPr>
                <w:sz w:val="21"/>
              </w:rPr>
            </w:pPr>
            <w:r>
              <w:rPr>
                <w:spacing w:val="2"/>
                <w:sz w:val="21"/>
              </w:rPr>
              <w:t>指因阿尔茨海默病以外的脑的器质性疾病造成脑功能衰竭导致</w:t>
            </w:r>
            <w:r>
              <w:rPr>
                <w:spacing w:val="-6"/>
                <w:sz w:val="21"/>
              </w:rPr>
              <w:t>永久不可逆性的严重痴呆，临床表现为明显的认知能力障碍、行</w:t>
            </w:r>
            <w:r>
              <w:rPr>
                <w:spacing w:val="-8"/>
                <w:sz w:val="21"/>
              </w:rPr>
              <w:t>为异常和社交能力减退。被保险人自主生活能力完全丧失，无法独立完成六项基本日常生活活动中的三项或三项以上，日常生活</w:t>
            </w:r>
            <w:r>
              <w:rPr>
                <w:spacing w:val="-9"/>
                <w:sz w:val="21"/>
              </w:rPr>
              <w:t>必须持续受到他人监护。导致痴呆的疾病必须明确诊断，并且由</w:t>
            </w:r>
            <w:r>
              <w:rPr>
                <w:spacing w:val="-10"/>
                <w:sz w:val="21"/>
              </w:rPr>
              <w:t>完整的临床、实验室和影像学检查结果证实。神经官能症和精神</w:t>
            </w:r>
            <w:r>
              <w:rPr>
                <w:spacing w:val="-7"/>
                <w:sz w:val="21"/>
              </w:rPr>
              <w:t>疾病不在保障范围内。</w:t>
            </w:r>
          </w:p>
        </w:tc>
      </w:tr>
      <w:tr>
        <w:trPr>
          <w:trHeight w:val="1270"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42.埃博拉病毒感染</w:t>
            </w:r>
          </w:p>
        </w:tc>
        <w:tc>
          <w:tcPr>
            <w:tcW w:w="6265" w:type="dxa"/>
          </w:tcPr>
          <w:p>
            <w:pPr>
              <w:pStyle w:val="TableParagraph"/>
              <w:spacing w:before="150"/>
              <w:rPr>
                <w:sz w:val="21"/>
              </w:rPr>
            </w:pPr>
            <w:r>
              <w:rPr>
                <w:sz w:val="21"/>
              </w:rPr>
              <w:t>指埃博拉病毒感染导致的烈性传染病，并须满足下列全部条件：</w:t>
            </w:r>
          </w:p>
          <w:p>
            <w:pPr>
              <w:pStyle w:val="TableParagraph"/>
              <w:numPr>
                <w:ilvl w:val="0"/>
                <w:numId w:val="16"/>
              </w:numPr>
              <w:tabs>
                <w:tab w:pos="747" w:val="left" w:leader="none"/>
              </w:tabs>
              <w:spacing w:line="240" w:lineRule="auto" w:before="37" w:after="0"/>
              <w:ind w:left="746" w:right="0" w:hanging="634"/>
              <w:jc w:val="left"/>
              <w:rPr>
                <w:sz w:val="21"/>
              </w:rPr>
            </w:pPr>
            <w:r>
              <w:rPr>
                <w:spacing w:val="-5"/>
                <w:sz w:val="21"/>
              </w:rPr>
              <w:t>实验室检查证实埃博拉病毒的存在；</w:t>
            </w:r>
          </w:p>
          <w:p>
            <w:pPr>
              <w:pStyle w:val="TableParagraph"/>
              <w:numPr>
                <w:ilvl w:val="0"/>
                <w:numId w:val="16"/>
              </w:numPr>
              <w:tabs>
                <w:tab w:pos="747" w:val="left" w:leader="none"/>
              </w:tabs>
              <w:spacing w:line="240" w:lineRule="auto" w:before="21" w:after="0"/>
              <w:ind w:left="746" w:right="0" w:hanging="634"/>
              <w:jc w:val="left"/>
              <w:rPr>
                <w:sz w:val="21"/>
              </w:rPr>
            </w:pPr>
            <w:r>
              <w:rPr>
                <w:spacing w:val="-8"/>
                <w:sz w:val="21"/>
              </w:rPr>
              <w:t>从发病开始有超过 </w:t>
            </w:r>
            <w:r>
              <w:rPr>
                <w:rFonts w:ascii="Times New Roman" w:eastAsia="Times New Roman"/>
                <w:sz w:val="21"/>
              </w:rPr>
              <w:t>30</w:t>
            </w:r>
            <w:r>
              <w:rPr>
                <w:rFonts w:ascii="Times New Roman" w:eastAsia="Times New Roman"/>
                <w:spacing w:val="10"/>
                <w:sz w:val="21"/>
              </w:rPr>
              <w:t> </w:t>
            </w:r>
            <w:r>
              <w:rPr>
                <w:spacing w:val="-4"/>
                <w:sz w:val="21"/>
              </w:rPr>
              <w:t>天的进行性感染症状。</w:t>
            </w:r>
          </w:p>
        </w:tc>
      </w:tr>
      <w:tr>
        <w:trPr>
          <w:trHeight w:val="2815" w:hRule="atLeast"/>
        </w:trPr>
        <w:tc>
          <w:tcPr>
            <w:tcW w:w="1475" w:type="dxa"/>
          </w:tcPr>
          <w:p>
            <w:pPr>
              <w:pStyle w:val="TableParagraph"/>
              <w:spacing w:line="339" w:lineRule="exact" w:before="75"/>
              <w:ind w:left="200"/>
              <w:rPr>
                <w:rFonts w:ascii="Microsoft JhengHei" w:eastAsia="Microsoft JhengHei" w:hint="eastAsia"/>
                <w:b/>
                <w:sz w:val="21"/>
              </w:rPr>
            </w:pPr>
            <w:r>
              <w:rPr>
                <w:rFonts w:ascii="Microsoft JhengHei" w:eastAsia="Microsoft JhengHei" w:hint="eastAsia"/>
                <w:b/>
                <w:sz w:val="21"/>
              </w:rPr>
              <w:t>43.严重哮喘</w:t>
            </w:r>
          </w:p>
          <w:p>
            <w:pPr>
              <w:pStyle w:val="TableParagraph"/>
              <w:spacing w:line="204" w:lineRule="auto" w:before="27"/>
              <w:ind w:left="200" w:right="107"/>
              <w:rPr>
                <w:rFonts w:ascii="Microsoft JhengHei" w:eastAsia="Microsoft JhengHei" w:hint="eastAsia"/>
                <w:b/>
                <w:sz w:val="21"/>
              </w:rPr>
            </w:pPr>
            <w:r>
              <w:rPr>
                <w:rFonts w:ascii="Microsoft JhengHei" w:eastAsia="Microsoft JhengHei" w:hint="eastAsia"/>
                <w:b/>
                <w:sz w:val="21"/>
              </w:rPr>
              <w:t>（25 周岁前理赔）</w:t>
            </w:r>
          </w:p>
        </w:tc>
        <w:tc>
          <w:tcPr>
            <w:tcW w:w="6265" w:type="dxa"/>
          </w:tcPr>
          <w:p>
            <w:pPr>
              <w:pStyle w:val="TableParagraph"/>
              <w:spacing w:line="273" w:lineRule="auto" w:before="142"/>
              <w:ind w:right="253"/>
              <w:rPr>
                <w:sz w:val="21"/>
              </w:rPr>
            </w:pPr>
            <w:r>
              <w:rPr>
                <w:sz w:val="21"/>
              </w:rPr>
              <w:t>指一种反复发作的严重支气管阻塞性疾病，经我们认可的专科医生确诊，且必须同时符合下列标准：</w:t>
            </w:r>
          </w:p>
          <w:p>
            <w:pPr>
              <w:pStyle w:val="TableParagraph"/>
              <w:spacing w:line="273" w:lineRule="auto" w:before="7"/>
              <w:ind w:right="303"/>
              <w:rPr>
                <w:sz w:val="21"/>
              </w:rPr>
            </w:pPr>
            <w:r>
              <w:rPr>
                <w:spacing w:val="-25"/>
                <w:sz w:val="21"/>
              </w:rPr>
              <w:t>（1）</w:t>
            </w:r>
            <w:r>
              <w:rPr>
                <w:spacing w:val="-9"/>
                <w:sz w:val="21"/>
              </w:rPr>
              <w:t>过去两年中曾因哮喘持续状态住院治疗，并提供完整住院记录；</w:t>
            </w:r>
          </w:p>
          <w:p>
            <w:pPr>
              <w:pStyle w:val="TableParagraph"/>
              <w:spacing w:before="7"/>
              <w:rPr>
                <w:sz w:val="21"/>
              </w:rPr>
            </w:pPr>
            <w:r>
              <w:rPr>
                <w:sz w:val="21"/>
              </w:rPr>
              <w:t>（2）因慢性过度换气导致胸廓畸形；</w:t>
            </w:r>
          </w:p>
          <w:p>
            <w:pPr>
              <w:pStyle w:val="TableParagraph"/>
              <w:spacing w:before="37"/>
              <w:rPr>
                <w:sz w:val="21"/>
              </w:rPr>
            </w:pPr>
            <w:r>
              <w:rPr>
                <w:sz w:val="21"/>
              </w:rPr>
              <w:t>（3）在家中需要医生处方的氧气治疗法；</w:t>
            </w:r>
          </w:p>
          <w:p>
            <w:pPr>
              <w:pStyle w:val="TableParagraph"/>
              <w:spacing w:before="36"/>
              <w:rPr>
                <w:sz w:val="21"/>
              </w:rPr>
            </w:pPr>
            <w:r>
              <w:rPr>
                <w:sz w:val="21"/>
              </w:rPr>
              <w:t>（4）持续日常服用口服类固醇激素治疗持续至少六个月。</w:t>
            </w:r>
          </w:p>
          <w:p>
            <w:pPr>
              <w:pStyle w:val="TableParagraph"/>
              <w:spacing w:before="36"/>
              <w:rPr>
                <w:sz w:val="21"/>
              </w:rPr>
            </w:pPr>
            <w:r>
              <w:rPr>
                <w:sz w:val="21"/>
              </w:rPr>
              <w:t>被保险人申请理赔时年龄必须在年满二十五周岁之前。</w:t>
            </w:r>
          </w:p>
        </w:tc>
      </w:tr>
      <w:tr>
        <w:trPr>
          <w:trHeight w:val="1886"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44.严重川崎病</w:t>
            </w:r>
          </w:p>
        </w:tc>
        <w:tc>
          <w:tcPr>
            <w:tcW w:w="6265" w:type="dxa"/>
          </w:tcPr>
          <w:p>
            <w:pPr>
              <w:pStyle w:val="TableParagraph"/>
              <w:spacing w:line="273" w:lineRule="auto" w:before="150"/>
              <w:ind w:right="253"/>
              <w:rPr>
                <w:sz w:val="21"/>
              </w:rPr>
            </w:pPr>
            <w:r>
              <w:rPr>
                <w:sz w:val="21"/>
              </w:rPr>
              <w:t>是指原因不明的系统性血管炎，本病须经专科医师明确诊断，并须满足下列全部条件：</w:t>
            </w:r>
          </w:p>
          <w:p>
            <w:pPr>
              <w:pStyle w:val="TableParagraph"/>
              <w:spacing w:before="8"/>
              <w:rPr>
                <w:sz w:val="21"/>
              </w:rPr>
            </w:pPr>
            <w:r>
              <w:rPr>
                <w:sz w:val="21"/>
              </w:rPr>
              <w:t>（1）超声心动图显示川崎病并发冠状动脉瘤或其他心血管异常；</w:t>
            </w:r>
          </w:p>
          <w:p>
            <w:pPr>
              <w:pStyle w:val="TableParagraph"/>
              <w:spacing w:line="273" w:lineRule="auto" w:before="36"/>
              <w:ind w:left="636" w:right="304" w:hanging="524"/>
              <w:rPr>
                <w:sz w:val="21"/>
              </w:rPr>
            </w:pPr>
            <w:r>
              <w:rPr>
                <w:sz w:val="21"/>
              </w:rPr>
              <w:t>（2）已接受了针对川崎病并发冠状动脉瘤或其他心血管异常所进行的手术治疗。</w:t>
            </w:r>
          </w:p>
        </w:tc>
      </w:tr>
      <w:tr>
        <w:trPr>
          <w:trHeight w:val="1049" w:hRule="atLeast"/>
        </w:trPr>
        <w:tc>
          <w:tcPr>
            <w:tcW w:w="1475" w:type="dxa"/>
          </w:tcPr>
          <w:p>
            <w:pPr>
              <w:pStyle w:val="TableParagraph"/>
              <w:spacing w:line="204" w:lineRule="auto" w:before="137"/>
              <w:ind w:left="200" w:right="112"/>
              <w:rPr>
                <w:rFonts w:ascii="Microsoft JhengHei" w:eastAsia="Microsoft JhengHei" w:hint="eastAsia"/>
                <w:b/>
                <w:sz w:val="21"/>
              </w:rPr>
            </w:pPr>
            <w:r>
              <w:rPr>
                <w:rFonts w:ascii="Microsoft JhengHei" w:eastAsia="Microsoft JhengHei" w:hint="eastAsia"/>
                <w:b/>
                <w:sz w:val="21"/>
              </w:rPr>
              <w:t>45.严重的系统性硬皮病</w:t>
            </w:r>
          </w:p>
        </w:tc>
        <w:tc>
          <w:tcPr>
            <w:tcW w:w="6265" w:type="dxa"/>
          </w:tcPr>
          <w:p>
            <w:pPr>
              <w:pStyle w:val="TableParagraph"/>
              <w:spacing w:before="149"/>
              <w:rPr>
                <w:sz w:val="21"/>
              </w:rPr>
            </w:pPr>
            <w:r>
              <w:rPr>
                <w:sz w:val="21"/>
              </w:rPr>
              <w:t>指一种以局限性或弥漫性皮肤增厚和皮肤、血管、内脏器官异常</w:t>
            </w:r>
          </w:p>
          <w:p>
            <w:pPr>
              <w:pStyle w:val="TableParagraph"/>
              <w:spacing w:line="310" w:lineRule="atLeast" w:before="1"/>
              <w:ind w:right="253"/>
              <w:rPr>
                <w:sz w:val="21"/>
              </w:rPr>
            </w:pPr>
            <w:r>
              <w:rPr>
                <w:sz w:val="21"/>
              </w:rPr>
              <w:t>纤维化为特征的结缔组织病。本病须经专科医师明确诊断，并须满足下列至少一项条件：</w:t>
            </w:r>
          </w:p>
        </w:tc>
      </w:tr>
    </w:tbl>
    <w:p>
      <w:pPr>
        <w:spacing w:after="0" w:line="310" w:lineRule="atLeast"/>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62"/>
      </w:tblGrid>
      <w:tr>
        <w:trPr>
          <w:trHeight w:val="1673" w:hRule="atLeast"/>
        </w:trPr>
        <w:tc>
          <w:tcPr>
            <w:tcW w:w="1475" w:type="dxa"/>
          </w:tcPr>
          <w:p>
            <w:pPr>
              <w:pStyle w:val="TableParagraph"/>
              <w:ind w:left="0"/>
              <w:rPr>
                <w:rFonts w:ascii="Times New Roman"/>
                <w:sz w:val="20"/>
              </w:rPr>
            </w:pPr>
          </w:p>
        </w:tc>
        <w:tc>
          <w:tcPr>
            <w:tcW w:w="6162" w:type="dxa"/>
          </w:tcPr>
          <w:p>
            <w:pPr>
              <w:pStyle w:val="TableParagraph"/>
              <w:spacing w:line="211" w:lineRule="exact"/>
              <w:rPr>
                <w:sz w:val="21"/>
              </w:rPr>
            </w:pPr>
            <w:r>
              <w:rPr>
                <w:sz w:val="21"/>
              </w:rPr>
              <w:t>（1）肺脏：肺部病变进而发展为肺间质纤维化和肺动脉高压；</w:t>
            </w:r>
          </w:p>
          <w:p>
            <w:pPr>
              <w:pStyle w:val="TableParagraph"/>
              <w:spacing w:line="273" w:lineRule="auto" w:before="37"/>
              <w:ind w:left="535" w:right="200" w:hanging="423"/>
              <w:rPr>
                <w:sz w:val="21"/>
              </w:rPr>
            </w:pPr>
            <w:r>
              <w:rPr>
                <w:spacing w:val="-25"/>
                <w:sz w:val="21"/>
              </w:rPr>
              <w:t>（2）</w:t>
            </w:r>
            <w:r>
              <w:rPr>
                <w:spacing w:val="-10"/>
                <w:sz w:val="21"/>
              </w:rPr>
              <w:t>心脏：心功能受损达到纽约心脏病学会的心功能分级标准之</w:t>
            </w:r>
            <w:r>
              <w:rPr>
                <w:spacing w:val="-20"/>
                <w:sz w:val="21"/>
              </w:rPr>
              <w:t>心功能 </w:t>
            </w:r>
            <w:r>
              <w:rPr>
                <w:sz w:val="21"/>
              </w:rPr>
              <w:t>IV</w:t>
            </w:r>
            <w:r>
              <w:rPr>
                <w:spacing w:val="-20"/>
                <w:sz w:val="21"/>
              </w:rPr>
              <w:t> 级；</w:t>
            </w:r>
          </w:p>
          <w:p>
            <w:pPr>
              <w:pStyle w:val="TableParagraph"/>
              <w:spacing w:line="273" w:lineRule="auto" w:before="7"/>
              <w:ind w:left="636" w:right="200" w:hanging="524"/>
              <w:rPr>
                <w:sz w:val="21"/>
              </w:rPr>
            </w:pPr>
            <w:r>
              <w:rPr>
                <w:spacing w:val="-16"/>
                <w:sz w:val="21"/>
              </w:rPr>
              <w:t>（3）</w:t>
            </w:r>
            <w:r>
              <w:rPr>
                <w:spacing w:val="-11"/>
                <w:sz w:val="21"/>
              </w:rPr>
              <w:t>肾脏：肾脏受损导致双肾功能慢性不可逆衰竭，达到尿毒症期。</w:t>
            </w:r>
          </w:p>
        </w:tc>
      </w:tr>
      <w:tr>
        <w:trPr>
          <w:trHeight w:val="1574"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46.丝虫病所致象皮肿</w:t>
            </w:r>
          </w:p>
        </w:tc>
        <w:tc>
          <w:tcPr>
            <w:tcW w:w="6162" w:type="dxa"/>
          </w:tcPr>
          <w:p>
            <w:pPr>
              <w:pStyle w:val="TableParagraph"/>
              <w:spacing w:line="273" w:lineRule="auto" w:before="150"/>
              <w:ind w:right="200"/>
              <w:jc w:val="both"/>
              <w:rPr>
                <w:sz w:val="21"/>
              </w:rPr>
            </w:pPr>
            <w:r>
              <w:rPr>
                <w:spacing w:val="-6"/>
                <w:sz w:val="21"/>
              </w:rPr>
              <w:t>指因丝虫感染导致淋巴阻塞性出现严重淋巴水肿，达到国际淋巴</w:t>
            </w:r>
            <w:r>
              <w:rPr>
                <w:spacing w:val="-9"/>
                <w:sz w:val="21"/>
              </w:rPr>
              <w:t>学会淋巴肿分期第 </w:t>
            </w:r>
            <w:r>
              <w:rPr>
                <w:sz w:val="21"/>
              </w:rPr>
              <w:t>III</w:t>
            </w:r>
            <w:r>
              <w:rPr>
                <w:spacing w:val="-11"/>
                <w:sz w:val="21"/>
              </w:rPr>
              <w:t> 期，临床表现为肢体象皮肿，患肢较键肢</w:t>
            </w:r>
            <w:r>
              <w:rPr>
                <w:spacing w:val="-10"/>
                <w:sz w:val="21"/>
              </w:rPr>
              <w:t>增粗 </w:t>
            </w:r>
            <w:r>
              <w:rPr>
                <w:sz w:val="21"/>
              </w:rPr>
              <w:t>30%</w:t>
            </w:r>
            <w:r>
              <w:rPr>
                <w:spacing w:val="-5"/>
                <w:sz w:val="21"/>
              </w:rPr>
              <w:t>以上，日常生活不能自理。此病症须经专科医生根据临床表现和微丝蚴的化验结果确诊。</w:t>
            </w:r>
          </w:p>
        </w:tc>
      </w:tr>
      <w:tr>
        <w:trPr>
          <w:trHeight w:val="1574"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47.胰腺移植</w:t>
            </w:r>
          </w:p>
        </w:tc>
        <w:tc>
          <w:tcPr>
            <w:tcW w:w="6162" w:type="dxa"/>
          </w:tcPr>
          <w:p>
            <w:pPr>
              <w:pStyle w:val="TableParagraph"/>
              <w:spacing w:line="273" w:lineRule="auto" w:before="150"/>
              <w:ind w:right="150"/>
              <w:rPr>
                <w:sz w:val="21"/>
              </w:rPr>
            </w:pPr>
            <w:r>
              <w:rPr>
                <w:sz w:val="21"/>
              </w:rPr>
              <w:t>指因胰腺功能衰竭，已经实施了在全身麻醉下进行的胰腺的异体器官移植手术。</w:t>
            </w:r>
          </w:p>
          <w:p>
            <w:pPr>
              <w:pStyle w:val="TableParagraph"/>
              <w:spacing w:line="273" w:lineRule="auto" w:before="7"/>
              <w:ind w:right="201"/>
              <w:rPr>
                <w:sz w:val="21"/>
              </w:rPr>
            </w:pPr>
            <w:r>
              <w:rPr>
                <w:sz w:val="21"/>
              </w:rPr>
              <w:t>单纯胰岛移植、部分胰腺组织或细胞的移植不在本保障范围之内。</w:t>
            </w:r>
          </w:p>
        </w:tc>
      </w:tr>
      <w:tr>
        <w:trPr>
          <w:trHeight w:val="1260"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48.急性坏死胰腺炎开腹手术</w:t>
            </w:r>
          </w:p>
        </w:tc>
        <w:tc>
          <w:tcPr>
            <w:tcW w:w="6162" w:type="dxa"/>
          </w:tcPr>
          <w:p>
            <w:pPr>
              <w:pStyle w:val="TableParagraph"/>
              <w:spacing w:line="268" w:lineRule="auto" w:before="150"/>
              <w:ind w:right="145"/>
              <w:rPr>
                <w:sz w:val="21"/>
              </w:rPr>
            </w:pPr>
            <w:r>
              <w:rPr>
                <w:sz w:val="21"/>
              </w:rPr>
              <w:t>指为治疗急性坏死性胰腺炎，实际实施了开腹进行的坏死组织清除术、病灶切除术或胰腺部分切除术。</w:t>
            </w:r>
          </w:p>
          <w:p>
            <w:pPr>
              <w:pStyle w:val="TableParagraph"/>
              <w:spacing w:before="12"/>
              <w:rPr>
                <w:sz w:val="21"/>
              </w:rPr>
            </w:pPr>
            <w:r>
              <w:rPr>
                <w:sz w:val="21"/>
              </w:rPr>
              <w:t>因酒精作用所致的急性胰腺炎不在保障范围内。</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49.慢性复发性胰腺炎</w:t>
            </w:r>
          </w:p>
        </w:tc>
        <w:tc>
          <w:tcPr>
            <w:tcW w:w="6162" w:type="dxa"/>
          </w:tcPr>
          <w:p>
            <w:pPr>
              <w:pStyle w:val="TableParagraph"/>
              <w:spacing w:line="271" w:lineRule="auto" w:before="152"/>
              <w:ind w:right="201"/>
              <w:jc w:val="both"/>
              <w:rPr>
                <w:sz w:val="21"/>
              </w:rPr>
            </w:pPr>
            <w:r>
              <w:rPr>
                <w:spacing w:val="-7"/>
                <w:sz w:val="21"/>
              </w:rPr>
              <w:t>指慢性反复发作的胰腺炎症导致胰腺的广泛纤维化、坏死、弥漫</w:t>
            </w:r>
            <w:r>
              <w:rPr>
                <w:spacing w:val="-9"/>
                <w:sz w:val="21"/>
              </w:rPr>
              <w:t>性钙化及假性囊肿形成，造成胰腺功能障碍出现严重糖尿病和营</w:t>
            </w:r>
            <w:r>
              <w:rPr>
                <w:spacing w:val="-7"/>
                <w:sz w:val="21"/>
              </w:rPr>
              <w:t>养不良。必须满足以下所有条件：</w:t>
            </w:r>
          </w:p>
          <w:p>
            <w:pPr>
              <w:pStyle w:val="TableParagraph"/>
              <w:spacing w:line="273" w:lineRule="auto" w:before="9"/>
              <w:ind w:left="636" w:right="145" w:hanging="524"/>
              <w:rPr>
                <w:sz w:val="21"/>
              </w:rPr>
            </w:pPr>
            <w:r>
              <w:rPr>
                <w:sz w:val="21"/>
              </w:rPr>
              <w:t>（1）CT 显示胰腺广泛钙化或逆行胰胆管造影（ERCP）显示胰管扭曲、扩张和狭窄；</w:t>
            </w:r>
          </w:p>
          <w:p>
            <w:pPr>
              <w:pStyle w:val="TableParagraph"/>
              <w:spacing w:before="7"/>
              <w:jc w:val="both"/>
              <w:rPr>
                <w:sz w:val="21"/>
              </w:rPr>
            </w:pPr>
            <w:r>
              <w:rPr>
                <w:sz w:val="21"/>
              </w:rPr>
              <w:t>（2）接受胰岛素替代治疗和酶替代治疗 180 天以上。</w:t>
            </w:r>
          </w:p>
          <w:p>
            <w:pPr>
              <w:pStyle w:val="TableParagraph"/>
              <w:spacing w:before="37"/>
              <w:jc w:val="both"/>
              <w:rPr>
                <w:sz w:val="21"/>
              </w:rPr>
            </w:pPr>
            <w:r>
              <w:rPr>
                <w:sz w:val="21"/>
              </w:rPr>
              <w:t>酒精导致的慢性复发性胰腺炎不在本保障范围内。</w:t>
            </w:r>
          </w:p>
        </w:tc>
      </w:tr>
      <w:tr>
        <w:trPr>
          <w:trHeight w:val="1886"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50.疯牛病</w:t>
            </w:r>
          </w:p>
        </w:tc>
        <w:tc>
          <w:tcPr>
            <w:tcW w:w="6162" w:type="dxa"/>
          </w:tcPr>
          <w:p>
            <w:pPr>
              <w:pStyle w:val="TableParagraph"/>
              <w:spacing w:line="271" w:lineRule="auto" w:before="152"/>
              <w:ind w:right="198"/>
              <w:jc w:val="both"/>
              <w:rPr>
                <w:sz w:val="21"/>
              </w:rPr>
            </w:pPr>
            <w:r>
              <w:rPr>
                <w:spacing w:val="-6"/>
                <w:sz w:val="21"/>
              </w:rPr>
              <w:t>是一种传染性海绵状脑病，临床表现为快速进行性痴呆、肌阵挛</w:t>
            </w:r>
            <w:r>
              <w:rPr>
                <w:spacing w:val="-10"/>
                <w:sz w:val="21"/>
              </w:rPr>
              <w:t>和特征性脑电图变化。本病须经三级医院的专科医生根据 </w:t>
            </w:r>
            <w:r>
              <w:rPr>
                <w:sz w:val="21"/>
              </w:rPr>
              <w:t>WHO</w:t>
            </w:r>
            <w:r>
              <w:rPr>
                <w:spacing w:val="-19"/>
                <w:sz w:val="21"/>
              </w:rPr>
              <w:t> 诊</w:t>
            </w:r>
            <w:r>
              <w:rPr>
                <w:spacing w:val="-12"/>
                <w:sz w:val="21"/>
              </w:rPr>
              <w:t>断标准明确诊断，并且被保险人自主生活能力完全丧失，无法独</w:t>
            </w:r>
            <w:r>
              <w:rPr>
                <w:spacing w:val="-8"/>
                <w:sz w:val="21"/>
              </w:rPr>
              <w:t>立完成六项基本日常生活活动中的三项或三项以上。</w:t>
            </w:r>
          </w:p>
          <w:p>
            <w:pPr>
              <w:pStyle w:val="TableParagraph"/>
              <w:spacing w:before="9"/>
              <w:jc w:val="both"/>
              <w:rPr>
                <w:sz w:val="21"/>
              </w:rPr>
            </w:pPr>
            <w:r>
              <w:rPr>
                <w:sz w:val="21"/>
              </w:rPr>
              <w:t>疑似病例不在本保障范围内。</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51.肾髓质囊性病</w:t>
            </w:r>
          </w:p>
        </w:tc>
        <w:tc>
          <w:tcPr>
            <w:tcW w:w="6162" w:type="dxa"/>
          </w:tcPr>
          <w:p>
            <w:pPr>
              <w:pStyle w:val="TableParagraph"/>
              <w:spacing w:before="152"/>
              <w:rPr>
                <w:sz w:val="21"/>
              </w:rPr>
            </w:pPr>
            <w:r>
              <w:rPr>
                <w:sz w:val="21"/>
              </w:rPr>
              <w:t>肾髓质囊性病的诊断须同时符合下列要求：</w:t>
            </w:r>
          </w:p>
          <w:p>
            <w:pPr>
              <w:pStyle w:val="TableParagraph"/>
              <w:spacing w:before="32"/>
              <w:rPr>
                <w:sz w:val="21"/>
              </w:rPr>
            </w:pPr>
            <w:r>
              <w:rPr>
                <w:sz w:val="21"/>
              </w:rPr>
              <w:t>（</w:t>
            </w:r>
            <w:r>
              <w:rPr>
                <w:rFonts w:ascii="Cambria" w:eastAsia="Cambria"/>
                <w:sz w:val="21"/>
              </w:rPr>
              <w:t>1</w:t>
            </w:r>
            <w:r>
              <w:rPr>
                <w:sz w:val="21"/>
              </w:rPr>
              <w:t>）肾髓质有囊肿、肾小管萎缩及间质纤维化等病理改变；</w:t>
            </w:r>
          </w:p>
          <w:p>
            <w:pPr>
              <w:pStyle w:val="TableParagraph"/>
              <w:spacing w:before="20"/>
              <w:rPr>
                <w:sz w:val="21"/>
              </w:rPr>
            </w:pPr>
            <w:r>
              <w:rPr>
                <w:sz w:val="21"/>
              </w:rPr>
              <w:t>（</w:t>
            </w:r>
            <w:r>
              <w:rPr>
                <w:rFonts w:ascii="Cambria" w:eastAsia="Cambria"/>
                <w:sz w:val="21"/>
              </w:rPr>
              <w:t>2</w:t>
            </w:r>
            <w:r>
              <w:rPr>
                <w:sz w:val="21"/>
              </w:rPr>
              <w:t>）肾功能衰竭；</w:t>
            </w:r>
          </w:p>
          <w:p>
            <w:pPr>
              <w:pStyle w:val="TableParagraph"/>
              <w:spacing w:before="19"/>
              <w:rPr>
                <w:sz w:val="21"/>
              </w:rPr>
            </w:pPr>
            <w:r>
              <w:rPr>
                <w:sz w:val="21"/>
              </w:rPr>
              <w:t>（3）诊断须由肾组织活检确定。</w:t>
            </w:r>
          </w:p>
        </w:tc>
      </w:tr>
      <w:tr>
        <w:trPr>
          <w:trHeight w:val="2823"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52.严重的原发性硬化性胆管炎</w:t>
            </w:r>
          </w:p>
        </w:tc>
        <w:tc>
          <w:tcPr>
            <w:tcW w:w="6162" w:type="dxa"/>
          </w:tcPr>
          <w:p>
            <w:pPr>
              <w:pStyle w:val="TableParagraph"/>
              <w:spacing w:line="271" w:lineRule="auto" w:before="152"/>
              <w:ind w:right="201"/>
              <w:jc w:val="both"/>
              <w:rPr>
                <w:sz w:val="21"/>
              </w:rPr>
            </w:pPr>
            <w:r>
              <w:rPr>
                <w:spacing w:val="-6"/>
                <w:sz w:val="21"/>
              </w:rPr>
              <w:t>原发性硬化性胆管炎指一种胆汁淤积综合征，其特征是肝内、肝</w:t>
            </w:r>
            <w:r>
              <w:rPr>
                <w:spacing w:val="-8"/>
                <w:sz w:val="21"/>
              </w:rPr>
              <w:t>外胆道因非细菌性炎症、慢性纤维化逐渐狭窄，并最终导致完全</w:t>
            </w:r>
            <w:r>
              <w:rPr>
                <w:spacing w:val="-6"/>
                <w:sz w:val="21"/>
              </w:rPr>
              <w:t>阻塞而发展为胆汁於积性肝硬化。须满足下列全部条件：</w:t>
            </w:r>
          </w:p>
          <w:p>
            <w:pPr>
              <w:pStyle w:val="TableParagraph"/>
              <w:spacing w:before="9"/>
              <w:jc w:val="both"/>
              <w:rPr>
                <w:sz w:val="21"/>
              </w:rPr>
            </w:pPr>
            <w:r>
              <w:rPr>
                <w:sz w:val="21"/>
              </w:rPr>
              <w:t>（1）持续性黄疸病史；</w:t>
            </w:r>
          </w:p>
          <w:p>
            <w:pPr>
              <w:pStyle w:val="TableParagraph"/>
              <w:spacing w:before="36"/>
              <w:jc w:val="both"/>
              <w:rPr>
                <w:sz w:val="21"/>
              </w:rPr>
            </w:pPr>
            <w:r>
              <w:rPr>
                <w:sz w:val="21"/>
              </w:rPr>
              <w:t>（2）总胆红素和直接胆红素同时升高，血清 ALP&gt;200U/L；</w:t>
            </w:r>
          </w:p>
          <w:p>
            <w:pPr>
              <w:pStyle w:val="TableParagraph"/>
              <w:spacing w:before="36"/>
              <w:jc w:val="both"/>
              <w:rPr>
                <w:sz w:val="21"/>
              </w:rPr>
            </w:pPr>
            <w:r>
              <w:rPr>
                <w:sz w:val="21"/>
              </w:rPr>
              <w:t>（3）经内镜逆行胰胆管造影（ERCP）影像学检查确诊；</w:t>
            </w:r>
          </w:p>
          <w:p>
            <w:pPr>
              <w:pStyle w:val="TableParagraph"/>
              <w:spacing w:before="36"/>
              <w:jc w:val="both"/>
              <w:rPr>
                <w:sz w:val="21"/>
              </w:rPr>
            </w:pPr>
            <w:r>
              <w:rPr>
                <w:sz w:val="21"/>
              </w:rPr>
              <w:t>（4）出现胆汁於积性肝硬化或门脉高压。</w:t>
            </w:r>
          </w:p>
          <w:p>
            <w:pPr>
              <w:pStyle w:val="TableParagraph"/>
              <w:spacing w:before="37"/>
              <w:jc w:val="both"/>
              <w:rPr>
                <w:sz w:val="21"/>
              </w:rPr>
            </w:pPr>
            <w:r>
              <w:rPr>
                <w:sz w:val="21"/>
              </w:rPr>
              <w:t>因肿瘤或胆管损伤等继发性的硬化性胆管炎不在保障范围内。</w:t>
            </w:r>
          </w:p>
        </w:tc>
      </w:tr>
      <w:tr>
        <w:trPr>
          <w:trHeight w:val="427" w:hRule="atLeast"/>
        </w:trPr>
        <w:tc>
          <w:tcPr>
            <w:tcW w:w="1475" w:type="dxa"/>
          </w:tcPr>
          <w:p>
            <w:pPr>
              <w:pStyle w:val="TableParagraph"/>
              <w:spacing w:line="322" w:lineRule="exact" w:before="85"/>
              <w:ind w:left="200"/>
              <w:rPr>
                <w:rFonts w:ascii="Microsoft JhengHei" w:eastAsia="Microsoft JhengHei" w:hint="eastAsia"/>
                <w:b/>
                <w:sz w:val="21"/>
              </w:rPr>
            </w:pPr>
            <w:r>
              <w:rPr>
                <w:rFonts w:ascii="Microsoft JhengHei" w:eastAsia="Microsoft JhengHei" w:hint="eastAsia"/>
                <w:b/>
                <w:sz w:val="21"/>
              </w:rPr>
              <w:t>53.特发性慢</w:t>
            </w:r>
          </w:p>
        </w:tc>
        <w:tc>
          <w:tcPr>
            <w:tcW w:w="6162" w:type="dxa"/>
          </w:tcPr>
          <w:p>
            <w:pPr>
              <w:pStyle w:val="TableParagraph"/>
              <w:spacing w:line="255" w:lineRule="exact" w:before="152"/>
              <w:rPr>
                <w:sz w:val="21"/>
              </w:rPr>
            </w:pPr>
            <w:r>
              <w:rPr>
                <w:sz w:val="21"/>
              </w:rPr>
              <w:t>指自身免疫性肾上腺炎（既往称：特发性肾上腺皮质萎缩）导致</w:t>
            </w:r>
          </w:p>
        </w:tc>
      </w:tr>
    </w:tbl>
    <w:p>
      <w:pPr>
        <w:spacing w:after="0" w:line="255" w:lineRule="exact"/>
        <w:rPr>
          <w:sz w:val="21"/>
        </w:rPr>
        <w:sectPr>
          <w:pgSz w:w="11910" w:h="16840"/>
          <w:pgMar w:header="0" w:footer="150" w:top="740" w:bottom="340" w:left="1680" w:right="15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66"/>
      </w:tblGrid>
      <w:tr>
        <w:trPr>
          <w:trHeight w:val="3857"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性肾上腺皮</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质功能减退</w:t>
            </w:r>
          </w:p>
        </w:tc>
        <w:tc>
          <w:tcPr>
            <w:tcW w:w="6166" w:type="dxa"/>
          </w:tcPr>
          <w:p>
            <w:pPr>
              <w:pStyle w:val="TableParagraph"/>
              <w:spacing w:line="211" w:lineRule="exact"/>
              <w:jc w:val="both"/>
              <w:rPr>
                <w:sz w:val="21"/>
              </w:rPr>
            </w:pPr>
            <w:r>
              <w:rPr>
                <w:sz w:val="21"/>
              </w:rPr>
              <w:t>肾上腺萎缩和慢性肾上腺皮质功能减退。必须满足所有以下条</w:t>
            </w:r>
          </w:p>
          <w:p>
            <w:pPr>
              <w:pStyle w:val="TableParagraph"/>
              <w:spacing w:before="37"/>
              <w:jc w:val="both"/>
              <w:rPr>
                <w:sz w:val="21"/>
              </w:rPr>
            </w:pPr>
            <w:r>
              <w:rPr>
                <w:sz w:val="21"/>
              </w:rPr>
              <w:t>件：</w:t>
            </w:r>
          </w:p>
          <w:p>
            <w:pPr>
              <w:pStyle w:val="TableParagraph"/>
              <w:spacing w:before="37"/>
              <w:jc w:val="both"/>
              <w:rPr>
                <w:sz w:val="21"/>
              </w:rPr>
            </w:pPr>
            <w:r>
              <w:rPr>
                <w:sz w:val="21"/>
              </w:rPr>
              <w:t>（1）必须由专科医生明确诊断，符合所有以下诊断标准：</w:t>
            </w:r>
          </w:p>
          <w:p>
            <w:pPr>
              <w:pStyle w:val="TableParagraph"/>
              <w:spacing w:before="37"/>
              <w:ind w:left="598"/>
              <w:rPr>
                <w:sz w:val="21"/>
              </w:rPr>
            </w:pPr>
            <w:r>
              <w:rPr>
                <w:sz w:val="21"/>
              </w:rPr>
              <w:t>①血浆促肾上腺皮质激素（ACTH）水平测定，&gt;100pg/ml；</w:t>
            </w:r>
          </w:p>
          <w:p>
            <w:pPr>
              <w:pStyle w:val="TableParagraph"/>
              <w:spacing w:line="273" w:lineRule="auto" w:before="37"/>
              <w:ind w:left="809" w:right="203" w:hanging="212"/>
              <w:rPr>
                <w:sz w:val="21"/>
              </w:rPr>
            </w:pPr>
            <w:r>
              <w:rPr>
                <w:spacing w:val="-5"/>
                <w:sz w:val="21"/>
              </w:rPr>
              <w:t>②血浆肾素活性、血管紧张素 </w:t>
            </w:r>
            <w:r>
              <w:rPr>
                <w:sz w:val="21"/>
              </w:rPr>
              <w:t>II</w:t>
            </w:r>
            <w:r>
              <w:rPr>
                <w:spacing w:val="-8"/>
                <w:sz w:val="21"/>
              </w:rPr>
              <w:t> 和醛固酮测定，显示为原</w:t>
            </w:r>
            <w:r>
              <w:rPr>
                <w:spacing w:val="-6"/>
                <w:sz w:val="21"/>
              </w:rPr>
              <w:t>发性肾上腺皮质功能减退症；</w:t>
            </w:r>
          </w:p>
          <w:p>
            <w:pPr>
              <w:pStyle w:val="TableParagraph"/>
              <w:spacing w:line="273" w:lineRule="auto" w:before="7"/>
              <w:ind w:left="809" w:right="203" w:hanging="212"/>
              <w:rPr>
                <w:sz w:val="21"/>
              </w:rPr>
            </w:pPr>
            <w:r>
              <w:rPr>
                <w:spacing w:val="-7"/>
                <w:sz w:val="21"/>
              </w:rPr>
              <w:t>③促肾上腺皮质激素</w:t>
            </w:r>
            <w:r>
              <w:rPr>
                <w:spacing w:val="-10"/>
                <w:sz w:val="21"/>
              </w:rPr>
              <w:t>（ACTH）</w:t>
            </w:r>
            <w:r>
              <w:rPr>
                <w:spacing w:val="-4"/>
                <w:sz w:val="21"/>
              </w:rPr>
              <w:t>刺激试验显示为原发性肾上腺</w:t>
            </w:r>
            <w:r>
              <w:rPr>
                <w:spacing w:val="-5"/>
                <w:sz w:val="21"/>
              </w:rPr>
              <w:t>皮质功能减退症。</w:t>
            </w:r>
          </w:p>
          <w:p>
            <w:pPr>
              <w:pStyle w:val="TableParagraph"/>
              <w:spacing w:before="7"/>
              <w:rPr>
                <w:sz w:val="21"/>
              </w:rPr>
            </w:pPr>
            <w:r>
              <w:rPr>
                <w:sz w:val="21"/>
              </w:rPr>
              <w:t>（2）已经采用皮质类固醇替代治疗 180 天以上。</w:t>
            </w:r>
          </w:p>
          <w:p>
            <w:pPr>
              <w:pStyle w:val="TableParagraph"/>
              <w:spacing w:line="273" w:lineRule="auto" w:before="37"/>
              <w:ind w:right="204"/>
              <w:jc w:val="both"/>
              <w:rPr>
                <w:sz w:val="21"/>
              </w:rPr>
            </w:pPr>
            <w:r>
              <w:rPr>
                <w:spacing w:val="-1"/>
                <w:sz w:val="21"/>
              </w:rPr>
              <w:t>肾上腺结核、</w:t>
            </w:r>
            <w:r>
              <w:rPr>
                <w:sz w:val="21"/>
              </w:rPr>
              <w:t>HIV</w:t>
            </w:r>
            <w:r>
              <w:rPr>
                <w:spacing w:val="-5"/>
                <w:sz w:val="21"/>
              </w:rPr>
              <w:t> 感染或艾滋病、感染、肿瘤所致的原发性肾上</w:t>
            </w:r>
            <w:r>
              <w:rPr>
                <w:spacing w:val="2"/>
                <w:sz w:val="21"/>
              </w:rPr>
              <w:t>腺皮质功能减退和继发性肾上腺皮质功能减退不在本保障范围</w:t>
            </w:r>
            <w:r>
              <w:rPr>
                <w:sz w:val="21"/>
              </w:rPr>
              <w:t>内。</w:t>
            </w:r>
          </w:p>
        </w:tc>
      </w:tr>
      <w:tr>
        <w:trPr>
          <w:trHeight w:val="126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54.溶血性链球菌引起的坏疽</w:t>
            </w:r>
          </w:p>
        </w:tc>
        <w:tc>
          <w:tcPr>
            <w:tcW w:w="6166" w:type="dxa"/>
          </w:tcPr>
          <w:p>
            <w:pPr>
              <w:pStyle w:val="TableParagraph"/>
              <w:spacing w:line="273" w:lineRule="auto" w:before="150"/>
              <w:ind w:right="198"/>
              <w:jc w:val="both"/>
              <w:rPr>
                <w:sz w:val="21"/>
              </w:rPr>
            </w:pPr>
            <w:r>
              <w:rPr>
                <w:spacing w:val="7"/>
                <w:sz w:val="21"/>
              </w:rPr>
              <w:t>包围肢体或躯干的浅筋膜和/</w:t>
            </w:r>
            <w:r>
              <w:rPr>
                <w:spacing w:val="6"/>
                <w:sz w:val="21"/>
              </w:rPr>
              <w:t>或深筋膜受到溶血性链球菌的感</w:t>
            </w:r>
            <w:r>
              <w:rPr>
                <w:spacing w:val="-7"/>
                <w:sz w:val="21"/>
              </w:rPr>
              <w:t>染，病情在短时间内急剧恶化，必须立刻进行手术及清创术。最</w:t>
            </w:r>
            <w:r>
              <w:rPr>
                <w:spacing w:val="-6"/>
                <w:sz w:val="21"/>
              </w:rPr>
              <w:t>后的诊断必须由微生物或病理学专家进行相关检查后证实。</w:t>
            </w:r>
          </w:p>
        </w:tc>
      </w:tr>
      <w:tr>
        <w:trPr>
          <w:trHeight w:val="1574"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55.颅脑手术</w:t>
            </w:r>
          </w:p>
        </w:tc>
        <w:tc>
          <w:tcPr>
            <w:tcW w:w="6166" w:type="dxa"/>
          </w:tcPr>
          <w:p>
            <w:pPr>
              <w:pStyle w:val="TableParagraph"/>
              <w:spacing w:line="273" w:lineRule="auto" w:before="150"/>
              <w:ind w:right="205"/>
              <w:rPr>
                <w:sz w:val="21"/>
              </w:rPr>
            </w:pPr>
            <w:r>
              <w:rPr>
                <w:spacing w:val="-6"/>
                <w:sz w:val="21"/>
              </w:rPr>
              <w:t>被保险人确已实施全麻下的开颅手术</w:t>
            </w:r>
            <w:r>
              <w:rPr>
                <w:sz w:val="21"/>
              </w:rPr>
              <w:t>（</w:t>
            </w:r>
            <w:r>
              <w:rPr>
                <w:spacing w:val="-4"/>
                <w:sz w:val="21"/>
              </w:rPr>
              <w:t>不包括颅骨钻孔手术和经</w:t>
            </w:r>
            <w:r>
              <w:rPr>
                <w:spacing w:val="-5"/>
                <w:sz w:val="21"/>
              </w:rPr>
              <w:t>鼻蝶窦入颅手术</w:t>
            </w:r>
            <w:r>
              <w:rPr>
                <w:spacing w:val="-106"/>
                <w:sz w:val="21"/>
              </w:rPr>
              <w:t>）</w:t>
            </w:r>
            <w:r>
              <w:rPr>
                <w:sz w:val="21"/>
              </w:rPr>
              <w:t>。</w:t>
            </w:r>
          </w:p>
          <w:p>
            <w:pPr>
              <w:pStyle w:val="TableParagraph"/>
              <w:spacing w:before="8"/>
              <w:rPr>
                <w:sz w:val="21"/>
              </w:rPr>
            </w:pPr>
            <w:r>
              <w:rPr>
                <w:sz w:val="21"/>
              </w:rPr>
              <w:t>因外伤而实施的脑外科手术不在保障范围之内。</w:t>
            </w:r>
          </w:p>
          <w:p>
            <w:pPr>
              <w:pStyle w:val="TableParagraph"/>
              <w:spacing w:before="37"/>
              <w:rPr>
                <w:sz w:val="21"/>
              </w:rPr>
            </w:pPr>
            <w:r>
              <w:rPr>
                <w:sz w:val="21"/>
              </w:rPr>
              <w:t>理赔时必须提供由神经外科医Th出具的诊断书及手术报告。</w:t>
            </w:r>
          </w:p>
        </w:tc>
      </w:tr>
      <w:tr>
        <w:trPr>
          <w:trHeight w:val="2508"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56.严重肌营养不良症</w:t>
            </w:r>
          </w:p>
        </w:tc>
        <w:tc>
          <w:tcPr>
            <w:tcW w:w="6166" w:type="dxa"/>
          </w:tcPr>
          <w:p>
            <w:pPr>
              <w:pStyle w:val="TableParagraph"/>
              <w:spacing w:line="268" w:lineRule="auto" w:before="150"/>
              <w:ind w:right="149"/>
              <w:rPr>
                <w:sz w:val="21"/>
              </w:rPr>
            </w:pPr>
            <w:r>
              <w:rPr>
                <w:sz w:val="21"/>
              </w:rPr>
              <w:t>指一组遗传性肌肉变性病变，临床特征为与神经系统无关的骨骼肌肉对称地进行性无力和萎缩。其诊断需满足下列全部条件：</w:t>
            </w:r>
          </w:p>
          <w:p>
            <w:pPr>
              <w:pStyle w:val="TableParagraph"/>
              <w:spacing w:before="12"/>
              <w:rPr>
                <w:sz w:val="21"/>
              </w:rPr>
            </w:pPr>
            <w:r>
              <w:rPr>
                <w:sz w:val="21"/>
              </w:rPr>
              <w:t>（1）肌电图显示典型肌营养不良症的阳性改变；</w:t>
            </w:r>
          </w:p>
          <w:p>
            <w:pPr>
              <w:pStyle w:val="TableParagraph"/>
              <w:spacing w:line="273" w:lineRule="auto" w:before="37"/>
              <w:ind w:left="636" w:right="150" w:hanging="524"/>
              <w:rPr>
                <w:sz w:val="21"/>
              </w:rPr>
            </w:pPr>
            <w:r>
              <w:rPr>
                <w:sz w:val="21"/>
              </w:rPr>
              <w:t>（2）肌肉活检的病理学诊断符合肌营养不良症的肌肉细胞变性\ 坏死等阳性改变；</w:t>
            </w:r>
          </w:p>
          <w:p>
            <w:pPr>
              <w:pStyle w:val="TableParagraph"/>
              <w:spacing w:line="273" w:lineRule="auto" w:before="7"/>
              <w:ind w:left="636" w:right="205" w:hanging="524"/>
              <w:rPr>
                <w:sz w:val="21"/>
              </w:rPr>
            </w:pPr>
            <w:r>
              <w:rPr>
                <w:sz w:val="21"/>
              </w:rPr>
              <w:t>（3）已导致被保险人持续超过三个月无法独立完成六项基本日常生活活动中的三项或三项以上。</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57.严重心肌炎</w:t>
            </w:r>
          </w:p>
        </w:tc>
        <w:tc>
          <w:tcPr>
            <w:tcW w:w="6166" w:type="dxa"/>
          </w:tcPr>
          <w:p>
            <w:pPr>
              <w:pStyle w:val="TableParagraph"/>
              <w:spacing w:line="268" w:lineRule="auto" w:before="152"/>
              <w:ind w:right="205"/>
              <w:rPr>
                <w:sz w:val="21"/>
              </w:rPr>
            </w:pPr>
            <w:r>
              <w:rPr>
                <w:sz w:val="21"/>
              </w:rPr>
              <w:t>指被保险人因严重心肌炎性病变导致心功能损害造成持续的永久不可逆性的心功能衰竭。必须满足所有以下条件：</w:t>
            </w:r>
          </w:p>
          <w:p>
            <w:pPr>
              <w:pStyle w:val="TableParagraph"/>
              <w:spacing w:line="256" w:lineRule="auto" w:before="11"/>
              <w:ind w:left="636" w:right="209" w:hanging="524"/>
              <w:rPr>
                <w:sz w:val="21"/>
              </w:rPr>
            </w:pPr>
            <w:r>
              <w:rPr>
                <w:sz w:val="21"/>
              </w:rPr>
              <w:t>（</w:t>
            </w:r>
            <w:r>
              <w:rPr>
                <w:rFonts w:ascii="Cambria" w:eastAsia="Cambria"/>
                <w:sz w:val="21"/>
              </w:rPr>
              <w:t>1</w:t>
            </w:r>
            <w:r>
              <w:rPr>
                <w:sz w:val="21"/>
              </w:rPr>
              <w:t>）心功能衰竭程度达到纽约心脏病学会的心功能分级标准之心功能</w:t>
            </w:r>
            <w:r>
              <w:rPr>
                <w:rFonts w:ascii="Cambria" w:eastAsia="Cambria"/>
                <w:sz w:val="21"/>
              </w:rPr>
              <w:t>IV</w:t>
            </w:r>
            <w:r>
              <w:rPr>
                <w:sz w:val="21"/>
              </w:rPr>
              <w:t>级，或左室射血分数低于</w:t>
            </w:r>
            <w:r>
              <w:rPr>
                <w:rFonts w:ascii="Cambria" w:eastAsia="Cambria"/>
                <w:sz w:val="21"/>
              </w:rPr>
              <w:t>30%</w:t>
            </w:r>
            <w:r>
              <w:rPr>
                <w:sz w:val="21"/>
              </w:rPr>
              <w:t>；</w:t>
            </w:r>
          </w:p>
          <w:p>
            <w:pPr>
              <w:pStyle w:val="TableParagraph"/>
              <w:spacing w:before="2"/>
              <w:rPr>
                <w:sz w:val="21"/>
              </w:rPr>
            </w:pPr>
            <w:r>
              <w:rPr>
                <w:sz w:val="21"/>
              </w:rPr>
              <w:t>（</w:t>
            </w:r>
            <w:r>
              <w:rPr>
                <w:rFonts w:ascii="Cambria" w:eastAsia="Cambria"/>
                <w:sz w:val="21"/>
              </w:rPr>
              <w:t>2</w:t>
            </w:r>
            <w:r>
              <w:rPr>
                <w:sz w:val="21"/>
              </w:rPr>
              <w:t>）持续不间断</w:t>
            </w:r>
            <w:r>
              <w:rPr>
                <w:rFonts w:ascii="Cambria" w:eastAsia="Cambria"/>
                <w:sz w:val="21"/>
              </w:rPr>
              <w:t>180</w:t>
            </w:r>
            <w:r>
              <w:rPr>
                <w:sz w:val="21"/>
              </w:rPr>
              <w:t>天以上；</w:t>
            </w:r>
          </w:p>
          <w:p>
            <w:pPr>
              <w:pStyle w:val="TableParagraph"/>
              <w:spacing w:line="273" w:lineRule="auto" w:before="20"/>
              <w:ind w:left="636" w:right="204" w:hanging="524"/>
              <w:rPr>
                <w:sz w:val="21"/>
              </w:rPr>
            </w:pPr>
            <w:r>
              <w:rPr>
                <w:spacing w:val="-25"/>
                <w:sz w:val="21"/>
              </w:rPr>
              <w:t>（3）</w:t>
            </w:r>
            <w:r>
              <w:rPr>
                <w:spacing w:val="-9"/>
                <w:sz w:val="21"/>
              </w:rPr>
              <w:t>被保险人永久不可逆性的体力活动能力受限，不能从事任何体力活动。</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58.肝豆状核变性(或称</w:t>
            </w:r>
          </w:p>
          <w:p>
            <w:pPr>
              <w:pStyle w:val="TableParagraph"/>
              <w:spacing w:line="312" w:lineRule="exact"/>
              <w:ind w:left="200"/>
              <w:rPr>
                <w:rFonts w:ascii="Microsoft JhengHei" w:eastAsia="Microsoft JhengHei" w:hint="eastAsia"/>
                <w:b/>
                <w:sz w:val="21"/>
              </w:rPr>
            </w:pPr>
            <w:r>
              <w:rPr>
                <w:rFonts w:ascii="Microsoft JhengHei" w:eastAsia="Microsoft JhengHei" w:hint="eastAsia"/>
                <w:b/>
                <w:sz w:val="21"/>
              </w:rPr>
              <w:t>Wilson 病)</w:t>
            </w:r>
          </w:p>
        </w:tc>
        <w:tc>
          <w:tcPr>
            <w:tcW w:w="6166" w:type="dxa"/>
          </w:tcPr>
          <w:p>
            <w:pPr>
              <w:pStyle w:val="TableParagraph"/>
              <w:spacing w:line="271" w:lineRule="auto" w:before="152"/>
              <w:ind w:right="204"/>
              <w:jc w:val="both"/>
              <w:rPr>
                <w:sz w:val="21"/>
              </w:rPr>
            </w:pPr>
            <w:r>
              <w:rPr>
                <w:spacing w:val="-6"/>
                <w:sz w:val="21"/>
              </w:rPr>
              <w:t>指一种常染色体隐性遗传的铜代谢缺陷病，以不同程度的肝细胞</w:t>
            </w:r>
            <w:r>
              <w:rPr>
                <w:spacing w:val="-8"/>
                <w:sz w:val="21"/>
              </w:rPr>
              <w:t>损害、脑退行性病变和角膜边缘有铜盐沉着环为其临床特征，并</w:t>
            </w:r>
            <w:r>
              <w:rPr>
                <w:spacing w:val="-6"/>
                <w:sz w:val="21"/>
              </w:rPr>
              <w:t>须满足下列全部条件：</w:t>
            </w:r>
          </w:p>
          <w:p>
            <w:pPr>
              <w:pStyle w:val="TableParagraph"/>
              <w:spacing w:before="10"/>
              <w:jc w:val="both"/>
              <w:rPr>
                <w:sz w:val="21"/>
              </w:rPr>
            </w:pPr>
            <w:r>
              <w:rPr>
                <w:sz w:val="21"/>
              </w:rPr>
              <w:t>（1）典型症状；</w:t>
            </w:r>
          </w:p>
          <w:p>
            <w:pPr>
              <w:pStyle w:val="TableParagraph"/>
              <w:spacing w:before="37"/>
              <w:jc w:val="both"/>
              <w:rPr>
                <w:sz w:val="21"/>
              </w:rPr>
            </w:pPr>
            <w:r>
              <w:rPr>
                <w:w w:val="100"/>
                <w:sz w:val="21"/>
              </w:rPr>
              <w:t>（2）</w:t>
            </w:r>
            <w:r>
              <w:rPr>
                <w:spacing w:val="-2"/>
                <w:w w:val="100"/>
                <w:sz w:val="21"/>
              </w:rPr>
              <w:t>角膜色素环</w:t>
            </w:r>
            <w:r>
              <w:rPr>
                <w:w w:val="100"/>
                <w:sz w:val="21"/>
              </w:rPr>
              <w:t>（K</w:t>
            </w:r>
            <w:r>
              <w:rPr>
                <w:spacing w:val="-5"/>
                <w:w w:val="100"/>
                <w:sz w:val="21"/>
              </w:rPr>
              <w:t>-</w:t>
            </w:r>
            <w:r>
              <w:rPr>
                <w:w w:val="100"/>
                <w:sz w:val="21"/>
              </w:rPr>
              <w:t>F</w:t>
            </w:r>
            <w:r>
              <w:rPr>
                <w:sz w:val="21"/>
              </w:rPr>
              <w:t> </w:t>
            </w:r>
            <w:r>
              <w:rPr>
                <w:w w:val="100"/>
                <w:sz w:val="21"/>
              </w:rPr>
              <w:t>环</w:t>
            </w:r>
            <w:r>
              <w:rPr>
                <w:spacing w:val="-106"/>
                <w:w w:val="100"/>
                <w:sz w:val="21"/>
              </w:rPr>
              <w:t>）</w:t>
            </w:r>
            <w:r>
              <w:rPr>
                <w:w w:val="100"/>
                <w:sz w:val="21"/>
              </w:rPr>
              <w:t>；</w:t>
            </w:r>
          </w:p>
          <w:p>
            <w:pPr>
              <w:pStyle w:val="TableParagraph"/>
              <w:spacing w:before="37"/>
              <w:jc w:val="both"/>
              <w:rPr>
                <w:sz w:val="21"/>
              </w:rPr>
            </w:pPr>
            <w:r>
              <w:rPr>
                <w:sz w:val="21"/>
              </w:rPr>
              <w:t>（3）血清铜和血清铜蓝蛋白降低，尿铜增加；</w:t>
            </w:r>
          </w:p>
          <w:p>
            <w:pPr>
              <w:pStyle w:val="TableParagraph"/>
              <w:spacing w:before="37"/>
              <w:jc w:val="both"/>
              <w:rPr>
                <w:sz w:val="21"/>
              </w:rPr>
            </w:pPr>
            <w:r>
              <w:rPr>
                <w:sz w:val="21"/>
              </w:rPr>
              <w:t>（4）经肝脏活检确诊。</w:t>
            </w:r>
          </w:p>
        </w:tc>
      </w:tr>
      <w:tr>
        <w:trPr>
          <w:trHeight w:val="1046"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59.侵蚀性葡萄胎(或称恶</w:t>
            </w:r>
          </w:p>
          <w:p>
            <w:pPr>
              <w:pStyle w:val="TableParagraph"/>
              <w:spacing w:line="268" w:lineRule="exact"/>
              <w:ind w:left="200"/>
              <w:rPr>
                <w:rFonts w:ascii="Microsoft JhengHei" w:eastAsia="Microsoft JhengHei" w:hint="eastAsia"/>
                <w:b/>
                <w:sz w:val="21"/>
              </w:rPr>
            </w:pPr>
            <w:r>
              <w:rPr>
                <w:rFonts w:ascii="Microsoft JhengHei" w:eastAsia="Microsoft JhengHei" w:hint="eastAsia"/>
                <w:b/>
                <w:sz w:val="21"/>
              </w:rPr>
              <w:t>性葡萄胎)</w:t>
            </w:r>
          </w:p>
        </w:tc>
        <w:tc>
          <w:tcPr>
            <w:tcW w:w="6166" w:type="dxa"/>
          </w:tcPr>
          <w:p>
            <w:pPr>
              <w:pStyle w:val="TableParagraph"/>
              <w:spacing w:line="268" w:lineRule="auto" w:before="152"/>
              <w:ind w:right="205"/>
              <w:rPr>
                <w:sz w:val="21"/>
              </w:rPr>
            </w:pPr>
            <w:r>
              <w:rPr>
                <w:sz w:val="21"/>
              </w:rPr>
              <w:t>该类疾病是指异常增生的绒毛组织浸润性生长侵入子宫肌层或转移至其他器官或组织的葡萄胎，并已经进行化疗或手术治疗</w:t>
            </w:r>
          </w:p>
          <w:p>
            <w:pPr>
              <w:pStyle w:val="TableParagraph"/>
              <w:spacing w:line="255" w:lineRule="exact" w:before="11"/>
              <w:rPr>
                <w:sz w:val="21"/>
              </w:rPr>
            </w:pPr>
            <w:r>
              <w:rPr>
                <w:sz w:val="21"/>
              </w:rPr>
              <w:t>的。</w:t>
            </w:r>
          </w:p>
        </w:tc>
      </w:tr>
    </w:tbl>
    <w:p>
      <w:pPr>
        <w:spacing w:after="0" w:line="255" w:lineRule="exact"/>
        <w:rPr>
          <w:sz w:val="21"/>
        </w:rPr>
        <w:sectPr>
          <w:pgSz w:w="11910" w:h="16840"/>
          <w:pgMar w:header="0" w:footer="150" w:top="740" w:bottom="340" w:left="1680" w:right="15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1361"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60.破裂脑动</w:t>
            </w:r>
          </w:p>
          <w:p>
            <w:pPr>
              <w:pStyle w:val="TableParagraph"/>
              <w:spacing w:line="204" w:lineRule="auto" w:before="28"/>
              <w:ind w:left="200" w:right="218"/>
              <w:rPr>
                <w:rFonts w:ascii="Microsoft JhengHei" w:eastAsia="Microsoft JhengHei" w:hint="eastAsia"/>
                <w:b/>
                <w:sz w:val="21"/>
              </w:rPr>
            </w:pPr>
            <w:r>
              <w:rPr>
                <w:rFonts w:ascii="Microsoft JhengHei" w:eastAsia="Microsoft JhengHei" w:hint="eastAsia"/>
                <w:b/>
                <w:sz w:val="21"/>
              </w:rPr>
              <w:t>脉瘤夹闭手术</w:t>
            </w:r>
          </w:p>
        </w:tc>
        <w:tc>
          <w:tcPr>
            <w:tcW w:w="6267" w:type="dxa"/>
          </w:tcPr>
          <w:p>
            <w:pPr>
              <w:pStyle w:val="TableParagraph"/>
              <w:spacing w:line="211" w:lineRule="exact"/>
              <w:rPr>
                <w:sz w:val="21"/>
              </w:rPr>
            </w:pPr>
            <w:r>
              <w:rPr>
                <w:sz w:val="21"/>
              </w:rPr>
              <w:t>指因脑动脉瘤破裂造成蛛网膜下腔出血，被保险人实际接受了在</w:t>
            </w:r>
          </w:p>
          <w:p>
            <w:pPr>
              <w:pStyle w:val="TableParagraph"/>
              <w:spacing w:before="37"/>
              <w:rPr>
                <w:sz w:val="21"/>
              </w:rPr>
            </w:pPr>
            <w:r>
              <w:rPr>
                <w:sz w:val="21"/>
              </w:rPr>
              <w:t>全麻下进行的开颅动脉瘤夹闭手术。</w:t>
            </w:r>
          </w:p>
          <w:p>
            <w:pPr>
              <w:pStyle w:val="TableParagraph"/>
              <w:spacing w:line="273" w:lineRule="auto" w:before="37"/>
              <w:ind w:right="249"/>
              <w:rPr>
                <w:sz w:val="21"/>
              </w:rPr>
            </w:pPr>
            <w:r>
              <w:rPr>
                <w:sz w:val="21"/>
              </w:rPr>
              <w:t>脑动脉瘤（未破裂）预防性手术、颅骨打孔手术、动脉瘤栓塞手术、血管内手术及其他颅脑手术不在本保障范围内。</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61.需手术切除的嗜铬细胞瘤</w:t>
            </w:r>
          </w:p>
        </w:tc>
        <w:tc>
          <w:tcPr>
            <w:tcW w:w="6267" w:type="dxa"/>
          </w:tcPr>
          <w:p>
            <w:pPr>
              <w:pStyle w:val="TableParagraph"/>
              <w:spacing w:line="273" w:lineRule="auto" w:before="150"/>
              <w:ind w:right="303"/>
              <w:jc w:val="both"/>
              <w:rPr>
                <w:sz w:val="21"/>
              </w:rPr>
            </w:pPr>
            <w:r>
              <w:rPr>
                <w:spacing w:val="-6"/>
                <w:sz w:val="21"/>
              </w:rPr>
              <w:t>是指肾上腺或嗜铬外组织出现神经内分泌肿瘤，并分泌过多的儿</w:t>
            </w:r>
            <w:r>
              <w:rPr>
                <w:spacing w:val="-8"/>
                <w:sz w:val="21"/>
              </w:rPr>
              <w:t>茶酚胺类，需要并实际进行了手术切除肿瘤。嗜铬细胞瘤的诊断</w:t>
            </w:r>
            <w:r>
              <w:rPr>
                <w:spacing w:val="-6"/>
                <w:sz w:val="21"/>
              </w:rPr>
              <w:t>必须由内分泌专科医生确定。</w:t>
            </w:r>
          </w:p>
        </w:tc>
      </w:tr>
      <w:tr>
        <w:trPr>
          <w:trHeight w:val="2196" w:hRule="atLeast"/>
        </w:trPr>
        <w:tc>
          <w:tcPr>
            <w:tcW w:w="1475" w:type="dxa"/>
          </w:tcPr>
          <w:p>
            <w:pPr>
              <w:pStyle w:val="TableParagraph"/>
              <w:spacing w:line="204" w:lineRule="auto" w:before="138"/>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62.进行性核上性麻痹(Steele- </w:t>
            </w:r>
            <w:r>
              <w:rPr>
                <w:rFonts w:ascii="Microsoft JhengHei" w:hAnsi="Microsoft JhengHei" w:eastAsia="Microsoft JhengHei" w:hint="eastAsia"/>
                <w:b/>
                <w:w w:val="85"/>
                <w:sz w:val="21"/>
              </w:rPr>
              <w:t>Rchardson— </w:t>
            </w:r>
            <w:r>
              <w:rPr>
                <w:rFonts w:ascii="Microsoft JhengHei" w:hAnsi="Microsoft JhengHei" w:eastAsia="Microsoft JhengHei" w:hint="eastAsia"/>
                <w:b/>
                <w:sz w:val="21"/>
              </w:rPr>
              <w:t>Olszewski 综合征</w:t>
            </w:r>
            <w:r>
              <w:rPr>
                <w:rFonts w:ascii="Microsoft JhengHei" w:hAnsi="Microsoft JhengHei" w:eastAsia="Microsoft JhengHei" w:hint="eastAsia"/>
                <w:b/>
                <w:w w:val="115"/>
                <w:sz w:val="21"/>
              </w:rPr>
              <w:t>)</w:t>
            </w:r>
          </w:p>
        </w:tc>
        <w:tc>
          <w:tcPr>
            <w:tcW w:w="6267" w:type="dxa"/>
          </w:tcPr>
          <w:p>
            <w:pPr>
              <w:pStyle w:val="TableParagraph"/>
              <w:spacing w:line="271" w:lineRule="auto" w:before="150"/>
              <w:ind w:right="199"/>
              <w:rPr>
                <w:sz w:val="21"/>
              </w:rPr>
            </w:pPr>
            <w:r>
              <w:rPr>
                <w:spacing w:val="-10"/>
                <w:sz w:val="21"/>
              </w:rPr>
              <w:t>进行性核上性麻痹</w:t>
            </w:r>
            <w:r>
              <w:rPr>
                <w:spacing w:val="-16"/>
                <w:sz w:val="21"/>
              </w:rPr>
              <w:t>（PSP）又称 </w:t>
            </w:r>
            <w:r>
              <w:rPr>
                <w:sz w:val="21"/>
              </w:rPr>
              <w:t>Steele-Rchardson—Olszewski</w:t>
            </w:r>
            <w:r>
              <w:rPr>
                <w:spacing w:val="-24"/>
                <w:sz w:val="21"/>
              </w:rPr>
              <w:t> 综</w:t>
            </w:r>
            <w:r>
              <w:rPr>
                <w:spacing w:val="-11"/>
                <w:sz w:val="21"/>
              </w:rPr>
              <w:t>合征，是一种少见的神经系统变性疾病，以假球麻痹、垂直性核</w:t>
            </w:r>
            <w:r>
              <w:rPr>
                <w:spacing w:val="-10"/>
                <w:sz w:val="21"/>
              </w:rPr>
              <w:t>上性眼肌麻痹、锥体外系肌僵直、步态共济失调和轻度痴呆为主</w:t>
            </w:r>
            <w:r>
              <w:rPr>
                <w:spacing w:val="-24"/>
                <w:sz w:val="21"/>
              </w:rPr>
              <w:t>要临床特征。</w:t>
            </w:r>
            <w:r>
              <w:rPr>
                <w:sz w:val="21"/>
              </w:rPr>
              <w:t>PSP</w:t>
            </w:r>
            <w:r>
              <w:rPr>
                <w:spacing w:val="-6"/>
                <w:sz w:val="21"/>
              </w:rPr>
              <w:t> 必须由三级甲等医院的神经内科专科医生确诊， </w:t>
            </w:r>
            <w:r>
              <w:rPr>
                <w:spacing w:val="-7"/>
                <w:sz w:val="21"/>
              </w:rPr>
              <w:t>并且被保险人自主生活能力完全丧失，无法独立完成六项基本日</w:t>
            </w:r>
            <w:r>
              <w:rPr>
                <w:spacing w:val="-6"/>
                <w:sz w:val="21"/>
              </w:rPr>
              <w:t>常生活活动中的三项或三项以上。</w:t>
            </w:r>
          </w:p>
        </w:tc>
      </w:tr>
      <w:tr>
        <w:trPr>
          <w:trHeight w:val="1574"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63.严重幼年型类风湿性关节炎</w:t>
            </w:r>
          </w:p>
        </w:tc>
        <w:tc>
          <w:tcPr>
            <w:tcW w:w="6267" w:type="dxa"/>
          </w:tcPr>
          <w:p>
            <w:pPr>
              <w:pStyle w:val="TableParagraph"/>
              <w:spacing w:line="268" w:lineRule="auto" w:before="152"/>
              <w:ind w:right="270"/>
              <w:rPr>
                <w:sz w:val="21"/>
              </w:rPr>
            </w:pPr>
            <w:r>
              <w:rPr>
                <w:sz w:val="21"/>
              </w:rPr>
              <w:t>幼年型类风湿关节炎是一种儿童期发病的慢性关节炎，其特点为在高热和系统性病征出现数月后发生关节炎。</w:t>
            </w:r>
          </w:p>
          <w:p>
            <w:pPr>
              <w:pStyle w:val="TableParagraph"/>
              <w:spacing w:line="273" w:lineRule="auto" w:before="11"/>
              <w:ind w:right="306"/>
              <w:rPr>
                <w:sz w:val="21"/>
              </w:rPr>
            </w:pPr>
            <w:r>
              <w:rPr>
                <w:sz w:val="21"/>
              </w:rPr>
              <w:t>本保单仅对实际接受了膝关节或髋关节置换手术治疗的严重的幼年型类风湿关节炎予以理赔。</w:t>
            </w:r>
          </w:p>
        </w:tc>
      </w:tr>
      <w:tr>
        <w:trPr>
          <w:trHeight w:val="2510"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64.严重肠道疾病并发症</w:t>
            </w:r>
          </w:p>
          <w:p>
            <w:pPr>
              <w:pStyle w:val="TableParagraph"/>
              <w:spacing w:line="204" w:lineRule="auto" w:before="1"/>
              <w:ind w:left="200" w:right="64"/>
              <w:rPr>
                <w:rFonts w:ascii="Microsoft JhengHei" w:eastAsia="Microsoft JhengHei" w:hint="eastAsia"/>
                <w:b/>
                <w:sz w:val="21"/>
              </w:rPr>
            </w:pPr>
            <w:r>
              <w:rPr>
                <w:rFonts w:ascii="Microsoft JhengHei" w:eastAsia="Microsoft JhengHei" w:hint="eastAsia"/>
                <w:b/>
                <w:w w:val="120"/>
                <w:sz w:val="21"/>
              </w:rPr>
              <w:t>(</w:t>
            </w:r>
            <w:r>
              <w:rPr>
                <w:rFonts w:ascii="Microsoft JhengHei" w:eastAsia="Microsoft JhengHei" w:hint="eastAsia"/>
                <w:b/>
                <w:sz w:val="21"/>
              </w:rPr>
              <w:t>本项保险责任仅在被保险人 18 周岁以前提供保障</w:t>
            </w:r>
            <w:r>
              <w:rPr>
                <w:rFonts w:ascii="Microsoft JhengHei" w:eastAsia="Microsoft JhengHei" w:hint="eastAsia"/>
                <w:b/>
                <w:w w:val="120"/>
                <w:sz w:val="21"/>
              </w:rPr>
              <w:t>)</w:t>
            </w:r>
          </w:p>
        </w:tc>
        <w:tc>
          <w:tcPr>
            <w:tcW w:w="6267" w:type="dxa"/>
          </w:tcPr>
          <w:p>
            <w:pPr>
              <w:pStyle w:val="TableParagraph"/>
              <w:spacing w:line="268" w:lineRule="auto" w:before="152"/>
              <w:ind w:right="256"/>
              <w:rPr>
                <w:sz w:val="21"/>
              </w:rPr>
            </w:pPr>
            <w:r>
              <w:rPr>
                <w:sz w:val="21"/>
              </w:rPr>
              <w:t>严重肠道疾病或外伤导致小肠损害并发症，必须满足以下所有条件：</w:t>
            </w:r>
          </w:p>
          <w:p>
            <w:pPr>
              <w:pStyle w:val="TableParagraph"/>
              <w:spacing w:before="11"/>
              <w:rPr>
                <w:sz w:val="21"/>
              </w:rPr>
            </w:pPr>
            <w:r>
              <w:rPr>
                <w:sz w:val="21"/>
              </w:rPr>
              <w:t>（1）至少切除了三分之二小肠；</w:t>
            </w:r>
          </w:p>
          <w:p>
            <w:pPr>
              <w:pStyle w:val="TableParagraph"/>
              <w:spacing w:before="36"/>
              <w:rPr>
                <w:sz w:val="21"/>
              </w:rPr>
            </w:pPr>
            <w:r>
              <w:rPr>
                <w:sz w:val="21"/>
              </w:rPr>
              <w:t>（2）完全肠外营养支持 3 个月以上。</w:t>
            </w:r>
          </w:p>
          <w:p>
            <w:pPr>
              <w:pStyle w:val="TableParagraph"/>
              <w:spacing w:before="37"/>
              <w:rPr>
                <w:sz w:val="21"/>
              </w:rPr>
            </w:pPr>
            <w:r>
              <w:rPr>
                <w:sz w:val="21"/>
              </w:rPr>
              <w:t>本项保险责任仅在被保险人 18 周岁以前提供保障。</w:t>
            </w:r>
          </w:p>
        </w:tc>
      </w:tr>
      <w:tr>
        <w:trPr>
          <w:trHeight w:val="2823" w:hRule="atLeast"/>
        </w:trPr>
        <w:tc>
          <w:tcPr>
            <w:tcW w:w="1475" w:type="dxa"/>
          </w:tcPr>
          <w:p>
            <w:pPr>
              <w:pStyle w:val="TableParagraph"/>
              <w:spacing w:line="201" w:lineRule="auto" w:before="144"/>
              <w:ind w:left="200" w:right="112"/>
              <w:jc w:val="both"/>
              <w:rPr>
                <w:rFonts w:ascii="Microsoft JhengHei" w:eastAsia="Microsoft JhengHei" w:hint="eastAsia"/>
                <w:b/>
                <w:sz w:val="21"/>
              </w:rPr>
            </w:pPr>
            <w:r>
              <w:rPr>
                <w:rFonts w:ascii="Microsoft JhengHei" w:eastAsia="Microsoft JhengHei" w:hint="eastAsia"/>
                <w:b/>
                <w:sz w:val="21"/>
              </w:rPr>
              <w:t>65.严重瑞氏综合症</w:t>
            </w:r>
          </w:p>
          <w:p>
            <w:pPr>
              <w:pStyle w:val="TableParagraph"/>
              <w:spacing w:line="204" w:lineRule="auto" w:before="1"/>
              <w:ind w:left="200" w:right="163"/>
              <w:jc w:val="both"/>
              <w:rPr>
                <w:rFonts w:ascii="Microsoft JhengHei" w:eastAsia="Microsoft JhengHei" w:hint="eastAsia"/>
                <w:b/>
                <w:sz w:val="21"/>
              </w:rPr>
            </w:pPr>
            <w:r>
              <w:rPr>
                <w:rFonts w:ascii="Microsoft JhengHei" w:eastAsia="Microsoft JhengHei" w:hint="eastAsia"/>
                <w:b/>
                <w:w w:val="95"/>
                <w:sz w:val="21"/>
              </w:rPr>
              <w:t>（Reye</w:t>
            </w:r>
            <w:r>
              <w:rPr>
                <w:rFonts w:ascii="Microsoft JhengHei" w:eastAsia="Microsoft JhengHei" w:hint="eastAsia"/>
                <w:b/>
                <w:spacing w:val="-4"/>
                <w:w w:val="95"/>
                <w:sz w:val="21"/>
              </w:rPr>
              <w:t> 综合</w:t>
            </w:r>
            <w:r>
              <w:rPr>
                <w:rFonts w:ascii="Microsoft JhengHei" w:eastAsia="Microsoft JhengHei" w:hint="eastAsia"/>
                <w:b/>
                <w:spacing w:val="-4"/>
                <w:sz w:val="21"/>
              </w:rPr>
              <w:t>征，也称赖氏综合征、雷氏综合</w:t>
            </w:r>
          </w:p>
          <w:p>
            <w:pPr>
              <w:pStyle w:val="TableParagraph"/>
              <w:spacing w:line="312" w:lineRule="exact"/>
              <w:ind w:left="200"/>
              <w:jc w:val="both"/>
              <w:rPr>
                <w:rFonts w:ascii="Microsoft JhengHei" w:eastAsia="Microsoft JhengHei" w:hint="eastAsia"/>
                <w:b/>
                <w:sz w:val="21"/>
              </w:rPr>
            </w:pPr>
            <w:r>
              <w:rPr>
                <w:rFonts w:ascii="Microsoft JhengHei" w:eastAsia="Microsoft JhengHei" w:hint="eastAsia"/>
                <w:b/>
                <w:sz w:val="21"/>
              </w:rPr>
              <w:t>征）</w:t>
            </w:r>
          </w:p>
        </w:tc>
        <w:tc>
          <w:tcPr>
            <w:tcW w:w="6267" w:type="dxa"/>
          </w:tcPr>
          <w:p>
            <w:pPr>
              <w:pStyle w:val="TableParagraph"/>
              <w:spacing w:line="271" w:lineRule="auto" w:before="152"/>
              <w:ind w:right="200"/>
              <w:rPr>
                <w:sz w:val="21"/>
              </w:rPr>
            </w:pPr>
            <w:r>
              <w:rPr>
                <w:spacing w:val="-6"/>
                <w:sz w:val="21"/>
              </w:rPr>
              <w:t>瑞氏综合征是线粒体功能障碍性疾病。导致脂肪代谢障碍，引起</w:t>
            </w:r>
            <w:r>
              <w:rPr>
                <w:spacing w:val="-15"/>
                <w:sz w:val="21"/>
              </w:rPr>
              <w:t>短链脂肪酸、血氨升高，造成脑水肿。主要临床表现为急性发热、</w:t>
            </w:r>
            <w:r>
              <w:rPr>
                <w:spacing w:val="-9"/>
                <w:sz w:val="21"/>
              </w:rPr>
              <w:t>反复呕吐、惊厥及意识障碍等等。</w:t>
            </w:r>
          </w:p>
          <w:p>
            <w:pPr>
              <w:pStyle w:val="TableParagraph"/>
              <w:spacing w:line="273" w:lineRule="auto" w:before="9"/>
              <w:ind w:right="256"/>
              <w:rPr>
                <w:sz w:val="21"/>
              </w:rPr>
            </w:pPr>
            <w:r>
              <w:rPr>
                <w:sz w:val="21"/>
              </w:rPr>
              <w:t>瑞氏综合征需由三级医院的儿科专科医生确诊，并符合下列所有条件：</w:t>
            </w:r>
          </w:p>
          <w:p>
            <w:pPr>
              <w:pStyle w:val="TableParagraph"/>
              <w:spacing w:before="7"/>
              <w:rPr>
                <w:sz w:val="21"/>
              </w:rPr>
            </w:pPr>
            <w:r>
              <w:rPr>
                <w:sz w:val="21"/>
              </w:rPr>
              <w:t>（1）有脑水肿和颅内压升高的脑脊液检查和影像学检查证据；</w:t>
            </w:r>
          </w:p>
          <w:p>
            <w:pPr>
              <w:pStyle w:val="TableParagraph"/>
              <w:spacing w:before="37"/>
              <w:rPr>
                <w:sz w:val="21"/>
              </w:rPr>
            </w:pPr>
            <w:r>
              <w:rPr>
                <w:sz w:val="21"/>
              </w:rPr>
              <w:t>（2）血氨超过正常值的 3 倍；</w:t>
            </w:r>
          </w:p>
          <w:p>
            <w:pPr>
              <w:pStyle w:val="TableParagraph"/>
              <w:spacing w:before="36"/>
              <w:rPr>
                <w:sz w:val="21"/>
              </w:rPr>
            </w:pPr>
            <w:r>
              <w:rPr>
                <w:sz w:val="21"/>
              </w:rPr>
              <w:t>（3）临床出现昏迷，病程至少达到疾病分期第 3 期。</w:t>
            </w:r>
          </w:p>
        </w:tc>
      </w:tr>
      <w:tr>
        <w:trPr>
          <w:trHeight w:val="291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66.严重自身免疫性肝炎</w:t>
            </w:r>
          </w:p>
        </w:tc>
        <w:tc>
          <w:tcPr>
            <w:tcW w:w="6267" w:type="dxa"/>
          </w:tcPr>
          <w:p>
            <w:pPr>
              <w:pStyle w:val="TableParagraph"/>
              <w:spacing w:line="271" w:lineRule="auto" w:before="152"/>
              <w:ind w:right="200"/>
              <w:jc w:val="both"/>
              <w:rPr>
                <w:sz w:val="21"/>
              </w:rPr>
            </w:pPr>
            <w:r>
              <w:rPr>
                <w:spacing w:val="-5"/>
                <w:sz w:val="21"/>
              </w:rPr>
              <w:t>自身免疫性肝炎是一种原因不明的慢性肝脏的坏死性炎性疾病， </w:t>
            </w:r>
            <w:r>
              <w:rPr>
                <w:spacing w:val="-9"/>
                <w:sz w:val="21"/>
              </w:rPr>
              <w:t>机体免疫机制被破坏，产生针对肝脏自身抗原的抗体导致自身免</w:t>
            </w:r>
            <w:r>
              <w:rPr>
                <w:spacing w:val="-15"/>
                <w:sz w:val="21"/>
              </w:rPr>
              <w:t>疫反应，从而破坏肝细胞造成肝脏炎症坏死，进而发展为肝硬化。</w:t>
            </w:r>
            <w:r>
              <w:rPr>
                <w:spacing w:val="-9"/>
                <w:sz w:val="21"/>
              </w:rPr>
              <w:t>必须满足所有以下条件：</w:t>
            </w:r>
          </w:p>
          <w:p>
            <w:pPr>
              <w:pStyle w:val="TableParagraph"/>
              <w:spacing w:before="9"/>
              <w:jc w:val="both"/>
              <w:rPr>
                <w:sz w:val="21"/>
              </w:rPr>
            </w:pPr>
            <w:r>
              <w:rPr>
                <w:sz w:val="21"/>
              </w:rPr>
              <w:t>（</w:t>
            </w:r>
            <w:r>
              <w:rPr>
                <w:rFonts w:ascii="Cambria" w:hAnsi="Cambria" w:eastAsia="Cambria"/>
                <w:sz w:val="21"/>
              </w:rPr>
              <w:t>1</w:t>
            </w:r>
            <w:r>
              <w:rPr>
                <w:sz w:val="21"/>
              </w:rPr>
              <w:t>）高γ球蛋白血症；</w:t>
            </w:r>
          </w:p>
          <w:p>
            <w:pPr>
              <w:pStyle w:val="TableParagraph"/>
              <w:spacing w:before="19"/>
              <w:jc w:val="both"/>
              <w:rPr>
                <w:sz w:val="21"/>
              </w:rPr>
            </w:pPr>
            <w:r>
              <w:rPr>
                <w:sz w:val="21"/>
              </w:rPr>
              <w:t>（</w:t>
            </w:r>
            <w:r>
              <w:rPr>
                <w:rFonts w:ascii="Cambria" w:eastAsia="Cambria"/>
                <w:sz w:val="21"/>
              </w:rPr>
              <w:t>2</w:t>
            </w:r>
            <w:r>
              <w:rPr>
                <w:sz w:val="21"/>
              </w:rPr>
              <w:t>）血液中存在高水平的自身免疫抗体，如</w:t>
            </w:r>
            <w:r>
              <w:rPr>
                <w:rFonts w:ascii="Cambria" w:eastAsia="Cambria"/>
                <w:sz w:val="21"/>
              </w:rPr>
              <w:t>ANA</w:t>
            </w:r>
            <w:r>
              <w:rPr>
                <w:sz w:val="21"/>
              </w:rPr>
              <w:t>（抗核抗体）、</w:t>
            </w:r>
          </w:p>
          <w:p>
            <w:pPr>
              <w:pStyle w:val="TableParagraph"/>
              <w:spacing w:before="19"/>
              <w:ind w:left="636"/>
              <w:rPr>
                <w:sz w:val="21"/>
              </w:rPr>
            </w:pPr>
            <w:r>
              <w:rPr>
                <w:rFonts w:ascii="Cambria" w:eastAsia="Cambria"/>
                <w:sz w:val="21"/>
              </w:rPr>
              <w:t>SMA</w:t>
            </w:r>
            <w:r>
              <w:rPr>
                <w:sz w:val="21"/>
              </w:rPr>
              <w:t>（抗平滑肌抗体）、抗</w:t>
            </w:r>
            <w:r>
              <w:rPr>
                <w:rFonts w:ascii="Cambria" w:eastAsia="Cambria"/>
                <w:sz w:val="21"/>
              </w:rPr>
              <w:t>LKM1</w:t>
            </w:r>
            <w:r>
              <w:rPr>
                <w:sz w:val="21"/>
              </w:rPr>
              <w:t>抗体或抗</w:t>
            </w:r>
            <w:r>
              <w:rPr>
                <w:rFonts w:ascii="Cambria" w:eastAsia="Cambria"/>
                <w:sz w:val="21"/>
              </w:rPr>
              <w:t>-SLA/LP</w:t>
            </w:r>
            <w:r>
              <w:rPr>
                <w:sz w:val="21"/>
              </w:rPr>
              <w:t>抗体；</w:t>
            </w:r>
          </w:p>
          <w:p>
            <w:pPr>
              <w:pStyle w:val="TableParagraph"/>
              <w:spacing w:before="20"/>
              <w:jc w:val="both"/>
              <w:rPr>
                <w:sz w:val="21"/>
              </w:rPr>
            </w:pPr>
            <w:r>
              <w:rPr>
                <w:sz w:val="21"/>
              </w:rPr>
              <w:t>（</w:t>
            </w:r>
            <w:r>
              <w:rPr>
                <w:rFonts w:ascii="Cambria" w:eastAsia="Cambria"/>
                <w:sz w:val="21"/>
              </w:rPr>
              <w:t>3</w:t>
            </w:r>
            <w:r>
              <w:rPr>
                <w:sz w:val="21"/>
              </w:rPr>
              <w:t>）肝脏活检证实免疫性肝炎；</w:t>
            </w:r>
          </w:p>
          <w:p>
            <w:pPr>
              <w:pStyle w:val="TableParagraph"/>
              <w:spacing w:line="255" w:lineRule="exact" w:before="20"/>
              <w:jc w:val="both"/>
              <w:rPr>
                <w:sz w:val="21"/>
              </w:rPr>
            </w:pPr>
            <w:r>
              <w:rPr>
                <w:sz w:val="21"/>
              </w:rPr>
              <w:t>（4）临床已经出现腹水、食道静脉曲张和脾肿大等肝硬化表现。</w:t>
            </w:r>
          </w:p>
        </w:tc>
      </w:tr>
    </w:tbl>
    <w:p>
      <w:pPr>
        <w:spacing w:after="0" w:line="255" w:lineRule="exact"/>
        <w:jc w:val="both"/>
        <w:rPr>
          <w:sz w:val="21"/>
        </w:rPr>
        <w:sectPr>
          <w:pgSz w:w="11910" w:h="16840"/>
          <w:pgMar w:header="0" w:footer="150" w:top="106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7"/>
      </w:tblGrid>
      <w:tr>
        <w:trPr>
          <w:trHeight w:val="3855"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67.严重慢性</w:t>
            </w:r>
          </w:p>
          <w:p>
            <w:pPr>
              <w:pStyle w:val="TableParagraph"/>
              <w:spacing w:line="204" w:lineRule="auto" w:before="25"/>
              <w:ind w:left="200" w:right="216"/>
              <w:rPr>
                <w:rFonts w:ascii="Microsoft JhengHei" w:eastAsia="Microsoft JhengHei" w:hint="eastAsia"/>
                <w:b/>
                <w:sz w:val="21"/>
              </w:rPr>
            </w:pPr>
            <w:r>
              <w:rPr>
                <w:rFonts w:ascii="Microsoft JhengHei" w:eastAsia="Microsoft JhengHei" w:hint="eastAsia"/>
                <w:b/>
                <w:sz w:val="21"/>
              </w:rPr>
              <w:t>缩窄型心包炎</w:t>
            </w:r>
          </w:p>
        </w:tc>
        <w:tc>
          <w:tcPr>
            <w:tcW w:w="6267" w:type="dxa"/>
          </w:tcPr>
          <w:p>
            <w:pPr>
              <w:pStyle w:val="TableParagraph"/>
              <w:spacing w:line="211" w:lineRule="exact"/>
              <w:rPr>
                <w:sz w:val="21"/>
              </w:rPr>
            </w:pPr>
            <w:r>
              <w:rPr>
                <w:sz w:val="21"/>
              </w:rPr>
              <w:t>由于慢性心包炎症导致心包脏层和壁层广泛瘢痕粘连、增厚和钙</w:t>
            </w:r>
          </w:p>
          <w:p>
            <w:pPr>
              <w:pStyle w:val="TableParagraph"/>
              <w:spacing w:line="273" w:lineRule="auto" w:before="32"/>
              <w:ind w:right="270"/>
              <w:rPr>
                <w:sz w:val="21"/>
              </w:rPr>
            </w:pPr>
            <w:r>
              <w:rPr>
                <w:sz w:val="21"/>
              </w:rPr>
              <w:t>化，心包腔闭塞，形成一个纤维瘢痕外壳，使心脏和大血管根部受压，阻碍心脏的舒张。</w:t>
            </w:r>
          </w:p>
          <w:p>
            <w:pPr>
              <w:pStyle w:val="TableParagraph"/>
              <w:spacing w:line="273" w:lineRule="auto" w:before="7"/>
              <w:ind w:right="306"/>
              <w:rPr>
                <w:sz w:val="21"/>
              </w:rPr>
            </w:pPr>
            <w:r>
              <w:rPr>
                <w:sz w:val="21"/>
              </w:rPr>
              <w:t>被保险人被明确诊断为慢性缩窄性心包炎且必须满足以下所有条件：</w:t>
            </w:r>
          </w:p>
          <w:p>
            <w:pPr>
              <w:pStyle w:val="TableParagraph"/>
              <w:spacing w:line="256" w:lineRule="auto" w:before="8"/>
              <w:ind w:right="146"/>
              <w:rPr>
                <w:sz w:val="21"/>
              </w:rPr>
            </w:pPr>
            <w:r>
              <w:rPr>
                <w:sz w:val="21"/>
              </w:rPr>
              <w:t>（</w:t>
            </w:r>
            <w:r>
              <w:rPr>
                <w:rFonts w:ascii="Cambria" w:eastAsia="Cambria"/>
                <w:sz w:val="21"/>
              </w:rPr>
              <w:t>1</w:t>
            </w:r>
            <w:r>
              <w:rPr>
                <w:sz w:val="21"/>
              </w:rPr>
              <w:t>）心功能衰竭达到美国纽约心脏病学会心功能状态分级</w:t>
            </w:r>
            <w:r>
              <w:rPr>
                <w:rFonts w:ascii="Cambria" w:eastAsia="Cambria"/>
                <w:sz w:val="21"/>
              </w:rPr>
              <w:t>IV</w:t>
            </w:r>
            <w:r>
              <w:rPr>
                <w:sz w:val="21"/>
              </w:rPr>
              <w:t>级， 并持续</w:t>
            </w:r>
            <w:r>
              <w:rPr>
                <w:rFonts w:ascii="Cambria" w:eastAsia="Cambria"/>
                <w:sz w:val="21"/>
              </w:rPr>
              <w:t>180</w:t>
            </w:r>
            <w:r>
              <w:rPr>
                <w:sz w:val="21"/>
              </w:rPr>
              <w:t>天以上；</w:t>
            </w:r>
          </w:p>
          <w:p>
            <w:pPr>
              <w:pStyle w:val="TableParagraph"/>
              <w:spacing w:line="256" w:lineRule="auto" w:before="3"/>
              <w:ind w:right="310"/>
              <w:rPr>
                <w:sz w:val="21"/>
              </w:rPr>
            </w:pPr>
            <w:r>
              <w:rPr>
                <w:sz w:val="21"/>
              </w:rPr>
              <w:t>（</w:t>
            </w:r>
            <w:r>
              <w:rPr>
                <w:rFonts w:ascii="Cambria" w:eastAsia="Cambria"/>
                <w:sz w:val="21"/>
              </w:rPr>
              <w:t>2</w:t>
            </w:r>
            <w:r>
              <w:rPr>
                <w:sz w:val="21"/>
              </w:rPr>
              <w:t>）实际接受了以下任何一种手术路径的心包剥脱或心包切除手术；</w:t>
            </w:r>
          </w:p>
          <w:p>
            <w:pPr>
              <w:pStyle w:val="TableParagraph"/>
              <w:spacing w:before="22"/>
              <w:ind w:left="641"/>
              <w:rPr>
                <w:sz w:val="21"/>
              </w:rPr>
            </w:pPr>
            <w:r>
              <w:rPr>
                <w:sz w:val="21"/>
              </w:rPr>
              <w:t>胸骨正中切口；双侧前胸切口；左前胸肋间切口。</w:t>
            </w:r>
          </w:p>
          <w:p>
            <w:pPr>
              <w:pStyle w:val="TableParagraph"/>
              <w:spacing w:line="273" w:lineRule="auto" w:before="37"/>
              <w:ind w:right="256"/>
              <w:rPr>
                <w:sz w:val="21"/>
              </w:rPr>
            </w:pPr>
            <w:r>
              <w:rPr>
                <w:sz w:val="21"/>
              </w:rPr>
              <w:t>经胸腔镜、胸壁打孔进行的手术、心包粘连松解手术不在保障范围内。</w:t>
            </w:r>
          </w:p>
        </w:tc>
      </w:tr>
      <w:tr>
        <w:trPr>
          <w:trHeight w:val="1887"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68.坏死性筋膜炎</w:t>
            </w:r>
          </w:p>
        </w:tc>
        <w:tc>
          <w:tcPr>
            <w:tcW w:w="6267" w:type="dxa"/>
          </w:tcPr>
          <w:p>
            <w:pPr>
              <w:pStyle w:val="TableParagraph"/>
              <w:spacing w:before="152"/>
              <w:rPr>
                <w:sz w:val="21"/>
              </w:rPr>
            </w:pPr>
            <w:r>
              <w:rPr>
                <w:sz w:val="21"/>
              </w:rPr>
              <w:t>坏死性筋膜炎的诊断须满足下列全部条件：</w:t>
            </w:r>
          </w:p>
          <w:p>
            <w:pPr>
              <w:pStyle w:val="TableParagraph"/>
              <w:numPr>
                <w:ilvl w:val="0"/>
                <w:numId w:val="17"/>
              </w:numPr>
              <w:tabs>
                <w:tab w:pos="757" w:val="left" w:leader="none"/>
              </w:tabs>
              <w:spacing w:line="240" w:lineRule="auto" w:before="32" w:after="0"/>
              <w:ind w:left="742" w:right="0" w:hanging="630"/>
              <w:jc w:val="left"/>
              <w:rPr>
                <w:sz w:val="21"/>
              </w:rPr>
            </w:pPr>
            <w:r>
              <w:rPr>
                <w:spacing w:val="-5"/>
                <w:sz w:val="21"/>
              </w:rPr>
              <w:t>符合坏死性筋膜炎的一般临床表现；</w:t>
            </w:r>
          </w:p>
          <w:p>
            <w:pPr>
              <w:pStyle w:val="TableParagraph"/>
              <w:numPr>
                <w:ilvl w:val="0"/>
                <w:numId w:val="17"/>
              </w:numPr>
              <w:tabs>
                <w:tab w:pos="757" w:val="left" w:leader="none"/>
              </w:tabs>
              <w:spacing w:line="240" w:lineRule="auto" w:before="20" w:after="0"/>
              <w:ind w:left="742" w:right="0" w:hanging="630"/>
              <w:jc w:val="left"/>
              <w:rPr>
                <w:sz w:val="21"/>
              </w:rPr>
            </w:pPr>
            <w:r>
              <w:rPr>
                <w:spacing w:val="-3"/>
                <w:sz w:val="21"/>
              </w:rPr>
              <w:t>细菌培养检出致病菌；</w:t>
            </w:r>
          </w:p>
          <w:p>
            <w:pPr>
              <w:pStyle w:val="TableParagraph"/>
              <w:numPr>
                <w:ilvl w:val="0"/>
                <w:numId w:val="17"/>
              </w:numPr>
              <w:tabs>
                <w:tab w:pos="728" w:val="left" w:leader="none"/>
              </w:tabs>
              <w:spacing w:line="256" w:lineRule="auto" w:before="19" w:after="0"/>
              <w:ind w:left="742" w:right="305" w:hanging="630"/>
              <w:jc w:val="left"/>
              <w:rPr>
                <w:sz w:val="21"/>
              </w:rPr>
            </w:pPr>
            <w:r>
              <w:rPr>
                <w:spacing w:val="-6"/>
                <w:sz w:val="21"/>
              </w:rPr>
              <w:t>出现广泛性肌肉及软组织坏死，并导致身体受影响部位功</w:t>
            </w:r>
            <w:r>
              <w:rPr>
                <w:spacing w:val="-5"/>
                <w:sz w:val="21"/>
              </w:rPr>
              <w:t>能永久不可逆性丧失。</w:t>
            </w:r>
          </w:p>
        </w:tc>
      </w:tr>
      <w:tr>
        <w:trPr>
          <w:trHeight w:val="4693"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69.严重感染性心内膜炎</w:t>
            </w:r>
          </w:p>
        </w:tc>
        <w:tc>
          <w:tcPr>
            <w:tcW w:w="6267" w:type="dxa"/>
          </w:tcPr>
          <w:p>
            <w:pPr>
              <w:pStyle w:val="TableParagraph"/>
              <w:spacing w:before="152"/>
              <w:rPr>
                <w:sz w:val="21"/>
              </w:rPr>
            </w:pPr>
            <w:r>
              <w:rPr>
                <w:sz w:val="21"/>
              </w:rPr>
              <w:t>因感染性病原体造成心脏内膜发炎，并符合下列所有条件：</w:t>
            </w:r>
          </w:p>
          <w:p>
            <w:pPr>
              <w:pStyle w:val="TableParagraph"/>
              <w:spacing w:before="32"/>
              <w:rPr>
                <w:sz w:val="21"/>
              </w:rPr>
            </w:pPr>
            <w:r>
              <w:rPr>
                <w:sz w:val="21"/>
              </w:rPr>
              <w:t>（1）血液培养测试结果为阳性，证实存在感染病原体：</w:t>
            </w:r>
          </w:p>
          <w:p>
            <w:pPr>
              <w:pStyle w:val="TableParagraph"/>
              <w:spacing w:line="273" w:lineRule="auto" w:before="36"/>
              <w:ind w:left="741" w:right="261" w:hanging="207"/>
              <w:rPr>
                <w:sz w:val="21"/>
              </w:rPr>
            </w:pPr>
            <w:r>
              <w:rPr>
                <w:sz w:val="21"/>
              </w:rPr>
              <w:t>①微生物：在赘生物、栓塞的赘生物或心脏内脓疡经培养或组织检查证实有微生物；或</w:t>
            </w:r>
          </w:p>
          <w:p>
            <w:pPr>
              <w:pStyle w:val="TableParagraph"/>
              <w:spacing w:line="273" w:lineRule="auto" w:before="7"/>
              <w:ind w:left="741" w:right="252" w:hanging="212"/>
              <w:rPr>
                <w:sz w:val="21"/>
              </w:rPr>
            </w:pPr>
            <w:r>
              <w:rPr>
                <w:sz w:val="21"/>
              </w:rPr>
              <w:t>②病理性病灶：组织病理学检查证实赘生物或心脏内脓疡有活动性心内膜炎；或</w:t>
            </w:r>
          </w:p>
          <w:p>
            <w:pPr>
              <w:pStyle w:val="TableParagraph"/>
              <w:spacing w:line="273" w:lineRule="auto" w:before="8"/>
              <w:ind w:left="741" w:right="310" w:hanging="207"/>
              <w:rPr>
                <w:sz w:val="21"/>
              </w:rPr>
            </w:pPr>
            <w:r>
              <w:rPr>
                <w:sz w:val="21"/>
              </w:rPr>
              <w:t>③分别两次血液培养证实有典型的病原体且与心内膜炎吻合；或</w:t>
            </w:r>
          </w:p>
          <w:p>
            <w:pPr>
              <w:pStyle w:val="TableParagraph"/>
              <w:spacing w:line="273" w:lineRule="auto" w:before="7"/>
              <w:ind w:left="741" w:right="309" w:hanging="207"/>
              <w:rPr>
                <w:sz w:val="21"/>
              </w:rPr>
            </w:pPr>
            <w:r>
              <w:rPr>
                <w:sz w:val="21"/>
              </w:rPr>
              <w:t>④持续血液培养证实有病原体阳性反应，且与心内膜炎吻合。</w:t>
            </w:r>
          </w:p>
          <w:p>
            <w:pPr>
              <w:pStyle w:val="TableParagraph"/>
              <w:spacing w:line="273" w:lineRule="auto" w:before="7"/>
              <w:ind w:left="636" w:right="199" w:hanging="524"/>
              <w:rPr>
                <w:sz w:val="21"/>
              </w:rPr>
            </w:pPr>
            <w:r>
              <w:rPr>
                <w:w w:val="100"/>
                <w:sz w:val="21"/>
              </w:rPr>
              <w:t>（2</w:t>
            </w:r>
            <w:r>
              <w:rPr>
                <w:spacing w:val="-97"/>
                <w:w w:val="100"/>
                <w:sz w:val="21"/>
              </w:rPr>
              <w:t>）</w:t>
            </w:r>
            <w:r>
              <w:rPr>
                <w:spacing w:val="-12"/>
                <w:w w:val="100"/>
                <w:sz w:val="21"/>
              </w:rPr>
              <w:t>心内膜炎引起中度心瓣膜闭锁不全</w:t>
            </w:r>
            <w:r>
              <w:rPr>
                <w:spacing w:val="-5"/>
                <w:w w:val="100"/>
                <w:sz w:val="21"/>
              </w:rPr>
              <w:t>（</w:t>
            </w:r>
            <w:r>
              <w:rPr>
                <w:spacing w:val="-2"/>
                <w:w w:val="100"/>
                <w:sz w:val="21"/>
              </w:rPr>
              <w:t>指返流分数</w:t>
            </w:r>
            <w:r>
              <w:rPr>
                <w:spacing w:val="-2"/>
                <w:sz w:val="21"/>
              </w:rPr>
              <w:t> </w:t>
            </w:r>
            <w:r>
              <w:rPr>
                <w:spacing w:val="-5"/>
                <w:w w:val="100"/>
                <w:sz w:val="21"/>
              </w:rPr>
              <w:t>2</w:t>
            </w:r>
            <w:r>
              <w:rPr>
                <w:w w:val="100"/>
                <w:sz w:val="21"/>
              </w:rPr>
              <w:t>0%或以上）</w:t>
            </w:r>
            <w:r>
              <w:rPr>
                <w:sz w:val="21"/>
              </w:rPr>
              <w:t>或中度心瓣膜狭窄（指心瓣膜开口范围小于或等于正常的</w:t>
            </w:r>
            <w:r>
              <w:rPr>
                <w:w w:val="100"/>
                <w:sz w:val="21"/>
              </w:rPr>
              <w:t>30%</w:t>
            </w:r>
            <w:r>
              <w:rPr>
                <w:spacing w:val="-106"/>
                <w:w w:val="100"/>
                <w:sz w:val="21"/>
              </w:rPr>
              <w:t>）</w:t>
            </w:r>
            <w:r>
              <w:rPr>
                <w:w w:val="100"/>
                <w:sz w:val="21"/>
              </w:rPr>
              <w:t>；及</w:t>
            </w:r>
          </w:p>
          <w:p>
            <w:pPr>
              <w:pStyle w:val="TableParagraph"/>
              <w:spacing w:before="7"/>
              <w:rPr>
                <w:sz w:val="21"/>
              </w:rPr>
            </w:pPr>
            <w:r>
              <w:rPr>
                <w:sz w:val="21"/>
              </w:rPr>
              <w:t>（3）心内膜炎及心瓣膜病损须经心脏专科医生确诊。</w:t>
            </w:r>
          </w:p>
        </w:tc>
      </w:tr>
      <w:tr>
        <w:trPr>
          <w:trHeight w:val="407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70.严重的骨髓增生异常综合征</w:t>
            </w:r>
          </w:p>
        </w:tc>
        <w:tc>
          <w:tcPr>
            <w:tcW w:w="6267" w:type="dxa"/>
          </w:tcPr>
          <w:p>
            <w:pPr>
              <w:pStyle w:val="TableParagraph"/>
              <w:spacing w:line="273" w:lineRule="auto" w:before="150"/>
              <w:ind w:right="303"/>
              <w:jc w:val="both"/>
              <w:rPr>
                <w:sz w:val="21"/>
              </w:rPr>
            </w:pPr>
            <w:r>
              <w:rPr>
                <w:spacing w:val="-2"/>
                <w:sz w:val="21"/>
              </w:rPr>
              <w:t>骨髓增生异常综合征</w:t>
            </w:r>
            <w:r>
              <w:rPr>
                <w:sz w:val="21"/>
              </w:rPr>
              <w:t>（myelodysplastic</w:t>
            </w:r>
            <w:r>
              <w:rPr>
                <w:spacing w:val="-26"/>
                <w:sz w:val="21"/>
              </w:rPr>
              <w:t> </w:t>
            </w:r>
            <w:r>
              <w:rPr>
                <w:sz w:val="21"/>
              </w:rPr>
              <w:t>syndromes，MDS）是起</w:t>
            </w:r>
            <w:r>
              <w:rPr>
                <w:spacing w:val="-6"/>
                <w:sz w:val="21"/>
              </w:rPr>
              <w:t>源于造血干细胞的一组异质性髓系克隆性疾病，特点是髓系细胞</w:t>
            </w:r>
            <w:r>
              <w:rPr>
                <w:spacing w:val="-9"/>
                <w:sz w:val="21"/>
              </w:rPr>
              <w:t>发育异常，表现为无效造血、难治性血细胞减少，本合同所指的</w:t>
            </w:r>
            <w:r>
              <w:rPr>
                <w:spacing w:val="-7"/>
                <w:sz w:val="21"/>
              </w:rPr>
              <w:t>严重的骨髓异常增生综合征需满足下列所有条件：</w:t>
            </w:r>
          </w:p>
          <w:p>
            <w:pPr>
              <w:pStyle w:val="TableParagraph"/>
              <w:spacing w:line="273" w:lineRule="auto" w:before="8"/>
              <w:ind w:left="636" w:right="306" w:hanging="524"/>
              <w:rPr>
                <w:sz w:val="21"/>
              </w:rPr>
            </w:pPr>
            <w:r>
              <w:rPr>
                <w:sz w:val="21"/>
              </w:rPr>
              <w:t>（1）由设有专门血液病专科的公立三级甲等医院血液病专科的主治级别以上的医师确诊；</w:t>
            </w:r>
          </w:p>
          <w:p>
            <w:pPr>
              <w:pStyle w:val="TableParagraph"/>
              <w:spacing w:line="273" w:lineRule="auto" w:before="8"/>
              <w:ind w:right="304"/>
              <w:rPr>
                <w:sz w:val="21"/>
              </w:rPr>
            </w:pPr>
            <w:r>
              <w:rPr>
                <w:spacing w:val="-25"/>
                <w:sz w:val="21"/>
              </w:rPr>
              <w:t>（2）</w:t>
            </w:r>
            <w:r>
              <w:rPr>
                <w:spacing w:val="-5"/>
                <w:sz w:val="21"/>
              </w:rPr>
              <w:t>骨髓涂片检查同时符合发育异常细胞比例</w:t>
            </w:r>
            <w:r>
              <w:rPr>
                <w:sz w:val="21"/>
              </w:rPr>
              <w:t>&gt;10</w:t>
            </w:r>
            <w:r>
              <w:rPr>
                <w:spacing w:val="-12"/>
                <w:sz w:val="21"/>
              </w:rPr>
              <w:t>%、原始细胞比例&gt;15%；</w:t>
            </w:r>
          </w:p>
          <w:p>
            <w:pPr>
              <w:pStyle w:val="TableParagraph"/>
              <w:spacing w:line="273" w:lineRule="auto" w:before="8"/>
              <w:ind w:right="250"/>
              <w:rPr>
                <w:sz w:val="21"/>
              </w:rPr>
            </w:pPr>
            <w:r>
              <w:rPr>
                <w:sz w:val="21"/>
              </w:rPr>
              <w:t>（3）已接受至少累计三十日的化疗或已接受骨髓移植治疗。 化疗日数的计算以被保险人实际服用、注射化疗药物的天数为准。</w:t>
            </w:r>
          </w:p>
          <w:p>
            <w:pPr>
              <w:pStyle w:val="TableParagraph"/>
              <w:spacing w:before="8"/>
              <w:rPr>
                <w:sz w:val="21"/>
              </w:rPr>
            </w:pPr>
            <w:r>
              <w:rPr>
                <w:sz w:val="21"/>
              </w:rPr>
              <w:t>疑似病例不在保障范围之内。</w:t>
            </w:r>
          </w:p>
        </w:tc>
      </w:tr>
      <w:tr>
        <w:trPr>
          <w:trHeight w:val="425" w:hRule="atLeast"/>
        </w:trPr>
        <w:tc>
          <w:tcPr>
            <w:tcW w:w="1475" w:type="dxa"/>
          </w:tcPr>
          <w:p>
            <w:pPr>
              <w:pStyle w:val="TableParagraph"/>
              <w:spacing w:line="322" w:lineRule="exact" w:before="83"/>
              <w:ind w:left="200"/>
              <w:rPr>
                <w:rFonts w:ascii="Microsoft JhengHei" w:eastAsia="Microsoft JhengHei" w:hint="eastAsia"/>
                <w:b/>
                <w:sz w:val="21"/>
              </w:rPr>
            </w:pPr>
            <w:r>
              <w:rPr>
                <w:rFonts w:ascii="Microsoft JhengHei" w:eastAsia="Microsoft JhengHei" w:hint="eastAsia"/>
                <w:b/>
                <w:sz w:val="21"/>
              </w:rPr>
              <w:t>71.严重癫痫</w:t>
            </w:r>
          </w:p>
        </w:tc>
        <w:tc>
          <w:tcPr>
            <w:tcW w:w="6267" w:type="dxa"/>
          </w:tcPr>
          <w:p>
            <w:pPr>
              <w:pStyle w:val="TableParagraph"/>
              <w:spacing w:line="255" w:lineRule="exact" w:before="150"/>
              <w:rPr>
                <w:sz w:val="21"/>
              </w:rPr>
            </w:pPr>
            <w:r>
              <w:rPr>
                <w:sz w:val="21"/>
              </w:rPr>
              <w:t>本病的诊断须由神经科或儿科专科医生根据典型临床症状和脑</w:t>
            </w:r>
          </w:p>
        </w:tc>
      </w:tr>
    </w:tbl>
    <w:p>
      <w:pPr>
        <w:spacing w:after="0" w:line="255" w:lineRule="exact"/>
        <w:rPr>
          <w:sz w:val="21"/>
        </w:rPr>
        <w:sectPr>
          <w:pgSz w:w="11910" w:h="16840"/>
          <w:pgMar w:header="0" w:footer="150" w:top="900" w:bottom="340" w:left="1680" w:right="1480"/>
        </w:sect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65"/>
      </w:tblGrid>
      <w:tr>
        <w:trPr>
          <w:trHeight w:val="1985" w:hRule="atLeast"/>
        </w:trPr>
        <w:tc>
          <w:tcPr>
            <w:tcW w:w="1475" w:type="dxa"/>
          </w:tcPr>
          <w:p>
            <w:pPr>
              <w:pStyle w:val="TableParagraph"/>
              <w:ind w:left="0"/>
              <w:rPr>
                <w:rFonts w:ascii="Times New Roman"/>
                <w:sz w:val="20"/>
              </w:rPr>
            </w:pPr>
          </w:p>
        </w:tc>
        <w:tc>
          <w:tcPr>
            <w:tcW w:w="6265" w:type="dxa"/>
          </w:tcPr>
          <w:p>
            <w:pPr>
              <w:pStyle w:val="TableParagraph"/>
              <w:spacing w:line="211" w:lineRule="exact"/>
              <w:rPr>
                <w:sz w:val="21"/>
              </w:rPr>
            </w:pPr>
            <w:r>
              <w:rPr>
                <w:sz w:val="21"/>
              </w:rPr>
              <w:t>电图及 MRI、PET、CT 等影相学检查做出。理赔时必须提供 6 个</w:t>
            </w:r>
          </w:p>
          <w:p>
            <w:pPr>
              <w:pStyle w:val="TableParagraph"/>
              <w:spacing w:line="273" w:lineRule="auto" w:before="37"/>
              <w:ind w:right="304"/>
              <w:jc w:val="both"/>
              <w:rPr>
                <w:sz w:val="21"/>
              </w:rPr>
            </w:pPr>
            <w:r>
              <w:rPr>
                <w:spacing w:val="2"/>
                <w:sz w:val="21"/>
              </w:rPr>
              <w:t>月以上的相关病历记录证明被保险人存在经抗癫痫药物治疗无</w:t>
            </w:r>
            <w:r>
              <w:rPr>
                <w:spacing w:val="-6"/>
                <w:sz w:val="21"/>
              </w:rPr>
              <w:t>效而反复发作的强直阵挛性发作或癫痫大发作，且已行神经外科</w:t>
            </w:r>
            <w:r>
              <w:rPr>
                <w:spacing w:val="-5"/>
                <w:sz w:val="21"/>
              </w:rPr>
              <w:t>手术以治疗反复发作的癫痫。</w:t>
            </w:r>
          </w:p>
          <w:p>
            <w:pPr>
              <w:pStyle w:val="TableParagraph"/>
              <w:spacing w:line="273" w:lineRule="auto" w:before="7"/>
              <w:ind w:right="304"/>
              <w:jc w:val="both"/>
              <w:rPr>
                <w:sz w:val="21"/>
              </w:rPr>
            </w:pPr>
            <w:r>
              <w:rPr>
                <w:spacing w:val="-5"/>
                <w:sz w:val="21"/>
              </w:rPr>
              <w:t>发热性惊厥以及没有全身性发作的失神发作</w:t>
            </w:r>
            <w:r>
              <w:rPr>
                <w:sz w:val="21"/>
              </w:rPr>
              <w:t>（</w:t>
            </w:r>
            <w:r>
              <w:rPr>
                <w:spacing w:val="-3"/>
                <w:sz w:val="21"/>
              </w:rPr>
              <w:t>癫痫小发作</w:t>
            </w:r>
            <w:r>
              <w:rPr>
                <w:spacing w:val="-20"/>
                <w:sz w:val="21"/>
              </w:rPr>
              <w:t>）</w:t>
            </w:r>
            <w:r>
              <w:rPr>
                <w:sz w:val="21"/>
              </w:rPr>
              <w:t>不在</w:t>
            </w:r>
            <w:r>
              <w:rPr>
                <w:spacing w:val="-1"/>
                <w:sz w:val="21"/>
              </w:rPr>
              <w:t>本保障范围内。</w:t>
            </w:r>
          </w:p>
        </w:tc>
      </w:tr>
      <w:tr>
        <w:trPr>
          <w:trHeight w:val="1574"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72.自体造血干细胞移植</w:t>
            </w:r>
          </w:p>
        </w:tc>
        <w:tc>
          <w:tcPr>
            <w:tcW w:w="6265" w:type="dxa"/>
          </w:tcPr>
          <w:p>
            <w:pPr>
              <w:pStyle w:val="TableParagraph"/>
              <w:spacing w:line="273" w:lineRule="auto" w:before="150"/>
              <w:ind w:right="265"/>
              <w:jc w:val="both"/>
              <w:rPr>
                <w:sz w:val="21"/>
              </w:rPr>
            </w:pPr>
            <w:r>
              <w:rPr>
                <w:sz w:val="21"/>
              </w:rPr>
              <w:t>指由于患者自身骨髓造血功能异常或为了达到治疗肿瘤的目的， 采集患者自己的一部分造血干细胞，分离并深低温保存，再回输给患者使患者的造血功能和免疫功能重新恢复的一种治疗方法。该治疗须由专科医Th认为在临床上是必需的。</w:t>
            </w:r>
          </w:p>
        </w:tc>
      </w:tr>
      <w:tr>
        <w:trPr>
          <w:trHeight w:val="2198"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73.肺淋巴管肌瘤病</w:t>
            </w:r>
          </w:p>
        </w:tc>
        <w:tc>
          <w:tcPr>
            <w:tcW w:w="6265" w:type="dxa"/>
          </w:tcPr>
          <w:p>
            <w:pPr>
              <w:pStyle w:val="TableParagraph"/>
              <w:spacing w:line="273" w:lineRule="auto" w:before="150"/>
              <w:ind w:right="304"/>
              <w:jc w:val="both"/>
              <w:rPr>
                <w:sz w:val="21"/>
              </w:rPr>
            </w:pPr>
            <w:r>
              <w:rPr>
                <w:spacing w:val="2"/>
                <w:sz w:val="21"/>
              </w:rPr>
              <w:t>肺淋巴管肌瘤病是一种弥漫性肺部疾病，主要病理改变为肺间</w:t>
            </w:r>
            <w:r>
              <w:rPr>
                <w:spacing w:val="-7"/>
                <w:sz w:val="21"/>
              </w:rPr>
              <w:t>质、支气管、血管和淋巴管内出现未成熟的平滑肌异常增生，同</w:t>
            </w:r>
            <w:r>
              <w:rPr>
                <w:spacing w:val="-6"/>
                <w:sz w:val="21"/>
              </w:rPr>
              <w:t>时需满足下列条件：</w:t>
            </w:r>
          </w:p>
          <w:p>
            <w:pPr>
              <w:pStyle w:val="TableParagraph"/>
              <w:spacing w:before="8"/>
              <w:jc w:val="both"/>
              <w:rPr>
                <w:sz w:val="21"/>
              </w:rPr>
            </w:pPr>
            <w:r>
              <w:rPr>
                <w:sz w:val="21"/>
              </w:rPr>
              <w:t>（1）经组织病理学诊断；</w:t>
            </w:r>
          </w:p>
          <w:p>
            <w:pPr>
              <w:pStyle w:val="TableParagraph"/>
              <w:spacing w:before="36"/>
              <w:jc w:val="both"/>
              <w:rPr>
                <w:sz w:val="21"/>
              </w:rPr>
            </w:pPr>
            <w:r>
              <w:rPr>
                <w:sz w:val="21"/>
              </w:rPr>
              <w:t>（2）CT 显示双肺弥漫性囊性改变；</w:t>
            </w:r>
          </w:p>
          <w:p>
            <w:pPr>
              <w:pStyle w:val="TableParagraph"/>
              <w:spacing w:before="36"/>
              <w:jc w:val="both"/>
              <w:rPr>
                <w:sz w:val="21"/>
              </w:rPr>
            </w:pPr>
            <w:r>
              <w:rPr>
                <w:sz w:val="21"/>
              </w:rPr>
              <w:t>（3）血气提示低氧血症。</w:t>
            </w:r>
          </w:p>
        </w:tc>
      </w:tr>
      <w:tr>
        <w:trPr>
          <w:trHeight w:val="1260"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74.肺泡蛋白质沉积症</w:t>
            </w:r>
          </w:p>
        </w:tc>
        <w:tc>
          <w:tcPr>
            <w:tcW w:w="6265" w:type="dxa"/>
          </w:tcPr>
          <w:p>
            <w:pPr>
              <w:pStyle w:val="TableParagraph"/>
              <w:spacing w:line="271" w:lineRule="auto" w:before="150"/>
              <w:ind w:right="301"/>
              <w:jc w:val="both"/>
              <w:rPr>
                <w:sz w:val="21"/>
              </w:rPr>
            </w:pPr>
            <w:r>
              <w:rPr>
                <w:spacing w:val="-6"/>
                <w:sz w:val="21"/>
              </w:rPr>
              <w:t>指肺泡和细支气管腔内充满不可溶性富磷脂蛋白的疾病，胸部 </w:t>
            </w:r>
            <w:r>
              <w:rPr>
                <w:sz w:val="21"/>
              </w:rPr>
              <w:t>X </w:t>
            </w:r>
            <w:r>
              <w:rPr>
                <w:spacing w:val="-5"/>
                <w:sz w:val="21"/>
              </w:rPr>
              <w:t>线呈双肺弥漫性肺部磨玻璃影，病理学检查肺泡内充满有过碘酸</w:t>
            </w:r>
            <w:r>
              <w:rPr>
                <w:spacing w:val="-1"/>
                <w:sz w:val="21"/>
              </w:rPr>
              <w:t>雪夫（PAS）</w:t>
            </w:r>
            <w:r>
              <w:rPr>
                <w:spacing w:val="-5"/>
                <w:sz w:val="21"/>
              </w:rPr>
              <w:t>染色阳性的蛋白样物质，并且接受了肺灌洗治疗。</w:t>
            </w:r>
          </w:p>
        </w:tc>
      </w:tr>
      <w:tr>
        <w:trPr>
          <w:trHeight w:val="1262"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75.小肠移植</w:t>
            </w:r>
          </w:p>
        </w:tc>
        <w:tc>
          <w:tcPr>
            <w:tcW w:w="6265" w:type="dxa"/>
          </w:tcPr>
          <w:p>
            <w:pPr>
              <w:pStyle w:val="TableParagraph"/>
              <w:spacing w:line="268" w:lineRule="auto" w:before="152"/>
              <w:ind w:right="253"/>
              <w:rPr>
                <w:sz w:val="21"/>
              </w:rPr>
            </w:pPr>
            <w:r>
              <w:rPr>
                <w:sz w:val="21"/>
              </w:rPr>
              <w:t>指因肠道疾病或外伤，已经实施了在全身麻醉下进行的小肠的异体器官移植手术。</w:t>
            </w:r>
          </w:p>
          <w:p>
            <w:pPr>
              <w:pStyle w:val="TableParagraph"/>
              <w:spacing w:before="11"/>
              <w:rPr>
                <w:sz w:val="21"/>
              </w:rPr>
            </w:pPr>
            <w:r>
              <w:rPr>
                <w:sz w:val="21"/>
              </w:rPr>
              <w:t>此手术必须由专科医Th认为是医学上必需的情况下进行。</w:t>
            </w:r>
          </w:p>
        </w:tc>
      </w:tr>
      <w:tr>
        <w:trPr>
          <w:trHeight w:val="4695"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76.疾病或外伤所致智力障碍</w:t>
            </w:r>
          </w:p>
        </w:tc>
        <w:tc>
          <w:tcPr>
            <w:tcW w:w="6265" w:type="dxa"/>
          </w:tcPr>
          <w:p>
            <w:pPr>
              <w:pStyle w:val="TableParagraph"/>
              <w:spacing w:line="271" w:lineRule="auto" w:before="152"/>
              <w:ind w:right="198"/>
              <w:rPr>
                <w:sz w:val="21"/>
              </w:rPr>
            </w:pPr>
            <w:r>
              <w:rPr>
                <w:spacing w:val="-6"/>
                <w:sz w:val="21"/>
              </w:rPr>
              <w:t>因严重头部创伤或疾病造成被保险人智力低常</w:t>
            </w:r>
            <w:r>
              <w:rPr>
                <w:sz w:val="21"/>
              </w:rPr>
              <w:t>（</w:t>
            </w:r>
            <w:r>
              <w:rPr>
                <w:spacing w:val="-3"/>
                <w:sz w:val="21"/>
              </w:rPr>
              <w:t>智力低于常态</w:t>
            </w:r>
            <w:r>
              <w:rPr>
                <w:spacing w:val="-106"/>
                <w:sz w:val="21"/>
              </w:rPr>
              <w:t>）</w:t>
            </w:r>
            <w:r>
              <w:rPr>
                <w:sz w:val="21"/>
              </w:rPr>
              <w:t>。</w:t>
            </w:r>
            <w:r>
              <w:rPr>
                <w:spacing w:val="-14"/>
                <w:w w:val="100"/>
                <w:sz w:val="21"/>
              </w:rPr>
              <w:t>根据智商</w:t>
            </w:r>
            <w:r>
              <w:rPr>
                <w:w w:val="100"/>
                <w:sz w:val="21"/>
              </w:rPr>
              <w:t>（IQ</w:t>
            </w:r>
            <w:r>
              <w:rPr>
                <w:spacing w:val="-111"/>
                <w:w w:val="100"/>
                <w:sz w:val="21"/>
              </w:rPr>
              <w:t>）</w:t>
            </w:r>
            <w:r>
              <w:rPr>
                <w:spacing w:val="-14"/>
                <w:w w:val="100"/>
                <w:sz w:val="21"/>
              </w:rPr>
              <w:t>，智力低常分为轻度</w:t>
            </w:r>
            <w:r>
              <w:rPr>
                <w:w w:val="100"/>
                <w:sz w:val="21"/>
              </w:rPr>
              <w:t>（IQ</w:t>
            </w:r>
            <w:r>
              <w:rPr>
                <w:spacing w:val="-5"/>
                <w:w w:val="100"/>
                <w:sz w:val="21"/>
              </w:rPr>
              <w:t>5</w:t>
            </w:r>
            <w:r>
              <w:rPr>
                <w:w w:val="100"/>
                <w:sz w:val="21"/>
              </w:rPr>
              <w:t>0-70</w:t>
            </w:r>
            <w:r>
              <w:rPr>
                <w:spacing w:val="-111"/>
                <w:w w:val="100"/>
                <w:sz w:val="21"/>
              </w:rPr>
              <w:t>）</w:t>
            </w:r>
            <w:r>
              <w:rPr>
                <w:spacing w:val="-34"/>
                <w:w w:val="100"/>
                <w:sz w:val="21"/>
              </w:rPr>
              <w:t>；中度</w:t>
            </w:r>
            <w:r>
              <w:rPr>
                <w:spacing w:val="-5"/>
                <w:w w:val="100"/>
                <w:sz w:val="21"/>
              </w:rPr>
              <w:t>（</w:t>
            </w:r>
            <w:r>
              <w:rPr>
                <w:w w:val="100"/>
                <w:sz w:val="21"/>
              </w:rPr>
              <w:t>IQ35-50</w:t>
            </w:r>
            <w:r>
              <w:rPr>
                <w:spacing w:val="-106"/>
                <w:w w:val="100"/>
                <w:sz w:val="21"/>
              </w:rPr>
              <w:t>）；</w:t>
            </w:r>
            <w:r>
              <w:rPr>
                <w:spacing w:val="-17"/>
                <w:w w:val="100"/>
                <w:sz w:val="21"/>
              </w:rPr>
              <w:t>重度</w:t>
            </w:r>
            <w:r>
              <w:rPr>
                <w:w w:val="100"/>
                <w:sz w:val="21"/>
              </w:rPr>
              <w:t>（I</w:t>
            </w:r>
            <w:r>
              <w:rPr>
                <w:spacing w:val="-5"/>
                <w:w w:val="100"/>
                <w:sz w:val="21"/>
              </w:rPr>
              <w:t>Q</w:t>
            </w:r>
            <w:r>
              <w:rPr>
                <w:w w:val="100"/>
                <w:sz w:val="21"/>
              </w:rPr>
              <w:t>20-3</w:t>
            </w:r>
            <w:r>
              <w:rPr>
                <w:spacing w:val="-5"/>
                <w:w w:val="100"/>
                <w:sz w:val="21"/>
              </w:rPr>
              <w:t>5</w:t>
            </w:r>
            <w:r>
              <w:rPr>
                <w:spacing w:val="-34"/>
                <w:w w:val="100"/>
                <w:sz w:val="21"/>
              </w:rPr>
              <w:t>）</w:t>
            </w:r>
            <w:r>
              <w:rPr>
                <w:spacing w:val="-10"/>
                <w:w w:val="100"/>
                <w:sz w:val="21"/>
              </w:rPr>
              <w:t>和极重度</w:t>
            </w:r>
            <w:r>
              <w:rPr>
                <w:spacing w:val="-5"/>
                <w:w w:val="100"/>
                <w:sz w:val="21"/>
              </w:rPr>
              <w:t>（</w:t>
            </w:r>
            <w:r>
              <w:rPr>
                <w:w w:val="100"/>
                <w:sz w:val="21"/>
              </w:rPr>
              <w:t>IQ&lt;20</w:t>
            </w:r>
            <w:r>
              <w:rPr>
                <w:spacing w:val="-111"/>
                <w:w w:val="100"/>
                <w:sz w:val="21"/>
              </w:rPr>
              <w:t>）</w:t>
            </w:r>
            <w:r>
              <w:rPr>
                <w:spacing w:val="-7"/>
                <w:w w:val="100"/>
                <w:sz w:val="21"/>
              </w:rPr>
              <w:t>。智商的检测必须由我们认可</w:t>
            </w:r>
            <w:r>
              <w:rPr>
                <w:spacing w:val="-9"/>
                <w:sz w:val="21"/>
              </w:rPr>
              <w:t>的专职心理测验工作者进行，心理测验工作者必须持有由心理测</w:t>
            </w:r>
            <w:r>
              <w:rPr>
                <w:spacing w:val="-10"/>
                <w:sz w:val="21"/>
              </w:rPr>
              <w:t>量专业委员会资格认定书。根据被保险人年龄采用对应的智力量</w:t>
            </w:r>
            <w:r>
              <w:rPr>
                <w:spacing w:val="-7"/>
                <w:sz w:val="21"/>
              </w:rPr>
              <w:t>表如韦克斯勒智力量表</w:t>
            </w:r>
            <w:r>
              <w:rPr>
                <w:sz w:val="21"/>
              </w:rPr>
              <w:t>（</w:t>
            </w:r>
            <w:r>
              <w:rPr>
                <w:spacing w:val="-5"/>
                <w:sz w:val="21"/>
              </w:rPr>
              <w:t>儿童智力量表或成人智力量表</w:t>
            </w:r>
            <w:r>
              <w:rPr>
                <w:spacing w:val="-106"/>
                <w:sz w:val="21"/>
              </w:rPr>
              <w:t>）</w:t>
            </w:r>
            <w:r>
              <w:rPr>
                <w:sz w:val="21"/>
              </w:rPr>
              <w:t>。</w:t>
            </w:r>
          </w:p>
          <w:p>
            <w:pPr>
              <w:pStyle w:val="TableParagraph"/>
              <w:spacing w:before="9"/>
              <w:rPr>
                <w:sz w:val="21"/>
              </w:rPr>
            </w:pPr>
            <w:r>
              <w:rPr>
                <w:sz w:val="21"/>
              </w:rPr>
              <w:t>理赔时必须满足下列全部条件：</w:t>
            </w:r>
          </w:p>
          <w:p>
            <w:pPr>
              <w:pStyle w:val="TableParagraph"/>
              <w:spacing w:line="273" w:lineRule="auto" w:before="36"/>
              <w:ind w:left="636" w:right="303" w:hanging="524"/>
              <w:rPr>
                <w:sz w:val="21"/>
              </w:rPr>
            </w:pPr>
            <w:r>
              <w:rPr>
                <w:spacing w:val="-16"/>
                <w:sz w:val="21"/>
              </w:rPr>
              <w:t>（1）</w:t>
            </w:r>
            <w:r>
              <w:rPr>
                <w:spacing w:val="-8"/>
                <w:sz w:val="21"/>
              </w:rPr>
              <w:t>造成被保险人智力低常</w:t>
            </w:r>
            <w:r>
              <w:rPr>
                <w:sz w:val="21"/>
              </w:rPr>
              <w:t>（</w:t>
            </w:r>
            <w:r>
              <w:rPr>
                <w:spacing w:val="-3"/>
                <w:sz w:val="21"/>
              </w:rPr>
              <w:t>智力低于常态</w:t>
            </w:r>
            <w:r>
              <w:rPr>
                <w:spacing w:val="-48"/>
                <w:sz w:val="21"/>
              </w:rPr>
              <w:t>）</w:t>
            </w:r>
            <w:r>
              <w:rPr>
                <w:spacing w:val="-3"/>
                <w:sz w:val="21"/>
              </w:rPr>
              <w:t>的严重头部创伤或疾病（</w:t>
            </w:r>
            <w:r>
              <w:rPr>
                <w:spacing w:val="-4"/>
                <w:sz w:val="21"/>
              </w:rPr>
              <w:t>以入院日期为准</w:t>
            </w:r>
            <w:r>
              <w:rPr>
                <w:sz w:val="21"/>
              </w:rPr>
              <w:t>）</w:t>
            </w:r>
            <w:r>
              <w:rPr>
                <w:spacing w:val="-8"/>
                <w:sz w:val="21"/>
              </w:rPr>
              <w:t>发生在被保险人 </w:t>
            </w:r>
            <w:r>
              <w:rPr>
                <w:sz w:val="21"/>
              </w:rPr>
              <w:t>6</w:t>
            </w:r>
            <w:r>
              <w:rPr>
                <w:spacing w:val="-10"/>
                <w:sz w:val="21"/>
              </w:rPr>
              <w:t> 周岁以后；</w:t>
            </w:r>
          </w:p>
          <w:p>
            <w:pPr>
              <w:pStyle w:val="TableParagraph"/>
              <w:spacing w:line="273" w:lineRule="auto" w:before="7"/>
              <w:ind w:left="535" w:right="304" w:hanging="423"/>
              <w:rPr>
                <w:sz w:val="21"/>
              </w:rPr>
            </w:pPr>
            <w:r>
              <w:rPr>
                <w:sz w:val="21"/>
              </w:rPr>
              <w:t>（2）儿科主任医师确诊被保险人由于严重头部创伤或疾病造成智力低常；</w:t>
            </w:r>
          </w:p>
          <w:p>
            <w:pPr>
              <w:pStyle w:val="TableParagraph"/>
              <w:spacing w:line="273" w:lineRule="auto" w:before="7"/>
              <w:ind w:left="636" w:right="304" w:hanging="524"/>
              <w:rPr>
                <w:sz w:val="21"/>
              </w:rPr>
            </w:pPr>
            <w:r>
              <w:rPr>
                <w:sz w:val="21"/>
              </w:rPr>
              <w:t>（3）专职合格心理检测工作者适时做的心理检测证实被保险人</w:t>
            </w:r>
            <w:r>
              <w:rPr>
                <w:w w:val="100"/>
                <w:sz w:val="21"/>
              </w:rPr>
              <w:t>智力低常</w:t>
            </w:r>
            <w:r>
              <w:rPr>
                <w:spacing w:val="-5"/>
                <w:w w:val="100"/>
                <w:sz w:val="21"/>
              </w:rPr>
              <w:t>（</w:t>
            </w:r>
            <w:r>
              <w:rPr>
                <w:spacing w:val="-3"/>
                <w:w w:val="100"/>
                <w:sz w:val="21"/>
              </w:rPr>
              <w:t>轻度、中度、重度或极重度</w:t>
            </w:r>
            <w:r>
              <w:rPr>
                <w:spacing w:val="-111"/>
                <w:w w:val="100"/>
                <w:sz w:val="21"/>
              </w:rPr>
              <w:t>）</w:t>
            </w:r>
            <w:r>
              <w:rPr>
                <w:w w:val="100"/>
                <w:sz w:val="21"/>
              </w:rPr>
              <w:t>；</w:t>
            </w:r>
          </w:p>
          <w:p>
            <w:pPr>
              <w:pStyle w:val="TableParagraph"/>
              <w:spacing w:before="7"/>
              <w:rPr>
                <w:sz w:val="21"/>
              </w:rPr>
            </w:pPr>
            <w:r>
              <w:rPr>
                <w:sz w:val="21"/>
              </w:rPr>
              <w:t>（4）被保险人的智力低常自确认日起持续 180 天以上。</w:t>
            </w:r>
          </w:p>
        </w:tc>
      </w:tr>
      <w:tr>
        <w:trPr>
          <w:trHeight w:val="1882"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77.骨生长不全症</w:t>
            </w:r>
          </w:p>
        </w:tc>
        <w:tc>
          <w:tcPr>
            <w:tcW w:w="6265" w:type="dxa"/>
          </w:tcPr>
          <w:p>
            <w:pPr>
              <w:pStyle w:val="TableParagraph"/>
              <w:spacing w:line="271" w:lineRule="auto" w:before="152"/>
              <w:ind w:right="301"/>
              <w:jc w:val="both"/>
              <w:rPr>
                <w:sz w:val="21"/>
              </w:rPr>
            </w:pPr>
            <w:r>
              <w:rPr>
                <w:spacing w:val="-8"/>
                <w:sz w:val="21"/>
              </w:rPr>
              <w:t>指一种胶原病，特征为骨易碎，骨质疏松和易骨折。该病有 </w:t>
            </w:r>
            <w:r>
              <w:rPr>
                <w:sz w:val="21"/>
              </w:rPr>
              <w:t>4</w:t>
            </w:r>
            <w:r>
              <w:rPr>
                <w:spacing w:val="-19"/>
                <w:sz w:val="21"/>
              </w:rPr>
              <w:t> 种</w:t>
            </w:r>
            <w:r>
              <w:rPr>
                <w:spacing w:val="-16"/>
                <w:sz w:val="21"/>
              </w:rPr>
              <w:t>类型：</w:t>
            </w:r>
            <w:r>
              <w:rPr>
                <w:spacing w:val="-10"/>
                <w:sz w:val="21"/>
              </w:rPr>
              <w:t>I</w:t>
            </w:r>
            <w:r>
              <w:rPr>
                <w:spacing w:val="-5"/>
                <w:sz w:val="21"/>
              </w:rPr>
              <w:t> 型、</w:t>
            </w:r>
            <w:r>
              <w:rPr>
                <w:sz w:val="21"/>
              </w:rPr>
              <w:t>II</w:t>
            </w:r>
            <w:r>
              <w:rPr>
                <w:spacing w:val="-25"/>
                <w:sz w:val="21"/>
              </w:rPr>
              <w:t> 型、</w:t>
            </w:r>
            <w:r>
              <w:rPr>
                <w:sz w:val="21"/>
              </w:rPr>
              <w:t>III</w:t>
            </w:r>
            <w:r>
              <w:rPr>
                <w:spacing w:val="-23"/>
                <w:sz w:val="21"/>
              </w:rPr>
              <w:t> 型、</w:t>
            </w:r>
            <w:r>
              <w:rPr>
                <w:spacing w:val="-3"/>
                <w:sz w:val="21"/>
              </w:rPr>
              <w:t>IV</w:t>
            </w:r>
            <w:r>
              <w:rPr>
                <w:spacing w:val="-19"/>
                <w:sz w:val="21"/>
              </w:rPr>
              <w:t> 型。只保障 </w:t>
            </w:r>
            <w:r>
              <w:rPr>
                <w:sz w:val="21"/>
              </w:rPr>
              <w:t>III</w:t>
            </w:r>
            <w:r>
              <w:rPr>
                <w:spacing w:val="-8"/>
                <w:sz w:val="21"/>
              </w:rPr>
              <w:t> 型成骨不全的情形。其主要临床特点有：发展迟缓、多发性骨折、进行性脊柱后</w:t>
            </w:r>
            <w:r>
              <w:rPr>
                <w:spacing w:val="-6"/>
                <w:sz w:val="21"/>
              </w:rPr>
              <w:t>侧凸及听力损害。</w:t>
            </w:r>
            <w:r>
              <w:rPr>
                <w:sz w:val="21"/>
              </w:rPr>
              <w:t>III</w:t>
            </w:r>
            <w:r>
              <w:rPr>
                <w:spacing w:val="-5"/>
                <w:sz w:val="21"/>
              </w:rPr>
              <w:t> 型成骨不全的诊断必须根据身体检查，家族史，X</w:t>
            </w:r>
            <w:r>
              <w:rPr>
                <w:spacing w:val="-7"/>
                <w:sz w:val="21"/>
              </w:rPr>
              <w:t> 线检查和皮肤活检报告资料确诊。</w:t>
            </w:r>
          </w:p>
        </w:tc>
      </w:tr>
      <w:tr>
        <w:trPr>
          <w:trHeight w:val="442" w:hRule="atLeast"/>
        </w:trPr>
        <w:tc>
          <w:tcPr>
            <w:tcW w:w="1475" w:type="dxa"/>
          </w:tcPr>
          <w:p>
            <w:pPr>
              <w:pStyle w:val="TableParagraph"/>
              <w:spacing w:line="342" w:lineRule="exact" w:before="80"/>
              <w:ind w:left="200"/>
              <w:rPr>
                <w:rFonts w:ascii="Microsoft JhengHei" w:eastAsia="Microsoft JhengHei" w:hint="eastAsia"/>
                <w:b/>
                <w:sz w:val="21"/>
              </w:rPr>
            </w:pPr>
            <w:r>
              <w:rPr>
                <w:rFonts w:ascii="Microsoft JhengHei" w:eastAsia="Microsoft JhengHei" w:hint="eastAsia"/>
                <w:b/>
                <w:sz w:val="21"/>
              </w:rPr>
              <w:t>78. 原发性</w:t>
            </w:r>
          </w:p>
        </w:tc>
        <w:tc>
          <w:tcPr>
            <w:tcW w:w="6265" w:type="dxa"/>
          </w:tcPr>
          <w:p>
            <w:pPr>
              <w:pStyle w:val="TableParagraph"/>
              <w:spacing w:line="266" w:lineRule="exact" w:before="157"/>
              <w:rPr>
                <w:sz w:val="21"/>
              </w:rPr>
            </w:pPr>
            <w:r>
              <w:rPr>
                <w:sz w:val="21"/>
              </w:rPr>
              <w:t>原发性骨髓纤维化为原因不明的骨髓中成纤维细胞增殖，伴有髓</w:t>
            </w:r>
          </w:p>
        </w:tc>
      </w:tr>
    </w:tbl>
    <w:p>
      <w:pPr>
        <w:spacing w:after="0" w:line="266" w:lineRule="exact"/>
        <w:rPr>
          <w:sz w:val="21"/>
        </w:rPr>
        <w:sectPr>
          <w:pgSz w:w="11910" w:h="16840"/>
          <w:pgMar w:header="0" w:footer="150" w:top="740" w:bottom="340" w:left="168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01"/>
        <w:gridCol w:w="6060"/>
      </w:tblGrid>
      <w:tr>
        <w:trPr>
          <w:trHeight w:val="2916" w:hRule="atLeast"/>
        </w:trPr>
        <w:tc>
          <w:tcPr>
            <w:tcW w:w="749" w:type="dxa"/>
          </w:tcPr>
          <w:p>
            <w:pPr>
              <w:pStyle w:val="TableParagraph"/>
              <w:ind w:left="0"/>
              <w:rPr>
                <w:rFonts w:ascii="Times New Roman"/>
                <w:sz w:val="20"/>
              </w:rPr>
            </w:pPr>
          </w:p>
        </w:tc>
        <w:tc>
          <w:tcPr>
            <w:tcW w:w="1501" w:type="dxa"/>
          </w:tcPr>
          <w:p>
            <w:pPr>
              <w:pStyle w:val="TableParagraph"/>
              <w:spacing w:line="235" w:lineRule="exact"/>
              <w:ind w:left="220"/>
              <w:rPr>
                <w:rFonts w:ascii="Microsoft JhengHei" w:eastAsia="Microsoft JhengHei" w:hint="eastAsia"/>
                <w:b/>
                <w:sz w:val="21"/>
              </w:rPr>
            </w:pPr>
            <w:r>
              <w:rPr>
                <w:rFonts w:ascii="Microsoft JhengHei" w:eastAsia="Microsoft JhengHei" w:hint="eastAsia"/>
                <w:b/>
                <w:sz w:val="21"/>
              </w:rPr>
              <w:t>骨髓纤维化</w:t>
            </w:r>
          </w:p>
        </w:tc>
        <w:tc>
          <w:tcPr>
            <w:tcW w:w="6060" w:type="dxa"/>
          </w:tcPr>
          <w:p>
            <w:pPr>
              <w:pStyle w:val="TableParagraph"/>
              <w:spacing w:line="211" w:lineRule="exact"/>
              <w:ind w:left="107"/>
              <w:rPr>
                <w:sz w:val="21"/>
              </w:rPr>
            </w:pPr>
            <w:r>
              <w:rPr>
                <w:sz w:val="21"/>
              </w:rPr>
              <w:t>外造血，表现为进行性贫血、脾肿大等症状。本疾病须根据骨髓</w:t>
            </w:r>
          </w:p>
          <w:p>
            <w:pPr>
              <w:pStyle w:val="TableParagraph"/>
              <w:spacing w:line="273" w:lineRule="auto" w:before="37"/>
              <w:ind w:left="107" w:right="104"/>
              <w:jc w:val="both"/>
              <w:rPr>
                <w:sz w:val="21"/>
              </w:rPr>
            </w:pPr>
            <w:r>
              <w:rPr>
                <w:spacing w:val="2"/>
                <w:sz w:val="21"/>
              </w:rPr>
              <w:t>的活组织检查和周围血象检查由我们认可的医院血液科专科医</w:t>
            </w:r>
            <w:r>
              <w:rPr>
                <w:spacing w:val="-6"/>
                <w:sz w:val="21"/>
              </w:rPr>
              <w:t>生明确诊断，并至少符合下列条件中的三项，且符合条件的状态</w:t>
            </w:r>
            <w:r>
              <w:rPr>
                <w:spacing w:val="-17"/>
                <w:sz w:val="21"/>
              </w:rPr>
              <w:t>持续 </w:t>
            </w:r>
            <w:r>
              <w:rPr>
                <w:sz w:val="21"/>
              </w:rPr>
              <w:t>180</w:t>
            </w:r>
            <w:r>
              <w:rPr>
                <w:spacing w:val="-8"/>
                <w:sz w:val="21"/>
              </w:rPr>
              <w:t> 天及以上，并已经实际实施了针对此症的治疗：</w:t>
            </w:r>
          </w:p>
          <w:p>
            <w:pPr>
              <w:pStyle w:val="TableParagraph"/>
              <w:spacing w:before="7"/>
              <w:ind w:left="107"/>
              <w:jc w:val="both"/>
              <w:rPr>
                <w:sz w:val="21"/>
              </w:rPr>
            </w:pPr>
            <w:r>
              <w:rPr>
                <w:sz w:val="21"/>
              </w:rPr>
              <w:t>（1）血红蛋白&lt;100g/L；</w:t>
            </w:r>
          </w:p>
          <w:p>
            <w:pPr>
              <w:pStyle w:val="TableParagraph"/>
              <w:spacing w:before="37"/>
              <w:ind w:left="107"/>
              <w:jc w:val="both"/>
              <w:rPr>
                <w:sz w:val="21"/>
              </w:rPr>
            </w:pPr>
            <w:r>
              <w:rPr>
                <w:sz w:val="21"/>
              </w:rPr>
              <w:t>（2）白细胞计数&gt;25*109/L；</w:t>
            </w:r>
          </w:p>
          <w:p>
            <w:pPr>
              <w:pStyle w:val="TableParagraph"/>
              <w:spacing w:before="37"/>
              <w:ind w:left="107"/>
              <w:jc w:val="both"/>
              <w:rPr>
                <w:sz w:val="21"/>
              </w:rPr>
            </w:pPr>
            <w:r>
              <w:rPr>
                <w:sz w:val="21"/>
              </w:rPr>
              <w:t>（3）外周血原始细胞≥ 1%；</w:t>
            </w:r>
          </w:p>
          <w:p>
            <w:pPr>
              <w:pStyle w:val="TableParagraph"/>
              <w:spacing w:before="37"/>
              <w:ind w:left="107"/>
              <w:jc w:val="both"/>
              <w:rPr>
                <w:sz w:val="21"/>
              </w:rPr>
            </w:pPr>
            <w:r>
              <w:rPr>
                <w:sz w:val="21"/>
              </w:rPr>
              <w:t>（4）血小板计数&lt;100*109/L。</w:t>
            </w:r>
          </w:p>
          <w:p>
            <w:pPr>
              <w:pStyle w:val="TableParagraph"/>
              <w:spacing w:before="37"/>
              <w:ind w:left="107"/>
              <w:jc w:val="both"/>
              <w:rPr>
                <w:sz w:val="21"/>
              </w:rPr>
            </w:pPr>
            <w:r>
              <w:rPr>
                <w:sz w:val="21"/>
              </w:rPr>
              <w:t>任何其它病因导致的继发性骨髓纤维化不在保障范围内。</w:t>
            </w:r>
          </w:p>
        </w:tc>
      </w:tr>
      <w:tr>
        <w:trPr>
          <w:trHeight w:val="3135" w:hRule="atLeast"/>
        </w:trPr>
        <w:tc>
          <w:tcPr>
            <w:tcW w:w="749" w:type="dxa"/>
          </w:tcPr>
          <w:p>
            <w:pPr>
              <w:pStyle w:val="TableParagraph"/>
              <w:ind w:left="0"/>
              <w:rPr>
                <w:rFonts w:ascii="Times New Roman"/>
                <w:sz w:val="20"/>
              </w:rPr>
            </w:pPr>
          </w:p>
        </w:tc>
        <w:tc>
          <w:tcPr>
            <w:tcW w:w="1501" w:type="dxa"/>
          </w:tcPr>
          <w:p>
            <w:pPr>
              <w:pStyle w:val="TableParagraph"/>
              <w:spacing w:line="211" w:lineRule="auto" w:before="122"/>
              <w:ind w:left="220" w:right="130"/>
              <w:rPr>
                <w:rFonts w:ascii="Microsoft JhengHei" w:eastAsia="Microsoft JhengHei" w:hint="eastAsia"/>
                <w:b/>
                <w:sz w:val="21"/>
              </w:rPr>
            </w:pPr>
            <w:r>
              <w:rPr>
                <w:rFonts w:ascii="Microsoft JhengHei" w:eastAsia="Microsoft JhengHei" w:hint="eastAsia"/>
                <w:b/>
                <w:sz w:val="21"/>
              </w:rPr>
              <w:t>79.重症手足口病</w:t>
            </w:r>
          </w:p>
        </w:tc>
        <w:tc>
          <w:tcPr>
            <w:tcW w:w="6060" w:type="dxa"/>
          </w:tcPr>
          <w:p>
            <w:pPr>
              <w:pStyle w:val="TableParagraph"/>
              <w:spacing w:line="273" w:lineRule="auto" w:before="155"/>
              <w:ind w:left="107" w:right="104"/>
              <w:jc w:val="both"/>
              <w:rPr>
                <w:sz w:val="21"/>
              </w:rPr>
            </w:pPr>
            <w:r>
              <w:rPr>
                <w:spacing w:val="-7"/>
                <w:sz w:val="21"/>
              </w:rPr>
              <w:t>由肠道病毒引起的急性传染病，主要症状表现为手、足、口腔等</w:t>
            </w:r>
            <w:r>
              <w:rPr>
                <w:spacing w:val="-9"/>
                <w:sz w:val="21"/>
              </w:rPr>
              <w:t>部位的斑丘疹、疱疹。经我们认可的医疗机构的儿科专科医生确</w:t>
            </w:r>
            <w:r>
              <w:rPr>
                <w:spacing w:val="-7"/>
                <w:sz w:val="21"/>
              </w:rPr>
              <w:t>诊为患有手足口病，并伴有下列三项中的任意一项并发症：</w:t>
            </w:r>
          </w:p>
          <w:p>
            <w:pPr>
              <w:pStyle w:val="TableParagraph"/>
              <w:spacing w:line="273" w:lineRule="auto" w:before="8"/>
              <w:ind w:left="631" w:right="104" w:hanging="524"/>
              <w:rPr>
                <w:sz w:val="21"/>
              </w:rPr>
            </w:pPr>
            <w:r>
              <w:rPr>
                <w:spacing w:val="-25"/>
                <w:sz w:val="21"/>
              </w:rPr>
              <w:t>（1）</w:t>
            </w:r>
            <w:r>
              <w:rPr>
                <w:spacing w:val="-10"/>
                <w:sz w:val="21"/>
              </w:rPr>
              <w:t>有脑膜炎或脑炎并发症，且导致意识障碍或瘫痪的临床表现</w:t>
            </w:r>
            <w:r>
              <w:rPr>
                <w:spacing w:val="-7"/>
                <w:sz w:val="21"/>
              </w:rPr>
              <w:t>及实验室检查证据；</w:t>
            </w:r>
          </w:p>
          <w:p>
            <w:pPr>
              <w:pStyle w:val="TableParagraph"/>
              <w:spacing w:line="273" w:lineRule="auto" w:before="8"/>
              <w:ind w:left="631" w:right="104" w:hanging="524"/>
              <w:rPr>
                <w:sz w:val="21"/>
              </w:rPr>
            </w:pPr>
            <w:r>
              <w:rPr>
                <w:spacing w:val="-25"/>
                <w:sz w:val="21"/>
              </w:rPr>
              <w:t>（2）</w:t>
            </w:r>
            <w:r>
              <w:rPr>
                <w:spacing w:val="-10"/>
                <w:sz w:val="21"/>
              </w:rPr>
              <w:t>有肺炎或肺水肿并发症，且导致呼吸衰竭的临床表现及实验</w:t>
            </w:r>
            <w:r>
              <w:rPr>
                <w:spacing w:val="-8"/>
                <w:sz w:val="21"/>
              </w:rPr>
              <w:t>室检查证据；</w:t>
            </w:r>
          </w:p>
          <w:p>
            <w:pPr>
              <w:pStyle w:val="TableParagraph"/>
              <w:spacing w:line="273" w:lineRule="auto" w:before="7"/>
              <w:ind w:left="631" w:right="104" w:hanging="524"/>
              <w:rPr>
                <w:sz w:val="21"/>
              </w:rPr>
            </w:pPr>
            <w:r>
              <w:rPr>
                <w:spacing w:val="-25"/>
                <w:sz w:val="21"/>
              </w:rPr>
              <w:t>（3）</w:t>
            </w:r>
            <w:r>
              <w:rPr>
                <w:spacing w:val="-10"/>
                <w:sz w:val="21"/>
              </w:rPr>
              <w:t>有心肌炎并发症，且导致心脏扩大或心力衰竭的临床表现及</w:t>
            </w:r>
            <w:r>
              <w:rPr>
                <w:spacing w:val="-7"/>
                <w:sz w:val="21"/>
              </w:rPr>
              <w:t>实验室检查证据。</w:t>
            </w:r>
          </w:p>
        </w:tc>
      </w:tr>
      <w:tr>
        <w:trPr>
          <w:trHeight w:val="2516" w:hRule="atLeast"/>
        </w:trPr>
        <w:tc>
          <w:tcPr>
            <w:tcW w:w="749" w:type="dxa"/>
          </w:tcPr>
          <w:p>
            <w:pPr>
              <w:pStyle w:val="TableParagraph"/>
              <w:ind w:left="0"/>
              <w:rPr>
                <w:rFonts w:ascii="Times New Roman"/>
                <w:sz w:val="20"/>
              </w:rPr>
            </w:pPr>
          </w:p>
        </w:tc>
        <w:tc>
          <w:tcPr>
            <w:tcW w:w="1501" w:type="dxa"/>
          </w:tcPr>
          <w:p>
            <w:pPr>
              <w:pStyle w:val="TableParagraph"/>
              <w:spacing w:line="208" w:lineRule="auto" w:before="125"/>
              <w:ind w:left="220" w:right="222"/>
              <w:jc w:val="both"/>
              <w:rPr>
                <w:rFonts w:ascii="Microsoft JhengHei" w:eastAsia="Microsoft JhengHei" w:hint="eastAsia"/>
                <w:b/>
                <w:sz w:val="21"/>
              </w:rPr>
            </w:pPr>
            <w:r>
              <w:rPr>
                <w:rFonts w:ascii="Microsoft JhengHei" w:eastAsia="Microsoft JhengHei" w:hint="eastAsia"/>
                <w:b/>
                <w:sz w:val="21"/>
              </w:rPr>
              <w:t>80. 婴儿进行性脊肌萎缩症</w:t>
            </w:r>
          </w:p>
        </w:tc>
        <w:tc>
          <w:tcPr>
            <w:tcW w:w="6060" w:type="dxa"/>
          </w:tcPr>
          <w:p>
            <w:pPr>
              <w:pStyle w:val="TableParagraph"/>
              <w:spacing w:line="273" w:lineRule="auto" w:before="155"/>
              <w:ind w:left="107" w:right="66"/>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73" w:lineRule="auto" w:before="7"/>
              <w:ind w:left="107" w:right="101"/>
              <w:jc w:val="both"/>
              <w:rPr>
                <w:sz w:val="21"/>
              </w:rPr>
            </w:pPr>
            <w:r>
              <w:rPr>
                <w:spacing w:val="-6"/>
                <w:sz w:val="21"/>
              </w:rPr>
              <w:t>该病必须经由神经科医师通过肌肉活检而确诊。理赔时必须提供</w:t>
            </w:r>
            <w:r>
              <w:rPr>
                <w:spacing w:val="-9"/>
                <w:sz w:val="21"/>
              </w:rPr>
              <w:t>肌肉活检的病理报告。其它类型的脊肌萎缩症如Ⅱ型中间型进行</w:t>
            </w:r>
            <w:r>
              <w:rPr>
                <w:spacing w:val="-6"/>
                <w:sz w:val="21"/>
              </w:rPr>
              <w:t>性脊肌萎缩症，Ⅲ型少年型脊肌萎缩症(</w:t>
            </w:r>
            <w:r>
              <w:rPr>
                <w:sz w:val="21"/>
              </w:rPr>
              <w:t>Kugelberg-Welander</w:t>
            </w:r>
            <w:r>
              <w:rPr>
                <w:spacing w:val="-11"/>
                <w:sz w:val="21"/>
              </w:rPr>
              <w:t> 氏</w:t>
            </w:r>
            <w:r>
              <w:rPr>
                <w:spacing w:val="-8"/>
                <w:sz w:val="21"/>
              </w:rPr>
              <w:t>病)不在本保障范围之内。</w:t>
            </w:r>
          </w:p>
        </w:tc>
      </w:tr>
      <w:tr>
        <w:trPr>
          <w:trHeight w:val="4998" w:hRule="atLeast"/>
        </w:trPr>
        <w:tc>
          <w:tcPr>
            <w:tcW w:w="749" w:type="dxa"/>
          </w:tcPr>
          <w:p>
            <w:pPr>
              <w:pStyle w:val="TableParagraph"/>
              <w:ind w:left="0"/>
              <w:rPr>
                <w:rFonts w:ascii="Times New Roman"/>
                <w:sz w:val="20"/>
              </w:rPr>
            </w:pPr>
          </w:p>
        </w:tc>
        <w:tc>
          <w:tcPr>
            <w:tcW w:w="1501" w:type="dxa"/>
          </w:tcPr>
          <w:p>
            <w:pPr>
              <w:pStyle w:val="TableParagraph"/>
              <w:spacing w:before="102"/>
              <w:ind w:left="969"/>
              <w:rPr>
                <w:rFonts w:ascii="Microsoft JhengHei" w:eastAsia="Microsoft JhengHei" w:hint="eastAsia"/>
                <w:b/>
                <w:sz w:val="21"/>
              </w:rPr>
            </w:pPr>
            <w:r>
              <w:rPr>
                <w:rFonts w:ascii="Microsoft JhengHei" w:eastAsia="Microsoft JhengHei" w:hint="eastAsia"/>
                <w:b/>
                <w:sz w:val="21"/>
              </w:rPr>
              <w:t>注：</w:t>
            </w:r>
          </w:p>
        </w:tc>
        <w:tc>
          <w:tcPr>
            <w:tcW w:w="6060" w:type="dxa"/>
          </w:tcPr>
          <w:p>
            <w:pPr>
              <w:pStyle w:val="TableParagraph"/>
              <w:spacing w:before="150"/>
              <w:ind w:left="107"/>
              <w:rPr>
                <w:sz w:val="21"/>
              </w:rPr>
            </w:pPr>
            <w:r>
              <w:rPr>
                <w:sz w:val="21"/>
              </w:rPr>
              <w:t>1、六项基本日常生活活动</w:t>
            </w:r>
          </w:p>
          <w:p>
            <w:pPr>
              <w:pStyle w:val="TableParagraph"/>
              <w:spacing w:before="32"/>
              <w:ind w:left="107"/>
              <w:rPr>
                <w:sz w:val="21"/>
              </w:rPr>
            </w:pPr>
            <w:r>
              <w:rPr>
                <w:spacing w:val="-10"/>
                <w:w w:val="100"/>
                <w:sz w:val="21"/>
              </w:rPr>
              <w:t>六项基本日常生活活动是指：</w:t>
            </w:r>
            <w:r>
              <w:rPr>
                <w:spacing w:val="-4"/>
                <w:w w:val="100"/>
                <w:sz w:val="21"/>
              </w:rPr>
              <w:t>（</w:t>
            </w:r>
            <w:r>
              <w:rPr>
                <w:w w:val="100"/>
                <w:sz w:val="21"/>
              </w:rPr>
              <w:t>1）</w:t>
            </w:r>
            <w:r>
              <w:rPr>
                <w:spacing w:val="-4"/>
                <w:w w:val="100"/>
                <w:sz w:val="21"/>
              </w:rPr>
              <w:t>穿衣：自己能够穿衣及脱衣；</w:t>
            </w:r>
          </w:p>
          <w:p>
            <w:pPr>
              <w:pStyle w:val="TableParagraph"/>
              <w:spacing w:line="273" w:lineRule="auto" w:before="36"/>
              <w:ind w:left="107" w:right="102"/>
              <w:jc w:val="both"/>
              <w:rPr>
                <w:sz w:val="21"/>
              </w:rPr>
            </w:pPr>
            <w:r>
              <w:rPr>
                <w:w w:val="100"/>
                <w:sz w:val="21"/>
              </w:rPr>
              <w:t>（2</w:t>
            </w:r>
            <w:r>
              <w:rPr>
                <w:spacing w:val="-29"/>
                <w:w w:val="100"/>
                <w:sz w:val="21"/>
              </w:rPr>
              <w:t>）</w:t>
            </w:r>
            <w:r>
              <w:rPr>
                <w:spacing w:val="-7"/>
                <w:w w:val="100"/>
                <w:sz w:val="21"/>
              </w:rPr>
              <w:t>移动：自己从一个房间到另一个房间</w:t>
            </w:r>
            <w:r>
              <w:rPr>
                <w:spacing w:val="-135"/>
                <w:w w:val="100"/>
                <w:sz w:val="21"/>
              </w:rPr>
              <w:t>；</w:t>
            </w:r>
            <w:r>
              <w:rPr>
                <w:spacing w:val="0"/>
                <w:w w:val="100"/>
                <w:sz w:val="21"/>
              </w:rPr>
              <w:t>（</w:t>
            </w:r>
            <w:r>
              <w:rPr>
                <w:w w:val="100"/>
                <w:sz w:val="21"/>
              </w:rPr>
              <w:t>3</w:t>
            </w:r>
            <w:r>
              <w:rPr>
                <w:spacing w:val="-29"/>
                <w:w w:val="100"/>
                <w:sz w:val="21"/>
              </w:rPr>
              <w:t>）</w:t>
            </w:r>
            <w:r>
              <w:rPr>
                <w:spacing w:val="-6"/>
                <w:w w:val="100"/>
                <w:sz w:val="21"/>
              </w:rPr>
              <w:t>行动：自己上下</w:t>
            </w:r>
            <w:r>
              <w:rPr>
                <w:spacing w:val="-21"/>
                <w:w w:val="100"/>
                <w:sz w:val="21"/>
              </w:rPr>
              <w:t>床或上下轮椅；</w:t>
            </w:r>
            <w:r>
              <w:rPr>
                <w:spacing w:val="0"/>
                <w:w w:val="100"/>
                <w:sz w:val="21"/>
              </w:rPr>
              <w:t>（</w:t>
            </w:r>
            <w:r>
              <w:rPr>
                <w:spacing w:val="-5"/>
                <w:w w:val="100"/>
                <w:sz w:val="21"/>
              </w:rPr>
              <w:t>4）</w:t>
            </w:r>
            <w:r>
              <w:rPr>
                <w:spacing w:val="-14"/>
                <w:w w:val="100"/>
                <w:sz w:val="21"/>
              </w:rPr>
              <w:t>如厕：自己控制进行大小便；</w:t>
            </w:r>
            <w:r>
              <w:rPr>
                <w:spacing w:val="0"/>
                <w:w w:val="100"/>
                <w:sz w:val="21"/>
              </w:rPr>
              <w:t>（</w:t>
            </w:r>
            <w:r>
              <w:rPr>
                <w:spacing w:val="-5"/>
                <w:w w:val="100"/>
                <w:sz w:val="21"/>
              </w:rPr>
              <w:t>5）</w:t>
            </w:r>
            <w:r>
              <w:rPr>
                <w:spacing w:val="-3"/>
                <w:w w:val="100"/>
                <w:sz w:val="21"/>
              </w:rPr>
              <w:t>进食：自</w:t>
            </w:r>
            <w:r>
              <w:rPr>
                <w:spacing w:val="-5"/>
                <w:w w:val="100"/>
                <w:sz w:val="21"/>
              </w:rPr>
              <w:t>己从已准备好的碗或碟中取食物放入口中</w:t>
            </w:r>
            <w:r>
              <w:rPr>
                <w:spacing w:val="-120"/>
                <w:w w:val="100"/>
                <w:sz w:val="21"/>
              </w:rPr>
              <w:t>；</w:t>
            </w:r>
            <w:r>
              <w:rPr>
                <w:spacing w:val="1"/>
                <w:w w:val="100"/>
                <w:sz w:val="21"/>
              </w:rPr>
              <w:t>（</w:t>
            </w:r>
            <w:r>
              <w:rPr>
                <w:w w:val="100"/>
                <w:sz w:val="21"/>
              </w:rPr>
              <w:t>6</w:t>
            </w:r>
            <w:r>
              <w:rPr>
                <w:spacing w:val="-15"/>
                <w:w w:val="100"/>
                <w:sz w:val="21"/>
              </w:rPr>
              <w:t>）</w:t>
            </w:r>
            <w:r>
              <w:rPr>
                <w:spacing w:val="-5"/>
                <w:w w:val="100"/>
                <w:sz w:val="21"/>
              </w:rPr>
              <w:t>洗澡：自己进行</w:t>
            </w:r>
            <w:r>
              <w:rPr>
                <w:spacing w:val="-5"/>
                <w:sz w:val="21"/>
              </w:rPr>
              <w:t>淋浴或盆浴。</w:t>
            </w:r>
          </w:p>
          <w:p>
            <w:pPr>
              <w:pStyle w:val="TableParagraph"/>
              <w:spacing w:before="7"/>
              <w:ind w:left="107"/>
              <w:rPr>
                <w:sz w:val="21"/>
              </w:rPr>
            </w:pPr>
            <w:r>
              <w:rPr>
                <w:sz w:val="21"/>
              </w:rPr>
              <w:t>2、肢体机能完全丧失</w:t>
            </w:r>
          </w:p>
          <w:p>
            <w:pPr>
              <w:pStyle w:val="TableParagraph"/>
              <w:spacing w:line="273" w:lineRule="auto" w:before="37"/>
              <w:ind w:left="107" w:right="53"/>
              <w:rPr>
                <w:sz w:val="21"/>
              </w:rPr>
            </w:pPr>
            <w:r>
              <w:rPr>
                <w:sz w:val="21"/>
              </w:rPr>
              <w:t>指肢体的三大关节中的两大关节僵硬，或不能随意识活动。肢体是指包括肩关节的整个上肢或包括髋关节的整个下肢。</w:t>
            </w:r>
          </w:p>
          <w:p>
            <w:pPr>
              <w:pStyle w:val="TableParagraph"/>
              <w:spacing w:before="7"/>
              <w:ind w:left="107"/>
              <w:rPr>
                <w:sz w:val="21"/>
              </w:rPr>
            </w:pPr>
            <w:r>
              <w:rPr>
                <w:sz w:val="21"/>
              </w:rPr>
              <w:t>3、语言能力或咀嚼吞咽能力完全丧失</w:t>
            </w:r>
          </w:p>
          <w:p>
            <w:pPr>
              <w:pStyle w:val="TableParagraph"/>
              <w:spacing w:line="273" w:lineRule="auto" w:before="36"/>
              <w:ind w:left="107"/>
              <w:rPr>
                <w:sz w:val="21"/>
              </w:rPr>
            </w:pPr>
            <w:r>
              <w:rPr>
                <w:spacing w:val="-10"/>
                <w:sz w:val="21"/>
              </w:rPr>
              <w:t>语言能力完全丧失，指无法发出四种语音</w:t>
            </w:r>
            <w:r>
              <w:rPr>
                <w:sz w:val="21"/>
              </w:rPr>
              <w:t>（</w:t>
            </w:r>
            <w:r>
              <w:rPr>
                <w:spacing w:val="-8"/>
                <w:sz w:val="21"/>
              </w:rPr>
              <w:t>包括口唇音、齿舌音、</w:t>
            </w:r>
            <w:r>
              <w:rPr>
                <w:spacing w:val="-6"/>
                <w:sz w:val="21"/>
              </w:rPr>
              <w:t>口盖音和喉头音</w:t>
            </w:r>
            <w:r>
              <w:rPr>
                <w:spacing w:val="-15"/>
                <w:sz w:val="21"/>
              </w:rPr>
              <w:t>）</w:t>
            </w:r>
            <w:r>
              <w:rPr>
                <w:spacing w:val="-6"/>
                <w:sz w:val="21"/>
              </w:rPr>
              <w:t>中的任何三种、或声带全部切除，或因大脑语</w:t>
            </w:r>
            <w:r>
              <w:rPr>
                <w:spacing w:val="-9"/>
                <w:sz w:val="21"/>
              </w:rPr>
              <w:t>言中枢受伤害而患失语症。咀嚼吞咽能力完全丧失，指因牙齿以</w:t>
            </w:r>
            <w:r>
              <w:rPr>
                <w:spacing w:val="-7"/>
                <w:sz w:val="21"/>
              </w:rPr>
              <w:t>外的原因导致器质障碍或机能障碍，以致不能作咀嚼吞咽运动， </w:t>
            </w:r>
            <w:r>
              <w:rPr>
                <w:spacing w:val="-6"/>
                <w:sz w:val="21"/>
              </w:rPr>
              <w:t>除流质食物外不能摄取或吞咽的状态。</w:t>
            </w:r>
          </w:p>
        </w:tc>
      </w:tr>
      <w:tr>
        <w:trPr>
          <w:trHeight w:val="481" w:hRule="atLeast"/>
        </w:trPr>
        <w:tc>
          <w:tcPr>
            <w:tcW w:w="749" w:type="dxa"/>
            <w:tcBorders>
              <w:bottom w:val="single" w:sz="8" w:space="0" w:color="000000"/>
            </w:tcBorders>
          </w:tcPr>
          <w:p>
            <w:pPr>
              <w:pStyle w:val="TableParagraph"/>
              <w:spacing w:line="403" w:lineRule="exact" w:before="58"/>
              <w:ind w:left="105"/>
              <w:rPr>
                <w:rFonts w:ascii="Microsoft JhengHei"/>
                <w:b/>
                <w:sz w:val="24"/>
              </w:rPr>
            </w:pPr>
            <w:r>
              <w:rPr>
                <w:rFonts w:ascii="Microsoft JhengHei"/>
                <w:b/>
                <w:w w:val="83"/>
                <w:sz w:val="24"/>
              </w:rPr>
              <w:t>1</w:t>
            </w:r>
            <w:r>
              <w:rPr>
                <w:rFonts w:ascii="Microsoft JhengHei"/>
                <w:b/>
                <w:spacing w:val="3"/>
                <w:w w:val="83"/>
                <w:sz w:val="24"/>
              </w:rPr>
              <w:t>1</w:t>
            </w:r>
            <w:r>
              <w:rPr>
                <w:rFonts w:ascii="Microsoft JhengHei"/>
                <w:b/>
                <w:w w:val="196"/>
                <w:sz w:val="24"/>
              </w:rPr>
              <w:t>.</w:t>
            </w:r>
          </w:p>
        </w:tc>
        <w:tc>
          <w:tcPr>
            <w:tcW w:w="1501" w:type="dxa"/>
            <w:tcBorders>
              <w:bottom w:val="single" w:sz="8" w:space="0" w:color="000000"/>
            </w:tcBorders>
          </w:tcPr>
          <w:p>
            <w:pPr>
              <w:pStyle w:val="TableParagraph"/>
              <w:spacing w:line="403" w:lineRule="exact" w:before="58"/>
              <w:ind w:left="220"/>
              <w:rPr>
                <w:rFonts w:ascii="Microsoft JhengHei" w:eastAsia="Microsoft JhengHei" w:hint="eastAsia"/>
                <w:b/>
                <w:sz w:val="24"/>
              </w:rPr>
            </w:pPr>
            <w:r>
              <w:rPr>
                <w:rFonts w:ascii="Microsoft JhengHei" w:eastAsia="Microsoft JhengHei" w:hint="eastAsia"/>
                <w:b/>
                <w:sz w:val="24"/>
              </w:rPr>
              <w:t>释义</w:t>
            </w:r>
          </w:p>
        </w:tc>
        <w:tc>
          <w:tcPr>
            <w:tcW w:w="6060" w:type="dxa"/>
            <w:tcBorders>
              <w:bottom w:val="single" w:sz="8" w:space="0" w:color="000000"/>
            </w:tcBorders>
          </w:tcPr>
          <w:p>
            <w:pPr>
              <w:pStyle w:val="TableParagraph"/>
              <w:ind w:left="0"/>
              <w:rPr>
                <w:rFonts w:ascii="Times New Roman"/>
                <w:sz w:val="20"/>
              </w:rPr>
            </w:pPr>
          </w:p>
        </w:tc>
      </w:tr>
      <w:tr>
        <w:trPr>
          <w:trHeight w:val="879" w:hRule="atLeast"/>
        </w:trPr>
        <w:tc>
          <w:tcPr>
            <w:tcW w:w="749" w:type="dxa"/>
            <w:tcBorders>
              <w:top w:val="single" w:sz="8" w:space="0" w:color="000000"/>
            </w:tcBorders>
          </w:tcPr>
          <w:p>
            <w:pPr>
              <w:pStyle w:val="TableParagraph"/>
              <w:spacing w:before="7"/>
              <w:ind w:left="0"/>
              <w:rPr>
                <w:sz w:val="17"/>
              </w:rPr>
            </w:pPr>
          </w:p>
          <w:p>
            <w:pPr>
              <w:pStyle w:val="TableParagraph"/>
              <w:spacing w:before="1"/>
              <w:ind w:left="105"/>
              <w:rPr>
                <w:rFonts w:ascii="Microsoft JhengHei"/>
                <w:b/>
                <w:sz w:val="21"/>
              </w:rPr>
            </w:pPr>
            <w:r>
              <w:rPr>
                <w:rFonts w:ascii="Microsoft JhengHei"/>
                <w:b/>
                <w:sz w:val="21"/>
              </w:rPr>
              <w:t>11.1</w:t>
            </w:r>
          </w:p>
        </w:tc>
        <w:tc>
          <w:tcPr>
            <w:tcW w:w="1501" w:type="dxa"/>
            <w:tcBorders>
              <w:top w:val="single" w:sz="8" w:space="0" w:color="000000"/>
            </w:tcBorders>
          </w:tcPr>
          <w:p>
            <w:pPr>
              <w:pStyle w:val="TableParagraph"/>
              <w:spacing w:before="7"/>
              <w:ind w:left="0"/>
              <w:rPr>
                <w:sz w:val="17"/>
              </w:rPr>
            </w:pPr>
          </w:p>
          <w:p>
            <w:pPr>
              <w:pStyle w:val="TableParagraph"/>
              <w:spacing w:before="1"/>
              <w:ind w:left="220"/>
              <w:rPr>
                <w:rFonts w:ascii="Microsoft JhengHei" w:eastAsia="Microsoft JhengHei" w:hint="eastAsia"/>
                <w:b/>
                <w:sz w:val="21"/>
              </w:rPr>
            </w:pPr>
            <w:r>
              <w:rPr>
                <w:rFonts w:ascii="Microsoft JhengHei" w:eastAsia="Microsoft JhengHei" w:hint="eastAsia"/>
                <w:b/>
                <w:sz w:val="21"/>
              </w:rPr>
              <w:t>合法有效</w:t>
            </w:r>
          </w:p>
        </w:tc>
        <w:tc>
          <w:tcPr>
            <w:tcW w:w="6060" w:type="dxa"/>
            <w:tcBorders>
              <w:top w:val="single" w:sz="8" w:space="0" w:color="000000"/>
            </w:tcBorders>
          </w:tcPr>
          <w:p>
            <w:pPr>
              <w:pStyle w:val="TableParagraph"/>
              <w:spacing w:before="10"/>
              <w:ind w:left="0"/>
              <w:rPr>
                <w:sz w:val="20"/>
              </w:rPr>
            </w:pPr>
          </w:p>
          <w:p>
            <w:pPr>
              <w:pStyle w:val="TableParagraph"/>
              <w:spacing w:line="300" w:lineRule="atLeast"/>
              <w:ind w:left="107" w:right="53"/>
              <w:rPr>
                <w:sz w:val="21"/>
              </w:rPr>
            </w:pPr>
            <w:r>
              <w:rPr>
                <w:sz w:val="21"/>
              </w:rPr>
              <w:t>本合同所指合法有效均以中华人民共和国法律、法规、行政规章及有关规范性法律文件的规定为判定依据。</w:t>
            </w:r>
          </w:p>
        </w:tc>
      </w:tr>
    </w:tbl>
    <w:p>
      <w:pPr>
        <w:spacing w:after="0" w:line="300" w:lineRule="atLeast"/>
        <w:rPr>
          <w:sz w:val="21"/>
        </w:rPr>
        <w:sectPr>
          <w:pgSz w:w="11910" w:h="16840"/>
          <w:pgMar w:header="0" w:footer="150" w:top="74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442"/>
        <w:gridCol w:w="6214"/>
      </w:tblGrid>
      <w:tr>
        <w:trPr>
          <w:trHeight w:val="1358" w:hRule="atLeast"/>
        </w:trPr>
        <w:tc>
          <w:tcPr>
            <w:tcW w:w="843" w:type="dxa"/>
          </w:tcPr>
          <w:p>
            <w:pPr>
              <w:pStyle w:val="TableParagraph"/>
              <w:spacing w:line="235" w:lineRule="exact"/>
              <w:ind w:left="178" w:right="196"/>
              <w:jc w:val="center"/>
              <w:rPr>
                <w:rFonts w:ascii="Microsoft JhengHei"/>
                <w:b/>
                <w:sz w:val="21"/>
              </w:rPr>
            </w:pPr>
            <w:r>
              <w:rPr>
                <w:rFonts w:ascii="Microsoft JhengHei"/>
                <w:b/>
                <w:sz w:val="21"/>
              </w:rPr>
              <w:t>11.2</w:t>
            </w:r>
          </w:p>
        </w:tc>
        <w:tc>
          <w:tcPr>
            <w:tcW w:w="1442" w:type="dxa"/>
          </w:tcPr>
          <w:p>
            <w:pPr>
              <w:pStyle w:val="TableParagraph"/>
              <w:spacing w:line="235" w:lineRule="exact"/>
              <w:ind w:left="221"/>
              <w:rPr>
                <w:rFonts w:ascii="Microsoft JhengHei" w:eastAsia="Microsoft JhengHei" w:hint="eastAsia"/>
                <w:b/>
                <w:sz w:val="21"/>
              </w:rPr>
            </w:pPr>
            <w:r>
              <w:rPr>
                <w:rFonts w:ascii="Microsoft JhengHei" w:eastAsia="Microsoft JhengHei" w:hint="eastAsia"/>
                <w:b/>
                <w:sz w:val="21"/>
              </w:rPr>
              <w:t>保单年度</w:t>
            </w:r>
          </w:p>
        </w:tc>
        <w:tc>
          <w:tcPr>
            <w:tcW w:w="6214" w:type="dxa"/>
          </w:tcPr>
          <w:p>
            <w:pPr>
              <w:pStyle w:val="TableParagraph"/>
              <w:spacing w:line="211" w:lineRule="exact"/>
              <w:ind w:left="166"/>
              <w:rPr>
                <w:sz w:val="21"/>
              </w:rPr>
            </w:pPr>
            <w:r>
              <w:rPr>
                <w:sz w:val="21"/>
              </w:rPr>
              <w:t>从保险合同生效日或者年生效对应日零时起至下一年度保险合</w:t>
            </w:r>
          </w:p>
          <w:p>
            <w:pPr>
              <w:pStyle w:val="TableParagraph"/>
              <w:spacing w:line="273" w:lineRule="auto" w:before="32"/>
              <w:ind w:left="166" w:right="197"/>
              <w:jc w:val="both"/>
              <w:rPr>
                <w:sz w:val="21"/>
              </w:rPr>
            </w:pPr>
            <w:r>
              <w:rPr>
                <w:spacing w:val="-6"/>
                <w:sz w:val="21"/>
              </w:rPr>
              <w:t>同年生效对应日零时止为一个保单年度。如果当月无对应的同一</w:t>
            </w:r>
            <w:r>
              <w:rPr>
                <w:spacing w:val="-7"/>
                <w:sz w:val="21"/>
              </w:rPr>
              <w:t>日，则以该月最后一日为对应日，前述本合同年生效对应日为保单周年日。</w:t>
            </w:r>
          </w:p>
        </w:tc>
      </w:tr>
      <w:tr>
        <w:trPr>
          <w:trHeight w:val="1262" w:hRule="atLeast"/>
        </w:trPr>
        <w:tc>
          <w:tcPr>
            <w:tcW w:w="843" w:type="dxa"/>
          </w:tcPr>
          <w:p>
            <w:pPr>
              <w:pStyle w:val="TableParagraph"/>
              <w:spacing w:before="85"/>
              <w:ind w:left="178" w:right="196"/>
              <w:jc w:val="center"/>
              <w:rPr>
                <w:rFonts w:ascii="Microsoft JhengHei"/>
                <w:b/>
                <w:sz w:val="21"/>
              </w:rPr>
            </w:pPr>
            <w:r>
              <w:rPr>
                <w:rFonts w:ascii="Microsoft JhengHei"/>
                <w:b/>
                <w:sz w:val="21"/>
              </w:rPr>
              <w:t>11.3</w:t>
            </w:r>
          </w:p>
        </w:tc>
        <w:tc>
          <w:tcPr>
            <w:tcW w:w="1442" w:type="dxa"/>
          </w:tcPr>
          <w:p>
            <w:pPr>
              <w:pStyle w:val="TableParagraph"/>
              <w:spacing w:line="201" w:lineRule="auto" w:before="144"/>
              <w:ind w:left="221" w:right="162"/>
              <w:rPr>
                <w:rFonts w:ascii="Microsoft JhengHei" w:eastAsia="Microsoft JhengHei" w:hint="eastAsia"/>
                <w:b/>
                <w:sz w:val="21"/>
              </w:rPr>
            </w:pPr>
            <w:r>
              <w:rPr>
                <w:rFonts w:ascii="Microsoft JhengHei" w:eastAsia="Microsoft JhengHei" w:hint="eastAsia"/>
                <w:b/>
                <w:sz w:val="21"/>
              </w:rPr>
              <w:t>保险费约定交纳日</w:t>
            </w:r>
          </w:p>
        </w:tc>
        <w:tc>
          <w:tcPr>
            <w:tcW w:w="6214" w:type="dxa"/>
          </w:tcPr>
          <w:p>
            <w:pPr>
              <w:pStyle w:val="TableParagraph"/>
              <w:spacing w:line="271" w:lineRule="auto" w:before="152"/>
              <w:ind w:left="166" w:right="199"/>
              <w:jc w:val="both"/>
              <w:rPr>
                <w:sz w:val="21"/>
              </w:rPr>
            </w:pPr>
            <w:r>
              <w:rPr>
                <w:spacing w:val="-6"/>
                <w:sz w:val="21"/>
              </w:rPr>
              <w:t>保险合同生效日在每月、每季、每半年或者每年</w:t>
            </w:r>
            <w:r>
              <w:rPr>
                <w:sz w:val="21"/>
              </w:rPr>
              <w:t>（</w:t>
            </w:r>
            <w:r>
              <w:rPr>
                <w:spacing w:val="-2"/>
                <w:sz w:val="21"/>
              </w:rPr>
              <w:t>根据交费方式确定</w:t>
            </w:r>
            <w:r>
              <w:rPr>
                <w:spacing w:val="-15"/>
                <w:sz w:val="21"/>
              </w:rPr>
              <w:t>）</w:t>
            </w:r>
            <w:r>
              <w:rPr>
                <w:spacing w:val="-6"/>
                <w:sz w:val="21"/>
              </w:rPr>
              <w:t>的对应日。如果当月无对应的同一日，则以该月最后一日为对应日。</w:t>
            </w:r>
          </w:p>
        </w:tc>
      </w:tr>
      <w:tr>
        <w:trPr>
          <w:trHeight w:val="1884" w:hRule="atLeast"/>
        </w:trPr>
        <w:tc>
          <w:tcPr>
            <w:tcW w:w="843" w:type="dxa"/>
          </w:tcPr>
          <w:p>
            <w:pPr>
              <w:pStyle w:val="TableParagraph"/>
              <w:spacing w:before="85"/>
              <w:ind w:left="178" w:right="196"/>
              <w:jc w:val="center"/>
              <w:rPr>
                <w:rFonts w:ascii="Microsoft JhengHei"/>
                <w:b/>
                <w:sz w:val="21"/>
              </w:rPr>
            </w:pPr>
            <w:r>
              <w:rPr>
                <w:rFonts w:ascii="Microsoft JhengHei"/>
                <w:b/>
                <w:sz w:val="21"/>
              </w:rPr>
              <w:t>11.4</w:t>
            </w:r>
          </w:p>
        </w:tc>
        <w:tc>
          <w:tcPr>
            <w:tcW w:w="1442" w:type="dxa"/>
          </w:tcPr>
          <w:p>
            <w:pPr>
              <w:pStyle w:val="TableParagraph"/>
              <w:spacing w:before="85"/>
              <w:ind w:left="221"/>
              <w:rPr>
                <w:rFonts w:ascii="Microsoft JhengHei" w:eastAsia="Microsoft JhengHei" w:hint="eastAsia"/>
                <w:b/>
                <w:sz w:val="21"/>
              </w:rPr>
            </w:pPr>
            <w:r>
              <w:rPr>
                <w:rFonts w:ascii="Microsoft JhengHei" w:eastAsia="Microsoft JhengHei" w:hint="eastAsia"/>
                <w:b/>
                <w:sz w:val="21"/>
              </w:rPr>
              <w:t>周岁</w:t>
            </w:r>
          </w:p>
        </w:tc>
        <w:tc>
          <w:tcPr>
            <w:tcW w:w="6214" w:type="dxa"/>
          </w:tcPr>
          <w:p>
            <w:pPr>
              <w:pStyle w:val="TableParagraph"/>
              <w:spacing w:line="271" w:lineRule="auto" w:before="152"/>
              <w:ind w:left="166" w:right="196"/>
              <w:jc w:val="both"/>
              <w:rPr>
                <w:sz w:val="21"/>
              </w:rPr>
            </w:pPr>
            <w:r>
              <w:rPr>
                <w:spacing w:val="-6"/>
                <w:sz w:val="21"/>
              </w:rPr>
              <w:t>指按有效身份证件中记载的出生日期计算的年龄，自出生之日起</w:t>
            </w:r>
            <w:r>
              <w:rPr>
                <w:spacing w:val="-9"/>
                <w:sz w:val="21"/>
              </w:rPr>
              <w:t>为零周岁，每经过一年增加一岁，不足一年的不计。例如，出生</w:t>
            </w:r>
            <w:r>
              <w:rPr>
                <w:spacing w:val="-20"/>
                <w:sz w:val="21"/>
              </w:rPr>
              <w:t>日期为 </w:t>
            </w:r>
            <w:r>
              <w:rPr>
                <w:sz w:val="21"/>
              </w:rPr>
              <w:t>2000</w:t>
            </w:r>
            <w:r>
              <w:rPr>
                <w:spacing w:val="-35"/>
                <w:sz w:val="21"/>
              </w:rPr>
              <w:t> 年 </w:t>
            </w:r>
            <w:r>
              <w:rPr>
                <w:sz w:val="21"/>
              </w:rPr>
              <w:t>9</w:t>
            </w:r>
            <w:r>
              <w:rPr>
                <w:spacing w:val="-35"/>
                <w:sz w:val="21"/>
              </w:rPr>
              <w:t> 月 </w:t>
            </w:r>
            <w:r>
              <w:rPr>
                <w:sz w:val="21"/>
              </w:rPr>
              <w:t>1</w:t>
            </w:r>
            <w:r>
              <w:rPr>
                <w:spacing w:val="-28"/>
                <w:sz w:val="21"/>
              </w:rPr>
              <w:t> 日</w:t>
            </w:r>
            <w:r>
              <w:rPr>
                <w:sz w:val="21"/>
              </w:rPr>
              <w:t>，2000</w:t>
            </w:r>
            <w:r>
              <w:rPr>
                <w:spacing w:val="-35"/>
                <w:sz w:val="21"/>
              </w:rPr>
              <w:t> 年 </w:t>
            </w:r>
            <w:r>
              <w:rPr>
                <w:sz w:val="21"/>
              </w:rPr>
              <w:t>9</w:t>
            </w:r>
            <w:r>
              <w:rPr>
                <w:spacing w:val="-35"/>
                <w:sz w:val="21"/>
              </w:rPr>
              <w:t> 月 </w:t>
            </w:r>
            <w:r>
              <w:rPr>
                <w:sz w:val="21"/>
              </w:rPr>
              <w:t>1</w:t>
            </w:r>
            <w:r>
              <w:rPr>
                <w:spacing w:val="-27"/>
                <w:sz w:val="21"/>
              </w:rPr>
              <w:t> 日至 </w:t>
            </w:r>
            <w:r>
              <w:rPr>
                <w:sz w:val="21"/>
              </w:rPr>
              <w:t>2001</w:t>
            </w:r>
            <w:r>
              <w:rPr>
                <w:spacing w:val="-36"/>
                <w:sz w:val="21"/>
              </w:rPr>
              <w:t> 年 </w:t>
            </w:r>
            <w:r>
              <w:rPr>
                <w:sz w:val="21"/>
              </w:rPr>
              <w:t>8</w:t>
            </w:r>
            <w:r>
              <w:rPr>
                <w:spacing w:val="-35"/>
                <w:sz w:val="21"/>
              </w:rPr>
              <w:t> 月 </w:t>
            </w:r>
            <w:r>
              <w:rPr>
                <w:sz w:val="21"/>
              </w:rPr>
              <w:t>31</w:t>
            </w:r>
            <w:r>
              <w:rPr>
                <w:spacing w:val="-26"/>
                <w:sz w:val="21"/>
              </w:rPr>
              <w:t> 日</w:t>
            </w:r>
          </w:p>
          <w:p>
            <w:pPr>
              <w:pStyle w:val="TableParagraph"/>
              <w:spacing w:line="273" w:lineRule="auto" w:before="9"/>
              <w:ind w:left="166" w:right="196"/>
              <w:jc w:val="both"/>
              <w:rPr>
                <w:sz w:val="21"/>
              </w:rPr>
            </w:pPr>
            <w:r>
              <w:rPr>
                <w:w w:val="100"/>
                <w:sz w:val="21"/>
              </w:rPr>
              <w:t>期间为</w:t>
            </w:r>
            <w:r>
              <w:rPr>
                <w:spacing w:val="-52"/>
                <w:sz w:val="21"/>
              </w:rPr>
              <w:t> </w:t>
            </w:r>
            <w:r>
              <w:rPr>
                <w:w w:val="100"/>
                <w:sz w:val="21"/>
              </w:rPr>
              <w:t>0</w:t>
            </w:r>
            <w:r>
              <w:rPr>
                <w:spacing w:val="-53"/>
                <w:sz w:val="21"/>
              </w:rPr>
              <w:t> </w:t>
            </w:r>
            <w:r>
              <w:rPr>
                <w:spacing w:val="-33"/>
                <w:w w:val="100"/>
                <w:sz w:val="21"/>
              </w:rPr>
              <w:t>周岁，</w:t>
            </w:r>
            <w:r>
              <w:rPr>
                <w:w w:val="100"/>
                <w:sz w:val="21"/>
              </w:rPr>
              <w:t>2001</w:t>
            </w:r>
            <w:r>
              <w:rPr>
                <w:spacing w:val="-53"/>
                <w:sz w:val="21"/>
              </w:rPr>
              <w:t> </w:t>
            </w:r>
            <w:r>
              <w:rPr>
                <w:w w:val="100"/>
                <w:sz w:val="21"/>
              </w:rPr>
              <w:t>年</w:t>
            </w:r>
            <w:r>
              <w:rPr>
                <w:spacing w:val="-57"/>
                <w:sz w:val="21"/>
              </w:rPr>
              <w:t> </w:t>
            </w:r>
            <w:r>
              <w:rPr>
                <w:w w:val="100"/>
                <w:sz w:val="21"/>
              </w:rPr>
              <w:t>9</w:t>
            </w:r>
            <w:r>
              <w:rPr>
                <w:spacing w:val="-53"/>
                <w:sz w:val="21"/>
              </w:rPr>
              <w:t> </w:t>
            </w:r>
            <w:r>
              <w:rPr>
                <w:w w:val="100"/>
                <w:sz w:val="21"/>
              </w:rPr>
              <w:t>月</w:t>
            </w:r>
            <w:r>
              <w:rPr>
                <w:spacing w:val="-52"/>
                <w:sz w:val="21"/>
              </w:rPr>
              <w:t> </w:t>
            </w:r>
            <w:r>
              <w:rPr>
                <w:w w:val="100"/>
                <w:sz w:val="21"/>
              </w:rPr>
              <w:t>1</w:t>
            </w:r>
            <w:r>
              <w:rPr>
                <w:spacing w:val="-53"/>
                <w:sz w:val="21"/>
              </w:rPr>
              <w:t> </w:t>
            </w:r>
            <w:r>
              <w:rPr>
                <w:spacing w:val="-3"/>
                <w:w w:val="100"/>
                <w:sz w:val="21"/>
              </w:rPr>
              <w:t>日至</w:t>
            </w:r>
            <w:r>
              <w:rPr>
                <w:spacing w:val="-53"/>
                <w:sz w:val="21"/>
              </w:rPr>
              <w:t> </w:t>
            </w:r>
            <w:r>
              <w:rPr>
                <w:w w:val="100"/>
                <w:sz w:val="21"/>
              </w:rPr>
              <w:t>2002</w:t>
            </w:r>
            <w:r>
              <w:rPr>
                <w:spacing w:val="-57"/>
                <w:sz w:val="21"/>
              </w:rPr>
              <w:t> </w:t>
            </w:r>
            <w:r>
              <w:rPr>
                <w:w w:val="100"/>
                <w:sz w:val="21"/>
              </w:rPr>
              <w:t>年</w:t>
            </w:r>
            <w:r>
              <w:rPr>
                <w:spacing w:val="-52"/>
                <w:sz w:val="21"/>
              </w:rPr>
              <w:t> </w:t>
            </w:r>
            <w:r>
              <w:rPr>
                <w:w w:val="100"/>
                <w:sz w:val="21"/>
              </w:rPr>
              <w:t>8</w:t>
            </w:r>
            <w:r>
              <w:rPr>
                <w:spacing w:val="-53"/>
                <w:sz w:val="21"/>
              </w:rPr>
              <w:t> </w:t>
            </w:r>
            <w:r>
              <w:rPr>
                <w:w w:val="100"/>
                <w:sz w:val="21"/>
              </w:rPr>
              <w:t>月</w:t>
            </w:r>
            <w:r>
              <w:rPr>
                <w:spacing w:val="-53"/>
                <w:sz w:val="21"/>
              </w:rPr>
              <w:t> </w:t>
            </w:r>
            <w:r>
              <w:rPr>
                <w:w w:val="100"/>
                <w:sz w:val="21"/>
              </w:rPr>
              <w:t>31</w:t>
            </w:r>
            <w:r>
              <w:rPr>
                <w:spacing w:val="-57"/>
                <w:sz w:val="21"/>
              </w:rPr>
              <w:t> </w:t>
            </w:r>
            <w:r>
              <w:rPr>
                <w:spacing w:val="-2"/>
                <w:w w:val="100"/>
                <w:sz w:val="21"/>
              </w:rPr>
              <w:t>日期间为</w:t>
            </w:r>
            <w:r>
              <w:rPr>
                <w:spacing w:val="-52"/>
                <w:sz w:val="21"/>
              </w:rPr>
              <w:t> </w:t>
            </w:r>
            <w:r>
              <w:rPr>
                <w:w w:val="100"/>
                <w:sz w:val="21"/>
              </w:rPr>
              <w:t>1</w:t>
            </w:r>
            <w:r>
              <w:rPr>
                <w:spacing w:val="-53"/>
                <w:sz w:val="21"/>
              </w:rPr>
              <w:t> </w:t>
            </w:r>
            <w:r>
              <w:rPr>
                <w:w w:val="100"/>
                <w:sz w:val="21"/>
              </w:rPr>
              <w:t>周</w:t>
            </w:r>
            <w:r>
              <w:rPr>
                <w:spacing w:val="-1"/>
                <w:sz w:val="21"/>
              </w:rPr>
              <w:t>岁，依此类推。</w:t>
            </w:r>
          </w:p>
        </w:tc>
      </w:tr>
      <w:tr>
        <w:trPr>
          <w:trHeight w:val="1574" w:hRule="atLeast"/>
        </w:trPr>
        <w:tc>
          <w:tcPr>
            <w:tcW w:w="843" w:type="dxa"/>
          </w:tcPr>
          <w:p>
            <w:pPr>
              <w:pStyle w:val="TableParagraph"/>
              <w:spacing w:before="83"/>
              <w:ind w:left="178" w:right="196"/>
              <w:jc w:val="center"/>
              <w:rPr>
                <w:rFonts w:ascii="Microsoft JhengHei"/>
                <w:b/>
                <w:sz w:val="21"/>
              </w:rPr>
            </w:pPr>
            <w:r>
              <w:rPr>
                <w:rFonts w:ascii="Microsoft JhengHei"/>
                <w:b/>
                <w:sz w:val="21"/>
              </w:rPr>
              <w:t>11.5</w:t>
            </w:r>
          </w:p>
        </w:tc>
        <w:tc>
          <w:tcPr>
            <w:tcW w:w="1442" w:type="dxa"/>
          </w:tcPr>
          <w:p>
            <w:pPr>
              <w:pStyle w:val="TableParagraph"/>
              <w:spacing w:line="204" w:lineRule="auto" w:before="138"/>
              <w:ind w:left="221" w:right="162"/>
              <w:rPr>
                <w:rFonts w:ascii="Microsoft JhengHei" w:eastAsia="Microsoft JhengHei" w:hint="eastAsia"/>
                <w:b/>
                <w:sz w:val="21"/>
              </w:rPr>
            </w:pPr>
            <w:r>
              <w:rPr>
                <w:rFonts w:ascii="Microsoft JhengHei" w:eastAsia="Microsoft JhengHei" w:hint="eastAsia"/>
                <w:b/>
                <w:sz w:val="21"/>
              </w:rPr>
              <w:t>有效身份证件</w:t>
            </w:r>
          </w:p>
        </w:tc>
        <w:tc>
          <w:tcPr>
            <w:tcW w:w="6214" w:type="dxa"/>
          </w:tcPr>
          <w:p>
            <w:pPr>
              <w:pStyle w:val="TableParagraph"/>
              <w:spacing w:line="273" w:lineRule="auto" w:before="150"/>
              <w:ind w:left="166" w:right="199"/>
              <w:jc w:val="both"/>
              <w:rPr>
                <w:sz w:val="21"/>
              </w:rPr>
            </w:pPr>
            <w:r>
              <w:rPr>
                <w:spacing w:val="2"/>
                <w:sz w:val="21"/>
              </w:rPr>
              <w:t>指由中华人民共和国政府主管部门规定的能够证明其身份的证</w:t>
            </w:r>
            <w:r>
              <w:rPr>
                <w:spacing w:val="-7"/>
                <w:sz w:val="21"/>
              </w:rPr>
              <w:t>件，如：居民身份证、军官证、警官证、士兵证、户口簿以及中</w:t>
            </w:r>
            <w:r>
              <w:rPr>
                <w:spacing w:val="2"/>
                <w:sz w:val="21"/>
              </w:rPr>
              <w:t>华人民共和国政府主管部门颁发或者认可的有效护照或者其他</w:t>
            </w:r>
            <w:r>
              <w:rPr>
                <w:spacing w:val="-1"/>
                <w:sz w:val="21"/>
              </w:rPr>
              <w:t>身份证明文件。</w:t>
            </w:r>
          </w:p>
        </w:tc>
      </w:tr>
      <w:tr>
        <w:trPr>
          <w:trHeight w:val="950" w:hRule="atLeast"/>
        </w:trPr>
        <w:tc>
          <w:tcPr>
            <w:tcW w:w="843" w:type="dxa"/>
          </w:tcPr>
          <w:p>
            <w:pPr>
              <w:pStyle w:val="TableParagraph"/>
              <w:spacing w:before="83"/>
              <w:ind w:left="178" w:right="196"/>
              <w:jc w:val="center"/>
              <w:rPr>
                <w:rFonts w:ascii="Microsoft JhengHei"/>
                <w:b/>
                <w:sz w:val="21"/>
              </w:rPr>
            </w:pPr>
            <w:r>
              <w:rPr>
                <w:rFonts w:ascii="Microsoft JhengHei"/>
                <w:b/>
                <w:sz w:val="21"/>
              </w:rPr>
              <w:t>11.6</w:t>
            </w:r>
          </w:p>
        </w:tc>
        <w:tc>
          <w:tcPr>
            <w:tcW w:w="1442" w:type="dxa"/>
          </w:tcPr>
          <w:p>
            <w:pPr>
              <w:pStyle w:val="TableParagraph"/>
              <w:spacing w:before="83"/>
              <w:ind w:left="221"/>
              <w:rPr>
                <w:rFonts w:ascii="Microsoft JhengHei" w:eastAsia="Microsoft JhengHei" w:hint="eastAsia"/>
                <w:b/>
                <w:sz w:val="21"/>
              </w:rPr>
            </w:pPr>
            <w:r>
              <w:rPr>
                <w:rFonts w:ascii="Microsoft JhengHei" w:eastAsia="Microsoft JhengHei" w:hint="eastAsia"/>
                <w:b/>
                <w:sz w:val="21"/>
              </w:rPr>
              <w:t>意外伤害</w:t>
            </w:r>
          </w:p>
        </w:tc>
        <w:tc>
          <w:tcPr>
            <w:tcW w:w="6214" w:type="dxa"/>
          </w:tcPr>
          <w:p>
            <w:pPr>
              <w:pStyle w:val="TableParagraph"/>
              <w:spacing w:line="273" w:lineRule="auto" w:before="150"/>
              <w:ind w:left="166" w:right="148"/>
              <w:rPr>
                <w:sz w:val="21"/>
              </w:rPr>
            </w:pPr>
            <w:r>
              <w:rPr>
                <w:sz w:val="21"/>
              </w:rPr>
              <w:t>指遭受外来的、突发的、非本意的、非疾病的客观事件直接致使身体受到的伤害。</w:t>
            </w:r>
          </w:p>
        </w:tc>
      </w:tr>
      <w:tr>
        <w:trPr>
          <w:trHeight w:val="3447" w:hRule="atLeast"/>
        </w:trPr>
        <w:tc>
          <w:tcPr>
            <w:tcW w:w="843" w:type="dxa"/>
          </w:tcPr>
          <w:p>
            <w:pPr>
              <w:pStyle w:val="TableParagraph"/>
              <w:spacing w:before="83"/>
              <w:ind w:left="178" w:right="196"/>
              <w:jc w:val="center"/>
              <w:rPr>
                <w:rFonts w:ascii="Microsoft JhengHei"/>
                <w:b/>
                <w:sz w:val="21"/>
              </w:rPr>
            </w:pPr>
            <w:r>
              <w:rPr>
                <w:rFonts w:ascii="Microsoft JhengHei"/>
                <w:b/>
                <w:sz w:val="21"/>
              </w:rPr>
              <w:t>11.7</w:t>
            </w:r>
          </w:p>
        </w:tc>
        <w:tc>
          <w:tcPr>
            <w:tcW w:w="1442" w:type="dxa"/>
          </w:tcPr>
          <w:p>
            <w:pPr>
              <w:pStyle w:val="TableParagraph"/>
              <w:spacing w:before="83"/>
              <w:ind w:left="221"/>
              <w:rPr>
                <w:rFonts w:ascii="Microsoft JhengHei" w:eastAsia="Microsoft JhengHei" w:hint="eastAsia"/>
                <w:b/>
                <w:sz w:val="21"/>
              </w:rPr>
            </w:pPr>
            <w:r>
              <w:rPr>
                <w:rFonts w:ascii="Microsoft JhengHei" w:eastAsia="Microsoft JhengHei" w:hint="eastAsia"/>
                <w:b/>
                <w:sz w:val="21"/>
              </w:rPr>
              <w:t>医院</w:t>
            </w:r>
          </w:p>
        </w:tc>
        <w:tc>
          <w:tcPr>
            <w:tcW w:w="6214" w:type="dxa"/>
          </w:tcPr>
          <w:p>
            <w:pPr>
              <w:pStyle w:val="TableParagraph"/>
              <w:spacing w:line="273" w:lineRule="auto" w:before="150"/>
              <w:ind w:left="166" w:right="198"/>
              <w:jc w:val="both"/>
              <w:rPr>
                <w:sz w:val="21"/>
              </w:rPr>
            </w:pPr>
            <w:r>
              <w:rPr>
                <w:spacing w:val="-7"/>
                <w:sz w:val="21"/>
              </w:rPr>
              <w:t>指拥有卫生行政部门核发的《医疗机构执业许可证》</w:t>
            </w:r>
            <w:r>
              <w:rPr>
                <w:sz w:val="21"/>
              </w:rPr>
              <w:t>（国家不核</w:t>
            </w:r>
            <w:r>
              <w:rPr>
                <w:spacing w:val="-6"/>
                <w:sz w:val="21"/>
              </w:rPr>
              <w:t>拨经费、实行企业化经营的医院，还需依法申领营业执照</w:t>
            </w:r>
            <w:r>
              <w:rPr>
                <w:spacing w:val="-10"/>
                <w:sz w:val="21"/>
              </w:rPr>
              <w:t>），</w:t>
            </w:r>
            <w:r>
              <w:rPr>
                <w:sz w:val="21"/>
              </w:rPr>
              <w:t>有</w:t>
            </w:r>
            <w:r>
              <w:rPr>
                <w:spacing w:val="-6"/>
                <w:sz w:val="21"/>
              </w:rPr>
              <w:t>合格医生和护士提供二十四小时医疗护理服务的，具有系统性诊</w:t>
            </w:r>
            <w:r>
              <w:rPr>
                <w:spacing w:val="-8"/>
                <w:sz w:val="21"/>
              </w:rPr>
              <w:t>疗程序、手术设备和住院诊疗设施的，符合卫生部颁发的医疗机</w:t>
            </w:r>
            <w:r>
              <w:rPr>
                <w:spacing w:val="-9"/>
                <w:sz w:val="21"/>
              </w:rPr>
              <w:t>构基本标准的二级或二级以上医院。医院不包括康复医院或康复</w:t>
            </w:r>
            <w:r>
              <w:rPr>
                <w:spacing w:val="-10"/>
                <w:sz w:val="21"/>
              </w:rPr>
              <w:t>病房、精神病医院、疗养院、美容医院、护理院、戒酒或戒毒中</w:t>
            </w:r>
            <w:r>
              <w:rPr>
                <w:spacing w:val="-7"/>
                <w:sz w:val="21"/>
              </w:rPr>
              <w:t>心、精神心理治疗中心、急诊或门诊观察室、二级或三级医院的</w:t>
            </w:r>
            <w:r>
              <w:rPr>
                <w:spacing w:val="-9"/>
                <w:sz w:val="21"/>
              </w:rPr>
              <w:t>联合医院或联合病房、民营医院等，以及其它不符合本条款约定</w:t>
            </w:r>
            <w:r>
              <w:rPr>
                <w:spacing w:val="-10"/>
                <w:sz w:val="21"/>
              </w:rPr>
              <w:t>范围的医院。若本合同中附有关于医院范围的特别约定，则具体</w:t>
            </w:r>
            <w:r>
              <w:rPr>
                <w:spacing w:val="-7"/>
                <w:sz w:val="21"/>
              </w:rPr>
              <w:t>医院范围以此特别约定为准。</w:t>
            </w:r>
          </w:p>
        </w:tc>
      </w:tr>
      <w:tr>
        <w:trPr>
          <w:trHeight w:val="2590" w:hRule="atLeast"/>
        </w:trPr>
        <w:tc>
          <w:tcPr>
            <w:tcW w:w="843" w:type="dxa"/>
          </w:tcPr>
          <w:p>
            <w:pPr>
              <w:pStyle w:val="TableParagraph"/>
              <w:spacing w:before="83"/>
              <w:ind w:left="178" w:right="196"/>
              <w:jc w:val="center"/>
              <w:rPr>
                <w:rFonts w:ascii="Microsoft JhengHei"/>
                <w:b/>
                <w:sz w:val="21"/>
              </w:rPr>
            </w:pPr>
            <w:r>
              <w:rPr>
                <w:rFonts w:ascii="Microsoft JhengHei"/>
                <w:b/>
                <w:sz w:val="21"/>
              </w:rPr>
              <w:t>11.8</w:t>
            </w:r>
          </w:p>
        </w:tc>
        <w:tc>
          <w:tcPr>
            <w:tcW w:w="1442" w:type="dxa"/>
          </w:tcPr>
          <w:p>
            <w:pPr>
              <w:pStyle w:val="TableParagraph"/>
              <w:spacing w:before="83"/>
              <w:ind w:left="221"/>
              <w:rPr>
                <w:rFonts w:ascii="Microsoft JhengHei" w:eastAsia="Microsoft JhengHei" w:hint="eastAsia"/>
                <w:b/>
                <w:sz w:val="21"/>
              </w:rPr>
            </w:pPr>
            <w:r>
              <w:rPr>
                <w:rFonts w:ascii="Microsoft JhengHei" w:eastAsia="Microsoft JhengHei" w:hint="eastAsia"/>
                <w:b/>
                <w:sz w:val="21"/>
              </w:rPr>
              <w:t>专科医生</w:t>
            </w:r>
          </w:p>
        </w:tc>
        <w:tc>
          <w:tcPr>
            <w:tcW w:w="6214" w:type="dxa"/>
          </w:tcPr>
          <w:p>
            <w:pPr>
              <w:pStyle w:val="TableParagraph"/>
              <w:spacing w:before="150"/>
              <w:ind w:left="166"/>
              <w:rPr>
                <w:sz w:val="21"/>
              </w:rPr>
            </w:pPr>
            <w:r>
              <w:rPr>
                <w:sz w:val="21"/>
              </w:rPr>
              <w:t>专科医生应当同时满足以下四项资格条件：</w:t>
            </w:r>
          </w:p>
          <w:p>
            <w:pPr>
              <w:pStyle w:val="TableParagraph"/>
              <w:numPr>
                <w:ilvl w:val="0"/>
                <w:numId w:val="18"/>
              </w:numPr>
              <w:tabs>
                <w:tab w:pos="590" w:val="left" w:leader="none"/>
              </w:tabs>
              <w:spacing w:line="240" w:lineRule="auto" w:before="37" w:after="0"/>
              <w:ind w:left="589" w:right="0" w:hanging="423"/>
              <w:jc w:val="left"/>
              <w:rPr>
                <w:sz w:val="21"/>
              </w:rPr>
            </w:pPr>
            <w:r>
              <w:rPr>
                <w:spacing w:val="-10"/>
                <w:sz w:val="21"/>
              </w:rPr>
              <w:t>具有有效的中华人民共和国《医师资格证书》；</w:t>
            </w:r>
          </w:p>
          <w:p>
            <w:pPr>
              <w:pStyle w:val="TableParagraph"/>
              <w:numPr>
                <w:ilvl w:val="0"/>
                <w:numId w:val="18"/>
              </w:numPr>
              <w:tabs>
                <w:tab w:pos="590" w:val="left" w:leader="none"/>
              </w:tabs>
              <w:spacing w:line="273" w:lineRule="auto" w:before="36" w:after="0"/>
              <w:ind w:left="589" w:right="198" w:hanging="423"/>
              <w:jc w:val="left"/>
              <w:rPr>
                <w:sz w:val="21"/>
              </w:rPr>
            </w:pPr>
            <w:r>
              <w:rPr>
                <w:spacing w:val="-16"/>
                <w:sz w:val="21"/>
              </w:rPr>
              <w:t>具有有效的中华人民共和国《医师执业证书》，并按期到相关</w:t>
            </w:r>
            <w:r>
              <w:rPr>
                <w:spacing w:val="-11"/>
                <w:sz w:val="21"/>
              </w:rPr>
              <w:t>部门登记注册；</w:t>
            </w:r>
          </w:p>
          <w:p>
            <w:pPr>
              <w:pStyle w:val="TableParagraph"/>
              <w:numPr>
                <w:ilvl w:val="0"/>
                <w:numId w:val="18"/>
              </w:numPr>
              <w:tabs>
                <w:tab w:pos="590" w:val="left" w:leader="none"/>
              </w:tabs>
              <w:spacing w:line="273" w:lineRule="auto" w:before="7" w:after="0"/>
              <w:ind w:left="589" w:right="202" w:hanging="423"/>
              <w:jc w:val="left"/>
              <w:rPr>
                <w:sz w:val="21"/>
              </w:rPr>
            </w:pPr>
            <w:r>
              <w:rPr>
                <w:spacing w:val="1"/>
                <w:sz w:val="21"/>
              </w:rPr>
              <w:t>具有有效的中华人民共和国主治医师或者主治医师以上职</w:t>
            </w:r>
            <w:r>
              <w:rPr>
                <w:spacing w:val="-11"/>
                <w:sz w:val="21"/>
              </w:rPr>
              <w:t>称的《医师职称证书》；</w:t>
            </w:r>
          </w:p>
          <w:p>
            <w:pPr>
              <w:pStyle w:val="TableParagraph"/>
              <w:spacing w:before="89"/>
              <w:ind w:left="166"/>
              <w:rPr>
                <w:sz w:val="21"/>
              </w:rPr>
            </w:pPr>
            <w:r>
              <w:rPr>
                <w:sz w:val="21"/>
              </w:rPr>
              <w:t>在二级或者二级以上医院的相应科室从事临床工作三年以上。</w:t>
            </w:r>
          </w:p>
        </w:tc>
      </w:tr>
      <w:tr>
        <w:trPr>
          <w:trHeight w:val="1829" w:hRule="atLeast"/>
        </w:trPr>
        <w:tc>
          <w:tcPr>
            <w:tcW w:w="843" w:type="dxa"/>
          </w:tcPr>
          <w:p>
            <w:pPr>
              <w:pStyle w:val="TableParagraph"/>
              <w:spacing w:before="80"/>
              <w:ind w:left="178" w:right="196"/>
              <w:jc w:val="center"/>
              <w:rPr>
                <w:rFonts w:ascii="Microsoft JhengHei"/>
                <w:b/>
                <w:sz w:val="21"/>
              </w:rPr>
            </w:pPr>
            <w:r>
              <w:rPr>
                <w:rFonts w:ascii="Microsoft JhengHei"/>
                <w:b/>
                <w:sz w:val="21"/>
              </w:rPr>
              <w:t>11.9</w:t>
            </w:r>
          </w:p>
        </w:tc>
        <w:tc>
          <w:tcPr>
            <w:tcW w:w="1442" w:type="dxa"/>
          </w:tcPr>
          <w:p>
            <w:pPr>
              <w:pStyle w:val="TableParagraph"/>
              <w:spacing w:before="80"/>
              <w:ind w:left="221"/>
              <w:rPr>
                <w:rFonts w:ascii="Microsoft JhengHei" w:eastAsia="Microsoft JhengHei" w:hint="eastAsia"/>
                <w:b/>
                <w:sz w:val="21"/>
              </w:rPr>
            </w:pPr>
            <w:r>
              <w:rPr>
                <w:rFonts w:ascii="Microsoft JhengHei" w:eastAsia="Microsoft JhengHei" w:hint="eastAsia"/>
                <w:b/>
                <w:sz w:val="21"/>
              </w:rPr>
              <w:t>初次确诊</w:t>
            </w:r>
          </w:p>
        </w:tc>
        <w:tc>
          <w:tcPr>
            <w:tcW w:w="6214" w:type="dxa"/>
          </w:tcPr>
          <w:p>
            <w:pPr>
              <w:pStyle w:val="TableParagraph"/>
              <w:spacing w:line="273" w:lineRule="auto" w:before="147"/>
              <w:ind w:left="166" w:right="196"/>
              <w:jc w:val="both"/>
              <w:rPr>
                <w:sz w:val="21"/>
              </w:rPr>
            </w:pPr>
            <w:r>
              <w:rPr>
                <w:spacing w:val="2"/>
                <w:sz w:val="21"/>
              </w:rPr>
              <w:t>指自被保险人出生之日起第一次经医院的专科医生确诊患有某</w:t>
            </w:r>
            <w:r>
              <w:rPr>
                <w:spacing w:val="-6"/>
                <w:sz w:val="21"/>
              </w:rPr>
              <w:t>种疾病，而不是指自本合同生效、复效之后第一次经医院的专科</w:t>
            </w:r>
            <w:r>
              <w:rPr>
                <w:spacing w:val="-10"/>
                <w:sz w:val="21"/>
              </w:rPr>
              <w:t>医生确诊患有某种疾病。例如，2010</w:t>
            </w:r>
            <w:r>
              <w:rPr>
                <w:spacing w:val="-32"/>
                <w:sz w:val="21"/>
              </w:rPr>
              <w:t> 年 </w:t>
            </w:r>
            <w:r>
              <w:rPr>
                <w:sz w:val="21"/>
              </w:rPr>
              <w:t>1</w:t>
            </w:r>
            <w:r>
              <w:rPr>
                <w:spacing w:val="-33"/>
                <w:sz w:val="21"/>
              </w:rPr>
              <w:t> 月 </w:t>
            </w:r>
            <w:r>
              <w:rPr>
                <w:sz w:val="21"/>
              </w:rPr>
              <w:t>1</w:t>
            </w:r>
            <w:r>
              <w:rPr>
                <w:spacing w:val="-8"/>
                <w:sz w:val="21"/>
              </w:rPr>
              <w:t> 日本合同经首次投</w:t>
            </w:r>
            <w:r>
              <w:rPr>
                <w:spacing w:val="-6"/>
                <w:sz w:val="21"/>
              </w:rPr>
              <w:t>保后生效，若：</w:t>
            </w:r>
          </w:p>
          <w:p>
            <w:pPr>
              <w:pStyle w:val="TableParagraph"/>
              <w:spacing w:line="255" w:lineRule="exact" w:before="165"/>
              <w:ind w:left="166"/>
              <w:jc w:val="both"/>
              <w:rPr>
                <w:sz w:val="21"/>
              </w:rPr>
            </w:pPr>
            <w:r>
              <w:rPr>
                <w:sz w:val="21"/>
              </w:rPr>
              <w:t>（1）2009</w:t>
            </w:r>
            <w:r>
              <w:rPr>
                <w:spacing w:val="-31"/>
                <w:sz w:val="21"/>
              </w:rPr>
              <w:t> 年 </w:t>
            </w:r>
            <w:r>
              <w:rPr>
                <w:sz w:val="21"/>
              </w:rPr>
              <w:t>1</w:t>
            </w:r>
            <w:r>
              <w:rPr>
                <w:spacing w:val="-31"/>
                <w:sz w:val="21"/>
              </w:rPr>
              <w:t> 月 </w:t>
            </w:r>
            <w:r>
              <w:rPr>
                <w:sz w:val="21"/>
              </w:rPr>
              <w:t>1</w:t>
            </w:r>
            <w:r>
              <w:rPr>
                <w:spacing w:val="-8"/>
                <w:sz w:val="21"/>
              </w:rPr>
              <w:t> 日被保险人自出生后第一次经医院的专科医</w:t>
            </w:r>
          </w:p>
        </w:tc>
      </w:tr>
    </w:tbl>
    <w:p>
      <w:pPr>
        <w:spacing w:after="0" w:line="255" w:lineRule="exact"/>
        <w:jc w:val="both"/>
        <w:rPr>
          <w:sz w:val="21"/>
        </w:rPr>
        <w:sectPr>
          <w:pgSz w:w="11910" w:h="16840"/>
          <w:pgMar w:header="0" w:footer="150" w:top="900" w:bottom="340" w:left="160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1073"/>
        <w:gridCol w:w="6569"/>
      </w:tblGrid>
      <w:tr>
        <w:trPr>
          <w:trHeight w:val="5730" w:hRule="atLeast"/>
        </w:trPr>
        <w:tc>
          <w:tcPr>
            <w:tcW w:w="896" w:type="dxa"/>
          </w:tcPr>
          <w:p>
            <w:pPr>
              <w:pStyle w:val="TableParagraph"/>
              <w:ind w:left="0"/>
              <w:rPr>
                <w:rFonts w:ascii="Times New Roman"/>
                <w:sz w:val="20"/>
              </w:rPr>
            </w:pPr>
          </w:p>
        </w:tc>
        <w:tc>
          <w:tcPr>
            <w:tcW w:w="1073" w:type="dxa"/>
          </w:tcPr>
          <w:p>
            <w:pPr>
              <w:pStyle w:val="TableParagraph"/>
              <w:ind w:left="0"/>
              <w:rPr>
                <w:rFonts w:ascii="Times New Roman"/>
                <w:sz w:val="20"/>
              </w:rPr>
            </w:pPr>
          </w:p>
        </w:tc>
        <w:tc>
          <w:tcPr>
            <w:tcW w:w="6569" w:type="dxa"/>
          </w:tcPr>
          <w:p>
            <w:pPr>
              <w:pStyle w:val="TableParagraph"/>
              <w:spacing w:line="211" w:lineRule="exact"/>
              <w:ind w:left="905"/>
              <w:rPr>
                <w:sz w:val="21"/>
              </w:rPr>
            </w:pPr>
            <w:r>
              <w:rPr>
                <w:spacing w:val="-21"/>
                <w:w w:val="100"/>
                <w:sz w:val="21"/>
              </w:rPr>
              <w:t>生确诊罹患“恶性肿瘤”，</w:t>
            </w:r>
            <w:r>
              <w:rPr>
                <w:w w:val="100"/>
                <w:sz w:val="21"/>
              </w:rPr>
              <w:t>2010</w:t>
            </w:r>
            <w:r>
              <w:rPr>
                <w:spacing w:val="-53"/>
                <w:sz w:val="21"/>
              </w:rPr>
              <w:t> </w:t>
            </w:r>
            <w:r>
              <w:rPr>
                <w:w w:val="100"/>
                <w:sz w:val="21"/>
              </w:rPr>
              <w:t>年</w:t>
            </w:r>
            <w:r>
              <w:rPr>
                <w:spacing w:val="-57"/>
                <w:sz w:val="21"/>
              </w:rPr>
              <w:t> </w:t>
            </w:r>
            <w:r>
              <w:rPr>
                <w:w w:val="100"/>
                <w:sz w:val="21"/>
              </w:rPr>
              <w:t>1</w:t>
            </w:r>
            <w:r>
              <w:rPr>
                <w:spacing w:val="-53"/>
                <w:sz w:val="21"/>
              </w:rPr>
              <w:t> </w:t>
            </w:r>
            <w:r>
              <w:rPr>
                <w:w w:val="100"/>
                <w:sz w:val="21"/>
              </w:rPr>
              <w:t>月</w:t>
            </w:r>
            <w:r>
              <w:rPr>
                <w:spacing w:val="-52"/>
                <w:sz w:val="21"/>
              </w:rPr>
              <w:t> </w:t>
            </w:r>
            <w:r>
              <w:rPr>
                <w:w w:val="100"/>
                <w:sz w:val="21"/>
              </w:rPr>
              <w:t>10</w:t>
            </w:r>
            <w:r>
              <w:rPr>
                <w:spacing w:val="-57"/>
                <w:sz w:val="21"/>
              </w:rPr>
              <w:t> </w:t>
            </w:r>
            <w:r>
              <w:rPr>
                <w:spacing w:val="-3"/>
                <w:w w:val="100"/>
                <w:sz w:val="21"/>
              </w:rPr>
              <w:t>日被保险人再次经</w:t>
            </w:r>
          </w:p>
          <w:p>
            <w:pPr>
              <w:pStyle w:val="TableParagraph"/>
              <w:spacing w:line="273" w:lineRule="auto" w:before="37"/>
              <w:ind w:left="905" w:right="235"/>
              <w:jc w:val="both"/>
              <w:rPr>
                <w:sz w:val="21"/>
              </w:rPr>
            </w:pPr>
            <w:r>
              <w:rPr>
                <w:spacing w:val="-15"/>
                <w:sz w:val="21"/>
              </w:rPr>
              <w:t>医院的专科医生确诊罹患“恶性肿瘤”，则 </w:t>
            </w:r>
            <w:r>
              <w:rPr>
                <w:sz w:val="21"/>
              </w:rPr>
              <w:t>2009</w:t>
            </w:r>
            <w:r>
              <w:rPr>
                <w:spacing w:val="-34"/>
                <w:sz w:val="21"/>
              </w:rPr>
              <w:t> 年 </w:t>
            </w:r>
            <w:r>
              <w:rPr>
                <w:sz w:val="21"/>
              </w:rPr>
              <w:t>1</w:t>
            </w:r>
            <w:r>
              <w:rPr>
                <w:spacing w:val="-34"/>
                <w:sz w:val="21"/>
              </w:rPr>
              <w:t> 月 </w:t>
            </w:r>
            <w:r>
              <w:rPr>
                <w:sz w:val="21"/>
              </w:rPr>
              <w:t>1</w:t>
            </w:r>
            <w:r>
              <w:rPr>
                <w:spacing w:val="-24"/>
                <w:sz w:val="21"/>
              </w:rPr>
              <w:t> 日</w:t>
            </w:r>
            <w:r>
              <w:rPr>
                <w:spacing w:val="-13"/>
                <w:sz w:val="21"/>
              </w:rPr>
              <w:t>为被保险人经医院的专科医生初次确诊罹患“恶性肿瘤”的</w:t>
            </w:r>
            <w:r>
              <w:rPr>
                <w:spacing w:val="-10"/>
                <w:sz w:val="21"/>
              </w:rPr>
              <w:t>时间，由于“初次确诊”发生在本合同生效之前，因此不属</w:t>
            </w:r>
            <w:r>
              <w:rPr>
                <w:spacing w:val="-7"/>
                <w:sz w:val="21"/>
              </w:rPr>
              <w:t>于保险责任范围，本公司不承担给付疾病保险金的责任；</w:t>
            </w:r>
          </w:p>
          <w:p>
            <w:pPr>
              <w:pStyle w:val="TableParagraph"/>
              <w:spacing w:before="166"/>
              <w:ind w:left="482"/>
              <w:rPr>
                <w:sz w:val="21"/>
              </w:rPr>
            </w:pPr>
            <w:r>
              <w:rPr>
                <w:sz w:val="21"/>
              </w:rPr>
              <w:t>（2）2010 年 3 月 29 日被保险人自出生后第一次经医院的专科</w:t>
            </w:r>
          </w:p>
          <w:p>
            <w:pPr>
              <w:pStyle w:val="TableParagraph"/>
              <w:spacing w:before="31"/>
              <w:ind w:left="905"/>
              <w:rPr>
                <w:sz w:val="21"/>
              </w:rPr>
            </w:pPr>
            <w:r>
              <w:rPr>
                <w:spacing w:val="-11"/>
                <w:w w:val="100"/>
                <w:sz w:val="21"/>
              </w:rPr>
              <w:t>医生确诊罹患“恶性肿瘤”</w:t>
            </w:r>
            <w:r>
              <w:rPr>
                <w:w w:val="100"/>
                <w:sz w:val="21"/>
              </w:rPr>
              <w:t>，2</w:t>
            </w:r>
            <w:r>
              <w:rPr>
                <w:spacing w:val="-5"/>
                <w:w w:val="100"/>
                <w:sz w:val="21"/>
              </w:rPr>
              <w:t>0</w:t>
            </w:r>
            <w:r>
              <w:rPr>
                <w:w w:val="100"/>
                <w:sz w:val="21"/>
              </w:rPr>
              <w:t>10</w:t>
            </w:r>
            <w:r>
              <w:rPr>
                <w:spacing w:val="-53"/>
                <w:sz w:val="21"/>
              </w:rPr>
              <w:t> </w:t>
            </w:r>
            <w:r>
              <w:rPr>
                <w:w w:val="100"/>
                <w:sz w:val="21"/>
              </w:rPr>
              <w:t>年</w:t>
            </w:r>
            <w:r>
              <w:rPr>
                <w:spacing w:val="-47"/>
                <w:sz w:val="21"/>
              </w:rPr>
              <w:t> </w:t>
            </w:r>
            <w:r>
              <w:rPr>
                <w:w w:val="100"/>
                <w:sz w:val="21"/>
              </w:rPr>
              <w:t>5</w:t>
            </w:r>
            <w:r>
              <w:rPr>
                <w:spacing w:val="-53"/>
                <w:sz w:val="21"/>
              </w:rPr>
              <w:t> </w:t>
            </w:r>
            <w:r>
              <w:rPr>
                <w:w w:val="100"/>
                <w:sz w:val="21"/>
              </w:rPr>
              <w:t>月</w:t>
            </w:r>
            <w:r>
              <w:rPr>
                <w:spacing w:val="-53"/>
                <w:sz w:val="21"/>
              </w:rPr>
              <w:t> </w:t>
            </w:r>
            <w:r>
              <w:rPr>
                <w:w w:val="100"/>
                <w:sz w:val="21"/>
              </w:rPr>
              <w:t>5</w:t>
            </w:r>
            <w:r>
              <w:rPr>
                <w:spacing w:val="-48"/>
                <w:sz w:val="21"/>
              </w:rPr>
              <w:t> </w:t>
            </w:r>
            <w:r>
              <w:rPr>
                <w:spacing w:val="-3"/>
                <w:w w:val="100"/>
                <w:sz w:val="21"/>
              </w:rPr>
              <w:t>日被保险人再次</w:t>
            </w:r>
          </w:p>
          <w:p>
            <w:pPr>
              <w:pStyle w:val="TableParagraph"/>
              <w:spacing w:line="273" w:lineRule="auto" w:before="36"/>
              <w:ind w:left="905" w:right="198"/>
              <w:jc w:val="both"/>
              <w:rPr>
                <w:sz w:val="21"/>
              </w:rPr>
            </w:pPr>
            <w:r>
              <w:rPr>
                <w:spacing w:val="-16"/>
                <w:sz w:val="21"/>
              </w:rPr>
              <w:t>经医院的专科医生确诊罹患“恶性肿瘤”，则 </w:t>
            </w:r>
            <w:r>
              <w:rPr>
                <w:sz w:val="21"/>
              </w:rPr>
              <w:t>2010</w:t>
            </w:r>
            <w:r>
              <w:rPr>
                <w:spacing w:val="-36"/>
                <w:sz w:val="21"/>
              </w:rPr>
              <w:t> 年 </w:t>
            </w:r>
            <w:r>
              <w:rPr>
                <w:sz w:val="21"/>
              </w:rPr>
              <w:t>3</w:t>
            </w:r>
            <w:r>
              <w:rPr>
                <w:spacing w:val="-32"/>
                <w:sz w:val="21"/>
              </w:rPr>
              <w:t> 月 </w:t>
            </w:r>
            <w:r>
              <w:rPr>
                <w:sz w:val="21"/>
              </w:rPr>
              <w:t>29 </w:t>
            </w:r>
            <w:r>
              <w:rPr>
                <w:spacing w:val="-5"/>
                <w:sz w:val="21"/>
              </w:rPr>
              <w:t>日为被保险人经医院的专科医生初次确诊罹患“恶性肿瘤” 的时间，由于“初次确诊”发生在本合同生效之日起 </w:t>
            </w:r>
            <w:r>
              <w:rPr>
                <w:sz w:val="21"/>
              </w:rPr>
              <w:t>90</w:t>
            </w:r>
            <w:r>
              <w:rPr>
                <w:spacing w:val="-4"/>
                <w:sz w:val="21"/>
              </w:rPr>
              <w:t> 日</w:t>
            </w:r>
            <w:r>
              <w:rPr>
                <w:spacing w:val="-7"/>
                <w:sz w:val="21"/>
              </w:rPr>
              <w:t>内，因此不属于保险责任范围，本公司不承担给付疾病保险金的责任；</w:t>
            </w:r>
          </w:p>
          <w:p>
            <w:pPr>
              <w:pStyle w:val="TableParagraph"/>
              <w:spacing w:before="165"/>
              <w:ind w:left="482"/>
              <w:rPr>
                <w:sz w:val="21"/>
              </w:rPr>
            </w:pPr>
            <w:r>
              <w:rPr>
                <w:sz w:val="21"/>
              </w:rPr>
              <w:t>（3）2010</w:t>
            </w:r>
            <w:r>
              <w:rPr>
                <w:spacing w:val="-31"/>
                <w:sz w:val="21"/>
              </w:rPr>
              <w:t> 年 </w:t>
            </w:r>
            <w:r>
              <w:rPr>
                <w:sz w:val="21"/>
              </w:rPr>
              <w:t>5</w:t>
            </w:r>
            <w:r>
              <w:rPr>
                <w:spacing w:val="-31"/>
                <w:sz w:val="21"/>
              </w:rPr>
              <w:t> 月 </w:t>
            </w:r>
            <w:r>
              <w:rPr>
                <w:sz w:val="21"/>
              </w:rPr>
              <w:t>5</w:t>
            </w:r>
            <w:r>
              <w:rPr>
                <w:spacing w:val="-8"/>
                <w:sz w:val="21"/>
              </w:rPr>
              <w:t> 日被保险人自出生后第一次经医院的专科医</w:t>
            </w:r>
          </w:p>
          <w:p>
            <w:pPr>
              <w:pStyle w:val="TableParagraph"/>
              <w:spacing w:line="273" w:lineRule="auto" w:before="36"/>
              <w:ind w:left="905" w:right="236"/>
              <w:jc w:val="both"/>
              <w:rPr>
                <w:sz w:val="21"/>
              </w:rPr>
            </w:pPr>
            <w:r>
              <w:rPr>
                <w:spacing w:val="-15"/>
                <w:w w:val="100"/>
                <w:sz w:val="21"/>
              </w:rPr>
              <w:t>生确诊罹患“恶性肿瘤”，则</w:t>
            </w:r>
            <w:r>
              <w:rPr>
                <w:spacing w:val="-15"/>
                <w:sz w:val="21"/>
              </w:rPr>
              <w:t> </w:t>
            </w:r>
            <w:r>
              <w:rPr>
                <w:w w:val="100"/>
                <w:sz w:val="21"/>
              </w:rPr>
              <w:t>20</w:t>
            </w:r>
            <w:r>
              <w:rPr>
                <w:spacing w:val="-5"/>
                <w:w w:val="100"/>
                <w:sz w:val="21"/>
              </w:rPr>
              <w:t>1</w:t>
            </w:r>
            <w:r>
              <w:rPr>
                <w:w w:val="100"/>
                <w:sz w:val="21"/>
              </w:rPr>
              <w:t>0</w:t>
            </w:r>
            <w:r>
              <w:rPr>
                <w:spacing w:val="-53"/>
                <w:sz w:val="21"/>
              </w:rPr>
              <w:t> </w:t>
            </w:r>
            <w:r>
              <w:rPr>
                <w:w w:val="100"/>
                <w:sz w:val="21"/>
              </w:rPr>
              <w:t>年</w:t>
            </w:r>
            <w:r>
              <w:rPr>
                <w:spacing w:val="-52"/>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3"/>
                <w:w w:val="100"/>
                <w:sz w:val="21"/>
              </w:rPr>
              <w:t>日为被保险人经</w:t>
            </w:r>
            <w:r>
              <w:rPr>
                <w:spacing w:val="-18"/>
                <w:sz w:val="21"/>
              </w:rPr>
              <w:t>医院的专科医生初次确诊罹患“恶性肿瘤”的时间，由于“初</w:t>
            </w:r>
            <w:r>
              <w:rPr>
                <w:spacing w:val="-10"/>
                <w:sz w:val="21"/>
              </w:rPr>
              <w:t>次确诊”发生在本合同生效之日起 </w:t>
            </w:r>
            <w:r>
              <w:rPr>
                <w:sz w:val="21"/>
              </w:rPr>
              <w:t>90</w:t>
            </w:r>
            <w:r>
              <w:rPr>
                <w:spacing w:val="-5"/>
                <w:sz w:val="21"/>
              </w:rPr>
              <w:t> 日后，本公司向被保险人给付疾病保险金，本项责任终止。</w:t>
            </w:r>
          </w:p>
        </w:tc>
      </w:tr>
      <w:tr>
        <w:trPr>
          <w:trHeight w:val="4772" w:hRule="atLeast"/>
        </w:trPr>
        <w:tc>
          <w:tcPr>
            <w:tcW w:w="896" w:type="dxa"/>
          </w:tcPr>
          <w:p>
            <w:pPr>
              <w:pStyle w:val="TableParagraph"/>
              <w:spacing w:before="83"/>
              <w:ind w:left="200"/>
              <w:rPr>
                <w:rFonts w:ascii="Microsoft JhengHei"/>
                <w:b/>
                <w:sz w:val="21"/>
              </w:rPr>
            </w:pPr>
            <w:r>
              <w:rPr>
                <w:rFonts w:ascii="Microsoft JhengHei"/>
                <w:b/>
                <w:sz w:val="21"/>
              </w:rPr>
              <w:t>11.10</w:t>
            </w:r>
          </w:p>
        </w:tc>
        <w:tc>
          <w:tcPr>
            <w:tcW w:w="1073"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全残</w:t>
            </w:r>
          </w:p>
        </w:tc>
        <w:tc>
          <w:tcPr>
            <w:tcW w:w="6569" w:type="dxa"/>
          </w:tcPr>
          <w:p>
            <w:pPr>
              <w:pStyle w:val="TableParagraph"/>
              <w:spacing w:before="150"/>
              <w:ind w:left="482"/>
              <w:rPr>
                <w:sz w:val="21"/>
              </w:rPr>
            </w:pPr>
            <w:r>
              <w:rPr>
                <w:sz w:val="21"/>
              </w:rPr>
              <w:t>本合同所定义的全残是指至少满足下列情形之一者：</w:t>
            </w:r>
          </w:p>
          <w:p>
            <w:pPr>
              <w:pStyle w:val="TableParagraph"/>
              <w:spacing w:before="37"/>
              <w:ind w:left="482"/>
              <w:rPr>
                <w:sz w:val="21"/>
              </w:rPr>
            </w:pPr>
            <w:r>
              <w:rPr>
                <w:w w:val="100"/>
                <w:sz w:val="21"/>
              </w:rPr>
              <w:t>（1）</w:t>
            </w:r>
            <w:r>
              <w:rPr>
                <w:spacing w:val="-2"/>
                <w:w w:val="100"/>
                <w:sz w:val="21"/>
              </w:rPr>
              <w:t>双目永久完全</w:t>
            </w:r>
            <w:r>
              <w:rPr>
                <w:spacing w:val="-5"/>
                <w:w w:val="100"/>
                <w:sz w:val="21"/>
              </w:rPr>
              <w:t>（</w:t>
            </w:r>
            <w:r>
              <w:rPr>
                <w:w w:val="100"/>
                <w:sz w:val="21"/>
              </w:rPr>
              <w:t>注①）</w:t>
            </w:r>
            <w:r>
              <w:rPr>
                <w:spacing w:val="-3"/>
                <w:w w:val="100"/>
                <w:sz w:val="21"/>
              </w:rPr>
              <w:t>失明</w:t>
            </w:r>
            <w:r>
              <w:rPr>
                <w:w w:val="100"/>
                <w:sz w:val="21"/>
              </w:rPr>
              <w:t>（</w:t>
            </w:r>
            <w:r>
              <w:rPr>
                <w:spacing w:val="-3"/>
                <w:w w:val="100"/>
                <w:sz w:val="21"/>
              </w:rPr>
              <w:t>注②</w:t>
            </w:r>
            <w:r>
              <w:rPr>
                <w:spacing w:val="-106"/>
                <w:w w:val="100"/>
                <w:sz w:val="21"/>
              </w:rPr>
              <w:t>）</w:t>
            </w:r>
            <w:r>
              <w:rPr>
                <w:w w:val="100"/>
                <w:sz w:val="21"/>
              </w:rPr>
              <w:t>；</w:t>
            </w:r>
          </w:p>
          <w:p>
            <w:pPr>
              <w:pStyle w:val="TableParagraph"/>
              <w:spacing w:before="37"/>
              <w:ind w:left="482"/>
              <w:rPr>
                <w:sz w:val="21"/>
              </w:rPr>
            </w:pPr>
            <w:r>
              <w:rPr>
                <w:sz w:val="21"/>
              </w:rPr>
              <w:t>（2）两上肢腕关节以上或两下肢踝关节以上缺失；</w:t>
            </w:r>
          </w:p>
          <w:p>
            <w:pPr>
              <w:pStyle w:val="TableParagraph"/>
              <w:spacing w:before="37"/>
              <w:ind w:left="482"/>
              <w:rPr>
                <w:sz w:val="21"/>
              </w:rPr>
            </w:pPr>
            <w:r>
              <w:rPr>
                <w:sz w:val="21"/>
              </w:rPr>
              <w:t>（3）一上肢腕关节以上及一下肢踝关节以上缺失；</w:t>
            </w:r>
          </w:p>
          <w:p>
            <w:pPr>
              <w:pStyle w:val="TableParagraph"/>
              <w:spacing w:before="37"/>
              <w:ind w:left="482"/>
              <w:rPr>
                <w:sz w:val="21"/>
              </w:rPr>
            </w:pPr>
            <w:r>
              <w:rPr>
                <w:sz w:val="21"/>
              </w:rPr>
              <w:t>（4）一目永久完全失明及一上肢腕关节以上缺失；</w:t>
            </w:r>
          </w:p>
          <w:p>
            <w:pPr>
              <w:pStyle w:val="TableParagraph"/>
              <w:spacing w:before="37"/>
              <w:ind w:left="482"/>
              <w:rPr>
                <w:sz w:val="21"/>
              </w:rPr>
            </w:pPr>
            <w:r>
              <w:rPr>
                <w:sz w:val="21"/>
              </w:rPr>
              <w:t>（5）一目永久完全失明及一下肢踝关节以上缺失；</w:t>
            </w:r>
          </w:p>
          <w:p>
            <w:pPr>
              <w:pStyle w:val="TableParagraph"/>
              <w:spacing w:before="37"/>
              <w:ind w:left="482"/>
              <w:rPr>
                <w:sz w:val="21"/>
              </w:rPr>
            </w:pPr>
            <w:r>
              <w:rPr>
                <w:w w:val="100"/>
                <w:sz w:val="21"/>
              </w:rPr>
              <w:t>（6）</w:t>
            </w:r>
            <w:r>
              <w:rPr>
                <w:spacing w:val="-4"/>
                <w:w w:val="100"/>
                <w:sz w:val="21"/>
              </w:rPr>
              <w:t>四肢关节机能永久完全丧失</w:t>
            </w:r>
            <w:r>
              <w:rPr>
                <w:w w:val="100"/>
                <w:sz w:val="21"/>
              </w:rPr>
              <w:t>（</w:t>
            </w:r>
            <w:r>
              <w:rPr>
                <w:spacing w:val="-3"/>
                <w:w w:val="100"/>
                <w:sz w:val="21"/>
              </w:rPr>
              <w:t>注③</w:t>
            </w:r>
            <w:r>
              <w:rPr>
                <w:spacing w:val="-106"/>
                <w:w w:val="100"/>
                <w:sz w:val="21"/>
              </w:rPr>
              <w:t>）</w:t>
            </w:r>
            <w:r>
              <w:rPr>
                <w:w w:val="100"/>
                <w:sz w:val="21"/>
              </w:rPr>
              <w:t>；</w:t>
            </w:r>
          </w:p>
          <w:p>
            <w:pPr>
              <w:pStyle w:val="TableParagraph"/>
              <w:spacing w:before="37"/>
              <w:ind w:left="482"/>
              <w:rPr>
                <w:sz w:val="21"/>
              </w:rPr>
            </w:pPr>
            <w:r>
              <w:rPr>
                <w:w w:val="100"/>
                <w:sz w:val="21"/>
              </w:rPr>
              <w:t>（7）</w:t>
            </w:r>
            <w:r>
              <w:rPr>
                <w:spacing w:val="-4"/>
                <w:w w:val="100"/>
                <w:sz w:val="21"/>
              </w:rPr>
              <w:t>咀嚼、吞咽机能永久完全丧失</w:t>
            </w:r>
            <w:r>
              <w:rPr>
                <w:w w:val="100"/>
                <w:sz w:val="21"/>
              </w:rPr>
              <w:t>（</w:t>
            </w:r>
            <w:r>
              <w:rPr>
                <w:spacing w:val="-3"/>
                <w:w w:val="100"/>
                <w:sz w:val="21"/>
              </w:rPr>
              <w:t>注④</w:t>
            </w:r>
            <w:r>
              <w:rPr>
                <w:spacing w:val="-106"/>
                <w:w w:val="100"/>
                <w:sz w:val="21"/>
              </w:rPr>
              <w:t>）</w:t>
            </w:r>
            <w:r>
              <w:rPr>
                <w:w w:val="100"/>
                <w:sz w:val="21"/>
              </w:rPr>
              <w:t>；</w:t>
            </w:r>
          </w:p>
          <w:p>
            <w:pPr>
              <w:pStyle w:val="TableParagraph"/>
              <w:spacing w:line="256" w:lineRule="auto" w:before="37"/>
              <w:ind w:left="482" w:right="237"/>
              <w:rPr>
                <w:sz w:val="21"/>
              </w:rPr>
            </w:pPr>
            <w:r>
              <w:rPr>
                <w:spacing w:val="-16"/>
                <w:sz w:val="21"/>
              </w:rPr>
              <w:t>（</w:t>
            </w:r>
            <w:r>
              <w:rPr>
                <w:rFonts w:ascii="Times New Roman" w:eastAsia="Times New Roman"/>
                <w:spacing w:val="-16"/>
                <w:sz w:val="21"/>
              </w:rPr>
              <w:t>8</w:t>
            </w:r>
            <w:r>
              <w:rPr>
                <w:spacing w:val="-16"/>
                <w:sz w:val="21"/>
              </w:rPr>
              <w:t>）</w:t>
            </w:r>
            <w:r>
              <w:rPr>
                <w:spacing w:val="-10"/>
                <w:sz w:val="21"/>
              </w:rPr>
              <w:t>中枢神经系统机能或胸、腹部脏器机能极度障碍，终身不能</w:t>
            </w:r>
            <w:r>
              <w:rPr>
                <w:spacing w:val="-9"/>
                <w:sz w:val="21"/>
              </w:rPr>
              <w:t>从事任何工作，为维持生命必要的日常生活活动，全需他人扶助</w:t>
            </w:r>
          </w:p>
          <w:p>
            <w:pPr>
              <w:pStyle w:val="TableParagraph"/>
              <w:spacing w:before="22"/>
              <w:ind w:left="482"/>
              <w:rPr>
                <w:sz w:val="21"/>
              </w:rPr>
            </w:pPr>
            <w:r>
              <w:rPr>
                <w:w w:val="100"/>
                <w:sz w:val="21"/>
              </w:rPr>
              <w:t>（注⑤</w:t>
            </w:r>
            <w:r>
              <w:rPr>
                <w:spacing w:val="-106"/>
                <w:w w:val="100"/>
                <w:sz w:val="21"/>
              </w:rPr>
              <w:t>）</w:t>
            </w:r>
            <w:r>
              <w:rPr>
                <w:w w:val="100"/>
                <w:sz w:val="21"/>
              </w:rPr>
              <w:t>。</w:t>
            </w:r>
          </w:p>
          <w:p>
            <w:pPr>
              <w:pStyle w:val="TableParagraph"/>
              <w:spacing w:line="268" w:lineRule="auto" w:before="118"/>
              <w:ind w:left="482" w:right="199"/>
              <w:rPr>
                <w:sz w:val="21"/>
              </w:rPr>
            </w:pPr>
            <w:r>
              <w:rPr>
                <w:spacing w:val="-4"/>
                <w:sz w:val="21"/>
              </w:rPr>
              <w:t>全残的鉴定应在治疗结束之后由医疗机构</w:t>
            </w:r>
            <w:r>
              <w:rPr>
                <w:sz w:val="21"/>
              </w:rPr>
              <w:t>（</w:t>
            </w:r>
            <w:r>
              <w:rPr>
                <w:spacing w:val="-3"/>
                <w:sz w:val="21"/>
              </w:rPr>
              <w:t>或鉴定机构</w:t>
            </w:r>
            <w:r>
              <w:rPr>
                <w:sz w:val="21"/>
              </w:rPr>
              <w:t>）进行。</w:t>
            </w:r>
            <w:r>
              <w:rPr>
                <w:spacing w:val="-5"/>
                <w:sz w:val="21"/>
              </w:rPr>
              <w:t>若自被保险人遭受意外伤害之日起 </w:t>
            </w:r>
            <w:r>
              <w:rPr>
                <w:sz w:val="21"/>
              </w:rPr>
              <w:t>180</w:t>
            </w:r>
            <w:r>
              <w:rPr>
                <w:spacing w:val="-11"/>
                <w:sz w:val="21"/>
              </w:rPr>
              <w:t> 日后治疗仍未结束，按第</w:t>
            </w:r>
          </w:p>
          <w:p>
            <w:pPr>
              <w:pStyle w:val="TableParagraph"/>
              <w:spacing w:before="12"/>
              <w:ind w:left="482"/>
              <w:rPr>
                <w:sz w:val="21"/>
              </w:rPr>
            </w:pPr>
            <w:r>
              <w:rPr>
                <w:sz w:val="21"/>
              </w:rPr>
              <w:t>180 日的身体情况进行鉴定。</w:t>
            </w:r>
          </w:p>
        </w:tc>
      </w:tr>
      <w:tr>
        <w:trPr>
          <w:trHeight w:val="4558" w:hRule="atLeast"/>
        </w:trPr>
        <w:tc>
          <w:tcPr>
            <w:tcW w:w="896" w:type="dxa"/>
          </w:tcPr>
          <w:p>
            <w:pPr>
              <w:pStyle w:val="TableParagraph"/>
              <w:ind w:left="0"/>
              <w:rPr>
                <w:rFonts w:ascii="Times New Roman"/>
                <w:sz w:val="20"/>
              </w:rPr>
            </w:pPr>
          </w:p>
        </w:tc>
        <w:tc>
          <w:tcPr>
            <w:tcW w:w="1073"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注：</w:t>
            </w:r>
          </w:p>
        </w:tc>
        <w:tc>
          <w:tcPr>
            <w:tcW w:w="6569" w:type="dxa"/>
          </w:tcPr>
          <w:p>
            <w:pPr>
              <w:pStyle w:val="TableParagraph"/>
              <w:spacing w:line="273" w:lineRule="auto" w:before="150"/>
              <w:ind w:left="800" w:right="235" w:hanging="212"/>
              <w:jc w:val="both"/>
              <w:rPr>
                <w:sz w:val="21"/>
              </w:rPr>
            </w:pPr>
            <w:r>
              <w:rPr>
                <w:spacing w:val="-5"/>
                <w:sz w:val="21"/>
              </w:rPr>
              <w:t>①永久完全系指自上述“全残”情形发生之日起经过 </w:t>
            </w:r>
            <w:r>
              <w:rPr>
                <w:sz w:val="21"/>
              </w:rPr>
              <w:t>180</w:t>
            </w:r>
            <w:r>
              <w:rPr>
                <w:spacing w:val="-2"/>
                <w:sz w:val="21"/>
              </w:rPr>
              <w:t> 日的</w:t>
            </w:r>
            <w:r>
              <w:rPr>
                <w:spacing w:val="-13"/>
                <w:sz w:val="21"/>
              </w:rPr>
              <w:t>治疗机能仍完全丧失，但眼球摘除等明显无法复原的情况，不在此限。</w:t>
            </w:r>
          </w:p>
          <w:p>
            <w:pPr>
              <w:pStyle w:val="TableParagraph"/>
              <w:spacing w:line="273" w:lineRule="auto" w:before="8"/>
              <w:ind w:left="800" w:right="236" w:hanging="212"/>
              <w:jc w:val="both"/>
              <w:rPr>
                <w:sz w:val="21"/>
              </w:rPr>
            </w:pPr>
            <w:r>
              <w:rPr>
                <w:spacing w:val="-12"/>
                <w:sz w:val="21"/>
              </w:rPr>
              <w:t>②失明包括眼球缺失或摘除、或不能辨别明暗、或仅能辨别眼前</w:t>
            </w:r>
            <w:r>
              <w:rPr>
                <w:spacing w:val="-9"/>
                <w:sz w:val="21"/>
              </w:rPr>
              <w:t>手动者，最佳矫正视力低于国际标准视力表 </w:t>
            </w:r>
            <w:r>
              <w:rPr>
                <w:sz w:val="21"/>
              </w:rPr>
              <w:t>0.02</w:t>
            </w:r>
            <w:r>
              <w:rPr>
                <w:spacing w:val="-2"/>
                <w:sz w:val="21"/>
              </w:rPr>
              <w:t>，或视野半</w:t>
            </w:r>
            <w:r>
              <w:rPr>
                <w:spacing w:val="-3"/>
                <w:sz w:val="21"/>
              </w:rPr>
              <w:t>径小于 </w:t>
            </w:r>
            <w:r>
              <w:rPr>
                <w:sz w:val="21"/>
              </w:rPr>
              <w:t>5</w:t>
            </w:r>
            <w:r>
              <w:rPr>
                <w:spacing w:val="-5"/>
                <w:sz w:val="21"/>
              </w:rPr>
              <w:t> 度，并由我们确定的有资格的眼科医师出具医疗诊断证明。</w:t>
            </w:r>
          </w:p>
          <w:p>
            <w:pPr>
              <w:pStyle w:val="TableParagraph"/>
              <w:spacing w:line="273" w:lineRule="auto" w:before="8"/>
              <w:ind w:left="800" w:right="237" w:hanging="212"/>
              <w:jc w:val="both"/>
              <w:rPr>
                <w:sz w:val="21"/>
              </w:rPr>
            </w:pPr>
            <w:r>
              <w:rPr>
                <w:spacing w:val="-11"/>
                <w:sz w:val="21"/>
              </w:rPr>
              <w:t>③关节机能的丧失系指关节永久完全僵硬、或麻痹、或关节不能</w:t>
            </w:r>
            <w:r>
              <w:rPr>
                <w:spacing w:val="-9"/>
                <w:sz w:val="21"/>
              </w:rPr>
              <w:t>随意识活动。</w:t>
            </w:r>
          </w:p>
          <w:p>
            <w:pPr>
              <w:pStyle w:val="TableParagraph"/>
              <w:spacing w:line="273" w:lineRule="auto" w:before="7"/>
              <w:ind w:left="800" w:right="232" w:hanging="212"/>
              <w:jc w:val="both"/>
              <w:rPr>
                <w:sz w:val="21"/>
              </w:rPr>
            </w:pPr>
            <w:r>
              <w:rPr>
                <w:sz w:val="21"/>
              </w:rPr>
              <w:t>④咀嚼、吞咽机能丧失系指由于牙齿以外的原因引起器质障碍</w:t>
            </w:r>
            <w:r>
              <w:rPr>
                <w:spacing w:val="-14"/>
                <w:sz w:val="21"/>
              </w:rPr>
              <w:t>或机能障碍，以至不能作咀嚼、吞咽运动，除流质食物外不能</w:t>
            </w:r>
            <w:r>
              <w:rPr>
                <w:spacing w:val="-8"/>
                <w:sz w:val="21"/>
              </w:rPr>
              <w:t>摄取或吞咽的状态。</w:t>
            </w:r>
          </w:p>
          <w:p>
            <w:pPr>
              <w:pStyle w:val="TableParagraph"/>
              <w:spacing w:line="300" w:lineRule="atLeast" w:before="64"/>
              <w:ind w:left="800" w:right="230" w:hanging="212"/>
              <w:jc w:val="both"/>
              <w:rPr>
                <w:sz w:val="21"/>
              </w:rPr>
            </w:pPr>
            <w:r>
              <w:rPr>
                <w:sz w:val="21"/>
              </w:rPr>
              <w:t>⑤为维持生命必要的日常生活活动，全需他人扶助系指食物摄</w:t>
            </w:r>
            <w:r>
              <w:rPr>
                <w:spacing w:val="-13"/>
                <w:sz w:val="21"/>
              </w:rPr>
              <w:t>取、大小便始末、穿脱衣服、起居、步行、入浴等，皆不能自</w:t>
            </w:r>
          </w:p>
        </w:tc>
      </w:tr>
    </w:tbl>
    <w:p>
      <w:pPr>
        <w:spacing w:after="0" w:line="300" w:lineRule="atLeast"/>
        <w:jc w:val="both"/>
        <w:rPr>
          <w:sz w:val="21"/>
        </w:rPr>
        <w:sectPr>
          <w:pgSz w:w="11910" w:h="16840"/>
          <w:pgMar w:header="0" w:footer="150" w:top="740" w:bottom="340" w:left="1600" w:right="15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1390"/>
        <w:gridCol w:w="6227"/>
      </w:tblGrid>
      <w:tr>
        <w:trPr>
          <w:trHeight w:val="511" w:hRule="atLeast"/>
        </w:trPr>
        <w:tc>
          <w:tcPr>
            <w:tcW w:w="896" w:type="dxa"/>
          </w:tcPr>
          <w:p>
            <w:pPr>
              <w:pStyle w:val="TableParagraph"/>
              <w:ind w:left="0"/>
              <w:rPr>
                <w:rFonts w:ascii="Times New Roman"/>
                <w:sz w:val="20"/>
              </w:rPr>
            </w:pPr>
          </w:p>
        </w:tc>
        <w:tc>
          <w:tcPr>
            <w:tcW w:w="1390" w:type="dxa"/>
          </w:tcPr>
          <w:p>
            <w:pPr>
              <w:pStyle w:val="TableParagraph"/>
              <w:ind w:left="0"/>
              <w:rPr>
                <w:rFonts w:ascii="Times New Roman"/>
                <w:sz w:val="20"/>
              </w:rPr>
            </w:pPr>
          </w:p>
        </w:tc>
        <w:tc>
          <w:tcPr>
            <w:tcW w:w="6227" w:type="dxa"/>
          </w:tcPr>
          <w:p>
            <w:pPr>
              <w:pStyle w:val="TableParagraph"/>
              <w:spacing w:line="211" w:lineRule="exact"/>
              <w:ind w:left="483"/>
              <w:rPr>
                <w:sz w:val="21"/>
              </w:rPr>
            </w:pPr>
            <w:r>
              <w:rPr>
                <w:sz w:val="21"/>
              </w:rPr>
              <w:t>己为之，需要他人帮助。</w:t>
            </w:r>
          </w:p>
        </w:tc>
      </w:tr>
      <w:tr>
        <w:trPr>
          <w:trHeight w:val="1626" w:hRule="atLeast"/>
        </w:trPr>
        <w:tc>
          <w:tcPr>
            <w:tcW w:w="896" w:type="dxa"/>
          </w:tcPr>
          <w:p>
            <w:pPr>
              <w:pStyle w:val="TableParagraph"/>
              <w:spacing w:before="169"/>
              <w:ind w:left="167" w:right="135"/>
              <w:jc w:val="center"/>
              <w:rPr>
                <w:rFonts w:ascii="Microsoft JhengHei"/>
                <w:b/>
                <w:sz w:val="21"/>
              </w:rPr>
            </w:pPr>
            <w:r>
              <w:rPr>
                <w:rFonts w:ascii="Microsoft JhengHei"/>
                <w:b/>
                <w:sz w:val="21"/>
              </w:rPr>
              <w:t>11.11</w:t>
            </w:r>
          </w:p>
        </w:tc>
        <w:tc>
          <w:tcPr>
            <w:tcW w:w="1390" w:type="dxa"/>
          </w:tcPr>
          <w:p>
            <w:pPr>
              <w:pStyle w:val="TableParagraph"/>
              <w:spacing w:before="169"/>
              <w:ind w:left="168"/>
              <w:rPr>
                <w:rFonts w:ascii="Microsoft JhengHei" w:eastAsia="Microsoft JhengHei" w:hint="eastAsia"/>
                <w:b/>
                <w:sz w:val="21"/>
              </w:rPr>
            </w:pPr>
            <w:r>
              <w:rPr>
                <w:rFonts w:ascii="Microsoft JhengHei" w:eastAsia="Microsoft JhengHei" w:hint="eastAsia"/>
                <w:b/>
                <w:sz w:val="21"/>
              </w:rPr>
              <w:t>疾病终末期</w:t>
            </w:r>
          </w:p>
        </w:tc>
        <w:tc>
          <w:tcPr>
            <w:tcW w:w="6227" w:type="dxa"/>
          </w:tcPr>
          <w:p>
            <w:pPr>
              <w:pStyle w:val="TableParagraph"/>
              <w:ind w:left="0"/>
              <w:rPr>
                <w:sz w:val="18"/>
              </w:rPr>
            </w:pPr>
          </w:p>
          <w:p>
            <w:pPr>
              <w:pStyle w:val="TableParagraph"/>
              <w:spacing w:line="268" w:lineRule="auto"/>
              <w:ind w:left="165" w:right="213"/>
              <w:rPr>
                <w:sz w:val="21"/>
              </w:rPr>
            </w:pPr>
            <w:r>
              <w:rPr>
                <w:sz w:val="21"/>
              </w:rPr>
              <w:t>疾病终末期阶段需由专科医生出具诊断证明和提交临床检查证据，证明被保险人所患疾病同时满足以下两个条件：</w:t>
            </w:r>
          </w:p>
          <w:p>
            <w:pPr>
              <w:pStyle w:val="TableParagraph"/>
              <w:spacing w:before="12"/>
              <w:ind w:left="165"/>
              <w:rPr>
                <w:sz w:val="21"/>
              </w:rPr>
            </w:pPr>
            <w:r>
              <w:rPr>
                <w:sz w:val="21"/>
              </w:rPr>
              <w:t>1、依现有医疗技术无法缓解；</w:t>
            </w:r>
          </w:p>
          <w:p>
            <w:pPr>
              <w:pStyle w:val="TableParagraph"/>
              <w:spacing w:before="37"/>
              <w:ind w:left="165"/>
              <w:rPr>
                <w:sz w:val="21"/>
              </w:rPr>
            </w:pPr>
            <w:r>
              <w:rPr>
                <w:rFonts w:ascii="Times New Roman" w:eastAsia="Times New Roman"/>
                <w:sz w:val="21"/>
              </w:rPr>
              <w:t>2</w:t>
            </w:r>
            <w:r>
              <w:rPr>
                <w:sz w:val="21"/>
              </w:rPr>
              <w:t>、根据临床医学经验判断被保险人存活期低于六个月。</w:t>
            </w:r>
          </w:p>
        </w:tc>
      </w:tr>
      <w:tr>
        <w:trPr>
          <w:trHeight w:val="1528" w:hRule="atLeast"/>
        </w:trPr>
        <w:tc>
          <w:tcPr>
            <w:tcW w:w="896" w:type="dxa"/>
          </w:tcPr>
          <w:p>
            <w:pPr>
              <w:pStyle w:val="TableParagraph"/>
              <w:spacing w:before="36"/>
              <w:ind w:left="167" w:right="135"/>
              <w:jc w:val="center"/>
              <w:rPr>
                <w:rFonts w:ascii="Microsoft JhengHei"/>
                <w:b/>
                <w:sz w:val="21"/>
              </w:rPr>
            </w:pPr>
            <w:r>
              <w:rPr>
                <w:rFonts w:ascii="Microsoft JhengHei"/>
                <w:b/>
                <w:sz w:val="21"/>
              </w:rPr>
              <w:t>11.12</w:t>
            </w:r>
          </w:p>
        </w:tc>
        <w:tc>
          <w:tcPr>
            <w:tcW w:w="1390" w:type="dxa"/>
          </w:tcPr>
          <w:p>
            <w:pPr>
              <w:pStyle w:val="TableParagraph"/>
              <w:spacing w:before="36"/>
              <w:ind w:left="168"/>
              <w:rPr>
                <w:rFonts w:ascii="Microsoft JhengHei" w:eastAsia="Microsoft JhengHei" w:hint="eastAsia"/>
                <w:b/>
                <w:sz w:val="21"/>
              </w:rPr>
            </w:pPr>
            <w:r>
              <w:rPr>
                <w:rFonts w:ascii="Microsoft JhengHei" w:eastAsia="Microsoft JhengHei" w:hint="eastAsia"/>
                <w:b/>
                <w:sz w:val="21"/>
              </w:rPr>
              <w:t>毒品</w:t>
            </w:r>
          </w:p>
        </w:tc>
        <w:tc>
          <w:tcPr>
            <w:tcW w:w="6227" w:type="dxa"/>
          </w:tcPr>
          <w:p>
            <w:pPr>
              <w:pStyle w:val="TableParagraph"/>
              <w:spacing w:line="273" w:lineRule="auto" w:before="103"/>
              <w:ind w:left="165" w:right="212"/>
              <w:jc w:val="both"/>
              <w:rPr>
                <w:sz w:val="21"/>
              </w:rPr>
            </w:pPr>
            <w:r>
              <w:rPr>
                <w:spacing w:val="-19"/>
                <w:sz w:val="21"/>
              </w:rPr>
              <w:t>指《中华人民共和国刑法》规定的鸦片、海洛因、甲基苯丙胺</w:t>
            </w:r>
            <w:r>
              <w:rPr>
                <w:spacing w:val="-5"/>
                <w:sz w:val="21"/>
              </w:rPr>
              <w:t>（</w:t>
            </w:r>
            <w:r>
              <w:rPr>
                <w:sz w:val="21"/>
              </w:rPr>
              <w:t>冰毒</w:t>
            </w:r>
            <w:r>
              <w:rPr>
                <w:spacing w:val="-106"/>
                <w:sz w:val="21"/>
              </w:rPr>
              <w:t>）</w:t>
            </w:r>
            <w:r>
              <w:rPr>
                <w:spacing w:val="-14"/>
                <w:sz w:val="21"/>
              </w:rPr>
              <w:t>、吗啡、大麻、可卡因以及国家规定管制的其他能够使人形成</w:t>
            </w:r>
            <w:r>
              <w:rPr>
                <w:spacing w:val="-12"/>
                <w:sz w:val="21"/>
              </w:rPr>
              <w:t>瘾癖的麻醉药品和精神药品，但不包括由医生开具并遵医嘱使用</w:t>
            </w:r>
            <w:r>
              <w:rPr>
                <w:spacing w:val="-8"/>
                <w:sz w:val="21"/>
              </w:rPr>
              <w:t>的用于治疗疾病但含有毒品成分的处方药品。</w:t>
            </w:r>
          </w:p>
        </w:tc>
      </w:tr>
      <w:tr>
        <w:trPr>
          <w:trHeight w:val="1886" w:hRule="atLeast"/>
        </w:trPr>
        <w:tc>
          <w:tcPr>
            <w:tcW w:w="896" w:type="dxa"/>
          </w:tcPr>
          <w:p>
            <w:pPr>
              <w:pStyle w:val="TableParagraph"/>
              <w:spacing w:before="83"/>
              <w:ind w:left="167" w:right="135"/>
              <w:jc w:val="center"/>
              <w:rPr>
                <w:rFonts w:ascii="Microsoft JhengHei"/>
                <w:b/>
                <w:sz w:val="21"/>
              </w:rPr>
            </w:pPr>
            <w:r>
              <w:rPr>
                <w:rFonts w:ascii="Microsoft JhengHei"/>
                <w:b/>
                <w:sz w:val="21"/>
              </w:rPr>
              <w:t>11.13</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酒后驾驶</w:t>
            </w:r>
          </w:p>
        </w:tc>
        <w:tc>
          <w:tcPr>
            <w:tcW w:w="6227" w:type="dxa"/>
          </w:tcPr>
          <w:p>
            <w:pPr>
              <w:pStyle w:val="TableParagraph"/>
              <w:spacing w:line="273" w:lineRule="auto" w:before="150"/>
              <w:ind w:left="165" w:right="210"/>
              <w:jc w:val="both"/>
              <w:rPr>
                <w:sz w:val="21"/>
              </w:rPr>
            </w:pPr>
            <w:r>
              <w:rPr>
                <w:spacing w:val="-6"/>
                <w:sz w:val="21"/>
              </w:rPr>
              <w:t>指经检测或者鉴定，发生保险事故时被保险人每百毫升血液中的</w:t>
            </w:r>
            <w:r>
              <w:rPr>
                <w:spacing w:val="-8"/>
                <w:sz w:val="21"/>
              </w:rPr>
              <w:t>酒精含量达到或者超过一定的标准，是否达到前述标准由公安机</w:t>
            </w:r>
            <w:r>
              <w:rPr>
                <w:spacing w:val="-9"/>
                <w:sz w:val="21"/>
              </w:rPr>
              <w:t>关交通管理部门依据《道路交通安全法》的规定认定，我们根据</w:t>
            </w:r>
            <w:r>
              <w:rPr>
                <w:spacing w:val="2"/>
                <w:sz w:val="21"/>
              </w:rPr>
              <w:t>公安机关交通管理部门的认定确认被保险人是否属于饮酒后驾</w:t>
            </w:r>
            <w:r>
              <w:rPr>
                <w:spacing w:val="-1"/>
                <w:sz w:val="21"/>
              </w:rPr>
              <w:t>驶或醉酒后驾驶。</w:t>
            </w:r>
          </w:p>
        </w:tc>
      </w:tr>
      <w:tr>
        <w:trPr>
          <w:trHeight w:val="2823" w:hRule="atLeast"/>
        </w:trPr>
        <w:tc>
          <w:tcPr>
            <w:tcW w:w="896" w:type="dxa"/>
          </w:tcPr>
          <w:p>
            <w:pPr>
              <w:pStyle w:val="TableParagraph"/>
              <w:spacing w:before="83"/>
              <w:ind w:left="167" w:right="135"/>
              <w:jc w:val="center"/>
              <w:rPr>
                <w:rFonts w:ascii="Microsoft JhengHei"/>
                <w:b/>
                <w:sz w:val="21"/>
              </w:rPr>
            </w:pPr>
            <w:r>
              <w:rPr>
                <w:rFonts w:ascii="Microsoft JhengHei"/>
                <w:b/>
                <w:sz w:val="21"/>
              </w:rPr>
              <w:t>11.14</w:t>
            </w:r>
          </w:p>
        </w:tc>
        <w:tc>
          <w:tcPr>
            <w:tcW w:w="1390" w:type="dxa"/>
          </w:tcPr>
          <w:p>
            <w:pPr>
              <w:pStyle w:val="TableParagraph"/>
              <w:spacing w:line="204" w:lineRule="auto" w:before="138"/>
              <w:ind w:left="168" w:right="163"/>
              <w:rPr>
                <w:rFonts w:ascii="Microsoft JhengHei" w:eastAsia="Microsoft JhengHei" w:hint="eastAsia"/>
                <w:b/>
                <w:sz w:val="21"/>
              </w:rPr>
            </w:pPr>
            <w:r>
              <w:rPr>
                <w:rFonts w:ascii="Microsoft JhengHei" w:eastAsia="Microsoft JhengHei" w:hint="eastAsia"/>
                <w:b/>
                <w:sz w:val="21"/>
              </w:rPr>
              <w:t>无合法有效驾驶证驾驶</w:t>
            </w:r>
          </w:p>
        </w:tc>
        <w:tc>
          <w:tcPr>
            <w:tcW w:w="6227" w:type="dxa"/>
          </w:tcPr>
          <w:p>
            <w:pPr>
              <w:pStyle w:val="TableParagraph"/>
              <w:spacing w:before="150"/>
              <w:ind w:left="165"/>
              <w:rPr>
                <w:sz w:val="21"/>
              </w:rPr>
            </w:pPr>
            <w:r>
              <w:rPr>
                <w:sz w:val="21"/>
              </w:rPr>
              <w:t>指下列情形之一：</w:t>
            </w:r>
          </w:p>
          <w:p>
            <w:pPr>
              <w:pStyle w:val="TableParagraph"/>
              <w:numPr>
                <w:ilvl w:val="0"/>
                <w:numId w:val="19"/>
              </w:numPr>
              <w:tabs>
                <w:tab w:pos="589" w:val="left" w:leader="none"/>
              </w:tabs>
              <w:spacing w:line="273" w:lineRule="auto" w:before="37" w:after="0"/>
              <w:ind w:left="588" w:right="216" w:hanging="423"/>
              <w:jc w:val="left"/>
              <w:rPr>
                <w:sz w:val="21"/>
              </w:rPr>
            </w:pPr>
            <w:r>
              <w:rPr>
                <w:spacing w:val="1"/>
                <w:sz w:val="21"/>
              </w:rPr>
              <w:t>没有取得中华人民共和国有关主管部门颁发或者认可的驾</w:t>
            </w:r>
            <w:r>
              <w:rPr>
                <w:sz w:val="21"/>
              </w:rPr>
              <w:t>驶资格证书；</w:t>
            </w:r>
          </w:p>
          <w:p>
            <w:pPr>
              <w:pStyle w:val="TableParagraph"/>
              <w:numPr>
                <w:ilvl w:val="0"/>
                <w:numId w:val="19"/>
              </w:numPr>
              <w:tabs>
                <w:tab w:pos="589" w:val="left" w:leader="none"/>
              </w:tabs>
              <w:spacing w:line="240" w:lineRule="auto" w:before="7" w:after="0"/>
              <w:ind w:left="588" w:right="0" w:hanging="423"/>
              <w:jc w:val="left"/>
              <w:rPr>
                <w:sz w:val="21"/>
              </w:rPr>
            </w:pPr>
            <w:r>
              <w:rPr>
                <w:spacing w:val="-5"/>
                <w:sz w:val="21"/>
              </w:rPr>
              <w:t>驾驶与合法有效驾驶证准驾车型不相符合的车辆；</w:t>
            </w:r>
          </w:p>
          <w:p>
            <w:pPr>
              <w:pStyle w:val="TableParagraph"/>
              <w:numPr>
                <w:ilvl w:val="0"/>
                <w:numId w:val="19"/>
              </w:numPr>
              <w:tabs>
                <w:tab w:pos="589" w:val="left" w:leader="none"/>
              </w:tabs>
              <w:spacing w:line="240" w:lineRule="auto" w:before="36" w:after="0"/>
              <w:ind w:left="588" w:right="0" w:hanging="423"/>
              <w:jc w:val="left"/>
              <w:rPr>
                <w:sz w:val="21"/>
              </w:rPr>
            </w:pPr>
            <w:r>
              <w:rPr>
                <w:spacing w:val="-2"/>
                <w:sz w:val="21"/>
              </w:rPr>
              <w:t>持审验不合格的驾驶证驾驶；</w:t>
            </w:r>
          </w:p>
          <w:p>
            <w:pPr>
              <w:pStyle w:val="TableParagraph"/>
              <w:numPr>
                <w:ilvl w:val="0"/>
                <w:numId w:val="19"/>
              </w:numPr>
              <w:tabs>
                <w:tab w:pos="589" w:val="left" w:leader="none"/>
              </w:tabs>
              <w:spacing w:line="273" w:lineRule="auto" w:before="36" w:after="0"/>
              <w:ind w:left="588" w:right="212" w:hanging="423"/>
              <w:jc w:val="left"/>
              <w:rPr>
                <w:sz w:val="21"/>
              </w:rPr>
            </w:pPr>
            <w:r>
              <w:rPr>
                <w:spacing w:val="-6"/>
                <w:sz w:val="21"/>
              </w:rPr>
              <w:t>在驾驶证有效期内未按照中华人民共和国法律、行政法规的</w:t>
            </w:r>
            <w:r>
              <w:rPr>
                <w:spacing w:val="-5"/>
                <w:sz w:val="21"/>
              </w:rPr>
              <w:t>规定，定期对机动车驾驶证实施审验的；</w:t>
            </w:r>
          </w:p>
          <w:p>
            <w:pPr>
              <w:pStyle w:val="TableParagraph"/>
              <w:numPr>
                <w:ilvl w:val="0"/>
                <w:numId w:val="19"/>
              </w:numPr>
              <w:tabs>
                <w:tab w:pos="589" w:val="left" w:leader="none"/>
              </w:tabs>
              <w:spacing w:line="240" w:lineRule="auto" w:before="7" w:after="0"/>
              <w:ind w:left="588" w:right="0" w:hanging="423"/>
              <w:jc w:val="left"/>
              <w:rPr>
                <w:sz w:val="21"/>
              </w:rPr>
            </w:pPr>
            <w:r>
              <w:rPr>
                <w:spacing w:val="-2"/>
                <w:sz w:val="21"/>
              </w:rPr>
              <w:t>驾驶证已过有效期的。</w:t>
            </w:r>
          </w:p>
        </w:tc>
      </w:tr>
      <w:tr>
        <w:trPr>
          <w:trHeight w:val="1884" w:hRule="atLeast"/>
        </w:trPr>
        <w:tc>
          <w:tcPr>
            <w:tcW w:w="896" w:type="dxa"/>
          </w:tcPr>
          <w:p>
            <w:pPr>
              <w:pStyle w:val="TableParagraph"/>
              <w:spacing w:before="83"/>
              <w:ind w:left="167" w:right="135"/>
              <w:jc w:val="center"/>
              <w:rPr>
                <w:rFonts w:ascii="Microsoft JhengHei"/>
                <w:b/>
                <w:sz w:val="21"/>
              </w:rPr>
            </w:pPr>
            <w:r>
              <w:rPr>
                <w:rFonts w:ascii="Microsoft JhengHei"/>
                <w:b/>
                <w:sz w:val="21"/>
              </w:rPr>
              <w:t>11.15</w:t>
            </w:r>
          </w:p>
        </w:tc>
        <w:tc>
          <w:tcPr>
            <w:tcW w:w="1390" w:type="dxa"/>
          </w:tcPr>
          <w:p>
            <w:pPr>
              <w:pStyle w:val="TableParagraph"/>
              <w:spacing w:line="201" w:lineRule="auto" w:before="141"/>
              <w:ind w:left="168" w:right="163"/>
              <w:rPr>
                <w:rFonts w:ascii="Microsoft JhengHei" w:eastAsia="Microsoft JhengHei" w:hint="eastAsia"/>
                <w:b/>
                <w:sz w:val="21"/>
              </w:rPr>
            </w:pPr>
            <w:r>
              <w:rPr>
                <w:rFonts w:ascii="Microsoft JhengHei" w:eastAsia="Microsoft JhengHei" w:hint="eastAsia"/>
                <w:b/>
                <w:sz w:val="21"/>
              </w:rPr>
              <w:t>无合法有效行驶证</w:t>
            </w:r>
          </w:p>
        </w:tc>
        <w:tc>
          <w:tcPr>
            <w:tcW w:w="6227" w:type="dxa"/>
          </w:tcPr>
          <w:p>
            <w:pPr>
              <w:pStyle w:val="TableParagraph"/>
              <w:spacing w:before="150"/>
              <w:ind w:left="165"/>
              <w:rPr>
                <w:sz w:val="21"/>
              </w:rPr>
            </w:pPr>
            <w:r>
              <w:rPr>
                <w:sz w:val="21"/>
              </w:rPr>
              <w:t>指下列情形之一：</w:t>
            </w:r>
          </w:p>
          <w:p>
            <w:pPr>
              <w:pStyle w:val="TableParagraph"/>
              <w:numPr>
                <w:ilvl w:val="0"/>
                <w:numId w:val="20"/>
              </w:numPr>
              <w:tabs>
                <w:tab w:pos="589" w:val="left" w:leader="none"/>
              </w:tabs>
              <w:spacing w:line="240" w:lineRule="auto" w:before="32" w:after="0"/>
              <w:ind w:left="588" w:right="0" w:hanging="423"/>
              <w:jc w:val="left"/>
              <w:rPr>
                <w:sz w:val="21"/>
              </w:rPr>
            </w:pPr>
            <w:r>
              <w:rPr>
                <w:spacing w:val="-4"/>
                <w:sz w:val="21"/>
              </w:rPr>
              <w:t>未办理行驶证或者行驶证在申办过程中的；</w:t>
            </w:r>
          </w:p>
          <w:p>
            <w:pPr>
              <w:pStyle w:val="TableParagraph"/>
              <w:numPr>
                <w:ilvl w:val="0"/>
                <w:numId w:val="20"/>
              </w:numPr>
              <w:tabs>
                <w:tab w:pos="589" w:val="left" w:leader="none"/>
              </w:tabs>
              <w:spacing w:line="240" w:lineRule="auto" w:before="36" w:after="0"/>
              <w:ind w:left="588" w:right="0" w:hanging="423"/>
              <w:jc w:val="left"/>
              <w:rPr>
                <w:sz w:val="21"/>
              </w:rPr>
            </w:pPr>
            <w:r>
              <w:rPr>
                <w:spacing w:val="-3"/>
                <w:sz w:val="21"/>
              </w:rPr>
              <w:t>机动车行驶证被依法注销登记的；</w:t>
            </w:r>
          </w:p>
          <w:p>
            <w:pPr>
              <w:pStyle w:val="TableParagraph"/>
              <w:numPr>
                <w:ilvl w:val="0"/>
                <w:numId w:val="20"/>
              </w:numPr>
              <w:tabs>
                <w:tab w:pos="589" w:val="left" w:leader="none"/>
              </w:tabs>
              <w:spacing w:line="273" w:lineRule="auto" w:before="37" w:after="0"/>
              <w:ind w:left="588" w:right="216" w:hanging="423"/>
              <w:jc w:val="left"/>
              <w:rPr>
                <w:sz w:val="21"/>
              </w:rPr>
            </w:pPr>
            <w:r>
              <w:rPr>
                <w:spacing w:val="1"/>
                <w:sz w:val="21"/>
              </w:rPr>
              <w:t>未在行驶证检验有效期内依法按时进行或者未通过机动车</w:t>
            </w:r>
            <w:r>
              <w:rPr>
                <w:sz w:val="21"/>
              </w:rPr>
              <w:t>安全技术检验的。</w:t>
            </w:r>
          </w:p>
        </w:tc>
      </w:tr>
      <w:tr>
        <w:trPr>
          <w:trHeight w:val="950" w:hRule="atLeast"/>
        </w:trPr>
        <w:tc>
          <w:tcPr>
            <w:tcW w:w="896" w:type="dxa"/>
          </w:tcPr>
          <w:p>
            <w:pPr>
              <w:pStyle w:val="TableParagraph"/>
              <w:spacing w:before="85"/>
              <w:ind w:left="167" w:right="135"/>
              <w:jc w:val="center"/>
              <w:rPr>
                <w:rFonts w:ascii="Microsoft JhengHei"/>
                <w:b/>
                <w:sz w:val="21"/>
              </w:rPr>
            </w:pPr>
            <w:r>
              <w:rPr>
                <w:rFonts w:ascii="Microsoft JhengHei"/>
                <w:b/>
                <w:sz w:val="21"/>
              </w:rPr>
              <w:t>11.16</w:t>
            </w:r>
          </w:p>
        </w:tc>
        <w:tc>
          <w:tcPr>
            <w:tcW w:w="1390" w:type="dxa"/>
          </w:tcPr>
          <w:p>
            <w:pPr>
              <w:pStyle w:val="TableParagraph"/>
              <w:spacing w:before="85"/>
              <w:ind w:left="168"/>
              <w:rPr>
                <w:rFonts w:ascii="Microsoft JhengHei" w:eastAsia="Microsoft JhengHei" w:hint="eastAsia"/>
                <w:b/>
                <w:sz w:val="21"/>
              </w:rPr>
            </w:pPr>
            <w:r>
              <w:rPr>
                <w:rFonts w:ascii="Microsoft JhengHei" w:eastAsia="Microsoft JhengHei" w:hint="eastAsia"/>
                <w:b/>
                <w:sz w:val="21"/>
              </w:rPr>
              <w:t>机动车</w:t>
            </w:r>
          </w:p>
        </w:tc>
        <w:tc>
          <w:tcPr>
            <w:tcW w:w="6227" w:type="dxa"/>
          </w:tcPr>
          <w:p>
            <w:pPr>
              <w:pStyle w:val="TableParagraph"/>
              <w:spacing w:line="268" w:lineRule="auto" w:before="152"/>
              <w:ind w:left="165" w:right="157"/>
              <w:rPr>
                <w:sz w:val="21"/>
              </w:rPr>
            </w:pPr>
            <w:r>
              <w:rPr>
                <w:sz w:val="21"/>
              </w:rPr>
              <w:t>指以动力装置驱动或者牵引，上道路行驶的供人员乘用或者用于运送物品以及进行工程专项作业的轮式车辆。</w:t>
            </w:r>
          </w:p>
        </w:tc>
      </w:tr>
      <w:tr>
        <w:trPr>
          <w:trHeight w:val="2355" w:hRule="atLeast"/>
        </w:trPr>
        <w:tc>
          <w:tcPr>
            <w:tcW w:w="896" w:type="dxa"/>
          </w:tcPr>
          <w:p>
            <w:pPr>
              <w:pStyle w:val="TableParagraph"/>
              <w:spacing w:before="85"/>
              <w:ind w:left="167" w:right="135"/>
              <w:jc w:val="center"/>
              <w:rPr>
                <w:rFonts w:ascii="Microsoft JhengHei"/>
                <w:b/>
                <w:sz w:val="21"/>
              </w:rPr>
            </w:pPr>
            <w:r>
              <w:rPr>
                <w:rFonts w:ascii="Microsoft JhengHei"/>
                <w:b/>
                <w:sz w:val="21"/>
              </w:rPr>
              <w:t>11.17</w:t>
            </w:r>
          </w:p>
        </w:tc>
        <w:tc>
          <w:tcPr>
            <w:tcW w:w="1390" w:type="dxa"/>
          </w:tcPr>
          <w:p>
            <w:pPr>
              <w:pStyle w:val="TableParagraph"/>
              <w:spacing w:line="204" w:lineRule="auto" w:before="140"/>
              <w:ind w:left="168" w:right="163"/>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6227" w:type="dxa"/>
          </w:tcPr>
          <w:p>
            <w:pPr>
              <w:pStyle w:val="TableParagraph"/>
              <w:spacing w:line="268" w:lineRule="auto" w:before="152"/>
              <w:ind w:left="165" w:right="198"/>
              <w:jc w:val="both"/>
              <w:rPr>
                <w:sz w:val="21"/>
              </w:rPr>
            </w:pPr>
            <w:r>
              <w:rPr>
                <w:spacing w:val="-5"/>
                <w:sz w:val="21"/>
              </w:rPr>
              <w:t>艾滋病病毒指人类免疫缺陷病毒，英文缩写为 </w:t>
            </w:r>
            <w:r>
              <w:rPr>
                <w:sz w:val="21"/>
              </w:rPr>
              <w:t>HIV</w:t>
            </w:r>
            <w:r>
              <w:rPr>
                <w:spacing w:val="-2"/>
                <w:sz w:val="21"/>
              </w:rPr>
              <w:t>。艾滋病指人</w:t>
            </w:r>
            <w:r>
              <w:rPr>
                <w:spacing w:val="11"/>
                <w:sz w:val="21"/>
              </w:rPr>
              <w:t>类免疫缺陷病毒引起的获得性免疫缺陷综合征，英文缩写为</w:t>
            </w:r>
          </w:p>
          <w:p>
            <w:pPr>
              <w:pStyle w:val="TableParagraph"/>
              <w:spacing w:before="11"/>
              <w:ind w:left="165"/>
              <w:rPr>
                <w:sz w:val="21"/>
              </w:rPr>
            </w:pPr>
            <w:r>
              <w:rPr>
                <w:sz w:val="21"/>
              </w:rPr>
              <w:t>AIDS。</w:t>
            </w:r>
          </w:p>
          <w:p>
            <w:pPr>
              <w:pStyle w:val="TableParagraph"/>
              <w:spacing w:before="11"/>
              <w:ind w:left="0"/>
              <w:rPr>
                <w:sz w:val="14"/>
              </w:rPr>
            </w:pPr>
          </w:p>
          <w:p>
            <w:pPr>
              <w:pStyle w:val="TableParagraph"/>
              <w:spacing w:line="273" w:lineRule="auto" w:before="1"/>
              <w:ind w:left="165" w:right="213"/>
              <w:jc w:val="both"/>
              <w:rPr>
                <w:sz w:val="21"/>
              </w:rPr>
            </w:pPr>
            <w:r>
              <w:rPr>
                <w:spacing w:val="2"/>
                <w:sz w:val="21"/>
              </w:rPr>
              <w:t>在人体血液或者其他样本中检测到艾滋病病毒或者其抗体呈阳</w:t>
            </w:r>
            <w:r>
              <w:rPr>
                <w:spacing w:val="-7"/>
                <w:sz w:val="21"/>
              </w:rPr>
              <w:t>性，没有出现临床症状或者体征的，为感染艾滋病病毒；如果同</w:t>
            </w:r>
            <w:r>
              <w:rPr>
                <w:spacing w:val="-6"/>
                <w:sz w:val="21"/>
              </w:rPr>
              <w:t>时出现了明显临床症状或者体征的，为患艾滋病。</w:t>
            </w:r>
          </w:p>
        </w:tc>
      </w:tr>
      <w:tr>
        <w:trPr>
          <w:trHeight w:val="1262" w:hRule="atLeast"/>
        </w:trPr>
        <w:tc>
          <w:tcPr>
            <w:tcW w:w="896" w:type="dxa"/>
          </w:tcPr>
          <w:p>
            <w:pPr>
              <w:pStyle w:val="TableParagraph"/>
              <w:spacing w:before="83"/>
              <w:ind w:left="167" w:right="135"/>
              <w:jc w:val="center"/>
              <w:rPr>
                <w:rFonts w:ascii="Microsoft JhengHei"/>
                <w:b/>
                <w:sz w:val="21"/>
              </w:rPr>
            </w:pPr>
            <w:r>
              <w:rPr>
                <w:rFonts w:ascii="Microsoft JhengHei"/>
                <w:b/>
                <w:sz w:val="21"/>
              </w:rPr>
              <w:t>11.18</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遗传性疾病</w:t>
            </w:r>
          </w:p>
        </w:tc>
        <w:tc>
          <w:tcPr>
            <w:tcW w:w="6227" w:type="dxa"/>
          </w:tcPr>
          <w:p>
            <w:pPr>
              <w:pStyle w:val="TableParagraph"/>
              <w:spacing w:line="273" w:lineRule="auto" w:before="150"/>
              <w:ind w:left="165" w:right="213"/>
              <w:jc w:val="both"/>
              <w:rPr>
                <w:sz w:val="21"/>
              </w:rPr>
            </w:pPr>
            <w:r>
              <w:rPr>
                <w:spacing w:val="-5"/>
                <w:sz w:val="21"/>
              </w:rPr>
              <w:t>指生殖细胞或者受精卵的遗传物质</w:t>
            </w:r>
            <w:r>
              <w:rPr>
                <w:sz w:val="21"/>
              </w:rPr>
              <w:t>（</w:t>
            </w:r>
            <w:r>
              <w:rPr>
                <w:spacing w:val="-3"/>
                <w:sz w:val="21"/>
              </w:rPr>
              <w:t>染色体和基因</w:t>
            </w:r>
            <w:r>
              <w:rPr>
                <w:spacing w:val="-25"/>
                <w:sz w:val="21"/>
              </w:rPr>
              <w:t>）</w:t>
            </w:r>
            <w:r>
              <w:rPr>
                <w:sz w:val="21"/>
              </w:rPr>
              <w:t>发生突变或</w:t>
            </w:r>
            <w:r>
              <w:rPr>
                <w:spacing w:val="-6"/>
                <w:sz w:val="21"/>
              </w:rPr>
              <w:t>者畸变所引起的疾病，通常具有由亲代传至后代的垂直传递的特征。</w:t>
            </w:r>
          </w:p>
        </w:tc>
      </w:tr>
      <w:tr>
        <w:trPr>
          <w:trHeight w:val="424" w:hRule="atLeast"/>
        </w:trPr>
        <w:tc>
          <w:tcPr>
            <w:tcW w:w="896" w:type="dxa"/>
          </w:tcPr>
          <w:p>
            <w:pPr>
              <w:pStyle w:val="TableParagraph"/>
              <w:spacing w:line="322" w:lineRule="exact" w:before="83"/>
              <w:ind w:left="167" w:right="135"/>
              <w:jc w:val="center"/>
              <w:rPr>
                <w:rFonts w:ascii="Microsoft JhengHei"/>
                <w:b/>
                <w:sz w:val="21"/>
              </w:rPr>
            </w:pPr>
            <w:r>
              <w:rPr>
                <w:rFonts w:ascii="Microsoft JhengHei"/>
                <w:b/>
                <w:sz w:val="21"/>
              </w:rPr>
              <w:t>11.19</w:t>
            </w:r>
          </w:p>
        </w:tc>
        <w:tc>
          <w:tcPr>
            <w:tcW w:w="1390" w:type="dxa"/>
          </w:tcPr>
          <w:p>
            <w:pPr>
              <w:pStyle w:val="TableParagraph"/>
              <w:spacing w:line="322" w:lineRule="exact" w:before="83"/>
              <w:ind w:left="168"/>
              <w:rPr>
                <w:rFonts w:ascii="Microsoft JhengHei" w:eastAsia="Microsoft JhengHei" w:hint="eastAsia"/>
                <w:b/>
                <w:sz w:val="21"/>
              </w:rPr>
            </w:pPr>
            <w:r>
              <w:rPr>
                <w:rFonts w:ascii="Microsoft JhengHei" w:eastAsia="Microsoft JhengHei" w:hint="eastAsia"/>
                <w:b/>
                <w:sz w:val="21"/>
              </w:rPr>
              <w:t>先天性畸</w:t>
            </w:r>
          </w:p>
        </w:tc>
        <w:tc>
          <w:tcPr>
            <w:tcW w:w="6227" w:type="dxa"/>
          </w:tcPr>
          <w:p>
            <w:pPr>
              <w:pStyle w:val="TableParagraph"/>
              <w:spacing w:line="255" w:lineRule="exact" w:before="150"/>
              <w:ind w:left="165"/>
              <w:rPr>
                <w:sz w:val="21"/>
              </w:rPr>
            </w:pPr>
            <w:r>
              <w:rPr>
                <w:sz w:val="21"/>
              </w:rPr>
              <w:t>指被保险人出生时就具有的畸形、变形或者染色体异常。先天性</w:t>
            </w:r>
          </w:p>
        </w:tc>
      </w:tr>
    </w:tbl>
    <w:p>
      <w:pPr>
        <w:spacing w:after="0" w:line="255" w:lineRule="exact"/>
        <w:rPr>
          <w:sz w:val="21"/>
        </w:rPr>
        <w:sectPr>
          <w:pgSz w:w="11910" w:h="16840"/>
          <w:pgMar w:header="0" w:footer="150" w:top="740" w:bottom="340" w:left="160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1390"/>
        <w:gridCol w:w="6214"/>
      </w:tblGrid>
      <w:tr>
        <w:trPr>
          <w:trHeight w:val="1048" w:hRule="atLeast"/>
        </w:trPr>
        <w:tc>
          <w:tcPr>
            <w:tcW w:w="896" w:type="dxa"/>
          </w:tcPr>
          <w:p>
            <w:pPr>
              <w:pStyle w:val="TableParagraph"/>
              <w:ind w:left="0"/>
              <w:rPr>
                <w:rFonts w:ascii="Times New Roman"/>
                <w:sz w:val="20"/>
              </w:rPr>
            </w:pPr>
          </w:p>
        </w:tc>
        <w:tc>
          <w:tcPr>
            <w:tcW w:w="1390" w:type="dxa"/>
          </w:tcPr>
          <w:p>
            <w:pPr>
              <w:pStyle w:val="TableParagraph"/>
              <w:spacing w:line="208" w:lineRule="exact"/>
              <w:ind w:left="168"/>
              <w:rPr>
                <w:rFonts w:ascii="Microsoft JhengHei" w:eastAsia="Microsoft JhengHei" w:hint="eastAsia"/>
                <w:b/>
                <w:sz w:val="21"/>
              </w:rPr>
            </w:pPr>
            <w:r>
              <w:rPr>
                <w:rFonts w:ascii="Microsoft JhengHei" w:eastAsia="Microsoft JhengHei" w:hint="eastAsia"/>
                <w:b/>
                <w:sz w:val="21"/>
              </w:rPr>
              <w:t>形、变形或</w:t>
            </w:r>
          </w:p>
          <w:p>
            <w:pPr>
              <w:pStyle w:val="TableParagraph"/>
              <w:spacing w:line="204" w:lineRule="auto" w:before="28"/>
              <w:ind w:left="168" w:right="163"/>
              <w:rPr>
                <w:rFonts w:ascii="Microsoft JhengHei" w:eastAsia="Microsoft JhengHei" w:hint="eastAsia"/>
                <w:b/>
                <w:sz w:val="21"/>
              </w:rPr>
            </w:pPr>
            <w:r>
              <w:rPr>
                <w:rFonts w:ascii="Microsoft JhengHei" w:eastAsia="Microsoft JhengHei" w:hint="eastAsia"/>
                <w:b/>
                <w:sz w:val="21"/>
              </w:rPr>
              <w:t>者染色体异常</w:t>
            </w:r>
          </w:p>
        </w:tc>
        <w:tc>
          <w:tcPr>
            <w:tcW w:w="6214" w:type="dxa"/>
          </w:tcPr>
          <w:p>
            <w:pPr>
              <w:pStyle w:val="TableParagraph"/>
              <w:spacing w:line="211" w:lineRule="exact"/>
              <w:ind w:left="165"/>
              <w:rPr>
                <w:sz w:val="21"/>
              </w:rPr>
            </w:pPr>
            <w:r>
              <w:rPr>
                <w:sz w:val="21"/>
              </w:rPr>
              <w:t>畸形、变形和染色体异常依照世界卫生组织《疾病和有关健康问</w:t>
            </w:r>
          </w:p>
          <w:p>
            <w:pPr>
              <w:pStyle w:val="TableParagraph"/>
              <w:spacing w:before="37"/>
              <w:ind w:left="165"/>
              <w:rPr>
                <w:sz w:val="21"/>
              </w:rPr>
            </w:pPr>
            <w:r>
              <w:rPr>
                <w:sz w:val="21"/>
              </w:rPr>
              <w:t>题的国际统计分类》（ICD-10）确定。</w:t>
            </w:r>
          </w:p>
        </w:tc>
      </w:tr>
      <w:tr>
        <w:trPr>
          <w:trHeight w:val="950" w:hRule="atLeast"/>
        </w:trPr>
        <w:tc>
          <w:tcPr>
            <w:tcW w:w="896" w:type="dxa"/>
          </w:tcPr>
          <w:p>
            <w:pPr>
              <w:pStyle w:val="TableParagraph"/>
              <w:spacing w:before="83"/>
              <w:ind w:left="167" w:right="135"/>
              <w:jc w:val="center"/>
              <w:rPr>
                <w:rFonts w:ascii="Microsoft JhengHei"/>
                <w:b/>
                <w:sz w:val="21"/>
              </w:rPr>
            </w:pPr>
            <w:r>
              <w:rPr>
                <w:rFonts w:ascii="Microsoft JhengHei"/>
                <w:b/>
                <w:sz w:val="21"/>
              </w:rPr>
              <w:t>11.20</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现金价值</w:t>
            </w:r>
          </w:p>
        </w:tc>
        <w:tc>
          <w:tcPr>
            <w:tcW w:w="6214" w:type="dxa"/>
          </w:tcPr>
          <w:p>
            <w:pPr>
              <w:pStyle w:val="TableParagraph"/>
              <w:spacing w:line="273" w:lineRule="auto" w:before="150"/>
              <w:ind w:left="165" w:right="149"/>
              <w:rPr>
                <w:sz w:val="21"/>
              </w:rPr>
            </w:pPr>
            <w:r>
              <w:rPr>
                <w:sz w:val="21"/>
              </w:rPr>
              <w:t>指保险合同所具有的价值，通常体现为解除合同时，根据精算原理计算的，由我们退还的那部分金额。</w:t>
            </w:r>
          </w:p>
        </w:tc>
      </w:tr>
      <w:tr>
        <w:trPr>
          <w:trHeight w:val="736" w:hRule="atLeast"/>
        </w:trPr>
        <w:tc>
          <w:tcPr>
            <w:tcW w:w="896" w:type="dxa"/>
          </w:tcPr>
          <w:p>
            <w:pPr>
              <w:pStyle w:val="TableParagraph"/>
              <w:spacing w:before="83"/>
              <w:ind w:left="167" w:right="135"/>
              <w:jc w:val="center"/>
              <w:rPr>
                <w:rFonts w:ascii="Microsoft JhengHei"/>
                <w:b/>
                <w:sz w:val="21"/>
              </w:rPr>
            </w:pPr>
            <w:r>
              <w:rPr>
                <w:rFonts w:ascii="Microsoft JhengHei"/>
                <w:b/>
                <w:sz w:val="21"/>
              </w:rPr>
              <w:t>11.21</w:t>
            </w:r>
          </w:p>
        </w:tc>
        <w:tc>
          <w:tcPr>
            <w:tcW w:w="1390" w:type="dxa"/>
          </w:tcPr>
          <w:p>
            <w:pPr>
              <w:pStyle w:val="TableParagraph"/>
              <w:spacing w:before="83"/>
              <w:ind w:left="168"/>
              <w:rPr>
                <w:rFonts w:ascii="Microsoft JhengHei" w:eastAsia="Microsoft JhengHei" w:hint="eastAsia"/>
                <w:b/>
                <w:sz w:val="21"/>
              </w:rPr>
            </w:pPr>
            <w:r>
              <w:rPr>
                <w:rFonts w:ascii="Microsoft JhengHei" w:eastAsia="Microsoft JhengHei" w:hint="eastAsia"/>
                <w:b/>
                <w:sz w:val="21"/>
              </w:rPr>
              <w:t>永久不可逆</w:t>
            </w:r>
          </w:p>
        </w:tc>
        <w:tc>
          <w:tcPr>
            <w:tcW w:w="6214" w:type="dxa"/>
          </w:tcPr>
          <w:p>
            <w:pPr>
              <w:pStyle w:val="TableParagraph"/>
              <w:spacing w:line="310" w:lineRule="atLeast" w:before="114"/>
              <w:ind w:left="165" w:right="197"/>
              <w:rPr>
                <w:sz w:val="21"/>
              </w:rPr>
            </w:pPr>
            <w:r>
              <w:rPr>
                <w:spacing w:val="-7"/>
                <w:sz w:val="21"/>
              </w:rPr>
              <w:t>指自疾病确诊或意外发生之日起，经过积极治疗 </w:t>
            </w:r>
            <w:r>
              <w:rPr>
                <w:sz w:val="21"/>
              </w:rPr>
              <w:t>180</w:t>
            </w:r>
            <w:r>
              <w:rPr>
                <w:spacing w:val="-12"/>
                <w:sz w:val="21"/>
              </w:rPr>
              <w:t> 天后，仍无</w:t>
            </w:r>
            <w:r>
              <w:rPr>
                <w:spacing w:val="-8"/>
                <w:sz w:val="21"/>
              </w:rPr>
              <w:t>法通过现有医疗手段恢复。</w:t>
            </w:r>
          </w:p>
        </w:tc>
      </w:tr>
    </w:tbl>
    <w:sectPr>
      <w:pgSz w:w="11910" w:h="16840"/>
      <w:pgMar w:header="0" w:footer="150" w:top="740" w:bottom="34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Microsoft JhengHei">
    <w:altName w:val="Microsoft JhengHei"/>
    <w:charset w:val="0"/>
    <w:family w:val="swiss"/>
    <w:pitch w:val="variable"/>
  </w:font>
  <w:font w:name="Calibri">
    <w:altName w:val="Calibri"/>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0.459991pt;margin-top:819.402466pt;width:74.5pt;height:12.15pt;mso-position-horizontal-relative:page;mso-position-vertical-relative:page;z-index:-56560"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10</w:t>
                </w:r>
                <w:r>
                  <w:rPr/>
                  <w:fldChar w:fldCharType="end"/>
                </w:r>
                <w:r>
                  <w:rPr>
                    <w:rFonts w:ascii="Calibri" w:eastAsia="Calibri"/>
                    <w:sz w:val="18"/>
                  </w:rPr>
                  <w:t> </w:t>
                </w:r>
                <w:r>
                  <w:rPr>
                    <w:sz w:val="18"/>
                  </w:rPr>
                  <w:t>页 共 </w:t>
                </w:r>
                <w:r>
                  <w:rPr>
                    <w:rFonts w:ascii="Calibri" w:eastAsia="Calibri"/>
                    <w:sz w:val="18"/>
                  </w:rPr>
                  <w:t>31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44" w:hanging="423"/>
      </w:pPr>
      <w:rPr>
        <w:rFonts w:hint="default"/>
      </w:rPr>
    </w:lvl>
    <w:lvl w:ilvl="2">
      <w:start w:val="0"/>
      <w:numFmt w:val="bullet"/>
      <w:lvlText w:val="•"/>
      <w:lvlJc w:val="left"/>
      <w:pPr>
        <w:ind w:left="1709" w:hanging="423"/>
      </w:pPr>
      <w:rPr>
        <w:rFonts w:hint="default"/>
      </w:rPr>
    </w:lvl>
    <w:lvl w:ilvl="3">
      <w:start w:val="0"/>
      <w:numFmt w:val="bullet"/>
      <w:lvlText w:val="•"/>
      <w:lvlJc w:val="left"/>
      <w:pPr>
        <w:ind w:left="2274" w:hanging="423"/>
      </w:pPr>
      <w:rPr>
        <w:rFonts w:hint="default"/>
      </w:rPr>
    </w:lvl>
    <w:lvl w:ilvl="4">
      <w:start w:val="0"/>
      <w:numFmt w:val="bullet"/>
      <w:lvlText w:val="•"/>
      <w:lvlJc w:val="left"/>
      <w:pPr>
        <w:ind w:left="2838" w:hanging="423"/>
      </w:pPr>
      <w:rPr>
        <w:rFonts w:hint="default"/>
      </w:rPr>
    </w:lvl>
    <w:lvl w:ilvl="5">
      <w:start w:val="0"/>
      <w:numFmt w:val="bullet"/>
      <w:lvlText w:val="•"/>
      <w:lvlJc w:val="left"/>
      <w:pPr>
        <w:ind w:left="3403" w:hanging="423"/>
      </w:pPr>
      <w:rPr>
        <w:rFonts w:hint="default"/>
      </w:rPr>
    </w:lvl>
    <w:lvl w:ilvl="6">
      <w:start w:val="0"/>
      <w:numFmt w:val="bullet"/>
      <w:lvlText w:val="•"/>
      <w:lvlJc w:val="left"/>
      <w:pPr>
        <w:ind w:left="3968" w:hanging="423"/>
      </w:pPr>
      <w:rPr>
        <w:rFonts w:hint="default"/>
      </w:rPr>
    </w:lvl>
    <w:lvl w:ilvl="7">
      <w:start w:val="0"/>
      <w:numFmt w:val="bullet"/>
      <w:lvlText w:val="•"/>
      <w:lvlJc w:val="left"/>
      <w:pPr>
        <w:ind w:left="4532" w:hanging="423"/>
      </w:pPr>
      <w:rPr>
        <w:rFonts w:hint="default"/>
      </w:rPr>
    </w:lvl>
    <w:lvl w:ilvl="8">
      <w:start w:val="0"/>
      <w:numFmt w:val="bullet"/>
      <w:lvlText w:val="•"/>
      <w:lvlJc w:val="left"/>
      <w:pPr>
        <w:ind w:left="5097" w:hanging="423"/>
      </w:pPr>
      <w:rPr>
        <w:rFonts w:hint="default"/>
      </w:rPr>
    </w:lvl>
  </w:abstractNum>
  <w:abstractNum w:abstractNumId="18">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44" w:hanging="423"/>
      </w:pPr>
      <w:rPr>
        <w:rFonts w:hint="default"/>
      </w:rPr>
    </w:lvl>
    <w:lvl w:ilvl="2">
      <w:start w:val="0"/>
      <w:numFmt w:val="bullet"/>
      <w:lvlText w:val="•"/>
      <w:lvlJc w:val="left"/>
      <w:pPr>
        <w:ind w:left="1709" w:hanging="423"/>
      </w:pPr>
      <w:rPr>
        <w:rFonts w:hint="default"/>
      </w:rPr>
    </w:lvl>
    <w:lvl w:ilvl="3">
      <w:start w:val="0"/>
      <w:numFmt w:val="bullet"/>
      <w:lvlText w:val="•"/>
      <w:lvlJc w:val="left"/>
      <w:pPr>
        <w:ind w:left="2274" w:hanging="423"/>
      </w:pPr>
      <w:rPr>
        <w:rFonts w:hint="default"/>
      </w:rPr>
    </w:lvl>
    <w:lvl w:ilvl="4">
      <w:start w:val="0"/>
      <w:numFmt w:val="bullet"/>
      <w:lvlText w:val="•"/>
      <w:lvlJc w:val="left"/>
      <w:pPr>
        <w:ind w:left="2838" w:hanging="423"/>
      </w:pPr>
      <w:rPr>
        <w:rFonts w:hint="default"/>
      </w:rPr>
    </w:lvl>
    <w:lvl w:ilvl="5">
      <w:start w:val="0"/>
      <w:numFmt w:val="bullet"/>
      <w:lvlText w:val="•"/>
      <w:lvlJc w:val="left"/>
      <w:pPr>
        <w:ind w:left="3403" w:hanging="423"/>
      </w:pPr>
      <w:rPr>
        <w:rFonts w:hint="default"/>
      </w:rPr>
    </w:lvl>
    <w:lvl w:ilvl="6">
      <w:start w:val="0"/>
      <w:numFmt w:val="bullet"/>
      <w:lvlText w:val="•"/>
      <w:lvlJc w:val="left"/>
      <w:pPr>
        <w:ind w:left="3968" w:hanging="423"/>
      </w:pPr>
      <w:rPr>
        <w:rFonts w:hint="default"/>
      </w:rPr>
    </w:lvl>
    <w:lvl w:ilvl="7">
      <w:start w:val="0"/>
      <w:numFmt w:val="bullet"/>
      <w:lvlText w:val="•"/>
      <w:lvlJc w:val="left"/>
      <w:pPr>
        <w:ind w:left="4532" w:hanging="423"/>
      </w:pPr>
      <w:rPr>
        <w:rFonts w:hint="default"/>
      </w:rPr>
    </w:lvl>
    <w:lvl w:ilvl="8">
      <w:start w:val="0"/>
      <w:numFmt w:val="bullet"/>
      <w:lvlText w:val="•"/>
      <w:lvlJc w:val="left"/>
      <w:pPr>
        <w:ind w:left="5097" w:hanging="423"/>
      </w:pPr>
      <w:rPr>
        <w:rFonts w:hint="default"/>
      </w:rPr>
    </w:lvl>
  </w:abstractNum>
  <w:abstractNum w:abstractNumId="17">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43" w:hanging="423"/>
      </w:pPr>
      <w:rPr>
        <w:rFonts w:hint="default"/>
      </w:rPr>
    </w:lvl>
    <w:lvl w:ilvl="2">
      <w:start w:val="0"/>
      <w:numFmt w:val="bullet"/>
      <w:lvlText w:val="•"/>
      <w:lvlJc w:val="left"/>
      <w:pPr>
        <w:ind w:left="1706" w:hanging="423"/>
      </w:pPr>
      <w:rPr>
        <w:rFonts w:hint="default"/>
      </w:rPr>
    </w:lvl>
    <w:lvl w:ilvl="3">
      <w:start w:val="0"/>
      <w:numFmt w:val="bullet"/>
      <w:lvlText w:val="•"/>
      <w:lvlJc w:val="left"/>
      <w:pPr>
        <w:ind w:left="2270" w:hanging="423"/>
      </w:pPr>
      <w:rPr>
        <w:rFonts w:hint="default"/>
      </w:rPr>
    </w:lvl>
    <w:lvl w:ilvl="4">
      <w:start w:val="0"/>
      <w:numFmt w:val="bullet"/>
      <w:lvlText w:val="•"/>
      <w:lvlJc w:val="left"/>
      <w:pPr>
        <w:ind w:left="2833" w:hanging="423"/>
      </w:pPr>
      <w:rPr>
        <w:rFonts w:hint="default"/>
      </w:rPr>
    </w:lvl>
    <w:lvl w:ilvl="5">
      <w:start w:val="0"/>
      <w:numFmt w:val="bullet"/>
      <w:lvlText w:val="•"/>
      <w:lvlJc w:val="left"/>
      <w:pPr>
        <w:ind w:left="3397" w:hanging="423"/>
      </w:pPr>
      <w:rPr>
        <w:rFonts w:hint="default"/>
      </w:rPr>
    </w:lvl>
    <w:lvl w:ilvl="6">
      <w:start w:val="0"/>
      <w:numFmt w:val="bullet"/>
      <w:lvlText w:val="•"/>
      <w:lvlJc w:val="left"/>
      <w:pPr>
        <w:ind w:left="3960" w:hanging="423"/>
      </w:pPr>
      <w:rPr>
        <w:rFonts w:hint="default"/>
      </w:rPr>
    </w:lvl>
    <w:lvl w:ilvl="7">
      <w:start w:val="0"/>
      <w:numFmt w:val="bullet"/>
      <w:lvlText w:val="•"/>
      <w:lvlJc w:val="left"/>
      <w:pPr>
        <w:ind w:left="4523" w:hanging="423"/>
      </w:pPr>
      <w:rPr>
        <w:rFonts w:hint="default"/>
      </w:rPr>
    </w:lvl>
    <w:lvl w:ilvl="8">
      <w:start w:val="0"/>
      <w:numFmt w:val="bullet"/>
      <w:lvlText w:val="•"/>
      <w:lvlJc w:val="left"/>
      <w:pPr>
        <w:ind w:left="5087" w:hanging="423"/>
      </w:pPr>
      <w:rPr>
        <w:rFonts w:hint="default"/>
      </w:rPr>
    </w:lvl>
  </w:abstractNum>
  <w:abstractNum w:abstractNumId="16">
    <w:multiLevelType w:val="hybridMultilevel"/>
    <w:lvl w:ilvl="0">
      <w:start w:val="1"/>
      <w:numFmt w:val="decimal"/>
      <w:lvlText w:val="（%1）"/>
      <w:lvlJc w:val="left"/>
      <w:pPr>
        <w:ind w:left="742" w:hanging="644"/>
        <w:jc w:val="left"/>
      </w:pPr>
      <w:rPr>
        <w:rFonts w:hint="default" w:ascii="宋体" w:hAnsi="宋体" w:eastAsia="宋体" w:cs="宋体"/>
        <w:spacing w:val="-2"/>
        <w:w w:val="100"/>
        <w:sz w:val="21"/>
        <w:szCs w:val="21"/>
      </w:rPr>
    </w:lvl>
    <w:lvl w:ilvl="1">
      <w:start w:val="0"/>
      <w:numFmt w:val="bullet"/>
      <w:lvlText w:val="•"/>
      <w:lvlJc w:val="left"/>
      <w:pPr>
        <w:ind w:left="1292" w:hanging="644"/>
      </w:pPr>
      <w:rPr>
        <w:rFonts w:hint="default"/>
      </w:rPr>
    </w:lvl>
    <w:lvl w:ilvl="2">
      <w:start w:val="0"/>
      <w:numFmt w:val="bullet"/>
      <w:lvlText w:val="•"/>
      <w:lvlJc w:val="left"/>
      <w:pPr>
        <w:ind w:left="1845" w:hanging="644"/>
      </w:pPr>
      <w:rPr>
        <w:rFonts w:hint="default"/>
      </w:rPr>
    </w:lvl>
    <w:lvl w:ilvl="3">
      <w:start w:val="0"/>
      <w:numFmt w:val="bullet"/>
      <w:lvlText w:val="•"/>
      <w:lvlJc w:val="left"/>
      <w:pPr>
        <w:ind w:left="2398" w:hanging="644"/>
      </w:pPr>
      <w:rPr>
        <w:rFonts w:hint="default"/>
      </w:rPr>
    </w:lvl>
    <w:lvl w:ilvl="4">
      <w:start w:val="0"/>
      <w:numFmt w:val="bullet"/>
      <w:lvlText w:val="•"/>
      <w:lvlJc w:val="left"/>
      <w:pPr>
        <w:ind w:left="2950" w:hanging="644"/>
      </w:pPr>
      <w:rPr>
        <w:rFonts w:hint="default"/>
      </w:rPr>
    </w:lvl>
    <w:lvl w:ilvl="5">
      <w:start w:val="0"/>
      <w:numFmt w:val="bullet"/>
      <w:lvlText w:val="•"/>
      <w:lvlJc w:val="left"/>
      <w:pPr>
        <w:ind w:left="3503" w:hanging="644"/>
      </w:pPr>
      <w:rPr>
        <w:rFonts w:hint="default"/>
      </w:rPr>
    </w:lvl>
    <w:lvl w:ilvl="6">
      <w:start w:val="0"/>
      <w:numFmt w:val="bullet"/>
      <w:lvlText w:val="•"/>
      <w:lvlJc w:val="left"/>
      <w:pPr>
        <w:ind w:left="4056" w:hanging="644"/>
      </w:pPr>
      <w:rPr>
        <w:rFonts w:hint="default"/>
      </w:rPr>
    </w:lvl>
    <w:lvl w:ilvl="7">
      <w:start w:val="0"/>
      <w:numFmt w:val="bullet"/>
      <w:lvlText w:val="•"/>
      <w:lvlJc w:val="left"/>
      <w:pPr>
        <w:ind w:left="4608" w:hanging="644"/>
      </w:pPr>
      <w:rPr>
        <w:rFonts w:hint="default"/>
      </w:rPr>
    </w:lvl>
    <w:lvl w:ilvl="8">
      <w:start w:val="0"/>
      <w:numFmt w:val="bullet"/>
      <w:lvlText w:val="•"/>
      <w:lvlJc w:val="left"/>
      <w:pPr>
        <w:ind w:left="5161" w:hanging="644"/>
      </w:pPr>
      <w:rPr>
        <w:rFonts w:hint="default"/>
      </w:rPr>
    </w:lvl>
  </w:abstractNum>
  <w:abstractNum w:abstractNumId="15">
    <w:multiLevelType w:val="hybridMultilevel"/>
    <w:lvl w:ilvl="0">
      <w:start w:val="1"/>
      <w:numFmt w:val="decimal"/>
      <w:lvlText w:val="（%1）"/>
      <w:lvlJc w:val="left"/>
      <w:pPr>
        <w:ind w:left="746" w:hanging="635"/>
        <w:jc w:val="left"/>
      </w:pPr>
      <w:rPr>
        <w:rFonts w:hint="default" w:ascii="宋体" w:hAnsi="宋体" w:eastAsia="宋体" w:cs="宋体"/>
        <w:w w:val="100"/>
        <w:sz w:val="21"/>
        <w:szCs w:val="21"/>
      </w:rPr>
    </w:lvl>
    <w:lvl w:ilvl="1">
      <w:start w:val="0"/>
      <w:numFmt w:val="bullet"/>
      <w:lvlText w:val="•"/>
      <w:lvlJc w:val="left"/>
      <w:pPr>
        <w:ind w:left="1292" w:hanging="635"/>
      </w:pPr>
      <w:rPr>
        <w:rFonts w:hint="default"/>
      </w:rPr>
    </w:lvl>
    <w:lvl w:ilvl="2">
      <w:start w:val="0"/>
      <w:numFmt w:val="bullet"/>
      <w:lvlText w:val="•"/>
      <w:lvlJc w:val="left"/>
      <w:pPr>
        <w:ind w:left="1845" w:hanging="635"/>
      </w:pPr>
      <w:rPr>
        <w:rFonts w:hint="default"/>
      </w:rPr>
    </w:lvl>
    <w:lvl w:ilvl="3">
      <w:start w:val="0"/>
      <w:numFmt w:val="bullet"/>
      <w:lvlText w:val="•"/>
      <w:lvlJc w:val="left"/>
      <w:pPr>
        <w:ind w:left="2397" w:hanging="635"/>
      </w:pPr>
      <w:rPr>
        <w:rFonts w:hint="default"/>
      </w:rPr>
    </w:lvl>
    <w:lvl w:ilvl="4">
      <w:start w:val="0"/>
      <w:numFmt w:val="bullet"/>
      <w:lvlText w:val="•"/>
      <w:lvlJc w:val="left"/>
      <w:pPr>
        <w:ind w:left="2950" w:hanging="635"/>
      </w:pPr>
      <w:rPr>
        <w:rFonts w:hint="default"/>
      </w:rPr>
    </w:lvl>
    <w:lvl w:ilvl="5">
      <w:start w:val="0"/>
      <w:numFmt w:val="bullet"/>
      <w:lvlText w:val="•"/>
      <w:lvlJc w:val="left"/>
      <w:pPr>
        <w:ind w:left="3502" w:hanging="635"/>
      </w:pPr>
      <w:rPr>
        <w:rFonts w:hint="default"/>
      </w:rPr>
    </w:lvl>
    <w:lvl w:ilvl="6">
      <w:start w:val="0"/>
      <w:numFmt w:val="bullet"/>
      <w:lvlText w:val="•"/>
      <w:lvlJc w:val="left"/>
      <w:pPr>
        <w:ind w:left="4055" w:hanging="635"/>
      </w:pPr>
      <w:rPr>
        <w:rFonts w:hint="default"/>
      </w:rPr>
    </w:lvl>
    <w:lvl w:ilvl="7">
      <w:start w:val="0"/>
      <w:numFmt w:val="bullet"/>
      <w:lvlText w:val="•"/>
      <w:lvlJc w:val="left"/>
      <w:pPr>
        <w:ind w:left="4607" w:hanging="635"/>
      </w:pPr>
      <w:rPr>
        <w:rFonts w:hint="default"/>
      </w:rPr>
    </w:lvl>
    <w:lvl w:ilvl="8">
      <w:start w:val="0"/>
      <w:numFmt w:val="bullet"/>
      <w:lvlText w:val="•"/>
      <w:lvlJc w:val="left"/>
      <w:pPr>
        <w:ind w:left="5160" w:hanging="635"/>
      </w:pPr>
      <w:rPr>
        <w:rFonts w:hint="default"/>
      </w:rPr>
    </w:lvl>
  </w:abstractNum>
  <w:abstractNum w:abstractNumId="14">
    <w:multiLevelType w:val="hybridMultilevel"/>
    <w:lvl w:ilvl="0">
      <w:start w:val="1"/>
      <w:numFmt w:val="upperRoman"/>
      <w:lvlText w:val="%1"/>
      <w:lvlJc w:val="left"/>
      <w:pPr>
        <w:ind w:left="482" w:hanging="159"/>
        <w:jc w:val="left"/>
      </w:pPr>
      <w:rPr>
        <w:rFonts w:hint="default" w:ascii="宋体" w:hAnsi="宋体" w:eastAsia="宋体" w:cs="宋体"/>
        <w:w w:val="100"/>
        <w:sz w:val="21"/>
        <w:szCs w:val="21"/>
      </w:rPr>
    </w:lvl>
    <w:lvl w:ilvl="1">
      <w:start w:val="0"/>
      <w:numFmt w:val="bullet"/>
      <w:lvlText w:val="•"/>
      <w:lvlJc w:val="left"/>
      <w:pPr>
        <w:ind w:left="1058" w:hanging="159"/>
      </w:pPr>
      <w:rPr>
        <w:rFonts w:hint="default"/>
      </w:rPr>
    </w:lvl>
    <w:lvl w:ilvl="2">
      <w:start w:val="0"/>
      <w:numFmt w:val="bullet"/>
      <w:lvlText w:val="•"/>
      <w:lvlJc w:val="left"/>
      <w:pPr>
        <w:ind w:left="1637" w:hanging="159"/>
      </w:pPr>
      <w:rPr>
        <w:rFonts w:hint="default"/>
      </w:rPr>
    </w:lvl>
    <w:lvl w:ilvl="3">
      <w:start w:val="0"/>
      <w:numFmt w:val="bullet"/>
      <w:lvlText w:val="•"/>
      <w:lvlJc w:val="left"/>
      <w:pPr>
        <w:ind w:left="2215" w:hanging="159"/>
      </w:pPr>
      <w:rPr>
        <w:rFonts w:hint="default"/>
      </w:rPr>
    </w:lvl>
    <w:lvl w:ilvl="4">
      <w:start w:val="0"/>
      <w:numFmt w:val="bullet"/>
      <w:lvlText w:val="•"/>
      <w:lvlJc w:val="left"/>
      <w:pPr>
        <w:ind w:left="2794" w:hanging="159"/>
      </w:pPr>
      <w:rPr>
        <w:rFonts w:hint="default"/>
      </w:rPr>
    </w:lvl>
    <w:lvl w:ilvl="5">
      <w:start w:val="0"/>
      <w:numFmt w:val="bullet"/>
      <w:lvlText w:val="•"/>
      <w:lvlJc w:val="left"/>
      <w:pPr>
        <w:ind w:left="3372" w:hanging="159"/>
      </w:pPr>
      <w:rPr>
        <w:rFonts w:hint="default"/>
      </w:rPr>
    </w:lvl>
    <w:lvl w:ilvl="6">
      <w:start w:val="0"/>
      <w:numFmt w:val="bullet"/>
      <w:lvlText w:val="•"/>
      <w:lvlJc w:val="left"/>
      <w:pPr>
        <w:ind w:left="3951" w:hanging="159"/>
      </w:pPr>
      <w:rPr>
        <w:rFonts w:hint="default"/>
      </w:rPr>
    </w:lvl>
    <w:lvl w:ilvl="7">
      <w:start w:val="0"/>
      <w:numFmt w:val="bullet"/>
      <w:lvlText w:val="•"/>
      <w:lvlJc w:val="left"/>
      <w:pPr>
        <w:ind w:left="4529" w:hanging="159"/>
      </w:pPr>
      <w:rPr>
        <w:rFonts w:hint="default"/>
      </w:rPr>
    </w:lvl>
    <w:lvl w:ilvl="8">
      <w:start w:val="0"/>
      <w:numFmt w:val="bullet"/>
      <w:lvlText w:val="•"/>
      <w:lvlJc w:val="left"/>
      <w:pPr>
        <w:ind w:left="5108" w:hanging="159"/>
      </w:pPr>
      <w:rPr>
        <w:rFonts w:hint="default"/>
      </w:rPr>
    </w:lvl>
  </w:abstractNum>
  <w:abstractNum w:abstractNumId="13">
    <w:multiLevelType w:val="hybridMultilevel"/>
    <w:lvl w:ilvl="0">
      <w:start w:val="1"/>
      <w:numFmt w:val="decimal"/>
      <w:lvlText w:val="(%1)"/>
      <w:lvlJc w:val="left"/>
      <w:pPr>
        <w:ind w:left="430" w:hanging="35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012" w:hanging="356"/>
      </w:pPr>
      <w:rPr>
        <w:rFonts w:hint="default"/>
      </w:rPr>
    </w:lvl>
    <w:lvl w:ilvl="2">
      <w:start w:val="0"/>
      <w:numFmt w:val="bullet"/>
      <w:lvlText w:val="•"/>
      <w:lvlJc w:val="left"/>
      <w:pPr>
        <w:ind w:left="1584" w:hanging="356"/>
      </w:pPr>
      <w:rPr>
        <w:rFonts w:hint="default"/>
      </w:rPr>
    </w:lvl>
    <w:lvl w:ilvl="3">
      <w:start w:val="0"/>
      <w:numFmt w:val="bullet"/>
      <w:lvlText w:val="•"/>
      <w:lvlJc w:val="left"/>
      <w:pPr>
        <w:ind w:left="2156" w:hanging="356"/>
      </w:pPr>
      <w:rPr>
        <w:rFonts w:hint="default"/>
      </w:rPr>
    </w:lvl>
    <w:lvl w:ilvl="4">
      <w:start w:val="0"/>
      <w:numFmt w:val="bullet"/>
      <w:lvlText w:val="•"/>
      <w:lvlJc w:val="left"/>
      <w:pPr>
        <w:ind w:left="2728" w:hanging="356"/>
      </w:pPr>
      <w:rPr>
        <w:rFonts w:hint="default"/>
      </w:rPr>
    </w:lvl>
    <w:lvl w:ilvl="5">
      <w:start w:val="0"/>
      <w:numFmt w:val="bullet"/>
      <w:lvlText w:val="•"/>
      <w:lvlJc w:val="left"/>
      <w:pPr>
        <w:ind w:left="3300" w:hanging="356"/>
      </w:pPr>
      <w:rPr>
        <w:rFonts w:hint="default"/>
      </w:rPr>
    </w:lvl>
    <w:lvl w:ilvl="6">
      <w:start w:val="0"/>
      <w:numFmt w:val="bullet"/>
      <w:lvlText w:val="•"/>
      <w:lvlJc w:val="left"/>
      <w:pPr>
        <w:ind w:left="3872" w:hanging="356"/>
      </w:pPr>
      <w:rPr>
        <w:rFonts w:hint="default"/>
      </w:rPr>
    </w:lvl>
    <w:lvl w:ilvl="7">
      <w:start w:val="0"/>
      <w:numFmt w:val="bullet"/>
      <w:lvlText w:val="•"/>
      <w:lvlJc w:val="left"/>
      <w:pPr>
        <w:ind w:left="4444" w:hanging="356"/>
      </w:pPr>
      <w:rPr>
        <w:rFonts w:hint="default"/>
      </w:rPr>
    </w:lvl>
    <w:lvl w:ilvl="8">
      <w:start w:val="0"/>
      <w:numFmt w:val="bullet"/>
      <w:lvlText w:val="•"/>
      <w:lvlJc w:val="left"/>
      <w:pPr>
        <w:ind w:left="5016" w:hanging="356"/>
      </w:pPr>
      <w:rPr>
        <w:rFonts w:hint="default"/>
      </w:rPr>
    </w:lvl>
  </w:abstractNum>
  <w:abstractNum w:abstractNumId="12">
    <w:multiLevelType w:val="hybridMultilevel"/>
    <w:lvl w:ilvl="0">
      <w:start w:val="2"/>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7"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4" w:hanging="423"/>
      </w:pPr>
      <w:rPr>
        <w:rFonts w:hint="default"/>
      </w:rPr>
    </w:lvl>
    <w:lvl w:ilvl="8">
      <w:start w:val="0"/>
      <w:numFmt w:val="bullet"/>
      <w:lvlText w:val="•"/>
      <w:lvlJc w:val="left"/>
      <w:pPr>
        <w:ind w:left="5008" w:hanging="423"/>
      </w:pPr>
      <w:rPr>
        <w:rFonts w:hint="default"/>
      </w:rPr>
    </w:lvl>
  </w:abstractNum>
  <w:abstractNum w:abstractNumId="11">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7"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4" w:hanging="423"/>
      </w:pPr>
      <w:rPr>
        <w:rFonts w:hint="default"/>
      </w:rPr>
    </w:lvl>
    <w:lvl w:ilvl="8">
      <w:start w:val="0"/>
      <w:numFmt w:val="bullet"/>
      <w:lvlText w:val="•"/>
      <w:lvlJc w:val="left"/>
      <w:pPr>
        <w:ind w:left="5008" w:hanging="423"/>
      </w:pPr>
      <w:rPr>
        <w:rFonts w:hint="default"/>
      </w:rPr>
    </w:lvl>
  </w:abstractNum>
  <w:abstractNum w:abstractNumId="10">
    <w:multiLevelType w:val="hybridMultilevel"/>
    <w:lvl w:ilvl="0">
      <w:start w:val="1"/>
      <w:numFmt w:val="decimal"/>
      <w:lvlText w:val="(%1)"/>
      <w:lvlJc w:val="left"/>
      <w:pPr>
        <w:ind w:left="591" w:hanging="423"/>
        <w:jc w:val="left"/>
      </w:pPr>
      <w:rPr>
        <w:rFonts w:hint="default" w:ascii="宋体" w:hAnsi="宋体" w:eastAsia="宋体" w:cs="宋体"/>
        <w:w w:val="100"/>
        <w:sz w:val="21"/>
        <w:szCs w:val="21"/>
      </w:rPr>
    </w:lvl>
    <w:lvl w:ilvl="1">
      <w:start w:val="0"/>
      <w:numFmt w:val="bullet"/>
      <w:lvlText w:val="•"/>
      <w:lvlJc w:val="left"/>
      <w:pPr>
        <w:ind w:left="1172" w:hanging="423"/>
      </w:pPr>
      <w:rPr>
        <w:rFonts w:hint="default"/>
      </w:rPr>
    </w:lvl>
    <w:lvl w:ilvl="2">
      <w:start w:val="0"/>
      <w:numFmt w:val="bullet"/>
      <w:lvlText w:val="•"/>
      <w:lvlJc w:val="left"/>
      <w:pPr>
        <w:ind w:left="1744" w:hanging="423"/>
      </w:pPr>
      <w:rPr>
        <w:rFonts w:hint="default"/>
      </w:rPr>
    </w:lvl>
    <w:lvl w:ilvl="3">
      <w:start w:val="0"/>
      <w:numFmt w:val="bullet"/>
      <w:lvlText w:val="•"/>
      <w:lvlJc w:val="left"/>
      <w:pPr>
        <w:ind w:left="2316" w:hanging="423"/>
      </w:pPr>
      <w:rPr>
        <w:rFonts w:hint="default"/>
      </w:rPr>
    </w:lvl>
    <w:lvl w:ilvl="4">
      <w:start w:val="0"/>
      <w:numFmt w:val="bullet"/>
      <w:lvlText w:val="•"/>
      <w:lvlJc w:val="left"/>
      <w:pPr>
        <w:ind w:left="2888" w:hanging="423"/>
      </w:pPr>
      <w:rPr>
        <w:rFonts w:hint="default"/>
      </w:rPr>
    </w:lvl>
    <w:lvl w:ilvl="5">
      <w:start w:val="0"/>
      <w:numFmt w:val="bullet"/>
      <w:lvlText w:val="•"/>
      <w:lvlJc w:val="left"/>
      <w:pPr>
        <w:ind w:left="3461" w:hanging="423"/>
      </w:pPr>
      <w:rPr>
        <w:rFonts w:hint="default"/>
      </w:rPr>
    </w:lvl>
    <w:lvl w:ilvl="6">
      <w:start w:val="0"/>
      <w:numFmt w:val="bullet"/>
      <w:lvlText w:val="•"/>
      <w:lvlJc w:val="left"/>
      <w:pPr>
        <w:ind w:left="4033" w:hanging="423"/>
      </w:pPr>
      <w:rPr>
        <w:rFonts w:hint="default"/>
      </w:rPr>
    </w:lvl>
    <w:lvl w:ilvl="7">
      <w:start w:val="0"/>
      <w:numFmt w:val="bullet"/>
      <w:lvlText w:val="•"/>
      <w:lvlJc w:val="left"/>
      <w:pPr>
        <w:ind w:left="4605" w:hanging="423"/>
      </w:pPr>
      <w:rPr>
        <w:rFonts w:hint="default"/>
      </w:rPr>
    </w:lvl>
    <w:lvl w:ilvl="8">
      <w:start w:val="0"/>
      <w:numFmt w:val="bullet"/>
      <w:lvlText w:val="•"/>
      <w:lvlJc w:val="left"/>
      <w:pPr>
        <w:ind w:left="5177" w:hanging="423"/>
      </w:pPr>
      <w:rPr>
        <w:rFonts w:hint="default"/>
      </w:rPr>
    </w:lvl>
  </w:abstractNum>
  <w:abstractNum w:abstractNumId="9">
    <w:multiLevelType w:val="hybridMultilevel"/>
    <w:lvl w:ilvl="0">
      <w:start w:val="1"/>
      <w:numFmt w:val="decimal"/>
      <w:lvlText w:val="(%1)"/>
      <w:lvlJc w:val="left"/>
      <w:pPr>
        <w:ind w:left="591" w:hanging="423"/>
        <w:jc w:val="left"/>
      </w:pPr>
      <w:rPr>
        <w:rFonts w:hint="default" w:ascii="宋体" w:hAnsi="宋体" w:eastAsia="宋体" w:cs="宋体"/>
        <w:w w:val="100"/>
        <w:sz w:val="21"/>
        <w:szCs w:val="21"/>
      </w:rPr>
    </w:lvl>
    <w:lvl w:ilvl="1">
      <w:start w:val="0"/>
      <w:numFmt w:val="bullet"/>
      <w:lvlText w:val="•"/>
      <w:lvlJc w:val="left"/>
      <w:pPr>
        <w:ind w:left="1172" w:hanging="423"/>
      </w:pPr>
      <w:rPr>
        <w:rFonts w:hint="default"/>
      </w:rPr>
    </w:lvl>
    <w:lvl w:ilvl="2">
      <w:start w:val="0"/>
      <w:numFmt w:val="bullet"/>
      <w:lvlText w:val="•"/>
      <w:lvlJc w:val="left"/>
      <w:pPr>
        <w:ind w:left="1744" w:hanging="423"/>
      </w:pPr>
      <w:rPr>
        <w:rFonts w:hint="default"/>
      </w:rPr>
    </w:lvl>
    <w:lvl w:ilvl="3">
      <w:start w:val="0"/>
      <w:numFmt w:val="bullet"/>
      <w:lvlText w:val="•"/>
      <w:lvlJc w:val="left"/>
      <w:pPr>
        <w:ind w:left="2316" w:hanging="423"/>
      </w:pPr>
      <w:rPr>
        <w:rFonts w:hint="default"/>
      </w:rPr>
    </w:lvl>
    <w:lvl w:ilvl="4">
      <w:start w:val="0"/>
      <w:numFmt w:val="bullet"/>
      <w:lvlText w:val="•"/>
      <w:lvlJc w:val="left"/>
      <w:pPr>
        <w:ind w:left="2888" w:hanging="423"/>
      </w:pPr>
      <w:rPr>
        <w:rFonts w:hint="default"/>
      </w:rPr>
    </w:lvl>
    <w:lvl w:ilvl="5">
      <w:start w:val="0"/>
      <w:numFmt w:val="bullet"/>
      <w:lvlText w:val="•"/>
      <w:lvlJc w:val="left"/>
      <w:pPr>
        <w:ind w:left="3460" w:hanging="423"/>
      </w:pPr>
      <w:rPr>
        <w:rFonts w:hint="default"/>
      </w:rPr>
    </w:lvl>
    <w:lvl w:ilvl="6">
      <w:start w:val="0"/>
      <w:numFmt w:val="bullet"/>
      <w:lvlText w:val="•"/>
      <w:lvlJc w:val="left"/>
      <w:pPr>
        <w:ind w:left="4032" w:hanging="423"/>
      </w:pPr>
      <w:rPr>
        <w:rFonts w:hint="default"/>
      </w:rPr>
    </w:lvl>
    <w:lvl w:ilvl="7">
      <w:start w:val="0"/>
      <w:numFmt w:val="bullet"/>
      <w:lvlText w:val="•"/>
      <w:lvlJc w:val="left"/>
      <w:pPr>
        <w:ind w:left="4604" w:hanging="423"/>
      </w:pPr>
      <w:rPr>
        <w:rFonts w:hint="default"/>
      </w:rPr>
    </w:lvl>
    <w:lvl w:ilvl="8">
      <w:start w:val="0"/>
      <w:numFmt w:val="bullet"/>
      <w:lvlText w:val="•"/>
      <w:lvlJc w:val="left"/>
      <w:pPr>
        <w:ind w:left="5176" w:hanging="423"/>
      </w:pPr>
      <w:rPr>
        <w:rFonts w:hint="default"/>
      </w:rPr>
    </w:lvl>
  </w:abstractNum>
  <w:abstractNum w:abstractNumId="8">
    <w:multiLevelType w:val="hybridMultilevel"/>
    <w:lvl w:ilvl="0">
      <w:start w:val="1"/>
      <w:numFmt w:val="decimal"/>
      <w:lvlText w:val="(%1)"/>
      <w:lvlJc w:val="left"/>
      <w:pPr>
        <w:ind w:left="591" w:hanging="423"/>
        <w:jc w:val="left"/>
      </w:pPr>
      <w:rPr>
        <w:rFonts w:hint="default" w:ascii="宋体" w:hAnsi="宋体" w:eastAsia="宋体" w:cs="宋体"/>
        <w:w w:val="100"/>
        <w:sz w:val="21"/>
        <w:szCs w:val="21"/>
      </w:rPr>
    </w:lvl>
    <w:lvl w:ilvl="1">
      <w:start w:val="0"/>
      <w:numFmt w:val="bullet"/>
      <w:lvlText w:val="•"/>
      <w:lvlJc w:val="left"/>
      <w:pPr>
        <w:ind w:left="1172" w:hanging="423"/>
      </w:pPr>
      <w:rPr>
        <w:rFonts w:hint="default"/>
      </w:rPr>
    </w:lvl>
    <w:lvl w:ilvl="2">
      <w:start w:val="0"/>
      <w:numFmt w:val="bullet"/>
      <w:lvlText w:val="•"/>
      <w:lvlJc w:val="left"/>
      <w:pPr>
        <w:ind w:left="1744" w:hanging="423"/>
      </w:pPr>
      <w:rPr>
        <w:rFonts w:hint="default"/>
      </w:rPr>
    </w:lvl>
    <w:lvl w:ilvl="3">
      <w:start w:val="0"/>
      <w:numFmt w:val="bullet"/>
      <w:lvlText w:val="•"/>
      <w:lvlJc w:val="left"/>
      <w:pPr>
        <w:ind w:left="2316" w:hanging="423"/>
      </w:pPr>
      <w:rPr>
        <w:rFonts w:hint="default"/>
      </w:rPr>
    </w:lvl>
    <w:lvl w:ilvl="4">
      <w:start w:val="0"/>
      <w:numFmt w:val="bullet"/>
      <w:lvlText w:val="•"/>
      <w:lvlJc w:val="left"/>
      <w:pPr>
        <w:ind w:left="2888" w:hanging="423"/>
      </w:pPr>
      <w:rPr>
        <w:rFonts w:hint="default"/>
      </w:rPr>
    </w:lvl>
    <w:lvl w:ilvl="5">
      <w:start w:val="0"/>
      <w:numFmt w:val="bullet"/>
      <w:lvlText w:val="•"/>
      <w:lvlJc w:val="left"/>
      <w:pPr>
        <w:ind w:left="3460" w:hanging="423"/>
      </w:pPr>
      <w:rPr>
        <w:rFonts w:hint="default"/>
      </w:rPr>
    </w:lvl>
    <w:lvl w:ilvl="6">
      <w:start w:val="0"/>
      <w:numFmt w:val="bullet"/>
      <w:lvlText w:val="•"/>
      <w:lvlJc w:val="left"/>
      <w:pPr>
        <w:ind w:left="4032" w:hanging="423"/>
      </w:pPr>
      <w:rPr>
        <w:rFonts w:hint="default"/>
      </w:rPr>
    </w:lvl>
    <w:lvl w:ilvl="7">
      <w:start w:val="0"/>
      <w:numFmt w:val="bullet"/>
      <w:lvlText w:val="•"/>
      <w:lvlJc w:val="left"/>
      <w:pPr>
        <w:ind w:left="4604" w:hanging="423"/>
      </w:pPr>
      <w:rPr>
        <w:rFonts w:hint="default"/>
      </w:rPr>
    </w:lvl>
    <w:lvl w:ilvl="8">
      <w:start w:val="0"/>
      <w:numFmt w:val="bullet"/>
      <w:lvlText w:val="•"/>
      <w:lvlJc w:val="left"/>
      <w:pPr>
        <w:ind w:left="5176" w:hanging="423"/>
      </w:pPr>
      <w:rPr>
        <w:rFonts w:hint="default"/>
      </w:rPr>
    </w:lvl>
  </w:abstractNum>
  <w:abstractNum w:abstractNumId="7">
    <w:multiLevelType w:val="hybridMultilevel"/>
    <w:lvl w:ilvl="0">
      <w:start w:val="1"/>
      <w:numFmt w:val="decimal"/>
      <w:lvlText w:val="(%1)"/>
      <w:lvlJc w:val="left"/>
      <w:pPr>
        <w:ind w:left="591" w:hanging="423"/>
        <w:jc w:val="left"/>
      </w:pPr>
      <w:rPr>
        <w:rFonts w:hint="default" w:ascii="宋体" w:hAnsi="宋体" w:eastAsia="宋体" w:cs="宋体"/>
        <w:w w:val="100"/>
        <w:sz w:val="21"/>
        <w:szCs w:val="21"/>
      </w:rPr>
    </w:lvl>
    <w:lvl w:ilvl="1">
      <w:start w:val="0"/>
      <w:numFmt w:val="bullet"/>
      <w:lvlText w:val="•"/>
      <w:lvlJc w:val="left"/>
      <w:pPr>
        <w:ind w:left="1172" w:hanging="423"/>
      </w:pPr>
      <w:rPr>
        <w:rFonts w:hint="default"/>
      </w:rPr>
    </w:lvl>
    <w:lvl w:ilvl="2">
      <w:start w:val="0"/>
      <w:numFmt w:val="bullet"/>
      <w:lvlText w:val="•"/>
      <w:lvlJc w:val="left"/>
      <w:pPr>
        <w:ind w:left="1744" w:hanging="423"/>
      </w:pPr>
      <w:rPr>
        <w:rFonts w:hint="default"/>
      </w:rPr>
    </w:lvl>
    <w:lvl w:ilvl="3">
      <w:start w:val="0"/>
      <w:numFmt w:val="bullet"/>
      <w:lvlText w:val="•"/>
      <w:lvlJc w:val="left"/>
      <w:pPr>
        <w:ind w:left="2316" w:hanging="423"/>
      </w:pPr>
      <w:rPr>
        <w:rFonts w:hint="default"/>
      </w:rPr>
    </w:lvl>
    <w:lvl w:ilvl="4">
      <w:start w:val="0"/>
      <w:numFmt w:val="bullet"/>
      <w:lvlText w:val="•"/>
      <w:lvlJc w:val="left"/>
      <w:pPr>
        <w:ind w:left="2888" w:hanging="423"/>
      </w:pPr>
      <w:rPr>
        <w:rFonts w:hint="default"/>
      </w:rPr>
    </w:lvl>
    <w:lvl w:ilvl="5">
      <w:start w:val="0"/>
      <w:numFmt w:val="bullet"/>
      <w:lvlText w:val="•"/>
      <w:lvlJc w:val="left"/>
      <w:pPr>
        <w:ind w:left="3460" w:hanging="423"/>
      </w:pPr>
      <w:rPr>
        <w:rFonts w:hint="default"/>
      </w:rPr>
    </w:lvl>
    <w:lvl w:ilvl="6">
      <w:start w:val="0"/>
      <w:numFmt w:val="bullet"/>
      <w:lvlText w:val="•"/>
      <w:lvlJc w:val="left"/>
      <w:pPr>
        <w:ind w:left="4032" w:hanging="423"/>
      </w:pPr>
      <w:rPr>
        <w:rFonts w:hint="default"/>
      </w:rPr>
    </w:lvl>
    <w:lvl w:ilvl="7">
      <w:start w:val="0"/>
      <w:numFmt w:val="bullet"/>
      <w:lvlText w:val="•"/>
      <w:lvlJc w:val="left"/>
      <w:pPr>
        <w:ind w:left="4604" w:hanging="423"/>
      </w:pPr>
      <w:rPr>
        <w:rFonts w:hint="default"/>
      </w:rPr>
    </w:lvl>
    <w:lvl w:ilvl="8">
      <w:start w:val="0"/>
      <w:numFmt w:val="bullet"/>
      <w:lvlText w:val="•"/>
      <w:lvlJc w:val="left"/>
      <w:pPr>
        <w:ind w:left="5176" w:hanging="423"/>
      </w:pPr>
      <w:rPr>
        <w:rFonts w:hint="default"/>
      </w:rPr>
    </w:lvl>
  </w:abstractNum>
  <w:abstractNum w:abstractNumId="6">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33" w:hanging="423"/>
      </w:pPr>
      <w:rPr>
        <w:rFonts w:hint="default"/>
      </w:rPr>
    </w:lvl>
    <w:lvl w:ilvl="2">
      <w:start w:val="0"/>
      <w:numFmt w:val="bullet"/>
      <w:lvlText w:val="•"/>
      <w:lvlJc w:val="left"/>
      <w:pPr>
        <w:ind w:left="1687" w:hanging="423"/>
      </w:pPr>
      <w:rPr>
        <w:rFonts w:hint="default"/>
      </w:rPr>
    </w:lvl>
    <w:lvl w:ilvl="3">
      <w:start w:val="0"/>
      <w:numFmt w:val="bullet"/>
      <w:lvlText w:val="•"/>
      <w:lvlJc w:val="left"/>
      <w:pPr>
        <w:ind w:left="2240" w:hanging="423"/>
      </w:pPr>
      <w:rPr>
        <w:rFonts w:hint="default"/>
      </w:rPr>
    </w:lvl>
    <w:lvl w:ilvl="4">
      <w:start w:val="0"/>
      <w:numFmt w:val="bullet"/>
      <w:lvlText w:val="•"/>
      <w:lvlJc w:val="left"/>
      <w:pPr>
        <w:ind w:left="2794" w:hanging="423"/>
      </w:pPr>
      <w:rPr>
        <w:rFonts w:hint="default"/>
      </w:rPr>
    </w:lvl>
    <w:lvl w:ilvl="5">
      <w:start w:val="0"/>
      <w:numFmt w:val="bullet"/>
      <w:lvlText w:val="•"/>
      <w:lvlJc w:val="left"/>
      <w:pPr>
        <w:ind w:left="3348" w:hanging="423"/>
      </w:pPr>
      <w:rPr>
        <w:rFonts w:hint="default"/>
      </w:rPr>
    </w:lvl>
    <w:lvl w:ilvl="6">
      <w:start w:val="0"/>
      <w:numFmt w:val="bullet"/>
      <w:lvlText w:val="•"/>
      <w:lvlJc w:val="left"/>
      <w:pPr>
        <w:ind w:left="3901" w:hanging="423"/>
      </w:pPr>
      <w:rPr>
        <w:rFonts w:hint="default"/>
      </w:rPr>
    </w:lvl>
    <w:lvl w:ilvl="7">
      <w:start w:val="0"/>
      <w:numFmt w:val="bullet"/>
      <w:lvlText w:val="•"/>
      <w:lvlJc w:val="left"/>
      <w:pPr>
        <w:ind w:left="4455" w:hanging="423"/>
      </w:pPr>
      <w:rPr>
        <w:rFonts w:hint="default"/>
      </w:rPr>
    </w:lvl>
    <w:lvl w:ilvl="8">
      <w:start w:val="0"/>
      <w:numFmt w:val="bullet"/>
      <w:lvlText w:val="•"/>
      <w:lvlJc w:val="left"/>
      <w:pPr>
        <w:ind w:left="5008" w:hanging="423"/>
      </w:pPr>
      <w:rPr>
        <w:rFonts w:hint="default"/>
      </w:rPr>
    </w:lvl>
  </w:abstractNum>
  <w:abstractNum w:abstractNumId="5">
    <w:multiLevelType w:val="hybridMultilevel"/>
    <w:lvl w:ilvl="0">
      <w:start w:val="1"/>
      <w:numFmt w:val="decimal"/>
      <w:lvlText w:val="%1."/>
      <w:lvlJc w:val="left"/>
      <w:pPr>
        <w:ind w:left="1952" w:hanging="264"/>
        <w:jc w:val="left"/>
      </w:pPr>
      <w:rPr>
        <w:rFonts w:hint="default" w:ascii="Cambria" w:hAnsi="Cambria" w:eastAsia="Cambria" w:cs="Cambria"/>
        <w:spacing w:val="-2"/>
        <w:w w:val="100"/>
        <w:sz w:val="21"/>
        <w:szCs w:val="21"/>
      </w:rPr>
    </w:lvl>
    <w:lvl w:ilvl="1">
      <w:start w:val="0"/>
      <w:numFmt w:val="bullet"/>
      <w:lvlText w:val="•"/>
      <w:lvlJc w:val="left"/>
      <w:pPr>
        <w:ind w:left="2389" w:hanging="264"/>
      </w:pPr>
      <w:rPr>
        <w:rFonts w:hint="default"/>
      </w:rPr>
    </w:lvl>
    <w:lvl w:ilvl="2">
      <w:start w:val="0"/>
      <w:numFmt w:val="bullet"/>
      <w:lvlText w:val="•"/>
      <w:lvlJc w:val="left"/>
      <w:pPr>
        <w:ind w:left="2818" w:hanging="264"/>
      </w:pPr>
      <w:rPr>
        <w:rFonts w:hint="default"/>
      </w:rPr>
    </w:lvl>
    <w:lvl w:ilvl="3">
      <w:start w:val="0"/>
      <w:numFmt w:val="bullet"/>
      <w:lvlText w:val="•"/>
      <w:lvlJc w:val="left"/>
      <w:pPr>
        <w:ind w:left="3247" w:hanging="264"/>
      </w:pPr>
      <w:rPr>
        <w:rFonts w:hint="default"/>
      </w:rPr>
    </w:lvl>
    <w:lvl w:ilvl="4">
      <w:start w:val="0"/>
      <w:numFmt w:val="bullet"/>
      <w:lvlText w:val="•"/>
      <w:lvlJc w:val="left"/>
      <w:pPr>
        <w:ind w:left="3676" w:hanging="264"/>
      </w:pPr>
      <w:rPr>
        <w:rFonts w:hint="default"/>
      </w:rPr>
    </w:lvl>
    <w:lvl w:ilvl="5">
      <w:start w:val="0"/>
      <w:numFmt w:val="bullet"/>
      <w:lvlText w:val="•"/>
      <w:lvlJc w:val="left"/>
      <w:pPr>
        <w:ind w:left="4106" w:hanging="264"/>
      </w:pPr>
      <w:rPr>
        <w:rFonts w:hint="default"/>
      </w:rPr>
    </w:lvl>
    <w:lvl w:ilvl="6">
      <w:start w:val="0"/>
      <w:numFmt w:val="bullet"/>
      <w:lvlText w:val="•"/>
      <w:lvlJc w:val="left"/>
      <w:pPr>
        <w:ind w:left="4535" w:hanging="264"/>
      </w:pPr>
      <w:rPr>
        <w:rFonts w:hint="default"/>
      </w:rPr>
    </w:lvl>
    <w:lvl w:ilvl="7">
      <w:start w:val="0"/>
      <w:numFmt w:val="bullet"/>
      <w:lvlText w:val="•"/>
      <w:lvlJc w:val="left"/>
      <w:pPr>
        <w:ind w:left="4964" w:hanging="264"/>
      </w:pPr>
      <w:rPr>
        <w:rFonts w:hint="default"/>
      </w:rPr>
    </w:lvl>
    <w:lvl w:ilvl="8">
      <w:start w:val="0"/>
      <w:numFmt w:val="bullet"/>
      <w:lvlText w:val="•"/>
      <w:lvlJc w:val="left"/>
      <w:pPr>
        <w:ind w:left="5393" w:hanging="264"/>
      </w:pPr>
      <w:rPr>
        <w:rFonts w:hint="default"/>
      </w:rPr>
    </w:lvl>
  </w:abstractNum>
  <w:abstractNum w:abstractNumId="4">
    <w:multiLevelType w:val="hybridMultilevel"/>
    <w:lvl w:ilvl="0">
      <w:start w:val="11"/>
      <w:numFmt w:val="decimal"/>
      <w:lvlText w:val="%1"/>
      <w:lvlJc w:val="left"/>
      <w:pPr>
        <w:ind w:left="981" w:hanging="529"/>
        <w:jc w:val="left"/>
      </w:pPr>
      <w:rPr>
        <w:rFonts w:hint="default"/>
      </w:rPr>
    </w:lvl>
    <w:lvl w:ilvl="1">
      <w:start w:val="3"/>
      <w:numFmt w:val="decimal"/>
      <w:lvlText w:val="%1.%2"/>
      <w:lvlJc w:val="left"/>
      <w:pPr>
        <w:ind w:left="1082" w:hanging="529"/>
        <w:jc w:val="left"/>
      </w:pPr>
      <w:rPr>
        <w:rFonts w:hint="default" w:ascii="宋体" w:hAnsi="宋体" w:eastAsia="宋体" w:cs="宋体"/>
        <w:w w:val="100"/>
        <w:sz w:val="21"/>
        <w:szCs w:val="21"/>
      </w:rPr>
    </w:lvl>
    <w:lvl w:ilvl="2">
      <w:start w:val="0"/>
      <w:numFmt w:val="bullet"/>
      <w:lvlText w:val="•"/>
      <w:lvlJc w:val="left"/>
      <w:pPr>
        <w:ind w:left="1351" w:hanging="529"/>
      </w:pPr>
      <w:rPr>
        <w:rFonts w:hint="default"/>
      </w:rPr>
    </w:lvl>
    <w:lvl w:ilvl="3">
      <w:start w:val="0"/>
      <w:numFmt w:val="bullet"/>
      <w:lvlText w:val="•"/>
      <w:lvlJc w:val="left"/>
      <w:pPr>
        <w:ind w:left="1623" w:hanging="529"/>
      </w:pPr>
      <w:rPr>
        <w:rFonts w:hint="default"/>
      </w:rPr>
    </w:lvl>
    <w:lvl w:ilvl="4">
      <w:start w:val="0"/>
      <w:numFmt w:val="bullet"/>
      <w:lvlText w:val="•"/>
      <w:lvlJc w:val="left"/>
      <w:pPr>
        <w:ind w:left="1894" w:hanging="529"/>
      </w:pPr>
      <w:rPr>
        <w:rFonts w:hint="default"/>
      </w:rPr>
    </w:lvl>
    <w:lvl w:ilvl="5">
      <w:start w:val="0"/>
      <w:numFmt w:val="bullet"/>
      <w:lvlText w:val="•"/>
      <w:lvlJc w:val="left"/>
      <w:pPr>
        <w:ind w:left="2166" w:hanging="529"/>
      </w:pPr>
      <w:rPr>
        <w:rFonts w:hint="default"/>
      </w:rPr>
    </w:lvl>
    <w:lvl w:ilvl="6">
      <w:start w:val="0"/>
      <w:numFmt w:val="bullet"/>
      <w:lvlText w:val="•"/>
      <w:lvlJc w:val="left"/>
      <w:pPr>
        <w:ind w:left="2437" w:hanging="529"/>
      </w:pPr>
      <w:rPr>
        <w:rFonts w:hint="default"/>
      </w:rPr>
    </w:lvl>
    <w:lvl w:ilvl="7">
      <w:start w:val="0"/>
      <w:numFmt w:val="bullet"/>
      <w:lvlText w:val="•"/>
      <w:lvlJc w:val="left"/>
      <w:pPr>
        <w:ind w:left="2709" w:hanging="529"/>
      </w:pPr>
      <w:rPr>
        <w:rFonts w:hint="default"/>
      </w:rPr>
    </w:lvl>
    <w:lvl w:ilvl="8">
      <w:start w:val="0"/>
      <w:numFmt w:val="bullet"/>
      <w:lvlText w:val="•"/>
      <w:lvlJc w:val="left"/>
      <w:pPr>
        <w:ind w:left="2980" w:hanging="529"/>
      </w:pPr>
      <w:rPr>
        <w:rFonts w:hint="default"/>
      </w:rPr>
    </w:lvl>
  </w:abstractNum>
  <w:abstractNum w:abstractNumId="3">
    <w:multiLevelType w:val="hybridMultilevel"/>
    <w:lvl w:ilvl="0">
      <w:start w:val="11"/>
      <w:numFmt w:val="decimal"/>
      <w:lvlText w:val="%1."/>
      <w:lvlJc w:val="left"/>
      <w:pPr>
        <w:ind w:left="613" w:hanging="423"/>
        <w:jc w:val="left"/>
      </w:pPr>
      <w:rPr>
        <w:rFonts w:hint="default" w:ascii="宋体" w:hAnsi="宋体" w:eastAsia="宋体" w:cs="宋体"/>
        <w:w w:val="100"/>
        <w:sz w:val="21"/>
        <w:szCs w:val="21"/>
      </w:rPr>
    </w:lvl>
    <w:lvl w:ilvl="1">
      <w:start w:val="1"/>
      <w:numFmt w:val="decimal"/>
      <w:lvlText w:val="%1.%2"/>
      <w:lvlJc w:val="left"/>
      <w:pPr>
        <w:ind w:left="1035" w:hanging="529"/>
        <w:jc w:val="left"/>
      </w:pPr>
      <w:rPr>
        <w:rFonts w:hint="default" w:ascii="宋体" w:hAnsi="宋体" w:eastAsia="宋体" w:cs="宋体"/>
        <w:w w:val="100"/>
        <w:sz w:val="21"/>
        <w:szCs w:val="21"/>
      </w:rPr>
    </w:lvl>
    <w:lvl w:ilvl="2">
      <w:start w:val="0"/>
      <w:numFmt w:val="bullet"/>
      <w:lvlText w:val="•"/>
      <w:lvlJc w:val="left"/>
      <w:pPr>
        <w:ind w:left="1334" w:hanging="529"/>
      </w:pPr>
      <w:rPr>
        <w:rFonts w:hint="default"/>
      </w:rPr>
    </w:lvl>
    <w:lvl w:ilvl="3">
      <w:start w:val="0"/>
      <w:numFmt w:val="bullet"/>
      <w:lvlText w:val="•"/>
      <w:lvlJc w:val="left"/>
      <w:pPr>
        <w:ind w:left="1629" w:hanging="529"/>
      </w:pPr>
      <w:rPr>
        <w:rFonts w:hint="default"/>
      </w:rPr>
    </w:lvl>
    <w:lvl w:ilvl="4">
      <w:start w:val="0"/>
      <w:numFmt w:val="bullet"/>
      <w:lvlText w:val="•"/>
      <w:lvlJc w:val="left"/>
      <w:pPr>
        <w:ind w:left="1924" w:hanging="529"/>
      </w:pPr>
      <w:rPr>
        <w:rFonts w:hint="default"/>
      </w:rPr>
    </w:lvl>
    <w:lvl w:ilvl="5">
      <w:start w:val="0"/>
      <w:numFmt w:val="bullet"/>
      <w:lvlText w:val="•"/>
      <w:lvlJc w:val="left"/>
      <w:pPr>
        <w:ind w:left="2219" w:hanging="529"/>
      </w:pPr>
      <w:rPr>
        <w:rFonts w:hint="default"/>
      </w:rPr>
    </w:lvl>
    <w:lvl w:ilvl="6">
      <w:start w:val="0"/>
      <w:numFmt w:val="bullet"/>
      <w:lvlText w:val="•"/>
      <w:lvlJc w:val="left"/>
      <w:pPr>
        <w:ind w:left="2514" w:hanging="529"/>
      </w:pPr>
      <w:rPr>
        <w:rFonts w:hint="default"/>
      </w:rPr>
    </w:lvl>
    <w:lvl w:ilvl="7">
      <w:start w:val="0"/>
      <w:numFmt w:val="bullet"/>
      <w:lvlText w:val="•"/>
      <w:lvlJc w:val="left"/>
      <w:pPr>
        <w:ind w:left="2809" w:hanging="529"/>
      </w:pPr>
      <w:rPr>
        <w:rFonts w:hint="default"/>
      </w:rPr>
    </w:lvl>
    <w:lvl w:ilvl="8">
      <w:start w:val="0"/>
      <w:numFmt w:val="bullet"/>
      <w:lvlText w:val="•"/>
      <w:lvlJc w:val="left"/>
      <w:pPr>
        <w:ind w:left="3104" w:hanging="529"/>
      </w:pPr>
      <w:rPr>
        <w:rFonts w:hint="default"/>
      </w:rPr>
    </w:lvl>
  </w:abstractNum>
  <w:abstractNum w:abstractNumId="2">
    <w:multiLevelType w:val="hybridMultilevel"/>
    <w:lvl w:ilvl="0">
      <w:start w:val="5"/>
      <w:numFmt w:val="decimal"/>
      <w:lvlText w:val="%1."/>
      <w:lvlJc w:val="left"/>
      <w:pPr>
        <w:ind w:left="507" w:hanging="317"/>
        <w:jc w:val="left"/>
      </w:pPr>
      <w:rPr>
        <w:rFonts w:hint="default" w:ascii="宋体" w:hAnsi="宋体" w:eastAsia="宋体" w:cs="宋体"/>
        <w:w w:val="100"/>
        <w:sz w:val="21"/>
        <w:szCs w:val="21"/>
      </w:rPr>
    </w:lvl>
    <w:lvl w:ilvl="1">
      <w:start w:val="1"/>
      <w:numFmt w:val="decimal"/>
      <w:lvlText w:val="%1.%2"/>
      <w:lvlJc w:val="left"/>
      <w:pPr>
        <w:ind w:left="930" w:hanging="423"/>
        <w:jc w:val="left"/>
      </w:pPr>
      <w:rPr>
        <w:rFonts w:hint="default" w:ascii="宋体" w:hAnsi="宋体" w:eastAsia="宋体" w:cs="宋体"/>
        <w:w w:val="100"/>
        <w:sz w:val="21"/>
        <w:szCs w:val="21"/>
      </w:rPr>
    </w:lvl>
    <w:lvl w:ilvl="2">
      <w:start w:val="0"/>
      <w:numFmt w:val="bullet"/>
      <w:lvlText w:val="•"/>
      <w:lvlJc w:val="left"/>
      <w:pPr>
        <w:ind w:left="1246" w:hanging="423"/>
      </w:pPr>
      <w:rPr>
        <w:rFonts w:hint="default"/>
      </w:rPr>
    </w:lvl>
    <w:lvl w:ilvl="3">
      <w:start w:val="0"/>
      <w:numFmt w:val="bullet"/>
      <w:lvlText w:val="•"/>
      <w:lvlJc w:val="left"/>
      <w:pPr>
        <w:ind w:left="1552" w:hanging="423"/>
      </w:pPr>
      <w:rPr>
        <w:rFonts w:hint="default"/>
      </w:rPr>
    </w:lvl>
    <w:lvl w:ilvl="4">
      <w:start w:val="0"/>
      <w:numFmt w:val="bullet"/>
      <w:lvlText w:val="•"/>
      <w:lvlJc w:val="left"/>
      <w:pPr>
        <w:ind w:left="1858" w:hanging="423"/>
      </w:pPr>
      <w:rPr>
        <w:rFonts w:hint="default"/>
      </w:rPr>
    </w:lvl>
    <w:lvl w:ilvl="5">
      <w:start w:val="0"/>
      <w:numFmt w:val="bullet"/>
      <w:lvlText w:val="•"/>
      <w:lvlJc w:val="left"/>
      <w:pPr>
        <w:ind w:left="2164" w:hanging="423"/>
      </w:pPr>
      <w:rPr>
        <w:rFonts w:hint="default"/>
      </w:rPr>
    </w:lvl>
    <w:lvl w:ilvl="6">
      <w:start w:val="0"/>
      <w:numFmt w:val="bullet"/>
      <w:lvlText w:val="•"/>
      <w:lvlJc w:val="left"/>
      <w:pPr>
        <w:ind w:left="2470" w:hanging="423"/>
      </w:pPr>
      <w:rPr>
        <w:rFonts w:hint="default"/>
      </w:rPr>
    </w:lvl>
    <w:lvl w:ilvl="7">
      <w:start w:val="0"/>
      <w:numFmt w:val="bullet"/>
      <w:lvlText w:val="•"/>
      <w:lvlJc w:val="left"/>
      <w:pPr>
        <w:ind w:left="2776" w:hanging="423"/>
      </w:pPr>
      <w:rPr>
        <w:rFonts w:hint="default"/>
      </w:rPr>
    </w:lvl>
    <w:lvl w:ilvl="8">
      <w:start w:val="0"/>
      <w:numFmt w:val="bullet"/>
      <w:lvlText w:val="•"/>
      <w:lvlJc w:val="left"/>
      <w:pPr>
        <w:ind w:left="3082" w:hanging="423"/>
      </w:pPr>
      <w:rPr>
        <w:rFonts w:hint="default"/>
      </w:rPr>
    </w:lvl>
  </w:abstractNum>
  <w:abstractNum w:abstractNumId="1">
    <w:multiLevelType w:val="hybridMultilevel"/>
    <w:lvl w:ilvl="0">
      <w:start w:val="1"/>
      <w:numFmt w:val="decimal"/>
      <w:lvlText w:val="%1."/>
      <w:lvlJc w:val="left"/>
      <w:pPr>
        <w:ind w:left="619" w:hanging="317"/>
        <w:jc w:val="left"/>
      </w:pPr>
      <w:rPr>
        <w:rFonts w:hint="default" w:ascii="宋体" w:hAnsi="宋体" w:eastAsia="宋体" w:cs="宋体"/>
        <w:w w:val="100"/>
        <w:sz w:val="21"/>
        <w:szCs w:val="21"/>
      </w:rPr>
    </w:lvl>
    <w:lvl w:ilvl="1">
      <w:start w:val="1"/>
      <w:numFmt w:val="decimal"/>
      <w:lvlText w:val="%1.%2"/>
      <w:lvlJc w:val="left"/>
      <w:pPr>
        <w:ind w:left="1042" w:hanging="423"/>
        <w:jc w:val="left"/>
      </w:pPr>
      <w:rPr>
        <w:rFonts w:hint="default" w:ascii="宋体" w:hAnsi="宋体" w:eastAsia="宋体" w:cs="宋体"/>
        <w:w w:val="100"/>
        <w:sz w:val="21"/>
        <w:szCs w:val="21"/>
      </w:rPr>
    </w:lvl>
    <w:lvl w:ilvl="2">
      <w:start w:val="0"/>
      <w:numFmt w:val="bullet"/>
      <w:lvlText w:val="•"/>
      <w:lvlJc w:val="left"/>
      <w:pPr>
        <w:ind w:left="1225" w:hanging="423"/>
      </w:pPr>
      <w:rPr>
        <w:rFonts w:hint="default"/>
      </w:rPr>
    </w:lvl>
    <w:lvl w:ilvl="3">
      <w:start w:val="0"/>
      <w:numFmt w:val="bullet"/>
      <w:lvlText w:val="•"/>
      <w:lvlJc w:val="left"/>
      <w:pPr>
        <w:ind w:left="1410" w:hanging="423"/>
      </w:pPr>
      <w:rPr>
        <w:rFonts w:hint="default"/>
      </w:rPr>
    </w:lvl>
    <w:lvl w:ilvl="4">
      <w:start w:val="0"/>
      <w:numFmt w:val="bullet"/>
      <w:lvlText w:val="•"/>
      <w:lvlJc w:val="left"/>
      <w:pPr>
        <w:ind w:left="1595" w:hanging="423"/>
      </w:pPr>
      <w:rPr>
        <w:rFonts w:hint="default"/>
      </w:rPr>
    </w:lvl>
    <w:lvl w:ilvl="5">
      <w:start w:val="0"/>
      <w:numFmt w:val="bullet"/>
      <w:lvlText w:val="•"/>
      <w:lvlJc w:val="left"/>
      <w:pPr>
        <w:ind w:left="1780" w:hanging="423"/>
      </w:pPr>
      <w:rPr>
        <w:rFonts w:hint="default"/>
      </w:rPr>
    </w:lvl>
    <w:lvl w:ilvl="6">
      <w:start w:val="0"/>
      <w:numFmt w:val="bullet"/>
      <w:lvlText w:val="•"/>
      <w:lvlJc w:val="left"/>
      <w:pPr>
        <w:ind w:left="1965" w:hanging="423"/>
      </w:pPr>
      <w:rPr>
        <w:rFonts w:hint="default"/>
      </w:rPr>
    </w:lvl>
    <w:lvl w:ilvl="7">
      <w:start w:val="0"/>
      <w:numFmt w:val="bullet"/>
      <w:lvlText w:val="•"/>
      <w:lvlJc w:val="left"/>
      <w:pPr>
        <w:ind w:left="2150" w:hanging="423"/>
      </w:pPr>
      <w:rPr>
        <w:rFonts w:hint="default"/>
      </w:rPr>
    </w:lvl>
    <w:lvl w:ilvl="8">
      <w:start w:val="0"/>
      <w:numFmt w:val="bullet"/>
      <w:lvlText w:val="•"/>
      <w:lvlJc w:val="left"/>
      <w:pPr>
        <w:ind w:left="2335" w:hanging="423"/>
      </w:pPr>
      <w:rPr>
        <w:rFonts w:hint="default"/>
      </w:rPr>
    </w:lvl>
  </w:abstractNum>
  <w:abstractNum w:abstractNumId="0">
    <w:multiLevelType w:val="hybridMultilevel"/>
    <w:lvl w:ilvl="0">
      <w:start w:val="0"/>
      <w:numFmt w:val="bullet"/>
      <w:lvlText w:val=""/>
      <w:lvlJc w:val="left"/>
      <w:pPr>
        <w:ind w:left="642" w:hanging="423"/>
      </w:pPr>
      <w:rPr>
        <w:rFonts w:hint="default" w:ascii="Wingdings" w:hAnsi="Wingdings" w:eastAsia="Wingdings" w:cs="Wingdings"/>
        <w:w w:val="100"/>
        <w:sz w:val="21"/>
        <w:szCs w:val="21"/>
      </w:rPr>
    </w:lvl>
    <w:lvl w:ilvl="1">
      <w:start w:val="0"/>
      <w:numFmt w:val="bullet"/>
      <w:lvlText w:val="•"/>
      <w:lvlJc w:val="left"/>
      <w:pPr>
        <w:ind w:left="1604" w:hanging="423"/>
      </w:pPr>
      <w:rPr>
        <w:rFonts w:hint="default"/>
      </w:rPr>
    </w:lvl>
    <w:lvl w:ilvl="2">
      <w:start w:val="0"/>
      <w:numFmt w:val="bullet"/>
      <w:lvlText w:val="•"/>
      <w:lvlJc w:val="left"/>
      <w:pPr>
        <w:ind w:left="2568" w:hanging="423"/>
      </w:pPr>
      <w:rPr>
        <w:rFonts w:hint="default"/>
      </w:rPr>
    </w:lvl>
    <w:lvl w:ilvl="3">
      <w:start w:val="0"/>
      <w:numFmt w:val="bullet"/>
      <w:lvlText w:val="•"/>
      <w:lvlJc w:val="left"/>
      <w:pPr>
        <w:ind w:left="3533" w:hanging="423"/>
      </w:pPr>
      <w:rPr>
        <w:rFonts w:hint="default"/>
      </w:rPr>
    </w:lvl>
    <w:lvl w:ilvl="4">
      <w:start w:val="0"/>
      <w:numFmt w:val="bullet"/>
      <w:lvlText w:val="•"/>
      <w:lvlJc w:val="left"/>
      <w:pPr>
        <w:ind w:left="4497" w:hanging="423"/>
      </w:pPr>
      <w:rPr>
        <w:rFonts w:hint="default"/>
      </w:rPr>
    </w:lvl>
    <w:lvl w:ilvl="5">
      <w:start w:val="0"/>
      <w:numFmt w:val="bullet"/>
      <w:lvlText w:val="•"/>
      <w:lvlJc w:val="left"/>
      <w:pPr>
        <w:ind w:left="5462" w:hanging="423"/>
      </w:pPr>
      <w:rPr>
        <w:rFonts w:hint="default"/>
      </w:rPr>
    </w:lvl>
    <w:lvl w:ilvl="6">
      <w:start w:val="0"/>
      <w:numFmt w:val="bullet"/>
      <w:lvlText w:val="•"/>
      <w:lvlJc w:val="left"/>
      <w:pPr>
        <w:ind w:left="6426" w:hanging="423"/>
      </w:pPr>
      <w:rPr>
        <w:rFonts w:hint="default"/>
      </w:rPr>
    </w:lvl>
    <w:lvl w:ilvl="7">
      <w:start w:val="0"/>
      <w:numFmt w:val="bullet"/>
      <w:lvlText w:val="•"/>
      <w:lvlJc w:val="left"/>
      <w:pPr>
        <w:ind w:left="7390" w:hanging="423"/>
      </w:pPr>
      <w:rPr>
        <w:rFonts w:hint="default"/>
      </w:rPr>
    </w:lvl>
    <w:lvl w:ilvl="8">
      <w:start w:val="0"/>
      <w:numFmt w:val="bullet"/>
      <w:lvlText w:val="•"/>
      <w:lvlJc w:val="left"/>
      <w:pPr>
        <w:ind w:left="8355" w:hanging="423"/>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351" w:lineRule="exact"/>
      <w:ind w:left="642" w:hanging="423"/>
    </w:pPr>
    <w:rPr>
      <w:rFonts w:ascii="Microsoft JhengHei" w:hAnsi="Microsoft JhengHei" w:eastAsia="Microsoft JhengHei" w:cs="Microsoft JhengHei"/>
    </w:rPr>
  </w:style>
  <w:style w:styleId="TableParagraph" w:type="paragraph">
    <w:name w:val="Table Paragraph"/>
    <w:basedOn w:val="Normal"/>
    <w:uiPriority w:val="1"/>
    <w:qFormat/>
    <w:pPr>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2018-10-20T02:39:16Z</dcterms:created>
  <dcterms:modified xsi:type="dcterms:W3CDTF">2018-10-20T02:39:16Z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2016-08-15T00:00:00Z</vt:filetime>
  </property>
  <property fmtid="{D5CDD505-2E9C-101B-9397-08002B2CF9AE}" pid="3" name="Creator">
    <vt:lpwstr>Microsoft® Word 2013</vt:lpwstr>
  </property>
  <property fmtid="{D5CDD505-2E9C-101B-9397-08002B2CF9AE}" pid="4" name="LastSaved">
    <vt:filetime>2018-10-19T00:00:00Z</vt:filetime>
  </property>
</Properties>
</file>