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78" w:firstLine="0"/>
        <w:jc w:val="right"/>
        <w:rPr>
          <w:rFonts w:ascii="仿宋" w:eastAsia="仿宋" w:hint="eastAsia"/>
          <w:sz w:val="18"/>
        </w:rPr>
      </w:pPr>
      <w:r>
        <w:rPr>
          <w:rFonts w:ascii="仿宋" w:eastAsia="仿宋" w:hint="eastAsia"/>
          <w:sz w:val="18"/>
        </w:rPr>
        <w:t>国华人寿[2017]疾病保险 014 号</w:t>
      </w:r>
    </w:p>
    <w:p>
      <w:pPr>
        <w:tabs>
          <w:tab w:pos="7199" w:val="left" w:leader="none"/>
        </w:tabs>
        <w:spacing w:line="981" w:lineRule="exact" w:before="119"/>
        <w:ind w:left="0" w:right="170" w:firstLine="0"/>
        <w:jc w:val="right"/>
        <w:rPr>
          <w:rFonts w:ascii="微软雅黑" w:eastAsia="微软雅黑" w:hint="eastAsia"/>
          <w:b/>
          <w:sz w:val="32"/>
        </w:rPr>
      </w:pPr>
      <w:r>
        <w:rPr>
          <w:rFonts w:ascii="微软雅黑" w:eastAsia="微软雅黑" w:hint="eastAsia"/>
          <w:b/>
          <w:sz w:val="32"/>
        </w:rPr>
        <w:t>国华附加豁免保险费重大疾病保险（</w:t>
      </w:r>
      <w:r>
        <w:rPr>
          <w:rFonts w:ascii="Arial" w:eastAsia="Arial"/>
          <w:b/>
          <w:sz w:val="32"/>
        </w:rPr>
        <w:t>2017</w:t>
      </w:r>
      <w:r>
        <w:rPr>
          <w:rFonts w:ascii="微软雅黑" w:eastAsia="微软雅黑" w:hint="eastAsia"/>
          <w:b/>
          <w:sz w:val="32"/>
        </w:rPr>
        <w:t>）条款</w:t>
        <w:tab/>
      </w:r>
      <w:r>
        <w:rPr>
          <w:rFonts w:ascii="微软雅黑" w:eastAsia="微软雅黑" w:hint="eastAsia"/>
          <w:b/>
          <w:position w:val="-46"/>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46"/>
          <w:sz w:val="32"/>
        </w:rPr>
      </w:r>
    </w:p>
    <w:p>
      <w:pPr>
        <w:spacing w:line="275" w:lineRule="exact" w:before="0"/>
        <w:ind w:left="4273" w:right="4219" w:firstLine="0"/>
        <w:jc w:val="center"/>
        <w:rPr>
          <w:rFonts w:ascii="微软雅黑" w:eastAsia="微软雅黑" w:hint="eastAsia"/>
          <w:b/>
          <w:sz w:val="32"/>
        </w:rPr>
      </w:pPr>
      <w:r>
        <w:rPr>
          <w:rFonts w:ascii="微软雅黑" w:eastAsia="微软雅黑" w:hint="eastAsia"/>
          <w:b/>
          <w:sz w:val="32"/>
        </w:rPr>
        <w:t>阅  读  指 引</w:t>
      </w:r>
    </w:p>
    <w:p>
      <w:pPr>
        <w:spacing w:line="180" w:lineRule="exact" w:before="0"/>
        <w:ind w:left="0" w:right="179" w:firstLine="0"/>
        <w:jc w:val="right"/>
        <w:rPr>
          <w:rFonts w:ascii="仿宋" w:eastAsia="仿宋" w:hint="eastAsia"/>
          <w:sz w:val="18"/>
        </w:rPr>
      </w:pPr>
      <w:r>
        <w:rPr>
          <w:rFonts w:ascii="仿宋" w:eastAsia="仿宋" w:hint="eastAsia"/>
          <w:sz w:val="18"/>
        </w:rPr>
        <w:t>请扫描以查询验证条款</w:t>
      </w:r>
    </w:p>
    <w:p>
      <w:pPr>
        <w:spacing w:before="113"/>
        <w:ind w:left="240" w:right="0" w:firstLine="0"/>
        <w:jc w:val="left"/>
        <w:rPr>
          <w:sz w:val="20"/>
        </w:rPr>
      </w:pPr>
      <w:r>
        <w:rPr/>
        <w:pict>
          <v:group style="position:absolute;margin-left:44.040001pt;margin-top:32.100708pt;width:504.1pt;height:626.7pt;mso-position-horizontal-relative:page;mso-position-vertical-relative:paragraph;z-index:-36304" coordorigin="881,642" coordsize="10082,12534">
            <v:shape style="position:absolute;left:880;top:642;width:10082;height:12534" type="#_x0000_t75" stroked="false">
              <v:imagedata r:id="rId6" o:title=""/>
            </v:shape>
            <v:rect style="position:absolute;left:1573;top:5292;width:9122;height:6980" filled="false" stroked="true" strokeweight=".75pt" strokecolor="#000000">
              <v:stroke dashstyle="dot"/>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9"/>
          <w:w w:val="99"/>
          <w:position w:val="-7"/>
          <w:sz w:val="20"/>
        </w:rPr>
        <w:t>．</w:t>
      </w:r>
      <w:r>
        <w:rPr>
          <w:spacing w:val="-142"/>
          <w:w w:val="99"/>
          <w:sz w:val="20"/>
        </w:rPr>
        <w:t>指</w:t>
      </w:r>
      <w:r>
        <w:rPr>
          <w:spacing w:val="-56"/>
          <w:w w:val="99"/>
          <w:position w:val="-7"/>
          <w:sz w:val="20"/>
        </w:rPr>
        <w:t>．</w:t>
      </w:r>
      <w:r>
        <w:rPr>
          <w:spacing w:val="-141"/>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9"/>
          <w:w w:val="99"/>
          <w:position w:val="-7"/>
          <w:sz w:val="20"/>
        </w:rPr>
        <w:t>．</w:t>
      </w:r>
      <w:r>
        <w:rPr>
          <w:spacing w:val="-142"/>
          <w:w w:val="99"/>
          <w:sz w:val="20"/>
        </w:rPr>
        <w:t>款</w:t>
      </w:r>
      <w:r>
        <w:rPr>
          <w:spacing w:val="-58"/>
          <w:w w:val="99"/>
          <w:position w:val="-7"/>
          <w:sz w:val="20"/>
        </w:rPr>
        <w:t>．</w:t>
      </w:r>
      <w:r>
        <w:rPr>
          <w:spacing w:val="-142"/>
          <w:w w:val="99"/>
          <w:sz w:val="20"/>
        </w:rPr>
        <w:t>，</w:t>
      </w:r>
      <w:r>
        <w:rPr>
          <w:spacing w:val="-57"/>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39"/>
          <w:w w:val="99"/>
          <w:sz w:val="20"/>
        </w:rPr>
        <w:t>附</w:t>
      </w:r>
      <w:r>
        <w:rPr>
          <w:spacing w:val="-59"/>
          <w:w w:val="99"/>
          <w:position w:val="-7"/>
          <w:sz w:val="20"/>
        </w:rPr>
        <w:t>．</w:t>
      </w:r>
      <w:r>
        <w:rPr>
          <w:b/>
          <w:spacing w:val="-139"/>
          <w:w w:val="99"/>
          <w:sz w:val="20"/>
        </w:rPr>
        <w:t>加</w:t>
      </w:r>
      <w:r>
        <w:rPr>
          <w:spacing w:val="-59"/>
          <w:w w:val="99"/>
          <w:position w:val="-7"/>
          <w:sz w:val="20"/>
        </w:rPr>
        <w:t>．</w:t>
      </w:r>
      <w:r>
        <w:rPr>
          <w:b/>
          <w:spacing w:val="-139"/>
          <w:w w:val="99"/>
          <w:sz w:val="20"/>
        </w:rPr>
        <w:t>豁</w:t>
      </w:r>
      <w:r>
        <w:rPr>
          <w:spacing w:val="-59"/>
          <w:w w:val="99"/>
          <w:position w:val="-7"/>
          <w:sz w:val="20"/>
        </w:rPr>
        <w:t>．</w:t>
      </w:r>
      <w:r>
        <w:rPr>
          <w:b/>
          <w:spacing w:val="-139"/>
          <w:w w:val="99"/>
          <w:sz w:val="20"/>
        </w:rPr>
        <w:t>免</w:t>
      </w:r>
      <w:r>
        <w:rPr>
          <w:spacing w:val="-59"/>
          <w:w w:val="99"/>
          <w:position w:val="-7"/>
          <w:sz w:val="20"/>
        </w:rPr>
        <w:t>．</w:t>
      </w:r>
      <w:r>
        <w:rPr>
          <w:b/>
          <w:spacing w:val="-141"/>
          <w:w w:val="99"/>
          <w:sz w:val="20"/>
        </w:rPr>
        <w:t>保</w:t>
      </w:r>
      <w:r>
        <w:rPr>
          <w:spacing w:val="-59"/>
          <w:w w:val="99"/>
          <w:position w:val="-7"/>
          <w:sz w:val="20"/>
        </w:rPr>
        <w:t>．</w:t>
      </w:r>
      <w:r>
        <w:rPr>
          <w:b/>
          <w:spacing w:val="-139"/>
          <w:w w:val="99"/>
          <w:sz w:val="20"/>
        </w:rPr>
        <w:t>险</w:t>
      </w:r>
      <w:r>
        <w:rPr>
          <w:spacing w:val="-59"/>
          <w:w w:val="99"/>
          <w:position w:val="-7"/>
          <w:sz w:val="20"/>
        </w:rPr>
        <w:t>．</w:t>
      </w:r>
      <w:r>
        <w:rPr>
          <w:b/>
          <w:spacing w:val="-138"/>
          <w:w w:val="99"/>
          <w:sz w:val="20"/>
        </w:rPr>
        <w:t>费</w:t>
      </w:r>
      <w:r>
        <w:rPr>
          <w:spacing w:val="-58"/>
          <w:w w:val="99"/>
          <w:position w:val="-7"/>
          <w:sz w:val="20"/>
        </w:rPr>
        <w:t>．</w:t>
      </w:r>
      <w:r>
        <w:rPr>
          <w:b/>
          <w:spacing w:val="-140"/>
          <w:w w:val="99"/>
          <w:sz w:val="20"/>
        </w:rPr>
        <w:t>重</w:t>
      </w:r>
      <w:r>
        <w:rPr>
          <w:spacing w:val="-58"/>
          <w:w w:val="99"/>
          <w:position w:val="-7"/>
          <w:sz w:val="20"/>
        </w:rPr>
        <w:t>．</w:t>
      </w:r>
      <w:r>
        <w:rPr>
          <w:b/>
          <w:spacing w:val="-142"/>
          <w:w w:val="99"/>
          <w:sz w:val="20"/>
        </w:rPr>
        <w:t>大</w:t>
      </w:r>
      <w:r>
        <w:rPr>
          <w:spacing w:val="-58"/>
          <w:w w:val="99"/>
          <w:position w:val="-7"/>
          <w:sz w:val="20"/>
        </w:rPr>
        <w:t>．</w:t>
      </w:r>
      <w:r>
        <w:rPr>
          <w:b/>
          <w:spacing w:val="-139"/>
          <w:w w:val="99"/>
          <w:sz w:val="20"/>
        </w:rPr>
        <w:t>疾</w:t>
      </w:r>
      <w:r>
        <w:rPr>
          <w:spacing w:val="-58"/>
          <w:w w:val="99"/>
          <w:position w:val="-7"/>
          <w:sz w:val="20"/>
        </w:rPr>
        <w:t>．</w:t>
      </w:r>
      <w:r>
        <w:rPr>
          <w:b/>
          <w:spacing w:val="-139"/>
          <w:w w:val="99"/>
          <w:sz w:val="20"/>
        </w:rPr>
        <w:t>病</w:t>
      </w:r>
      <w:r>
        <w:rPr>
          <w:spacing w:val="-58"/>
          <w:w w:val="99"/>
          <w:position w:val="-7"/>
          <w:sz w:val="20"/>
        </w:rPr>
        <w:t>．</w:t>
      </w:r>
      <w:r>
        <w:rPr>
          <w:b/>
          <w:spacing w:val="-142"/>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合</w:t>
      </w:r>
      <w:r>
        <w:rPr>
          <w:spacing w:val="-58"/>
          <w:w w:val="99"/>
          <w:position w:val="-7"/>
          <w:sz w:val="20"/>
        </w:rPr>
        <w:t>．</w:t>
      </w:r>
      <w:r>
        <w:rPr>
          <w:b/>
          <w:spacing w:val="-142"/>
          <w:w w:val="99"/>
          <w:sz w:val="20"/>
        </w:rPr>
        <w:t>同</w:t>
      </w:r>
      <w:r>
        <w:rPr>
          <w:spacing w:val="-58"/>
          <w:w w:val="99"/>
          <w:position w:val="-7"/>
          <w:sz w:val="20"/>
        </w:rPr>
        <w:t>．</w:t>
      </w:r>
      <w:r>
        <w:rPr>
          <w:b/>
          <w:spacing w:val="-142"/>
          <w:w w:val="99"/>
          <w:sz w:val="20"/>
        </w:rPr>
        <w:t>（</w:t>
      </w:r>
      <w:r>
        <w:rPr>
          <w:spacing w:val="-58"/>
          <w:w w:val="99"/>
          <w:position w:val="-7"/>
          <w:sz w:val="20"/>
        </w:rPr>
        <w:t>．</w:t>
      </w:r>
      <w:r>
        <w:rPr>
          <w:b/>
          <w:spacing w:val="-90"/>
          <w:w w:val="98"/>
          <w:sz w:val="20"/>
        </w:rPr>
        <w:t>2</w:t>
      </w:r>
      <w:r>
        <w:rPr>
          <w:spacing w:val="-108"/>
          <w:w w:val="99"/>
          <w:position w:val="-7"/>
          <w:sz w:val="20"/>
        </w:rPr>
        <w:t>．</w:t>
      </w:r>
      <w:r>
        <w:rPr>
          <w:b/>
          <w:spacing w:val="-90"/>
          <w:w w:val="98"/>
          <w:sz w:val="20"/>
        </w:rPr>
        <w:t>0</w:t>
      </w:r>
      <w:r>
        <w:rPr>
          <w:spacing w:val="-108"/>
          <w:w w:val="99"/>
          <w:position w:val="-7"/>
          <w:sz w:val="20"/>
        </w:rPr>
        <w:t>．</w:t>
      </w:r>
      <w:r>
        <w:rPr>
          <w:b/>
          <w:spacing w:val="-90"/>
          <w:w w:val="98"/>
          <w:sz w:val="20"/>
        </w:rPr>
        <w:t>1</w:t>
      </w:r>
      <w:r>
        <w:rPr>
          <w:spacing w:val="-108"/>
          <w:w w:val="99"/>
          <w:position w:val="-7"/>
          <w:sz w:val="20"/>
        </w:rPr>
        <w:t>．</w:t>
      </w:r>
      <w:r>
        <w:rPr>
          <w:b/>
          <w:spacing w:val="-90"/>
          <w:w w:val="98"/>
          <w:sz w:val="20"/>
        </w:rPr>
        <w:t>7</w:t>
      </w:r>
      <w:r>
        <w:rPr>
          <w:spacing w:val="-106"/>
          <w:w w:val="99"/>
          <w:position w:val="-7"/>
          <w:sz w:val="20"/>
        </w:rPr>
        <w:t>．</w:t>
      </w:r>
      <w:r>
        <w:rPr>
          <w:b/>
          <w:spacing w:val="-192"/>
          <w:w w:val="99"/>
          <w:sz w:val="20"/>
        </w:rPr>
        <w:t>）</w:t>
      </w:r>
      <w:r>
        <w:rPr>
          <w:spacing w:val="-10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1"/>
          <w:w w:val="99"/>
          <w:sz w:val="20"/>
        </w:rPr>
        <w:t>解</w:t>
      </w:r>
      <w:r>
        <w:rPr>
          <w:spacing w:val="-59"/>
          <w:w w:val="99"/>
          <w:position w:val="-7"/>
          <w:sz w:val="20"/>
        </w:rPr>
        <w:t>．</w:t>
      </w:r>
      <w:r>
        <w:rPr>
          <w:spacing w:val="-141"/>
          <w:w w:val="99"/>
          <w:sz w:val="20"/>
        </w:rPr>
        <w:t>释</w:t>
      </w:r>
      <w:r>
        <w:rPr>
          <w:spacing w:val="-57"/>
          <w:w w:val="99"/>
          <w:position w:val="-7"/>
          <w:sz w:val="20"/>
        </w:rPr>
        <w:t>．</w:t>
      </w:r>
      <w:r>
        <w:rPr>
          <w:spacing w:val="-141"/>
          <w:w w:val="99"/>
          <w:sz w:val="20"/>
        </w:rPr>
        <w:t>以</w:t>
      </w:r>
      <w:r>
        <w:rPr>
          <w:spacing w:val="-59"/>
          <w:w w:val="99"/>
          <w:position w:val="-7"/>
          <w:sz w:val="20"/>
        </w:rPr>
        <w:t>．</w:t>
      </w:r>
      <w:r>
        <w:rPr>
          <w:spacing w:val="-141"/>
          <w:w w:val="99"/>
          <w:sz w:val="20"/>
        </w:rPr>
        <w:t>条</w:t>
      </w:r>
      <w:r>
        <w:rPr>
          <w:spacing w:val="-59"/>
          <w:w w:val="99"/>
          <w:position w:val="-7"/>
          <w:sz w:val="20"/>
        </w:rPr>
        <w:t>．</w:t>
      </w:r>
      <w:r>
        <w:rPr>
          <w:spacing w:val="-141"/>
          <w:w w:val="99"/>
          <w:sz w:val="20"/>
        </w:rPr>
        <w:t>款</w:t>
      </w:r>
      <w:r>
        <w:rPr>
          <w:spacing w:val="-57"/>
          <w:w w:val="99"/>
          <w:position w:val="-7"/>
          <w:sz w:val="20"/>
        </w:rPr>
        <w:t>．</w:t>
      </w:r>
      <w:r>
        <w:rPr>
          <w:spacing w:val="-141"/>
          <w:w w:val="99"/>
          <w:sz w:val="20"/>
        </w:rPr>
        <w:t>为</w:t>
      </w:r>
      <w:r>
        <w:rPr>
          <w:spacing w:val="-57"/>
          <w:w w:val="99"/>
          <w:position w:val="-7"/>
          <w:sz w:val="20"/>
        </w:rPr>
        <w:t>．</w:t>
      </w:r>
      <w:r>
        <w:rPr>
          <w:spacing w:val="-141"/>
          <w:w w:val="99"/>
          <w:sz w:val="20"/>
        </w:rPr>
        <w:t>准</w:t>
      </w:r>
      <w:r>
        <w:rPr>
          <w:spacing w:val="-58"/>
          <w:w w:val="99"/>
          <w:position w:val="-7"/>
          <w:sz w:val="20"/>
        </w:rPr>
        <w:t>．</w:t>
      </w:r>
      <w:r>
        <w:rPr>
          <w:w w:val="99"/>
          <w:sz w:val="20"/>
        </w:rPr>
        <w:t>。</w:t>
      </w:r>
    </w:p>
    <w:p>
      <w:pPr>
        <w:pStyle w:val="BodyText"/>
        <w:spacing w:before="1"/>
        <w:ind w:left="0"/>
        <w:rPr>
          <w:sz w:val="33"/>
        </w:rPr>
      </w:pPr>
    </w:p>
    <w:p>
      <w:pPr>
        <w:pStyle w:val="Heading1"/>
        <w:spacing w:before="1"/>
        <w:ind w:left="1250"/>
      </w:pPr>
      <w:r>
        <w:rPr/>
        <w:pict>
          <v:shapetype id="_x0000_t202" o:spt="202" coordsize="21600,21600" path="m,l,21600r21600,l21600,xe">
            <v:stroke joinstyle="miter"/>
            <v:path gradientshapeok="t" o:connecttype="rect"/>
          </v:shapetype>
          <v:shape style="position:absolute;margin-left:51pt;margin-top:-3.644888pt;width:24.55pt;height:27.5pt;mso-position-horizontal-relative:page;mso-position-vertical-relative:paragraph;z-index:1048"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您拥有的重要权益</w:t>
      </w:r>
    </w:p>
    <w:p>
      <w:pPr>
        <w:pStyle w:val="ListParagraph"/>
        <w:numPr>
          <w:ilvl w:val="0"/>
          <w:numId w:val="1"/>
        </w:numPr>
        <w:tabs>
          <w:tab w:pos="1632" w:val="left" w:leader="none"/>
          <w:tab w:pos="1633" w:val="left" w:leader="none"/>
          <w:tab w:pos="9515" w:val="right" w:leader="dot"/>
        </w:tabs>
        <w:spacing w:line="240" w:lineRule="auto" w:before="6" w:after="0"/>
        <w:ind w:left="1632" w:right="0" w:hanging="420"/>
        <w:jc w:val="left"/>
        <w:rPr>
          <w:rFonts w:ascii="宋体" w:eastAsia="宋体" w:hint="eastAsia"/>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按</w:t>
      </w:r>
      <w:r>
        <w:rPr>
          <w:sz w:val="21"/>
        </w:rPr>
        <w:t>本</w:t>
      </w:r>
      <w:r>
        <w:rPr>
          <w:spacing w:val="-3"/>
          <w:sz w:val="21"/>
        </w:rPr>
        <w:t>附</w:t>
      </w:r>
      <w:r>
        <w:rPr>
          <w:sz w:val="21"/>
        </w:rPr>
        <w:t>加合</w:t>
      </w:r>
      <w:r>
        <w:rPr>
          <w:spacing w:val="-3"/>
          <w:sz w:val="21"/>
        </w:rPr>
        <w:t>同</w:t>
      </w:r>
      <w:r>
        <w:rPr>
          <w:sz w:val="21"/>
        </w:rPr>
        <w:t>约</w:t>
      </w:r>
      <w:r>
        <w:rPr>
          <w:spacing w:val="-3"/>
          <w:sz w:val="21"/>
        </w:rPr>
        <w:t>定</w:t>
      </w:r>
      <w:r>
        <w:rPr>
          <w:sz w:val="21"/>
        </w:rPr>
        <w:t>要</w:t>
      </w:r>
      <w:r>
        <w:rPr>
          <w:spacing w:val="-3"/>
          <w:sz w:val="21"/>
        </w:rPr>
        <w:t>求</w:t>
      </w:r>
      <w:r>
        <w:rPr>
          <w:sz w:val="21"/>
        </w:rPr>
        <w:t>退</w:t>
      </w:r>
      <w:r>
        <w:rPr>
          <w:spacing w:val="-3"/>
          <w:sz w:val="21"/>
        </w:rPr>
        <w:t>保</w:t>
      </w:r>
      <w:r>
        <w:rPr>
          <w:sz w:val="21"/>
        </w:rPr>
        <w:t>，</w:t>
      </w:r>
      <w:r>
        <w:rPr>
          <w:spacing w:val="-3"/>
          <w:sz w:val="21"/>
        </w:rPr>
        <w:t>我</w:t>
      </w:r>
      <w:r>
        <w:rPr>
          <w:sz w:val="21"/>
        </w:rPr>
        <w:t>们仅</w:t>
      </w:r>
      <w:r>
        <w:rPr>
          <w:spacing w:val="-3"/>
          <w:sz w:val="21"/>
        </w:rPr>
        <w:t>扣</w:t>
      </w:r>
      <w:r>
        <w:rPr>
          <w:sz w:val="21"/>
        </w:rPr>
        <w:t>除</w:t>
      </w:r>
      <w:r>
        <w:rPr>
          <w:spacing w:val="-3"/>
          <w:sz w:val="21"/>
        </w:rPr>
        <w:t>工</w:t>
      </w:r>
      <w:r>
        <w:rPr>
          <w:sz w:val="21"/>
        </w:rPr>
        <w:t>本费</w:t>
        <w:tab/>
      </w:r>
      <w:r>
        <w:rPr>
          <w:rFonts w:ascii="宋体" w:eastAsia="宋体" w:hint="eastAsia"/>
          <w:sz w:val="21"/>
        </w:rPr>
        <w:t>1.3</w:t>
      </w:r>
    </w:p>
    <w:p>
      <w:pPr>
        <w:pStyle w:val="ListParagraph"/>
        <w:numPr>
          <w:ilvl w:val="0"/>
          <w:numId w:val="1"/>
        </w:numPr>
        <w:tabs>
          <w:tab w:pos="1632" w:val="left" w:leader="none"/>
          <w:tab w:pos="1633" w:val="left" w:leader="none"/>
          <w:tab w:pos="9515" w:val="right" w:leader="dot"/>
        </w:tabs>
        <w:spacing w:line="240" w:lineRule="auto" w:before="22" w:after="0"/>
        <w:ind w:left="1632" w:right="0" w:hanging="420"/>
        <w:jc w:val="left"/>
        <w:rPr>
          <w:rFonts w:ascii="宋体" w:eastAsia="宋体" w:hint="eastAsia"/>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受本附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宋体" w:eastAsia="宋体" w:hint="eastAsia"/>
          <w:sz w:val="21"/>
        </w:rPr>
        <w:t>2.3</w:t>
      </w:r>
    </w:p>
    <w:p>
      <w:pPr>
        <w:pStyle w:val="ListParagraph"/>
        <w:numPr>
          <w:ilvl w:val="0"/>
          <w:numId w:val="1"/>
        </w:numPr>
        <w:tabs>
          <w:tab w:pos="1632" w:val="left" w:leader="none"/>
          <w:tab w:pos="1633" w:val="left" w:leader="none"/>
          <w:tab w:pos="9304" w:val="right" w:leader="dot"/>
        </w:tabs>
        <w:spacing w:line="240" w:lineRule="auto" w:before="22" w:after="0"/>
        <w:ind w:left="1632" w:right="0" w:hanging="420"/>
        <w:jc w:val="left"/>
        <w:rPr>
          <w:rFonts w:ascii="宋体" w:eastAsia="宋体" w:hint="eastAsia"/>
          <w:sz w:val="21"/>
        </w:rPr>
      </w:pPr>
      <w:r>
        <w:rPr/>
        <w:pict>
          <v:shape style="position:absolute;margin-left:51pt;margin-top:14.925122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权利</w:t>
        <w:tab/>
      </w:r>
      <w:r>
        <w:rPr>
          <w:rFonts w:ascii="宋体" w:eastAsia="宋体" w:hint="eastAsia"/>
          <w:sz w:val="21"/>
        </w:rPr>
        <w:t>6</w:t>
      </w:r>
    </w:p>
    <w:p>
      <w:pPr>
        <w:pStyle w:val="Heading1"/>
        <w:spacing w:before="60"/>
        <w:ind w:left="1250"/>
      </w:pPr>
      <w:r>
        <w:rPr/>
        <w:t>您应当特别注意的事项</w:t>
      </w:r>
    </w:p>
    <w:p>
      <w:pPr>
        <w:pStyle w:val="ListParagraph"/>
        <w:numPr>
          <w:ilvl w:val="0"/>
          <w:numId w:val="1"/>
        </w:numPr>
        <w:tabs>
          <w:tab w:pos="1632" w:val="left" w:leader="none"/>
          <w:tab w:pos="1633" w:val="left" w:leader="none"/>
          <w:tab w:pos="9515" w:val="right" w:leader="dot"/>
        </w:tabs>
        <w:spacing w:line="240" w:lineRule="auto" w:before="24" w:after="0"/>
        <w:ind w:left="1632" w:right="0" w:hanging="420"/>
        <w:jc w:val="left"/>
        <w:rPr>
          <w:rFonts w:ascii="宋体" w:eastAsia="宋体" w:hint="eastAsia"/>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宋体" w:eastAsia="宋体" w:hint="eastAsia"/>
          <w:sz w:val="21"/>
        </w:rPr>
        <w:t>2.4</w:t>
      </w:r>
    </w:p>
    <w:p>
      <w:pPr>
        <w:pStyle w:val="ListParagraph"/>
        <w:numPr>
          <w:ilvl w:val="0"/>
          <w:numId w:val="1"/>
        </w:numPr>
        <w:tabs>
          <w:tab w:pos="1632" w:val="left" w:leader="none"/>
          <w:tab w:pos="1633" w:val="left" w:leader="none"/>
          <w:tab w:pos="9515" w:val="right" w:leader="dot"/>
        </w:tabs>
        <w:spacing w:line="240" w:lineRule="auto" w:before="22" w:after="0"/>
        <w:ind w:left="1632" w:right="0" w:hanging="420"/>
        <w:jc w:val="left"/>
        <w:rPr>
          <w:rFonts w:ascii="宋体" w:eastAsia="宋体" w:hint="eastAsia"/>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r>
      <w:r>
        <w:rPr>
          <w:rFonts w:ascii="宋体" w:eastAsia="宋体" w:hint="eastAsia"/>
          <w:sz w:val="21"/>
        </w:rPr>
        <w:t>3.1</w:t>
      </w:r>
    </w:p>
    <w:p>
      <w:pPr>
        <w:pStyle w:val="ListParagraph"/>
        <w:numPr>
          <w:ilvl w:val="0"/>
          <w:numId w:val="1"/>
        </w:numPr>
        <w:tabs>
          <w:tab w:pos="1632" w:val="left" w:leader="none"/>
          <w:tab w:pos="1633" w:val="left" w:leader="none"/>
          <w:tab w:pos="9515" w:val="right" w:leader="dot"/>
        </w:tabs>
        <w:spacing w:line="240" w:lineRule="auto" w:before="22" w:after="0"/>
        <w:ind w:left="1632" w:right="0" w:hanging="420"/>
        <w:jc w:val="left"/>
        <w:rPr>
          <w:rFonts w:ascii="宋体" w:eastAsia="宋体" w:hint="eastAsia"/>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r>
      <w:r>
        <w:rPr>
          <w:rFonts w:ascii="宋体" w:eastAsia="宋体" w:hint="eastAsia"/>
          <w:sz w:val="21"/>
        </w:rPr>
        <w:t>4.1</w:t>
      </w:r>
    </w:p>
    <w:p>
      <w:pPr>
        <w:pStyle w:val="ListParagraph"/>
        <w:numPr>
          <w:ilvl w:val="0"/>
          <w:numId w:val="1"/>
        </w:numPr>
        <w:tabs>
          <w:tab w:pos="1632" w:val="left" w:leader="none"/>
          <w:tab w:pos="1633" w:val="left" w:leader="none"/>
          <w:tab w:pos="9515" w:val="right" w:leader="dot"/>
        </w:tabs>
        <w:spacing w:line="240" w:lineRule="auto" w:before="22" w:after="0"/>
        <w:ind w:left="1632" w:right="0" w:hanging="420"/>
        <w:jc w:val="left"/>
        <w:rPr>
          <w:rFonts w:ascii="宋体" w:eastAsia="宋体" w:hint="eastAsia"/>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宋体" w:eastAsia="宋体" w:hint="eastAsia"/>
          <w:sz w:val="21"/>
        </w:rPr>
        <w:t>6.1</w:t>
      </w:r>
    </w:p>
    <w:p>
      <w:pPr>
        <w:pStyle w:val="ListParagraph"/>
        <w:numPr>
          <w:ilvl w:val="0"/>
          <w:numId w:val="1"/>
        </w:numPr>
        <w:tabs>
          <w:tab w:pos="1632" w:val="left" w:leader="none"/>
          <w:tab w:pos="1633" w:val="left" w:leader="none"/>
          <w:tab w:pos="9304" w:val="right" w:leader="dot"/>
        </w:tabs>
        <w:spacing w:line="240" w:lineRule="auto" w:before="22" w:after="0"/>
        <w:ind w:left="1632" w:right="0" w:hanging="420"/>
        <w:jc w:val="left"/>
        <w:rPr>
          <w:rFonts w:ascii="宋体" w:eastAsia="宋体" w:hint="eastAsia"/>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宋体" w:eastAsia="宋体" w:hint="eastAsia"/>
          <w:sz w:val="21"/>
        </w:rPr>
        <w:t>8</w:t>
      </w:r>
    </w:p>
    <w:p>
      <w:pPr>
        <w:pStyle w:val="ListParagraph"/>
        <w:numPr>
          <w:ilvl w:val="0"/>
          <w:numId w:val="1"/>
        </w:numPr>
        <w:tabs>
          <w:tab w:pos="1632" w:val="left" w:leader="none"/>
          <w:tab w:pos="1633" w:val="left" w:leader="none"/>
        </w:tabs>
        <w:spacing w:line="271" w:lineRule="exact" w:before="61" w:after="0"/>
        <w:ind w:left="1632" w:right="0" w:hanging="420"/>
        <w:jc w:val="left"/>
        <w:rPr>
          <w:rFonts w:ascii="宋体" w:hAnsi="宋体" w:eastAsia="宋体" w:hint="eastAsia"/>
          <w:sz w:val="21"/>
        </w:rPr>
      </w:pPr>
      <w:r>
        <w:rPr>
          <w:spacing w:val="-7"/>
          <w:sz w:val="21"/>
        </w:rPr>
        <w:t>保险条款有关于疾病的释义，请您留意</w:t>
      </w:r>
      <w:r>
        <w:rPr>
          <w:rFonts w:ascii="宋体" w:hAnsi="宋体" w:eastAsia="宋体" w:hint="eastAsia"/>
          <w:spacing w:val="-1"/>
          <w:sz w:val="21"/>
        </w:rPr>
        <w:t>…………………………………………………8.8</w:t>
      </w:r>
      <w:r>
        <w:rPr>
          <w:rFonts w:ascii="宋体" w:hAnsi="宋体" w:eastAsia="宋体" w:hint="eastAsia"/>
          <w:spacing w:val="-46"/>
          <w:sz w:val="21"/>
        </w:rPr>
        <w:t>、</w:t>
      </w:r>
      <w:r>
        <w:rPr>
          <w:rFonts w:ascii="宋体" w:hAnsi="宋体" w:eastAsia="宋体" w:hint="eastAsia"/>
          <w:spacing w:val="-3"/>
          <w:sz w:val="21"/>
        </w:rPr>
        <w:t>8.13</w:t>
      </w:r>
    </w:p>
    <w:p>
      <w:pPr>
        <w:pStyle w:val="Heading1"/>
        <w:tabs>
          <w:tab w:pos="1250" w:val="left" w:leader="none"/>
        </w:tabs>
        <w:spacing w:line="470" w:lineRule="exact"/>
        <w:ind w:left="240"/>
      </w:pPr>
      <w:r>
        <w:rPr>
          <w:rFonts w:ascii="Arial" w:hAnsi="Arial" w:eastAsia="Arial"/>
          <w:w w:val="105"/>
          <w:position w:val="-11"/>
          <w:sz w:val="52"/>
        </w:rPr>
        <w:t></w:t>
        <w:tab/>
      </w:r>
      <w:r>
        <w:rPr>
          <w:spacing w:val="-3"/>
        </w:rPr>
        <w:t>条款是保险合同的重要内容，为充分保障您的权益，请您仔细阅读本条款。</w:t>
      </w:r>
    </w:p>
    <w:p>
      <w:pPr>
        <w:tabs>
          <w:tab w:pos="1250" w:val="left" w:leader="none"/>
        </w:tabs>
        <w:spacing w:line="489" w:lineRule="exact" w:before="0"/>
        <w:ind w:left="240" w:right="0" w:firstLine="0"/>
        <w:jc w:val="left"/>
        <w:rPr>
          <w:b/>
          <w:sz w:val="21"/>
        </w:rPr>
      </w:pPr>
      <w:r>
        <w:rPr>
          <w:rFonts w:ascii="Arial" w:hAnsi="Arial" w:eastAsia="Arial"/>
          <w:b/>
          <w:w w:val="110"/>
          <w:position w:val="-11"/>
          <w:sz w:val="52"/>
        </w:rPr>
        <w:t></w:t>
        <w:tab/>
      </w:r>
      <w:r>
        <w:rPr>
          <w:b/>
          <w:sz w:val="21"/>
        </w:rPr>
        <w:t>条款目录</w:t>
      </w:r>
    </w:p>
    <w:p>
      <w:pPr>
        <w:pStyle w:val="BodyText"/>
        <w:spacing w:before="12"/>
        <w:ind w:left="0"/>
        <w:rPr>
          <w:b/>
          <w:sz w:val="26"/>
        </w:rPr>
      </w:pPr>
    </w:p>
    <w:p>
      <w:pPr>
        <w:spacing w:after="0"/>
        <w:rPr>
          <w:sz w:val="26"/>
        </w:rPr>
        <w:sectPr>
          <w:type w:val="continuous"/>
          <w:pgSz w:w="11910" w:h="16840"/>
          <w:pgMar w:top="480" w:bottom="280" w:left="780" w:right="840"/>
        </w:sectPr>
      </w:pPr>
    </w:p>
    <w:p>
      <w:pPr>
        <w:pStyle w:val="Heading1"/>
        <w:spacing w:before="46"/>
        <w:ind w:left="982"/>
        <w:rPr>
          <w:rFonts w:ascii="仿宋" w:eastAsia="仿宋" w:hint="eastAsia"/>
        </w:rPr>
      </w:pPr>
      <w:r>
        <w:rPr/>
        <w:t>1.</w:t>
      </w:r>
      <w:r>
        <w:rPr>
          <w:rFonts w:ascii="仿宋" w:eastAsia="仿宋" w:hint="eastAsia"/>
        </w:rPr>
        <w:t>您与我们的合同</w:t>
      </w:r>
    </w:p>
    <w:p>
      <w:pPr>
        <w:pStyle w:val="ListParagraph"/>
        <w:numPr>
          <w:ilvl w:val="1"/>
          <w:numId w:val="2"/>
        </w:numPr>
        <w:tabs>
          <w:tab w:pos="1616" w:val="left" w:leader="none"/>
        </w:tabs>
        <w:spacing w:line="240" w:lineRule="auto" w:before="44" w:after="0"/>
        <w:ind w:left="1615" w:right="0" w:hanging="422"/>
        <w:jc w:val="left"/>
        <w:rPr>
          <w:sz w:val="21"/>
        </w:rPr>
      </w:pPr>
      <w:r>
        <w:rPr>
          <w:spacing w:val="-3"/>
          <w:sz w:val="21"/>
        </w:rPr>
        <w:t>保险合同构成</w:t>
      </w:r>
    </w:p>
    <w:p>
      <w:pPr>
        <w:pStyle w:val="ListParagraph"/>
        <w:numPr>
          <w:ilvl w:val="1"/>
          <w:numId w:val="2"/>
        </w:numPr>
        <w:tabs>
          <w:tab w:pos="1616" w:val="left" w:leader="none"/>
        </w:tabs>
        <w:spacing w:line="240" w:lineRule="auto" w:before="46" w:after="0"/>
        <w:ind w:left="1615" w:right="0" w:hanging="422"/>
        <w:jc w:val="left"/>
        <w:rPr>
          <w:sz w:val="21"/>
        </w:rPr>
      </w:pPr>
      <w:r>
        <w:rPr>
          <w:spacing w:val="-3"/>
          <w:sz w:val="21"/>
        </w:rPr>
        <w:t>保险合同成立与生效</w:t>
      </w:r>
    </w:p>
    <w:p>
      <w:pPr>
        <w:pStyle w:val="ListParagraph"/>
        <w:numPr>
          <w:ilvl w:val="1"/>
          <w:numId w:val="2"/>
        </w:numPr>
        <w:tabs>
          <w:tab w:pos="1616" w:val="left" w:leader="none"/>
        </w:tabs>
        <w:spacing w:line="240" w:lineRule="auto" w:before="44" w:after="0"/>
        <w:ind w:left="1615" w:right="0" w:hanging="422"/>
        <w:jc w:val="left"/>
        <w:rPr>
          <w:sz w:val="21"/>
        </w:rPr>
      </w:pPr>
      <w:r>
        <w:rPr>
          <w:spacing w:val="-2"/>
          <w:sz w:val="21"/>
        </w:rPr>
        <w:t>犹豫期</w:t>
      </w:r>
    </w:p>
    <w:p>
      <w:pPr>
        <w:pStyle w:val="Heading1"/>
        <w:spacing w:before="44"/>
        <w:ind w:left="982"/>
        <w:rPr>
          <w:rFonts w:ascii="仿宋" w:eastAsia="仿宋" w:hint="eastAsia"/>
        </w:rPr>
      </w:pPr>
      <w:r>
        <w:rPr/>
        <w:t>2.</w:t>
      </w:r>
      <w:r>
        <w:rPr>
          <w:rFonts w:ascii="仿宋" w:eastAsia="仿宋" w:hint="eastAsia"/>
        </w:rPr>
        <w:t>我们提供的保障</w:t>
      </w:r>
    </w:p>
    <w:p>
      <w:pPr>
        <w:pStyle w:val="ListParagraph"/>
        <w:numPr>
          <w:ilvl w:val="1"/>
          <w:numId w:val="3"/>
        </w:numPr>
        <w:tabs>
          <w:tab w:pos="1616" w:val="left" w:leader="none"/>
        </w:tabs>
        <w:spacing w:line="240" w:lineRule="auto" w:before="46" w:after="0"/>
        <w:ind w:left="1615" w:right="0" w:hanging="422"/>
        <w:jc w:val="left"/>
        <w:rPr>
          <w:sz w:val="21"/>
        </w:rPr>
      </w:pPr>
      <w:r>
        <w:rPr>
          <w:spacing w:val="-3"/>
          <w:sz w:val="21"/>
        </w:rPr>
        <w:t>保险期间和续保</w:t>
      </w:r>
    </w:p>
    <w:p>
      <w:pPr>
        <w:pStyle w:val="ListParagraph"/>
        <w:numPr>
          <w:ilvl w:val="1"/>
          <w:numId w:val="3"/>
        </w:numPr>
        <w:tabs>
          <w:tab w:pos="1616" w:val="left" w:leader="none"/>
        </w:tabs>
        <w:spacing w:line="240" w:lineRule="auto" w:before="44" w:after="0"/>
        <w:ind w:left="1615" w:right="0" w:hanging="422"/>
        <w:jc w:val="left"/>
        <w:rPr>
          <w:sz w:val="21"/>
        </w:rPr>
      </w:pPr>
      <w:r>
        <w:rPr>
          <w:spacing w:val="-3"/>
          <w:sz w:val="21"/>
        </w:rPr>
        <w:t>投保条件</w:t>
      </w:r>
    </w:p>
    <w:p>
      <w:pPr>
        <w:pStyle w:val="ListParagraph"/>
        <w:numPr>
          <w:ilvl w:val="1"/>
          <w:numId w:val="3"/>
        </w:numPr>
        <w:tabs>
          <w:tab w:pos="1616" w:val="left" w:leader="none"/>
        </w:tabs>
        <w:spacing w:line="240" w:lineRule="auto" w:before="44" w:after="0"/>
        <w:ind w:left="1615" w:right="0" w:hanging="422"/>
        <w:jc w:val="left"/>
        <w:rPr>
          <w:sz w:val="21"/>
        </w:rPr>
      </w:pPr>
      <w:r>
        <w:rPr>
          <w:spacing w:val="-3"/>
          <w:sz w:val="21"/>
        </w:rPr>
        <w:t>保险责任</w:t>
      </w:r>
    </w:p>
    <w:p>
      <w:pPr>
        <w:pStyle w:val="ListParagraph"/>
        <w:numPr>
          <w:ilvl w:val="1"/>
          <w:numId w:val="3"/>
        </w:numPr>
        <w:tabs>
          <w:tab w:pos="1616" w:val="left" w:leader="none"/>
        </w:tabs>
        <w:spacing w:line="240" w:lineRule="auto" w:before="46" w:after="0"/>
        <w:ind w:left="1615" w:right="0" w:hanging="422"/>
        <w:jc w:val="left"/>
        <w:rPr>
          <w:sz w:val="21"/>
        </w:rPr>
      </w:pPr>
      <w:r>
        <w:rPr>
          <w:spacing w:val="-3"/>
          <w:sz w:val="21"/>
        </w:rPr>
        <w:t>责任免除</w:t>
      </w:r>
    </w:p>
    <w:p>
      <w:pPr>
        <w:pStyle w:val="Heading1"/>
        <w:spacing w:before="43"/>
        <w:ind w:left="982"/>
        <w:rPr>
          <w:rFonts w:ascii="仿宋" w:eastAsia="仿宋" w:hint="eastAsia"/>
        </w:rPr>
      </w:pPr>
      <w:r>
        <w:rPr/>
        <w:t>3.</w:t>
      </w:r>
      <w:r>
        <w:rPr>
          <w:rFonts w:ascii="仿宋" w:eastAsia="仿宋" w:hint="eastAsia"/>
        </w:rPr>
        <w:t>如何申请豁免保险费</w:t>
      </w:r>
    </w:p>
    <w:p>
      <w:pPr>
        <w:pStyle w:val="ListParagraph"/>
        <w:numPr>
          <w:ilvl w:val="1"/>
          <w:numId w:val="4"/>
        </w:numPr>
        <w:tabs>
          <w:tab w:pos="1616" w:val="left" w:leader="none"/>
        </w:tabs>
        <w:spacing w:line="240" w:lineRule="auto" w:before="43" w:after="0"/>
        <w:ind w:left="1615" w:right="0" w:hanging="422"/>
        <w:jc w:val="left"/>
        <w:rPr>
          <w:sz w:val="21"/>
        </w:rPr>
      </w:pPr>
      <w:r>
        <w:rPr>
          <w:spacing w:val="-3"/>
          <w:sz w:val="21"/>
        </w:rPr>
        <w:t>保险事故通知</w:t>
      </w:r>
    </w:p>
    <w:p>
      <w:pPr>
        <w:pStyle w:val="ListParagraph"/>
        <w:numPr>
          <w:ilvl w:val="1"/>
          <w:numId w:val="4"/>
        </w:numPr>
        <w:tabs>
          <w:tab w:pos="1616" w:val="left" w:leader="none"/>
        </w:tabs>
        <w:spacing w:line="240" w:lineRule="auto" w:before="46" w:after="0"/>
        <w:ind w:left="1615" w:right="0" w:hanging="422"/>
        <w:jc w:val="left"/>
        <w:rPr>
          <w:sz w:val="21"/>
        </w:rPr>
      </w:pPr>
      <w:r>
        <w:rPr>
          <w:spacing w:val="-3"/>
          <w:sz w:val="21"/>
        </w:rPr>
        <w:t>豁免保险费申请</w:t>
      </w:r>
    </w:p>
    <w:p>
      <w:pPr>
        <w:pStyle w:val="ListParagraph"/>
        <w:numPr>
          <w:ilvl w:val="1"/>
          <w:numId w:val="4"/>
        </w:numPr>
        <w:tabs>
          <w:tab w:pos="1616" w:val="left" w:leader="none"/>
        </w:tabs>
        <w:spacing w:line="240" w:lineRule="auto" w:before="44" w:after="0"/>
        <w:ind w:left="1615" w:right="0" w:hanging="422"/>
        <w:jc w:val="left"/>
        <w:rPr>
          <w:sz w:val="21"/>
        </w:rPr>
      </w:pPr>
      <w:r>
        <w:rPr>
          <w:spacing w:val="-3"/>
          <w:sz w:val="21"/>
        </w:rPr>
        <w:t>保险费的豁免</w:t>
      </w:r>
    </w:p>
    <w:p>
      <w:pPr>
        <w:pStyle w:val="ListParagraph"/>
        <w:numPr>
          <w:ilvl w:val="1"/>
          <w:numId w:val="4"/>
        </w:numPr>
        <w:tabs>
          <w:tab w:pos="1563" w:val="left" w:leader="none"/>
        </w:tabs>
        <w:spacing w:line="240" w:lineRule="auto" w:before="44" w:after="0"/>
        <w:ind w:left="1562" w:right="0" w:hanging="369"/>
        <w:jc w:val="left"/>
        <w:rPr>
          <w:sz w:val="21"/>
        </w:rPr>
      </w:pPr>
      <w:r>
        <w:rPr>
          <w:spacing w:val="-3"/>
          <w:sz w:val="21"/>
        </w:rPr>
        <w:t>失踪处理</w:t>
      </w:r>
    </w:p>
    <w:p>
      <w:pPr>
        <w:pStyle w:val="ListParagraph"/>
        <w:numPr>
          <w:ilvl w:val="1"/>
          <w:numId w:val="4"/>
        </w:numPr>
        <w:tabs>
          <w:tab w:pos="1563" w:val="left" w:leader="none"/>
        </w:tabs>
        <w:spacing w:line="240" w:lineRule="auto" w:before="46" w:after="0"/>
        <w:ind w:left="1562" w:right="0" w:hanging="369"/>
        <w:jc w:val="left"/>
        <w:rPr>
          <w:sz w:val="21"/>
        </w:rPr>
      </w:pPr>
      <w:r>
        <w:rPr>
          <w:spacing w:val="-3"/>
          <w:sz w:val="21"/>
        </w:rPr>
        <w:t>诉讼时效</w:t>
      </w:r>
    </w:p>
    <w:p>
      <w:pPr>
        <w:pStyle w:val="Heading1"/>
        <w:spacing w:before="43"/>
        <w:ind w:left="982"/>
        <w:rPr>
          <w:rFonts w:ascii="仿宋" w:eastAsia="仿宋" w:hint="eastAsia"/>
        </w:rPr>
      </w:pPr>
      <w:r>
        <w:rPr/>
        <w:t>4.</w:t>
      </w:r>
      <w:r>
        <w:rPr>
          <w:rFonts w:ascii="仿宋" w:eastAsia="仿宋" w:hint="eastAsia"/>
        </w:rPr>
        <w:t>如何支付保险费</w:t>
      </w:r>
    </w:p>
    <w:p>
      <w:pPr>
        <w:pStyle w:val="ListParagraph"/>
        <w:numPr>
          <w:ilvl w:val="1"/>
          <w:numId w:val="5"/>
        </w:numPr>
        <w:tabs>
          <w:tab w:pos="1616" w:val="left" w:leader="none"/>
        </w:tabs>
        <w:spacing w:line="240" w:lineRule="auto" w:before="44" w:after="0"/>
        <w:ind w:left="1615" w:right="0" w:hanging="422"/>
        <w:jc w:val="left"/>
        <w:rPr>
          <w:sz w:val="21"/>
        </w:rPr>
      </w:pPr>
      <w:r>
        <w:rPr>
          <w:spacing w:val="-3"/>
          <w:sz w:val="21"/>
        </w:rPr>
        <w:t>保险费的支付</w:t>
      </w:r>
    </w:p>
    <w:p>
      <w:pPr>
        <w:pStyle w:val="ListParagraph"/>
        <w:numPr>
          <w:ilvl w:val="1"/>
          <w:numId w:val="5"/>
        </w:numPr>
        <w:tabs>
          <w:tab w:pos="1616" w:val="left" w:leader="none"/>
        </w:tabs>
        <w:spacing w:line="240" w:lineRule="auto" w:before="46" w:after="0"/>
        <w:ind w:left="1615" w:right="0" w:hanging="422"/>
        <w:jc w:val="left"/>
        <w:rPr>
          <w:sz w:val="21"/>
        </w:rPr>
      </w:pPr>
      <w:r>
        <w:rPr>
          <w:spacing w:val="-2"/>
          <w:sz w:val="21"/>
        </w:rPr>
        <w:t>宽限期</w:t>
      </w:r>
    </w:p>
    <w:p>
      <w:pPr>
        <w:pStyle w:val="Heading1"/>
        <w:spacing w:before="36"/>
        <w:ind w:left="318"/>
        <w:rPr>
          <w:rFonts w:ascii="仿宋" w:eastAsia="仿宋" w:hint="eastAsia"/>
        </w:rPr>
      </w:pPr>
      <w:r>
        <w:rPr>
          <w:b w:val="0"/>
        </w:rPr>
        <w:br w:type="column"/>
      </w:r>
      <w:r>
        <w:rPr/>
        <w:t>5.</w:t>
      </w:r>
      <w:r>
        <w:rPr>
          <w:rFonts w:ascii="仿宋" w:eastAsia="仿宋" w:hint="eastAsia"/>
        </w:rPr>
        <w:t>合同效力的中止和恢复</w:t>
      </w:r>
    </w:p>
    <w:p>
      <w:pPr>
        <w:pStyle w:val="ListParagraph"/>
        <w:numPr>
          <w:ilvl w:val="1"/>
          <w:numId w:val="6"/>
        </w:numPr>
        <w:tabs>
          <w:tab w:pos="952" w:val="left" w:leader="none"/>
        </w:tabs>
        <w:spacing w:line="240" w:lineRule="auto" w:before="61" w:after="0"/>
        <w:ind w:left="951" w:right="0" w:hanging="422"/>
        <w:jc w:val="left"/>
        <w:rPr>
          <w:sz w:val="21"/>
        </w:rPr>
      </w:pPr>
      <w:r>
        <w:rPr>
          <w:spacing w:val="-3"/>
          <w:sz w:val="21"/>
        </w:rPr>
        <w:t>效力中止</w:t>
      </w:r>
    </w:p>
    <w:p>
      <w:pPr>
        <w:pStyle w:val="ListParagraph"/>
        <w:numPr>
          <w:ilvl w:val="1"/>
          <w:numId w:val="6"/>
        </w:numPr>
        <w:tabs>
          <w:tab w:pos="952" w:val="left" w:leader="none"/>
        </w:tabs>
        <w:spacing w:line="240" w:lineRule="auto" w:before="44" w:after="0"/>
        <w:ind w:left="951" w:right="0" w:hanging="422"/>
        <w:jc w:val="left"/>
        <w:rPr>
          <w:sz w:val="21"/>
        </w:rPr>
      </w:pPr>
      <w:r>
        <w:rPr>
          <w:spacing w:val="-3"/>
          <w:sz w:val="21"/>
        </w:rPr>
        <w:t>效力恢复</w:t>
      </w:r>
    </w:p>
    <w:p>
      <w:pPr>
        <w:pStyle w:val="Heading1"/>
        <w:spacing w:before="44"/>
        <w:ind w:left="318"/>
        <w:rPr>
          <w:rFonts w:ascii="仿宋" w:eastAsia="仿宋" w:hint="eastAsia"/>
        </w:rPr>
      </w:pPr>
      <w:r>
        <w:rPr/>
        <w:t>6.</w:t>
      </w:r>
      <w:r>
        <w:rPr>
          <w:rFonts w:ascii="仿宋" w:eastAsia="仿宋" w:hint="eastAsia"/>
        </w:rPr>
        <w:t>如何解除保险合同</w:t>
      </w:r>
    </w:p>
    <w:p>
      <w:pPr>
        <w:pStyle w:val="BodyText"/>
        <w:spacing w:before="47"/>
        <w:ind w:left="529"/>
        <w:rPr>
          <w:rFonts w:ascii="仿宋" w:eastAsia="仿宋" w:hint="eastAsia"/>
        </w:rPr>
      </w:pPr>
      <w:r>
        <w:rPr/>
        <w:t>6.1 </w:t>
      </w:r>
      <w:r>
        <w:rPr>
          <w:rFonts w:ascii="仿宋" w:eastAsia="仿宋" w:hint="eastAsia"/>
        </w:rPr>
        <w:t>您解除合同的手续及风险</w:t>
      </w:r>
    </w:p>
    <w:p>
      <w:pPr>
        <w:pStyle w:val="Heading1"/>
        <w:spacing w:before="44"/>
        <w:ind w:left="318"/>
        <w:rPr>
          <w:rFonts w:ascii="仿宋" w:eastAsia="仿宋" w:hint="eastAsia"/>
        </w:rPr>
      </w:pPr>
      <w:r>
        <w:rPr/>
        <w:t>7.</w:t>
      </w:r>
      <w:r>
        <w:rPr>
          <w:rFonts w:ascii="仿宋" w:eastAsia="仿宋" w:hint="eastAsia"/>
        </w:rPr>
        <w:t>其他需要关注的事项</w:t>
      </w:r>
    </w:p>
    <w:p>
      <w:pPr>
        <w:pStyle w:val="ListParagraph"/>
        <w:numPr>
          <w:ilvl w:val="1"/>
          <w:numId w:val="7"/>
        </w:numPr>
        <w:tabs>
          <w:tab w:pos="952" w:val="left" w:leader="none"/>
        </w:tabs>
        <w:spacing w:line="240" w:lineRule="auto" w:before="44" w:after="0"/>
        <w:ind w:left="951" w:right="0" w:hanging="422"/>
        <w:jc w:val="left"/>
        <w:rPr>
          <w:sz w:val="21"/>
        </w:rPr>
      </w:pPr>
      <w:r>
        <w:rPr>
          <w:spacing w:val="-3"/>
          <w:sz w:val="21"/>
        </w:rPr>
        <w:t>效力终止</w:t>
      </w:r>
    </w:p>
    <w:p>
      <w:pPr>
        <w:pStyle w:val="ListParagraph"/>
        <w:numPr>
          <w:ilvl w:val="1"/>
          <w:numId w:val="7"/>
        </w:numPr>
        <w:tabs>
          <w:tab w:pos="952" w:val="left" w:leader="none"/>
        </w:tabs>
        <w:spacing w:line="240" w:lineRule="auto" w:before="46" w:after="0"/>
        <w:ind w:left="951" w:right="0" w:hanging="422"/>
        <w:jc w:val="left"/>
        <w:rPr>
          <w:sz w:val="21"/>
        </w:rPr>
      </w:pPr>
      <w:r>
        <w:rPr>
          <w:spacing w:val="-3"/>
          <w:sz w:val="21"/>
        </w:rPr>
        <w:t>适用主合同条款</w:t>
      </w:r>
    </w:p>
    <w:p>
      <w:pPr>
        <w:pStyle w:val="ListParagraph"/>
        <w:numPr>
          <w:ilvl w:val="1"/>
          <w:numId w:val="7"/>
        </w:numPr>
        <w:tabs>
          <w:tab w:pos="952" w:val="left" w:leader="none"/>
        </w:tabs>
        <w:spacing w:line="240" w:lineRule="auto" w:before="44" w:after="0"/>
        <w:ind w:left="951" w:right="0" w:hanging="422"/>
        <w:jc w:val="left"/>
        <w:rPr>
          <w:sz w:val="21"/>
        </w:rPr>
      </w:pPr>
      <w:r>
        <w:rPr>
          <w:spacing w:val="-3"/>
          <w:sz w:val="21"/>
        </w:rPr>
        <w:t>货币单位</w:t>
      </w:r>
    </w:p>
    <w:p>
      <w:pPr>
        <w:pStyle w:val="Heading1"/>
        <w:spacing w:before="44"/>
        <w:ind w:left="318"/>
        <w:rPr>
          <w:rFonts w:ascii="仿宋" w:eastAsia="仿宋" w:hint="eastAsia"/>
        </w:rPr>
      </w:pPr>
      <w:r>
        <w:rPr/>
        <w:t>8.</w:t>
      </w:r>
      <w:r>
        <w:rPr>
          <w:rFonts w:ascii="仿宋" w:eastAsia="仿宋" w:hint="eastAsia"/>
        </w:rPr>
        <w:t>释义</w:t>
      </w:r>
    </w:p>
    <w:p>
      <w:pPr>
        <w:pStyle w:val="ListParagraph"/>
        <w:numPr>
          <w:ilvl w:val="1"/>
          <w:numId w:val="8"/>
        </w:numPr>
        <w:tabs>
          <w:tab w:pos="952" w:val="left" w:leader="none"/>
        </w:tabs>
        <w:spacing w:line="240" w:lineRule="auto" w:before="46" w:after="0"/>
        <w:ind w:left="689" w:right="0" w:hanging="160"/>
        <w:jc w:val="left"/>
        <w:rPr>
          <w:sz w:val="21"/>
        </w:rPr>
      </w:pPr>
      <w:r>
        <w:rPr>
          <w:spacing w:val="-3"/>
          <w:sz w:val="21"/>
        </w:rPr>
        <w:t>保单周年日</w:t>
      </w:r>
    </w:p>
    <w:p>
      <w:pPr>
        <w:pStyle w:val="ListParagraph"/>
        <w:numPr>
          <w:ilvl w:val="1"/>
          <w:numId w:val="8"/>
        </w:numPr>
        <w:tabs>
          <w:tab w:pos="952" w:val="left" w:leader="none"/>
        </w:tabs>
        <w:spacing w:line="240" w:lineRule="auto" w:before="44" w:after="0"/>
        <w:ind w:left="689" w:right="0" w:hanging="160"/>
        <w:jc w:val="left"/>
        <w:rPr>
          <w:sz w:val="21"/>
        </w:rPr>
      </w:pPr>
      <w:r>
        <w:rPr>
          <w:spacing w:val="-3"/>
          <w:sz w:val="21"/>
        </w:rPr>
        <w:t>保单年度</w:t>
      </w:r>
    </w:p>
    <w:p>
      <w:pPr>
        <w:pStyle w:val="ListParagraph"/>
        <w:numPr>
          <w:ilvl w:val="1"/>
          <w:numId w:val="8"/>
        </w:numPr>
        <w:tabs>
          <w:tab w:pos="952" w:val="left" w:leader="none"/>
        </w:tabs>
        <w:spacing w:line="240" w:lineRule="auto" w:before="44" w:after="0"/>
        <w:ind w:left="689" w:right="0" w:hanging="160"/>
        <w:jc w:val="left"/>
        <w:rPr>
          <w:sz w:val="21"/>
        </w:rPr>
      </w:pPr>
      <w:r>
        <w:rPr>
          <w:spacing w:val="-3"/>
          <w:sz w:val="21"/>
        </w:rPr>
        <w:t>保险费约定支付日</w:t>
      </w:r>
    </w:p>
    <w:p>
      <w:pPr>
        <w:pStyle w:val="ListParagraph"/>
        <w:numPr>
          <w:ilvl w:val="1"/>
          <w:numId w:val="8"/>
        </w:numPr>
        <w:tabs>
          <w:tab w:pos="952" w:val="left" w:leader="none"/>
        </w:tabs>
        <w:spacing w:line="240" w:lineRule="auto" w:before="46" w:after="0"/>
        <w:ind w:left="689" w:right="0" w:hanging="160"/>
        <w:jc w:val="left"/>
        <w:rPr>
          <w:sz w:val="21"/>
        </w:rPr>
      </w:pPr>
      <w:r>
        <w:rPr>
          <w:spacing w:val="-3"/>
          <w:sz w:val="21"/>
        </w:rPr>
        <w:t>有效身份证件</w:t>
      </w:r>
    </w:p>
    <w:p>
      <w:pPr>
        <w:pStyle w:val="ListParagraph"/>
        <w:numPr>
          <w:ilvl w:val="1"/>
          <w:numId w:val="8"/>
        </w:numPr>
        <w:tabs>
          <w:tab w:pos="952" w:val="left" w:leader="none"/>
        </w:tabs>
        <w:spacing w:line="240" w:lineRule="auto" w:before="44" w:after="0"/>
        <w:ind w:left="689" w:right="0" w:hanging="160"/>
        <w:jc w:val="left"/>
        <w:rPr>
          <w:sz w:val="21"/>
        </w:rPr>
      </w:pPr>
      <w:r>
        <w:rPr>
          <w:spacing w:val="-3"/>
          <w:sz w:val="21"/>
        </w:rPr>
        <w:t>连续投保</w:t>
      </w:r>
    </w:p>
    <w:p>
      <w:pPr>
        <w:pStyle w:val="ListParagraph"/>
        <w:numPr>
          <w:ilvl w:val="1"/>
          <w:numId w:val="8"/>
        </w:numPr>
        <w:tabs>
          <w:tab w:pos="952" w:val="left" w:leader="none"/>
        </w:tabs>
        <w:spacing w:line="240" w:lineRule="auto" w:before="44" w:after="0"/>
        <w:ind w:left="689" w:right="0" w:hanging="160"/>
        <w:jc w:val="left"/>
        <w:rPr>
          <w:sz w:val="21"/>
        </w:rPr>
      </w:pPr>
      <w:r>
        <w:rPr>
          <w:spacing w:val="-3"/>
          <w:sz w:val="21"/>
        </w:rPr>
        <w:t>周岁</w:t>
      </w:r>
    </w:p>
    <w:p>
      <w:pPr>
        <w:pStyle w:val="ListParagraph"/>
        <w:numPr>
          <w:ilvl w:val="1"/>
          <w:numId w:val="8"/>
        </w:numPr>
        <w:tabs>
          <w:tab w:pos="952" w:val="left" w:leader="none"/>
        </w:tabs>
        <w:spacing w:line="240" w:lineRule="auto" w:before="47" w:after="0"/>
        <w:ind w:left="689" w:right="0" w:hanging="160"/>
        <w:jc w:val="left"/>
        <w:rPr>
          <w:sz w:val="21"/>
        </w:rPr>
      </w:pPr>
      <w:r>
        <w:rPr>
          <w:spacing w:val="-3"/>
          <w:sz w:val="21"/>
        </w:rPr>
        <w:t>意外伤害事故</w:t>
      </w:r>
    </w:p>
    <w:p>
      <w:pPr>
        <w:pStyle w:val="ListParagraph"/>
        <w:numPr>
          <w:ilvl w:val="1"/>
          <w:numId w:val="8"/>
        </w:numPr>
        <w:tabs>
          <w:tab w:pos="952" w:val="left" w:leader="none"/>
        </w:tabs>
        <w:spacing w:line="240" w:lineRule="auto" w:before="44" w:after="0"/>
        <w:ind w:left="689" w:right="0" w:hanging="160"/>
        <w:jc w:val="left"/>
        <w:rPr>
          <w:sz w:val="21"/>
        </w:rPr>
      </w:pPr>
      <w:r>
        <w:rPr>
          <w:spacing w:val="-3"/>
          <w:sz w:val="21"/>
        </w:rPr>
        <w:t>重大疾病</w:t>
      </w:r>
    </w:p>
    <w:p>
      <w:pPr>
        <w:pStyle w:val="ListParagraph"/>
        <w:numPr>
          <w:ilvl w:val="1"/>
          <w:numId w:val="8"/>
        </w:numPr>
        <w:tabs>
          <w:tab w:pos="589" w:val="left" w:leader="none"/>
        </w:tabs>
        <w:spacing w:line="240" w:lineRule="auto" w:before="46" w:after="0"/>
        <w:ind w:left="588" w:right="0" w:hanging="422"/>
        <w:jc w:val="left"/>
        <w:rPr>
          <w:sz w:val="21"/>
        </w:rPr>
      </w:pPr>
      <w:r>
        <w:rPr>
          <w:spacing w:val="-3"/>
          <w:w w:val="100"/>
          <w:sz w:val="21"/>
        </w:rPr>
        <w:br w:type="column"/>
      </w:r>
      <w:r>
        <w:rPr>
          <w:spacing w:val="-3"/>
          <w:sz w:val="21"/>
        </w:rPr>
        <w:t>初次发生</w:t>
      </w:r>
    </w:p>
    <w:p>
      <w:pPr>
        <w:pStyle w:val="ListParagraph"/>
        <w:numPr>
          <w:ilvl w:val="1"/>
          <w:numId w:val="8"/>
        </w:numPr>
        <w:tabs>
          <w:tab w:pos="693" w:val="left" w:leader="none"/>
        </w:tabs>
        <w:spacing w:line="240" w:lineRule="auto" w:before="20" w:after="0"/>
        <w:ind w:left="692" w:right="0" w:hanging="526"/>
        <w:jc w:val="left"/>
        <w:rPr>
          <w:sz w:val="21"/>
        </w:rPr>
      </w:pPr>
      <w:r>
        <w:rPr>
          <w:sz w:val="21"/>
        </w:rPr>
        <w:t>医院</w:t>
      </w:r>
    </w:p>
    <w:p>
      <w:pPr>
        <w:pStyle w:val="ListParagraph"/>
        <w:numPr>
          <w:ilvl w:val="1"/>
          <w:numId w:val="8"/>
        </w:numPr>
        <w:tabs>
          <w:tab w:pos="693" w:val="left" w:leader="none"/>
        </w:tabs>
        <w:spacing w:line="240" w:lineRule="auto" w:before="36" w:after="0"/>
        <w:ind w:left="692" w:right="0" w:hanging="526"/>
        <w:jc w:val="left"/>
        <w:rPr>
          <w:sz w:val="21"/>
        </w:rPr>
      </w:pPr>
      <w:r>
        <w:rPr>
          <w:spacing w:val="-2"/>
          <w:sz w:val="21"/>
        </w:rPr>
        <w:t>专科医生</w:t>
      </w:r>
    </w:p>
    <w:p>
      <w:pPr>
        <w:pStyle w:val="ListParagraph"/>
        <w:numPr>
          <w:ilvl w:val="1"/>
          <w:numId w:val="8"/>
        </w:numPr>
        <w:tabs>
          <w:tab w:pos="693" w:val="left" w:leader="none"/>
        </w:tabs>
        <w:spacing w:line="240" w:lineRule="auto" w:before="36" w:after="0"/>
        <w:ind w:left="692" w:right="0" w:hanging="526"/>
        <w:jc w:val="left"/>
        <w:rPr>
          <w:sz w:val="21"/>
        </w:rPr>
      </w:pPr>
      <w:r>
        <w:rPr>
          <w:spacing w:val="-2"/>
          <w:sz w:val="21"/>
        </w:rPr>
        <w:t>确诊日</w:t>
      </w:r>
    </w:p>
    <w:p>
      <w:pPr>
        <w:pStyle w:val="ListParagraph"/>
        <w:numPr>
          <w:ilvl w:val="1"/>
          <w:numId w:val="8"/>
        </w:numPr>
        <w:tabs>
          <w:tab w:pos="693" w:val="left" w:leader="none"/>
        </w:tabs>
        <w:spacing w:line="240" w:lineRule="auto" w:before="37" w:after="0"/>
        <w:ind w:left="692" w:right="0" w:hanging="526"/>
        <w:jc w:val="left"/>
        <w:rPr>
          <w:sz w:val="21"/>
        </w:rPr>
      </w:pPr>
      <w:r>
        <w:rPr>
          <w:spacing w:val="-2"/>
          <w:sz w:val="21"/>
        </w:rPr>
        <w:t>轻症疾病</w:t>
      </w:r>
    </w:p>
    <w:p>
      <w:pPr>
        <w:pStyle w:val="ListParagraph"/>
        <w:numPr>
          <w:ilvl w:val="1"/>
          <w:numId w:val="8"/>
        </w:numPr>
        <w:tabs>
          <w:tab w:pos="693" w:val="left" w:leader="none"/>
        </w:tabs>
        <w:spacing w:line="240" w:lineRule="auto" w:before="37" w:after="0"/>
        <w:ind w:left="692" w:right="0" w:hanging="526"/>
        <w:jc w:val="left"/>
        <w:rPr>
          <w:sz w:val="21"/>
        </w:rPr>
      </w:pPr>
      <w:r>
        <w:rPr>
          <w:sz w:val="21"/>
        </w:rPr>
        <w:t>酗酒</w:t>
      </w:r>
    </w:p>
    <w:p>
      <w:pPr>
        <w:pStyle w:val="ListParagraph"/>
        <w:numPr>
          <w:ilvl w:val="1"/>
          <w:numId w:val="8"/>
        </w:numPr>
        <w:tabs>
          <w:tab w:pos="693" w:val="left" w:leader="none"/>
        </w:tabs>
        <w:spacing w:line="240" w:lineRule="auto" w:before="37" w:after="0"/>
        <w:ind w:left="692" w:right="0" w:hanging="526"/>
        <w:jc w:val="left"/>
        <w:rPr>
          <w:sz w:val="21"/>
        </w:rPr>
      </w:pPr>
      <w:r>
        <w:rPr>
          <w:sz w:val="21"/>
        </w:rPr>
        <w:t>毒品</w:t>
      </w:r>
    </w:p>
    <w:p>
      <w:pPr>
        <w:pStyle w:val="ListParagraph"/>
        <w:numPr>
          <w:ilvl w:val="1"/>
          <w:numId w:val="8"/>
        </w:numPr>
        <w:tabs>
          <w:tab w:pos="693" w:val="left" w:leader="none"/>
        </w:tabs>
        <w:spacing w:line="240" w:lineRule="auto" w:before="61" w:after="0"/>
        <w:ind w:left="692" w:right="0" w:hanging="526"/>
        <w:jc w:val="left"/>
        <w:rPr>
          <w:sz w:val="21"/>
        </w:rPr>
      </w:pPr>
      <w:r>
        <w:rPr>
          <w:spacing w:val="-2"/>
          <w:sz w:val="21"/>
        </w:rPr>
        <w:t>酒后驾驶</w:t>
      </w:r>
    </w:p>
    <w:p>
      <w:pPr>
        <w:pStyle w:val="ListParagraph"/>
        <w:numPr>
          <w:ilvl w:val="1"/>
          <w:numId w:val="8"/>
        </w:numPr>
        <w:tabs>
          <w:tab w:pos="693" w:val="left" w:leader="none"/>
        </w:tabs>
        <w:spacing w:line="240" w:lineRule="auto" w:before="44" w:after="0"/>
        <w:ind w:left="692" w:right="0" w:hanging="526"/>
        <w:jc w:val="left"/>
        <w:rPr>
          <w:sz w:val="21"/>
        </w:rPr>
      </w:pPr>
      <w:r>
        <w:rPr>
          <w:spacing w:val="-3"/>
          <w:sz w:val="21"/>
        </w:rPr>
        <w:t>无合法有效驾驶证驾驶</w:t>
      </w:r>
    </w:p>
    <w:p>
      <w:pPr>
        <w:pStyle w:val="ListParagraph"/>
        <w:numPr>
          <w:ilvl w:val="1"/>
          <w:numId w:val="8"/>
        </w:numPr>
        <w:tabs>
          <w:tab w:pos="693" w:val="left" w:leader="none"/>
        </w:tabs>
        <w:spacing w:line="240" w:lineRule="auto" w:before="46" w:after="0"/>
        <w:ind w:left="692" w:right="0" w:hanging="526"/>
        <w:jc w:val="left"/>
        <w:rPr>
          <w:sz w:val="21"/>
        </w:rPr>
      </w:pPr>
      <w:r>
        <w:rPr>
          <w:spacing w:val="-3"/>
          <w:sz w:val="21"/>
        </w:rPr>
        <w:t>无有效行驶证照</w:t>
      </w:r>
    </w:p>
    <w:p>
      <w:pPr>
        <w:pStyle w:val="ListParagraph"/>
        <w:numPr>
          <w:ilvl w:val="1"/>
          <w:numId w:val="8"/>
        </w:numPr>
        <w:tabs>
          <w:tab w:pos="693" w:val="left" w:leader="none"/>
        </w:tabs>
        <w:spacing w:line="240" w:lineRule="auto" w:before="44" w:after="0"/>
        <w:ind w:left="692" w:right="0" w:hanging="526"/>
        <w:jc w:val="left"/>
        <w:rPr>
          <w:sz w:val="21"/>
        </w:rPr>
      </w:pPr>
      <w:r>
        <w:rPr>
          <w:spacing w:val="-2"/>
          <w:sz w:val="21"/>
        </w:rPr>
        <w:t>机动车</w:t>
      </w:r>
    </w:p>
    <w:p>
      <w:pPr>
        <w:pStyle w:val="ListParagraph"/>
        <w:numPr>
          <w:ilvl w:val="1"/>
          <w:numId w:val="8"/>
        </w:numPr>
        <w:tabs>
          <w:tab w:pos="705" w:val="left" w:leader="none"/>
        </w:tabs>
        <w:spacing w:line="273" w:lineRule="auto" w:before="20" w:after="0"/>
        <w:ind w:left="689" w:right="509" w:hanging="523"/>
        <w:jc w:val="left"/>
        <w:rPr>
          <w:sz w:val="21"/>
        </w:rPr>
      </w:pPr>
      <w:r>
        <w:rPr>
          <w:spacing w:val="7"/>
          <w:sz w:val="21"/>
        </w:rPr>
        <w:t>感染艾滋病病毒或患艾滋病</w:t>
      </w:r>
    </w:p>
    <w:p>
      <w:pPr>
        <w:pStyle w:val="ListParagraph"/>
        <w:numPr>
          <w:ilvl w:val="1"/>
          <w:numId w:val="8"/>
        </w:numPr>
        <w:tabs>
          <w:tab w:pos="693" w:val="left" w:leader="none"/>
        </w:tabs>
        <w:spacing w:line="240" w:lineRule="auto" w:before="7" w:after="0"/>
        <w:ind w:left="692" w:right="0" w:hanging="526"/>
        <w:jc w:val="left"/>
        <w:rPr>
          <w:sz w:val="21"/>
        </w:rPr>
      </w:pPr>
      <w:r>
        <w:rPr>
          <w:spacing w:val="-3"/>
          <w:sz w:val="21"/>
        </w:rPr>
        <w:t>遗传性疾病</w:t>
      </w:r>
    </w:p>
    <w:p>
      <w:pPr>
        <w:pStyle w:val="ListParagraph"/>
        <w:numPr>
          <w:ilvl w:val="1"/>
          <w:numId w:val="8"/>
        </w:numPr>
        <w:tabs>
          <w:tab w:pos="693" w:val="left" w:leader="none"/>
        </w:tabs>
        <w:spacing w:line="273" w:lineRule="auto" w:before="37" w:after="0"/>
        <w:ind w:left="689" w:right="507" w:hanging="523"/>
        <w:jc w:val="left"/>
        <w:rPr>
          <w:sz w:val="21"/>
        </w:rPr>
      </w:pPr>
      <w:r>
        <w:rPr>
          <w:spacing w:val="-11"/>
          <w:sz w:val="21"/>
        </w:rPr>
        <w:t>先天性畸形、变形或染色体异常</w:t>
      </w:r>
    </w:p>
    <w:p>
      <w:pPr>
        <w:pStyle w:val="ListParagraph"/>
        <w:numPr>
          <w:ilvl w:val="1"/>
          <w:numId w:val="8"/>
        </w:numPr>
        <w:tabs>
          <w:tab w:pos="693" w:val="left" w:leader="none"/>
        </w:tabs>
        <w:spacing w:line="240" w:lineRule="auto" w:before="6" w:after="0"/>
        <w:ind w:left="692" w:right="0" w:hanging="526"/>
        <w:jc w:val="left"/>
        <w:rPr>
          <w:sz w:val="21"/>
        </w:rPr>
      </w:pPr>
      <w:r>
        <w:rPr>
          <w:spacing w:val="-2"/>
          <w:sz w:val="21"/>
        </w:rPr>
        <w:t>现金价值</w:t>
      </w:r>
    </w:p>
    <w:p>
      <w:pPr>
        <w:spacing w:after="0" w:line="240" w:lineRule="auto"/>
        <w:jc w:val="left"/>
        <w:rPr>
          <w:sz w:val="21"/>
        </w:rPr>
        <w:sectPr>
          <w:type w:val="continuous"/>
          <w:pgSz w:w="11910" w:h="16840"/>
          <w:pgMar w:top="480" w:bottom="280" w:left="780" w:right="840"/>
          <w:cols w:num="3" w:equalWidth="0">
            <w:col w:w="3507" w:space="40"/>
            <w:col w:w="3264" w:space="39"/>
            <w:col w:w="3440"/>
          </w:cols>
        </w:sectPr>
      </w:pPr>
    </w:p>
    <w:p>
      <w:pPr>
        <w:pStyle w:val="BodyText"/>
        <w:spacing w:before="0"/>
        <w:ind w:left="220"/>
        <w:rPr>
          <w:rFonts w:ascii="仿宋"/>
          <w:sz w:val="20"/>
        </w:rPr>
      </w:pPr>
      <w:r>
        <w:rPr>
          <w:rFonts w:ascii="仿宋"/>
          <w:sz w:val="20"/>
        </w:rPr>
        <w:drawing>
          <wp:inline distT="0" distB="0" distL="0" distR="0">
            <wp:extent cx="6275694"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75694" cy="859535"/>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102"/>
        <w:ind w:left="1710" w:right="0" w:firstLine="0"/>
        <w:jc w:val="left"/>
        <w:rPr>
          <w:rFonts w:ascii="微软雅黑" w:eastAsia="微软雅黑" w:hint="eastAsia"/>
          <w:b/>
          <w:sz w:val="32"/>
        </w:rPr>
      </w:pPr>
      <w:r>
        <w:rPr>
          <w:rFonts w:ascii="微软雅黑" w:eastAsia="微软雅黑" w:hint="eastAsia"/>
          <w:b/>
          <w:sz w:val="32"/>
        </w:rPr>
        <w:t>国华附加豁免保险费重大疾病保险（2017）条款</w:t>
      </w:r>
    </w:p>
    <w:p>
      <w:pPr>
        <w:pStyle w:val="BodyText"/>
        <w:spacing w:before="2"/>
        <w:ind w:left="0"/>
        <w:rPr>
          <w:rFonts w:ascii="微软雅黑"/>
          <w:b/>
          <w:sz w:val="29"/>
        </w:rPr>
      </w:pPr>
    </w:p>
    <w:p>
      <w:pPr>
        <w:spacing w:before="0"/>
        <w:ind w:left="220" w:right="0" w:firstLine="0"/>
        <w:jc w:val="left"/>
        <w:rPr>
          <w:sz w:val="20"/>
        </w:rPr>
      </w:pPr>
      <w:r>
        <w:rPr>
          <w:spacing w:val="-21"/>
          <w:w w:val="99"/>
          <w:sz w:val="20"/>
        </w:rPr>
        <w:t>在本条款中，“您”指投保人，“我们”、“本公司”均指国华人寿保险股份有限公司。</w:t>
      </w:r>
    </w:p>
    <w:p>
      <w:pPr>
        <w:pStyle w:val="BodyText"/>
        <w:spacing w:before="0"/>
        <w:ind w:left="0"/>
        <w:rPr>
          <w:sz w:val="20"/>
        </w:rPr>
      </w:pPr>
    </w:p>
    <w:p>
      <w:pPr>
        <w:pStyle w:val="BodyText"/>
        <w:spacing w:before="11"/>
        <w:ind w:left="0"/>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19"/>
        <w:gridCol w:w="7553"/>
      </w:tblGrid>
      <w:tr>
        <w:trPr>
          <w:trHeight w:val="522" w:hRule="atLeast"/>
        </w:trPr>
        <w:tc>
          <w:tcPr>
            <w:tcW w:w="70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072" w:type="dxa"/>
            <w:gridSpan w:val="2"/>
            <w:tcBorders>
              <w:bottom w:val="single" w:sz="8" w:space="0" w:color="000000"/>
            </w:tcBorders>
          </w:tcPr>
          <w:p>
            <w:pPr>
              <w:pStyle w:val="TableParagraph"/>
              <w:spacing w:before="14"/>
              <w:ind w:left="244"/>
              <w:rPr>
                <w:b/>
                <w:sz w:val="24"/>
              </w:rPr>
            </w:pPr>
            <w:r>
              <w:rPr>
                <w:b/>
                <w:w w:val="95"/>
                <w:sz w:val="24"/>
              </w:rPr>
              <w:t>您与我们的合同</w:t>
            </w:r>
          </w:p>
        </w:tc>
      </w:tr>
      <w:tr>
        <w:trPr>
          <w:trHeight w:val="2343" w:hRule="atLeast"/>
        </w:trPr>
        <w:tc>
          <w:tcPr>
            <w:tcW w:w="709" w:type="dxa"/>
            <w:tcBorders>
              <w:top w:val="single" w:sz="8" w:space="0" w:color="000000"/>
            </w:tcBorders>
          </w:tcPr>
          <w:p>
            <w:pPr>
              <w:pStyle w:val="TableParagraph"/>
              <w:spacing w:before="1"/>
              <w:rPr>
                <w:sz w:val="23"/>
              </w:rPr>
            </w:pPr>
          </w:p>
          <w:p>
            <w:pPr>
              <w:pStyle w:val="TableParagraph"/>
              <w:ind w:left="107"/>
              <w:rPr>
                <w:b/>
                <w:sz w:val="21"/>
              </w:rPr>
            </w:pPr>
            <w:r>
              <w:rPr>
                <w:b/>
                <w:sz w:val="21"/>
              </w:rPr>
              <w:t>1.1</w:t>
            </w:r>
          </w:p>
        </w:tc>
        <w:tc>
          <w:tcPr>
            <w:tcW w:w="1519" w:type="dxa"/>
            <w:tcBorders>
              <w:top w:val="single" w:sz="8" w:space="0" w:color="000000"/>
            </w:tcBorders>
          </w:tcPr>
          <w:p>
            <w:pPr>
              <w:pStyle w:val="TableParagraph"/>
              <w:spacing w:before="1"/>
              <w:rPr>
                <w:sz w:val="23"/>
              </w:rPr>
            </w:pPr>
          </w:p>
          <w:p>
            <w:pPr>
              <w:pStyle w:val="TableParagraph"/>
              <w:spacing w:line="273" w:lineRule="auto"/>
              <w:ind w:left="244" w:right="95"/>
              <w:rPr>
                <w:b/>
                <w:sz w:val="21"/>
              </w:rPr>
            </w:pPr>
            <w:r>
              <w:rPr>
                <w:b/>
                <w:sz w:val="21"/>
              </w:rPr>
              <w:t>保险合同构成</w:t>
            </w:r>
          </w:p>
        </w:tc>
        <w:tc>
          <w:tcPr>
            <w:tcW w:w="7553" w:type="dxa"/>
            <w:tcBorders>
              <w:top w:val="single" w:sz="8" w:space="0" w:color="000000"/>
            </w:tcBorders>
          </w:tcPr>
          <w:p>
            <w:pPr>
              <w:pStyle w:val="TableParagraph"/>
              <w:spacing w:before="1"/>
              <w:rPr>
                <w:sz w:val="23"/>
              </w:rPr>
            </w:pPr>
          </w:p>
          <w:p>
            <w:pPr>
              <w:pStyle w:val="TableParagraph"/>
              <w:spacing w:line="273" w:lineRule="auto"/>
              <w:ind w:left="117" w:right="102"/>
              <w:jc w:val="both"/>
              <w:rPr>
                <w:sz w:val="21"/>
              </w:rPr>
            </w:pPr>
            <w:r>
              <w:rPr>
                <w:w w:val="100"/>
                <w:sz w:val="21"/>
              </w:rPr>
              <w:t>本附加保险合同</w:t>
            </w:r>
            <w:r>
              <w:rPr>
                <w:spacing w:val="1"/>
                <w:w w:val="100"/>
                <w:sz w:val="21"/>
              </w:rPr>
              <w:t>（</w:t>
            </w:r>
            <w:r>
              <w:rPr>
                <w:spacing w:val="-10"/>
                <w:w w:val="100"/>
                <w:sz w:val="21"/>
              </w:rPr>
              <w:t>以下简称“本附加合同”</w:t>
            </w:r>
            <w:r>
              <w:rPr>
                <w:w w:val="100"/>
                <w:sz w:val="21"/>
              </w:rPr>
              <w:t>）指您与我们之间订立的“国华附加</w:t>
            </w:r>
            <w:r>
              <w:rPr>
                <w:spacing w:val="-3"/>
                <w:sz w:val="21"/>
              </w:rPr>
              <w:t>豁免保险费重大疾病保险</w:t>
            </w:r>
            <w:r>
              <w:rPr>
                <w:sz w:val="21"/>
              </w:rPr>
              <w:t>（2017）</w:t>
            </w:r>
            <w:r>
              <w:rPr>
                <w:spacing w:val="-3"/>
                <w:sz w:val="21"/>
              </w:rPr>
              <w:t>合同”。</w:t>
            </w:r>
          </w:p>
          <w:p>
            <w:pPr>
              <w:pStyle w:val="TableParagraph"/>
              <w:spacing w:before="5"/>
              <w:rPr>
                <w:sz w:val="24"/>
              </w:rPr>
            </w:pPr>
          </w:p>
          <w:p>
            <w:pPr>
              <w:pStyle w:val="TableParagraph"/>
              <w:spacing w:line="273" w:lineRule="auto"/>
              <w:ind w:left="117" w:right="78"/>
              <w:jc w:val="both"/>
              <w:rPr>
                <w:sz w:val="21"/>
              </w:rPr>
            </w:pPr>
            <w:r>
              <w:rPr>
                <w:w w:val="100"/>
                <w:sz w:val="21"/>
              </w:rPr>
              <w:t>本附加合同附加于我们规定的主保险合同</w:t>
            </w:r>
            <w:r>
              <w:rPr>
                <w:spacing w:val="1"/>
                <w:w w:val="100"/>
                <w:sz w:val="21"/>
              </w:rPr>
              <w:t>（</w:t>
            </w:r>
            <w:r>
              <w:rPr>
                <w:spacing w:val="-12"/>
                <w:w w:val="100"/>
                <w:sz w:val="21"/>
              </w:rPr>
              <w:t>以下简称“主合同”</w:t>
            </w:r>
            <w:r>
              <w:rPr>
                <w:w w:val="100"/>
                <w:sz w:val="21"/>
              </w:rPr>
              <w:t>）上。主合同所</w:t>
            </w:r>
            <w:r>
              <w:rPr>
                <w:spacing w:val="-3"/>
                <w:sz w:val="21"/>
              </w:rPr>
              <w:t>附条款、投保单及与本附加合同有关的其他投保文件、合法有效的声明、批注、批单和其他书面协议，凡与本附加合同相关者，均为本附加合同的构成部分。</w:t>
            </w:r>
          </w:p>
        </w:tc>
      </w:tr>
      <w:tr>
        <w:trPr>
          <w:trHeight w:val="3120" w:hRule="atLeast"/>
        </w:trPr>
        <w:tc>
          <w:tcPr>
            <w:tcW w:w="709" w:type="dxa"/>
          </w:tcPr>
          <w:p>
            <w:pPr>
              <w:pStyle w:val="TableParagraph"/>
              <w:spacing w:before="142"/>
              <w:ind w:left="107"/>
              <w:rPr>
                <w:b/>
                <w:sz w:val="21"/>
              </w:rPr>
            </w:pPr>
            <w:r>
              <w:rPr>
                <w:b/>
                <w:sz w:val="21"/>
              </w:rPr>
              <w:t>1.2</w:t>
            </w:r>
          </w:p>
        </w:tc>
        <w:tc>
          <w:tcPr>
            <w:tcW w:w="1519" w:type="dxa"/>
          </w:tcPr>
          <w:p>
            <w:pPr>
              <w:pStyle w:val="TableParagraph"/>
              <w:spacing w:line="273" w:lineRule="auto" w:before="142"/>
              <w:ind w:left="244" w:right="94"/>
              <w:rPr>
                <w:b/>
                <w:sz w:val="21"/>
              </w:rPr>
            </w:pPr>
            <w:r>
              <w:rPr>
                <w:b/>
                <w:sz w:val="21"/>
              </w:rPr>
              <w:t>保险合同成立与生效</w:t>
            </w:r>
          </w:p>
        </w:tc>
        <w:tc>
          <w:tcPr>
            <w:tcW w:w="7553" w:type="dxa"/>
          </w:tcPr>
          <w:p>
            <w:pPr>
              <w:pStyle w:val="TableParagraph"/>
              <w:spacing w:before="142"/>
              <w:ind w:left="117"/>
              <w:rPr>
                <w:sz w:val="21"/>
              </w:rPr>
            </w:pPr>
            <w:r>
              <w:rPr>
                <w:sz w:val="21"/>
              </w:rPr>
              <w:t>您提出保险申请、我们同意承保，本附加合同成立。</w:t>
            </w:r>
          </w:p>
          <w:p>
            <w:pPr>
              <w:pStyle w:val="TableParagraph"/>
              <w:spacing w:before="8"/>
              <w:rPr>
                <w:sz w:val="26"/>
              </w:rPr>
            </w:pPr>
          </w:p>
          <w:p>
            <w:pPr>
              <w:pStyle w:val="TableParagraph"/>
              <w:spacing w:line="273" w:lineRule="auto"/>
              <w:ind w:left="117" w:right="100"/>
              <w:jc w:val="both"/>
              <w:rPr>
                <w:sz w:val="21"/>
              </w:rPr>
            </w:pPr>
            <w:r>
              <w:rPr>
                <w:spacing w:val="-5"/>
                <w:sz w:val="21"/>
              </w:rPr>
              <w:t>本附加合同自我们同意承保、收取首期保险费并签发保险单开始生效，具体生效</w:t>
            </w:r>
            <w:r>
              <w:rPr>
                <w:spacing w:val="-4"/>
                <w:sz w:val="21"/>
              </w:rPr>
              <w:t>日以保险单所载的日期为准。</w:t>
            </w:r>
          </w:p>
          <w:p>
            <w:pPr>
              <w:pStyle w:val="TableParagraph"/>
              <w:spacing w:before="5"/>
              <w:rPr>
                <w:sz w:val="24"/>
              </w:rPr>
            </w:pPr>
          </w:p>
          <w:p>
            <w:pPr>
              <w:pStyle w:val="TableParagraph"/>
              <w:spacing w:line="273" w:lineRule="auto"/>
              <w:ind w:left="117" w:right="78"/>
              <w:jc w:val="both"/>
              <w:rPr>
                <w:sz w:val="21"/>
              </w:rPr>
            </w:pPr>
            <w:r>
              <w:rPr>
                <w:spacing w:val="-5"/>
                <w:sz w:val="21"/>
              </w:rPr>
              <w:t>如果本附加合同与主合同同时投保，本附加合同的生效日与主合同相同。如果您</w:t>
            </w:r>
            <w:r>
              <w:rPr>
                <w:spacing w:val="-4"/>
                <w:sz w:val="21"/>
              </w:rPr>
              <w:t>在主合同有效期内投保本附加合同，本附加合同生效日以批注所载的日期为准。</w:t>
            </w:r>
            <w:r>
              <w:rPr>
                <w:b/>
                <w:spacing w:val="-4"/>
                <w:w w:val="100"/>
                <w:sz w:val="21"/>
              </w:rPr>
              <w:t>保单周年日</w:t>
            </w:r>
            <w:r>
              <w:rPr>
                <w:spacing w:val="-3"/>
                <w:w w:val="100"/>
                <w:sz w:val="21"/>
              </w:rPr>
              <w:t>（</w:t>
            </w:r>
            <w:r>
              <w:rPr>
                <w:w w:val="100"/>
                <w:sz w:val="21"/>
              </w:rPr>
              <w:t>见</w:t>
            </w:r>
            <w:r>
              <w:rPr>
                <w:spacing w:val="-48"/>
                <w:sz w:val="21"/>
              </w:rPr>
              <w:t> </w:t>
            </w:r>
            <w:r>
              <w:rPr>
                <w:w w:val="100"/>
                <w:sz w:val="21"/>
              </w:rPr>
              <w:t>8.</w:t>
            </w:r>
            <w:r>
              <w:rPr>
                <w:spacing w:val="-3"/>
                <w:w w:val="100"/>
                <w:sz w:val="21"/>
              </w:rPr>
              <w:t>1</w:t>
            </w:r>
            <w:r>
              <w:rPr>
                <w:spacing w:val="-106"/>
                <w:w w:val="100"/>
                <w:sz w:val="21"/>
              </w:rPr>
              <w:t>）</w:t>
            </w:r>
            <w:r>
              <w:rPr>
                <w:spacing w:val="-3"/>
                <w:w w:val="100"/>
                <w:sz w:val="21"/>
              </w:rPr>
              <w:t>、</w:t>
            </w:r>
            <w:r>
              <w:rPr>
                <w:b/>
                <w:w w:val="100"/>
                <w:sz w:val="21"/>
              </w:rPr>
              <w:t>保单年度</w:t>
            </w:r>
            <w:r>
              <w:rPr>
                <w:w w:val="100"/>
                <w:sz w:val="21"/>
              </w:rPr>
              <w:t>（见</w:t>
            </w:r>
            <w:r>
              <w:rPr>
                <w:spacing w:val="-50"/>
                <w:sz w:val="21"/>
              </w:rPr>
              <w:t> </w:t>
            </w:r>
            <w:r>
              <w:rPr>
                <w:w w:val="100"/>
                <w:sz w:val="21"/>
              </w:rPr>
              <w:t>8.2</w:t>
            </w:r>
            <w:r>
              <w:rPr>
                <w:spacing w:val="-3"/>
                <w:w w:val="100"/>
                <w:sz w:val="21"/>
              </w:rPr>
              <w:t>）和</w:t>
            </w:r>
            <w:r>
              <w:rPr>
                <w:b/>
                <w:w w:val="100"/>
                <w:sz w:val="21"/>
              </w:rPr>
              <w:t>保险费约定支付日</w:t>
            </w:r>
            <w:r>
              <w:rPr>
                <w:spacing w:val="-3"/>
                <w:w w:val="100"/>
                <w:sz w:val="21"/>
              </w:rPr>
              <w:t>（</w:t>
            </w:r>
            <w:r>
              <w:rPr>
                <w:w w:val="100"/>
                <w:sz w:val="21"/>
              </w:rPr>
              <w:t>见</w:t>
            </w:r>
            <w:r>
              <w:rPr>
                <w:spacing w:val="-47"/>
                <w:sz w:val="21"/>
              </w:rPr>
              <w:t> </w:t>
            </w:r>
            <w:r>
              <w:rPr>
                <w:w w:val="100"/>
                <w:sz w:val="21"/>
              </w:rPr>
              <w:t>8.</w:t>
            </w:r>
            <w:r>
              <w:rPr>
                <w:spacing w:val="-3"/>
                <w:w w:val="100"/>
                <w:sz w:val="21"/>
              </w:rPr>
              <w:t>3）</w:t>
            </w:r>
            <w:r>
              <w:rPr>
                <w:w w:val="100"/>
                <w:sz w:val="21"/>
              </w:rPr>
              <w:t>均以</w:t>
            </w:r>
            <w:r>
              <w:rPr>
                <w:spacing w:val="-3"/>
                <w:sz w:val="21"/>
              </w:rPr>
              <w:t>本附加合同生效日计算。如当月无对应同一日，则以该月最后一日作为对应日。</w:t>
            </w:r>
          </w:p>
        </w:tc>
      </w:tr>
      <w:tr>
        <w:trPr>
          <w:trHeight w:val="2833" w:hRule="atLeast"/>
        </w:trPr>
        <w:tc>
          <w:tcPr>
            <w:tcW w:w="709" w:type="dxa"/>
          </w:tcPr>
          <w:p>
            <w:pPr>
              <w:pStyle w:val="TableParagraph"/>
              <w:spacing w:before="142"/>
              <w:ind w:left="107"/>
              <w:rPr>
                <w:b/>
                <w:sz w:val="21"/>
              </w:rPr>
            </w:pPr>
            <w:r>
              <w:rPr>
                <w:b/>
                <w:sz w:val="21"/>
              </w:rPr>
              <w:t>1.3</w:t>
            </w:r>
          </w:p>
        </w:tc>
        <w:tc>
          <w:tcPr>
            <w:tcW w:w="1519" w:type="dxa"/>
          </w:tcPr>
          <w:p>
            <w:pPr>
              <w:pStyle w:val="TableParagraph"/>
              <w:spacing w:before="142"/>
              <w:ind w:left="244"/>
              <w:rPr>
                <w:b/>
                <w:sz w:val="21"/>
              </w:rPr>
            </w:pPr>
            <w:r>
              <w:rPr>
                <w:b/>
                <w:sz w:val="21"/>
              </w:rPr>
              <w:t>犹豫期</w:t>
            </w:r>
          </w:p>
        </w:tc>
        <w:tc>
          <w:tcPr>
            <w:tcW w:w="7553" w:type="dxa"/>
          </w:tcPr>
          <w:p>
            <w:pPr>
              <w:pStyle w:val="TableParagraph"/>
              <w:spacing w:line="273" w:lineRule="auto" w:before="142"/>
              <w:ind w:left="117" w:right="100"/>
              <w:jc w:val="both"/>
              <w:rPr>
                <w:sz w:val="21"/>
              </w:rPr>
            </w:pPr>
            <w:r>
              <w:rPr>
                <w:spacing w:val="-4"/>
                <w:sz w:val="21"/>
              </w:rPr>
              <w:t>从您首次收到本附加合同并书面签收之日起的一段时期为犹豫期，该时期以保险</w:t>
            </w:r>
            <w:r>
              <w:rPr>
                <w:spacing w:val="-5"/>
                <w:sz w:val="21"/>
              </w:rPr>
              <w:t>单上所载的日数为准。在犹豫期内请您认真审视本附加合同，如果您认为本附加</w:t>
            </w:r>
            <w:r>
              <w:rPr>
                <w:spacing w:val="-6"/>
                <w:sz w:val="21"/>
              </w:rPr>
              <w:t>合同与您的需求不相符，您可以在此期间提出解除本附加合同，我们将会扣除不</w:t>
            </w:r>
            <w:r>
              <w:rPr>
                <w:spacing w:val="-10"/>
                <w:sz w:val="21"/>
              </w:rPr>
              <w:t>超过人民币 </w:t>
            </w:r>
            <w:r>
              <w:rPr>
                <w:sz w:val="21"/>
              </w:rPr>
              <w:t>10</w:t>
            </w:r>
            <w:r>
              <w:rPr>
                <w:spacing w:val="-8"/>
                <w:sz w:val="21"/>
              </w:rPr>
              <w:t> 元的工本费后无息退还您所支付的保险费。</w:t>
            </w:r>
          </w:p>
          <w:p>
            <w:pPr>
              <w:pStyle w:val="TableParagraph"/>
              <w:spacing w:before="5"/>
              <w:rPr>
                <w:sz w:val="24"/>
              </w:rPr>
            </w:pPr>
          </w:p>
          <w:p>
            <w:pPr>
              <w:pStyle w:val="TableParagraph"/>
              <w:spacing w:line="273" w:lineRule="auto"/>
              <w:ind w:left="117" w:right="23"/>
              <w:rPr>
                <w:sz w:val="21"/>
              </w:rPr>
            </w:pPr>
            <w:r>
              <w:rPr>
                <w:spacing w:val="-6"/>
                <w:sz w:val="21"/>
              </w:rPr>
              <w:t>解除本附加合同时，您需要填写解除合同申请书，并提供您的保险合同及</w:t>
            </w:r>
            <w:r>
              <w:rPr>
                <w:b/>
                <w:sz w:val="21"/>
              </w:rPr>
              <w:t>有效身</w:t>
            </w:r>
            <w:r>
              <w:rPr>
                <w:b/>
                <w:w w:val="100"/>
                <w:sz w:val="21"/>
              </w:rPr>
              <w:t>份证件</w:t>
            </w:r>
            <w:r>
              <w:rPr>
                <w:spacing w:val="-3"/>
                <w:w w:val="100"/>
                <w:sz w:val="21"/>
              </w:rPr>
              <w:t>（</w:t>
            </w:r>
            <w:r>
              <w:rPr>
                <w:w w:val="100"/>
                <w:sz w:val="21"/>
              </w:rPr>
              <w:t>见</w:t>
            </w:r>
            <w:r>
              <w:rPr>
                <w:spacing w:val="-52"/>
                <w:sz w:val="21"/>
              </w:rPr>
              <w:t> </w:t>
            </w:r>
            <w:r>
              <w:rPr>
                <w:w w:val="100"/>
                <w:sz w:val="21"/>
              </w:rPr>
              <w:t>8.</w:t>
            </w:r>
            <w:r>
              <w:rPr>
                <w:spacing w:val="-3"/>
                <w:w w:val="100"/>
                <w:sz w:val="21"/>
              </w:rPr>
              <w:t>4</w:t>
            </w:r>
            <w:r>
              <w:rPr>
                <w:spacing w:val="-106"/>
                <w:w w:val="100"/>
                <w:sz w:val="21"/>
              </w:rPr>
              <w:t>）</w:t>
            </w:r>
            <w:r>
              <w:rPr>
                <w:spacing w:val="-3"/>
                <w:w w:val="100"/>
                <w:sz w:val="21"/>
              </w:rPr>
              <w:t>。自我们收到您的解除合同申请书时起，本附加合同即被解除，</w:t>
            </w:r>
            <w:r>
              <w:rPr>
                <w:spacing w:val="-3"/>
                <w:sz w:val="21"/>
              </w:rPr>
              <w:t>合同解除前发生的保险事故我们不承担保险责任。</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072" w:type="dxa"/>
            <w:gridSpan w:val="2"/>
            <w:tcBorders>
              <w:bottom w:val="single" w:sz="8" w:space="0" w:color="000000"/>
            </w:tcBorders>
          </w:tcPr>
          <w:p>
            <w:pPr>
              <w:pStyle w:val="TableParagraph"/>
              <w:spacing w:before="10"/>
              <w:rPr>
                <w:sz w:val="18"/>
              </w:rPr>
            </w:pPr>
          </w:p>
          <w:p>
            <w:pPr>
              <w:pStyle w:val="TableParagraph"/>
              <w:ind w:left="244"/>
              <w:rPr>
                <w:b/>
                <w:sz w:val="24"/>
              </w:rPr>
            </w:pPr>
            <w:r>
              <w:rPr>
                <w:b/>
                <w:w w:val="95"/>
                <w:sz w:val="24"/>
              </w:rPr>
              <w:t>我们提供的保障</w:t>
            </w:r>
          </w:p>
        </w:tc>
      </w:tr>
      <w:tr>
        <w:trPr>
          <w:trHeight w:val="1198" w:hRule="atLeast"/>
        </w:trPr>
        <w:tc>
          <w:tcPr>
            <w:tcW w:w="709" w:type="dxa"/>
            <w:tcBorders>
              <w:top w:val="single" w:sz="8" w:space="0" w:color="000000"/>
            </w:tcBorders>
          </w:tcPr>
          <w:p>
            <w:pPr>
              <w:pStyle w:val="TableParagraph"/>
              <w:spacing w:before="11"/>
              <w:rPr>
                <w:sz w:val="22"/>
              </w:rPr>
            </w:pPr>
          </w:p>
          <w:p>
            <w:pPr>
              <w:pStyle w:val="TableParagraph"/>
              <w:ind w:left="107"/>
              <w:rPr>
                <w:b/>
                <w:sz w:val="21"/>
              </w:rPr>
            </w:pPr>
            <w:r>
              <w:rPr>
                <w:b/>
                <w:sz w:val="21"/>
              </w:rPr>
              <w:t>2.1</w:t>
            </w:r>
          </w:p>
        </w:tc>
        <w:tc>
          <w:tcPr>
            <w:tcW w:w="1519" w:type="dxa"/>
            <w:tcBorders>
              <w:top w:val="single" w:sz="8" w:space="0" w:color="000000"/>
            </w:tcBorders>
          </w:tcPr>
          <w:p>
            <w:pPr>
              <w:pStyle w:val="TableParagraph"/>
              <w:spacing w:before="11"/>
              <w:rPr>
                <w:sz w:val="22"/>
              </w:rPr>
            </w:pPr>
          </w:p>
          <w:p>
            <w:pPr>
              <w:pStyle w:val="TableParagraph"/>
              <w:spacing w:line="273" w:lineRule="auto"/>
              <w:ind w:left="244" w:right="94"/>
              <w:rPr>
                <w:b/>
                <w:sz w:val="21"/>
              </w:rPr>
            </w:pPr>
            <w:r>
              <w:rPr>
                <w:b/>
                <w:sz w:val="21"/>
              </w:rPr>
              <w:t>保险期间和续保</w:t>
            </w:r>
          </w:p>
        </w:tc>
        <w:tc>
          <w:tcPr>
            <w:tcW w:w="7553" w:type="dxa"/>
            <w:tcBorders>
              <w:top w:val="single" w:sz="8" w:space="0" w:color="000000"/>
            </w:tcBorders>
          </w:tcPr>
          <w:p>
            <w:pPr>
              <w:pStyle w:val="TableParagraph"/>
              <w:spacing w:line="624" w:lineRule="exact" w:before="45"/>
              <w:ind w:left="98" w:right="203" w:firstLine="19"/>
              <w:rPr>
                <w:sz w:val="21"/>
              </w:rPr>
            </w:pPr>
            <w:r>
              <w:rPr>
                <w:spacing w:val="-7"/>
                <w:sz w:val="21"/>
              </w:rPr>
              <w:t>本附加合同的保险期间为 </w:t>
            </w:r>
            <w:r>
              <w:rPr>
                <w:sz w:val="21"/>
              </w:rPr>
              <w:t>1</w:t>
            </w:r>
            <w:r>
              <w:rPr>
                <w:spacing w:val="-10"/>
                <w:sz w:val="21"/>
              </w:rPr>
              <w:t> 年，自本附加合同生效日起至满期日的 </w:t>
            </w:r>
            <w:r>
              <w:rPr>
                <w:sz w:val="21"/>
              </w:rPr>
              <w:t>24</w:t>
            </w:r>
            <w:r>
              <w:rPr>
                <w:spacing w:val="-11"/>
                <w:sz w:val="21"/>
              </w:rPr>
              <w:t> 时止。自</w:t>
            </w:r>
            <w:r>
              <w:rPr>
                <w:spacing w:val="-4"/>
                <w:sz w:val="21"/>
              </w:rPr>
              <w:t>您首次投保本附加合同的生效日起，或自您非</w:t>
            </w:r>
            <w:r>
              <w:rPr>
                <w:b/>
                <w:sz w:val="21"/>
              </w:rPr>
              <w:t>连续投保</w:t>
            </w:r>
            <w:r>
              <w:rPr>
                <w:sz w:val="21"/>
              </w:rPr>
              <w:t>（</w:t>
            </w:r>
            <w:r>
              <w:rPr>
                <w:spacing w:val="-3"/>
                <w:sz w:val="21"/>
              </w:rPr>
              <w:t>见</w:t>
            </w:r>
            <w:r>
              <w:rPr>
                <w:sz w:val="21"/>
              </w:rPr>
              <w:t>8.5）</w:t>
            </w:r>
            <w:r>
              <w:rPr>
                <w:spacing w:val="-3"/>
                <w:sz w:val="21"/>
              </w:rPr>
              <w:t>本附加合同</w:t>
            </w:r>
          </w:p>
        </w:tc>
      </w:tr>
    </w:tbl>
    <w:p>
      <w:pPr>
        <w:spacing w:after="0" w:line="624" w:lineRule="exact"/>
        <w:rPr>
          <w:sz w:val="21"/>
        </w:rPr>
        <w:sectPr>
          <w:pgSz w:w="11910" w:h="16840"/>
          <w:pgMar w:top="122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478"/>
        <w:gridCol w:w="7709"/>
      </w:tblGrid>
      <w:tr>
        <w:trPr>
          <w:trHeight w:val="1353" w:hRule="atLeast"/>
        </w:trPr>
        <w:tc>
          <w:tcPr>
            <w:tcW w:w="887" w:type="dxa"/>
          </w:tcPr>
          <w:p>
            <w:pPr>
              <w:pStyle w:val="TableParagraph"/>
              <w:rPr>
                <w:rFonts w:ascii="Times New Roman"/>
                <w:sz w:val="20"/>
              </w:rPr>
            </w:pPr>
          </w:p>
        </w:tc>
        <w:tc>
          <w:tcPr>
            <w:tcW w:w="1478" w:type="dxa"/>
          </w:tcPr>
          <w:p>
            <w:pPr>
              <w:pStyle w:val="TableParagraph"/>
              <w:rPr>
                <w:rFonts w:ascii="Times New Roman"/>
                <w:sz w:val="20"/>
              </w:rPr>
            </w:pPr>
          </w:p>
        </w:tc>
        <w:tc>
          <w:tcPr>
            <w:tcW w:w="7709" w:type="dxa"/>
          </w:tcPr>
          <w:p>
            <w:pPr>
              <w:pStyle w:val="TableParagraph"/>
              <w:spacing w:line="211" w:lineRule="exact"/>
              <w:ind w:left="53"/>
              <w:rPr>
                <w:sz w:val="21"/>
              </w:rPr>
            </w:pPr>
            <w:r>
              <w:rPr>
                <w:sz w:val="21"/>
              </w:rPr>
              <w:t>的生效日起，我们保证续保至被豁免的保险合同缴费期满止。</w:t>
            </w:r>
          </w:p>
          <w:p>
            <w:pPr>
              <w:pStyle w:val="TableParagraph"/>
              <w:spacing w:before="9"/>
              <w:rPr>
                <w:sz w:val="26"/>
              </w:rPr>
            </w:pPr>
          </w:p>
          <w:p>
            <w:pPr>
              <w:pStyle w:val="TableParagraph"/>
              <w:spacing w:line="273" w:lineRule="auto"/>
              <w:ind w:left="72" w:right="301"/>
              <w:rPr>
                <w:sz w:val="21"/>
              </w:rPr>
            </w:pPr>
            <w:r>
              <w:rPr>
                <w:spacing w:val="-6"/>
                <w:sz w:val="21"/>
              </w:rPr>
              <w:t>在保证续保期间，您可于保险期间届满时，按续保时年龄对应的费率向我们支付</w:t>
            </w:r>
            <w:r>
              <w:rPr>
                <w:spacing w:val="-4"/>
                <w:sz w:val="21"/>
              </w:rPr>
              <w:t>续保保险费，则本附加合同将延续有效。</w:t>
            </w:r>
          </w:p>
        </w:tc>
      </w:tr>
      <w:tr>
        <w:trPr>
          <w:trHeight w:val="603" w:hRule="atLeast"/>
        </w:trPr>
        <w:tc>
          <w:tcPr>
            <w:tcW w:w="887" w:type="dxa"/>
          </w:tcPr>
          <w:p>
            <w:pPr>
              <w:pStyle w:val="TableParagraph"/>
              <w:spacing w:before="142"/>
              <w:ind w:left="200"/>
              <w:rPr>
                <w:b/>
                <w:sz w:val="21"/>
              </w:rPr>
            </w:pPr>
            <w:r>
              <w:rPr>
                <w:b/>
                <w:sz w:val="21"/>
              </w:rPr>
              <w:t>2.2</w:t>
            </w:r>
          </w:p>
        </w:tc>
        <w:tc>
          <w:tcPr>
            <w:tcW w:w="1478" w:type="dxa"/>
          </w:tcPr>
          <w:p>
            <w:pPr>
              <w:pStyle w:val="TableParagraph"/>
              <w:spacing w:before="142"/>
              <w:ind w:left="158"/>
              <w:rPr>
                <w:b/>
                <w:sz w:val="21"/>
              </w:rPr>
            </w:pPr>
            <w:r>
              <w:rPr>
                <w:b/>
                <w:sz w:val="21"/>
              </w:rPr>
              <w:t>投保条件</w:t>
            </w:r>
          </w:p>
        </w:tc>
        <w:tc>
          <w:tcPr>
            <w:tcW w:w="7709" w:type="dxa"/>
          </w:tcPr>
          <w:p>
            <w:pPr>
              <w:pStyle w:val="TableParagraph"/>
              <w:spacing w:before="142"/>
              <w:ind w:left="72"/>
              <w:rPr>
                <w:sz w:val="21"/>
              </w:rPr>
            </w:pPr>
            <w:r>
              <w:rPr>
                <w:sz w:val="21"/>
              </w:rPr>
              <w:t>您和被保险人必须符合以下条件：</w:t>
            </w:r>
          </w:p>
        </w:tc>
      </w:tr>
      <w:tr>
        <w:trPr>
          <w:trHeight w:val="966" w:hRule="atLeast"/>
        </w:trPr>
        <w:tc>
          <w:tcPr>
            <w:tcW w:w="887" w:type="dxa"/>
          </w:tcPr>
          <w:p>
            <w:pPr>
              <w:pStyle w:val="TableParagraph"/>
              <w:rPr>
                <w:rFonts w:ascii="Times New Roman"/>
                <w:sz w:val="20"/>
              </w:rPr>
            </w:pPr>
          </w:p>
        </w:tc>
        <w:tc>
          <w:tcPr>
            <w:tcW w:w="1478" w:type="dxa"/>
          </w:tcPr>
          <w:p>
            <w:pPr>
              <w:pStyle w:val="TableParagraph"/>
              <w:spacing w:line="136" w:lineRule="auto" w:before="200"/>
              <w:ind w:left="158" w:right="69"/>
              <w:rPr>
                <w:rFonts w:ascii="Microsoft JhengHei" w:eastAsia="Microsoft JhengHei" w:hint="eastAsia"/>
                <w:b/>
                <w:sz w:val="24"/>
              </w:rPr>
            </w:pPr>
            <w:r>
              <w:rPr>
                <w:rFonts w:ascii="Microsoft JhengHei" w:eastAsia="Microsoft JhengHei" w:hint="eastAsia"/>
                <w:b/>
                <w:sz w:val="24"/>
              </w:rPr>
              <w:t>投 保 人 条件</w:t>
            </w:r>
          </w:p>
        </w:tc>
        <w:tc>
          <w:tcPr>
            <w:tcW w:w="7709" w:type="dxa"/>
          </w:tcPr>
          <w:p>
            <w:pPr>
              <w:pStyle w:val="TableParagraph"/>
              <w:spacing w:line="273" w:lineRule="auto" w:before="173"/>
              <w:ind w:left="72" w:right="225"/>
              <w:rPr>
                <w:sz w:val="21"/>
              </w:rPr>
            </w:pPr>
            <w:r>
              <w:rPr>
                <w:spacing w:val="-2"/>
                <w:w w:val="100"/>
                <w:sz w:val="21"/>
              </w:rPr>
              <w:t>凡年满</w:t>
            </w:r>
            <w:r>
              <w:rPr>
                <w:spacing w:val="-2"/>
                <w:sz w:val="21"/>
              </w:rPr>
              <w:t> </w:t>
            </w:r>
            <w:r>
              <w:rPr>
                <w:w w:val="100"/>
                <w:sz w:val="21"/>
              </w:rPr>
              <w:t>18</w:t>
            </w:r>
            <w:r>
              <w:rPr>
                <w:sz w:val="21"/>
              </w:rPr>
              <w:t> </w:t>
            </w:r>
            <w:r>
              <w:rPr>
                <w:b/>
                <w:w w:val="100"/>
                <w:sz w:val="21"/>
              </w:rPr>
              <w:t>周岁</w:t>
            </w:r>
            <w:r>
              <w:rPr>
                <w:spacing w:val="-3"/>
                <w:w w:val="100"/>
                <w:sz w:val="21"/>
              </w:rPr>
              <w:t>（</w:t>
            </w:r>
            <w:r>
              <w:rPr>
                <w:w w:val="100"/>
                <w:sz w:val="21"/>
              </w:rPr>
              <w:t>见</w:t>
            </w:r>
            <w:r>
              <w:rPr>
                <w:sz w:val="21"/>
              </w:rPr>
              <w:t> </w:t>
            </w:r>
            <w:r>
              <w:rPr>
                <w:w w:val="100"/>
                <w:sz w:val="21"/>
              </w:rPr>
              <w:t>8.</w:t>
            </w:r>
            <w:r>
              <w:rPr>
                <w:spacing w:val="-3"/>
                <w:w w:val="100"/>
                <w:sz w:val="21"/>
              </w:rPr>
              <w:t>6</w:t>
            </w:r>
            <w:r>
              <w:rPr>
                <w:spacing w:val="-108"/>
                <w:w w:val="100"/>
                <w:sz w:val="21"/>
              </w:rPr>
              <w:t>）</w:t>
            </w:r>
            <w:r>
              <w:rPr>
                <w:spacing w:val="-3"/>
                <w:w w:val="100"/>
                <w:sz w:val="21"/>
              </w:rPr>
              <w:t>，具有完全民事行为能力且对被保险人具有保险利益的</w:t>
            </w:r>
            <w:r>
              <w:rPr>
                <w:spacing w:val="-3"/>
                <w:sz w:val="21"/>
              </w:rPr>
              <w:t>人，均可作为本附加合同的投保人。</w:t>
            </w:r>
          </w:p>
        </w:tc>
      </w:tr>
      <w:tr>
        <w:trPr>
          <w:trHeight w:val="972" w:hRule="atLeast"/>
        </w:trPr>
        <w:tc>
          <w:tcPr>
            <w:tcW w:w="887" w:type="dxa"/>
          </w:tcPr>
          <w:p>
            <w:pPr>
              <w:pStyle w:val="TableParagraph"/>
              <w:rPr>
                <w:rFonts w:ascii="Times New Roman"/>
                <w:sz w:val="20"/>
              </w:rPr>
            </w:pPr>
          </w:p>
        </w:tc>
        <w:tc>
          <w:tcPr>
            <w:tcW w:w="1478" w:type="dxa"/>
          </w:tcPr>
          <w:p>
            <w:pPr>
              <w:pStyle w:val="TableParagraph"/>
              <w:spacing w:line="182" w:lineRule="auto" w:before="155"/>
              <w:ind w:left="158" w:right="69"/>
              <w:rPr>
                <w:rFonts w:ascii="Microsoft JhengHei" w:eastAsia="Microsoft JhengHei" w:hint="eastAsia"/>
                <w:b/>
                <w:sz w:val="24"/>
              </w:rPr>
            </w:pPr>
            <w:r>
              <w:rPr>
                <w:rFonts w:ascii="Microsoft JhengHei" w:eastAsia="Microsoft JhengHei" w:hint="eastAsia"/>
                <w:b/>
                <w:sz w:val="24"/>
              </w:rPr>
              <w:t>被 保 险 人条件</w:t>
            </w:r>
          </w:p>
        </w:tc>
        <w:tc>
          <w:tcPr>
            <w:tcW w:w="7709" w:type="dxa"/>
          </w:tcPr>
          <w:p>
            <w:pPr>
              <w:pStyle w:val="TableParagraph"/>
              <w:spacing w:before="142"/>
              <w:ind w:left="72"/>
              <w:rPr>
                <w:sz w:val="21"/>
              </w:rPr>
            </w:pPr>
            <w:r>
              <w:rPr>
                <w:sz w:val="21"/>
              </w:rPr>
              <w:t>凡投保时身体健康，且符合我们承保条件的人，均可作为本附加合同的被保险人。</w:t>
            </w:r>
          </w:p>
        </w:tc>
      </w:tr>
      <w:tr>
        <w:trPr>
          <w:trHeight w:val="1857" w:hRule="atLeast"/>
        </w:trPr>
        <w:tc>
          <w:tcPr>
            <w:tcW w:w="887" w:type="dxa"/>
          </w:tcPr>
          <w:p>
            <w:pPr>
              <w:pStyle w:val="TableParagraph"/>
              <w:spacing w:before="120"/>
              <w:ind w:left="200"/>
              <w:rPr>
                <w:b/>
                <w:sz w:val="21"/>
              </w:rPr>
            </w:pPr>
            <w:r>
              <w:rPr>
                <w:b/>
                <w:sz w:val="21"/>
              </w:rPr>
              <w:t>2.3</w:t>
            </w:r>
          </w:p>
        </w:tc>
        <w:tc>
          <w:tcPr>
            <w:tcW w:w="1478" w:type="dxa"/>
          </w:tcPr>
          <w:p>
            <w:pPr>
              <w:pStyle w:val="TableParagraph"/>
              <w:spacing w:before="120"/>
              <w:ind w:left="158"/>
              <w:rPr>
                <w:b/>
                <w:sz w:val="21"/>
              </w:rPr>
            </w:pPr>
            <w:r>
              <w:rPr>
                <w:b/>
                <w:sz w:val="21"/>
              </w:rPr>
              <w:t>保险责任</w:t>
            </w:r>
          </w:p>
        </w:tc>
        <w:tc>
          <w:tcPr>
            <w:tcW w:w="7709" w:type="dxa"/>
          </w:tcPr>
          <w:p>
            <w:pPr>
              <w:pStyle w:val="TableParagraph"/>
              <w:spacing w:line="273" w:lineRule="auto" w:before="120"/>
              <w:ind w:left="72" w:right="301"/>
              <w:jc w:val="both"/>
              <w:rPr>
                <w:sz w:val="21"/>
              </w:rPr>
            </w:pPr>
            <w:r>
              <w:rPr>
                <w:spacing w:val="-5"/>
                <w:sz w:val="21"/>
              </w:rPr>
              <w:t>本附加合同的保险责任分为基本部分和可选部分。在投保基本部分的基础上，您</w:t>
            </w:r>
            <w:r>
              <w:rPr>
                <w:spacing w:val="-6"/>
                <w:sz w:val="21"/>
              </w:rPr>
              <w:t>可与我们约定选择投保可选部分，所选择的内容以在保险单中载明的为准。所选</w:t>
            </w:r>
            <w:r>
              <w:rPr>
                <w:spacing w:val="-4"/>
                <w:sz w:val="21"/>
              </w:rPr>
              <w:t>的保险责任一经确定，在本附加合同有效期间内不得更改。</w:t>
            </w:r>
          </w:p>
          <w:p>
            <w:pPr>
              <w:pStyle w:val="TableParagraph"/>
              <w:spacing w:before="4"/>
              <w:rPr>
                <w:sz w:val="24"/>
              </w:rPr>
            </w:pPr>
          </w:p>
          <w:p>
            <w:pPr>
              <w:pStyle w:val="TableParagraph"/>
              <w:spacing w:before="1"/>
              <w:ind w:left="72"/>
              <w:jc w:val="both"/>
              <w:rPr>
                <w:sz w:val="21"/>
              </w:rPr>
            </w:pPr>
            <w:r>
              <w:rPr>
                <w:sz w:val="21"/>
              </w:rPr>
              <w:t>在本附加合同有效期内，我们承担如下保险责任：</w:t>
            </w:r>
          </w:p>
        </w:tc>
      </w:tr>
      <w:tr>
        <w:trPr>
          <w:trHeight w:val="651" w:hRule="atLeast"/>
        </w:trPr>
        <w:tc>
          <w:tcPr>
            <w:tcW w:w="887" w:type="dxa"/>
          </w:tcPr>
          <w:p>
            <w:pPr>
              <w:pStyle w:val="TableParagraph"/>
              <w:rPr>
                <w:rFonts w:ascii="Times New Roman"/>
                <w:sz w:val="20"/>
              </w:rPr>
            </w:pPr>
          </w:p>
        </w:tc>
        <w:tc>
          <w:tcPr>
            <w:tcW w:w="1478" w:type="dxa"/>
          </w:tcPr>
          <w:p>
            <w:pPr>
              <w:pStyle w:val="TableParagraph"/>
              <w:spacing w:before="48"/>
              <w:ind w:left="158"/>
              <w:rPr>
                <w:rFonts w:ascii="Microsoft JhengHei" w:eastAsia="Microsoft JhengHei" w:hint="eastAsia"/>
                <w:b/>
                <w:sz w:val="24"/>
              </w:rPr>
            </w:pPr>
            <w:r>
              <w:rPr>
                <w:rFonts w:ascii="Microsoft JhengHei" w:eastAsia="Microsoft JhengHei" w:hint="eastAsia"/>
                <w:b/>
                <w:sz w:val="24"/>
              </w:rPr>
              <w:t>基本部分</w:t>
            </w:r>
          </w:p>
        </w:tc>
        <w:tc>
          <w:tcPr>
            <w:tcW w:w="7709" w:type="dxa"/>
          </w:tcPr>
          <w:p>
            <w:pPr>
              <w:pStyle w:val="TableParagraph"/>
              <w:rPr>
                <w:rFonts w:ascii="Times New Roman"/>
                <w:sz w:val="20"/>
              </w:rPr>
            </w:pPr>
          </w:p>
        </w:tc>
      </w:tr>
      <w:tr>
        <w:trPr>
          <w:trHeight w:val="4049" w:hRule="atLeast"/>
        </w:trPr>
        <w:tc>
          <w:tcPr>
            <w:tcW w:w="887" w:type="dxa"/>
          </w:tcPr>
          <w:p>
            <w:pPr>
              <w:pStyle w:val="TableParagraph"/>
              <w:spacing w:before="125"/>
              <w:ind w:left="200"/>
              <w:rPr>
                <w:b/>
                <w:sz w:val="21"/>
              </w:rPr>
            </w:pPr>
            <w:r>
              <w:rPr>
                <w:b/>
                <w:sz w:val="21"/>
              </w:rPr>
              <w:t>2.3.1</w:t>
            </w:r>
          </w:p>
        </w:tc>
        <w:tc>
          <w:tcPr>
            <w:tcW w:w="1478" w:type="dxa"/>
          </w:tcPr>
          <w:p>
            <w:pPr>
              <w:pStyle w:val="TableParagraph"/>
              <w:spacing w:line="184" w:lineRule="auto" w:before="134"/>
              <w:ind w:left="158" w:right="357"/>
              <w:jc w:val="both"/>
              <w:rPr>
                <w:rFonts w:ascii="Microsoft JhengHei" w:eastAsia="Microsoft JhengHei" w:hint="eastAsia"/>
                <w:b/>
                <w:sz w:val="24"/>
              </w:rPr>
            </w:pPr>
            <w:r>
              <w:rPr>
                <w:rFonts w:ascii="Microsoft JhengHei" w:eastAsia="Microsoft JhengHei" w:hint="eastAsia"/>
                <w:b/>
                <w:sz w:val="24"/>
              </w:rPr>
              <w:t>重大疾病豁免保险费</w:t>
            </w:r>
          </w:p>
        </w:tc>
        <w:tc>
          <w:tcPr>
            <w:tcW w:w="7709" w:type="dxa"/>
          </w:tcPr>
          <w:p>
            <w:pPr>
              <w:pStyle w:val="TableParagraph"/>
              <w:spacing w:before="125"/>
              <w:ind w:left="72"/>
              <w:rPr>
                <w:sz w:val="21"/>
              </w:rPr>
            </w:pPr>
            <w:r>
              <w:rPr>
                <w:sz w:val="21"/>
              </w:rPr>
              <w:t>被保险人于本附加合同生效之日起 90 日内（含 90 日当日）因</w:t>
            </w:r>
            <w:r>
              <w:rPr>
                <w:b/>
                <w:sz w:val="21"/>
              </w:rPr>
              <w:t>意外伤害事故</w:t>
            </w:r>
            <w:r>
              <w:rPr>
                <w:sz w:val="21"/>
              </w:rPr>
              <w:t>（见</w:t>
            </w:r>
          </w:p>
          <w:p>
            <w:pPr>
              <w:pStyle w:val="TableParagraph"/>
              <w:spacing w:line="273" w:lineRule="auto" w:before="36"/>
              <w:ind w:left="72" w:right="198"/>
              <w:rPr>
                <w:sz w:val="21"/>
              </w:rPr>
            </w:pPr>
            <w:r>
              <w:rPr>
                <w:w w:val="100"/>
                <w:sz w:val="21"/>
              </w:rPr>
              <w:t>8.7</w:t>
            </w:r>
            <w:r>
              <w:rPr>
                <w:spacing w:val="-29"/>
                <w:w w:val="100"/>
                <w:sz w:val="21"/>
              </w:rPr>
              <w:t>）</w:t>
            </w:r>
            <w:r>
              <w:rPr>
                <w:spacing w:val="-3"/>
                <w:w w:val="100"/>
                <w:sz w:val="21"/>
              </w:rPr>
              <w:t>以外的原因患本附加合同约定的</w:t>
            </w:r>
            <w:r>
              <w:rPr>
                <w:b/>
                <w:spacing w:val="-7"/>
                <w:w w:val="100"/>
                <w:sz w:val="21"/>
              </w:rPr>
              <w:t>重大疾病</w:t>
            </w:r>
            <w:r>
              <w:rPr>
                <w:spacing w:val="-3"/>
                <w:w w:val="100"/>
                <w:sz w:val="21"/>
              </w:rPr>
              <w:t>（</w:t>
            </w:r>
            <w:r>
              <w:rPr>
                <w:w w:val="100"/>
                <w:sz w:val="21"/>
              </w:rPr>
              <w:t>见</w:t>
            </w:r>
            <w:r>
              <w:rPr>
                <w:spacing w:val="-53"/>
                <w:sz w:val="21"/>
              </w:rPr>
              <w:t> </w:t>
            </w:r>
            <w:r>
              <w:rPr>
                <w:spacing w:val="-3"/>
                <w:w w:val="100"/>
                <w:sz w:val="21"/>
              </w:rPr>
              <w:t>8</w:t>
            </w:r>
            <w:r>
              <w:rPr>
                <w:w w:val="100"/>
                <w:sz w:val="21"/>
              </w:rPr>
              <w:t>.8</w:t>
            </w:r>
            <w:r>
              <w:rPr>
                <w:spacing w:val="-106"/>
                <w:w w:val="100"/>
                <w:sz w:val="21"/>
              </w:rPr>
              <w:t>）</w:t>
            </w:r>
            <w:r>
              <w:rPr>
                <w:spacing w:val="-6"/>
                <w:w w:val="100"/>
                <w:sz w:val="21"/>
              </w:rPr>
              <w:t>，我们不承担保险责任，</w:t>
            </w:r>
            <w:r>
              <w:rPr>
                <w:spacing w:val="-3"/>
                <w:sz w:val="21"/>
              </w:rPr>
              <w:t>我们向您退还本附加合同已交保险费，本附加合同终止。</w:t>
            </w:r>
          </w:p>
          <w:p>
            <w:pPr>
              <w:pStyle w:val="TableParagraph"/>
              <w:spacing w:before="5"/>
              <w:rPr>
                <w:sz w:val="24"/>
              </w:rPr>
            </w:pPr>
          </w:p>
          <w:p>
            <w:pPr>
              <w:pStyle w:val="TableParagraph"/>
              <w:spacing w:line="273" w:lineRule="auto"/>
              <w:ind w:left="72" w:right="303"/>
              <w:jc w:val="both"/>
              <w:rPr>
                <w:sz w:val="21"/>
              </w:rPr>
            </w:pPr>
            <w:r>
              <w:rPr>
                <w:spacing w:val="-6"/>
                <w:sz w:val="21"/>
              </w:rPr>
              <w:t>被保险人于本附加合同生效之日起 </w:t>
            </w:r>
            <w:r>
              <w:rPr>
                <w:sz w:val="21"/>
              </w:rPr>
              <w:t>90</w:t>
            </w:r>
            <w:r>
              <w:rPr>
                <w:spacing w:val="-8"/>
                <w:sz w:val="21"/>
              </w:rPr>
              <w:t> 日后因意外伤害事故以外的原因导致被保</w:t>
            </w:r>
            <w:r>
              <w:rPr>
                <w:spacing w:val="-2"/>
                <w:sz w:val="21"/>
              </w:rPr>
              <w:t>险人</w:t>
            </w:r>
            <w:r>
              <w:rPr>
                <w:b/>
                <w:sz w:val="21"/>
              </w:rPr>
              <w:t>初次发生</w:t>
            </w:r>
            <w:r>
              <w:rPr>
                <w:spacing w:val="-17"/>
                <w:sz w:val="21"/>
              </w:rPr>
              <w:t>(见 </w:t>
            </w:r>
            <w:r>
              <w:rPr>
                <w:sz w:val="21"/>
              </w:rPr>
              <w:t>8.9）</w:t>
            </w:r>
            <w:r>
              <w:rPr>
                <w:spacing w:val="-3"/>
                <w:sz w:val="21"/>
              </w:rPr>
              <w:t>并被</w:t>
            </w:r>
            <w:r>
              <w:rPr>
                <w:b/>
                <w:sz w:val="21"/>
              </w:rPr>
              <w:t>医院</w:t>
            </w:r>
            <w:r>
              <w:rPr>
                <w:spacing w:val="-3"/>
                <w:sz w:val="21"/>
              </w:rPr>
              <w:t>（</w:t>
            </w:r>
            <w:r>
              <w:rPr>
                <w:spacing w:val="-23"/>
                <w:sz w:val="21"/>
              </w:rPr>
              <w:t>见 </w:t>
            </w:r>
            <w:r>
              <w:rPr>
                <w:sz w:val="21"/>
              </w:rPr>
              <w:t>8.10）</w:t>
            </w:r>
            <w:r>
              <w:rPr>
                <w:spacing w:val="-3"/>
                <w:sz w:val="21"/>
              </w:rPr>
              <w:t>的</w:t>
            </w:r>
            <w:r>
              <w:rPr>
                <w:b/>
                <w:sz w:val="21"/>
              </w:rPr>
              <w:t>专科医生</w:t>
            </w:r>
            <w:r>
              <w:rPr>
                <w:sz w:val="21"/>
              </w:rPr>
              <w:t>（</w:t>
            </w:r>
            <w:r>
              <w:rPr>
                <w:spacing w:val="-25"/>
                <w:sz w:val="21"/>
              </w:rPr>
              <w:t>见 </w:t>
            </w:r>
            <w:r>
              <w:rPr>
                <w:sz w:val="21"/>
              </w:rPr>
              <w:t>8.11）</w:t>
            </w:r>
            <w:r>
              <w:rPr>
                <w:spacing w:val="-3"/>
                <w:sz w:val="21"/>
              </w:rPr>
              <w:t>确诊患有本</w:t>
            </w:r>
            <w:r>
              <w:rPr>
                <w:spacing w:val="-5"/>
                <w:sz w:val="21"/>
              </w:rPr>
              <w:t>附加合同约定的重大疾病，我们豁免自</w:t>
            </w:r>
            <w:r>
              <w:rPr>
                <w:b/>
                <w:spacing w:val="-8"/>
                <w:sz w:val="21"/>
              </w:rPr>
              <w:t>确诊日</w:t>
            </w:r>
            <w:r>
              <w:rPr>
                <w:spacing w:val="-3"/>
                <w:sz w:val="21"/>
              </w:rPr>
              <w:t>（</w:t>
            </w:r>
            <w:r>
              <w:rPr>
                <w:spacing w:val="-12"/>
                <w:sz w:val="21"/>
              </w:rPr>
              <w:t>见 </w:t>
            </w:r>
            <w:r>
              <w:rPr>
                <w:spacing w:val="-7"/>
                <w:sz w:val="21"/>
              </w:rPr>
              <w:t>8.12）</w:t>
            </w:r>
            <w:r>
              <w:rPr>
                <w:spacing w:val="-3"/>
                <w:sz w:val="21"/>
              </w:rPr>
              <w:t>后您应交的被豁免合同的剩余各期保险费，本附加合同终止。</w:t>
            </w:r>
          </w:p>
          <w:p>
            <w:pPr>
              <w:pStyle w:val="TableParagraph"/>
              <w:spacing w:before="5"/>
              <w:rPr>
                <w:sz w:val="24"/>
              </w:rPr>
            </w:pPr>
          </w:p>
          <w:p>
            <w:pPr>
              <w:pStyle w:val="TableParagraph"/>
              <w:spacing w:line="273" w:lineRule="auto"/>
              <w:ind w:left="72" w:right="301"/>
              <w:rPr>
                <w:sz w:val="21"/>
              </w:rPr>
            </w:pPr>
            <w:r>
              <w:rPr>
                <w:spacing w:val="-3"/>
                <w:sz w:val="21"/>
              </w:rPr>
              <w:t>连续投保或因意外伤害事故导致被保险人初次发生并被医院的专科医生确诊患 </w:t>
            </w:r>
            <w:r>
              <w:rPr>
                <w:spacing w:val="-5"/>
                <w:sz w:val="21"/>
              </w:rPr>
              <w:t>有本附加合同约定的重大疾病，我们豁免自确诊日后您应交的被豁免合同的剩余</w:t>
            </w:r>
            <w:r>
              <w:rPr>
                <w:spacing w:val="-3"/>
                <w:sz w:val="21"/>
              </w:rPr>
              <w:t>各期保险费，本附加合同终止。</w:t>
            </w:r>
          </w:p>
        </w:tc>
      </w:tr>
      <w:tr>
        <w:trPr>
          <w:trHeight w:val="653" w:hRule="atLeast"/>
        </w:trPr>
        <w:tc>
          <w:tcPr>
            <w:tcW w:w="887" w:type="dxa"/>
          </w:tcPr>
          <w:p>
            <w:pPr>
              <w:pStyle w:val="TableParagraph"/>
              <w:rPr>
                <w:rFonts w:ascii="Times New Roman"/>
                <w:sz w:val="20"/>
              </w:rPr>
            </w:pPr>
          </w:p>
        </w:tc>
        <w:tc>
          <w:tcPr>
            <w:tcW w:w="1478" w:type="dxa"/>
          </w:tcPr>
          <w:p>
            <w:pPr>
              <w:pStyle w:val="TableParagraph"/>
              <w:spacing w:before="52"/>
              <w:ind w:left="158"/>
              <w:rPr>
                <w:rFonts w:ascii="Microsoft JhengHei" w:eastAsia="Microsoft JhengHei" w:hint="eastAsia"/>
                <w:b/>
                <w:sz w:val="24"/>
              </w:rPr>
            </w:pPr>
            <w:r>
              <w:rPr>
                <w:rFonts w:ascii="Microsoft JhengHei" w:eastAsia="Microsoft JhengHei" w:hint="eastAsia"/>
                <w:b/>
                <w:sz w:val="24"/>
              </w:rPr>
              <w:t>可选部分</w:t>
            </w:r>
          </w:p>
        </w:tc>
        <w:tc>
          <w:tcPr>
            <w:tcW w:w="7709" w:type="dxa"/>
          </w:tcPr>
          <w:p>
            <w:pPr>
              <w:pStyle w:val="TableParagraph"/>
              <w:rPr>
                <w:rFonts w:ascii="Times New Roman"/>
                <w:sz w:val="20"/>
              </w:rPr>
            </w:pPr>
          </w:p>
        </w:tc>
      </w:tr>
      <w:tr>
        <w:trPr>
          <w:trHeight w:val="3210" w:hRule="atLeast"/>
        </w:trPr>
        <w:tc>
          <w:tcPr>
            <w:tcW w:w="887" w:type="dxa"/>
          </w:tcPr>
          <w:p>
            <w:pPr>
              <w:pStyle w:val="TableParagraph"/>
              <w:spacing w:before="127"/>
              <w:ind w:left="200"/>
              <w:rPr>
                <w:b/>
                <w:sz w:val="21"/>
              </w:rPr>
            </w:pPr>
            <w:r>
              <w:rPr>
                <w:b/>
                <w:sz w:val="21"/>
              </w:rPr>
              <w:t>2.3.2</w:t>
            </w:r>
          </w:p>
        </w:tc>
        <w:tc>
          <w:tcPr>
            <w:tcW w:w="1478" w:type="dxa"/>
          </w:tcPr>
          <w:p>
            <w:pPr>
              <w:pStyle w:val="TableParagraph"/>
              <w:spacing w:line="172" w:lineRule="auto" w:before="140"/>
              <w:ind w:left="158" w:right="357"/>
              <w:rPr>
                <w:rFonts w:ascii="Microsoft JhengHei" w:eastAsia="Microsoft JhengHei" w:hint="eastAsia"/>
                <w:b/>
                <w:sz w:val="24"/>
              </w:rPr>
            </w:pPr>
            <w:r>
              <w:rPr>
                <w:rFonts w:ascii="Microsoft JhengHei" w:eastAsia="Microsoft JhengHei" w:hint="eastAsia"/>
                <w:b/>
                <w:sz w:val="24"/>
              </w:rPr>
              <w:t>身故豁免保险费</w:t>
            </w:r>
          </w:p>
        </w:tc>
        <w:tc>
          <w:tcPr>
            <w:tcW w:w="7709" w:type="dxa"/>
          </w:tcPr>
          <w:p>
            <w:pPr>
              <w:pStyle w:val="TableParagraph"/>
              <w:spacing w:line="273" w:lineRule="auto" w:before="127"/>
              <w:ind w:left="72" w:right="279"/>
              <w:jc w:val="both"/>
              <w:rPr>
                <w:sz w:val="21"/>
              </w:rPr>
            </w:pPr>
            <w:r>
              <w:rPr>
                <w:spacing w:val="-6"/>
                <w:sz w:val="21"/>
              </w:rPr>
              <w:t>被保险人于本附加合同生效之日起 </w:t>
            </w:r>
            <w:r>
              <w:rPr>
                <w:sz w:val="21"/>
              </w:rPr>
              <w:t>90</w:t>
            </w:r>
            <w:r>
              <w:rPr>
                <w:spacing w:val="-21"/>
                <w:sz w:val="21"/>
              </w:rPr>
              <w:t> 日内</w:t>
            </w:r>
            <w:r>
              <w:rPr>
                <w:sz w:val="21"/>
              </w:rPr>
              <w:t>（</w:t>
            </w:r>
            <w:r>
              <w:rPr>
                <w:spacing w:val="-24"/>
                <w:sz w:val="21"/>
              </w:rPr>
              <w:t>含 </w:t>
            </w:r>
            <w:r>
              <w:rPr>
                <w:sz w:val="21"/>
              </w:rPr>
              <w:t>90</w:t>
            </w:r>
            <w:r>
              <w:rPr>
                <w:spacing w:val="-13"/>
                <w:sz w:val="21"/>
              </w:rPr>
              <w:t> 日当日）</w:t>
            </w:r>
            <w:r>
              <w:rPr>
                <w:spacing w:val="-3"/>
                <w:sz w:val="21"/>
              </w:rPr>
              <w:t>因意外伤害事故以外的原因导致身故，我们不承担保险责任，我们向您退还本附加合同已交保险费， 本附加合同终止。</w:t>
            </w:r>
          </w:p>
          <w:p>
            <w:pPr>
              <w:pStyle w:val="TableParagraph"/>
              <w:spacing w:before="5"/>
              <w:rPr>
                <w:sz w:val="24"/>
              </w:rPr>
            </w:pPr>
          </w:p>
          <w:p>
            <w:pPr>
              <w:pStyle w:val="TableParagraph"/>
              <w:spacing w:line="273" w:lineRule="auto"/>
              <w:ind w:left="72" w:right="301"/>
              <w:rPr>
                <w:sz w:val="21"/>
              </w:rPr>
            </w:pPr>
            <w:r>
              <w:rPr>
                <w:spacing w:val="-6"/>
                <w:sz w:val="21"/>
              </w:rPr>
              <w:t>被保险人于本附加合同生效之日起 </w:t>
            </w:r>
            <w:r>
              <w:rPr>
                <w:sz w:val="21"/>
              </w:rPr>
              <w:t>90</w:t>
            </w:r>
            <w:r>
              <w:rPr>
                <w:spacing w:val="-8"/>
                <w:sz w:val="21"/>
              </w:rPr>
              <w:t> 日后因意外伤害事故以外的原因导致被保</w:t>
            </w:r>
            <w:r>
              <w:rPr>
                <w:spacing w:val="-5"/>
                <w:sz w:val="21"/>
              </w:rPr>
              <w:t>险人身故，我们豁免身故日以后您应交的被豁免合同的剩余各期保险费，本附加</w:t>
            </w:r>
            <w:r>
              <w:rPr>
                <w:spacing w:val="-4"/>
                <w:sz w:val="21"/>
              </w:rPr>
              <w:t>合同终止。</w:t>
            </w:r>
          </w:p>
          <w:p>
            <w:pPr>
              <w:pStyle w:val="TableParagraph"/>
              <w:spacing w:before="9"/>
              <w:rPr>
                <w:sz w:val="21"/>
              </w:rPr>
            </w:pPr>
          </w:p>
          <w:p>
            <w:pPr>
              <w:pStyle w:val="TableParagraph"/>
              <w:spacing w:line="310" w:lineRule="atLeast"/>
              <w:ind w:left="72" w:right="253"/>
              <w:rPr>
                <w:sz w:val="21"/>
              </w:rPr>
            </w:pPr>
            <w:r>
              <w:rPr>
                <w:sz w:val="21"/>
              </w:rPr>
              <w:t>连续投保或因意外伤害事故导致被保险人身故，我们豁免身故日以后您应交的被豁免合同的剩余各期保险费，本附加合同终止。</w:t>
            </w:r>
          </w:p>
        </w:tc>
      </w:tr>
    </w:tbl>
    <w:p>
      <w:pPr>
        <w:spacing w:after="0" w:line="310" w:lineRule="atLeast"/>
        <w:rPr>
          <w:sz w:val="21"/>
        </w:rPr>
        <w:sectPr>
          <w:pgSz w:w="11910" w:h="16840"/>
          <w:pgMar w:top="1160" w:bottom="280" w:left="72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282"/>
        <w:gridCol w:w="7624"/>
      </w:tblGrid>
      <w:tr>
        <w:trPr>
          <w:trHeight w:val="3541" w:hRule="atLeast"/>
        </w:trPr>
        <w:tc>
          <w:tcPr>
            <w:tcW w:w="887" w:type="dxa"/>
          </w:tcPr>
          <w:p>
            <w:pPr>
              <w:pStyle w:val="TableParagraph"/>
              <w:spacing w:line="209" w:lineRule="exact"/>
              <w:ind w:left="200"/>
              <w:rPr>
                <w:b/>
                <w:sz w:val="21"/>
              </w:rPr>
            </w:pPr>
            <w:r>
              <w:rPr>
                <w:b/>
                <w:sz w:val="21"/>
              </w:rPr>
              <w:t>2.3.3</w:t>
            </w:r>
          </w:p>
        </w:tc>
        <w:tc>
          <w:tcPr>
            <w:tcW w:w="1282" w:type="dxa"/>
          </w:tcPr>
          <w:p>
            <w:pPr>
              <w:pStyle w:val="TableParagraph"/>
              <w:spacing w:line="189" w:lineRule="exact"/>
              <w:ind w:left="158"/>
              <w:rPr>
                <w:rFonts w:ascii="Microsoft JhengHei" w:eastAsia="Microsoft JhengHei" w:hint="eastAsia"/>
                <w:b/>
                <w:sz w:val="24"/>
              </w:rPr>
            </w:pPr>
            <w:r>
              <w:rPr>
                <w:rFonts w:ascii="Microsoft JhengHei" w:eastAsia="Microsoft JhengHei" w:hint="eastAsia"/>
                <w:b/>
                <w:sz w:val="24"/>
              </w:rPr>
              <w:t>轻症疾病</w:t>
            </w:r>
          </w:p>
          <w:p>
            <w:pPr>
              <w:pStyle w:val="TableParagraph"/>
              <w:spacing w:line="172" w:lineRule="auto" w:before="58"/>
              <w:ind w:left="158" w:right="161"/>
              <w:rPr>
                <w:rFonts w:ascii="Microsoft JhengHei" w:eastAsia="Microsoft JhengHei" w:hint="eastAsia"/>
                <w:b/>
                <w:sz w:val="24"/>
              </w:rPr>
            </w:pPr>
            <w:r>
              <w:rPr>
                <w:rFonts w:ascii="Microsoft JhengHei" w:eastAsia="Microsoft JhengHei" w:hint="eastAsia"/>
                <w:b/>
                <w:sz w:val="24"/>
              </w:rPr>
              <w:t>豁免保险费</w:t>
            </w:r>
          </w:p>
        </w:tc>
        <w:tc>
          <w:tcPr>
            <w:tcW w:w="7624" w:type="dxa"/>
          </w:tcPr>
          <w:p>
            <w:pPr>
              <w:pStyle w:val="TableParagraph"/>
              <w:spacing w:line="209" w:lineRule="exact"/>
              <w:ind w:left="268"/>
              <w:rPr>
                <w:sz w:val="21"/>
              </w:rPr>
            </w:pPr>
            <w:r>
              <w:rPr>
                <w:spacing w:val="-6"/>
                <w:sz w:val="21"/>
              </w:rPr>
              <w:t>被保险人于本附加合同生效之日起 </w:t>
            </w:r>
            <w:r>
              <w:rPr>
                <w:sz w:val="21"/>
              </w:rPr>
              <w:t>90</w:t>
            </w:r>
            <w:r>
              <w:rPr>
                <w:spacing w:val="-20"/>
                <w:sz w:val="21"/>
              </w:rPr>
              <w:t> 日内</w:t>
            </w:r>
            <w:r>
              <w:rPr>
                <w:sz w:val="21"/>
              </w:rPr>
              <w:t>（</w:t>
            </w:r>
            <w:r>
              <w:rPr>
                <w:spacing w:val="-24"/>
                <w:sz w:val="21"/>
              </w:rPr>
              <w:t>含 </w:t>
            </w:r>
            <w:r>
              <w:rPr>
                <w:sz w:val="21"/>
              </w:rPr>
              <w:t>90</w:t>
            </w:r>
            <w:r>
              <w:rPr>
                <w:spacing w:val="-13"/>
                <w:sz w:val="21"/>
              </w:rPr>
              <w:t> 日当日）</w:t>
            </w:r>
            <w:r>
              <w:rPr>
                <w:spacing w:val="-3"/>
                <w:sz w:val="21"/>
              </w:rPr>
              <w:t>因意外伤害事故以外</w:t>
            </w:r>
          </w:p>
          <w:p>
            <w:pPr>
              <w:pStyle w:val="TableParagraph"/>
              <w:spacing w:line="273" w:lineRule="auto" w:before="37"/>
              <w:ind w:left="268" w:right="20"/>
              <w:rPr>
                <w:sz w:val="21"/>
              </w:rPr>
            </w:pPr>
            <w:r>
              <w:rPr>
                <w:spacing w:val="-3"/>
                <w:sz w:val="21"/>
              </w:rPr>
              <w:t>的原因患本附加合同约定的</w:t>
            </w:r>
            <w:r>
              <w:rPr>
                <w:b/>
                <w:spacing w:val="-5"/>
                <w:sz w:val="21"/>
              </w:rPr>
              <w:t>轻症疾病</w:t>
            </w:r>
            <w:r>
              <w:rPr>
                <w:sz w:val="21"/>
              </w:rPr>
              <w:t>（</w:t>
            </w:r>
            <w:r>
              <w:rPr>
                <w:spacing w:val="-12"/>
                <w:sz w:val="21"/>
              </w:rPr>
              <w:t>见 </w:t>
            </w:r>
            <w:r>
              <w:rPr>
                <w:spacing w:val="-5"/>
                <w:sz w:val="21"/>
              </w:rPr>
              <w:t>8.13）</w:t>
            </w:r>
            <w:r>
              <w:rPr>
                <w:spacing w:val="-8"/>
                <w:sz w:val="21"/>
              </w:rPr>
              <w:t>的，我们不承担保险责任，我们</w:t>
            </w:r>
            <w:r>
              <w:rPr>
                <w:spacing w:val="-3"/>
                <w:sz w:val="21"/>
              </w:rPr>
              <w:t>向您退还本附加合同已交保险费，本附加合同终止。</w:t>
            </w:r>
          </w:p>
          <w:p>
            <w:pPr>
              <w:pStyle w:val="TableParagraph"/>
              <w:spacing w:before="5"/>
              <w:rPr>
                <w:sz w:val="24"/>
              </w:rPr>
            </w:pPr>
          </w:p>
          <w:p>
            <w:pPr>
              <w:pStyle w:val="TableParagraph"/>
              <w:spacing w:line="273" w:lineRule="auto"/>
              <w:ind w:left="268" w:right="20"/>
              <w:rPr>
                <w:sz w:val="21"/>
              </w:rPr>
            </w:pPr>
            <w:r>
              <w:rPr>
                <w:spacing w:val="-6"/>
                <w:sz w:val="21"/>
              </w:rPr>
              <w:t>被保险人于本附加合同生效之日起 </w:t>
            </w:r>
            <w:r>
              <w:rPr>
                <w:sz w:val="21"/>
              </w:rPr>
              <w:t>90</w:t>
            </w:r>
            <w:r>
              <w:rPr>
                <w:spacing w:val="-8"/>
                <w:sz w:val="21"/>
              </w:rPr>
              <w:t> 日后因意外伤害事故以外的原因导致被保</w:t>
            </w:r>
            <w:r>
              <w:rPr>
                <w:spacing w:val="-6"/>
                <w:sz w:val="21"/>
              </w:rPr>
              <w:t>险人初次发生并被医院的专科医生确诊患有本附加合同约定的轻症疾病，我们豁</w:t>
            </w:r>
            <w:r>
              <w:rPr>
                <w:spacing w:val="-4"/>
                <w:sz w:val="21"/>
              </w:rPr>
              <w:t>免自确诊日后您应交的被豁免合同的剩余各期保险费，本附加合同终止。</w:t>
            </w:r>
          </w:p>
          <w:p>
            <w:pPr>
              <w:pStyle w:val="TableParagraph"/>
              <w:spacing w:before="5"/>
              <w:rPr>
                <w:sz w:val="24"/>
              </w:rPr>
            </w:pPr>
          </w:p>
          <w:p>
            <w:pPr>
              <w:pStyle w:val="TableParagraph"/>
              <w:spacing w:line="273" w:lineRule="auto"/>
              <w:ind w:left="268" w:right="20"/>
              <w:rPr>
                <w:sz w:val="21"/>
              </w:rPr>
            </w:pPr>
            <w:r>
              <w:rPr>
                <w:spacing w:val="-3"/>
                <w:sz w:val="21"/>
              </w:rPr>
              <w:t>连续投保或因意外伤害事故导致被保险人初次发生并被医院的专科医生确诊患 </w:t>
            </w:r>
            <w:r>
              <w:rPr>
                <w:spacing w:val="-5"/>
                <w:sz w:val="21"/>
              </w:rPr>
              <w:t>有本附加合同约定的轻症疾病，我们豁免自确诊日后您应交的被豁免合同的剩余</w:t>
            </w:r>
            <w:r>
              <w:rPr>
                <w:spacing w:val="-4"/>
                <w:sz w:val="21"/>
              </w:rPr>
              <w:t>各期保险费，本附加合同终止。</w:t>
            </w:r>
          </w:p>
        </w:tc>
      </w:tr>
      <w:tr>
        <w:trPr>
          <w:trHeight w:val="936" w:hRule="atLeast"/>
        </w:trPr>
        <w:tc>
          <w:tcPr>
            <w:tcW w:w="887" w:type="dxa"/>
          </w:tcPr>
          <w:p>
            <w:pPr>
              <w:pStyle w:val="TableParagraph"/>
              <w:rPr>
                <w:rFonts w:ascii="Times New Roman"/>
                <w:sz w:val="20"/>
              </w:rPr>
            </w:pPr>
          </w:p>
        </w:tc>
        <w:tc>
          <w:tcPr>
            <w:tcW w:w="1282" w:type="dxa"/>
          </w:tcPr>
          <w:p>
            <w:pPr>
              <w:pStyle w:val="TableParagraph"/>
              <w:rPr>
                <w:rFonts w:ascii="Times New Roman"/>
                <w:sz w:val="20"/>
              </w:rPr>
            </w:pPr>
          </w:p>
        </w:tc>
        <w:tc>
          <w:tcPr>
            <w:tcW w:w="7624" w:type="dxa"/>
          </w:tcPr>
          <w:p>
            <w:pPr>
              <w:pStyle w:val="TableParagraph"/>
              <w:spacing w:line="273" w:lineRule="auto" w:before="137"/>
              <w:ind w:left="268"/>
              <w:rPr>
                <w:sz w:val="21"/>
              </w:rPr>
            </w:pPr>
            <w:r>
              <w:rPr>
                <w:sz w:val="21"/>
              </w:rPr>
              <w:t>上述“重大疾病豁免保险费”、“身故豁免保险费”、“轻症疾病豁免保险费” 三项豁免保险费责任，我们仅豁免一次，豁免该保险费后，本附加合同终止。</w:t>
            </w:r>
          </w:p>
        </w:tc>
      </w:tr>
      <w:tr>
        <w:trPr>
          <w:trHeight w:val="9154" w:hRule="atLeast"/>
        </w:trPr>
        <w:tc>
          <w:tcPr>
            <w:tcW w:w="887" w:type="dxa"/>
          </w:tcPr>
          <w:p>
            <w:pPr>
              <w:pStyle w:val="TableParagraph"/>
              <w:spacing w:before="137"/>
              <w:ind w:left="200"/>
              <w:rPr>
                <w:b/>
                <w:sz w:val="21"/>
              </w:rPr>
            </w:pPr>
            <w:r>
              <w:rPr>
                <w:b/>
                <w:sz w:val="21"/>
              </w:rPr>
              <w:t>2.4</w:t>
            </w:r>
          </w:p>
        </w:tc>
        <w:tc>
          <w:tcPr>
            <w:tcW w:w="1282" w:type="dxa"/>
          </w:tcPr>
          <w:p>
            <w:pPr>
              <w:pStyle w:val="TableParagraph"/>
              <w:spacing w:before="137"/>
              <w:ind w:left="158"/>
              <w:rPr>
                <w:b/>
                <w:sz w:val="21"/>
              </w:rPr>
            </w:pPr>
            <w:r>
              <w:rPr>
                <w:b/>
                <w:sz w:val="21"/>
              </w:rPr>
              <w:t>责任免除</w:t>
            </w:r>
          </w:p>
        </w:tc>
        <w:tc>
          <w:tcPr>
            <w:tcW w:w="7624" w:type="dxa"/>
          </w:tcPr>
          <w:p>
            <w:pPr>
              <w:pStyle w:val="TableParagraph"/>
              <w:spacing w:line="273" w:lineRule="auto" w:before="137"/>
              <w:ind w:left="268" w:right="20"/>
              <w:jc w:val="both"/>
              <w:rPr>
                <w:rFonts w:ascii="黑体" w:hAnsi="黑体" w:eastAsia="黑体" w:hint="eastAsia"/>
                <w:sz w:val="21"/>
              </w:rPr>
            </w:pPr>
            <w:r>
              <w:rPr>
                <w:rFonts w:ascii="黑体" w:hAnsi="黑体" w:eastAsia="黑体" w:hint="eastAsia"/>
                <w:spacing w:val="-2"/>
                <w:sz w:val="21"/>
                <w:shd w:fill="D9D9D9" w:color="auto" w:val="clear"/>
              </w:rPr>
              <w:t>因下列第</w:t>
            </w:r>
            <w:r>
              <w:rPr>
                <w:rFonts w:ascii="黑体" w:hAnsi="黑体" w:eastAsia="黑体" w:hint="eastAsia"/>
                <w:spacing w:val="-3"/>
                <w:sz w:val="21"/>
                <w:shd w:fill="D9D9D9" w:color="auto" w:val="clear"/>
              </w:rPr>
              <w:t>（1）</w:t>
            </w:r>
            <w:r>
              <w:rPr>
                <w:rFonts w:ascii="黑体" w:hAnsi="黑体" w:eastAsia="黑体" w:hint="eastAsia"/>
                <w:spacing w:val="-4"/>
                <w:sz w:val="21"/>
                <w:shd w:fill="D9D9D9" w:color="auto" w:val="clear"/>
              </w:rPr>
              <w:t>至第（7）项情形之一导致被保险人身故的，我们不承担身故豁免</w:t>
            </w:r>
            <w:r>
              <w:rPr>
                <w:rFonts w:ascii="黑体" w:hAnsi="黑体" w:eastAsia="黑体" w:hint="eastAsia"/>
                <w:spacing w:val="-3"/>
                <w:sz w:val="21"/>
                <w:shd w:fill="D9D9D9" w:color="auto" w:val="clear"/>
              </w:rPr>
              <w:t>保险费的</w:t>
            </w:r>
            <w:r>
              <w:rPr>
                <w:rFonts w:ascii="黑体" w:hAnsi="黑体" w:eastAsia="黑体" w:hint="eastAsia"/>
                <w:spacing w:val="-34"/>
                <w:sz w:val="21"/>
                <w:shd w:fill="D9D9D9" w:color="auto" w:val="clear"/>
              </w:rPr>
              <w:t>责任；因下列第</w:t>
            </w:r>
            <w:r>
              <w:rPr>
                <w:rFonts w:ascii="黑体" w:hAnsi="黑体" w:eastAsia="黑体" w:hint="eastAsia"/>
                <w:sz w:val="21"/>
                <w:shd w:fill="D9D9D9" w:color="auto" w:val="clear"/>
              </w:rPr>
              <w:t>（1）</w:t>
            </w:r>
            <w:r>
              <w:rPr>
                <w:rFonts w:ascii="黑体" w:hAnsi="黑体" w:eastAsia="黑体" w:hint="eastAsia"/>
                <w:spacing w:val="-3"/>
                <w:sz w:val="21"/>
                <w:shd w:fill="D9D9D9" w:color="auto" w:val="clear"/>
              </w:rPr>
              <w:t>至第（9）项情形之一导致被保险人发Th</w:t>
            </w:r>
            <w:r>
              <w:rPr>
                <w:rFonts w:ascii="黑体" w:hAnsi="黑体" w:eastAsia="黑体" w:hint="eastAsia"/>
                <w:spacing w:val="-2"/>
                <w:sz w:val="21"/>
                <w:shd w:fill="D9D9D9" w:color="auto" w:val="clear"/>
              </w:rPr>
              <w:t>“重大疾病</w:t>
            </w:r>
            <w:r>
              <w:rPr>
                <w:rFonts w:ascii="黑体" w:hAnsi="黑体" w:eastAsia="黑体" w:hint="eastAsia"/>
                <w:spacing w:val="-5"/>
                <w:sz w:val="21"/>
                <w:shd w:fill="D9D9D9" w:color="auto" w:val="clear"/>
              </w:rPr>
              <w:t>”或“轻症疾病”的，我们不承担相应“重大疾病豁免保险费”或“轻症疾病豁</w:t>
            </w:r>
            <w:r>
              <w:rPr>
                <w:rFonts w:ascii="黑体" w:hAnsi="黑体" w:eastAsia="黑体" w:hint="eastAsia"/>
                <w:spacing w:val="-3"/>
                <w:sz w:val="21"/>
                <w:shd w:fill="D9D9D9" w:color="auto" w:val="clear"/>
              </w:rPr>
              <w:t>免保险费”的责任：</w:t>
            </w:r>
          </w:p>
          <w:p>
            <w:pPr>
              <w:pStyle w:val="TableParagraph"/>
              <w:spacing w:before="7"/>
              <w:ind w:left="162"/>
              <w:rPr>
                <w:rFonts w:ascii="黑体" w:eastAsia="黑体" w:hint="eastAsia"/>
                <w:sz w:val="21"/>
              </w:rPr>
            </w:pPr>
            <w:r>
              <w:rPr>
                <w:rFonts w:ascii="黑体" w:eastAsia="黑体" w:hint="eastAsia"/>
                <w:sz w:val="21"/>
                <w:shd w:fill="D9D9D9" w:color="auto" w:val="clear"/>
              </w:rPr>
              <w:t>（1）投保人对被保险人的故意杀害、故意伤害；</w:t>
            </w:r>
          </w:p>
          <w:p>
            <w:pPr>
              <w:pStyle w:val="TableParagraph"/>
              <w:spacing w:before="36"/>
              <w:ind w:left="162"/>
              <w:rPr>
                <w:rFonts w:ascii="黑体" w:eastAsia="黑体" w:hint="eastAsia"/>
                <w:sz w:val="21"/>
              </w:rPr>
            </w:pPr>
            <w:r>
              <w:rPr>
                <w:rFonts w:ascii="黑体" w:eastAsia="黑体" w:hint="eastAsia"/>
                <w:sz w:val="21"/>
                <w:shd w:fill="D9D9D9" w:color="auto" w:val="clear"/>
              </w:rPr>
              <w:t>（2）被保险人故意自伤、故意犯罪或者抗拒依法采取的刑事强制措施；</w:t>
            </w:r>
          </w:p>
          <w:p>
            <w:pPr>
              <w:pStyle w:val="TableParagraph"/>
              <w:spacing w:line="273" w:lineRule="auto" w:before="36"/>
              <w:ind w:left="652" w:right="20" w:hanging="490"/>
              <w:rPr>
                <w:rFonts w:ascii="黑体" w:eastAsia="黑体" w:hint="eastAsia"/>
                <w:sz w:val="21"/>
              </w:rPr>
            </w:pPr>
            <w:r>
              <w:rPr>
                <w:rFonts w:ascii="黑体" w:eastAsia="黑体" w:hint="eastAsia"/>
                <w:spacing w:val="-4"/>
                <w:sz w:val="21"/>
                <w:shd w:fill="D9D9D9" w:color="auto" w:val="clear"/>
              </w:rPr>
              <w:t>（3）被保险人自本附加合同成立之日起自杀，但被保险人自杀时为无民事行为能</w:t>
            </w:r>
            <w:r>
              <w:rPr>
                <w:rFonts w:ascii="黑体" w:eastAsia="黑体" w:hint="eastAsia"/>
                <w:spacing w:val="-1"/>
                <w:sz w:val="21"/>
                <w:shd w:fill="D9D9D9" w:color="auto" w:val="clear"/>
              </w:rPr>
              <w:t>力人</w:t>
            </w:r>
            <w:r>
              <w:rPr>
                <w:rFonts w:ascii="黑体" w:eastAsia="黑体" w:hint="eastAsia"/>
                <w:spacing w:val="-53"/>
                <w:sz w:val="21"/>
                <w:shd w:fill="D9D9D9" w:color="auto" w:val="clear"/>
              </w:rPr>
              <w:t>的除外；</w:t>
            </w:r>
          </w:p>
          <w:p>
            <w:pPr>
              <w:pStyle w:val="TableParagraph"/>
              <w:spacing w:line="273" w:lineRule="auto" w:before="7"/>
              <w:ind w:left="688" w:right="22" w:hanging="526"/>
              <w:rPr>
                <w:rFonts w:ascii="黑体" w:eastAsia="黑体" w:hint="eastAsia"/>
                <w:sz w:val="21"/>
              </w:rPr>
            </w:pPr>
            <w:r>
              <w:rPr>
                <w:rFonts w:ascii="黑体" w:eastAsia="黑体" w:hint="eastAsia"/>
                <w:sz w:val="21"/>
                <w:shd w:fill="D9D9D9" w:color="auto" w:val="clear"/>
              </w:rPr>
              <w:t>（4）</w:t>
            </w:r>
            <w:r>
              <w:rPr>
                <w:rFonts w:ascii="黑体" w:eastAsia="黑体" w:hint="eastAsia"/>
                <w:spacing w:val="-3"/>
                <w:sz w:val="21"/>
                <w:shd w:fill="D9D9D9" w:color="auto" w:val="clear"/>
              </w:rPr>
              <w:t>被保险人</w:t>
            </w:r>
            <w:r>
              <w:rPr>
                <w:rFonts w:ascii="黑体" w:eastAsia="黑体" w:hint="eastAsia"/>
                <w:b/>
                <w:spacing w:val="-2"/>
                <w:sz w:val="21"/>
                <w:shd w:fill="D9D9D9" w:color="auto" w:val="clear"/>
              </w:rPr>
              <w:t>酗酒</w:t>
            </w:r>
            <w:r>
              <w:rPr>
                <w:rFonts w:ascii="黑体" w:eastAsia="黑体" w:hint="eastAsia"/>
                <w:sz w:val="21"/>
                <w:shd w:fill="D9D9D9" w:color="auto" w:val="clear"/>
              </w:rPr>
              <w:t>（</w:t>
            </w:r>
            <w:r>
              <w:rPr>
                <w:rFonts w:ascii="黑体" w:eastAsia="黑体" w:hint="eastAsia"/>
                <w:spacing w:val="-25"/>
                <w:sz w:val="21"/>
                <w:shd w:fill="D9D9D9" w:color="auto" w:val="clear"/>
              </w:rPr>
              <w:t>见 </w:t>
            </w:r>
            <w:r>
              <w:rPr>
                <w:rFonts w:ascii="黑体" w:eastAsia="黑体" w:hint="eastAsia"/>
                <w:sz w:val="21"/>
                <w:shd w:fill="D9D9D9" w:color="auto" w:val="clear"/>
              </w:rPr>
              <w:t>8.14）</w:t>
            </w:r>
            <w:r>
              <w:rPr>
                <w:rFonts w:ascii="黑体" w:eastAsia="黑体" w:hint="eastAsia"/>
                <w:spacing w:val="-4"/>
                <w:sz w:val="21"/>
                <w:shd w:fill="D9D9D9" w:color="auto" w:val="clear"/>
              </w:rPr>
              <w:t>、殴斗、服用、主动吸食或注射</w:t>
            </w:r>
            <w:r>
              <w:rPr>
                <w:rFonts w:ascii="黑体" w:eastAsia="黑体" w:hint="eastAsia"/>
                <w:b/>
                <w:sz w:val="21"/>
                <w:shd w:fill="D9D9D9" w:color="auto" w:val="clear"/>
              </w:rPr>
              <w:t>毒品</w:t>
            </w:r>
            <w:r>
              <w:rPr>
                <w:rFonts w:ascii="黑体" w:eastAsia="黑体" w:hint="eastAsia"/>
                <w:spacing w:val="-3"/>
                <w:sz w:val="21"/>
                <w:shd w:fill="D9D9D9" w:color="auto" w:val="clear"/>
              </w:rPr>
              <w:t>（</w:t>
            </w:r>
            <w:r>
              <w:rPr>
                <w:rFonts w:ascii="黑体" w:eastAsia="黑体" w:hint="eastAsia"/>
                <w:spacing w:val="-24"/>
                <w:sz w:val="21"/>
                <w:shd w:fill="D9D9D9" w:color="auto" w:val="clear"/>
              </w:rPr>
              <w:t>见 </w:t>
            </w:r>
            <w:r>
              <w:rPr>
                <w:rFonts w:ascii="黑体" w:eastAsia="黑体" w:hint="eastAsia"/>
                <w:sz w:val="21"/>
                <w:shd w:fill="D9D9D9" w:color="auto" w:val="clear"/>
              </w:rPr>
              <w:t>8.15）</w:t>
            </w:r>
            <w:r>
              <w:rPr>
                <w:rFonts w:ascii="黑体" w:eastAsia="黑体" w:hint="eastAsia"/>
                <w:spacing w:val="-103"/>
                <w:sz w:val="21"/>
                <w:shd w:fill="D9D9D9" w:color="auto" w:val="clear"/>
              </w:rPr>
              <w:t>,违</w:t>
            </w:r>
            <w:r>
              <w:rPr>
                <w:rFonts w:ascii="黑体" w:eastAsia="黑体" w:hint="eastAsia"/>
                <w:spacing w:val="-3"/>
                <w:sz w:val="21"/>
                <w:shd w:fill="D9D9D9" w:color="auto" w:val="clear"/>
              </w:rPr>
              <w:t>反规定使用麻醉或精神药品；</w:t>
            </w:r>
          </w:p>
          <w:p>
            <w:pPr>
              <w:pStyle w:val="TableParagraph"/>
              <w:spacing w:line="273" w:lineRule="auto" w:before="8"/>
              <w:ind w:left="688" w:right="92" w:hanging="526"/>
              <w:rPr>
                <w:rFonts w:ascii="黑体" w:eastAsia="黑体" w:hint="eastAsia"/>
                <w:sz w:val="21"/>
              </w:rPr>
            </w:pPr>
            <w:r>
              <w:rPr>
                <w:rFonts w:ascii="黑体" w:eastAsia="黑体" w:hint="eastAsia"/>
                <w:sz w:val="21"/>
                <w:shd w:fill="D9D9D9" w:color="auto" w:val="clear"/>
              </w:rPr>
              <w:t>（5）</w:t>
            </w:r>
            <w:r>
              <w:rPr>
                <w:rFonts w:ascii="黑体" w:eastAsia="黑体" w:hint="eastAsia"/>
                <w:spacing w:val="-2"/>
                <w:sz w:val="21"/>
                <w:shd w:fill="D9D9D9" w:color="auto" w:val="clear"/>
              </w:rPr>
              <w:t>被保险人</w:t>
            </w:r>
            <w:r>
              <w:rPr>
                <w:rFonts w:ascii="黑体" w:eastAsia="黑体" w:hint="eastAsia"/>
                <w:b/>
                <w:sz w:val="21"/>
                <w:shd w:fill="D9D9D9" w:color="auto" w:val="clear"/>
              </w:rPr>
              <w:t>酒后驾驶</w:t>
            </w:r>
            <w:r>
              <w:rPr>
                <w:rFonts w:ascii="黑体" w:eastAsia="黑体" w:hint="eastAsia"/>
                <w:spacing w:val="-3"/>
                <w:sz w:val="21"/>
                <w:shd w:fill="D9D9D9" w:color="auto" w:val="clear"/>
              </w:rPr>
              <w:t>（</w:t>
            </w:r>
            <w:r>
              <w:rPr>
                <w:rFonts w:ascii="黑体" w:eastAsia="黑体" w:hint="eastAsia"/>
                <w:spacing w:val="-25"/>
                <w:sz w:val="21"/>
                <w:shd w:fill="D9D9D9" w:color="auto" w:val="clear"/>
              </w:rPr>
              <w:t>见 </w:t>
            </w:r>
            <w:r>
              <w:rPr>
                <w:rFonts w:ascii="黑体" w:eastAsia="黑体" w:hint="eastAsia"/>
                <w:sz w:val="21"/>
                <w:shd w:fill="D9D9D9" w:color="auto" w:val="clear"/>
              </w:rPr>
              <w:t>8.16），</w:t>
            </w:r>
            <w:r>
              <w:rPr>
                <w:rFonts w:ascii="黑体" w:eastAsia="黑体" w:hint="eastAsia"/>
                <w:b/>
                <w:sz w:val="21"/>
                <w:shd w:fill="D9D9D9" w:color="auto" w:val="clear"/>
              </w:rPr>
              <w:t>无合法有效驾驶证驾驶</w:t>
            </w:r>
            <w:r>
              <w:rPr>
                <w:rFonts w:ascii="黑体" w:eastAsia="黑体" w:hint="eastAsia"/>
                <w:spacing w:val="-3"/>
                <w:sz w:val="21"/>
                <w:shd w:fill="D9D9D9" w:color="auto" w:val="clear"/>
              </w:rPr>
              <w:t>（</w:t>
            </w:r>
            <w:r>
              <w:rPr>
                <w:rFonts w:ascii="黑体" w:eastAsia="黑体" w:hint="eastAsia"/>
                <w:spacing w:val="-25"/>
                <w:sz w:val="21"/>
                <w:shd w:fill="D9D9D9" w:color="auto" w:val="clear"/>
              </w:rPr>
              <w:t>见 </w:t>
            </w:r>
            <w:r>
              <w:rPr>
                <w:rFonts w:ascii="黑体" w:eastAsia="黑体" w:hint="eastAsia"/>
                <w:sz w:val="21"/>
                <w:shd w:fill="D9D9D9" w:color="auto" w:val="clear"/>
              </w:rPr>
              <w:t>8.17）</w:t>
            </w:r>
            <w:r>
              <w:rPr>
                <w:rFonts w:ascii="黑体" w:eastAsia="黑体" w:hint="eastAsia"/>
                <w:spacing w:val="-2"/>
                <w:sz w:val="21"/>
                <w:shd w:fill="D9D9D9" w:color="auto" w:val="clear"/>
              </w:rPr>
              <w:t>，或驾</w:t>
            </w:r>
            <w:r>
              <w:rPr>
                <w:rFonts w:ascii="黑体" w:eastAsia="黑体" w:hint="eastAsia"/>
                <w:spacing w:val="-3"/>
                <w:sz w:val="21"/>
                <w:shd w:fill="D9D9D9" w:color="auto" w:val="clear"/>
              </w:rPr>
              <w:t>驶</w:t>
            </w:r>
            <w:r>
              <w:rPr>
                <w:rFonts w:ascii="黑体" w:eastAsia="黑体" w:hint="eastAsia"/>
                <w:b/>
                <w:sz w:val="21"/>
                <w:shd w:fill="D9D9D9" w:color="auto" w:val="clear"/>
              </w:rPr>
              <w:t>无有效行驶证照</w:t>
            </w:r>
            <w:r>
              <w:rPr>
                <w:rFonts w:ascii="黑体" w:eastAsia="黑体" w:hint="eastAsia"/>
                <w:spacing w:val="-3"/>
                <w:sz w:val="21"/>
                <w:shd w:fill="D9D9D9" w:color="auto" w:val="clear"/>
              </w:rPr>
              <w:t>（</w:t>
            </w:r>
            <w:r>
              <w:rPr>
                <w:rFonts w:ascii="黑体" w:eastAsia="黑体" w:hint="eastAsia"/>
                <w:spacing w:val="-25"/>
                <w:sz w:val="21"/>
                <w:shd w:fill="D9D9D9" w:color="auto" w:val="clear"/>
              </w:rPr>
              <w:t>见 </w:t>
            </w:r>
            <w:r>
              <w:rPr>
                <w:rFonts w:ascii="黑体" w:eastAsia="黑体" w:hint="eastAsia"/>
                <w:sz w:val="21"/>
                <w:shd w:fill="D9D9D9" w:color="auto" w:val="clear"/>
              </w:rPr>
              <w:t>8.18）</w:t>
            </w:r>
            <w:r>
              <w:rPr>
                <w:rFonts w:ascii="黑体" w:eastAsia="黑体" w:hint="eastAsia"/>
                <w:spacing w:val="-3"/>
                <w:sz w:val="21"/>
                <w:shd w:fill="D9D9D9" w:color="auto" w:val="clear"/>
              </w:rPr>
              <w:t>的</w:t>
            </w:r>
            <w:r>
              <w:rPr>
                <w:rFonts w:ascii="黑体" w:eastAsia="黑体" w:hint="eastAsia"/>
                <w:b/>
                <w:sz w:val="21"/>
                <w:shd w:fill="D9D9D9" w:color="auto" w:val="clear"/>
              </w:rPr>
              <w:t>机动车</w:t>
            </w:r>
            <w:r>
              <w:rPr>
                <w:rFonts w:ascii="黑体" w:eastAsia="黑体" w:hint="eastAsia"/>
                <w:spacing w:val="-3"/>
                <w:sz w:val="21"/>
                <w:shd w:fill="D9D9D9" w:color="auto" w:val="clear"/>
              </w:rPr>
              <w:t>（</w:t>
            </w:r>
            <w:r>
              <w:rPr>
                <w:rFonts w:ascii="黑体" w:eastAsia="黑体" w:hint="eastAsia"/>
                <w:spacing w:val="-25"/>
                <w:sz w:val="21"/>
                <w:shd w:fill="D9D9D9" w:color="auto" w:val="clear"/>
              </w:rPr>
              <w:t>见 </w:t>
            </w:r>
            <w:r>
              <w:rPr>
                <w:rFonts w:ascii="黑体" w:eastAsia="黑体" w:hint="eastAsia"/>
                <w:sz w:val="21"/>
                <w:shd w:fill="D9D9D9" w:color="auto" w:val="clear"/>
              </w:rPr>
              <w:t>8.19）；</w:t>
            </w:r>
          </w:p>
          <w:p>
            <w:pPr>
              <w:pStyle w:val="TableParagraph"/>
              <w:spacing w:before="7"/>
              <w:ind w:left="162"/>
              <w:rPr>
                <w:rFonts w:ascii="黑体" w:eastAsia="黑体" w:hint="eastAsia"/>
                <w:sz w:val="21"/>
              </w:rPr>
            </w:pPr>
            <w:r>
              <w:rPr>
                <w:rFonts w:ascii="黑体" w:eastAsia="黑体" w:hint="eastAsia"/>
                <w:sz w:val="21"/>
                <w:shd w:fill="D9D9D9" w:color="auto" w:val="clear"/>
              </w:rPr>
              <w:t>（6）战争、军事冲突、暴乱或武装叛乱；</w:t>
            </w:r>
          </w:p>
          <w:p>
            <w:pPr>
              <w:pStyle w:val="TableParagraph"/>
              <w:spacing w:before="36"/>
              <w:ind w:left="162"/>
              <w:rPr>
                <w:rFonts w:ascii="黑体" w:eastAsia="黑体" w:hint="eastAsia"/>
                <w:sz w:val="21"/>
              </w:rPr>
            </w:pPr>
            <w:r>
              <w:rPr>
                <w:rFonts w:ascii="黑体" w:eastAsia="黑体" w:hint="eastAsia"/>
                <w:sz w:val="21"/>
                <w:shd w:fill="D9D9D9" w:color="auto" w:val="clear"/>
              </w:rPr>
              <w:t>（7）核爆炸、核辐射或核污染；</w:t>
            </w:r>
          </w:p>
          <w:p>
            <w:pPr>
              <w:pStyle w:val="TableParagraph"/>
              <w:spacing w:line="273" w:lineRule="auto" w:before="36"/>
              <w:ind w:left="688" w:right="20" w:hanging="526"/>
              <w:jc w:val="both"/>
              <w:rPr>
                <w:rFonts w:ascii="黑体" w:hAnsi="黑体" w:eastAsia="黑体" w:hint="eastAsia"/>
                <w:sz w:val="21"/>
              </w:rPr>
            </w:pPr>
            <w:r>
              <w:rPr>
                <w:rFonts w:ascii="黑体" w:hAnsi="黑体" w:eastAsia="黑体" w:hint="eastAsia"/>
                <w:spacing w:val="-8"/>
                <w:sz w:val="21"/>
                <w:shd w:fill="D9D9D9" w:color="auto" w:val="clear"/>
              </w:rPr>
              <w:t>（8）</w:t>
            </w:r>
            <w:r>
              <w:rPr>
                <w:rFonts w:ascii="黑体" w:hAnsi="黑体" w:eastAsia="黑体" w:hint="eastAsia"/>
                <w:spacing w:val="-2"/>
                <w:sz w:val="21"/>
                <w:shd w:fill="D9D9D9" w:color="auto" w:val="clear"/>
              </w:rPr>
              <w:t>被保险人</w:t>
            </w:r>
            <w:r>
              <w:rPr>
                <w:rFonts w:ascii="黑体" w:hAnsi="黑体" w:eastAsia="黑体" w:hint="eastAsia"/>
                <w:b/>
                <w:spacing w:val="-3"/>
                <w:sz w:val="21"/>
                <w:shd w:fill="D9D9D9" w:color="auto" w:val="clear"/>
              </w:rPr>
              <w:t>感染艾滋病病毒或患艾滋病</w:t>
            </w:r>
            <w:r>
              <w:rPr>
                <w:rFonts w:ascii="黑体" w:hAnsi="黑体" w:eastAsia="黑体" w:hint="eastAsia"/>
                <w:spacing w:val="-3"/>
                <w:sz w:val="21"/>
                <w:shd w:fill="D9D9D9" w:color="auto" w:val="clear"/>
              </w:rPr>
              <w:t>（</w:t>
            </w:r>
            <w:r>
              <w:rPr>
                <w:rFonts w:ascii="黑体" w:hAnsi="黑体" w:eastAsia="黑体" w:hint="eastAsia"/>
                <w:spacing w:val="-14"/>
                <w:sz w:val="21"/>
                <w:shd w:fill="D9D9D9" w:color="auto" w:val="clear"/>
              </w:rPr>
              <w:t>见 </w:t>
            </w:r>
            <w:r>
              <w:rPr>
                <w:rFonts w:ascii="黑体" w:hAnsi="黑体" w:eastAsia="黑体" w:hint="eastAsia"/>
                <w:spacing w:val="-6"/>
                <w:sz w:val="21"/>
                <w:shd w:fill="D9D9D9" w:color="auto" w:val="clear"/>
              </w:rPr>
              <w:t>8.20）期间因疾病导致的</w:t>
            </w:r>
            <w:r>
              <w:rPr>
                <w:rFonts w:ascii="黑体" w:hAnsi="黑体" w:eastAsia="黑体" w:hint="eastAsia"/>
                <w:sz w:val="21"/>
                <w:shd w:fill="D9D9D9" w:color="auto" w:val="clear"/>
              </w:rPr>
              <w:t>（</w:t>
            </w:r>
            <w:r>
              <w:rPr>
                <w:rFonts w:ascii="黑体" w:hAnsi="黑体" w:eastAsia="黑体" w:hint="eastAsia"/>
                <w:spacing w:val="-2"/>
                <w:sz w:val="21"/>
                <w:shd w:fill="D9D9D9" w:color="auto" w:val="clear"/>
              </w:rPr>
              <w:t>但符合本附</w:t>
            </w:r>
            <w:r>
              <w:rPr>
                <w:rFonts w:ascii="黑体" w:hAnsi="黑体" w:eastAsia="黑体" w:hint="eastAsia"/>
                <w:spacing w:val="-17"/>
                <w:sz w:val="21"/>
                <w:shd w:fill="D9D9D9" w:color="auto" w:val="clear"/>
              </w:rPr>
              <w:t>加合同“经输血导致的人类免疫缺陷病毒感染”或“因职业关系导致的人</w:t>
            </w:r>
            <w:r>
              <w:rPr>
                <w:rFonts w:ascii="黑体" w:hAnsi="黑体" w:eastAsia="黑体" w:hint="eastAsia"/>
                <w:spacing w:val="-3"/>
                <w:sz w:val="21"/>
                <w:shd w:fill="D9D9D9" w:color="auto" w:val="clear"/>
              </w:rPr>
              <w:t>类免疫缺陷病毒</w:t>
            </w:r>
            <w:r>
              <w:rPr>
                <w:rFonts w:ascii="黑体" w:hAnsi="黑体" w:eastAsia="黑体" w:hint="eastAsia"/>
                <w:spacing w:val="-1"/>
                <w:sz w:val="21"/>
                <w:shd w:fill="D9D9D9" w:color="auto" w:val="clear"/>
              </w:rPr>
              <w:t>（HIV）</w:t>
            </w:r>
            <w:r>
              <w:rPr>
                <w:rFonts w:ascii="黑体" w:hAnsi="黑体" w:eastAsia="黑体" w:hint="eastAsia"/>
                <w:spacing w:val="-3"/>
                <w:sz w:val="21"/>
                <w:shd w:fill="D9D9D9" w:color="auto" w:val="clear"/>
              </w:rPr>
              <w:t>感染”定义的不在此限</w:t>
            </w:r>
            <w:r>
              <w:rPr>
                <w:rFonts w:ascii="黑体" w:hAnsi="黑体" w:eastAsia="黑体" w:hint="eastAsia"/>
                <w:sz w:val="21"/>
                <w:shd w:fill="D9D9D9" w:color="auto" w:val="clear"/>
              </w:rPr>
              <w:t>）；</w:t>
            </w:r>
          </w:p>
          <w:p>
            <w:pPr>
              <w:pStyle w:val="TableParagraph"/>
              <w:spacing w:before="7"/>
              <w:ind w:left="162"/>
              <w:rPr>
                <w:rFonts w:ascii="黑体" w:eastAsia="黑体" w:hint="eastAsia"/>
                <w:sz w:val="21"/>
              </w:rPr>
            </w:pPr>
            <w:r>
              <w:rPr>
                <w:rFonts w:ascii="黑体" w:eastAsia="黑体" w:hint="eastAsia"/>
                <w:sz w:val="21"/>
                <w:shd w:fill="D9D9D9" w:color="auto" w:val="clear"/>
              </w:rPr>
              <w:t>（9）</w:t>
            </w:r>
            <w:r>
              <w:rPr>
                <w:rFonts w:ascii="黑体" w:eastAsia="黑体" w:hint="eastAsia"/>
                <w:b/>
                <w:sz w:val="21"/>
                <w:shd w:fill="D9D9D9" w:color="auto" w:val="clear"/>
              </w:rPr>
              <w:t>遗传性疾病</w:t>
            </w:r>
            <w:r>
              <w:rPr>
                <w:rFonts w:ascii="黑体" w:eastAsia="黑体" w:hint="eastAsia"/>
                <w:sz w:val="21"/>
                <w:shd w:fill="D9D9D9" w:color="auto" w:val="clear"/>
              </w:rPr>
              <w:t>（见 8.21），</w:t>
            </w:r>
            <w:r>
              <w:rPr>
                <w:rFonts w:ascii="黑体" w:eastAsia="黑体" w:hint="eastAsia"/>
                <w:b/>
                <w:sz w:val="21"/>
                <w:shd w:fill="D9D9D9" w:color="auto" w:val="clear"/>
              </w:rPr>
              <w:t>先天性畸形</w:t>
            </w:r>
            <w:r>
              <w:rPr>
                <w:rFonts w:ascii="黑体" w:eastAsia="黑体" w:hint="eastAsia"/>
                <w:sz w:val="21"/>
                <w:shd w:fill="D9D9D9" w:color="auto" w:val="clear"/>
              </w:rPr>
              <w:t>、</w:t>
            </w:r>
            <w:r>
              <w:rPr>
                <w:rFonts w:ascii="黑体" w:eastAsia="黑体" w:hint="eastAsia"/>
                <w:b/>
                <w:sz w:val="21"/>
                <w:shd w:fill="D9D9D9" w:color="auto" w:val="clear"/>
              </w:rPr>
              <w:t>变形或染色体异常</w:t>
            </w:r>
            <w:r>
              <w:rPr>
                <w:rFonts w:ascii="黑体" w:eastAsia="黑体" w:hint="eastAsia"/>
                <w:sz w:val="21"/>
                <w:shd w:fill="D9D9D9" w:color="auto" w:val="clear"/>
              </w:rPr>
              <w:t>（见 8.22）。</w:t>
            </w:r>
          </w:p>
          <w:p>
            <w:pPr>
              <w:pStyle w:val="TableParagraph"/>
              <w:spacing w:before="8"/>
              <w:rPr>
                <w:sz w:val="26"/>
              </w:rPr>
            </w:pPr>
          </w:p>
          <w:p>
            <w:pPr>
              <w:pStyle w:val="TableParagraph"/>
              <w:spacing w:line="273" w:lineRule="auto"/>
              <w:ind w:left="268"/>
              <w:jc w:val="both"/>
              <w:rPr>
                <w:rFonts w:ascii="黑体" w:hAnsi="黑体" w:eastAsia="黑体" w:hint="eastAsia"/>
                <w:sz w:val="21"/>
              </w:rPr>
            </w:pPr>
            <w:r>
              <w:rPr>
                <w:rFonts w:ascii="黑体" w:hAnsi="黑体" w:eastAsia="黑体" w:hint="eastAsia"/>
                <w:sz w:val="21"/>
              </w:rPr>
              <w:t>发Th上述第（１）项情形导致被保险人身故、发Th“重大疾病”或“轻症疾病” 的，本附加合同终止。我们向其他权利人退还合同效力终止之日本附加合同的</w:t>
            </w:r>
            <w:r>
              <w:rPr>
                <w:rFonts w:ascii="黑体" w:hAnsi="黑体" w:eastAsia="黑体" w:hint="eastAsia"/>
                <w:b/>
                <w:sz w:val="21"/>
              </w:rPr>
              <w:t>现金价值</w:t>
            </w:r>
            <w:r>
              <w:rPr>
                <w:rFonts w:ascii="黑体" w:hAnsi="黑体" w:eastAsia="黑体" w:hint="eastAsia"/>
                <w:sz w:val="21"/>
              </w:rPr>
              <w:t>（见 8.23）。其他权利人按照被保险人、被保险人继承人的顺序确定。</w:t>
            </w:r>
          </w:p>
          <w:p>
            <w:pPr>
              <w:pStyle w:val="TableParagraph"/>
              <w:spacing w:before="5"/>
              <w:rPr>
                <w:sz w:val="24"/>
              </w:rPr>
            </w:pPr>
          </w:p>
          <w:p>
            <w:pPr>
              <w:pStyle w:val="TableParagraph"/>
              <w:spacing w:line="273" w:lineRule="auto"/>
              <w:ind w:left="268" w:right="23"/>
              <w:jc w:val="both"/>
              <w:rPr>
                <w:rFonts w:ascii="黑体" w:eastAsia="黑体" w:hint="eastAsia"/>
                <w:sz w:val="21"/>
              </w:rPr>
            </w:pPr>
            <w:r>
              <w:rPr>
                <w:rFonts w:ascii="黑体" w:eastAsia="黑体" w:hint="eastAsia"/>
                <w:sz w:val="21"/>
                <w:shd w:fill="D9D9D9" w:color="auto" w:val="clear"/>
              </w:rPr>
              <w:t>发Th</w:t>
            </w:r>
            <w:r>
              <w:rPr>
                <w:rFonts w:ascii="黑体" w:eastAsia="黑体" w:hint="eastAsia"/>
                <w:spacing w:val="-3"/>
                <w:sz w:val="21"/>
                <w:shd w:fill="D9D9D9" w:color="auto" w:val="clear"/>
              </w:rPr>
              <w:t>上述第（2）项至第（7）</w:t>
            </w:r>
            <w:r>
              <w:rPr>
                <w:rFonts w:ascii="黑体" w:eastAsia="黑体" w:hint="eastAsia"/>
                <w:spacing w:val="-5"/>
                <w:sz w:val="21"/>
                <w:shd w:fill="D9D9D9" w:color="auto" w:val="clear"/>
              </w:rPr>
              <w:t>项情形导致被保险人身故的，本附加合同终止，我</w:t>
            </w:r>
            <w:r>
              <w:rPr>
                <w:rFonts w:ascii="黑体" w:eastAsia="黑体" w:hint="eastAsia"/>
                <w:spacing w:val="-4"/>
                <w:sz w:val="21"/>
                <w:shd w:fill="D9D9D9" w:color="auto" w:val="clear"/>
              </w:rPr>
              <w:t>们向您退</w:t>
            </w:r>
            <w:r>
              <w:rPr>
                <w:rFonts w:ascii="黑体" w:eastAsia="黑体" w:hint="eastAsia"/>
                <w:spacing w:val="-17"/>
                <w:sz w:val="21"/>
                <w:shd w:fill="D9D9D9" w:color="auto" w:val="clear"/>
              </w:rPr>
              <w:t>还被保险人身故时本附加合同的现金价值。</w:t>
            </w:r>
          </w:p>
          <w:p>
            <w:pPr>
              <w:pStyle w:val="TableParagraph"/>
              <w:spacing w:before="9"/>
              <w:rPr>
                <w:sz w:val="21"/>
              </w:rPr>
            </w:pPr>
          </w:p>
          <w:p>
            <w:pPr>
              <w:pStyle w:val="TableParagraph"/>
              <w:spacing w:line="310" w:lineRule="atLeast"/>
              <w:ind w:left="268" w:right="20"/>
              <w:jc w:val="both"/>
              <w:rPr>
                <w:rFonts w:ascii="黑体" w:hAnsi="黑体" w:eastAsia="黑体" w:hint="eastAsia"/>
                <w:sz w:val="21"/>
              </w:rPr>
            </w:pPr>
            <w:r>
              <w:rPr>
                <w:rFonts w:ascii="黑体" w:hAnsi="黑体" w:eastAsia="黑体" w:hint="eastAsia"/>
                <w:sz w:val="21"/>
                <w:shd w:fill="D9D9D9" w:color="auto" w:val="clear"/>
              </w:rPr>
              <w:t>发Th</w:t>
            </w:r>
            <w:r>
              <w:rPr>
                <w:rFonts w:ascii="黑体" w:hAnsi="黑体" w:eastAsia="黑体" w:hint="eastAsia"/>
                <w:spacing w:val="-3"/>
                <w:sz w:val="21"/>
                <w:shd w:fill="D9D9D9" w:color="auto" w:val="clear"/>
              </w:rPr>
              <w:t>上述第（2）项至第（9）项情形导致被保险人发</w:t>
            </w:r>
            <w:r>
              <w:rPr>
                <w:rFonts w:ascii="黑体" w:hAnsi="黑体" w:eastAsia="黑体" w:hint="eastAsia"/>
                <w:sz w:val="21"/>
                <w:shd w:fill="D9D9D9" w:color="auto" w:val="clear"/>
              </w:rPr>
              <w:t>Th“</w:t>
            </w:r>
            <w:r>
              <w:rPr>
                <w:rFonts w:ascii="黑体" w:hAnsi="黑体" w:eastAsia="黑体" w:hint="eastAsia"/>
                <w:spacing w:val="-4"/>
                <w:sz w:val="21"/>
                <w:shd w:fill="D9D9D9" w:color="auto" w:val="clear"/>
              </w:rPr>
              <w:t>重大疾病”或“轻症疾</w:t>
            </w:r>
            <w:r>
              <w:rPr>
                <w:rFonts w:ascii="黑体" w:hAnsi="黑体" w:eastAsia="黑体" w:hint="eastAsia"/>
                <w:spacing w:val="-17"/>
                <w:sz w:val="21"/>
                <w:shd w:fill="D9D9D9" w:color="auto" w:val="clear"/>
              </w:rPr>
              <w:t>病”的，本附加合同终止，我们向您退还合同效力终止之日本附加合同的现金价 值。</w:t>
            </w:r>
          </w:p>
        </w:tc>
      </w:tr>
    </w:tbl>
    <w:p>
      <w:pPr>
        <w:rPr>
          <w:sz w:val="2"/>
          <w:szCs w:val="2"/>
        </w:rPr>
      </w:pPr>
      <w:r>
        <w:rPr/>
        <w:pict>
          <v:shape style="position:absolute;margin-left:162.860001pt;margin-top:603.669983pt;width:366.45pt;height:44.9pt;mso-position-horizontal-relative:page;mso-position-vertical-relative:page;z-index:-36232" coordorigin="3257,12073" coordsize="7329,898" path="m10456,12697l3257,12697,3257,12971,10456,12971,10456,12697m10586,12385l3257,12385,3257,12659,10586,12659,10586,12385m10586,12073l3257,12073,3257,12347,10586,12347,10586,12073e" filled="true" fillcolor="#d9d9d9" stroked="false">
            <v:path arrowok="t"/>
            <v:fill type="solid"/>
            <w10:wrap type="none"/>
          </v:shape>
        </w:pict>
      </w:r>
    </w:p>
    <w:p>
      <w:pPr>
        <w:spacing w:after="0"/>
        <w:rPr>
          <w:sz w:val="2"/>
          <w:szCs w:val="2"/>
        </w:rPr>
        <w:sectPr>
          <w:pgSz w:w="11910" w:h="16840"/>
          <w:pgMar w:top="1480" w:bottom="280" w:left="720" w:right="11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64"/>
        <w:gridCol w:w="7511"/>
      </w:tblGrid>
      <w:tr>
        <w:trPr>
          <w:trHeight w:val="522" w:hRule="atLeast"/>
        </w:trPr>
        <w:tc>
          <w:tcPr>
            <w:tcW w:w="709" w:type="dxa"/>
            <w:tcBorders>
              <w:bottom w:val="single" w:sz="4"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075" w:type="dxa"/>
            <w:gridSpan w:val="2"/>
            <w:tcBorders>
              <w:bottom w:val="single" w:sz="4" w:space="0" w:color="000000"/>
            </w:tcBorders>
          </w:tcPr>
          <w:p>
            <w:pPr>
              <w:pStyle w:val="TableParagraph"/>
              <w:spacing w:before="10"/>
              <w:ind w:left="244"/>
              <w:rPr>
                <w:b/>
                <w:sz w:val="24"/>
              </w:rPr>
            </w:pPr>
            <w:r>
              <w:rPr>
                <w:b/>
                <w:w w:val="95"/>
                <w:sz w:val="24"/>
              </w:rPr>
              <w:t>如何申请领取豁免保险费</w:t>
            </w:r>
          </w:p>
        </w:tc>
      </w:tr>
      <w:tr>
        <w:trPr>
          <w:trHeight w:val="2343" w:hRule="atLeast"/>
        </w:trPr>
        <w:tc>
          <w:tcPr>
            <w:tcW w:w="709" w:type="dxa"/>
            <w:tcBorders>
              <w:top w:val="single" w:sz="4" w:space="0" w:color="000000"/>
            </w:tcBorders>
          </w:tcPr>
          <w:p>
            <w:pPr>
              <w:pStyle w:val="TableParagraph"/>
              <w:spacing w:before="9"/>
              <w:rPr>
                <w:sz w:val="22"/>
              </w:rPr>
            </w:pPr>
          </w:p>
          <w:p>
            <w:pPr>
              <w:pStyle w:val="TableParagraph"/>
              <w:spacing w:before="1"/>
              <w:ind w:left="107"/>
              <w:rPr>
                <w:b/>
                <w:sz w:val="21"/>
              </w:rPr>
            </w:pPr>
            <w:r>
              <w:rPr>
                <w:b/>
                <w:sz w:val="21"/>
              </w:rPr>
              <w:t>3.1</w:t>
            </w:r>
          </w:p>
        </w:tc>
        <w:tc>
          <w:tcPr>
            <w:tcW w:w="1564" w:type="dxa"/>
            <w:tcBorders>
              <w:top w:val="single" w:sz="4" w:space="0" w:color="000000"/>
            </w:tcBorders>
          </w:tcPr>
          <w:p>
            <w:pPr>
              <w:pStyle w:val="TableParagraph"/>
              <w:spacing w:before="9"/>
              <w:rPr>
                <w:sz w:val="22"/>
              </w:rPr>
            </w:pPr>
          </w:p>
          <w:p>
            <w:pPr>
              <w:pStyle w:val="TableParagraph"/>
              <w:spacing w:line="273" w:lineRule="auto" w:before="1"/>
              <w:ind w:left="244" w:right="140"/>
              <w:rPr>
                <w:b/>
                <w:sz w:val="21"/>
              </w:rPr>
            </w:pPr>
            <w:r>
              <w:rPr>
                <w:b/>
                <w:sz w:val="21"/>
              </w:rPr>
              <w:t>保险事故通知</w:t>
            </w:r>
          </w:p>
        </w:tc>
        <w:tc>
          <w:tcPr>
            <w:tcW w:w="7511" w:type="dxa"/>
            <w:tcBorders>
              <w:top w:val="single" w:sz="4" w:space="0" w:color="000000"/>
            </w:tcBorders>
          </w:tcPr>
          <w:p>
            <w:pPr>
              <w:pStyle w:val="TableParagraph"/>
              <w:spacing w:before="9"/>
              <w:rPr>
                <w:sz w:val="22"/>
              </w:rPr>
            </w:pPr>
          </w:p>
          <w:p>
            <w:pPr>
              <w:pStyle w:val="TableParagraph"/>
              <w:spacing w:before="1"/>
              <w:ind w:left="72"/>
              <w:rPr>
                <w:sz w:val="21"/>
              </w:rPr>
            </w:pPr>
            <w:r>
              <w:rPr>
                <w:sz w:val="21"/>
              </w:rPr>
              <w:t>您或主合同被保险人、受益人知道保险事故后应当在10日内通知我们。</w:t>
            </w:r>
          </w:p>
          <w:p>
            <w:pPr>
              <w:pStyle w:val="TableParagraph"/>
              <w:spacing w:before="9"/>
              <w:rPr>
                <w:sz w:val="26"/>
              </w:rPr>
            </w:pPr>
          </w:p>
          <w:p>
            <w:pPr>
              <w:pStyle w:val="TableParagraph"/>
              <w:spacing w:line="273" w:lineRule="auto"/>
              <w:ind w:left="72"/>
              <w:jc w:val="both"/>
              <w:rPr>
                <w:sz w:val="21"/>
              </w:rPr>
            </w:pPr>
            <w:r>
              <w:rPr>
                <w:spacing w:val="-5"/>
                <w:sz w:val="21"/>
              </w:rPr>
              <w:t>如果您或主合同被保险人、受益人故意或者因重大过失未及时通知，致使保险事</w:t>
            </w:r>
            <w:r>
              <w:rPr>
                <w:spacing w:val="-7"/>
                <w:sz w:val="21"/>
              </w:rPr>
              <w:t>故的性质、原因、损失程度等难以确定的，我们对无法确定的部分，不承担给付</w:t>
            </w:r>
            <w:r>
              <w:rPr>
                <w:spacing w:val="-8"/>
                <w:sz w:val="21"/>
              </w:rPr>
              <w:t>保险金的责任，但我们通过其他途径已经及时知道或者应当及时知道保险事故发</w:t>
            </w:r>
            <w:r>
              <w:rPr>
                <w:spacing w:val="-10"/>
                <w:sz w:val="21"/>
              </w:rPr>
              <w:t>生或者虽未及时通知但不影响我们确定保险事故的性质、原因、损失程度的除外。</w:t>
            </w:r>
          </w:p>
        </w:tc>
      </w:tr>
      <w:tr>
        <w:trPr>
          <w:trHeight w:val="935" w:hRule="atLeast"/>
        </w:trPr>
        <w:tc>
          <w:tcPr>
            <w:tcW w:w="709" w:type="dxa"/>
          </w:tcPr>
          <w:p>
            <w:pPr>
              <w:pStyle w:val="TableParagraph"/>
              <w:spacing w:before="138"/>
              <w:ind w:left="107"/>
              <w:rPr>
                <w:b/>
                <w:sz w:val="21"/>
              </w:rPr>
            </w:pPr>
            <w:r>
              <w:rPr>
                <w:b/>
                <w:sz w:val="21"/>
              </w:rPr>
              <w:t>3.2</w:t>
            </w:r>
          </w:p>
        </w:tc>
        <w:tc>
          <w:tcPr>
            <w:tcW w:w="1564" w:type="dxa"/>
          </w:tcPr>
          <w:p>
            <w:pPr>
              <w:pStyle w:val="TableParagraph"/>
              <w:spacing w:line="273" w:lineRule="auto" w:before="138"/>
              <w:ind w:left="244" w:right="140"/>
              <w:rPr>
                <w:b/>
                <w:sz w:val="21"/>
              </w:rPr>
            </w:pPr>
            <w:r>
              <w:rPr>
                <w:b/>
                <w:sz w:val="21"/>
              </w:rPr>
              <w:t>豁免保险费申请</w:t>
            </w:r>
          </w:p>
        </w:tc>
        <w:tc>
          <w:tcPr>
            <w:tcW w:w="7511" w:type="dxa"/>
          </w:tcPr>
          <w:p>
            <w:pPr>
              <w:pStyle w:val="TableParagraph"/>
              <w:spacing w:before="138"/>
              <w:ind w:left="72"/>
              <w:rPr>
                <w:sz w:val="21"/>
              </w:rPr>
            </w:pPr>
            <w:r>
              <w:rPr>
                <w:sz w:val="21"/>
              </w:rPr>
              <w:t>在申请豁免保险费时，请按照下列方式办理：</w:t>
            </w:r>
          </w:p>
        </w:tc>
      </w:tr>
      <w:tr>
        <w:trPr>
          <w:trHeight w:val="3744" w:hRule="atLeast"/>
        </w:trPr>
        <w:tc>
          <w:tcPr>
            <w:tcW w:w="709" w:type="dxa"/>
          </w:tcPr>
          <w:p>
            <w:pPr>
              <w:pStyle w:val="TableParagraph"/>
              <w:rPr>
                <w:rFonts w:ascii="Times New Roman"/>
                <w:sz w:val="20"/>
              </w:rPr>
            </w:pPr>
          </w:p>
        </w:tc>
        <w:tc>
          <w:tcPr>
            <w:tcW w:w="1564" w:type="dxa"/>
          </w:tcPr>
          <w:p>
            <w:pPr>
              <w:pStyle w:val="TableParagraph"/>
              <w:spacing w:line="184" w:lineRule="auto" w:before="147"/>
              <w:ind w:left="244" w:right="69"/>
              <w:jc w:val="both"/>
              <w:rPr>
                <w:rFonts w:ascii="Microsoft JhengHei" w:eastAsia="Microsoft JhengHei" w:hint="eastAsia"/>
                <w:b/>
                <w:sz w:val="24"/>
              </w:rPr>
            </w:pPr>
            <w:r>
              <w:rPr>
                <w:rFonts w:ascii="Microsoft JhengHei" w:eastAsia="Microsoft JhengHei" w:hint="eastAsia"/>
                <w:b/>
                <w:sz w:val="24"/>
              </w:rPr>
              <w:t>重 大 疾 病豁 免 保 险费、轻症疾病 豁 免 保险费申请</w:t>
            </w:r>
          </w:p>
        </w:tc>
        <w:tc>
          <w:tcPr>
            <w:tcW w:w="7511" w:type="dxa"/>
          </w:tcPr>
          <w:p>
            <w:pPr>
              <w:pStyle w:val="TableParagraph"/>
              <w:spacing w:line="273" w:lineRule="auto" w:before="138"/>
              <w:ind w:left="72" w:right="81"/>
              <w:rPr>
                <w:sz w:val="21"/>
              </w:rPr>
            </w:pPr>
            <w:r>
              <w:rPr>
                <w:sz w:val="21"/>
              </w:rPr>
              <w:t>在申请重大疾病豁免保险费或轻症疾病豁免保险费时，由您或主合同被保险人、受益人填写豁免保险费申请书，并提供下列证明和资料：</w:t>
            </w:r>
          </w:p>
          <w:p>
            <w:pPr>
              <w:pStyle w:val="TableParagraph"/>
              <w:spacing w:before="7"/>
              <w:ind w:left="72"/>
              <w:rPr>
                <w:sz w:val="21"/>
              </w:rPr>
            </w:pPr>
            <w:r>
              <w:rPr>
                <w:sz w:val="21"/>
              </w:rPr>
              <w:t>（1）保险合同；</w:t>
            </w:r>
          </w:p>
          <w:p>
            <w:pPr>
              <w:pStyle w:val="TableParagraph"/>
              <w:spacing w:before="36"/>
              <w:ind w:left="72"/>
              <w:rPr>
                <w:sz w:val="21"/>
              </w:rPr>
            </w:pPr>
            <w:r>
              <w:rPr>
                <w:sz w:val="21"/>
              </w:rPr>
              <w:t>（2）申请人的有效身份证件；</w:t>
            </w:r>
          </w:p>
          <w:p>
            <w:pPr>
              <w:pStyle w:val="TableParagraph"/>
              <w:spacing w:line="273" w:lineRule="auto" w:before="36"/>
              <w:ind w:left="576" w:right="187" w:hanging="504"/>
              <w:jc w:val="both"/>
              <w:rPr>
                <w:sz w:val="21"/>
              </w:rPr>
            </w:pPr>
            <w:r>
              <w:rPr>
                <w:sz w:val="21"/>
              </w:rPr>
              <w:t>（3）医院的专科医生出具的附有病理显微镜检查、血液检验及其他科学方法检验报告的、诊断结论符合“8.8 重大疾病” 或“8.13 轻症疾病”所列举情形的疾病诊断证明书；</w:t>
            </w:r>
          </w:p>
          <w:p>
            <w:pPr>
              <w:pStyle w:val="TableParagraph"/>
              <w:spacing w:before="7"/>
              <w:ind w:left="88"/>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72" w:right="74"/>
              <w:rPr>
                <w:sz w:val="21"/>
              </w:rPr>
            </w:pPr>
            <w:r>
              <w:rPr>
                <w:sz w:val="21"/>
              </w:rPr>
              <w:t>以上证明和资料不完整的，我们将及时一次性通知申请人补充提供有关证明和资料。</w:t>
            </w:r>
          </w:p>
        </w:tc>
      </w:tr>
      <w:tr>
        <w:trPr>
          <w:trHeight w:val="3436" w:hRule="atLeast"/>
        </w:trPr>
        <w:tc>
          <w:tcPr>
            <w:tcW w:w="709" w:type="dxa"/>
          </w:tcPr>
          <w:p>
            <w:pPr>
              <w:pStyle w:val="TableParagraph"/>
              <w:rPr>
                <w:rFonts w:ascii="Times New Roman"/>
                <w:sz w:val="20"/>
              </w:rPr>
            </w:pPr>
          </w:p>
        </w:tc>
        <w:tc>
          <w:tcPr>
            <w:tcW w:w="1564" w:type="dxa"/>
          </w:tcPr>
          <w:p>
            <w:pPr>
              <w:pStyle w:val="TableParagraph"/>
              <w:spacing w:line="182" w:lineRule="auto" w:before="151"/>
              <w:ind w:left="244" w:right="69"/>
              <w:jc w:val="both"/>
              <w:rPr>
                <w:rFonts w:ascii="Microsoft JhengHei" w:eastAsia="Microsoft JhengHei" w:hint="eastAsia"/>
                <w:b/>
                <w:sz w:val="24"/>
              </w:rPr>
            </w:pPr>
            <w:r>
              <w:rPr>
                <w:rFonts w:ascii="Microsoft JhengHei" w:eastAsia="Microsoft JhengHei" w:hint="eastAsia"/>
                <w:b/>
                <w:sz w:val="24"/>
              </w:rPr>
              <w:t>身 故 豁 免保 险 费 申请</w:t>
            </w:r>
          </w:p>
        </w:tc>
        <w:tc>
          <w:tcPr>
            <w:tcW w:w="7511" w:type="dxa"/>
          </w:tcPr>
          <w:p>
            <w:pPr>
              <w:pStyle w:val="TableParagraph"/>
              <w:spacing w:line="273" w:lineRule="auto" w:before="138"/>
              <w:ind w:left="72" w:right="81"/>
              <w:rPr>
                <w:sz w:val="21"/>
              </w:rPr>
            </w:pPr>
            <w:r>
              <w:rPr>
                <w:sz w:val="21"/>
              </w:rPr>
              <w:t>在申请身故豁免保险费时，由主合同被保险人、受益人填写豁免保险费申请书， 并须提交下列证明和资料：</w:t>
            </w:r>
          </w:p>
          <w:p>
            <w:pPr>
              <w:pStyle w:val="TableParagraph"/>
              <w:spacing w:before="7"/>
              <w:ind w:left="72"/>
              <w:rPr>
                <w:sz w:val="21"/>
              </w:rPr>
            </w:pPr>
            <w:r>
              <w:rPr>
                <w:sz w:val="21"/>
              </w:rPr>
              <w:t>（1）保险合同；</w:t>
            </w:r>
          </w:p>
          <w:p>
            <w:pPr>
              <w:pStyle w:val="TableParagraph"/>
              <w:spacing w:before="36"/>
              <w:ind w:left="72"/>
              <w:rPr>
                <w:sz w:val="21"/>
              </w:rPr>
            </w:pPr>
            <w:r>
              <w:rPr>
                <w:sz w:val="21"/>
              </w:rPr>
              <w:t>（2）申请人的有效身份证件；</w:t>
            </w:r>
          </w:p>
          <w:p>
            <w:pPr>
              <w:pStyle w:val="TableParagraph"/>
              <w:spacing w:line="273" w:lineRule="auto" w:before="36"/>
              <w:ind w:left="578" w:right="187" w:hanging="507"/>
              <w:rPr>
                <w:sz w:val="21"/>
              </w:rPr>
            </w:pPr>
            <w:r>
              <w:rPr>
                <w:sz w:val="21"/>
              </w:rPr>
              <w:t>（3）国家卫生行政部门认定的医疗机构、公安部门或其他相关机构出具的被保险人的死亡证明；</w:t>
            </w:r>
          </w:p>
          <w:p>
            <w:pPr>
              <w:pStyle w:val="TableParagraph"/>
              <w:spacing w:before="7"/>
              <w:ind w:left="72"/>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72" w:right="74"/>
              <w:rPr>
                <w:sz w:val="21"/>
              </w:rPr>
            </w:pPr>
            <w:r>
              <w:rPr>
                <w:sz w:val="21"/>
              </w:rPr>
              <w:t>以上证明和资料不完整的，我们将及时一次性通知申请人补充提供有关证明和资料。</w:t>
            </w:r>
          </w:p>
        </w:tc>
      </w:tr>
      <w:tr>
        <w:trPr>
          <w:trHeight w:val="2917" w:hRule="atLeast"/>
        </w:trPr>
        <w:tc>
          <w:tcPr>
            <w:tcW w:w="709" w:type="dxa"/>
          </w:tcPr>
          <w:p>
            <w:pPr>
              <w:pStyle w:val="TableParagraph"/>
              <w:spacing w:before="142"/>
              <w:ind w:left="107"/>
              <w:rPr>
                <w:b/>
                <w:sz w:val="21"/>
              </w:rPr>
            </w:pPr>
            <w:r>
              <w:rPr>
                <w:b/>
                <w:sz w:val="21"/>
              </w:rPr>
              <w:t>3.3</w:t>
            </w:r>
          </w:p>
        </w:tc>
        <w:tc>
          <w:tcPr>
            <w:tcW w:w="1564" w:type="dxa"/>
          </w:tcPr>
          <w:p>
            <w:pPr>
              <w:pStyle w:val="TableParagraph"/>
              <w:spacing w:line="273" w:lineRule="auto" w:before="142"/>
              <w:ind w:left="244" w:right="140"/>
              <w:rPr>
                <w:b/>
                <w:sz w:val="21"/>
              </w:rPr>
            </w:pPr>
            <w:r>
              <w:rPr>
                <w:b/>
                <w:sz w:val="21"/>
              </w:rPr>
              <w:t>保险费的豁免</w:t>
            </w:r>
          </w:p>
        </w:tc>
        <w:tc>
          <w:tcPr>
            <w:tcW w:w="7511" w:type="dxa"/>
          </w:tcPr>
          <w:p>
            <w:pPr>
              <w:pStyle w:val="TableParagraph"/>
              <w:spacing w:before="142"/>
              <w:ind w:left="72" w:right="-15"/>
              <w:rPr>
                <w:sz w:val="21"/>
              </w:rPr>
            </w:pPr>
            <w:r>
              <w:rPr>
                <w:spacing w:val="-9"/>
                <w:sz w:val="21"/>
              </w:rPr>
              <w:t>我们在收到豁免保险费申请书及合同约定的证明和资料后，将在 </w:t>
            </w:r>
            <w:r>
              <w:rPr>
                <w:sz w:val="21"/>
              </w:rPr>
              <w:t>5</w:t>
            </w:r>
            <w:r>
              <w:rPr>
                <w:spacing w:val="-8"/>
                <w:sz w:val="21"/>
              </w:rPr>
              <w:t> 日内作出核定；</w:t>
            </w:r>
          </w:p>
          <w:p>
            <w:pPr>
              <w:pStyle w:val="TableParagraph"/>
              <w:spacing w:line="273" w:lineRule="auto" w:before="37"/>
              <w:ind w:left="72" w:right="55"/>
              <w:rPr>
                <w:sz w:val="21"/>
              </w:rPr>
            </w:pPr>
            <w:r>
              <w:rPr>
                <w:sz w:val="21"/>
              </w:rPr>
              <w:t>情形复杂的，在 30 日内作出核定。但因第三方责任或其他非我们的责任导致保险事故的性质、金额无法确定的除外。</w:t>
            </w:r>
          </w:p>
          <w:p>
            <w:pPr>
              <w:pStyle w:val="TableParagraph"/>
              <w:spacing w:before="5"/>
              <w:rPr>
                <w:sz w:val="24"/>
              </w:rPr>
            </w:pPr>
          </w:p>
          <w:p>
            <w:pPr>
              <w:pStyle w:val="TableParagraph"/>
              <w:spacing w:line="273" w:lineRule="auto"/>
              <w:ind w:left="72" w:right="103"/>
              <w:rPr>
                <w:sz w:val="21"/>
              </w:rPr>
            </w:pPr>
            <w:r>
              <w:rPr>
                <w:spacing w:val="-6"/>
                <w:sz w:val="21"/>
              </w:rPr>
              <w:t>对确定属于保险责任的，在与主合同被保险人、受益人达成有关豁免保险费数额</w:t>
            </w:r>
            <w:r>
              <w:rPr>
                <w:spacing w:val="-12"/>
                <w:sz w:val="21"/>
              </w:rPr>
              <w:t>的协议后 </w:t>
            </w:r>
            <w:r>
              <w:rPr>
                <w:sz w:val="21"/>
              </w:rPr>
              <w:t>10</w:t>
            </w:r>
            <w:r>
              <w:rPr>
                <w:spacing w:val="-8"/>
                <w:sz w:val="21"/>
              </w:rPr>
              <w:t> 日内，履行豁免保险费义务。</w:t>
            </w:r>
          </w:p>
          <w:p>
            <w:pPr>
              <w:pStyle w:val="TableParagraph"/>
              <w:spacing w:before="9"/>
              <w:rPr>
                <w:sz w:val="21"/>
              </w:rPr>
            </w:pPr>
          </w:p>
          <w:p>
            <w:pPr>
              <w:pStyle w:val="TableParagraph"/>
              <w:spacing w:line="310" w:lineRule="atLeast"/>
              <w:ind w:left="72" w:right="72"/>
              <w:rPr>
                <w:sz w:val="21"/>
              </w:rPr>
            </w:pPr>
            <w:r>
              <w:rPr>
                <w:sz w:val="21"/>
              </w:rPr>
              <w:t>我们未及时履行前款规定义务的，除支付豁免保险费外，应当赔偿主合同被保险人、受益人因此受到的损失。</w:t>
            </w:r>
          </w:p>
        </w:tc>
      </w:tr>
    </w:tbl>
    <w:p>
      <w:pPr>
        <w:spacing w:after="0" w:line="310" w:lineRule="atLeast"/>
        <w:rPr>
          <w:sz w:val="21"/>
        </w:rPr>
        <w:sectPr>
          <w:pgSz w:w="11910" w:h="16840"/>
          <w:pgMar w:top="1220" w:bottom="280" w:left="80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28"/>
        <w:gridCol w:w="7543"/>
      </w:tblGrid>
      <w:tr>
        <w:trPr>
          <w:trHeight w:val="1977" w:hRule="atLeast"/>
        </w:trPr>
        <w:tc>
          <w:tcPr>
            <w:tcW w:w="709" w:type="dxa"/>
          </w:tcPr>
          <w:p>
            <w:pPr>
              <w:pStyle w:val="TableParagraph"/>
              <w:rPr>
                <w:rFonts w:ascii="Times New Roman"/>
                <w:sz w:val="20"/>
              </w:rPr>
            </w:pPr>
          </w:p>
        </w:tc>
        <w:tc>
          <w:tcPr>
            <w:tcW w:w="1528" w:type="dxa"/>
          </w:tcPr>
          <w:p>
            <w:pPr>
              <w:pStyle w:val="TableParagraph"/>
              <w:rPr>
                <w:rFonts w:ascii="Times New Roman"/>
                <w:sz w:val="20"/>
              </w:rPr>
            </w:pPr>
          </w:p>
        </w:tc>
        <w:tc>
          <w:tcPr>
            <w:tcW w:w="7543" w:type="dxa"/>
          </w:tcPr>
          <w:p>
            <w:pPr>
              <w:pStyle w:val="TableParagraph"/>
              <w:spacing w:line="211" w:lineRule="exact"/>
              <w:ind w:left="108"/>
              <w:rPr>
                <w:sz w:val="21"/>
              </w:rPr>
            </w:pPr>
            <w:r>
              <w:rPr>
                <w:spacing w:val="-6"/>
                <w:sz w:val="21"/>
              </w:rPr>
              <w:t>对不属于保险责任的，我们自作出核定之日起 </w:t>
            </w:r>
            <w:r>
              <w:rPr>
                <w:sz w:val="21"/>
              </w:rPr>
              <w:t>3</w:t>
            </w:r>
            <w:r>
              <w:rPr>
                <w:spacing w:val="-8"/>
                <w:sz w:val="21"/>
              </w:rPr>
              <w:t> 日内向主合同被保险人、受益人</w:t>
            </w:r>
          </w:p>
          <w:p>
            <w:pPr>
              <w:pStyle w:val="TableParagraph"/>
              <w:spacing w:before="37"/>
              <w:ind w:left="108"/>
              <w:rPr>
                <w:sz w:val="21"/>
              </w:rPr>
            </w:pPr>
            <w:r>
              <w:rPr>
                <w:sz w:val="21"/>
              </w:rPr>
              <w:t>发出拒绝豁免保险费通知书并说明理由。</w:t>
            </w:r>
          </w:p>
          <w:p>
            <w:pPr>
              <w:pStyle w:val="TableParagraph"/>
              <w:spacing w:before="9"/>
              <w:rPr>
                <w:sz w:val="26"/>
              </w:rPr>
            </w:pPr>
          </w:p>
          <w:p>
            <w:pPr>
              <w:pStyle w:val="TableParagraph"/>
              <w:spacing w:line="273" w:lineRule="auto"/>
              <w:ind w:left="108" w:right="99"/>
              <w:jc w:val="both"/>
              <w:rPr>
                <w:sz w:val="21"/>
              </w:rPr>
            </w:pPr>
            <w:r>
              <w:rPr>
                <w:spacing w:val="-3"/>
                <w:sz w:val="21"/>
              </w:rPr>
              <w:t>我们在收到豁免保险费申请书及有关证明和资料之日起 </w:t>
            </w:r>
            <w:r>
              <w:rPr>
                <w:sz w:val="21"/>
              </w:rPr>
              <w:t>60</w:t>
            </w:r>
            <w:r>
              <w:rPr>
                <w:spacing w:val="-3"/>
                <w:sz w:val="21"/>
              </w:rPr>
              <w:t> 日内，对保险费豁免</w:t>
            </w:r>
            <w:r>
              <w:rPr>
                <w:spacing w:val="-6"/>
                <w:sz w:val="21"/>
              </w:rPr>
              <w:t>的数额不能确定的，根据已有证明和资料可以确定的数额先予豁免；我们最终确</w:t>
            </w:r>
            <w:r>
              <w:rPr>
                <w:spacing w:val="-3"/>
                <w:sz w:val="21"/>
              </w:rPr>
              <w:t>定保险费豁免的数额后，将豁免相应的差额。</w:t>
            </w:r>
          </w:p>
        </w:tc>
      </w:tr>
      <w:tr>
        <w:trPr>
          <w:trHeight w:val="2184" w:hRule="atLeast"/>
        </w:trPr>
        <w:tc>
          <w:tcPr>
            <w:tcW w:w="709" w:type="dxa"/>
          </w:tcPr>
          <w:p>
            <w:pPr>
              <w:pStyle w:val="TableParagraph"/>
              <w:spacing w:before="142"/>
              <w:ind w:left="107"/>
              <w:rPr>
                <w:b/>
                <w:sz w:val="21"/>
              </w:rPr>
            </w:pPr>
            <w:r>
              <w:rPr>
                <w:b/>
                <w:sz w:val="21"/>
              </w:rPr>
              <w:t>3.4</w:t>
            </w:r>
          </w:p>
        </w:tc>
        <w:tc>
          <w:tcPr>
            <w:tcW w:w="1528" w:type="dxa"/>
          </w:tcPr>
          <w:p>
            <w:pPr>
              <w:pStyle w:val="TableParagraph"/>
              <w:spacing w:before="142"/>
              <w:ind w:left="244"/>
              <w:rPr>
                <w:b/>
                <w:sz w:val="21"/>
              </w:rPr>
            </w:pPr>
            <w:r>
              <w:rPr>
                <w:b/>
                <w:sz w:val="21"/>
              </w:rPr>
              <w:t>失踪处理</w:t>
            </w:r>
          </w:p>
        </w:tc>
        <w:tc>
          <w:tcPr>
            <w:tcW w:w="7543" w:type="dxa"/>
          </w:tcPr>
          <w:p>
            <w:pPr>
              <w:pStyle w:val="TableParagraph"/>
              <w:spacing w:line="273" w:lineRule="auto" w:before="142"/>
              <w:ind w:left="108" w:right="99"/>
              <w:jc w:val="both"/>
              <w:rPr>
                <w:sz w:val="21"/>
              </w:rPr>
            </w:pPr>
            <w:r>
              <w:rPr>
                <w:spacing w:val="-5"/>
                <w:sz w:val="21"/>
              </w:rPr>
              <w:t>在本附加合同有效期内，如果被保险人因本附加合同约定的保险事故失踪且被法</w:t>
            </w:r>
            <w:r>
              <w:rPr>
                <w:spacing w:val="-7"/>
                <w:sz w:val="21"/>
              </w:rPr>
              <w:t>院宣告死亡，我们以法院判决宣告死亡之日作为被保险人的死亡时间，按本附加</w:t>
            </w:r>
            <w:r>
              <w:rPr>
                <w:spacing w:val="-5"/>
                <w:sz w:val="21"/>
              </w:rPr>
              <w:t>合同的约定豁免保险费，本附加合同终止。</w:t>
            </w:r>
          </w:p>
          <w:p>
            <w:pPr>
              <w:pStyle w:val="TableParagraph"/>
              <w:spacing w:before="5"/>
              <w:rPr>
                <w:sz w:val="24"/>
              </w:rPr>
            </w:pPr>
          </w:p>
          <w:p>
            <w:pPr>
              <w:pStyle w:val="TableParagraph"/>
              <w:spacing w:line="273" w:lineRule="auto"/>
              <w:ind w:left="108" w:right="99"/>
              <w:jc w:val="both"/>
              <w:rPr>
                <w:sz w:val="21"/>
              </w:rPr>
            </w:pPr>
            <w:r>
              <w:rPr>
                <w:spacing w:val="-4"/>
                <w:sz w:val="21"/>
              </w:rPr>
              <w:t>如果被保险人在宣告死亡后重新出现或者受益人确知其没有死亡的，受益人应于知道后</w:t>
            </w:r>
            <w:r>
              <w:rPr>
                <w:sz w:val="21"/>
              </w:rPr>
              <w:t>30</w:t>
            </w:r>
            <w:r>
              <w:rPr>
                <w:spacing w:val="-3"/>
                <w:sz w:val="21"/>
              </w:rPr>
              <w:t>日内向我们退还已给付的豁免保险费，本附加合同的效力依法确定。</w:t>
            </w:r>
          </w:p>
        </w:tc>
      </w:tr>
      <w:tr>
        <w:trPr>
          <w:trHeight w:val="1273" w:hRule="atLeast"/>
        </w:trPr>
        <w:tc>
          <w:tcPr>
            <w:tcW w:w="709" w:type="dxa"/>
          </w:tcPr>
          <w:p>
            <w:pPr>
              <w:pStyle w:val="TableParagraph"/>
              <w:spacing w:before="143"/>
              <w:ind w:left="107"/>
              <w:rPr>
                <w:b/>
                <w:sz w:val="21"/>
              </w:rPr>
            </w:pPr>
            <w:r>
              <w:rPr>
                <w:b/>
                <w:sz w:val="21"/>
              </w:rPr>
              <w:t>3.5</w:t>
            </w:r>
          </w:p>
        </w:tc>
        <w:tc>
          <w:tcPr>
            <w:tcW w:w="1528" w:type="dxa"/>
          </w:tcPr>
          <w:p>
            <w:pPr>
              <w:pStyle w:val="TableParagraph"/>
              <w:spacing w:before="143"/>
              <w:ind w:left="244"/>
              <w:rPr>
                <w:b/>
                <w:sz w:val="21"/>
              </w:rPr>
            </w:pPr>
            <w:r>
              <w:rPr>
                <w:b/>
                <w:sz w:val="21"/>
              </w:rPr>
              <w:t>诉讼时效</w:t>
            </w:r>
          </w:p>
        </w:tc>
        <w:tc>
          <w:tcPr>
            <w:tcW w:w="7543" w:type="dxa"/>
          </w:tcPr>
          <w:p>
            <w:pPr>
              <w:pStyle w:val="TableParagraph"/>
              <w:spacing w:line="273" w:lineRule="auto" w:before="143"/>
              <w:ind w:left="108" w:right="183"/>
              <w:jc w:val="both"/>
              <w:rPr>
                <w:sz w:val="21"/>
              </w:rPr>
            </w:pPr>
            <w:r>
              <w:rPr>
                <w:sz w:val="21"/>
              </w:rPr>
              <w:t>主合同被保险人、受益人向我们请求身故豁免保险费的诉讼时效期间为5年，重大疾病豁免保险费和轻症疾病豁免保险费的诉讼时效期间为2年，自其知道或者应当知道保险事故发生之日起计算。</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071" w:type="dxa"/>
            <w:gridSpan w:val="2"/>
            <w:tcBorders>
              <w:bottom w:val="single" w:sz="8" w:space="0" w:color="000000"/>
            </w:tcBorders>
          </w:tcPr>
          <w:p>
            <w:pPr>
              <w:pStyle w:val="TableParagraph"/>
              <w:spacing w:before="10"/>
              <w:rPr>
                <w:sz w:val="18"/>
              </w:rPr>
            </w:pPr>
          </w:p>
          <w:p>
            <w:pPr>
              <w:pStyle w:val="TableParagraph"/>
              <w:ind w:left="244"/>
              <w:rPr>
                <w:b/>
                <w:sz w:val="24"/>
              </w:rPr>
            </w:pPr>
            <w:r>
              <w:rPr>
                <w:b/>
                <w:w w:val="95"/>
                <w:sz w:val="24"/>
              </w:rPr>
              <w:t>如何支付保险费</w:t>
            </w:r>
          </w:p>
        </w:tc>
      </w:tr>
      <w:tr>
        <w:trPr>
          <w:trHeight w:val="1719" w:hRule="atLeast"/>
        </w:trPr>
        <w:tc>
          <w:tcPr>
            <w:tcW w:w="709" w:type="dxa"/>
            <w:tcBorders>
              <w:top w:val="single" w:sz="8" w:space="0" w:color="000000"/>
            </w:tcBorders>
          </w:tcPr>
          <w:p>
            <w:pPr>
              <w:pStyle w:val="TableParagraph"/>
              <w:rPr>
                <w:sz w:val="23"/>
              </w:rPr>
            </w:pPr>
          </w:p>
          <w:p>
            <w:pPr>
              <w:pStyle w:val="TableParagraph"/>
              <w:ind w:left="107"/>
              <w:rPr>
                <w:b/>
                <w:sz w:val="21"/>
              </w:rPr>
            </w:pPr>
            <w:r>
              <w:rPr>
                <w:b/>
                <w:sz w:val="21"/>
              </w:rPr>
              <w:t>4.1</w:t>
            </w:r>
          </w:p>
        </w:tc>
        <w:tc>
          <w:tcPr>
            <w:tcW w:w="1528" w:type="dxa"/>
            <w:tcBorders>
              <w:top w:val="single" w:sz="8" w:space="0" w:color="000000"/>
            </w:tcBorders>
          </w:tcPr>
          <w:p>
            <w:pPr>
              <w:pStyle w:val="TableParagraph"/>
              <w:rPr>
                <w:sz w:val="23"/>
              </w:rPr>
            </w:pPr>
          </w:p>
          <w:p>
            <w:pPr>
              <w:pStyle w:val="TableParagraph"/>
              <w:spacing w:line="273" w:lineRule="auto"/>
              <w:ind w:left="244" w:right="104"/>
              <w:rPr>
                <w:b/>
                <w:sz w:val="21"/>
              </w:rPr>
            </w:pPr>
            <w:r>
              <w:rPr>
                <w:b/>
                <w:sz w:val="21"/>
              </w:rPr>
              <w:t>保险费的支付</w:t>
            </w:r>
          </w:p>
        </w:tc>
        <w:tc>
          <w:tcPr>
            <w:tcW w:w="7543" w:type="dxa"/>
            <w:tcBorders>
              <w:top w:val="single" w:sz="8" w:space="0" w:color="000000"/>
            </w:tcBorders>
          </w:tcPr>
          <w:p>
            <w:pPr>
              <w:pStyle w:val="TableParagraph"/>
              <w:rPr>
                <w:sz w:val="23"/>
              </w:rPr>
            </w:pPr>
          </w:p>
          <w:p>
            <w:pPr>
              <w:pStyle w:val="TableParagraph"/>
              <w:spacing w:line="273" w:lineRule="auto"/>
              <w:ind w:left="108" w:right="286"/>
              <w:rPr>
                <w:sz w:val="21"/>
              </w:rPr>
            </w:pPr>
            <w:r>
              <w:rPr>
                <w:sz w:val="21"/>
              </w:rPr>
              <w:t>本附加合同的保险费按照基本保险金额和约定的费率标准确定。我们若调整费率，续保时将根据续保生效当时的费率重新计算保险费。</w:t>
            </w:r>
          </w:p>
          <w:p>
            <w:pPr>
              <w:pStyle w:val="TableParagraph"/>
              <w:spacing w:before="5"/>
              <w:rPr>
                <w:sz w:val="24"/>
              </w:rPr>
            </w:pPr>
          </w:p>
          <w:p>
            <w:pPr>
              <w:pStyle w:val="TableParagraph"/>
              <w:ind w:left="108"/>
              <w:rPr>
                <w:sz w:val="21"/>
              </w:rPr>
            </w:pPr>
            <w:r>
              <w:rPr>
                <w:sz w:val="21"/>
              </w:rPr>
              <w:t>本附加合同的保险费应与被豁免保险合同保险费一并支付。</w:t>
            </w:r>
          </w:p>
        </w:tc>
      </w:tr>
      <w:tr>
        <w:trPr>
          <w:trHeight w:val="3145" w:hRule="atLeast"/>
        </w:trPr>
        <w:tc>
          <w:tcPr>
            <w:tcW w:w="709" w:type="dxa"/>
          </w:tcPr>
          <w:p>
            <w:pPr>
              <w:pStyle w:val="TableParagraph"/>
              <w:spacing w:before="143"/>
              <w:ind w:left="107"/>
              <w:rPr>
                <w:b/>
                <w:sz w:val="21"/>
              </w:rPr>
            </w:pPr>
            <w:r>
              <w:rPr>
                <w:b/>
                <w:sz w:val="21"/>
              </w:rPr>
              <w:t>4.2</w:t>
            </w:r>
          </w:p>
        </w:tc>
        <w:tc>
          <w:tcPr>
            <w:tcW w:w="1528" w:type="dxa"/>
          </w:tcPr>
          <w:p>
            <w:pPr>
              <w:pStyle w:val="TableParagraph"/>
              <w:spacing w:before="143"/>
              <w:ind w:left="244"/>
              <w:rPr>
                <w:b/>
                <w:sz w:val="21"/>
              </w:rPr>
            </w:pPr>
            <w:r>
              <w:rPr>
                <w:b/>
                <w:sz w:val="21"/>
              </w:rPr>
              <w:t>宽限期</w:t>
            </w:r>
          </w:p>
        </w:tc>
        <w:tc>
          <w:tcPr>
            <w:tcW w:w="7543" w:type="dxa"/>
          </w:tcPr>
          <w:p>
            <w:pPr>
              <w:pStyle w:val="TableParagraph"/>
              <w:spacing w:line="273" w:lineRule="auto" w:before="143"/>
              <w:ind w:left="108" w:right="99"/>
              <w:jc w:val="both"/>
              <w:rPr>
                <w:sz w:val="21"/>
              </w:rPr>
            </w:pPr>
            <w:r>
              <w:rPr>
                <w:spacing w:val="-8"/>
                <w:sz w:val="21"/>
              </w:rPr>
              <w:t>本附加合同 </w:t>
            </w:r>
            <w:r>
              <w:rPr>
                <w:sz w:val="21"/>
              </w:rPr>
              <w:t>1</w:t>
            </w:r>
            <w:r>
              <w:rPr>
                <w:spacing w:val="-9"/>
                <w:sz w:val="21"/>
              </w:rPr>
              <w:t> 年期满时，若我们同意续保，除本附加合同另有约定外，您应按照</w:t>
            </w:r>
            <w:r>
              <w:rPr>
                <w:spacing w:val="-7"/>
                <w:sz w:val="21"/>
              </w:rPr>
              <w:t>约定的方法及日期支付保险费；如果您到期未支付保险费，自保险费约定支付日</w:t>
            </w:r>
            <w:r>
              <w:rPr>
                <w:spacing w:val="-14"/>
                <w:sz w:val="21"/>
              </w:rPr>
              <w:t>的次日起 </w:t>
            </w:r>
            <w:r>
              <w:rPr>
                <w:sz w:val="21"/>
              </w:rPr>
              <w:t>60</w:t>
            </w:r>
            <w:r>
              <w:rPr>
                <w:spacing w:val="-10"/>
                <w:sz w:val="21"/>
              </w:rPr>
              <w:t> 日为宽限期。</w:t>
            </w:r>
          </w:p>
          <w:p>
            <w:pPr>
              <w:pStyle w:val="TableParagraph"/>
              <w:spacing w:before="5"/>
              <w:rPr>
                <w:sz w:val="24"/>
              </w:rPr>
            </w:pPr>
          </w:p>
          <w:p>
            <w:pPr>
              <w:pStyle w:val="TableParagraph"/>
              <w:spacing w:line="273" w:lineRule="auto" w:before="1"/>
              <w:ind w:left="108" w:right="99"/>
              <w:jc w:val="both"/>
              <w:rPr>
                <w:sz w:val="21"/>
              </w:rPr>
            </w:pPr>
            <w:r>
              <w:rPr>
                <w:spacing w:val="-5"/>
                <w:sz w:val="21"/>
              </w:rPr>
              <w:t>宽限期内发生保险事故的，在您补交被豁免保险合同及本附加合同当期应交保险</w:t>
            </w:r>
            <w:r>
              <w:rPr>
                <w:spacing w:val="-4"/>
                <w:sz w:val="21"/>
              </w:rPr>
              <w:t>费后，我们仍承担保险责任。</w:t>
            </w:r>
          </w:p>
          <w:p>
            <w:pPr>
              <w:pStyle w:val="TableParagraph"/>
              <w:spacing w:before="5"/>
              <w:rPr>
                <w:sz w:val="24"/>
              </w:rPr>
            </w:pPr>
          </w:p>
          <w:p>
            <w:pPr>
              <w:pStyle w:val="TableParagraph"/>
              <w:spacing w:line="273" w:lineRule="auto" w:before="1"/>
              <w:ind w:left="108" w:right="99"/>
              <w:jc w:val="both"/>
              <w:rPr>
                <w:sz w:val="21"/>
              </w:rPr>
            </w:pPr>
            <w:r>
              <w:rPr>
                <w:spacing w:val="-5"/>
                <w:sz w:val="21"/>
              </w:rPr>
              <w:t>如果您宽限期结束之后仍未支付保险费，则本附加合同自宽限期满的次日零时起</w:t>
            </w:r>
            <w:r>
              <w:rPr>
                <w:spacing w:val="-4"/>
                <w:sz w:val="21"/>
              </w:rPr>
              <w:t>效力终止。</w:t>
            </w:r>
          </w:p>
        </w:tc>
      </w:tr>
      <w:tr>
        <w:trPr>
          <w:trHeight w:val="753" w:hRule="atLeast"/>
        </w:trPr>
        <w:tc>
          <w:tcPr>
            <w:tcW w:w="709"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9071" w:type="dxa"/>
            <w:gridSpan w:val="2"/>
            <w:tcBorders>
              <w:bottom w:val="single" w:sz="4" w:space="0" w:color="000000"/>
            </w:tcBorders>
          </w:tcPr>
          <w:p>
            <w:pPr>
              <w:pStyle w:val="TableParagraph"/>
              <w:spacing w:before="10"/>
              <w:rPr>
                <w:sz w:val="18"/>
              </w:rPr>
            </w:pPr>
          </w:p>
          <w:p>
            <w:pPr>
              <w:pStyle w:val="TableParagraph"/>
              <w:ind w:left="244"/>
              <w:rPr>
                <w:b/>
                <w:sz w:val="24"/>
              </w:rPr>
            </w:pPr>
            <w:r>
              <w:rPr>
                <w:b/>
                <w:w w:val="95"/>
                <w:sz w:val="24"/>
              </w:rPr>
              <w:t>如何恢复合同效力</w:t>
            </w:r>
          </w:p>
        </w:tc>
      </w:tr>
      <w:tr>
        <w:trPr>
          <w:trHeight w:val="1093" w:hRule="atLeast"/>
        </w:trPr>
        <w:tc>
          <w:tcPr>
            <w:tcW w:w="709" w:type="dxa"/>
            <w:tcBorders>
              <w:top w:val="single" w:sz="4" w:space="0" w:color="000000"/>
            </w:tcBorders>
          </w:tcPr>
          <w:p>
            <w:pPr>
              <w:pStyle w:val="TableParagraph"/>
              <w:spacing w:before="12"/>
              <w:rPr>
                <w:sz w:val="22"/>
              </w:rPr>
            </w:pPr>
          </w:p>
          <w:p>
            <w:pPr>
              <w:pStyle w:val="TableParagraph"/>
              <w:ind w:left="107"/>
              <w:rPr>
                <w:b/>
                <w:sz w:val="21"/>
              </w:rPr>
            </w:pPr>
            <w:r>
              <w:rPr>
                <w:b/>
                <w:sz w:val="21"/>
              </w:rPr>
              <w:t>5.1</w:t>
            </w:r>
          </w:p>
        </w:tc>
        <w:tc>
          <w:tcPr>
            <w:tcW w:w="1528" w:type="dxa"/>
            <w:tcBorders>
              <w:top w:val="single" w:sz="4" w:space="0" w:color="000000"/>
            </w:tcBorders>
          </w:tcPr>
          <w:p>
            <w:pPr>
              <w:pStyle w:val="TableParagraph"/>
              <w:spacing w:before="12"/>
              <w:rPr>
                <w:sz w:val="22"/>
              </w:rPr>
            </w:pPr>
          </w:p>
          <w:p>
            <w:pPr>
              <w:pStyle w:val="TableParagraph"/>
              <w:ind w:left="244"/>
              <w:rPr>
                <w:b/>
                <w:sz w:val="21"/>
              </w:rPr>
            </w:pPr>
            <w:r>
              <w:rPr>
                <w:b/>
                <w:sz w:val="21"/>
              </w:rPr>
              <w:t>效力中止</w:t>
            </w:r>
          </w:p>
        </w:tc>
        <w:tc>
          <w:tcPr>
            <w:tcW w:w="7543" w:type="dxa"/>
            <w:tcBorders>
              <w:top w:val="single" w:sz="4" w:space="0" w:color="000000"/>
            </w:tcBorders>
          </w:tcPr>
          <w:p>
            <w:pPr>
              <w:pStyle w:val="TableParagraph"/>
              <w:spacing w:before="12"/>
              <w:rPr>
                <w:sz w:val="22"/>
              </w:rPr>
            </w:pPr>
          </w:p>
          <w:p>
            <w:pPr>
              <w:pStyle w:val="TableParagraph"/>
              <w:spacing w:line="273" w:lineRule="auto"/>
              <w:ind w:left="108" w:right="69"/>
              <w:rPr>
                <w:sz w:val="21"/>
              </w:rPr>
            </w:pPr>
            <w:r>
              <w:rPr>
                <w:sz w:val="21"/>
              </w:rPr>
              <w:t>本附加合同所附于的主合同效力中止时，本附加合同效力中止。在本附加合同效力中止期间，我们不承担保险责任。</w:t>
            </w:r>
          </w:p>
        </w:tc>
      </w:tr>
      <w:tr>
        <w:trPr>
          <w:trHeight w:val="1353" w:hRule="atLeast"/>
        </w:trPr>
        <w:tc>
          <w:tcPr>
            <w:tcW w:w="709" w:type="dxa"/>
          </w:tcPr>
          <w:p>
            <w:pPr>
              <w:pStyle w:val="TableParagraph"/>
              <w:spacing w:before="142"/>
              <w:ind w:left="107"/>
              <w:rPr>
                <w:b/>
                <w:sz w:val="21"/>
              </w:rPr>
            </w:pPr>
            <w:r>
              <w:rPr>
                <w:b/>
                <w:sz w:val="21"/>
              </w:rPr>
              <w:t>5.2</w:t>
            </w:r>
          </w:p>
        </w:tc>
        <w:tc>
          <w:tcPr>
            <w:tcW w:w="1528" w:type="dxa"/>
          </w:tcPr>
          <w:p>
            <w:pPr>
              <w:pStyle w:val="TableParagraph"/>
              <w:spacing w:before="142"/>
              <w:ind w:left="244"/>
              <w:rPr>
                <w:b/>
                <w:sz w:val="21"/>
              </w:rPr>
            </w:pPr>
            <w:r>
              <w:rPr>
                <w:b/>
                <w:sz w:val="21"/>
              </w:rPr>
              <w:t>效力恢复</w:t>
            </w:r>
          </w:p>
        </w:tc>
        <w:tc>
          <w:tcPr>
            <w:tcW w:w="7543" w:type="dxa"/>
          </w:tcPr>
          <w:p>
            <w:pPr>
              <w:pStyle w:val="TableParagraph"/>
              <w:spacing w:line="273" w:lineRule="auto" w:before="142"/>
              <w:ind w:left="108" w:right="99"/>
              <w:rPr>
                <w:sz w:val="21"/>
              </w:rPr>
            </w:pPr>
            <w:r>
              <w:rPr>
                <w:spacing w:val="-6"/>
                <w:sz w:val="21"/>
              </w:rPr>
              <w:t>本附加合同效力中止后 </w:t>
            </w:r>
            <w:r>
              <w:rPr>
                <w:sz w:val="21"/>
              </w:rPr>
              <w:t>2</w:t>
            </w:r>
            <w:r>
              <w:rPr>
                <w:spacing w:val="-10"/>
                <w:sz w:val="21"/>
              </w:rPr>
              <w:t> 年内，您可以申请恢复合同效力。经我们与您协商并达</w:t>
            </w:r>
            <w:r>
              <w:rPr>
                <w:spacing w:val="-5"/>
                <w:sz w:val="21"/>
              </w:rPr>
              <w:t>成协议，在您补交其他未还款项之日起，合同效力恢复。</w:t>
            </w:r>
          </w:p>
          <w:p>
            <w:pPr>
              <w:pStyle w:val="TableParagraph"/>
              <w:spacing w:before="5"/>
              <w:rPr>
                <w:sz w:val="24"/>
              </w:rPr>
            </w:pPr>
          </w:p>
          <w:p>
            <w:pPr>
              <w:pStyle w:val="TableParagraph"/>
              <w:spacing w:line="255" w:lineRule="exact"/>
              <w:ind w:left="108"/>
              <w:rPr>
                <w:sz w:val="21"/>
              </w:rPr>
            </w:pPr>
            <w:r>
              <w:rPr>
                <w:spacing w:val="-5"/>
                <w:sz w:val="21"/>
              </w:rPr>
              <w:t>自本附加合同效力中止之日起满 </w:t>
            </w:r>
            <w:r>
              <w:rPr>
                <w:sz w:val="21"/>
              </w:rPr>
              <w:t>2</w:t>
            </w:r>
            <w:r>
              <w:rPr>
                <w:spacing w:val="-8"/>
                <w:sz w:val="21"/>
              </w:rPr>
              <w:t> 年您和我们未达成复效协议的，我们有权解除</w:t>
            </w:r>
          </w:p>
        </w:tc>
      </w:tr>
    </w:tbl>
    <w:p>
      <w:pPr>
        <w:spacing w:after="0" w:line="255" w:lineRule="exact"/>
        <w:rPr>
          <w:sz w:val="21"/>
        </w:rPr>
        <w:sectPr>
          <w:pgSz w:w="11910" w:h="16840"/>
          <w:pgMar w:top="1160" w:bottom="280" w:left="80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528"/>
        <w:gridCol w:w="7543"/>
      </w:tblGrid>
      <w:tr>
        <w:trPr>
          <w:trHeight w:val="1066" w:hRule="atLeast"/>
        </w:trPr>
        <w:tc>
          <w:tcPr>
            <w:tcW w:w="709" w:type="dxa"/>
          </w:tcPr>
          <w:p>
            <w:pPr>
              <w:pStyle w:val="TableParagraph"/>
              <w:rPr>
                <w:rFonts w:ascii="Times New Roman"/>
                <w:sz w:val="20"/>
              </w:rPr>
            </w:pPr>
          </w:p>
        </w:tc>
        <w:tc>
          <w:tcPr>
            <w:tcW w:w="1528" w:type="dxa"/>
          </w:tcPr>
          <w:p>
            <w:pPr>
              <w:pStyle w:val="TableParagraph"/>
              <w:rPr>
                <w:rFonts w:ascii="Times New Roman"/>
                <w:sz w:val="20"/>
              </w:rPr>
            </w:pPr>
          </w:p>
        </w:tc>
        <w:tc>
          <w:tcPr>
            <w:tcW w:w="7543" w:type="dxa"/>
          </w:tcPr>
          <w:p>
            <w:pPr>
              <w:pStyle w:val="TableParagraph"/>
              <w:spacing w:line="211" w:lineRule="exact"/>
              <w:ind w:left="108"/>
              <w:rPr>
                <w:sz w:val="21"/>
              </w:rPr>
            </w:pPr>
            <w:r>
              <w:rPr>
                <w:sz w:val="21"/>
              </w:rPr>
              <w:t>合同。</w:t>
            </w:r>
          </w:p>
          <w:p>
            <w:pPr>
              <w:pStyle w:val="TableParagraph"/>
              <w:spacing w:before="9"/>
              <w:rPr>
                <w:sz w:val="26"/>
              </w:rPr>
            </w:pPr>
          </w:p>
          <w:p>
            <w:pPr>
              <w:pStyle w:val="TableParagraph"/>
              <w:ind w:left="108"/>
              <w:rPr>
                <w:sz w:val="21"/>
              </w:rPr>
            </w:pPr>
            <w:r>
              <w:rPr>
                <w:sz w:val="21"/>
              </w:rPr>
              <w:t>主合同效力中止期间，本附加合同不得单独申请复效。</w:t>
            </w:r>
          </w:p>
        </w:tc>
      </w:tr>
      <w:tr>
        <w:trPr>
          <w:trHeight w:val="753" w:hRule="atLeast"/>
        </w:trPr>
        <w:tc>
          <w:tcPr>
            <w:tcW w:w="709" w:type="dxa"/>
            <w:tcBorders>
              <w:bottom w:val="single" w:sz="4" w:space="0" w:color="000000"/>
            </w:tcBorders>
          </w:tcPr>
          <w:p>
            <w:pPr>
              <w:pStyle w:val="TableParagraph"/>
              <w:spacing w:before="194"/>
              <w:ind w:left="107"/>
              <w:rPr>
                <w:rFonts w:ascii="Arial" w:hAnsi="Arial"/>
                <w:b/>
                <w:sz w:val="40"/>
              </w:rPr>
            </w:pPr>
            <w:r>
              <w:rPr>
                <w:rFonts w:ascii="Arial" w:hAnsi="Arial"/>
                <w:b/>
                <w:w w:val="119"/>
                <w:sz w:val="40"/>
              </w:rPr>
              <w:t></w:t>
            </w:r>
          </w:p>
        </w:tc>
        <w:tc>
          <w:tcPr>
            <w:tcW w:w="9071" w:type="dxa"/>
            <w:gridSpan w:val="2"/>
            <w:tcBorders>
              <w:bottom w:val="single" w:sz="4" w:space="0" w:color="000000"/>
            </w:tcBorders>
          </w:tcPr>
          <w:p>
            <w:pPr>
              <w:pStyle w:val="TableParagraph"/>
              <w:spacing w:before="10"/>
              <w:rPr>
                <w:sz w:val="18"/>
              </w:rPr>
            </w:pPr>
          </w:p>
          <w:p>
            <w:pPr>
              <w:pStyle w:val="TableParagraph"/>
              <w:ind w:left="244"/>
              <w:rPr>
                <w:b/>
                <w:sz w:val="24"/>
              </w:rPr>
            </w:pPr>
            <w:r>
              <w:rPr>
                <w:b/>
                <w:w w:val="95"/>
                <w:sz w:val="24"/>
              </w:rPr>
              <w:t>如何解除保险合同</w:t>
            </w:r>
          </w:p>
        </w:tc>
      </w:tr>
      <w:tr>
        <w:trPr>
          <w:trHeight w:val="3304" w:hRule="atLeast"/>
        </w:trPr>
        <w:tc>
          <w:tcPr>
            <w:tcW w:w="709" w:type="dxa"/>
            <w:tcBorders>
              <w:top w:val="single" w:sz="4" w:space="0" w:color="000000"/>
            </w:tcBorders>
          </w:tcPr>
          <w:p>
            <w:pPr>
              <w:pStyle w:val="TableParagraph"/>
              <w:rPr>
                <w:sz w:val="23"/>
              </w:rPr>
            </w:pPr>
          </w:p>
          <w:p>
            <w:pPr>
              <w:pStyle w:val="TableParagraph"/>
              <w:ind w:left="107"/>
              <w:rPr>
                <w:b/>
                <w:sz w:val="21"/>
              </w:rPr>
            </w:pPr>
            <w:r>
              <w:rPr>
                <w:b/>
                <w:sz w:val="21"/>
              </w:rPr>
              <w:t>6.1</w:t>
            </w:r>
          </w:p>
        </w:tc>
        <w:tc>
          <w:tcPr>
            <w:tcW w:w="1528" w:type="dxa"/>
            <w:tcBorders>
              <w:top w:val="single" w:sz="4" w:space="0" w:color="000000"/>
            </w:tcBorders>
          </w:tcPr>
          <w:p>
            <w:pPr>
              <w:pStyle w:val="TableParagraph"/>
              <w:rPr>
                <w:sz w:val="23"/>
              </w:rPr>
            </w:pPr>
          </w:p>
          <w:p>
            <w:pPr>
              <w:pStyle w:val="TableParagraph"/>
              <w:spacing w:line="273" w:lineRule="auto"/>
              <w:ind w:left="244" w:right="104"/>
              <w:jc w:val="both"/>
              <w:rPr>
                <w:b/>
                <w:sz w:val="21"/>
              </w:rPr>
            </w:pPr>
            <w:r>
              <w:rPr>
                <w:b/>
                <w:sz w:val="21"/>
              </w:rPr>
              <w:t>您解除合同的手续及风险</w:t>
            </w:r>
          </w:p>
        </w:tc>
        <w:tc>
          <w:tcPr>
            <w:tcW w:w="7543" w:type="dxa"/>
            <w:tcBorders>
              <w:top w:val="single" w:sz="4" w:space="0" w:color="000000"/>
            </w:tcBorders>
          </w:tcPr>
          <w:p>
            <w:pPr>
              <w:pStyle w:val="TableParagraph"/>
              <w:rPr>
                <w:sz w:val="23"/>
              </w:rPr>
            </w:pPr>
          </w:p>
          <w:p>
            <w:pPr>
              <w:pStyle w:val="TableParagraph"/>
              <w:spacing w:line="273" w:lineRule="auto"/>
              <w:ind w:left="108" w:right="105"/>
              <w:rPr>
                <w:sz w:val="21"/>
              </w:rPr>
            </w:pPr>
            <w:r>
              <w:rPr>
                <w:w w:val="100"/>
                <w:sz w:val="21"/>
              </w:rPr>
              <w:t>如您在犹豫期后申请解除本附加合同</w:t>
            </w:r>
            <w:r>
              <w:rPr>
                <w:spacing w:val="1"/>
                <w:w w:val="100"/>
                <w:sz w:val="21"/>
              </w:rPr>
              <w:t>（</w:t>
            </w:r>
            <w:r>
              <w:rPr>
                <w:w w:val="100"/>
                <w:sz w:val="21"/>
              </w:rPr>
              <w:t>简称退保</w:t>
            </w:r>
            <w:r>
              <w:rPr>
                <w:spacing w:val="-104"/>
                <w:w w:val="100"/>
                <w:sz w:val="21"/>
              </w:rPr>
              <w:t>）</w:t>
            </w:r>
            <w:r>
              <w:rPr>
                <w:w w:val="100"/>
                <w:sz w:val="21"/>
              </w:rPr>
              <w:t>，请填写解除合同申请书并向</w:t>
            </w:r>
            <w:r>
              <w:rPr>
                <w:spacing w:val="-3"/>
                <w:sz w:val="21"/>
              </w:rPr>
              <w:t>我们提供下列资料：</w:t>
            </w:r>
          </w:p>
          <w:p>
            <w:pPr>
              <w:pStyle w:val="TableParagraph"/>
              <w:spacing w:before="7"/>
              <w:ind w:left="108"/>
              <w:rPr>
                <w:sz w:val="21"/>
              </w:rPr>
            </w:pPr>
            <w:r>
              <w:rPr>
                <w:sz w:val="21"/>
              </w:rPr>
              <w:t>（1）保险合同；</w:t>
            </w:r>
          </w:p>
          <w:p>
            <w:pPr>
              <w:pStyle w:val="TableParagraph"/>
              <w:spacing w:before="37"/>
              <w:ind w:left="108"/>
              <w:rPr>
                <w:sz w:val="21"/>
              </w:rPr>
            </w:pPr>
            <w:r>
              <w:rPr>
                <w:sz w:val="21"/>
              </w:rPr>
              <w:t>（2）您的有效身份证件。</w:t>
            </w:r>
          </w:p>
          <w:p>
            <w:pPr>
              <w:pStyle w:val="TableParagraph"/>
              <w:spacing w:before="8"/>
              <w:rPr>
                <w:sz w:val="26"/>
              </w:rPr>
            </w:pPr>
          </w:p>
          <w:p>
            <w:pPr>
              <w:pStyle w:val="TableParagraph"/>
              <w:spacing w:line="273" w:lineRule="auto" w:before="1"/>
              <w:ind w:left="108" w:right="73"/>
              <w:rPr>
                <w:sz w:val="21"/>
              </w:rPr>
            </w:pPr>
            <w:r>
              <w:rPr>
                <w:sz w:val="21"/>
              </w:rPr>
              <w:t>自我们收到解除合同申请书时起，本附加合同终止。我们自收到解除合同申请书之日起 30 日内，向您退还收到解除合同申请书之日本附加合同的现金价值。</w:t>
            </w:r>
          </w:p>
          <w:p>
            <w:pPr>
              <w:pStyle w:val="TableParagraph"/>
              <w:spacing w:before="6"/>
              <w:rPr>
                <w:sz w:val="24"/>
              </w:rPr>
            </w:pPr>
          </w:p>
          <w:p>
            <w:pPr>
              <w:pStyle w:val="TableParagraph"/>
              <w:ind w:left="108"/>
              <w:rPr>
                <w:sz w:val="21"/>
              </w:rPr>
            </w:pPr>
            <w:r>
              <w:rPr>
                <w:sz w:val="21"/>
              </w:rPr>
              <w:t>您在犹豫期后解除合同会遭受一定损失。</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9071" w:type="dxa"/>
            <w:gridSpan w:val="2"/>
            <w:tcBorders>
              <w:bottom w:val="single" w:sz="8" w:space="0" w:color="000000"/>
            </w:tcBorders>
          </w:tcPr>
          <w:p>
            <w:pPr>
              <w:pStyle w:val="TableParagraph"/>
              <w:spacing w:before="10"/>
              <w:rPr>
                <w:sz w:val="18"/>
              </w:rPr>
            </w:pPr>
          </w:p>
          <w:p>
            <w:pPr>
              <w:pStyle w:val="TableParagraph"/>
              <w:ind w:left="244"/>
              <w:rPr>
                <w:b/>
                <w:sz w:val="24"/>
              </w:rPr>
            </w:pPr>
            <w:r>
              <w:rPr>
                <w:b/>
                <w:w w:val="95"/>
                <w:sz w:val="24"/>
              </w:rPr>
              <w:t>其他需要关注的事项</w:t>
            </w:r>
          </w:p>
        </w:tc>
      </w:tr>
      <w:tr>
        <w:trPr>
          <w:trHeight w:val="2652" w:hRule="atLeast"/>
        </w:trPr>
        <w:tc>
          <w:tcPr>
            <w:tcW w:w="709" w:type="dxa"/>
            <w:tcBorders>
              <w:top w:val="single" w:sz="8" w:space="0" w:color="000000"/>
            </w:tcBorders>
          </w:tcPr>
          <w:p>
            <w:pPr>
              <w:pStyle w:val="TableParagraph"/>
              <w:spacing w:before="11"/>
              <w:rPr>
                <w:sz w:val="22"/>
              </w:rPr>
            </w:pPr>
          </w:p>
          <w:p>
            <w:pPr>
              <w:pStyle w:val="TableParagraph"/>
              <w:ind w:left="107"/>
              <w:rPr>
                <w:b/>
                <w:sz w:val="21"/>
              </w:rPr>
            </w:pPr>
            <w:r>
              <w:rPr>
                <w:b/>
                <w:sz w:val="21"/>
              </w:rPr>
              <w:t>7.1</w:t>
            </w:r>
          </w:p>
        </w:tc>
        <w:tc>
          <w:tcPr>
            <w:tcW w:w="1528" w:type="dxa"/>
            <w:tcBorders>
              <w:top w:val="single" w:sz="8" w:space="0" w:color="000000"/>
            </w:tcBorders>
          </w:tcPr>
          <w:p>
            <w:pPr>
              <w:pStyle w:val="TableParagraph"/>
              <w:spacing w:before="11"/>
              <w:rPr>
                <w:sz w:val="22"/>
              </w:rPr>
            </w:pPr>
          </w:p>
          <w:p>
            <w:pPr>
              <w:pStyle w:val="TableParagraph"/>
              <w:ind w:left="244"/>
              <w:rPr>
                <w:b/>
                <w:sz w:val="21"/>
              </w:rPr>
            </w:pPr>
            <w:r>
              <w:rPr>
                <w:b/>
                <w:sz w:val="21"/>
              </w:rPr>
              <w:t>效力终止</w:t>
            </w:r>
          </w:p>
        </w:tc>
        <w:tc>
          <w:tcPr>
            <w:tcW w:w="7543" w:type="dxa"/>
            <w:tcBorders>
              <w:top w:val="single" w:sz="8" w:space="0" w:color="000000"/>
            </w:tcBorders>
          </w:tcPr>
          <w:p>
            <w:pPr>
              <w:pStyle w:val="TableParagraph"/>
              <w:spacing w:before="11"/>
              <w:rPr>
                <w:sz w:val="22"/>
              </w:rPr>
            </w:pPr>
          </w:p>
          <w:p>
            <w:pPr>
              <w:pStyle w:val="TableParagraph"/>
              <w:ind w:left="108"/>
              <w:rPr>
                <w:sz w:val="21"/>
              </w:rPr>
            </w:pPr>
            <w:r>
              <w:rPr>
                <w:sz w:val="21"/>
              </w:rPr>
              <w:t>当发生下列情形之一时，本附加合同效力终止：</w:t>
            </w:r>
          </w:p>
          <w:p>
            <w:pPr>
              <w:pStyle w:val="TableParagraph"/>
              <w:spacing w:before="37"/>
              <w:ind w:left="108"/>
              <w:rPr>
                <w:sz w:val="21"/>
              </w:rPr>
            </w:pPr>
            <w:r>
              <w:rPr>
                <w:sz w:val="21"/>
              </w:rPr>
              <w:t>（1）被豁免保险合同效力终止；</w:t>
            </w:r>
          </w:p>
          <w:p>
            <w:pPr>
              <w:pStyle w:val="TableParagraph"/>
              <w:spacing w:before="37"/>
              <w:ind w:left="108"/>
              <w:rPr>
                <w:sz w:val="21"/>
              </w:rPr>
            </w:pPr>
            <w:r>
              <w:rPr>
                <w:sz w:val="21"/>
              </w:rPr>
              <w:t>（2）自本附加合同效力中止之日起满2年双方未达成复效协议的；</w:t>
            </w:r>
          </w:p>
          <w:p>
            <w:pPr>
              <w:pStyle w:val="TableParagraph"/>
              <w:spacing w:before="37"/>
              <w:ind w:left="108"/>
              <w:rPr>
                <w:sz w:val="21"/>
              </w:rPr>
            </w:pPr>
            <w:r>
              <w:rPr>
                <w:sz w:val="21"/>
              </w:rPr>
              <w:t>（3）您申请解除本附加合同。</w:t>
            </w:r>
          </w:p>
          <w:p>
            <w:pPr>
              <w:pStyle w:val="TableParagraph"/>
              <w:spacing w:before="9"/>
              <w:rPr>
                <w:sz w:val="26"/>
              </w:rPr>
            </w:pPr>
          </w:p>
          <w:p>
            <w:pPr>
              <w:pStyle w:val="TableParagraph"/>
              <w:spacing w:line="273" w:lineRule="auto"/>
              <w:ind w:left="108" w:right="51"/>
              <w:rPr>
                <w:sz w:val="21"/>
              </w:rPr>
            </w:pPr>
            <w:r>
              <w:rPr>
                <w:sz w:val="21"/>
              </w:rPr>
              <w:t>本附加合同由于上述情况在保险期间届满前终止的，我们将向您退还本附加合同效力终止时的现金价值。</w:t>
            </w:r>
          </w:p>
        </w:tc>
      </w:tr>
      <w:tr>
        <w:trPr>
          <w:trHeight w:val="3432" w:hRule="atLeast"/>
        </w:trPr>
        <w:tc>
          <w:tcPr>
            <w:tcW w:w="709" w:type="dxa"/>
          </w:tcPr>
          <w:p>
            <w:pPr>
              <w:pStyle w:val="TableParagraph"/>
              <w:spacing w:before="142"/>
              <w:ind w:left="107"/>
              <w:rPr>
                <w:b/>
                <w:sz w:val="21"/>
              </w:rPr>
            </w:pPr>
            <w:r>
              <w:rPr>
                <w:b/>
                <w:sz w:val="21"/>
              </w:rPr>
              <w:t>7.2</w:t>
            </w:r>
          </w:p>
        </w:tc>
        <w:tc>
          <w:tcPr>
            <w:tcW w:w="1528" w:type="dxa"/>
          </w:tcPr>
          <w:p>
            <w:pPr>
              <w:pStyle w:val="TableParagraph"/>
              <w:spacing w:line="273" w:lineRule="auto" w:before="142"/>
              <w:ind w:left="244" w:right="104"/>
              <w:rPr>
                <w:b/>
                <w:sz w:val="21"/>
              </w:rPr>
            </w:pPr>
            <w:r>
              <w:rPr>
                <w:b/>
                <w:sz w:val="21"/>
              </w:rPr>
              <w:t>适用主合同条款</w:t>
            </w:r>
          </w:p>
        </w:tc>
        <w:tc>
          <w:tcPr>
            <w:tcW w:w="7543" w:type="dxa"/>
          </w:tcPr>
          <w:p>
            <w:pPr>
              <w:pStyle w:val="TableParagraph"/>
              <w:spacing w:before="142"/>
              <w:ind w:left="108"/>
              <w:rPr>
                <w:sz w:val="21"/>
              </w:rPr>
            </w:pPr>
            <w:r>
              <w:rPr>
                <w:sz w:val="21"/>
              </w:rPr>
              <w:t>下列各项条款，适用主合同条款：</w:t>
            </w:r>
          </w:p>
          <w:p>
            <w:pPr>
              <w:pStyle w:val="TableParagraph"/>
              <w:spacing w:before="36"/>
              <w:ind w:left="108"/>
              <w:rPr>
                <w:sz w:val="21"/>
              </w:rPr>
            </w:pPr>
            <w:r>
              <w:rPr>
                <w:sz w:val="21"/>
              </w:rPr>
              <w:t>（1）明确说明与如实告知；</w:t>
            </w:r>
          </w:p>
          <w:p>
            <w:pPr>
              <w:pStyle w:val="TableParagraph"/>
              <w:spacing w:before="36"/>
              <w:ind w:left="108"/>
              <w:rPr>
                <w:sz w:val="21"/>
              </w:rPr>
            </w:pPr>
            <w:r>
              <w:rPr>
                <w:sz w:val="21"/>
              </w:rPr>
              <w:t>（2）未还款项；</w:t>
            </w:r>
          </w:p>
          <w:p>
            <w:pPr>
              <w:pStyle w:val="TableParagraph"/>
              <w:spacing w:before="36"/>
              <w:ind w:left="108"/>
              <w:rPr>
                <w:sz w:val="21"/>
              </w:rPr>
            </w:pPr>
            <w:r>
              <w:rPr>
                <w:sz w:val="21"/>
              </w:rPr>
              <w:t>（3）我们合同解除权的限制；</w:t>
            </w:r>
          </w:p>
          <w:p>
            <w:pPr>
              <w:pStyle w:val="TableParagraph"/>
              <w:spacing w:before="36"/>
              <w:ind w:left="108"/>
              <w:rPr>
                <w:sz w:val="21"/>
              </w:rPr>
            </w:pPr>
            <w:r>
              <w:rPr>
                <w:sz w:val="21"/>
              </w:rPr>
              <w:t>（4）未成年人身故保险金限制；</w:t>
            </w:r>
          </w:p>
          <w:p>
            <w:pPr>
              <w:pStyle w:val="TableParagraph"/>
              <w:spacing w:before="36"/>
              <w:ind w:left="108"/>
              <w:rPr>
                <w:sz w:val="21"/>
              </w:rPr>
            </w:pPr>
            <w:r>
              <w:rPr>
                <w:sz w:val="21"/>
              </w:rPr>
              <w:t>（5）年龄性别错误；</w:t>
            </w:r>
          </w:p>
          <w:p>
            <w:pPr>
              <w:pStyle w:val="TableParagraph"/>
              <w:spacing w:before="36"/>
              <w:ind w:left="108"/>
              <w:rPr>
                <w:sz w:val="21"/>
              </w:rPr>
            </w:pPr>
            <w:r>
              <w:rPr>
                <w:sz w:val="21"/>
              </w:rPr>
              <w:t>（6）合同内容变更；</w:t>
            </w:r>
          </w:p>
          <w:p>
            <w:pPr>
              <w:pStyle w:val="TableParagraph"/>
              <w:spacing w:before="36"/>
              <w:ind w:left="108"/>
              <w:rPr>
                <w:sz w:val="21"/>
              </w:rPr>
            </w:pPr>
            <w:r>
              <w:rPr>
                <w:sz w:val="21"/>
              </w:rPr>
              <w:t>（7）联系方式变更；</w:t>
            </w:r>
          </w:p>
          <w:p>
            <w:pPr>
              <w:pStyle w:val="TableParagraph"/>
              <w:spacing w:before="36"/>
              <w:ind w:left="108"/>
              <w:rPr>
                <w:sz w:val="21"/>
              </w:rPr>
            </w:pPr>
            <w:r>
              <w:rPr>
                <w:sz w:val="21"/>
              </w:rPr>
              <w:t>（8）职业或工种变更；</w:t>
            </w:r>
          </w:p>
          <w:p>
            <w:pPr>
              <w:pStyle w:val="TableParagraph"/>
              <w:spacing w:before="36"/>
              <w:ind w:left="108"/>
              <w:rPr>
                <w:sz w:val="21"/>
              </w:rPr>
            </w:pPr>
            <w:r>
              <w:rPr>
                <w:sz w:val="21"/>
              </w:rPr>
              <w:t>（9）争议处理。</w:t>
            </w:r>
          </w:p>
        </w:tc>
      </w:tr>
      <w:tr>
        <w:trPr>
          <w:trHeight w:val="649" w:hRule="atLeast"/>
        </w:trPr>
        <w:tc>
          <w:tcPr>
            <w:tcW w:w="709" w:type="dxa"/>
          </w:tcPr>
          <w:p>
            <w:pPr>
              <w:pStyle w:val="TableParagraph"/>
              <w:spacing w:before="143"/>
              <w:ind w:left="107"/>
              <w:rPr>
                <w:b/>
                <w:sz w:val="21"/>
              </w:rPr>
            </w:pPr>
            <w:r>
              <w:rPr>
                <w:b/>
                <w:sz w:val="21"/>
              </w:rPr>
              <w:t>7.3</w:t>
            </w:r>
          </w:p>
        </w:tc>
        <w:tc>
          <w:tcPr>
            <w:tcW w:w="1528" w:type="dxa"/>
          </w:tcPr>
          <w:p>
            <w:pPr>
              <w:pStyle w:val="TableParagraph"/>
              <w:spacing w:before="143"/>
              <w:ind w:left="244"/>
              <w:rPr>
                <w:b/>
                <w:sz w:val="21"/>
              </w:rPr>
            </w:pPr>
            <w:r>
              <w:rPr>
                <w:b/>
                <w:sz w:val="21"/>
              </w:rPr>
              <w:t>货币单位</w:t>
            </w:r>
          </w:p>
        </w:tc>
        <w:tc>
          <w:tcPr>
            <w:tcW w:w="7543" w:type="dxa"/>
          </w:tcPr>
          <w:p>
            <w:pPr>
              <w:pStyle w:val="TableParagraph"/>
              <w:spacing w:before="143"/>
              <w:ind w:left="108"/>
              <w:rPr>
                <w:sz w:val="21"/>
              </w:rPr>
            </w:pPr>
            <w:r>
              <w:rPr>
                <w:sz w:val="21"/>
              </w:rPr>
              <w:t>本附加合同所用的货币单位均为人民币元。</w:t>
            </w:r>
          </w:p>
        </w:tc>
      </w:tr>
      <w:tr>
        <w:trPr>
          <w:trHeight w:val="753" w:hRule="atLeast"/>
        </w:trPr>
        <w:tc>
          <w:tcPr>
            <w:tcW w:w="709"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528" w:type="dxa"/>
            <w:tcBorders>
              <w:bottom w:val="single" w:sz="8" w:space="0" w:color="000000"/>
            </w:tcBorders>
          </w:tcPr>
          <w:p>
            <w:pPr>
              <w:pStyle w:val="TableParagraph"/>
              <w:spacing w:before="10"/>
              <w:rPr>
                <w:sz w:val="18"/>
              </w:rPr>
            </w:pPr>
          </w:p>
          <w:p>
            <w:pPr>
              <w:pStyle w:val="TableParagraph"/>
              <w:ind w:left="244"/>
              <w:rPr>
                <w:b/>
                <w:sz w:val="24"/>
              </w:rPr>
            </w:pPr>
            <w:r>
              <w:rPr>
                <w:b/>
                <w:sz w:val="24"/>
              </w:rPr>
              <w:t>释义</w:t>
            </w:r>
          </w:p>
        </w:tc>
        <w:tc>
          <w:tcPr>
            <w:tcW w:w="7543" w:type="dxa"/>
            <w:tcBorders>
              <w:bottom w:val="single" w:sz="8" w:space="0" w:color="000000"/>
            </w:tcBorders>
          </w:tcPr>
          <w:p>
            <w:pPr>
              <w:pStyle w:val="TableParagraph"/>
              <w:rPr>
                <w:rFonts w:ascii="Times New Roman"/>
                <w:sz w:val="20"/>
              </w:rPr>
            </w:pPr>
          </w:p>
        </w:tc>
      </w:tr>
      <w:tr>
        <w:trPr>
          <w:trHeight w:val="886" w:hRule="atLeast"/>
        </w:trPr>
        <w:tc>
          <w:tcPr>
            <w:tcW w:w="709" w:type="dxa"/>
            <w:tcBorders>
              <w:top w:val="single" w:sz="8" w:space="0" w:color="000000"/>
            </w:tcBorders>
          </w:tcPr>
          <w:p>
            <w:pPr>
              <w:pStyle w:val="TableParagraph"/>
              <w:spacing w:before="11"/>
              <w:rPr>
                <w:sz w:val="22"/>
              </w:rPr>
            </w:pPr>
          </w:p>
          <w:p>
            <w:pPr>
              <w:pStyle w:val="TableParagraph"/>
              <w:ind w:left="107"/>
              <w:rPr>
                <w:b/>
                <w:sz w:val="21"/>
              </w:rPr>
            </w:pPr>
            <w:r>
              <w:rPr>
                <w:b/>
                <w:sz w:val="21"/>
              </w:rPr>
              <w:t>8.1</w:t>
            </w:r>
          </w:p>
        </w:tc>
        <w:tc>
          <w:tcPr>
            <w:tcW w:w="1528" w:type="dxa"/>
            <w:tcBorders>
              <w:top w:val="single" w:sz="8" w:space="0" w:color="000000"/>
            </w:tcBorders>
          </w:tcPr>
          <w:p>
            <w:pPr>
              <w:pStyle w:val="TableParagraph"/>
              <w:spacing w:before="11"/>
              <w:rPr>
                <w:sz w:val="22"/>
              </w:rPr>
            </w:pPr>
          </w:p>
          <w:p>
            <w:pPr>
              <w:pStyle w:val="TableParagraph"/>
              <w:ind w:left="244"/>
              <w:rPr>
                <w:b/>
                <w:sz w:val="21"/>
              </w:rPr>
            </w:pPr>
            <w:r>
              <w:rPr>
                <w:b/>
                <w:sz w:val="21"/>
              </w:rPr>
              <w:t>保单周年日</w:t>
            </w:r>
          </w:p>
        </w:tc>
        <w:tc>
          <w:tcPr>
            <w:tcW w:w="7543" w:type="dxa"/>
            <w:tcBorders>
              <w:top w:val="single" w:sz="8" w:space="0" w:color="000000"/>
            </w:tcBorders>
          </w:tcPr>
          <w:p>
            <w:pPr>
              <w:pStyle w:val="TableParagraph"/>
              <w:spacing w:before="2"/>
              <w:rPr>
                <w:sz w:val="20"/>
              </w:rPr>
            </w:pPr>
          </w:p>
          <w:p>
            <w:pPr>
              <w:pStyle w:val="TableParagraph"/>
              <w:spacing w:line="310" w:lineRule="atLeast"/>
              <w:ind w:left="108" w:right="-15"/>
              <w:rPr>
                <w:sz w:val="21"/>
              </w:rPr>
            </w:pPr>
            <w:r>
              <w:rPr>
                <w:spacing w:val="-5"/>
                <w:sz w:val="21"/>
              </w:rPr>
              <w:t>指在本附加合同有效期内，本附加合同生效日在合同生效后每年的对应日，不含</w:t>
            </w:r>
            <w:r>
              <w:rPr>
                <w:spacing w:val="-13"/>
                <w:sz w:val="21"/>
              </w:rPr>
              <w:t>本附加合同生效日当日。若当月没有对应的同一日，则以该月最后一日为对应日。</w:t>
            </w:r>
          </w:p>
        </w:tc>
      </w:tr>
    </w:tbl>
    <w:p>
      <w:pPr>
        <w:spacing w:after="0" w:line="310" w:lineRule="atLeast"/>
        <w:rPr>
          <w:sz w:val="21"/>
        </w:rPr>
        <w:sectPr>
          <w:pgSz w:w="11910" w:h="16840"/>
          <w:pgMar w:top="1160" w:bottom="280" w:left="80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49"/>
        <w:gridCol w:w="7758"/>
      </w:tblGrid>
      <w:tr>
        <w:trPr>
          <w:trHeight w:val="730" w:hRule="atLeast"/>
        </w:trPr>
        <w:tc>
          <w:tcPr>
            <w:tcW w:w="781" w:type="dxa"/>
          </w:tcPr>
          <w:p>
            <w:pPr>
              <w:pStyle w:val="TableParagraph"/>
              <w:spacing w:line="209" w:lineRule="exact"/>
              <w:ind w:left="180" w:right="242"/>
              <w:jc w:val="center"/>
              <w:rPr>
                <w:b/>
                <w:sz w:val="21"/>
              </w:rPr>
            </w:pPr>
            <w:r>
              <w:rPr>
                <w:b/>
                <w:sz w:val="21"/>
              </w:rPr>
              <w:t>8.2</w:t>
            </w:r>
          </w:p>
        </w:tc>
        <w:tc>
          <w:tcPr>
            <w:tcW w:w="1549" w:type="dxa"/>
          </w:tcPr>
          <w:p>
            <w:pPr>
              <w:pStyle w:val="TableParagraph"/>
              <w:spacing w:line="209" w:lineRule="exact"/>
              <w:ind w:left="264"/>
              <w:rPr>
                <w:b/>
                <w:sz w:val="21"/>
              </w:rPr>
            </w:pPr>
            <w:r>
              <w:rPr>
                <w:b/>
                <w:sz w:val="21"/>
              </w:rPr>
              <w:t>保单年度</w:t>
            </w:r>
          </w:p>
        </w:tc>
        <w:tc>
          <w:tcPr>
            <w:tcW w:w="7758" w:type="dxa"/>
          </w:tcPr>
          <w:p>
            <w:pPr>
              <w:pStyle w:val="TableParagraph"/>
              <w:spacing w:line="209" w:lineRule="exact"/>
              <w:ind w:left="107"/>
              <w:rPr>
                <w:sz w:val="21"/>
              </w:rPr>
            </w:pPr>
            <w:r>
              <w:rPr>
                <w:sz w:val="21"/>
              </w:rPr>
              <w:t>指在本附加合同有效期内，从本附加合同生效日或保单周年日零时起至下一年度</w:t>
            </w:r>
          </w:p>
          <w:p>
            <w:pPr>
              <w:pStyle w:val="TableParagraph"/>
              <w:spacing w:before="37"/>
              <w:ind w:left="107"/>
              <w:rPr>
                <w:sz w:val="21"/>
              </w:rPr>
            </w:pPr>
            <w:r>
              <w:rPr>
                <w:sz w:val="21"/>
              </w:rPr>
              <w:t>的保单周年日零时止为一个保单年度。</w:t>
            </w:r>
          </w:p>
        </w:tc>
      </w:tr>
      <w:tr>
        <w:trPr>
          <w:trHeight w:val="935" w:hRule="atLeast"/>
        </w:trPr>
        <w:tc>
          <w:tcPr>
            <w:tcW w:w="781" w:type="dxa"/>
          </w:tcPr>
          <w:p>
            <w:pPr>
              <w:pStyle w:val="TableParagraph"/>
              <w:spacing w:before="140"/>
              <w:ind w:left="180" w:right="242"/>
              <w:jc w:val="center"/>
              <w:rPr>
                <w:b/>
                <w:sz w:val="21"/>
              </w:rPr>
            </w:pPr>
            <w:r>
              <w:rPr>
                <w:b/>
                <w:sz w:val="21"/>
              </w:rPr>
              <w:t>8.3</w:t>
            </w:r>
          </w:p>
        </w:tc>
        <w:tc>
          <w:tcPr>
            <w:tcW w:w="1549" w:type="dxa"/>
          </w:tcPr>
          <w:p>
            <w:pPr>
              <w:pStyle w:val="TableParagraph"/>
              <w:spacing w:line="273" w:lineRule="auto" w:before="140"/>
              <w:ind w:left="264" w:right="105"/>
              <w:rPr>
                <w:b/>
                <w:sz w:val="21"/>
              </w:rPr>
            </w:pPr>
            <w:r>
              <w:rPr>
                <w:b/>
                <w:sz w:val="21"/>
              </w:rPr>
              <w:t>保险费约定支付日</w:t>
            </w:r>
          </w:p>
        </w:tc>
        <w:tc>
          <w:tcPr>
            <w:tcW w:w="7758" w:type="dxa"/>
          </w:tcPr>
          <w:p>
            <w:pPr>
              <w:pStyle w:val="TableParagraph"/>
              <w:spacing w:line="273" w:lineRule="auto" w:before="140"/>
              <w:ind w:left="107" w:right="285"/>
              <w:rPr>
                <w:sz w:val="21"/>
              </w:rPr>
            </w:pPr>
            <w:r>
              <w:rPr>
                <w:sz w:val="21"/>
              </w:rPr>
              <w:t>根据本附加合同交费方式确定的本附加合同生效日在每月、每季、每半年或每年的对应日。如果当月无对应的同一日，则以该月最后一日为对应日。</w:t>
            </w:r>
          </w:p>
        </w:tc>
      </w:tr>
      <w:tr>
        <w:trPr>
          <w:trHeight w:val="935" w:hRule="atLeast"/>
        </w:trPr>
        <w:tc>
          <w:tcPr>
            <w:tcW w:w="781" w:type="dxa"/>
          </w:tcPr>
          <w:p>
            <w:pPr>
              <w:pStyle w:val="TableParagraph"/>
              <w:spacing w:before="140"/>
              <w:ind w:left="180" w:right="242"/>
              <w:jc w:val="center"/>
              <w:rPr>
                <w:b/>
                <w:sz w:val="21"/>
              </w:rPr>
            </w:pPr>
            <w:r>
              <w:rPr>
                <w:b/>
                <w:sz w:val="21"/>
              </w:rPr>
              <w:t>8.4</w:t>
            </w:r>
          </w:p>
        </w:tc>
        <w:tc>
          <w:tcPr>
            <w:tcW w:w="1549" w:type="dxa"/>
          </w:tcPr>
          <w:p>
            <w:pPr>
              <w:pStyle w:val="TableParagraph"/>
              <w:spacing w:line="273" w:lineRule="auto" w:before="140"/>
              <w:ind w:left="264" w:right="105"/>
              <w:rPr>
                <w:b/>
                <w:sz w:val="21"/>
              </w:rPr>
            </w:pPr>
            <w:r>
              <w:rPr>
                <w:b/>
                <w:sz w:val="21"/>
              </w:rPr>
              <w:t>有效身份证件</w:t>
            </w:r>
          </w:p>
        </w:tc>
        <w:tc>
          <w:tcPr>
            <w:tcW w:w="7758" w:type="dxa"/>
          </w:tcPr>
          <w:p>
            <w:pPr>
              <w:pStyle w:val="TableParagraph"/>
              <w:spacing w:line="273" w:lineRule="auto" w:before="140"/>
              <w:ind w:left="107" w:right="315"/>
              <w:rPr>
                <w:sz w:val="21"/>
              </w:rPr>
            </w:pPr>
            <w:r>
              <w:rPr>
                <w:spacing w:val="-6"/>
                <w:sz w:val="21"/>
              </w:rPr>
              <w:t>指由政府主管部门规定的证明其身份的证件，如：居民身份证、按规定可使用的</w:t>
            </w:r>
            <w:r>
              <w:rPr>
                <w:spacing w:val="-4"/>
                <w:sz w:val="21"/>
              </w:rPr>
              <w:t>有效护照、军官证、武警警官证、士兵证等证件。</w:t>
            </w:r>
          </w:p>
        </w:tc>
      </w:tr>
      <w:tr>
        <w:trPr>
          <w:trHeight w:val="936" w:hRule="atLeast"/>
        </w:trPr>
        <w:tc>
          <w:tcPr>
            <w:tcW w:w="781" w:type="dxa"/>
          </w:tcPr>
          <w:p>
            <w:pPr>
              <w:pStyle w:val="TableParagraph"/>
              <w:spacing w:before="140"/>
              <w:ind w:left="180" w:right="242"/>
              <w:jc w:val="center"/>
              <w:rPr>
                <w:b/>
                <w:sz w:val="21"/>
              </w:rPr>
            </w:pPr>
            <w:r>
              <w:rPr>
                <w:b/>
                <w:sz w:val="21"/>
              </w:rPr>
              <w:t>8.5</w:t>
            </w:r>
          </w:p>
        </w:tc>
        <w:tc>
          <w:tcPr>
            <w:tcW w:w="1549" w:type="dxa"/>
          </w:tcPr>
          <w:p>
            <w:pPr>
              <w:pStyle w:val="TableParagraph"/>
              <w:spacing w:before="140"/>
              <w:ind w:left="264"/>
              <w:rPr>
                <w:b/>
                <w:sz w:val="21"/>
              </w:rPr>
            </w:pPr>
            <w:r>
              <w:rPr>
                <w:b/>
                <w:sz w:val="21"/>
              </w:rPr>
              <w:t>连续投保</w:t>
            </w:r>
          </w:p>
        </w:tc>
        <w:tc>
          <w:tcPr>
            <w:tcW w:w="7758" w:type="dxa"/>
          </w:tcPr>
          <w:p>
            <w:pPr>
              <w:pStyle w:val="TableParagraph"/>
              <w:spacing w:line="273" w:lineRule="auto" w:before="140"/>
              <w:ind w:left="107" w:right="502"/>
              <w:rPr>
                <w:sz w:val="21"/>
              </w:rPr>
            </w:pPr>
            <w:r>
              <w:rPr>
                <w:sz w:val="21"/>
              </w:rPr>
              <w:t>指投保人为被保险人续保同一险种，且续保保单的生效日为原保单到期日的次日。</w:t>
            </w:r>
          </w:p>
        </w:tc>
      </w:tr>
      <w:tr>
        <w:trPr>
          <w:trHeight w:val="936" w:hRule="atLeast"/>
        </w:trPr>
        <w:tc>
          <w:tcPr>
            <w:tcW w:w="781" w:type="dxa"/>
          </w:tcPr>
          <w:p>
            <w:pPr>
              <w:pStyle w:val="TableParagraph"/>
              <w:spacing w:before="140"/>
              <w:ind w:left="180" w:right="242"/>
              <w:jc w:val="center"/>
              <w:rPr>
                <w:b/>
                <w:sz w:val="21"/>
              </w:rPr>
            </w:pPr>
            <w:r>
              <w:rPr>
                <w:b/>
                <w:sz w:val="21"/>
              </w:rPr>
              <w:t>8.6</w:t>
            </w:r>
          </w:p>
        </w:tc>
        <w:tc>
          <w:tcPr>
            <w:tcW w:w="1549" w:type="dxa"/>
          </w:tcPr>
          <w:p>
            <w:pPr>
              <w:pStyle w:val="TableParagraph"/>
              <w:spacing w:before="140"/>
              <w:ind w:left="264"/>
              <w:rPr>
                <w:b/>
                <w:sz w:val="21"/>
              </w:rPr>
            </w:pPr>
            <w:r>
              <w:rPr>
                <w:b/>
                <w:sz w:val="21"/>
              </w:rPr>
              <w:t>周岁</w:t>
            </w:r>
          </w:p>
        </w:tc>
        <w:tc>
          <w:tcPr>
            <w:tcW w:w="7758" w:type="dxa"/>
          </w:tcPr>
          <w:p>
            <w:pPr>
              <w:pStyle w:val="TableParagraph"/>
              <w:spacing w:line="273" w:lineRule="auto" w:before="140"/>
              <w:ind w:left="107" w:right="285"/>
              <w:rPr>
                <w:sz w:val="21"/>
              </w:rPr>
            </w:pPr>
            <w:r>
              <w:rPr>
                <w:sz w:val="21"/>
              </w:rPr>
              <w:t>指按有效身份证件中记载的出生日期计算的年龄，自出生之日起为零周岁，每经过一年增加一岁，不足一年的不计。</w:t>
            </w:r>
          </w:p>
        </w:tc>
      </w:tr>
      <w:tr>
        <w:trPr>
          <w:trHeight w:val="2184" w:hRule="atLeast"/>
        </w:trPr>
        <w:tc>
          <w:tcPr>
            <w:tcW w:w="781" w:type="dxa"/>
          </w:tcPr>
          <w:p>
            <w:pPr>
              <w:pStyle w:val="TableParagraph"/>
              <w:spacing w:before="140"/>
              <w:ind w:left="180" w:right="242"/>
              <w:jc w:val="center"/>
              <w:rPr>
                <w:b/>
                <w:sz w:val="21"/>
              </w:rPr>
            </w:pPr>
            <w:r>
              <w:rPr>
                <w:b/>
                <w:sz w:val="21"/>
              </w:rPr>
              <w:t>8.7</w:t>
            </w:r>
          </w:p>
        </w:tc>
        <w:tc>
          <w:tcPr>
            <w:tcW w:w="1549" w:type="dxa"/>
          </w:tcPr>
          <w:p>
            <w:pPr>
              <w:pStyle w:val="TableParagraph"/>
              <w:spacing w:line="273" w:lineRule="auto" w:before="140"/>
              <w:ind w:left="264" w:right="226"/>
              <w:rPr>
                <w:b/>
                <w:sz w:val="21"/>
              </w:rPr>
            </w:pPr>
            <w:r>
              <w:rPr>
                <w:b/>
                <w:sz w:val="21"/>
              </w:rPr>
              <w:t>意外伤害事故</w:t>
            </w:r>
          </w:p>
        </w:tc>
        <w:tc>
          <w:tcPr>
            <w:tcW w:w="7758" w:type="dxa"/>
          </w:tcPr>
          <w:p>
            <w:pPr>
              <w:pStyle w:val="TableParagraph"/>
              <w:spacing w:line="273" w:lineRule="auto" w:before="140"/>
              <w:ind w:left="107" w:right="293"/>
              <w:jc w:val="both"/>
              <w:rPr>
                <w:sz w:val="21"/>
              </w:rPr>
            </w:pPr>
            <w:r>
              <w:rPr>
                <w:sz w:val="21"/>
              </w:rPr>
              <w:t>指外来的、非本意的、突然的、非疾病的使被保险人身体受到伤害的客观事件。</w:t>
            </w:r>
            <w:r>
              <w:rPr>
                <w:b/>
                <w:sz w:val="21"/>
              </w:rPr>
              <w:t>猝死</w:t>
            </w:r>
            <w:r>
              <w:rPr>
                <w:sz w:val="21"/>
              </w:rPr>
              <w:t>不属于意外伤害事故。</w:t>
            </w:r>
          </w:p>
          <w:p>
            <w:pPr>
              <w:pStyle w:val="TableParagraph"/>
              <w:spacing w:before="5"/>
              <w:rPr>
                <w:sz w:val="24"/>
              </w:rPr>
            </w:pPr>
          </w:p>
          <w:p>
            <w:pPr>
              <w:pStyle w:val="TableParagraph"/>
              <w:spacing w:line="264" w:lineRule="auto"/>
              <w:ind w:left="107" w:right="315"/>
              <w:jc w:val="both"/>
              <w:rPr>
                <w:sz w:val="21"/>
              </w:rPr>
            </w:pPr>
            <w:r>
              <w:rPr>
                <w:spacing w:val="-11"/>
                <w:sz w:val="21"/>
              </w:rPr>
              <w:t>其中，猝死：指表面健康的人因潜在疾病、机能障碍或其他原因在出现症状后 </w:t>
            </w:r>
            <w:r>
              <w:rPr>
                <w:rFonts w:ascii="Times New Roman" w:eastAsia="Times New Roman"/>
                <w:sz w:val="21"/>
              </w:rPr>
              <w:t>24 </w:t>
            </w:r>
            <w:r>
              <w:rPr>
                <w:spacing w:val="-5"/>
                <w:sz w:val="21"/>
              </w:rPr>
              <w:t>小时内发生的非暴力性突然死亡。猝死的认定以医院的诊断和公安部门的鉴定为准。</w:t>
            </w:r>
          </w:p>
        </w:tc>
      </w:tr>
      <w:tr>
        <w:trPr>
          <w:trHeight w:val="7282" w:hRule="atLeast"/>
        </w:trPr>
        <w:tc>
          <w:tcPr>
            <w:tcW w:w="781" w:type="dxa"/>
          </w:tcPr>
          <w:p>
            <w:pPr>
              <w:pStyle w:val="TableParagraph"/>
              <w:spacing w:before="140"/>
              <w:ind w:left="180" w:right="242"/>
              <w:jc w:val="center"/>
              <w:rPr>
                <w:b/>
                <w:sz w:val="21"/>
              </w:rPr>
            </w:pPr>
            <w:r>
              <w:rPr>
                <w:b/>
                <w:sz w:val="21"/>
              </w:rPr>
              <w:t>8.8</w:t>
            </w:r>
          </w:p>
        </w:tc>
        <w:tc>
          <w:tcPr>
            <w:tcW w:w="1549" w:type="dxa"/>
          </w:tcPr>
          <w:p>
            <w:pPr>
              <w:pStyle w:val="TableParagraph"/>
              <w:spacing w:before="140"/>
              <w:ind w:left="264"/>
              <w:rPr>
                <w:b/>
                <w:sz w:val="21"/>
              </w:rPr>
            </w:pPr>
            <w:r>
              <w:rPr>
                <w:b/>
                <w:sz w:val="21"/>
              </w:rPr>
              <w:t>重大疾病</w:t>
            </w:r>
          </w:p>
        </w:tc>
        <w:tc>
          <w:tcPr>
            <w:tcW w:w="7758" w:type="dxa"/>
          </w:tcPr>
          <w:p>
            <w:pPr>
              <w:pStyle w:val="TableParagraph"/>
              <w:spacing w:line="273" w:lineRule="auto" w:before="140"/>
              <w:ind w:left="107" w:right="267"/>
              <w:rPr>
                <w:sz w:val="21"/>
              </w:rPr>
            </w:pPr>
            <w:r>
              <w:rPr>
                <w:sz w:val="21"/>
              </w:rPr>
              <w:t>本附加合同所指的重大疾病（共61种），是指符合下列定义的疾病、疾病状态或手术：</w:t>
            </w:r>
          </w:p>
          <w:p>
            <w:pPr>
              <w:pStyle w:val="TableParagraph"/>
              <w:spacing w:before="5"/>
              <w:rPr>
                <w:sz w:val="24"/>
              </w:rPr>
            </w:pPr>
          </w:p>
          <w:p>
            <w:pPr>
              <w:pStyle w:val="TableParagraph"/>
              <w:spacing w:line="273" w:lineRule="auto" w:before="1"/>
              <w:ind w:left="107" w:right="399"/>
              <w:rPr>
                <w:sz w:val="21"/>
              </w:rPr>
            </w:pPr>
            <w:r>
              <w:rPr>
                <w:spacing w:val="-13"/>
                <w:sz w:val="21"/>
              </w:rPr>
              <w:t>以下 </w:t>
            </w:r>
            <w:r>
              <w:rPr>
                <w:sz w:val="21"/>
              </w:rPr>
              <w:t>25</w:t>
            </w:r>
            <w:r>
              <w:rPr>
                <w:spacing w:val="-8"/>
                <w:sz w:val="21"/>
              </w:rPr>
              <w:t> 种重大疾病定义是由中国保险行业协会与中国医师协会共同制定的重大</w:t>
            </w:r>
            <w:r>
              <w:rPr>
                <w:spacing w:val="-5"/>
                <w:sz w:val="21"/>
              </w:rPr>
              <w:t>疾病保险的疾病定义。</w:t>
            </w:r>
          </w:p>
          <w:p>
            <w:pPr>
              <w:pStyle w:val="TableParagraph"/>
              <w:spacing w:before="5"/>
              <w:rPr>
                <w:sz w:val="24"/>
              </w:rPr>
            </w:pPr>
          </w:p>
          <w:p>
            <w:pPr>
              <w:pStyle w:val="TableParagraph"/>
              <w:spacing w:before="1"/>
              <w:ind w:left="107"/>
              <w:rPr>
                <w:b/>
                <w:sz w:val="21"/>
              </w:rPr>
            </w:pPr>
            <w:r>
              <w:rPr>
                <w:b/>
                <w:sz w:val="21"/>
              </w:rPr>
              <w:t>（一）恶性肿瘤</w:t>
            </w:r>
          </w:p>
          <w:p>
            <w:pPr>
              <w:pStyle w:val="TableParagraph"/>
              <w:spacing w:line="273" w:lineRule="auto" w:before="37"/>
              <w:ind w:left="107" w:right="197" w:firstLine="420"/>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经血管、淋巴管和体腔扩散转移到身体其它部位的疾病。经病理学检查结果明确</w:t>
            </w:r>
            <w:r>
              <w:rPr>
                <w:spacing w:val="12"/>
                <w:sz w:val="21"/>
              </w:rPr>
              <w:t>诊断，临床诊断属于世界卫生组织《疾病和有关健康问题的国际统计分类》</w:t>
            </w:r>
          </w:p>
          <w:p>
            <w:pPr>
              <w:pStyle w:val="TableParagraph"/>
              <w:spacing w:line="273" w:lineRule="auto" w:before="7"/>
              <w:ind w:left="632" w:right="4600" w:hanging="526"/>
              <w:rPr>
                <w:sz w:val="21"/>
              </w:rPr>
            </w:pPr>
            <w:r>
              <w:rPr>
                <w:sz w:val="21"/>
              </w:rPr>
              <w:t>（ICD-10）</w:t>
            </w:r>
            <w:r>
              <w:rPr>
                <w:spacing w:val="-3"/>
                <w:sz w:val="21"/>
              </w:rPr>
              <w:t>的恶性肿瘤范畴。  下列疾病不在保障范围内：</w:t>
            </w:r>
          </w:p>
          <w:p>
            <w:pPr>
              <w:pStyle w:val="TableParagraph"/>
              <w:spacing w:before="7"/>
              <w:ind w:left="107"/>
              <w:rPr>
                <w:sz w:val="21"/>
              </w:rPr>
            </w:pPr>
            <w:r>
              <w:rPr>
                <w:sz w:val="21"/>
              </w:rPr>
              <w:t>（1）原位癌；</w:t>
            </w:r>
          </w:p>
          <w:p>
            <w:pPr>
              <w:pStyle w:val="TableParagraph"/>
              <w:spacing w:before="37"/>
              <w:ind w:left="107"/>
              <w:rPr>
                <w:sz w:val="21"/>
              </w:rPr>
            </w:pPr>
            <w:r>
              <w:rPr>
                <w:sz w:val="21"/>
              </w:rPr>
              <w:t>（2）相当于 Binet 分期方案 A 期程度的慢性淋巴细胞白血病；</w:t>
            </w:r>
          </w:p>
          <w:p>
            <w:pPr>
              <w:pStyle w:val="TableParagraph"/>
              <w:spacing w:before="37"/>
              <w:ind w:left="107"/>
              <w:rPr>
                <w:sz w:val="21"/>
              </w:rPr>
            </w:pPr>
            <w:r>
              <w:rPr>
                <w:sz w:val="21"/>
              </w:rPr>
              <w:t>（3）相当于 Ann Arbor 分期方案 I 期程度的何杰金氏病；</w:t>
            </w:r>
          </w:p>
          <w:p>
            <w:pPr>
              <w:pStyle w:val="TableParagraph"/>
              <w:spacing w:before="37"/>
              <w:ind w:left="10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rPr>
                <w:sz w:val="21"/>
              </w:rPr>
            </w:pPr>
            <w:r>
              <w:rPr>
                <w:sz w:val="21"/>
              </w:rPr>
              <w:t>（5）TNM 分期为 T1N0M0 期或更轻分期的前列腺癌；</w:t>
            </w:r>
          </w:p>
          <w:p>
            <w:pPr>
              <w:pStyle w:val="TableParagraph"/>
              <w:spacing w:before="36"/>
              <w:ind w:left="107"/>
              <w:rPr>
                <w:sz w:val="21"/>
              </w:rPr>
            </w:pPr>
            <w:r>
              <w:rPr>
                <w:sz w:val="21"/>
              </w:rPr>
              <w:t>（6）感染艾滋病病毒或患艾滋病期间所患恶性肿瘤。</w:t>
            </w:r>
          </w:p>
          <w:p>
            <w:pPr>
              <w:pStyle w:val="TableParagraph"/>
              <w:spacing w:before="8"/>
              <w:rPr>
                <w:sz w:val="26"/>
              </w:rPr>
            </w:pPr>
          </w:p>
          <w:p>
            <w:pPr>
              <w:pStyle w:val="TableParagraph"/>
              <w:ind w:left="107"/>
              <w:rPr>
                <w:b/>
                <w:sz w:val="21"/>
              </w:rPr>
            </w:pPr>
            <w:r>
              <w:rPr>
                <w:b/>
                <w:sz w:val="21"/>
              </w:rPr>
              <w:t>（二）急性心肌梗塞</w:t>
            </w:r>
          </w:p>
          <w:p>
            <w:pPr>
              <w:pStyle w:val="TableParagraph"/>
              <w:spacing w:line="273" w:lineRule="auto" w:before="36"/>
              <w:ind w:left="107" w:right="268" w:firstLine="432"/>
              <w:rPr>
                <w:sz w:val="21"/>
              </w:rPr>
            </w:pPr>
            <w:r>
              <w:rPr>
                <w:sz w:val="21"/>
              </w:rPr>
              <w:t>指因冠状动脉阻塞导致的相应区域供血不足造成部分心肌坏死。须满足下列至少三项条件：</w:t>
            </w:r>
          </w:p>
          <w:p>
            <w:pPr>
              <w:pStyle w:val="TableParagraph"/>
              <w:spacing w:line="257" w:lineRule="exact" w:before="7"/>
              <w:ind w:left="107"/>
              <w:rPr>
                <w:sz w:val="21"/>
              </w:rPr>
            </w:pPr>
            <w:r>
              <w:rPr>
                <w:sz w:val="21"/>
              </w:rPr>
              <w:t>（1）典型临床表现，例如急性胸痛等；</w:t>
            </w:r>
          </w:p>
        </w:tc>
      </w:tr>
    </w:tbl>
    <w:p>
      <w:pPr>
        <w:spacing w:after="0" w:line="257" w:lineRule="exact"/>
        <w:rPr>
          <w:sz w:val="21"/>
        </w:rPr>
        <w:sectPr>
          <w:pgSz w:w="11910" w:h="16840"/>
          <w:pgMar w:top="1480" w:bottom="280" w:left="720" w:right="880"/>
        </w:sectPr>
      </w:pPr>
    </w:p>
    <w:p>
      <w:pPr>
        <w:pStyle w:val="BodyText"/>
        <w:spacing w:before="22"/>
      </w:pPr>
      <w:r>
        <w:rPr/>
        <w:t>（2）新近的心电图改变提示急性心肌梗塞；</w:t>
      </w:r>
    </w:p>
    <w:p>
      <w:pPr>
        <w:pStyle w:val="BodyText"/>
        <w:spacing w:line="273" w:lineRule="auto"/>
        <w:ind w:right="122"/>
      </w:pPr>
      <w:r>
        <w:rPr/>
        <w:t>（3）心肌酶或肌钙蛋白有诊断意义的升高，或呈符合急性心肌梗塞的动态性变化；</w:t>
      </w:r>
    </w:p>
    <w:p>
      <w:pPr>
        <w:pStyle w:val="BodyText"/>
        <w:spacing w:before="7"/>
      </w:pPr>
      <w:r>
        <w:rPr/>
        <w:t>（4）</w:t>
      </w:r>
      <w:r>
        <w:rPr>
          <w:spacing w:val="-15"/>
        </w:rPr>
        <w:t>发病 </w:t>
      </w:r>
      <w:r>
        <w:rPr/>
        <w:t>90</w:t>
      </w:r>
      <w:r>
        <w:rPr>
          <w:spacing w:val="-10"/>
        </w:rPr>
        <w:t> 天后，经检查证实左室功能降低的，如左心室射血分数低于 </w:t>
      </w:r>
      <w:r>
        <w:rPr/>
        <w:t>50%。</w:t>
      </w:r>
    </w:p>
    <w:p>
      <w:pPr>
        <w:pStyle w:val="BodyText"/>
        <w:spacing w:before="8"/>
        <w:ind w:left="0"/>
        <w:rPr>
          <w:sz w:val="26"/>
        </w:rPr>
      </w:pPr>
    </w:p>
    <w:p>
      <w:pPr>
        <w:pStyle w:val="Heading1"/>
      </w:pPr>
      <w:r>
        <w:rPr/>
        <w:t>（三）脑中风后遗症</w:t>
      </w:r>
    </w:p>
    <w:p>
      <w:pPr>
        <w:pStyle w:val="BodyText"/>
        <w:spacing w:line="273" w:lineRule="auto" w:before="36"/>
        <w:ind w:right="113" w:firstLine="432"/>
        <w:jc w:val="both"/>
      </w:pPr>
      <w:r>
        <w:rPr>
          <w:spacing w:val="-5"/>
        </w:rPr>
        <w:t>指因脑血管的突发病变引起脑血管出血、栓塞或梗塞，并导致神经系统永久</w:t>
      </w:r>
      <w:r>
        <w:rPr>
          <w:spacing w:val="-8"/>
        </w:rPr>
        <w:t>性功能障碍。神经系统永久性的功能障碍，指疾病确诊 </w:t>
      </w:r>
      <w:r>
        <w:rPr/>
        <w:t>180</w:t>
      </w:r>
      <w:r>
        <w:rPr>
          <w:spacing w:val="-9"/>
        </w:rPr>
        <w:t> 天后，仍遗留下列一</w:t>
      </w:r>
      <w:r>
        <w:rPr>
          <w:spacing w:val="-5"/>
        </w:rPr>
        <w:t>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122"/>
      </w:pPr>
      <w:r>
        <w:rPr/>
        <w:t>（3）自主生活能力完全丧失，无法独立完成六项基本日常生活活动中的三项或三项以上。</w:t>
      </w:r>
    </w:p>
    <w:p>
      <w:pPr>
        <w:pStyle w:val="BodyText"/>
        <w:spacing w:before="6"/>
        <w:ind w:left="0"/>
        <w:rPr>
          <w:sz w:val="24"/>
        </w:rPr>
      </w:pPr>
    </w:p>
    <w:p>
      <w:pPr>
        <w:pStyle w:val="Heading1"/>
      </w:pPr>
      <w:r>
        <w:rPr/>
        <w:t>（四）重大器官移植术或造血干细胞移植术</w:t>
      </w:r>
    </w:p>
    <w:p>
      <w:pPr>
        <w:pStyle w:val="BodyText"/>
        <w:spacing w:line="273" w:lineRule="auto"/>
        <w:ind w:right="116" w:firstLine="432"/>
        <w:jc w:val="both"/>
      </w:pPr>
      <w:r>
        <w:rPr>
          <w:spacing w:val="-7"/>
        </w:rPr>
        <w:t>重大器官移植术，指因相应器官功能衰竭，已经实施了肾脏、肝脏、心脏或</w:t>
      </w:r>
      <w:r>
        <w:rPr>
          <w:spacing w:val="-5"/>
        </w:rPr>
        <w:t>肺脏的异体移植手术。</w:t>
      </w:r>
    </w:p>
    <w:p>
      <w:pPr>
        <w:pStyle w:val="BodyText"/>
        <w:spacing w:line="273" w:lineRule="auto" w:before="8"/>
        <w:ind w:right="113" w:firstLine="432"/>
        <w:jc w:val="both"/>
      </w:pPr>
      <w:r>
        <w:rPr>
          <w:spacing w:val="-6"/>
        </w:rPr>
        <w:t>造血干细胞移植术，指因造血功能损害或造血系统恶性肿瘤，已经实施了造</w:t>
      </w:r>
      <w:r>
        <w:rPr>
          <w:spacing w:val="-7"/>
        </w:rPr>
        <w:t>血干细胞</w:t>
      </w:r>
      <w:r>
        <w:rPr/>
        <w:t>（</w:t>
      </w:r>
      <w:r>
        <w:rPr>
          <w:spacing w:val="-4"/>
        </w:rPr>
        <w:t>包括骨髓造血干细胞、外周造血干细胞和脐血造血干细胞</w:t>
      </w:r>
      <w:r>
        <w:rPr>
          <w:spacing w:val="-10"/>
        </w:rPr>
        <w:t>）</w:t>
      </w:r>
      <w:r>
        <w:rPr>
          <w:spacing w:val="-3"/>
        </w:rPr>
        <w:t>的异体移植手术。</w:t>
      </w:r>
    </w:p>
    <w:p>
      <w:pPr>
        <w:pStyle w:val="BodyText"/>
        <w:spacing w:before="5"/>
        <w:ind w:left="0"/>
        <w:rPr>
          <w:sz w:val="24"/>
        </w:rPr>
      </w:pPr>
    </w:p>
    <w:p>
      <w:pPr>
        <w:pStyle w:val="Heading1"/>
        <w:spacing w:before="1"/>
      </w:pPr>
      <w:r>
        <w:rPr/>
        <w:t>（五）冠状动脉搭桥术</w:t>
      </w:r>
    </w:p>
    <w:p>
      <w:pPr>
        <w:pStyle w:val="BodyText"/>
        <w:ind w:left="2009"/>
      </w:pPr>
      <w:r>
        <w:rPr/>
        <w:t>指为治疗严重的冠心病，实际实施了开胸进行的冠状动脉血管旁路移植的手</w:t>
      </w:r>
    </w:p>
    <w:p>
      <w:pPr>
        <w:pStyle w:val="BodyText"/>
      </w:pPr>
      <w:r>
        <w:rPr/>
        <w:t>术。</w:t>
      </w:r>
    </w:p>
    <w:p>
      <w:pPr>
        <w:pStyle w:val="BodyText"/>
        <w:ind w:left="2009"/>
      </w:pPr>
      <w:r>
        <w:rPr/>
        <w:t>冠状动脉支架植入手术、心导管球囊扩张术、激光射频技术及其他非开胸的</w:t>
      </w:r>
    </w:p>
    <w:p>
      <w:pPr>
        <w:pStyle w:val="BodyText"/>
      </w:pPr>
      <w:r>
        <w:rPr/>
        <w:t>介入手术、腔镜手术不在保障范围内。</w:t>
      </w:r>
    </w:p>
    <w:p>
      <w:pPr>
        <w:pStyle w:val="BodyText"/>
        <w:spacing w:before="9"/>
        <w:ind w:left="0"/>
        <w:rPr>
          <w:sz w:val="26"/>
        </w:rPr>
      </w:pPr>
    </w:p>
    <w:p>
      <w:pPr>
        <w:pStyle w:val="Heading1"/>
      </w:pPr>
      <w:r>
        <w:rPr/>
        <w:t>（六）终末期肾病</w:t>
      </w:r>
    </w:p>
    <w:p>
      <w:pPr>
        <w:pStyle w:val="BodyText"/>
        <w:spacing w:line="273" w:lineRule="auto" w:before="36"/>
        <w:ind w:right="113" w:firstLine="432"/>
      </w:pPr>
      <w:r>
        <w:rPr>
          <w:spacing w:val="-9"/>
        </w:rPr>
        <w:t>指双肾功能慢性不可逆性衰竭，达到尿毒症期，经诊断后已经进行了至少 </w:t>
      </w:r>
      <w:r>
        <w:rPr/>
        <w:t>90 </w:t>
      </w:r>
      <w:r>
        <w:rPr>
          <w:spacing w:val="-3"/>
        </w:rPr>
        <w:t>天的规律性透析治疗或实施了肾脏移植手术。</w:t>
      </w:r>
    </w:p>
    <w:p>
      <w:pPr>
        <w:pStyle w:val="BodyText"/>
        <w:spacing w:before="5"/>
        <w:ind w:left="0"/>
        <w:rPr>
          <w:sz w:val="24"/>
        </w:rPr>
      </w:pPr>
    </w:p>
    <w:p>
      <w:pPr>
        <w:pStyle w:val="Heading1"/>
      </w:pPr>
      <w:r>
        <w:rPr/>
        <w:t>（七）多个肢体缺失</w:t>
      </w:r>
    </w:p>
    <w:p>
      <w:pPr>
        <w:pStyle w:val="BodyText"/>
        <w:spacing w:line="273" w:lineRule="auto"/>
        <w:ind w:right="63" w:firstLine="432"/>
      </w:pPr>
      <w:r>
        <w:rPr/>
        <w:t>指因疾病或意外伤害导致两个或两个以上肢体自腕关节或踝关节近端（靠近躯干端）以上完全性断离。</w:t>
      </w:r>
    </w:p>
    <w:p>
      <w:pPr>
        <w:pStyle w:val="BodyText"/>
        <w:spacing w:before="5"/>
        <w:ind w:left="0"/>
        <w:rPr>
          <w:sz w:val="24"/>
        </w:rPr>
      </w:pPr>
    </w:p>
    <w:p>
      <w:pPr>
        <w:pStyle w:val="Heading1"/>
      </w:pPr>
      <w:r>
        <w:rPr/>
        <w:t>（八）急性或亚急性重症肝炎</w:t>
      </w:r>
    </w:p>
    <w:p>
      <w:pPr>
        <w:pStyle w:val="BodyText"/>
        <w:spacing w:line="273" w:lineRule="auto" w:before="36"/>
        <w:ind w:right="70" w:firstLine="432"/>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1"/>
      </w:pPr>
      <w:r>
        <w:rPr/>
        <w:t>（九）良性脑肿瘤</w:t>
      </w:r>
    </w:p>
    <w:p>
      <w:pPr>
        <w:pStyle w:val="BodyText"/>
        <w:spacing w:line="273" w:lineRule="auto" w:before="36"/>
        <w:ind w:right="114" w:firstLine="432"/>
      </w:pPr>
      <w:r>
        <w:rPr>
          <w:spacing w:val="-7"/>
        </w:rPr>
        <w:t>指脑的良性肿瘤，已经引起颅内压增高，临床表现为视神经乳头水肿、精神</w:t>
      </w:r>
      <w:r>
        <w:rPr>
          <w:w w:val="100"/>
        </w:rPr>
        <w:t>症状、癫痫及运动感觉障碍等，并危及生命。须由头颅断层扫描</w:t>
      </w:r>
      <w:r>
        <w:rPr>
          <w:spacing w:val="5"/>
          <w:w w:val="100"/>
        </w:rPr>
        <w:t>（</w:t>
      </w:r>
      <w:r>
        <w:rPr>
          <w:w w:val="100"/>
        </w:rPr>
        <w:t>C</w:t>
      </w:r>
      <w:r>
        <w:rPr>
          <w:spacing w:val="1"/>
          <w:w w:val="100"/>
        </w:rPr>
        <w:t>T</w:t>
      </w:r>
      <w:r>
        <w:rPr>
          <w:spacing w:val="-106"/>
          <w:w w:val="100"/>
        </w:rPr>
        <w:t>）</w:t>
      </w:r>
      <w:r>
        <w:rPr>
          <w:w w:val="100"/>
        </w:rPr>
        <w:t>、核磁共</w:t>
      </w:r>
    </w:p>
    <w:p>
      <w:pPr>
        <w:spacing w:after="0" w:line="273" w:lineRule="auto"/>
        <w:sectPr>
          <w:pgSz w:w="11910" w:h="16840"/>
          <w:pgMar w:top="1080" w:bottom="280" w:left="1680" w:right="1200"/>
        </w:sectPr>
      </w:pPr>
    </w:p>
    <w:p>
      <w:pPr>
        <w:pStyle w:val="BodyText"/>
        <w:spacing w:line="273" w:lineRule="auto" w:before="22"/>
        <w:ind w:right="69"/>
      </w:pPr>
      <w:r>
        <w:rPr/>
        <w:t>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ind w:left="2009"/>
      </w:pPr>
      <w:r>
        <w:rPr/>
        <w:t>脑垂体瘤、脑囊肿、脑血管性疾病不在保障范围内。</w:t>
      </w:r>
    </w:p>
    <w:p>
      <w:pPr>
        <w:pStyle w:val="BodyText"/>
        <w:spacing w:before="8"/>
        <w:ind w:left="0"/>
        <w:rPr>
          <w:sz w:val="26"/>
        </w:rPr>
      </w:pPr>
    </w:p>
    <w:p>
      <w:pPr>
        <w:pStyle w:val="Heading1"/>
      </w:pPr>
      <w:r>
        <w:rPr/>
        <w:t>（十）慢性肝功能衰竭失代偿期</w:t>
      </w:r>
    </w:p>
    <w:p>
      <w:pPr>
        <w:pStyle w:val="BodyText"/>
        <w:spacing w:before="36"/>
        <w:ind w:left="2009"/>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009"/>
      </w:pPr>
      <w:r>
        <w:rPr/>
        <w:t>因酗酒或药物滥用导致的肝功能衰竭不在保障范围内。</w:t>
      </w:r>
    </w:p>
    <w:p>
      <w:pPr>
        <w:pStyle w:val="BodyText"/>
        <w:spacing w:before="8"/>
        <w:ind w:left="0"/>
        <w:rPr>
          <w:sz w:val="26"/>
        </w:rPr>
      </w:pPr>
    </w:p>
    <w:p>
      <w:pPr>
        <w:pStyle w:val="Heading1"/>
        <w:spacing w:before="1"/>
      </w:pPr>
      <w:r>
        <w:rPr/>
        <w:t>（十一）脑炎后遗症或脑膜炎后遗症</w:t>
      </w:r>
    </w:p>
    <w:p>
      <w:pPr>
        <w:pStyle w:val="BodyText"/>
        <w:spacing w:line="273" w:lineRule="auto"/>
        <w:ind w:right="71" w:firstLine="43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18"/>
      </w:pPr>
      <w:r>
        <w:rPr/>
        <w:t>（3）自主生活能力完全丧失，无法独立完成六项基本日常生活活动中的三项或三项以上。</w:t>
      </w:r>
    </w:p>
    <w:p>
      <w:pPr>
        <w:pStyle w:val="BodyText"/>
        <w:spacing w:before="5"/>
        <w:ind w:left="0"/>
        <w:rPr>
          <w:sz w:val="24"/>
        </w:rPr>
      </w:pPr>
    </w:p>
    <w:p>
      <w:pPr>
        <w:pStyle w:val="Heading1"/>
      </w:pPr>
      <w:r>
        <w:rPr/>
        <w:t>（十二）深度昏迷</w:t>
      </w:r>
    </w:p>
    <w:p>
      <w:pPr>
        <w:pStyle w:val="BodyText"/>
        <w:spacing w:line="273" w:lineRule="auto"/>
        <w:ind w:right="113" w:firstLine="432"/>
        <w:jc w:val="both"/>
      </w:pPr>
      <w:r>
        <w:rPr/>
        <w:t>指因疾病或意外伤害导致意识丧失,对外界刺激和体内需求均无反应，昏迷</w:t>
      </w:r>
      <w:r>
        <w:rPr>
          <w:spacing w:val="-3"/>
        </w:rPr>
        <w:t>程度按照格拉斯哥昏迷分级</w:t>
      </w:r>
      <w:r>
        <w:rPr/>
        <w:t>（Glasgow coma scale）</w:t>
      </w:r>
      <w:r>
        <w:rPr>
          <w:spacing w:val="-14"/>
        </w:rPr>
        <w:t>结果为 </w:t>
      </w:r>
      <w:r>
        <w:rPr/>
        <w:t>5</w:t>
      </w:r>
      <w:r>
        <w:rPr>
          <w:spacing w:val="-27"/>
        </w:rPr>
        <w:t> 分或 </w:t>
      </w:r>
      <w:r>
        <w:rPr/>
        <w:t>5</w:t>
      </w:r>
      <w:r>
        <w:rPr>
          <w:spacing w:val="-10"/>
        </w:rPr>
        <w:t> 分以下，且</w:t>
      </w:r>
      <w:r>
        <w:rPr>
          <w:spacing w:val="-7"/>
        </w:rPr>
        <w:t>已经持续使用呼吸机及其它生命维持系统 </w:t>
      </w:r>
      <w:r>
        <w:rPr/>
        <w:t>96</w:t>
      </w:r>
      <w:r>
        <w:rPr>
          <w:spacing w:val="-9"/>
        </w:rPr>
        <w:t> 小时以上。</w:t>
      </w:r>
    </w:p>
    <w:p>
      <w:pPr>
        <w:pStyle w:val="BodyText"/>
        <w:spacing w:before="8"/>
        <w:ind w:left="2009"/>
      </w:pPr>
      <w:r>
        <w:rPr/>
        <w:t>由于酗酒或药物滥用导致的深度昏迷不在保障范围内。</w:t>
      </w:r>
    </w:p>
    <w:p>
      <w:pPr>
        <w:pStyle w:val="BodyText"/>
        <w:spacing w:before="8"/>
        <w:ind w:left="0"/>
        <w:rPr>
          <w:sz w:val="26"/>
        </w:rPr>
      </w:pPr>
    </w:p>
    <w:p>
      <w:pPr>
        <w:pStyle w:val="Heading1"/>
      </w:pPr>
      <w:r>
        <w:rPr/>
        <w:t>（十三）双耳失聪</w:t>
      </w:r>
    </w:p>
    <w:p>
      <w:pPr>
        <w:pStyle w:val="BodyText"/>
        <w:spacing w:before="36"/>
        <w:ind w:left="2009"/>
      </w:pPr>
      <w:r>
        <w:rPr/>
        <w:t>指因疾病或意外伤害导致双耳听力永久不可逆性丧失，在 500 赫兹、1000</w:t>
      </w:r>
    </w:p>
    <w:p>
      <w:pPr>
        <w:pStyle w:val="BodyText"/>
        <w:spacing w:line="273" w:lineRule="auto" w:before="36"/>
        <w:ind w:right="118"/>
      </w:pPr>
      <w:r>
        <w:rPr>
          <w:spacing w:val="-13"/>
        </w:rPr>
        <w:t>赫兹和 </w:t>
      </w:r>
      <w:r>
        <w:rPr/>
        <w:t>2000</w:t>
      </w:r>
      <w:r>
        <w:rPr>
          <w:spacing w:val="-12"/>
        </w:rPr>
        <w:t> 赫兹语音频率下，平均听阈大于 </w:t>
      </w:r>
      <w:r>
        <w:rPr/>
        <w:t>90</w:t>
      </w:r>
      <w:r>
        <w:rPr>
          <w:spacing w:val="-10"/>
        </w:rPr>
        <w:t> 分贝，且经纯音听力测试、声导</w:t>
      </w:r>
      <w:r>
        <w:rPr>
          <w:spacing w:val="-5"/>
        </w:rPr>
        <w:t>抗检测或听觉诱发电位检测等证实。</w:t>
      </w:r>
    </w:p>
    <w:p>
      <w:pPr>
        <w:pStyle w:val="BodyText"/>
        <w:spacing w:line="273" w:lineRule="auto" w:before="7"/>
        <w:ind w:right="70" w:firstLine="432"/>
      </w:pPr>
      <w:r>
        <w:rPr/>
        <w:t>被保险人申请理赔时年龄必须在三周岁以上，并且提供理赔当时的听力丧失诊断及检查证据。</w:t>
      </w:r>
    </w:p>
    <w:p>
      <w:pPr>
        <w:pStyle w:val="BodyText"/>
        <w:spacing w:before="5"/>
        <w:ind w:left="0"/>
        <w:rPr>
          <w:sz w:val="24"/>
        </w:rPr>
      </w:pPr>
    </w:p>
    <w:p>
      <w:pPr>
        <w:pStyle w:val="Heading1"/>
      </w:pPr>
      <w:r>
        <w:rPr/>
        <w:t>（十四）双目失明</w:t>
      </w:r>
    </w:p>
    <w:p>
      <w:pPr>
        <w:pStyle w:val="BodyText"/>
        <w:spacing w:line="273" w:lineRule="auto" w:before="36"/>
        <w:ind w:right="68" w:firstLine="42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right="113"/>
      </w:pPr>
      <w:r>
        <w:rPr/>
        <w:t>（2）</w:t>
      </w:r>
      <w:r>
        <w:rPr>
          <w:spacing w:val="-2"/>
        </w:rPr>
        <w:t>矫正视力低于 </w:t>
      </w:r>
      <w:r>
        <w:rPr/>
        <w:t>0.02（</w:t>
      </w:r>
      <w:r>
        <w:rPr>
          <w:spacing w:val="-3"/>
        </w:rPr>
        <w:t>采用国际标准视力表，如果使用其他视力表应进行换</w:t>
      </w:r>
      <w:r>
        <w:rPr>
          <w:spacing w:val="-3"/>
          <w:w w:val="100"/>
        </w:rPr>
        <w:t>算</w:t>
      </w:r>
      <w:r>
        <w:rPr>
          <w:spacing w:val="-106"/>
          <w:w w:val="100"/>
        </w:rPr>
        <w:t>）</w:t>
      </w:r>
      <w:r>
        <w:rPr>
          <w:w w:val="100"/>
        </w:rPr>
        <w:t>；</w:t>
      </w:r>
    </w:p>
    <w:p>
      <w:pPr>
        <w:pStyle w:val="BodyText"/>
        <w:spacing w:before="7"/>
      </w:pPr>
      <w:r>
        <w:rPr/>
        <w:t>（3）视野半径小于 5 度。</w:t>
      </w:r>
    </w:p>
    <w:p>
      <w:pPr>
        <w:pStyle w:val="BodyText"/>
        <w:spacing w:line="273" w:lineRule="auto" w:before="36"/>
        <w:ind w:right="70" w:firstLine="432"/>
      </w:pPr>
      <w:r>
        <w:rPr/>
        <w:t>被保险人申请理赔时年龄必须在三周岁以上，并且提供理赔当时的视力丧失诊断及检查证据。</w:t>
      </w:r>
    </w:p>
    <w:p>
      <w:pPr>
        <w:pStyle w:val="BodyText"/>
        <w:spacing w:before="4"/>
        <w:ind w:left="0"/>
        <w:rPr>
          <w:sz w:val="24"/>
        </w:rPr>
      </w:pPr>
    </w:p>
    <w:p>
      <w:pPr>
        <w:pStyle w:val="Heading1"/>
        <w:spacing w:before="1"/>
      </w:pPr>
      <w:r>
        <w:rPr/>
        <w:t>（十五）瘫痪</w:t>
      </w:r>
    </w:p>
    <w:p>
      <w:pPr>
        <w:spacing w:after="0"/>
        <w:sectPr>
          <w:pgSz w:w="11910" w:h="16840"/>
          <w:pgMar w:top="1080" w:bottom="280" w:left="1680" w:right="1200"/>
        </w:sectPr>
      </w:pPr>
    </w:p>
    <w:p>
      <w:pPr>
        <w:pStyle w:val="BodyText"/>
        <w:spacing w:line="273" w:lineRule="auto" w:before="22"/>
        <w:ind w:right="213" w:firstLine="432"/>
        <w:jc w:val="both"/>
      </w:pPr>
      <w:r>
        <w:rPr>
          <w:spacing w:val="-5"/>
        </w:rPr>
        <w:t>指因疾病或意外伤害导致两肢或两肢以上肢体机能永久完全丧失。肢体机能</w:t>
      </w:r>
      <w:r>
        <w:rPr>
          <w:spacing w:val="-9"/>
        </w:rPr>
        <w:t>永久完全丧失，指疾病确诊 </w:t>
      </w:r>
      <w:r>
        <w:rPr/>
        <w:t>180</w:t>
      </w:r>
      <w:r>
        <w:rPr>
          <w:spacing w:val="-12"/>
        </w:rPr>
        <w:t> 天后或意外伤害发生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Heading1"/>
        <w:spacing w:before="1"/>
      </w:pPr>
      <w:r>
        <w:rPr/>
        <w:t>（十六）心脏瓣膜手术</w:t>
      </w:r>
    </w:p>
    <w:p>
      <w:pPr>
        <w:pStyle w:val="BodyText"/>
        <w:ind w:left="2009"/>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1"/>
      </w:pPr>
      <w:r>
        <w:rPr/>
        <w:t>（十七）严重阿尔茨海默病</w:t>
      </w:r>
    </w:p>
    <w:p>
      <w:pPr>
        <w:pStyle w:val="BodyText"/>
        <w:spacing w:line="273" w:lineRule="auto"/>
        <w:ind w:right="108" w:firstLine="432"/>
      </w:pPr>
      <w:r>
        <w:rPr>
          <w:spacing w:val="-7"/>
        </w:rPr>
        <w:t>指因大脑进行性、不可逆性改变导致智能严重衰退或丧失，临床表现为明显</w:t>
      </w:r>
      <w:r>
        <w:rPr>
          <w:spacing w:val="-14"/>
        </w:rPr>
        <w:t>的认知能力障碍、行为异常和社交能力减退，其日常生活必须持续受到他人监护。</w:t>
      </w:r>
      <w:r>
        <w:rPr>
          <w:w w:val="100"/>
        </w:rPr>
        <w:t>须由头颅断层扫描</w:t>
      </w:r>
      <w:r>
        <w:rPr>
          <w:spacing w:val="3"/>
          <w:w w:val="100"/>
        </w:rPr>
        <w:t>（</w:t>
      </w:r>
      <w:r>
        <w:rPr>
          <w:w w:val="100"/>
        </w:rPr>
        <w:t>CT</w:t>
      </w:r>
      <w:r>
        <w:rPr>
          <w:spacing w:val="-104"/>
          <w:w w:val="100"/>
        </w:rPr>
        <w:t>）</w:t>
      </w:r>
      <w:r>
        <w:rPr>
          <w:w w:val="100"/>
        </w:rPr>
        <w:t>、核磁共振检查</w:t>
      </w:r>
      <w:r>
        <w:rPr>
          <w:spacing w:val="3"/>
          <w:w w:val="100"/>
        </w:rPr>
        <w:t>（</w:t>
      </w:r>
      <w:r>
        <w:rPr>
          <w:spacing w:val="-3"/>
          <w:w w:val="100"/>
        </w:rPr>
        <w:t>M</w:t>
      </w:r>
      <w:r>
        <w:rPr>
          <w:w w:val="100"/>
        </w:rPr>
        <w:t>R</w:t>
      </w:r>
      <w:r>
        <w:rPr>
          <w:spacing w:val="1"/>
          <w:w w:val="100"/>
        </w:rPr>
        <w:t>I</w:t>
      </w:r>
      <w:r>
        <w:rPr>
          <w:w w:val="100"/>
        </w:rPr>
        <w:t>）或正电子发射断层扫描</w:t>
      </w:r>
      <w:r>
        <w:rPr>
          <w:spacing w:val="3"/>
          <w:w w:val="100"/>
        </w:rPr>
        <w:t>（</w:t>
      </w:r>
      <w:r>
        <w:rPr>
          <w:spacing w:val="-3"/>
          <w:w w:val="100"/>
        </w:rPr>
        <w:t>P</w:t>
      </w:r>
      <w:r>
        <w:rPr>
          <w:w w:val="100"/>
        </w:rPr>
        <w:t>E</w:t>
      </w:r>
      <w:r>
        <w:rPr>
          <w:spacing w:val="1"/>
          <w:w w:val="100"/>
        </w:rPr>
        <w:t>T</w:t>
      </w:r>
      <w:r>
        <w:rPr>
          <w:w w:val="100"/>
        </w:rPr>
        <w:t>）</w:t>
      </w:r>
      <w:r>
        <w:rPr>
          <w:spacing w:val="-6"/>
        </w:rPr>
        <w:t>等影像学检查证实，自主生活能力完全丧失，无法独立完成六项基本日常生活活</w:t>
      </w:r>
      <w:r>
        <w:rPr>
          <w:spacing w:val="-4"/>
        </w:rPr>
        <w:t>动中的三项或三项以上。</w:t>
      </w:r>
    </w:p>
    <w:p>
      <w:pPr>
        <w:pStyle w:val="BodyText"/>
        <w:spacing w:before="8"/>
        <w:ind w:left="2009"/>
      </w:pPr>
      <w:r>
        <w:rPr/>
        <w:t>神经官能症和精神疾病不在保障范围内。</w:t>
      </w:r>
    </w:p>
    <w:p>
      <w:pPr>
        <w:pStyle w:val="BodyText"/>
        <w:spacing w:before="8"/>
        <w:ind w:left="0"/>
        <w:rPr>
          <w:sz w:val="26"/>
        </w:rPr>
      </w:pPr>
    </w:p>
    <w:p>
      <w:pPr>
        <w:pStyle w:val="Heading1"/>
      </w:pPr>
      <w:r>
        <w:rPr/>
        <w:t>（十八）严重脑损伤</w:t>
      </w:r>
    </w:p>
    <w:p>
      <w:pPr>
        <w:pStyle w:val="BodyText"/>
        <w:spacing w:line="273" w:lineRule="auto" w:before="36"/>
        <w:ind w:right="214" w:firstLine="432"/>
      </w:pPr>
      <w:r>
        <w:rPr>
          <w:spacing w:val="-6"/>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或正电子发射断层扫描</w:t>
      </w:r>
    </w:p>
    <w:p>
      <w:pPr>
        <w:pStyle w:val="BodyText"/>
        <w:spacing w:line="273" w:lineRule="auto" w:before="7"/>
        <w:ind w:right="170"/>
      </w:pPr>
      <w:r>
        <w:rPr/>
        <w:t>（PET）等影像学检查证实。神经系统永久性的功能障碍，指脑损伤 180 天后， 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22"/>
      </w:pPr>
      <w:r>
        <w:rPr/>
        <w:t>（3）自主生活能力完全丧失，无法独立完成六项基本日常生活活动中的三项或三项以上。</w:t>
      </w:r>
    </w:p>
    <w:p>
      <w:pPr>
        <w:pStyle w:val="BodyText"/>
        <w:spacing w:before="5"/>
        <w:ind w:left="0"/>
        <w:rPr>
          <w:sz w:val="24"/>
        </w:rPr>
      </w:pPr>
    </w:p>
    <w:p>
      <w:pPr>
        <w:pStyle w:val="Heading1"/>
      </w:pPr>
      <w:r>
        <w:rPr/>
        <w:t>（十九）严重帕金森病</w:t>
      </w:r>
    </w:p>
    <w:p>
      <w:pPr>
        <w:pStyle w:val="BodyText"/>
        <w:spacing w:line="273" w:lineRule="auto" w:before="36"/>
        <w:ind w:right="186" w:firstLine="432"/>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right="222"/>
      </w:pPr>
      <w:r>
        <w:rPr/>
        <w:t>（2）自主生活能力完全丧失，无法独立完成六项基本日常生活活动中的三项或三项以上。</w:t>
      </w:r>
    </w:p>
    <w:p>
      <w:pPr>
        <w:pStyle w:val="BodyText"/>
        <w:spacing w:before="7"/>
        <w:ind w:left="1997"/>
      </w:pPr>
      <w:r>
        <w:rPr/>
        <w:t>继发性帕金森综合征不在保障范围内。</w:t>
      </w:r>
    </w:p>
    <w:p>
      <w:pPr>
        <w:pStyle w:val="BodyText"/>
        <w:spacing w:before="8"/>
        <w:ind w:left="0"/>
        <w:rPr>
          <w:sz w:val="26"/>
        </w:rPr>
      </w:pPr>
    </w:p>
    <w:p>
      <w:pPr>
        <w:pStyle w:val="Heading1"/>
      </w:pPr>
      <w:r>
        <w:rPr/>
        <w:t>（二十）严重 III 度烧伤</w:t>
      </w:r>
    </w:p>
    <w:p>
      <w:pPr>
        <w:pStyle w:val="BodyText"/>
        <w:spacing w:line="273" w:lineRule="auto"/>
        <w:ind w:right="107" w:firstLine="432"/>
      </w:pPr>
      <w:r>
        <w:rPr>
          <w:spacing w:val="-9"/>
        </w:rPr>
        <w:t>指烧伤程度为Ⅲ度，且Ⅲ度烧伤面积达到全身体表面积的 </w:t>
      </w:r>
      <w:r>
        <w:rPr/>
        <w:t>20</w:t>
      </w:r>
      <w:r>
        <w:rPr>
          <w:spacing w:val="-13"/>
        </w:rPr>
        <w:t>％或 </w:t>
      </w:r>
      <w:r>
        <w:rPr/>
        <w:t>20％以上。</w:t>
      </w:r>
      <w:r>
        <w:rPr>
          <w:spacing w:val="-3"/>
        </w:rPr>
        <w:t>体表面积根据 《中国新九分法》计算。</w:t>
      </w:r>
    </w:p>
    <w:p>
      <w:pPr>
        <w:pStyle w:val="BodyText"/>
        <w:spacing w:before="6"/>
        <w:ind w:left="0"/>
        <w:rPr>
          <w:sz w:val="24"/>
        </w:rPr>
      </w:pPr>
    </w:p>
    <w:p>
      <w:pPr>
        <w:pStyle w:val="Heading1"/>
      </w:pPr>
      <w:r>
        <w:rPr/>
        <w:t>（二十一）严重原发性肺动脉高压</w:t>
      </w:r>
    </w:p>
    <w:p>
      <w:pPr>
        <w:pStyle w:val="BodyText"/>
        <w:spacing w:line="273" w:lineRule="auto"/>
        <w:ind w:right="213" w:firstLine="432"/>
        <w:jc w:val="both"/>
      </w:pPr>
      <w:r>
        <w:rPr>
          <w:spacing w:val="-5"/>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级，静息状态下肺动脉平均压超过 </w:t>
      </w:r>
      <w:r>
        <w:rPr/>
        <w:t>30mmHg。</w:t>
      </w:r>
    </w:p>
    <w:p>
      <w:pPr>
        <w:pStyle w:val="BodyText"/>
        <w:spacing w:before="5"/>
        <w:ind w:left="0"/>
        <w:rPr>
          <w:sz w:val="24"/>
        </w:rPr>
      </w:pPr>
    </w:p>
    <w:p>
      <w:pPr>
        <w:pStyle w:val="Heading1"/>
        <w:spacing w:before="1"/>
      </w:pPr>
      <w:r>
        <w:rPr/>
        <w:t>（二十二）严重运动神经元病</w:t>
      </w:r>
    </w:p>
    <w:p>
      <w:pPr>
        <w:pStyle w:val="BodyText"/>
        <w:spacing w:line="273" w:lineRule="auto"/>
        <w:ind w:right="199" w:firstLine="432"/>
      </w:pPr>
      <w:r>
        <w:rPr/>
        <w:t>是一组中枢神经系统运动神经元的进行性变性疾病，包括进行性脊肌萎缩症、进行性延髓麻痹症、原发性侧索硬化症、肌萎缩性侧索硬化症。须满足自主</w:t>
      </w:r>
    </w:p>
    <w:p>
      <w:pPr>
        <w:spacing w:after="0" w:line="273" w:lineRule="auto"/>
        <w:sectPr>
          <w:pgSz w:w="11910" w:h="16840"/>
          <w:pgMar w:top="1080" w:bottom="280" w:left="1680" w:right="1100"/>
        </w:sectPr>
      </w:pPr>
    </w:p>
    <w:p>
      <w:pPr>
        <w:pStyle w:val="BodyText"/>
        <w:spacing w:before="22"/>
      </w:pPr>
      <w:r>
        <w:rPr/>
        <w:t>生活能力完全丧失，无法独立完成六项基本日常生活活动中的三项或三项以上。</w:t>
      </w:r>
    </w:p>
    <w:p>
      <w:pPr>
        <w:pStyle w:val="BodyText"/>
        <w:spacing w:before="9"/>
        <w:ind w:left="0"/>
        <w:rPr>
          <w:sz w:val="26"/>
        </w:rPr>
      </w:pPr>
    </w:p>
    <w:p>
      <w:pPr>
        <w:pStyle w:val="Heading1"/>
      </w:pPr>
      <w:r>
        <w:rPr/>
        <w:t>（二十三）语言能力丧失</w:t>
      </w:r>
    </w:p>
    <w:p>
      <w:pPr>
        <w:pStyle w:val="BodyText"/>
        <w:spacing w:line="273" w:lineRule="auto" w:before="36"/>
        <w:ind w:right="133" w:firstLine="432"/>
        <w:jc w:val="both"/>
      </w:pPr>
      <w:r>
        <w:rPr>
          <w:spacing w:val="-8"/>
        </w:rPr>
        <w:t>指因疾病或意外伤害导致完全丧失语言能力，经过积极治疗至少 </w:t>
      </w:r>
      <w:r>
        <w:rPr/>
        <w:t>12</w:t>
      </w:r>
      <w:r>
        <w:rPr>
          <w:spacing w:val="-37"/>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2009"/>
      </w:pPr>
      <w:r>
        <w:rPr/>
        <w:t>精神心理因素所致的语言能力丧失不在保障范围内。</w:t>
      </w:r>
    </w:p>
    <w:p>
      <w:pPr>
        <w:pStyle w:val="BodyText"/>
        <w:spacing w:before="15"/>
        <w:ind w:right="134" w:firstLine="432"/>
        <w:jc w:val="both"/>
      </w:pPr>
      <w:r>
        <w:rPr>
          <w:spacing w:val="-5"/>
        </w:rPr>
        <w:t>被保险人申请理赔时年龄必须在三周岁以上，并且提供理赔当时的语言能力</w:t>
      </w:r>
      <w:r>
        <w:rPr>
          <w:spacing w:val="-4"/>
        </w:rPr>
        <w:t>丧失诊断及检查证据。</w:t>
      </w:r>
    </w:p>
    <w:p>
      <w:pPr>
        <w:pStyle w:val="BodyText"/>
        <w:spacing w:before="4"/>
        <w:ind w:left="0"/>
        <w:rPr>
          <w:sz w:val="27"/>
        </w:rPr>
      </w:pPr>
    </w:p>
    <w:p>
      <w:pPr>
        <w:pStyle w:val="Heading1"/>
        <w:spacing w:before="1"/>
      </w:pPr>
      <w:r>
        <w:rPr/>
        <w:t>（二十四）重型再生障碍性贫血</w:t>
      </w:r>
    </w:p>
    <w:p>
      <w:pPr>
        <w:pStyle w:val="BodyText"/>
        <w:spacing w:line="273" w:lineRule="auto"/>
        <w:ind w:right="134" w:firstLine="432"/>
        <w:jc w:val="both"/>
      </w:pPr>
      <w:r>
        <w:rPr>
          <w:spacing w:val="-5"/>
        </w:rPr>
        <w:t>指因骨髓造血功能慢性持续性衰竭导致的贫血、中性粒细胞减少及血小板减</w:t>
      </w:r>
      <w:r>
        <w:rPr>
          <w:spacing w:val="-4"/>
        </w:rPr>
        <w:t>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ind w:left="2237"/>
      </w:pPr>
      <w:r>
        <w:rPr/>
        <w:t>① 中性粒细胞绝对值≤0.5×10</w:t>
      </w:r>
      <w:r>
        <w:rPr>
          <w:position w:val="11"/>
          <w:sz w:val="11"/>
        </w:rPr>
        <w:t>9</w:t>
      </w:r>
      <w:r>
        <w:rPr/>
        <w:t>/L；</w:t>
      </w:r>
    </w:p>
    <w:p>
      <w:pPr>
        <w:pStyle w:val="BodyText"/>
        <w:ind w:left="2237"/>
      </w:pPr>
      <w:r>
        <w:rPr/>
        <w:t>② 网织红细胞＜1%；</w:t>
      </w:r>
    </w:p>
    <w:p>
      <w:pPr>
        <w:pStyle w:val="BodyText"/>
        <w:ind w:left="2237"/>
      </w:pPr>
      <w:r>
        <w:rPr/>
        <w:t>③ 血小板绝对值≤20×10</w:t>
      </w:r>
      <w:r>
        <w:rPr>
          <w:position w:val="11"/>
          <w:sz w:val="11"/>
        </w:rPr>
        <w:t>9</w:t>
      </w:r>
      <w:r>
        <w:rPr/>
        <w:t>/L。</w:t>
      </w:r>
    </w:p>
    <w:p>
      <w:pPr>
        <w:pStyle w:val="BodyText"/>
        <w:spacing w:before="8"/>
        <w:ind w:left="0"/>
        <w:rPr>
          <w:sz w:val="26"/>
        </w:rPr>
      </w:pPr>
    </w:p>
    <w:p>
      <w:pPr>
        <w:pStyle w:val="Heading1"/>
        <w:spacing w:before="1"/>
      </w:pPr>
      <w:r>
        <w:rPr/>
        <w:t>（二十五）主动脉手术</w:t>
      </w:r>
    </w:p>
    <w:p>
      <w:pPr>
        <w:pStyle w:val="BodyText"/>
        <w:spacing w:line="273" w:lineRule="auto"/>
        <w:ind w:right="134" w:firstLine="432"/>
        <w:jc w:val="both"/>
      </w:pPr>
      <w:r>
        <w:rPr>
          <w:spacing w:val="-6"/>
        </w:rPr>
        <w:t>指为治疗主动脉疾病，实际实施了开胸或开腹进行的切除、置换、修补病损</w:t>
      </w:r>
      <w:r>
        <w:rPr>
          <w:spacing w:val="-7"/>
        </w:rPr>
        <w:t>主动脉血管的手术。主动脉指胸主动脉和腹主动脉，不包括胸主动脉和腹主动脉</w:t>
      </w:r>
      <w:r>
        <w:rPr>
          <w:spacing w:val="-5"/>
        </w:rPr>
        <w:t>的分支血管。</w:t>
      </w:r>
    </w:p>
    <w:p>
      <w:pPr>
        <w:pStyle w:val="BodyText"/>
        <w:spacing w:before="7"/>
        <w:ind w:left="2009"/>
      </w:pPr>
      <w:r>
        <w:rPr/>
        <w:t>动脉内血管成形术不在保障范围内。</w:t>
      </w:r>
    </w:p>
    <w:p>
      <w:pPr>
        <w:pStyle w:val="BodyText"/>
        <w:spacing w:before="8"/>
        <w:ind w:left="0"/>
        <w:rPr>
          <w:sz w:val="26"/>
        </w:rPr>
      </w:pPr>
    </w:p>
    <w:p>
      <w:pPr>
        <w:pStyle w:val="BodyText"/>
        <w:spacing w:line="273" w:lineRule="auto" w:before="0"/>
        <w:ind w:right="133" w:firstLine="420"/>
        <w:jc w:val="both"/>
      </w:pPr>
      <w:r>
        <w:rPr>
          <w:spacing w:val="1"/>
        </w:rPr>
        <w:t>以下 </w:t>
      </w:r>
      <w:r>
        <w:rPr/>
        <w:t>36</w:t>
      </w:r>
      <w:r>
        <w:rPr>
          <w:spacing w:val="-3"/>
        </w:rPr>
        <w:t>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1"/>
      </w:pPr>
      <w:r>
        <w:rPr/>
        <w:t>（二十六）慢性呼吸功能衰竭</w:t>
      </w:r>
    </w:p>
    <w:p>
      <w:pPr>
        <w:pStyle w:val="BodyText"/>
        <w:spacing w:line="273" w:lineRule="auto" w:before="36"/>
        <w:ind w:right="133" w:firstLine="432"/>
        <w:jc w:val="both"/>
      </w:pPr>
      <w:r>
        <w:rPr>
          <w:spacing w:val="-5"/>
        </w:rPr>
        <w:t>慢性肺部疾病导致永久不可逆性的慢性呼吸功能衰竭，必须由呼吸专科医生</w:t>
      </w:r>
      <w:r>
        <w:rPr>
          <w:spacing w:val="-3"/>
        </w:rPr>
        <w:t>确认并符合下列所有条件：</w:t>
      </w:r>
    </w:p>
    <w:p>
      <w:pPr>
        <w:pStyle w:val="BodyText"/>
        <w:spacing w:before="7"/>
      </w:pPr>
      <w:r>
        <w:rPr/>
        <w:t>（1）休息时出现呼吸困难；</w:t>
      </w:r>
    </w:p>
    <w:p>
      <w:pPr>
        <w:pStyle w:val="BodyText"/>
        <w:spacing w:before="36"/>
      </w:pPr>
      <w:r>
        <w:rPr>
          <w:position w:val="1"/>
        </w:rPr>
        <w:t>（2）</w:t>
      </w:r>
      <w:r>
        <w:rPr>
          <w:spacing w:val="-1"/>
          <w:position w:val="1"/>
        </w:rPr>
        <w:t>动脉血氧分压 </w:t>
      </w:r>
      <w:r>
        <w:rPr>
          <w:position w:val="1"/>
        </w:rPr>
        <w:t>（PaO</w:t>
      </w:r>
      <w:r>
        <w:rPr>
          <w:spacing w:val="-52"/>
          <w:position w:val="1"/>
        </w:rPr>
        <w:t> </w:t>
      </w:r>
      <w:r>
        <w:rPr>
          <w:sz w:val="11"/>
        </w:rPr>
        <w:t>2</w:t>
      </w:r>
      <w:r>
        <w:rPr>
          <w:spacing w:val="51"/>
          <w:sz w:val="11"/>
        </w:rPr>
        <w:t> </w:t>
      </w:r>
      <w:r>
        <w:rPr>
          <w:position w:val="1"/>
        </w:rPr>
        <w:t>）&lt; 50mmHg；</w:t>
      </w:r>
    </w:p>
    <w:p>
      <w:pPr>
        <w:pStyle w:val="BodyText"/>
        <w:spacing w:before="36"/>
      </w:pPr>
      <w:r>
        <w:rPr>
          <w:position w:val="1"/>
        </w:rPr>
        <w:t>（3）</w:t>
      </w:r>
      <w:r>
        <w:rPr>
          <w:spacing w:val="-3"/>
          <w:position w:val="1"/>
        </w:rPr>
        <w:t>动脉血氧饱和度 </w:t>
      </w:r>
      <w:r>
        <w:rPr>
          <w:position w:val="1"/>
        </w:rPr>
        <w:t>（SaO </w:t>
      </w:r>
      <w:r>
        <w:rPr>
          <w:sz w:val="11"/>
        </w:rPr>
        <w:t>2</w:t>
      </w:r>
      <w:r>
        <w:rPr>
          <w:spacing w:val="50"/>
          <w:sz w:val="11"/>
        </w:rPr>
        <w:t> </w:t>
      </w:r>
      <w:r>
        <w:rPr>
          <w:position w:val="1"/>
        </w:rPr>
        <w:t>）&lt; 80％；</w:t>
      </w:r>
    </w:p>
    <w:p>
      <w:pPr>
        <w:pStyle w:val="BodyText"/>
      </w:pPr>
      <w:r>
        <w:rPr/>
        <w:t>（4）因缺氧必须接受持续的输氧治疗。</w:t>
      </w:r>
    </w:p>
    <w:p>
      <w:pPr>
        <w:pStyle w:val="BodyText"/>
        <w:spacing w:before="8"/>
        <w:ind w:left="0"/>
        <w:rPr>
          <w:sz w:val="26"/>
        </w:rPr>
      </w:pPr>
    </w:p>
    <w:p>
      <w:pPr>
        <w:pStyle w:val="Heading1"/>
        <w:spacing w:before="1"/>
      </w:pPr>
      <w:r>
        <w:rPr/>
        <w:t>（二十七）严重多发性硬化</w:t>
      </w:r>
    </w:p>
    <w:p>
      <w:pPr>
        <w:pStyle w:val="BodyText"/>
        <w:spacing w:line="273" w:lineRule="auto"/>
        <w:ind w:right="134" w:firstLine="432"/>
        <w:jc w:val="both"/>
      </w:pPr>
      <w:r>
        <w:rPr>
          <w:spacing w:val="-5"/>
        </w:rPr>
        <w:t>多发性硬化为中枢神经系统白质多灶性脱髓鞘病变，病变有时累及灰质。多</w:t>
      </w:r>
      <w:r>
        <w:rPr>
          <w:spacing w:val="-6"/>
        </w:rPr>
        <w:t>发性硬化必须明确诊断，并且已经造成神经系统功能损害导致被保险人永久不可</w:t>
      </w:r>
      <w:r>
        <w:rPr>
          <w:spacing w:val="-4"/>
        </w:rPr>
        <w:t>逆性的无法独立完成下列基本日常生活活动：</w:t>
      </w:r>
    </w:p>
    <w:p>
      <w:pPr>
        <w:pStyle w:val="BodyText"/>
        <w:spacing w:before="8"/>
      </w:pPr>
      <w:r>
        <w:rPr/>
        <w:t>（1）移动：自己从一个房间移动到另一个房间；</w:t>
      </w:r>
    </w:p>
    <w:p>
      <w:pPr>
        <w:pStyle w:val="BodyText"/>
      </w:pPr>
      <w:r>
        <w:rPr/>
        <w:t>（2）进食：自己从已准备好的碗或碟中取食物放入口中。</w:t>
      </w:r>
    </w:p>
    <w:p>
      <w:pPr>
        <w:pStyle w:val="BodyText"/>
        <w:spacing w:before="8"/>
        <w:ind w:left="0"/>
        <w:rPr>
          <w:sz w:val="26"/>
        </w:rPr>
      </w:pPr>
    </w:p>
    <w:p>
      <w:pPr>
        <w:pStyle w:val="Heading1"/>
        <w:spacing w:before="1"/>
      </w:pPr>
      <w:r>
        <w:rPr/>
        <w:t>（二十八）严重冠心病</w:t>
      </w:r>
    </w:p>
    <w:p>
      <w:pPr>
        <w:pStyle w:val="BodyText"/>
        <w:spacing w:line="273" w:lineRule="auto"/>
        <w:ind w:right="134" w:firstLine="432"/>
        <w:jc w:val="both"/>
      </w:pPr>
      <w:r>
        <w:rPr/>
        <w:t>指经心脏科专科医师根据冠状动脉造影检查结果确诊为主要血管严重狭窄</w:t>
      </w:r>
      <w:r>
        <w:rPr>
          <w:spacing w:val="-10"/>
          <w:w w:val="100"/>
        </w:rPr>
        <w:t>性病变，须满足下列至少一项条件：</w:t>
      </w:r>
      <w:r>
        <w:rPr>
          <w:spacing w:val="-1"/>
          <w:w w:val="100"/>
        </w:rPr>
        <w:t>（</w:t>
      </w:r>
      <w:r>
        <w:rPr>
          <w:spacing w:val="-3"/>
          <w:w w:val="100"/>
        </w:rPr>
        <w:t>1</w:t>
      </w:r>
      <w:r>
        <w:rPr>
          <w:spacing w:val="-8"/>
          <w:w w:val="100"/>
        </w:rPr>
        <w:t>）</w:t>
      </w:r>
      <w:r>
        <w:rPr>
          <w:spacing w:val="-4"/>
          <w:w w:val="100"/>
        </w:rPr>
        <w:t>左冠状动脉主干和右冠状动脉中，一支</w:t>
      </w:r>
      <w:r>
        <w:rPr>
          <w:spacing w:val="-3"/>
          <w:w w:val="100"/>
        </w:rPr>
        <w:t>血管管腔堵塞</w:t>
      </w:r>
      <w:r>
        <w:rPr>
          <w:spacing w:val="-3"/>
        </w:rPr>
        <w:t> </w:t>
      </w:r>
      <w:r>
        <w:rPr>
          <w:w w:val="100"/>
        </w:rPr>
        <w:t>7</w:t>
      </w:r>
      <w:r>
        <w:rPr>
          <w:spacing w:val="-3"/>
          <w:w w:val="100"/>
        </w:rPr>
        <w:t>5％以上，另一支血管管腔堵塞</w:t>
      </w:r>
      <w:r>
        <w:rPr>
          <w:spacing w:val="-3"/>
        </w:rPr>
        <w:t> </w:t>
      </w:r>
      <w:r>
        <w:rPr>
          <w:w w:val="100"/>
        </w:rPr>
        <w:t>60</w:t>
      </w:r>
      <w:r>
        <w:rPr>
          <w:spacing w:val="-29"/>
          <w:w w:val="100"/>
        </w:rPr>
        <w:t>％以上；</w:t>
      </w:r>
      <w:r>
        <w:rPr>
          <w:spacing w:val="-1"/>
          <w:w w:val="100"/>
        </w:rPr>
        <w:t>（</w:t>
      </w:r>
      <w:r>
        <w:rPr>
          <w:w w:val="100"/>
        </w:rPr>
        <w:t>2</w:t>
      </w:r>
      <w:r>
        <w:rPr>
          <w:spacing w:val="-3"/>
          <w:w w:val="100"/>
        </w:rPr>
        <w:t>）前降支、回旋支</w:t>
      </w:r>
    </w:p>
    <w:p>
      <w:pPr>
        <w:spacing w:after="0" w:line="273" w:lineRule="auto"/>
        <w:jc w:val="both"/>
        <w:sectPr>
          <w:pgSz w:w="11910" w:h="16840"/>
          <w:pgMar w:top="1080" w:bottom="280" w:left="1680" w:right="1180"/>
        </w:sectPr>
      </w:pPr>
    </w:p>
    <w:p>
      <w:pPr>
        <w:pStyle w:val="BodyText"/>
        <w:spacing w:line="273" w:lineRule="auto" w:before="22"/>
        <w:ind w:right="213"/>
        <w:jc w:val="both"/>
      </w:pPr>
      <w:r>
        <w:rPr>
          <w:spacing w:val="-12"/>
        </w:rPr>
        <w:t>和右冠状动脉中，至少一支血管管腔堵塞 </w:t>
      </w:r>
      <w:r>
        <w:rPr/>
        <w:t>75</w:t>
      </w:r>
      <w:r>
        <w:rPr>
          <w:spacing w:val="-12"/>
        </w:rPr>
        <w:t>％以上，其他两支血管管腔堵塞 </w:t>
      </w:r>
      <w:r>
        <w:rPr/>
        <w:t>60％ </w:t>
      </w:r>
      <w:r>
        <w:rPr>
          <w:spacing w:val="-5"/>
        </w:rPr>
        <w:t>以上。前降支的分支血管、左旋支的分支血管及右冠状动脉的分支血管的狭窄不</w:t>
      </w:r>
      <w:r>
        <w:rPr>
          <w:spacing w:val="-4"/>
        </w:rPr>
        <w:t>作为本保障的衡量指标。</w:t>
      </w:r>
    </w:p>
    <w:p>
      <w:pPr>
        <w:pStyle w:val="BodyText"/>
        <w:spacing w:before="5"/>
        <w:ind w:left="0"/>
        <w:rPr>
          <w:sz w:val="24"/>
        </w:rPr>
      </w:pPr>
    </w:p>
    <w:p>
      <w:pPr>
        <w:pStyle w:val="Heading1"/>
        <w:spacing w:before="1"/>
      </w:pPr>
      <w:r>
        <w:rPr/>
        <w:t>（二十九）严重心肌病</w:t>
      </w:r>
    </w:p>
    <w:p>
      <w:pPr>
        <w:pStyle w:val="BodyText"/>
        <w:spacing w:line="273" w:lineRule="auto"/>
        <w:ind w:right="214" w:firstLine="432"/>
        <w:jc w:val="both"/>
      </w:pPr>
      <w:r>
        <w:rPr>
          <w:spacing w:val="-5"/>
        </w:rPr>
        <w:t>严重心肌病指被保人因心肌病导致慢性心功能损害造成心功能衰竭</w:t>
      </w:r>
      <w:r>
        <w:rPr>
          <w:spacing w:val="-3"/>
        </w:rPr>
        <w:t>（</w:t>
      </w:r>
      <w:r>
        <w:rPr>
          <w:spacing w:val="-2"/>
        </w:rPr>
        <w:t>指按照</w:t>
      </w:r>
      <w:r>
        <w:rPr>
          <w:w w:val="100"/>
        </w:rPr>
        <w:t>美国纽约心脏协会心功能分类标准心功能达Ⅳ级</w:t>
      </w:r>
      <w:r>
        <w:rPr>
          <w:spacing w:val="-104"/>
          <w:w w:val="100"/>
        </w:rPr>
        <w:t>）</w:t>
      </w:r>
      <w:r>
        <w:rPr>
          <w:w w:val="100"/>
        </w:rPr>
        <w:t>，且有相关住院医疗记录显示</w:t>
      </w:r>
    </w:p>
    <w:p>
      <w:pPr>
        <w:pStyle w:val="BodyText"/>
        <w:spacing w:before="7"/>
      </w:pPr>
      <w:r>
        <w:rPr/>
        <w:t>Ⅳ级心功能衰竭状态持续至少 180 天。</w:t>
      </w:r>
    </w:p>
    <w:p>
      <w:pPr>
        <w:pStyle w:val="BodyText"/>
        <w:spacing w:line="273" w:lineRule="auto" w:before="36"/>
        <w:ind w:right="214" w:firstLine="432"/>
        <w:jc w:val="both"/>
      </w:pPr>
      <w:r>
        <w:rPr/>
        <w:t>美国纽约心脏协会分类标准心功能Ⅳ级是指有医院的医疗记录显示病人不能进行任何活动，休息时仍有心悸、呼吸困难等心力衰竭表现。</w:t>
      </w:r>
    </w:p>
    <w:p>
      <w:pPr>
        <w:pStyle w:val="BodyText"/>
        <w:spacing w:before="4"/>
        <w:ind w:left="0"/>
        <w:rPr>
          <w:sz w:val="24"/>
        </w:rPr>
      </w:pPr>
    </w:p>
    <w:p>
      <w:pPr>
        <w:pStyle w:val="Heading1"/>
        <w:spacing w:before="1"/>
      </w:pPr>
      <w:r>
        <w:rPr/>
        <w:t>（三十）系统性红斑狼疮 － III 型或 III 型以上狼疮性肾炎</w:t>
      </w:r>
    </w:p>
    <w:p>
      <w:pPr>
        <w:pStyle w:val="BodyText"/>
        <w:spacing w:line="273" w:lineRule="auto"/>
        <w:ind w:right="216" w:firstLine="432"/>
        <w:jc w:val="both"/>
      </w:pPr>
      <w:r>
        <w:rPr>
          <w:spacing w:val="-5"/>
        </w:rPr>
        <w:t>系统性红斑狼疮是由多种因素引起，累及多系统的自身免疫性疾病。其特点</w:t>
      </w:r>
      <w:r>
        <w:rPr>
          <w:spacing w:val="-4"/>
        </w:rPr>
        <w:t>是生成自身抗体对抗多种自身抗原。</w:t>
      </w:r>
    </w:p>
    <w:p>
      <w:pPr>
        <w:pStyle w:val="BodyText"/>
        <w:spacing w:line="273" w:lineRule="auto" w:before="8"/>
        <w:ind w:right="213" w:firstLine="432"/>
        <w:jc w:val="both"/>
      </w:pPr>
      <w:r>
        <w:rPr>
          <w:spacing w:val="-4"/>
        </w:rPr>
        <w:t>本附加合同所指的系统性红斑狼疮仅限于累及肾脏</w:t>
      </w:r>
      <w:r>
        <w:rPr/>
        <w:t>（</w:t>
      </w:r>
      <w:r>
        <w:rPr>
          <w:spacing w:val="-5"/>
        </w:rPr>
        <w:t>经肾脏活检确认的，符</w:t>
      </w:r>
      <w:r>
        <w:rPr>
          <w:spacing w:val="-27"/>
        </w:rPr>
        <w:t>合 </w:t>
      </w:r>
      <w:r>
        <w:rPr/>
        <w:t>WHO</w:t>
      </w:r>
      <w:r>
        <w:rPr>
          <w:spacing w:val="-15"/>
        </w:rPr>
        <w:t> 诊断标准定义 </w:t>
      </w:r>
      <w:r>
        <w:rPr/>
        <w:t>III</w:t>
      </w:r>
      <w:r>
        <w:rPr>
          <w:spacing w:val="-25"/>
        </w:rPr>
        <w:t> 型或 </w:t>
      </w:r>
      <w:r>
        <w:rPr/>
        <w:t>III</w:t>
      </w:r>
      <w:r>
        <w:rPr>
          <w:spacing w:val="-9"/>
        </w:rPr>
        <w:t> 型以上狼疮性肾炎</w:t>
      </w:r>
      <w:r>
        <w:rPr>
          <w:spacing w:val="-13"/>
        </w:rPr>
        <w:t>）</w:t>
      </w:r>
      <w:r>
        <w:rPr>
          <w:spacing w:val="-5"/>
        </w:rPr>
        <w:t>的系统性红斑狼疮。其他</w:t>
      </w:r>
      <w:r>
        <w:rPr>
          <w:spacing w:val="-7"/>
        </w:rPr>
        <w:t>类型的红斑性狼疮，如盘状狼疮、仅累及血液及关节的狼疮不在本附加合同保障</w:t>
      </w:r>
      <w:r>
        <w:rPr>
          <w:spacing w:val="-5"/>
        </w:rPr>
        <w:t>范围內。</w:t>
      </w:r>
    </w:p>
    <w:p>
      <w:pPr>
        <w:pStyle w:val="BodyText"/>
        <w:spacing w:line="544" w:lineRule="auto" w:before="7"/>
        <w:ind w:left="2009" w:right="3329"/>
      </w:pPr>
      <w:r>
        <w:rPr/>
        <w:pict>
          <v:shape style="position:absolute;margin-left:180.699997pt;margin-top:50.33868pt;width:200.9pt;height:88.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8"/>
                    <w:gridCol w:w="2559"/>
                  </w:tblGrid>
                  <w:tr>
                    <w:trPr>
                      <w:trHeight w:val="261" w:hRule="atLeast"/>
                    </w:trPr>
                    <w:tc>
                      <w:tcPr>
                        <w:tcW w:w="1458" w:type="dxa"/>
                      </w:tcPr>
                      <w:p>
                        <w:pPr>
                          <w:pStyle w:val="TableParagraph"/>
                          <w:spacing w:line="211" w:lineRule="exact"/>
                          <w:ind w:left="200"/>
                          <w:rPr>
                            <w:sz w:val="21"/>
                          </w:rPr>
                        </w:pPr>
                        <w:r>
                          <w:rPr>
                            <w:sz w:val="21"/>
                          </w:rPr>
                          <w:t>I 型</w:t>
                        </w:r>
                      </w:p>
                    </w:tc>
                    <w:tc>
                      <w:tcPr>
                        <w:tcW w:w="2559" w:type="dxa"/>
                      </w:tcPr>
                      <w:p>
                        <w:pPr>
                          <w:pStyle w:val="TableParagraph"/>
                          <w:spacing w:line="211" w:lineRule="exact"/>
                          <w:ind w:left="676"/>
                          <w:rPr>
                            <w:sz w:val="21"/>
                          </w:rPr>
                        </w:pPr>
                        <w:r>
                          <w:rPr>
                            <w:sz w:val="21"/>
                          </w:rPr>
                          <w:t>微小病变型</w:t>
                        </w:r>
                      </w:p>
                    </w:tc>
                  </w:tr>
                  <w:tr>
                    <w:trPr>
                      <w:trHeight w:val="312" w:hRule="atLeast"/>
                    </w:trPr>
                    <w:tc>
                      <w:tcPr>
                        <w:tcW w:w="1458" w:type="dxa"/>
                      </w:tcPr>
                      <w:p>
                        <w:pPr>
                          <w:pStyle w:val="TableParagraph"/>
                          <w:spacing w:line="261" w:lineRule="exact"/>
                          <w:ind w:left="200"/>
                          <w:rPr>
                            <w:sz w:val="21"/>
                          </w:rPr>
                        </w:pPr>
                        <w:r>
                          <w:rPr>
                            <w:sz w:val="21"/>
                          </w:rPr>
                          <w:t>II 型</w:t>
                        </w:r>
                      </w:p>
                    </w:tc>
                    <w:tc>
                      <w:tcPr>
                        <w:tcW w:w="2559" w:type="dxa"/>
                      </w:tcPr>
                      <w:p>
                        <w:pPr>
                          <w:pStyle w:val="TableParagraph"/>
                          <w:spacing w:line="261" w:lineRule="exact"/>
                          <w:ind w:left="676"/>
                          <w:rPr>
                            <w:sz w:val="21"/>
                          </w:rPr>
                        </w:pPr>
                        <w:r>
                          <w:rPr>
                            <w:sz w:val="21"/>
                          </w:rPr>
                          <w:t>系膜病变型</w:t>
                        </w:r>
                      </w:p>
                    </w:tc>
                  </w:tr>
                  <w:tr>
                    <w:trPr>
                      <w:trHeight w:val="312" w:hRule="atLeast"/>
                    </w:trPr>
                    <w:tc>
                      <w:tcPr>
                        <w:tcW w:w="1458" w:type="dxa"/>
                      </w:tcPr>
                      <w:p>
                        <w:pPr>
                          <w:pStyle w:val="TableParagraph"/>
                          <w:spacing w:line="261" w:lineRule="exact"/>
                          <w:ind w:left="200"/>
                          <w:rPr>
                            <w:sz w:val="21"/>
                          </w:rPr>
                        </w:pPr>
                        <w:r>
                          <w:rPr>
                            <w:sz w:val="21"/>
                          </w:rPr>
                          <w:t>III 型</w:t>
                        </w:r>
                      </w:p>
                    </w:tc>
                    <w:tc>
                      <w:tcPr>
                        <w:tcW w:w="2559" w:type="dxa"/>
                      </w:tcPr>
                      <w:p>
                        <w:pPr>
                          <w:pStyle w:val="TableParagraph"/>
                          <w:spacing w:line="261" w:lineRule="exact"/>
                          <w:ind w:left="676"/>
                          <w:rPr>
                            <w:sz w:val="21"/>
                          </w:rPr>
                        </w:pPr>
                        <w:r>
                          <w:rPr>
                            <w:sz w:val="21"/>
                          </w:rPr>
                          <w:t>局灶及节段增生型</w:t>
                        </w:r>
                      </w:p>
                    </w:tc>
                  </w:tr>
                  <w:tr>
                    <w:trPr>
                      <w:trHeight w:val="312" w:hRule="atLeast"/>
                    </w:trPr>
                    <w:tc>
                      <w:tcPr>
                        <w:tcW w:w="1458" w:type="dxa"/>
                      </w:tcPr>
                      <w:p>
                        <w:pPr>
                          <w:pStyle w:val="TableParagraph"/>
                          <w:spacing w:line="261" w:lineRule="exact"/>
                          <w:ind w:left="200"/>
                          <w:rPr>
                            <w:sz w:val="21"/>
                          </w:rPr>
                        </w:pPr>
                        <w:r>
                          <w:rPr>
                            <w:sz w:val="21"/>
                          </w:rPr>
                          <w:t>IV 型</w:t>
                        </w:r>
                      </w:p>
                    </w:tc>
                    <w:tc>
                      <w:tcPr>
                        <w:tcW w:w="2559" w:type="dxa"/>
                      </w:tcPr>
                      <w:p>
                        <w:pPr>
                          <w:pStyle w:val="TableParagraph"/>
                          <w:spacing w:line="261" w:lineRule="exact"/>
                          <w:ind w:left="676"/>
                          <w:rPr>
                            <w:sz w:val="21"/>
                          </w:rPr>
                        </w:pPr>
                        <w:r>
                          <w:rPr>
                            <w:sz w:val="21"/>
                          </w:rPr>
                          <w:t>弥漫增生型</w:t>
                        </w:r>
                      </w:p>
                    </w:tc>
                  </w:tr>
                  <w:tr>
                    <w:trPr>
                      <w:trHeight w:val="312" w:hRule="atLeast"/>
                    </w:trPr>
                    <w:tc>
                      <w:tcPr>
                        <w:tcW w:w="1458" w:type="dxa"/>
                      </w:tcPr>
                      <w:p>
                        <w:pPr>
                          <w:pStyle w:val="TableParagraph"/>
                          <w:spacing w:line="261" w:lineRule="exact"/>
                          <w:ind w:left="200"/>
                          <w:rPr>
                            <w:sz w:val="21"/>
                          </w:rPr>
                        </w:pPr>
                        <w:r>
                          <w:rPr>
                            <w:sz w:val="21"/>
                          </w:rPr>
                          <w:t>V 型</w:t>
                        </w:r>
                      </w:p>
                    </w:tc>
                    <w:tc>
                      <w:tcPr>
                        <w:tcW w:w="2559" w:type="dxa"/>
                      </w:tcPr>
                      <w:p>
                        <w:pPr>
                          <w:pStyle w:val="TableParagraph"/>
                          <w:spacing w:line="261" w:lineRule="exact"/>
                          <w:ind w:left="676"/>
                          <w:rPr>
                            <w:sz w:val="21"/>
                          </w:rPr>
                        </w:pPr>
                        <w:r>
                          <w:rPr>
                            <w:sz w:val="21"/>
                          </w:rPr>
                          <w:t>膜型</w:t>
                        </w:r>
                      </w:p>
                    </w:tc>
                  </w:tr>
                  <w:tr>
                    <w:trPr>
                      <w:trHeight w:val="261" w:hRule="atLeast"/>
                    </w:trPr>
                    <w:tc>
                      <w:tcPr>
                        <w:tcW w:w="1458" w:type="dxa"/>
                      </w:tcPr>
                      <w:p>
                        <w:pPr>
                          <w:pStyle w:val="TableParagraph"/>
                          <w:spacing w:line="242" w:lineRule="exact"/>
                          <w:ind w:left="200"/>
                          <w:rPr>
                            <w:sz w:val="21"/>
                          </w:rPr>
                        </w:pPr>
                        <w:r>
                          <w:rPr>
                            <w:sz w:val="21"/>
                          </w:rPr>
                          <w:t>VI 型</w:t>
                        </w:r>
                      </w:p>
                    </w:tc>
                    <w:tc>
                      <w:tcPr>
                        <w:tcW w:w="2559" w:type="dxa"/>
                      </w:tcPr>
                      <w:p>
                        <w:pPr>
                          <w:pStyle w:val="TableParagraph"/>
                          <w:spacing w:line="242" w:lineRule="exact"/>
                          <w:ind w:left="676"/>
                          <w:rPr>
                            <w:sz w:val="21"/>
                          </w:rPr>
                        </w:pPr>
                        <w:r>
                          <w:rPr>
                            <w:sz w:val="21"/>
                          </w:rPr>
                          <w:t>肾小球硬化型</w:t>
                        </w:r>
                      </w:p>
                    </w:tc>
                  </w:tr>
                </w:tbl>
                <w:p>
                  <w:pPr>
                    <w:pStyle w:val="BodyText"/>
                    <w:spacing w:before="0"/>
                    <w:ind w:left="0"/>
                  </w:pPr>
                </w:p>
              </w:txbxContent>
            </v:textbox>
            <w10:wrap type="none"/>
          </v:shape>
        </w:pict>
      </w:r>
      <w:r>
        <w:rPr/>
        <w:t>本病必须由免疫和风湿科专家医师确诊。</w:t>
      </w:r>
      <w:r>
        <w:rPr>
          <w:u w:val="single"/>
        </w:rPr>
        <w:t>世界卫生组织（WHO）狼疮性肾炎分型：</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29"/>
        </w:rPr>
      </w:pPr>
    </w:p>
    <w:p>
      <w:pPr>
        <w:pStyle w:val="Heading1"/>
      </w:pPr>
      <w:r>
        <w:rPr/>
        <w:t>（三十一）经输血导致的人类免疫缺陷病毒感染</w:t>
      </w:r>
    </w:p>
    <w:p>
      <w:pPr>
        <w:pStyle w:val="BodyText"/>
        <w:spacing w:before="36"/>
        <w:ind w:left="2009"/>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62"/>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ind w:right="213" w:firstLine="432"/>
        <w:jc w:val="both"/>
      </w:pPr>
      <w:r>
        <w:rPr>
          <w:spacing w:val="-5"/>
        </w:rPr>
        <w:t>在任何治愈艾滋病</w:t>
      </w:r>
      <w:r>
        <w:rPr>
          <w:spacing w:val="-4"/>
        </w:rPr>
        <w:t>（AIDS）</w:t>
      </w:r>
      <w:r>
        <w:rPr>
          <w:spacing w:val="-11"/>
        </w:rPr>
        <w:t>或阻止 </w:t>
      </w:r>
      <w:r>
        <w:rPr/>
        <w:t>HIV</w:t>
      </w:r>
      <w:r>
        <w:rPr>
          <w:spacing w:val="-8"/>
        </w:rPr>
        <w:t> 病毒作用的疗法被发现以后，或能防</w:t>
      </w:r>
      <w:r>
        <w:rPr>
          <w:spacing w:val="-23"/>
        </w:rPr>
        <w:t>止 </w:t>
      </w:r>
      <w:r>
        <w:rPr/>
        <w:t>AIDS</w:t>
      </w:r>
      <w:r>
        <w:rPr>
          <w:spacing w:val="-8"/>
        </w:rPr>
        <w:t> 发生的医疗方法被研究出来以后，本保障将不再予以赔付。</w:t>
      </w:r>
    </w:p>
    <w:p>
      <w:pPr>
        <w:pStyle w:val="BodyText"/>
        <w:spacing w:line="273" w:lineRule="auto" w:before="7"/>
        <w:ind w:right="213" w:firstLine="432"/>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w:t>
      </w:r>
      <w:r>
        <w:rPr>
          <w:spacing w:val="-7"/>
        </w:rPr>
        <w:t>本附加合同保障范围内。保险公司必须拥有获得使用被保险人的所有血液样本的</w:t>
      </w:r>
      <w:r>
        <w:rPr>
          <w:spacing w:val="-5"/>
        </w:rPr>
        <w:t>权利和能够对这些样本进行独立检验的权利。</w:t>
      </w:r>
    </w:p>
    <w:p>
      <w:pPr>
        <w:pStyle w:val="BodyText"/>
        <w:spacing w:before="5"/>
        <w:ind w:left="0"/>
        <w:rPr>
          <w:sz w:val="24"/>
        </w:rPr>
      </w:pPr>
    </w:p>
    <w:p>
      <w:pPr>
        <w:pStyle w:val="Heading1"/>
      </w:pPr>
      <w:r>
        <w:rPr/>
        <w:t>（三十二）因职业关系导致的人类免疫缺陷病毒（HIV）感染</w:t>
      </w:r>
    </w:p>
    <w:p>
      <w:pPr>
        <w:pStyle w:val="BodyText"/>
        <w:spacing w:line="273" w:lineRule="auto"/>
        <w:ind w:right="214" w:firstLine="432"/>
        <w:jc w:val="both"/>
      </w:pPr>
      <w:r>
        <w:rPr>
          <w:spacing w:val="-5"/>
        </w:rPr>
        <w:t>被保险人在其常规职业工作过程中遭遇外伤，或者职业需要处理血液或者其</w:t>
      </w:r>
      <w:r>
        <w:rPr>
          <w:spacing w:val="-4"/>
          <w:w w:val="100"/>
        </w:rPr>
        <w:t>他体液时感染上人类免疫缺陷病毒</w:t>
      </w:r>
      <w:r>
        <w:rPr>
          <w:spacing w:val="-3"/>
          <w:w w:val="100"/>
        </w:rPr>
        <w:t>（</w:t>
      </w:r>
      <w:r>
        <w:rPr>
          <w:w w:val="100"/>
        </w:rPr>
        <w:t>HIV</w:t>
      </w:r>
      <w:r>
        <w:rPr>
          <w:spacing w:val="-108"/>
          <w:w w:val="100"/>
        </w:rPr>
        <w:t>）。</w:t>
      </w:r>
    </w:p>
    <w:p>
      <w:pPr>
        <w:pStyle w:val="BodyText"/>
        <w:spacing w:before="7"/>
        <w:ind w:left="2009"/>
      </w:pPr>
      <w:r>
        <w:rPr/>
        <w:t>必须满足下列全部条件：</w:t>
      </w:r>
    </w:p>
    <w:p>
      <w:pPr>
        <w:pStyle w:val="BodyText"/>
        <w:spacing w:line="273" w:lineRule="auto" w:before="36"/>
        <w:ind w:right="222"/>
      </w:pPr>
      <w:r>
        <w:rPr/>
        <w:t>（1）感染必须是在被保险人正在从事其职业工作中发生，该职业必须属于以下列表内的职业；</w:t>
      </w:r>
    </w:p>
    <w:p>
      <w:pPr>
        <w:spacing w:after="0" w:line="273" w:lineRule="auto"/>
        <w:sectPr>
          <w:pgSz w:w="11910" w:h="16840"/>
          <w:pgMar w:top="1080" w:bottom="280" w:left="1680" w:right="1100"/>
        </w:sectPr>
      </w:pPr>
    </w:p>
    <w:p>
      <w:pPr>
        <w:pStyle w:val="BodyText"/>
        <w:spacing w:before="22"/>
      </w:pPr>
      <w:r>
        <w:rPr/>
        <w:t>（2）血清转化必须出现在事故发生后的 6 个月以内；</w:t>
      </w:r>
    </w:p>
    <w:p>
      <w:pPr>
        <w:pStyle w:val="BodyText"/>
        <w:spacing w:line="273" w:lineRule="auto"/>
        <w:ind w:right="69"/>
      </w:pPr>
      <w:r>
        <w:rPr/>
        <w:t>（3）必须提供被保险人在所报事故发生后的 5 天以内进行的检查报告，该报告必须显示被保险人血液 HIV 病毒阴性和/或 HIV 抗体阴性；</w:t>
      </w:r>
    </w:p>
    <w:p>
      <w:pPr>
        <w:pStyle w:val="BodyText"/>
        <w:spacing w:line="273" w:lineRule="auto" w:before="7"/>
        <w:ind w:right="116"/>
      </w:pPr>
      <w:r>
        <w:rPr>
          <w:spacing w:val="-9"/>
        </w:rPr>
        <w:t>（4）</w:t>
      </w:r>
      <w:r>
        <w:rPr>
          <w:spacing w:val="-8"/>
        </w:rPr>
        <w:t>必须在事故发生后的 </w:t>
      </w:r>
      <w:r>
        <w:rPr/>
        <w:t>12</w:t>
      </w:r>
      <w:r>
        <w:rPr>
          <w:spacing w:val="-12"/>
        </w:rPr>
        <w:t> 个月内证实被保险人体内存在 </w:t>
      </w:r>
      <w:r>
        <w:rPr/>
        <w:t>HIV</w:t>
      </w:r>
      <w:r>
        <w:rPr>
          <w:spacing w:val="-18"/>
        </w:rPr>
        <w:t> 病毒或者 </w:t>
      </w:r>
      <w:r>
        <w:rPr/>
        <w:t>HIV</w:t>
      </w:r>
      <w:r>
        <w:rPr>
          <w:spacing w:val="-25"/>
        </w:rPr>
        <w:t> 抗体。</w:t>
      </w:r>
    </w:p>
    <w:p>
      <w:pPr>
        <w:pStyle w:val="BodyText"/>
        <w:spacing w:before="5"/>
        <w:ind w:left="0"/>
        <w:rPr>
          <w:sz w:val="24"/>
        </w:rPr>
      </w:pPr>
    </w:p>
    <w:p>
      <w:pPr>
        <w:pStyle w:val="BodyText"/>
        <w:spacing w:before="0"/>
        <w:ind w:left="2112"/>
      </w:pPr>
      <w:r>
        <w:rPr>
          <w:u w:val="single"/>
        </w:rPr>
        <w:t>职业限制如下所示:</w:t>
      </w:r>
    </w:p>
    <w:p>
      <w:pPr>
        <w:pStyle w:val="BodyText"/>
        <w:spacing w:before="9"/>
        <w:ind w:left="0"/>
        <w:rPr>
          <w:sz w:val="7"/>
        </w:rPr>
      </w:pPr>
    </w:p>
    <w:tbl>
      <w:tblPr>
        <w:tblW w:w="0" w:type="auto"/>
        <w:jc w:val="left"/>
        <w:tblInd w:w="1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2"/>
        <w:gridCol w:w="2922"/>
      </w:tblGrid>
      <w:tr>
        <w:trPr>
          <w:trHeight w:val="261" w:hRule="atLeast"/>
        </w:trPr>
        <w:tc>
          <w:tcPr>
            <w:tcW w:w="3342" w:type="dxa"/>
          </w:tcPr>
          <w:p>
            <w:pPr>
              <w:pStyle w:val="TableParagraph"/>
              <w:spacing w:line="211" w:lineRule="exact"/>
              <w:ind w:left="200"/>
              <w:rPr>
                <w:sz w:val="21"/>
              </w:rPr>
            </w:pPr>
            <w:r>
              <w:rPr>
                <w:sz w:val="21"/>
              </w:rPr>
              <w:t>医生和牙科医生</w:t>
            </w:r>
          </w:p>
        </w:tc>
        <w:tc>
          <w:tcPr>
            <w:tcW w:w="2922" w:type="dxa"/>
          </w:tcPr>
          <w:p>
            <w:pPr>
              <w:pStyle w:val="TableParagraph"/>
              <w:spacing w:line="211" w:lineRule="exact"/>
              <w:ind w:left="1248"/>
              <w:rPr>
                <w:sz w:val="21"/>
              </w:rPr>
            </w:pPr>
            <w:r>
              <w:rPr>
                <w:sz w:val="21"/>
              </w:rPr>
              <w:t>护士</w:t>
            </w:r>
          </w:p>
        </w:tc>
      </w:tr>
      <w:tr>
        <w:trPr>
          <w:trHeight w:val="311" w:hRule="atLeast"/>
        </w:trPr>
        <w:tc>
          <w:tcPr>
            <w:tcW w:w="3342" w:type="dxa"/>
          </w:tcPr>
          <w:p>
            <w:pPr>
              <w:pStyle w:val="TableParagraph"/>
              <w:spacing w:line="261" w:lineRule="exact"/>
              <w:ind w:left="200"/>
              <w:rPr>
                <w:sz w:val="21"/>
              </w:rPr>
            </w:pPr>
            <w:r>
              <w:rPr>
                <w:sz w:val="21"/>
              </w:rPr>
              <w:t>实验室工作人员</w:t>
            </w:r>
          </w:p>
        </w:tc>
        <w:tc>
          <w:tcPr>
            <w:tcW w:w="2922" w:type="dxa"/>
          </w:tcPr>
          <w:p>
            <w:pPr>
              <w:pStyle w:val="TableParagraph"/>
              <w:spacing w:line="261" w:lineRule="exact"/>
              <w:ind w:left="1248"/>
              <w:rPr>
                <w:sz w:val="21"/>
              </w:rPr>
            </w:pPr>
            <w:r>
              <w:rPr>
                <w:sz w:val="21"/>
              </w:rPr>
              <w:t>医院护工</w:t>
            </w:r>
          </w:p>
        </w:tc>
      </w:tr>
      <w:tr>
        <w:trPr>
          <w:trHeight w:val="312" w:hRule="atLeast"/>
        </w:trPr>
        <w:tc>
          <w:tcPr>
            <w:tcW w:w="3342" w:type="dxa"/>
          </w:tcPr>
          <w:p>
            <w:pPr>
              <w:pStyle w:val="TableParagraph"/>
              <w:spacing w:line="261" w:lineRule="exact"/>
              <w:ind w:left="200"/>
              <w:rPr>
                <w:sz w:val="21"/>
              </w:rPr>
            </w:pPr>
            <w:r>
              <w:rPr>
                <w:sz w:val="21"/>
              </w:rPr>
              <w:t>医生助理和牙医助理</w:t>
            </w:r>
          </w:p>
        </w:tc>
        <w:tc>
          <w:tcPr>
            <w:tcW w:w="2922" w:type="dxa"/>
          </w:tcPr>
          <w:p>
            <w:pPr>
              <w:pStyle w:val="TableParagraph"/>
              <w:spacing w:line="261" w:lineRule="exact"/>
              <w:ind w:left="1248"/>
              <w:rPr>
                <w:sz w:val="21"/>
              </w:rPr>
            </w:pPr>
            <w:r>
              <w:rPr>
                <w:sz w:val="21"/>
              </w:rPr>
              <w:t>救护车工作人员</w:t>
            </w:r>
          </w:p>
        </w:tc>
      </w:tr>
      <w:tr>
        <w:trPr>
          <w:trHeight w:val="312" w:hRule="atLeast"/>
        </w:trPr>
        <w:tc>
          <w:tcPr>
            <w:tcW w:w="3342" w:type="dxa"/>
          </w:tcPr>
          <w:p>
            <w:pPr>
              <w:pStyle w:val="TableParagraph"/>
              <w:spacing w:line="261" w:lineRule="exact"/>
              <w:ind w:left="200"/>
              <w:rPr>
                <w:sz w:val="21"/>
              </w:rPr>
            </w:pPr>
            <w:r>
              <w:rPr>
                <w:sz w:val="21"/>
              </w:rPr>
              <w:t>助产士</w:t>
            </w:r>
          </w:p>
        </w:tc>
        <w:tc>
          <w:tcPr>
            <w:tcW w:w="2922" w:type="dxa"/>
          </w:tcPr>
          <w:p>
            <w:pPr>
              <w:pStyle w:val="TableParagraph"/>
              <w:spacing w:line="261" w:lineRule="exact"/>
              <w:ind w:left="1248"/>
              <w:rPr>
                <w:sz w:val="21"/>
              </w:rPr>
            </w:pPr>
            <w:r>
              <w:rPr>
                <w:sz w:val="21"/>
              </w:rPr>
              <w:t>消防队员</w:t>
            </w:r>
          </w:p>
        </w:tc>
      </w:tr>
      <w:tr>
        <w:trPr>
          <w:trHeight w:val="261" w:hRule="atLeast"/>
        </w:trPr>
        <w:tc>
          <w:tcPr>
            <w:tcW w:w="3342" w:type="dxa"/>
          </w:tcPr>
          <w:p>
            <w:pPr>
              <w:pStyle w:val="TableParagraph"/>
              <w:spacing w:line="242" w:lineRule="exact"/>
              <w:ind w:left="200"/>
              <w:rPr>
                <w:sz w:val="21"/>
              </w:rPr>
            </w:pPr>
            <w:r>
              <w:rPr>
                <w:sz w:val="21"/>
              </w:rPr>
              <w:t>警察</w:t>
            </w:r>
          </w:p>
        </w:tc>
        <w:tc>
          <w:tcPr>
            <w:tcW w:w="2922" w:type="dxa"/>
          </w:tcPr>
          <w:p>
            <w:pPr>
              <w:pStyle w:val="TableParagraph"/>
              <w:spacing w:line="242" w:lineRule="exact"/>
              <w:ind w:left="1248"/>
              <w:rPr>
                <w:sz w:val="21"/>
              </w:rPr>
            </w:pPr>
            <w:r>
              <w:rPr>
                <w:sz w:val="21"/>
              </w:rPr>
              <w:t>狱警</w:t>
            </w:r>
          </w:p>
        </w:tc>
      </w:tr>
    </w:tbl>
    <w:p>
      <w:pPr>
        <w:pStyle w:val="BodyText"/>
        <w:spacing w:before="8"/>
        <w:ind w:left="0"/>
        <w:rPr>
          <w:sz w:val="26"/>
        </w:rPr>
      </w:pPr>
    </w:p>
    <w:p>
      <w:pPr>
        <w:pStyle w:val="Heading1"/>
      </w:pPr>
      <w:r>
        <w:rPr/>
        <w:t>（三十三）脊髓灰质炎</w:t>
      </w:r>
    </w:p>
    <w:p>
      <w:pPr>
        <w:pStyle w:val="BodyText"/>
        <w:spacing w:line="273" w:lineRule="auto"/>
        <w:ind w:right="113" w:firstLine="432"/>
        <w:jc w:val="both"/>
      </w:pPr>
      <w:r>
        <w:rPr>
          <w:spacing w:val="-5"/>
        </w:rPr>
        <w:t>脊髓灰质炎是由于脊髓灰质炎病毒感染所致的瘫痪性疾病，临床表现为运动</w:t>
      </w:r>
      <w:r>
        <w:rPr>
          <w:spacing w:val="-6"/>
        </w:rPr>
        <w:t>功能损害或呼吸无力。脊髓灰质炎必须明确诊断。本附加合同仅对脊髓灰质炎造</w:t>
      </w:r>
      <w:r>
        <w:rPr/>
        <w:t>成的神经系统功能损害导致被保险人一肢或一肢以上肢体机能永久完全丧失的</w:t>
      </w:r>
      <w:r>
        <w:rPr>
          <w:spacing w:val="-7"/>
        </w:rPr>
        <w:t>情况予以理赔。肢体机能永久完全丧失，指疾病确诊 </w:t>
      </w:r>
      <w:r>
        <w:rPr/>
        <w:t>180</w:t>
      </w:r>
      <w:r>
        <w:rPr>
          <w:spacing w:val="-8"/>
        </w:rPr>
        <w:t> 天后，每肢三大关节中</w:t>
      </w:r>
      <w:r>
        <w:rPr>
          <w:spacing w:val="-3"/>
        </w:rPr>
        <w:t>的两大关节仍然完全僵硬，或不能随意识活动。</w:t>
      </w:r>
    </w:p>
    <w:p>
      <w:pPr>
        <w:pStyle w:val="BodyText"/>
        <w:spacing w:before="5"/>
        <w:ind w:left="0"/>
        <w:rPr>
          <w:sz w:val="24"/>
        </w:rPr>
      </w:pPr>
    </w:p>
    <w:p>
      <w:pPr>
        <w:pStyle w:val="Heading1"/>
      </w:pPr>
      <w:r>
        <w:rPr/>
        <w:t>（三十四）特发性慢性肾上腺皮质功能减退</w:t>
      </w:r>
    </w:p>
    <w:p>
      <w:pPr>
        <w:pStyle w:val="BodyText"/>
        <w:spacing w:line="273" w:lineRule="auto" w:before="36"/>
        <w:ind w:right="113" w:firstLine="432"/>
        <w:jc w:val="both"/>
      </w:pPr>
      <w:r>
        <w:rPr>
          <w:spacing w:val="-4"/>
        </w:rPr>
        <w:t>指自身免疫性肾上腺炎</w:t>
      </w:r>
      <w:r>
        <w:rPr>
          <w:spacing w:val="-3"/>
        </w:rPr>
        <w:t>（</w:t>
      </w:r>
      <w:r>
        <w:rPr>
          <w:spacing w:val="-4"/>
        </w:rPr>
        <w:t>既往称：特发性肾上腺皮质萎缩</w:t>
      </w:r>
      <w:r>
        <w:rPr>
          <w:spacing w:val="-13"/>
        </w:rPr>
        <w:t>）</w:t>
      </w:r>
      <w:r>
        <w:rPr>
          <w:spacing w:val="-3"/>
        </w:rPr>
        <w:t>导致肾上腺萎缩和慢性肾上腺皮质功能减退。必须满足所有以下条件：</w:t>
      </w:r>
    </w:p>
    <w:p>
      <w:pPr>
        <w:pStyle w:val="BodyText"/>
        <w:spacing w:before="7"/>
      </w:pPr>
      <w:r>
        <w:rPr/>
        <w:t>（1）明确诊断，符合所有以下诊断标准：</w:t>
      </w:r>
    </w:p>
    <w:p>
      <w:pPr>
        <w:pStyle w:val="BodyText"/>
        <w:tabs>
          <w:tab w:pos="2717" w:val="left" w:leader="none"/>
        </w:tabs>
        <w:ind w:left="2297"/>
      </w:pPr>
      <w:r>
        <w:rPr/>
        <w:t>①</w:t>
        <w:tab/>
      </w:r>
      <w:r>
        <w:rPr>
          <w:spacing w:val="-3"/>
        </w:rPr>
        <w:t>血浆促肾上腺皮质激素(</w:t>
      </w:r>
      <w:r>
        <w:rPr>
          <w:spacing w:val="-1"/>
        </w:rPr>
        <w:t>ACTH)</w:t>
      </w:r>
      <w:r>
        <w:rPr>
          <w:spacing w:val="-3"/>
        </w:rPr>
        <w:t>水平测定，&gt;</w:t>
      </w:r>
      <w:r>
        <w:rPr>
          <w:spacing w:val="-1"/>
        </w:rPr>
        <w:t>100pg/ml；</w:t>
      </w:r>
    </w:p>
    <w:p>
      <w:pPr>
        <w:pStyle w:val="BodyText"/>
        <w:tabs>
          <w:tab w:pos="2717" w:val="left" w:leader="none"/>
        </w:tabs>
        <w:spacing w:line="273" w:lineRule="auto"/>
        <w:ind w:left="2717" w:right="114" w:hanging="421"/>
      </w:pPr>
      <w:r>
        <w:rPr/>
        <w:t>②</w:t>
        <w:tab/>
      </w:r>
      <w:r>
        <w:rPr>
          <w:spacing w:val="-6"/>
        </w:rPr>
        <w:t>血浆肾素活性、血管紧张素 </w:t>
      </w:r>
      <w:r>
        <w:rPr/>
        <w:t>II</w:t>
      </w:r>
      <w:r>
        <w:rPr>
          <w:spacing w:val="-8"/>
        </w:rPr>
        <w:t> 和醛固酮测定，显示为原发性肾上腺</w:t>
      </w:r>
      <w:r>
        <w:rPr>
          <w:spacing w:val="-5"/>
        </w:rPr>
        <w:t>皮质功能减退症；</w:t>
      </w:r>
    </w:p>
    <w:p>
      <w:pPr>
        <w:pStyle w:val="BodyText"/>
        <w:tabs>
          <w:tab w:pos="2717" w:val="left" w:leader="none"/>
        </w:tabs>
        <w:spacing w:line="273" w:lineRule="auto" w:before="7"/>
        <w:ind w:left="2717" w:right="117" w:hanging="421"/>
      </w:pPr>
      <w:r>
        <w:rPr/>
        <w:t>③</w:t>
        <w:tab/>
        <w:t>促肾上腺皮质激素(ACTH)刺激试验显示为原发性肾上腺皮质功能减 退症。</w:t>
      </w:r>
    </w:p>
    <w:p>
      <w:pPr>
        <w:pStyle w:val="BodyText"/>
        <w:spacing w:before="7"/>
      </w:pPr>
      <w:r>
        <w:rPr/>
        <w:t>（2）已经采用皮质类固醇替代治疗 180 天以上。</w:t>
      </w:r>
    </w:p>
    <w:p>
      <w:pPr>
        <w:pStyle w:val="BodyText"/>
        <w:spacing w:line="273" w:lineRule="auto"/>
        <w:ind w:right="113" w:firstLine="525"/>
        <w:jc w:val="both"/>
      </w:pPr>
      <w:r>
        <w:rPr>
          <w:spacing w:val="-6"/>
        </w:rPr>
        <w:t>肾上腺结核、</w:t>
      </w:r>
      <w:r>
        <w:rPr/>
        <w:t>HIV</w:t>
      </w:r>
      <w:r>
        <w:rPr>
          <w:spacing w:val="-12"/>
        </w:rPr>
        <w:t> 感染或艾滋病、感染、肿瘤所致的原发性肾上腺皮质功能</w:t>
      </w:r>
      <w:r>
        <w:rPr>
          <w:spacing w:val="-6"/>
        </w:rPr>
        <w:t>减退和继发性肾上腺皮质功能减退不在本保障范围内。</w:t>
      </w:r>
    </w:p>
    <w:p>
      <w:pPr>
        <w:pStyle w:val="BodyText"/>
        <w:spacing w:before="5"/>
        <w:ind w:left="0"/>
        <w:rPr>
          <w:sz w:val="24"/>
        </w:rPr>
      </w:pPr>
    </w:p>
    <w:p>
      <w:pPr>
        <w:pStyle w:val="Heading1"/>
        <w:spacing w:before="1"/>
      </w:pPr>
      <w:r>
        <w:rPr/>
        <w:t>（三十五）自主生活能力完全丧失</w:t>
      </w:r>
    </w:p>
    <w:p>
      <w:pPr>
        <w:pStyle w:val="BodyText"/>
        <w:spacing w:line="273" w:lineRule="auto"/>
        <w:ind w:right="113" w:firstLine="432"/>
        <w:jc w:val="both"/>
      </w:pPr>
      <w:r>
        <w:rPr>
          <w:spacing w:val="-5"/>
        </w:rPr>
        <w:t>指严重疾病或外伤造成被保险人永久不可逆的身体功能损害，导致自主生活</w:t>
      </w:r>
      <w:r>
        <w:rPr>
          <w:spacing w:val="-10"/>
        </w:rPr>
        <w:t>能力完全丧失，被保险人年龄在 </w:t>
      </w:r>
      <w:r>
        <w:rPr/>
        <w:t>6</w:t>
      </w:r>
      <w:r>
        <w:rPr>
          <w:spacing w:val="-12"/>
        </w:rPr>
        <w:t> 周岁以上且至少持续 </w:t>
      </w:r>
      <w:r>
        <w:rPr/>
        <w:t>180</w:t>
      </w:r>
      <w:r>
        <w:rPr>
          <w:spacing w:val="-8"/>
        </w:rPr>
        <w:t> 天以上无法独立完成</w:t>
      </w:r>
      <w:r>
        <w:rPr>
          <w:spacing w:val="-5"/>
        </w:rPr>
        <w:t>六项基本日常生活活动中的三项或三项以上。</w:t>
      </w:r>
    </w:p>
    <w:p>
      <w:pPr>
        <w:pStyle w:val="BodyText"/>
        <w:spacing w:before="6"/>
        <w:ind w:left="0"/>
        <w:rPr>
          <w:sz w:val="24"/>
        </w:rPr>
      </w:pPr>
    </w:p>
    <w:p>
      <w:pPr>
        <w:pStyle w:val="Heading1"/>
      </w:pPr>
      <w:r>
        <w:rPr/>
        <w:t>（三十六）植物人状态</w:t>
      </w:r>
    </w:p>
    <w:p>
      <w:pPr>
        <w:pStyle w:val="BodyText"/>
        <w:spacing w:line="273" w:lineRule="auto"/>
        <w:ind w:right="113" w:firstLine="432"/>
        <w:jc w:val="both"/>
      </w:pPr>
      <w:r>
        <w:rPr/>
        <w:t>植物人状态系指成大脑和/或脑干严重损害导致完全永久性的对自身和环境</w:t>
      </w:r>
      <w:r>
        <w:rPr>
          <w:spacing w:val="-5"/>
        </w:rPr>
        <w:t>的意识丧失和中枢神经系统功能丧失，仅残存植物神经功能的疾病状态。必须经</w:t>
      </w:r>
      <w:r>
        <w:rPr>
          <w:spacing w:val="-4"/>
        </w:rPr>
        <w:t>神经科医生确诊并且具有严重脑损害的证据。植物人状态必须持续 </w:t>
      </w:r>
      <w:r>
        <w:rPr/>
        <w:t>30</w:t>
      </w:r>
      <w:r>
        <w:rPr>
          <w:spacing w:val="-1"/>
        </w:rPr>
        <w:t> 天以上方</w:t>
      </w:r>
      <w:r>
        <w:rPr>
          <w:spacing w:val="-3"/>
        </w:rPr>
        <w:t>可申请理赔。</w:t>
      </w:r>
    </w:p>
    <w:p>
      <w:pPr>
        <w:pStyle w:val="BodyText"/>
        <w:spacing w:before="5"/>
        <w:ind w:left="0"/>
        <w:rPr>
          <w:sz w:val="24"/>
        </w:rPr>
      </w:pPr>
    </w:p>
    <w:p>
      <w:pPr>
        <w:pStyle w:val="Heading1"/>
      </w:pPr>
      <w:r>
        <w:rPr/>
        <w:t>（三十七）全身性重症肌无力</w:t>
      </w:r>
    </w:p>
    <w:p>
      <w:pPr>
        <w:pStyle w:val="BodyText"/>
        <w:spacing w:before="36"/>
        <w:ind w:left="2009"/>
      </w:pPr>
      <w:r>
        <w:rPr/>
        <w:t>重症肌无力是一种神经肌肉接头传递障碍所致的疾病，表现为局部或全身骨</w:t>
      </w:r>
    </w:p>
    <w:p>
      <w:pPr>
        <w:spacing w:after="0"/>
        <w:sectPr>
          <w:pgSz w:w="11910" w:h="16840"/>
          <w:pgMar w:top="1080" w:bottom="280" w:left="1680" w:right="1200"/>
        </w:sectPr>
      </w:pPr>
    </w:p>
    <w:p>
      <w:pPr>
        <w:pStyle w:val="BodyText"/>
        <w:spacing w:line="273" w:lineRule="auto" w:before="22"/>
        <w:ind w:right="177"/>
      </w:pPr>
      <w:r>
        <w:rPr/>
        <w:t>骼肌（特别是眼外肌）极易疲劳。疾病可以累及呼吸肌、上肢或下肢的近端肌群或全身肌肉，必须满足下列全部条件：</w:t>
      </w:r>
    </w:p>
    <w:p>
      <w:pPr>
        <w:pStyle w:val="BodyText"/>
        <w:spacing w:before="8"/>
      </w:pPr>
      <w:r>
        <w:rPr/>
        <w:t>（1）经药物治疗和胸腺切除治疗一年以上仍无法控制病情；</w:t>
      </w:r>
    </w:p>
    <w:p>
      <w:pPr>
        <w:pStyle w:val="BodyText"/>
        <w:spacing w:line="273" w:lineRule="auto"/>
        <w:ind w:right="222"/>
      </w:pPr>
      <w:r>
        <w:rPr/>
        <w:t>（2）自主生活能力完全丧失，无法独立完成六项基本日常生活活动中的三项或三项以上。</w:t>
      </w:r>
    </w:p>
    <w:p>
      <w:pPr>
        <w:pStyle w:val="BodyText"/>
        <w:spacing w:before="5"/>
        <w:ind w:left="0"/>
        <w:rPr>
          <w:sz w:val="24"/>
        </w:rPr>
      </w:pPr>
    </w:p>
    <w:p>
      <w:pPr>
        <w:pStyle w:val="Heading1"/>
        <w:spacing w:before="1"/>
      </w:pPr>
      <w:r>
        <w:rPr/>
        <w:t>（三十八）重症急性坏死性筋膜炎</w:t>
      </w:r>
    </w:p>
    <w:p>
      <w:pPr>
        <w:pStyle w:val="BodyText"/>
        <w:spacing w:line="273" w:lineRule="auto"/>
        <w:ind w:right="214" w:firstLine="432"/>
        <w:jc w:val="both"/>
      </w:pPr>
      <w:r>
        <w:rPr>
          <w:spacing w:val="-5"/>
        </w:rPr>
        <w:t>是一种由细菌侵入皮下组织和筋膜引起的急性坏死性软组织感染，可伴有毒</w:t>
      </w:r>
      <w:r>
        <w:rPr>
          <w:spacing w:val="-7"/>
        </w:rPr>
        <w:t>血症、败血症、中毒性休克、弥漫性血管内凝血及多器官衰竭。必须满足以下所</w:t>
      </w:r>
      <w:r>
        <w:rPr>
          <w:spacing w:val="-5"/>
        </w:rPr>
        <w:t>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before="36"/>
      </w:pPr>
      <w:r>
        <w:rPr>
          <w:spacing w:val="-1"/>
        </w:rPr>
        <w:t>（3）</w:t>
      </w:r>
      <w:r>
        <w:rPr>
          <w:spacing w:val="-3"/>
        </w:rPr>
        <w:t>受感染肢体被截肢（自腕关节或踝关节近端</w:t>
      </w:r>
      <w:r>
        <w:rPr>
          <w:spacing w:val="-108"/>
        </w:rPr>
        <w:t>）</w:t>
      </w:r>
      <w:r>
        <w:rPr/>
        <w:t>。</w:t>
      </w:r>
    </w:p>
    <w:p>
      <w:pPr>
        <w:pStyle w:val="BodyText"/>
        <w:spacing w:before="9"/>
        <w:ind w:left="0"/>
        <w:rPr>
          <w:sz w:val="26"/>
        </w:rPr>
      </w:pPr>
    </w:p>
    <w:p>
      <w:pPr>
        <w:pStyle w:val="Heading1"/>
      </w:pPr>
      <w:r>
        <w:rPr/>
        <w:t>（三十九）严重类风湿性关节炎</w:t>
      </w:r>
    </w:p>
    <w:p>
      <w:pPr>
        <w:pStyle w:val="BodyText"/>
        <w:spacing w:line="273" w:lineRule="auto"/>
        <w:ind w:right="108" w:firstLine="432"/>
      </w:pPr>
      <w:r>
        <w:rPr/>
        <w:t>类风湿性关节炎为广泛分布的慢性进行性多关节病变，表现为关节严重变</w:t>
      </w:r>
      <w:r>
        <w:rPr>
          <w:spacing w:val="-9"/>
        </w:rPr>
        <w:t>形，侵犯至少三个主要关节或关节组【如：双手</w:t>
      </w:r>
      <w:r>
        <w:rPr>
          <w:spacing w:val="-3"/>
        </w:rPr>
        <w:t>（</w:t>
      </w:r>
      <w:r>
        <w:rPr>
          <w:spacing w:val="-1"/>
        </w:rPr>
        <w:t>多手指</w:t>
      </w:r>
      <w:r>
        <w:rPr>
          <w:spacing w:val="-20"/>
        </w:rPr>
        <w:t>）</w:t>
      </w:r>
      <w:r>
        <w:rPr>
          <w:spacing w:val="-10"/>
        </w:rPr>
        <w:t>关节、双足</w:t>
      </w:r>
      <w:r>
        <w:rPr/>
        <w:t>（</w:t>
      </w:r>
      <w:r>
        <w:rPr>
          <w:spacing w:val="-2"/>
        </w:rPr>
        <w:t>多足趾</w:t>
      </w:r>
      <w:r>
        <w:rPr/>
        <w:t>） </w:t>
      </w:r>
      <w:r>
        <w:rPr>
          <w:spacing w:val="-6"/>
        </w:rPr>
        <w:t>关节、双腕关节、双膝关节和双髋关节】。类风湿性关节炎必须明确诊断并且已</w:t>
      </w:r>
      <w:r>
        <w:rPr>
          <w:spacing w:val="-4"/>
        </w:rPr>
        <w:t>经达到类风湿性关节炎功能分类 </w:t>
      </w:r>
      <w:r>
        <w:rPr/>
        <w:t>IV</w:t>
      </w:r>
      <w:r>
        <w:rPr>
          <w:spacing w:val="-3"/>
        </w:rPr>
        <w:t> 级的永久不可逆性关节功能障碍（</w:t>
      </w:r>
      <w:r>
        <w:rPr>
          <w:spacing w:val="-2"/>
        </w:rPr>
        <w:t>生活不能</w:t>
      </w:r>
      <w:r>
        <w:rPr>
          <w:spacing w:val="-3"/>
        </w:rPr>
        <w:t>自理，且丧失工作能力）并且满足下列全部条件：</w:t>
      </w:r>
    </w:p>
    <w:p>
      <w:pPr>
        <w:pStyle w:val="BodyText"/>
        <w:spacing w:before="7"/>
      </w:pPr>
      <w:r>
        <w:rPr/>
        <w:t>（1）晨僵；</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 线显示严重的关节（软骨和骨）破坏和关节畸形。</w:t>
      </w:r>
    </w:p>
    <w:p>
      <w:pPr>
        <w:pStyle w:val="BodyText"/>
        <w:spacing w:before="8"/>
        <w:ind w:left="0"/>
        <w:rPr>
          <w:sz w:val="26"/>
        </w:rPr>
      </w:pPr>
    </w:p>
    <w:p>
      <w:pPr>
        <w:pStyle w:val="Heading1"/>
      </w:pPr>
      <w:r>
        <w:rPr/>
        <w:t>（四十）严重克隆病</w:t>
      </w:r>
    </w:p>
    <w:p>
      <w:pPr>
        <w:pStyle w:val="BodyText"/>
        <w:spacing w:line="273" w:lineRule="auto" w:before="36"/>
        <w:ind w:right="214" w:firstLine="432"/>
        <w:jc w:val="both"/>
      </w:pPr>
      <w:r>
        <w:rPr>
          <w:spacing w:val="-6"/>
        </w:rPr>
        <w:t>克隆病是一种慢性肉芽肿性肠炎，具有特征性的克隆病病理组织学变化。诊断必须由病理检查结果证实。被保险人所患的克隆病必须已经造成瘘管形成并伴</w:t>
      </w:r>
      <w:r>
        <w:rPr>
          <w:spacing w:val="-4"/>
        </w:rPr>
        <w:t>有肠梗阻或肠穿孔。</w:t>
      </w:r>
    </w:p>
    <w:p>
      <w:pPr>
        <w:pStyle w:val="BodyText"/>
        <w:spacing w:before="5"/>
        <w:ind w:left="0"/>
        <w:rPr>
          <w:sz w:val="24"/>
        </w:rPr>
      </w:pPr>
    </w:p>
    <w:p>
      <w:pPr>
        <w:pStyle w:val="Heading1"/>
      </w:pPr>
      <w:r>
        <w:rPr/>
        <w:t>（四十一）严重溃疡性结肠炎</w:t>
      </w:r>
    </w:p>
    <w:p>
      <w:pPr>
        <w:pStyle w:val="BodyText"/>
        <w:spacing w:line="273" w:lineRule="auto"/>
        <w:ind w:right="213" w:firstLine="432"/>
        <w:jc w:val="both"/>
      </w:pPr>
      <w:r>
        <w:rPr/>
        <w:t>本附加合同所保障的溃疡性结肠炎是指伴有致命性电解质紊乱的急性暴发</w:t>
      </w:r>
      <w:r>
        <w:rPr>
          <w:spacing w:val="-6"/>
        </w:rPr>
        <w:t>性溃疡性结肠炎，病变累及全结肠，表现为严重的血便和系统性症状体征，治疗</w:t>
      </w:r>
      <w:r>
        <w:rPr/>
        <w:t>通常采取全结肠切除和回肠造瘘术。溃疡性结肠炎必须根据组织病理学特点诊</w:t>
      </w:r>
      <w:r>
        <w:rPr>
          <w:spacing w:val="-3"/>
        </w:rPr>
        <w:t>断，并且被保险人已经接受了结肠切除和</w:t>
      </w:r>
      <w:r>
        <w:rPr/>
        <w:t>/</w:t>
      </w:r>
      <w:r>
        <w:rPr>
          <w:spacing w:val="-3"/>
        </w:rPr>
        <w:t>或回肠造瘘术。</w:t>
      </w:r>
    </w:p>
    <w:p>
      <w:pPr>
        <w:pStyle w:val="BodyText"/>
        <w:spacing w:before="5"/>
        <w:ind w:left="0"/>
        <w:rPr>
          <w:sz w:val="24"/>
        </w:rPr>
      </w:pPr>
    </w:p>
    <w:p>
      <w:pPr>
        <w:pStyle w:val="Heading1"/>
      </w:pPr>
      <w:r>
        <w:rPr/>
        <w:t>（四十二）严重原发性硬化性胆管炎</w:t>
      </w:r>
    </w:p>
    <w:p>
      <w:pPr>
        <w:pStyle w:val="BodyText"/>
        <w:spacing w:line="273" w:lineRule="auto"/>
        <w:ind w:right="214" w:firstLine="432"/>
        <w:jc w:val="both"/>
      </w:pPr>
      <w:r>
        <w:rPr>
          <w:spacing w:val="-6"/>
        </w:rPr>
        <w:t>为一种特发型淤胆性疾病，特点为肝内及肝外胆道系统胆管壁增厚和管腔狭</w:t>
      </w:r>
      <w:r>
        <w:rPr>
          <w:spacing w:val="-4"/>
        </w:rPr>
        <w:t>窄。必须满足以下所有条件：</w:t>
      </w:r>
    </w:p>
    <w:p>
      <w:pPr>
        <w:pStyle w:val="BodyText"/>
        <w:spacing w:before="7"/>
      </w:pPr>
      <w:r>
        <w:rPr/>
        <w:t>（1）诊断由逆行胰胆管造影（ERCP）或经皮胆管造影（PTC）确认；</w:t>
      </w:r>
    </w:p>
    <w:p>
      <w:pPr>
        <w:pStyle w:val="BodyText"/>
        <w:spacing w:before="36"/>
      </w:pPr>
      <w:r>
        <w:rPr>
          <w:w w:val="100"/>
        </w:rPr>
        <w:t>（2</w:t>
      </w:r>
      <w:r>
        <w:rPr>
          <w:spacing w:val="-3"/>
          <w:w w:val="100"/>
        </w:rPr>
        <w:t>）持续性黄疸伴碱性磷酸酶显著升高（</w:t>
      </w:r>
      <w:r>
        <w:rPr>
          <w:spacing w:val="-2"/>
          <w:w w:val="100"/>
        </w:rPr>
        <w:t>血清</w:t>
      </w:r>
      <w:r>
        <w:rPr>
          <w:spacing w:val="-52"/>
        </w:rPr>
        <w:t> </w:t>
      </w:r>
      <w:r>
        <w:rPr>
          <w:w w:val="100"/>
        </w:rPr>
        <w:t>AL</w:t>
      </w:r>
      <w:r>
        <w:rPr>
          <w:spacing w:val="-3"/>
          <w:w w:val="100"/>
        </w:rPr>
        <w:t>P&gt;</w:t>
      </w:r>
      <w:r>
        <w:rPr>
          <w:w w:val="100"/>
        </w:rPr>
        <w:t>20</w:t>
      </w:r>
      <w:r>
        <w:rPr>
          <w:spacing w:val="-1"/>
          <w:w w:val="100"/>
        </w:rPr>
        <w:t>0</w:t>
      </w:r>
      <w:r>
        <w:rPr>
          <w:spacing w:val="-106"/>
          <w:w w:val="100"/>
        </w:rPr>
        <w:t>）；</w:t>
      </w:r>
    </w:p>
    <w:p>
      <w:pPr>
        <w:pStyle w:val="BodyText"/>
        <w:spacing w:before="36"/>
      </w:pPr>
      <w:r>
        <w:rPr/>
        <w:t>（3）出现继发性胆汁性肝硬化和门静脉高压。</w:t>
      </w:r>
    </w:p>
    <w:p>
      <w:pPr>
        <w:pStyle w:val="BodyText"/>
        <w:spacing w:before="8"/>
        <w:ind w:left="0"/>
        <w:rPr>
          <w:sz w:val="26"/>
        </w:rPr>
      </w:pPr>
    </w:p>
    <w:p>
      <w:pPr>
        <w:pStyle w:val="Heading1"/>
      </w:pPr>
      <w:r>
        <w:rPr/>
        <w:t>（四十三）II 级重症急性胰腺炎</w:t>
      </w:r>
    </w:p>
    <w:p>
      <w:pPr>
        <w:pStyle w:val="BodyText"/>
        <w:ind w:left="2009"/>
      </w:pPr>
      <w:r>
        <w:rPr/>
        <w:t>Ⅱ级重症急性胰腺炎是指急性胰腺炎伴有脏器功能障碍。被保险人所患的Ⅱ</w:t>
      </w:r>
    </w:p>
    <w:p>
      <w:pPr>
        <w:spacing w:after="0"/>
        <w:sectPr>
          <w:pgSz w:w="11910" w:h="16840"/>
          <w:pgMar w:top="1080" w:bottom="280" w:left="1680" w:right="1100"/>
        </w:sectPr>
      </w:pPr>
    </w:p>
    <w:p>
      <w:pPr>
        <w:pStyle w:val="BodyText"/>
        <w:spacing w:before="22"/>
      </w:pPr>
      <w:r>
        <w:rPr/>
        <w:t>级重症急性胰腺炎必须明确诊断，按 APACHEⅡ评分达到 8 分或 8 分以上和</w:t>
      </w:r>
    </w:p>
    <w:p>
      <w:pPr>
        <w:pStyle w:val="BodyText"/>
        <w:spacing w:line="273" w:lineRule="auto"/>
        <w:ind w:right="67"/>
      </w:pPr>
      <w:r>
        <w:rPr/>
        <w:t>Balthazar 分级系统达到Ⅱ级或Ⅱ级以上，并且接受了外科剖腹手术治疗，以进行坏死组织清除、坏死病灶切除或胰腺切除。</w:t>
      </w:r>
    </w:p>
    <w:p>
      <w:pPr>
        <w:pStyle w:val="BodyText"/>
        <w:spacing w:line="273" w:lineRule="auto" w:before="7"/>
        <w:ind w:right="113" w:firstLine="432"/>
        <w:jc w:val="both"/>
      </w:pPr>
      <w:r>
        <w:rPr/>
        <w:t>因酗酒或饮酒过量所致的急性坏死性胰腺炎以及腹腔镜手术不在本附加合同保障范围内。</w:t>
      </w:r>
    </w:p>
    <w:p>
      <w:pPr>
        <w:pStyle w:val="BodyText"/>
        <w:spacing w:before="5"/>
        <w:ind w:left="0"/>
        <w:rPr>
          <w:sz w:val="24"/>
        </w:rPr>
      </w:pPr>
    </w:p>
    <w:p>
      <w:pPr>
        <w:pStyle w:val="Heading1"/>
      </w:pPr>
      <w:r>
        <w:rPr/>
        <w:t>（四十四）非阿尔茨海默病所致严重痴呆</w:t>
      </w:r>
    </w:p>
    <w:p>
      <w:pPr>
        <w:pStyle w:val="BodyText"/>
        <w:spacing w:line="273" w:lineRule="auto"/>
        <w:ind w:right="113" w:firstLine="432"/>
        <w:jc w:val="both"/>
      </w:pPr>
      <w:r>
        <w:rPr/>
        <w:t>指因阿尔茨海默病以外的脑的器质性疾病造成脑功能衰竭导致永久不可逆</w:t>
      </w:r>
      <w:r>
        <w:rPr>
          <w:spacing w:val="-6"/>
        </w:rPr>
        <w:t>性的严重痴呆，临床表现为明显的认知能力障碍、行为异常和社交能力减退。被保险人自主生活能力完全丧失，无法独立完成六项基本日常生活活动中的三项或</w:t>
      </w:r>
      <w:r>
        <w:rPr>
          <w:spacing w:val="-8"/>
        </w:rPr>
        <w:t>三项以上，日常生活必须持续受到他人监护。导致痴呆的疾病必须明确诊断，并</w:t>
      </w:r>
      <w:r>
        <w:rPr>
          <w:spacing w:val="-5"/>
        </w:rPr>
        <w:t>且由完整的临床、实验室和影像学检查结果证实。</w:t>
      </w:r>
    </w:p>
    <w:p>
      <w:pPr>
        <w:pStyle w:val="BodyText"/>
        <w:spacing w:before="8"/>
        <w:ind w:left="2009"/>
      </w:pPr>
      <w:r>
        <w:rPr/>
        <w:t>神经官能症,精神疾病及酒精中毒所致脑损害不在保障范围内。</w:t>
      </w:r>
    </w:p>
    <w:p>
      <w:pPr>
        <w:pStyle w:val="BodyText"/>
        <w:spacing w:before="9"/>
        <w:ind w:left="0"/>
        <w:rPr>
          <w:sz w:val="26"/>
        </w:rPr>
      </w:pPr>
    </w:p>
    <w:p>
      <w:pPr>
        <w:pStyle w:val="Heading1"/>
      </w:pPr>
      <w:r>
        <w:rPr/>
        <w:t>（四十五）破裂脑动脉瘤夹闭手术</w:t>
      </w:r>
    </w:p>
    <w:p>
      <w:pPr>
        <w:pStyle w:val="BodyText"/>
        <w:spacing w:line="273" w:lineRule="auto" w:before="36"/>
        <w:ind w:right="114" w:firstLine="432"/>
        <w:jc w:val="both"/>
      </w:pPr>
      <w:r>
        <w:rPr>
          <w:spacing w:val="-5"/>
        </w:rPr>
        <w:t>指因脑动脉瘤破裂造成蛛网膜下腔出血，被保险人实际接受了在全麻下进行</w:t>
      </w:r>
      <w:r>
        <w:rPr>
          <w:spacing w:val="-4"/>
        </w:rPr>
        <w:t>的开颅动脉瘤夹闭手术。</w:t>
      </w:r>
    </w:p>
    <w:p>
      <w:pPr>
        <w:pStyle w:val="BodyText"/>
        <w:spacing w:line="273" w:lineRule="auto" w:before="7"/>
        <w:ind w:right="114" w:firstLine="432"/>
        <w:jc w:val="both"/>
      </w:pPr>
      <w:r>
        <w:rPr>
          <w:spacing w:val="-3"/>
        </w:rPr>
        <w:t>脑动脉瘤（</w:t>
      </w:r>
      <w:r>
        <w:rPr>
          <w:spacing w:val="-2"/>
        </w:rPr>
        <w:t>未破裂</w:t>
      </w:r>
      <w:r>
        <w:rPr>
          <w:spacing w:val="-10"/>
        </w:rPr>
        <w:t>）</w:t>
      </w:r>
      <w:r>
        <w:rPr>
          <w:spacing w:val="-6"/>
        </w:rPr>
        <w:t>预防性手术、颅骨打孔手术、动脉瘤栓塞手术、血管内</w:t>
      </w:r>
      <w:r>
        <w:rPr>
          <w:spacing w:val="-4"/>
        </w:rPr>
        <w:t>手术及其他颅脑手术不在本保障范围内。</w:t>
      </w:r>
    </w:p>
    <w:p>
      <w:pPr>
        <w:pStyle w:val="BodyText"/>
        <w:spacing w:before="5"/>
        <w:ind w:left="0"/>
        <w:rPr>
          <w:sz w:val="24"/>
        </w:rPr>
      </w:pPr>
    </w:p>
    <w:p>
      <w:pPr>
        <w:pStyle w:val="Heading1"/>
      </w:pPr>
      <w:r>
        <w:rPr/>
        <w:t>（四十六）主动脉夹层血肿</w:t>
      </w:r>
    </w:p>
    <w:p>
      <w:pPr>
        <w:pStyle w:val="BodyText"/>
        <w:spacing w:line="273" w:lineRule="auto"/>
        <w:ind w:right="113" w:firstLine="432"/>
        <w:jc w:val="both"/>
      </w:pPr>
      <w:r>
        <w:rPr>
          <w:spacing w:val="-5"/>
        </w:rPr>
        <w:t>是指主动脉壁在受到某些病理因素的破坏后，高速、高压的主动脉血流将其</w:t>
      </w:r>
      <w:r>
        <w:rPr>
          <w:spacing w:val="-7"/>
        </w:rPr>
        <w:t>内膜撕裂，以致主动脉腔内的血流通过主动脉内膜的破裂口进入主动脉内壁而形</w:t>
      </w:r>
      <w:r>
        <w:rPr>
          <w:w w:val="100"/>
        </w:rPr>
        <w:t>成血肿。被保险人需通过电脑断层扫描</w:t>
      </w:r>
      <w:r>
        <w:rPr>
          <w:spacing w:val="2"/>
          <w:w w:val="100"/>
        </w:rPr>
        <w:t>（</w:t>
      </w:r>
      <w:r>
        <w:rPr>
          <w:w w:val="100"/>
        </w:rPr>
        <w:t>C</w:t>
      </w:r>
      <w:r>
        <w:rPr>
          <w:spacing w:val="1"/>
          <w:w w:val="100"/>
        </w:rPr>
        <w:t>T</w:t>
      </w:r>
      <w:r>
        <w:rPr>
          <w:spacing w:val="-106"/>
          <w:w w:val="100"/>
        </w:rPr>
        <w:t>）</w:t>
      </w:r>
      <w:r>
        <w:rPr>
          <w:w w:val="100"/>
        </w:rPr>
        <w:t>、磁共振扫描</w:t>
      </w:r>
      <w:r>
        <w:rPr>
          <w:spacing w:val="2"/>
          <w:w w:val="100"/>
        </w:rPr>
        <w:t>（</w:t>
      </w:r>
      <w:r>
        <w:rPr>
          <w:w w:val="100"/>
        </w:rPr>
        <w:t>M</w:t>
      </w:r>
      <w:r>
        <w:rPr>
          <w:spacing w:val="-3"/>
          <w:w w:val="100"/>
        </w:rPr>
        <w:t>R</w:t>
      </w:r>
      <w:r>
        <w:rPr>
          <w:spacing w:val="1"/>
          <w:w w:val="100"/>
        </w:rPr>
        <w:t>I</w:t>
      </w:r>
      <w:r>
        <w:rPr>
          <w:spacing w:val="-104"/>
          <w:w w:val="100"/>
        </w:rPr>
        <w:t>）</w:t>
      </w:r>
      <w:r>
        <w:rPr>
          <w:w w:val="100"/>
        </w:rPr>
        <w:t>、磁共振血管</w:t>
      </w:r>
      <w:r>
        <w:rPr>
          <w:spacing w:val="-2"/>
        </w:rPr>
        <w:t>检验法</w:t>
      </w:r>
      <w:r>
        <w:rPr>
          <w:spacing w:val="-1"/>
        </w:rPr>
        <w:t>（MRA）</w:t>
      </w:r>
      <w:r>
        <w:rPr>
          <w:spacing w:val="-3"/>
        </w:rPr>
        <w:t>或血管扫描等检查，并且实施了胸腹切开的直视主动脉手术。</w:t>
      </w:r>
    </w:p>
    <w:p>
      <w:pPr>
        <w:pStyle w:val="BodyText"/>
        <w:spacing w:before="6"/>
        <w:ind w:left="0"/>
        <w:rPr>
          <w:sz w:val="24"/>
        </w:rPr>
      </w:pPr>
    </w:p>
    <w:p>
      <w:pPr>
        <w:pStyle w:val="Heading1"/>
      </w:pPr>
      <w:r>
        <w:rPr/>
        <w:t>（四十七）严重弥漫性系统性硬皮病</w:t>
      </w:r>
    </w:p>
    <w:p>
      <w:pPr>
        <w:pStyle w:val="BodyText"/>
        <w:spacing w:line="273" w:lineRule="auto"/>
        <w:ind w:right="114" w:firstLine="432"/>
        <w:jc w:val="both"/>
      </w:pPr>
      <w:r>
        <w:rPr>
          <w:spacing w:val="5"/>
        </w:rPr>
        <w:t>一种系统性胶原血管病引起进行性的皮肤</w:t>
      </w:r>
      <w:r>
        <w:rPr>
          <w:spacing w:val="5"/>
        </w:rPr>
        <w:t>/</w:t>
      </w:r>
      <w:r>
        <w:rPr>
          <w:spacing w:val="3"/>
        </w:rPr>
        <w:t>血管和内脏器官的弥漫性纤维</w:t>
      </w:r>
      <w:r>
        <w:rPr>
          <w:spacing w:val="-5"/>
        </w:rPr>
        <w:t>化。诊断必须明确并由活检和血清学证据支持并且疾病已经影响到心脏、肺或肾</w:t>
      </w:r>
      <w:r>
        <w:rPr>
          <w:spacing w:val="-4"/>
        </w:rPr>
        <w:t>脏等内脏器官并且达到下列标准之一。</w:t>
      </w:r>
    </w:p>
    <w:p>
      <w:pPr>
        <w:pStyle w:val="BodyText"/>
        <w:spacing w:before="8"/>
      </w:pPr>
      <w:r>
        <w:rPr/>
        <w:t>（1）肺纤维化，已经出现肺动脉高压、肺心病；</w:t>
      </w:r>
    </w:p>
    <w:p>
      <w:pPr>
        <w:pStyle w:val="BodyText"/>
        <w:spacing w:line="273" w:lineRule="auto"/>
        <w:ind w:right="119"/>
      </w:pPr>
      <w:r>
        <w:rPr/>
        <w:t>（2）心脏损害，心脏功能衰竭程度达到纽约心脏病学会的心功能分级标准之心功能 IV 级；</w:t>
      </w:r>
    </w:p>
    <w:p>
      <w:pPr>
        <w:pStyle w:val="BodyText"/>
        <w:spacing w:line="273" w:lineRule="auto" w:before="7"/>
        <w:ind w:left="2009" w:right="3769" w:hanging="432"/>
      </w:pPr>
      <w:r>
        <w:rPr/>
        <w:t>（3）肾脏损害，已经出现肾功能衰竭。下列疾病除外：</w:t>
      </w:r>
    </w:p>
    <w:p>
      <w:pPr>
        <w:pStyle w:val="BodyText"/>
        <w:spacing w:before="7"/>
      </w:pPr>
      <w:r>
        <w:rPr/>
        <w:t>（1）局限硬皮病；</w:t>
      </w:r>
    </w:p>
    <w:p>
      <w:pPr>
        <w:pStyle w:val="BodyText"/>
      </w:pPr>
      <w:r>
        <w:rPr/>
        <w:t>（2）嗜酸细胞筋膜炎；</w:t>
      </w:r>
    </w:p>
    <w:p>
      <w:pPr>
        <w:pStyle w:val="BodyText"/>
      </w:pPr>
      <w:r>
        <w:rPr/>
        <w:t>（3）CREST 综合征。</w:t>
      </w:r>
    </w:p>
    <w:p>
      <w:pPr>
        <w:pStyle w:val="BodyText"/>
        <w:spacing w:before="9"/>
        <w:ind w:left="0"/>
        <w:rPr>
          <w:sz w:val="26"/>
        </w:rPr>
      </w:pPr>
    </w:p>
    <w:p>
      <w:pPr>
        <w:pStyle w:val="Heading1"/>
      </w:pPr>
      <w:r>
        <w:rPr/>
        <w:t>（四十八）严重慢性复发性胰腺炎</w:t>
      </w:r>
    </w:p>
    <w:p>
      <w:pPr>
        <w:pStyle w:val="BodyText"/>
        <w:spacing w:line="273" w:lineRule="auto"/>
        <w:ind w:right="114" w:firstLine="432"/>
        <w:jc w:val="both"/>
      </w:pPr>
      <w:r>
        <w:rPr>
          <w:spacing w:val="-5"/>
        </w:rPr>
        <w:t>指慢性反复发作的胰腺炎症导致胰腺的广泛纤维化、坏死、弥漫性钙化及假</w:t>
      </w:r>
      <w:r>
        <w:rPr>
          <w:spacing w:val="-7"/>
        </w:rPr>
        <w:t>性囊肿形成，造成胰腺功能障碍出现严重糖尿病和营养不良。必须满足以下所有条件：</w:t>
      </w:r>
    </w:p>
    <w:p>
      <w:pPr>
        <w:pStyle w:val="BodyText"/>
        <w:spacing w:line="273" w:lineRule="auto" w:before="8"/>
        <w:ind w:right="70"/>
      </w:pPr>
      <w:r>
        <w:rPr/>
        <w:t>（1）CT 显示胰腺广泛钙化或逆行胰胆管造影（ERCP）显示胰管扭曲、扩张和狭窄；</w:t>
      </w:r>
    </w:p>
    <w:p>
      <w:pPr>
        <w:pStyle w:val="BodyText"/>
        <w:spacing w:before="8"/>
      </w:pPr>
      <w:r>
        <w:rPr/>
        <w:t>（2）接受胰岛素替代治疗和酶替代治疗 180 天以上。</w:t>
      </w:r>
    </w:p>
    <w:p>
      <w:pPr>
        <w:spacing w:after="0"/>
        <w:sectPr>
          <w:pgSz w:w="11910" w:h="16840"/>
          <w:pgMar w:top="1080" w:bottom="280" w:left="1680" w:right="1200"/>
        </w:sectPr>
      </w:pPr>
    </w:p>
    <w:p>
      <w:pPr>
        <w:pStyle w:val="BodyText"/>
        <w:spacing w:before="22"/>
        <w:ind w:left="2009"/>
      </w:pPr>
      <w:r>
        <w:rPr/>
        <w:t>酒精导致的慢性复发性胰腺炎不在本保障范围内。</w:t>
      </w:r>
    </w:p>
    <w:p>
      <w:pPr>
        <w:pStyle w:val="BodyText"/>
        <w:spacing w:before="9"/>
        <w:ind w:left="0"/>
        <w:rPr>
          <w:sz w:val="26"/>
        </w:rPr>
      </w:pPr>
    </w:p>
    <w:p>
      <w:pPr>
        <w:pStyle w:val="Heading1"/>
      </w:pPr>
      <w:r>
        <w:rPr/>
        <w:t>（四十九）终末期疾病</w:t>
      </w:r>
    </w:p>
    <w:p>
      <w:pPr>
        <w:pStyle w:val="BodyText"/>
        <w:spacing w:line="273" w:lineRule="auto" w:before="36"/>
        <w:ind w:right="213" w:firstLine="432"/>
        <w:jc w:val="both"/>
      </w:pPr>
      <w:r>
        <w:rPr>
          <w:spacing w:val="-5"/>
        </w:rPr>
        <w:t>被保险人被确诊为疾病的终末期状态。疾病已经无法以现有的医疗技术医治</w:t>
      </w:r>
      <w:r>
        <w:rPr>
          <w:spacing w:val="-7"/>
        </w:rPr>
        <w:t>缓解，并且根据临床医学经验判断被保险人将于未来六个月内死亡。在家属及患</w:t>
      </w:r>
      <w:r>
        <w:rPr>
          <w:spacing w:val="-6"/>
        </w:rPr>
        <w:t>者的要求和医师的同意下积极治疗已被放弃，所有治疗措施仅以减轻患者痛苦为</w:t>
      </w:r>
      <w:r>
        <w:rPr>
          <w:spacing w:val="-7"/>
        </w:rPr>
        <w:t>目的。此疾病状态必须在被保险人生前已经确诊并且具有医疗证明文件和临床检</w:t>
      </w:r>
      <w:r>
        <w:rPr>
          <w:spacing w:val="-5"/>
        </w:rPr>
        <w:t>查依据。</w:t>
      </w:r>
    </w:p>
    <w:p>
      <w:pPr>
        <w:pStyle w:val="BodyText"/>
        <w:spacing w:before="4"/>
        <w:ind w:left="0"/>
        <w:rPr>
          <w:sz w:val="24"/>
        </w:rPr>
      </w:pPr>
    </w:p>
    <w:p>
      <w:pPr>
        <w:pStyle w:val="Heading1"/>
        <w:spacing w:before="1"/>
      </w:pPr>
      <w:r>
        <w:rPr/>
        <w:t>（五十）肾髓质囊性病</w:t>
      </w:r>
    </w:p>
    <w:p>
      <w:pPr>
        <w:pStyle w:val="BodyText"/>
        <w:spacing w:line="273" w:lineRule="auto"/>
        <w:ind w:right="213" w:firstLine="432"/>
        <w:jc w:val="both"/>
      </w:pPr>
      <w:r>
        <w:rPr>
          <w:spacing w:val="-6"/>
        </w:rPr>
        <w:t>肾髓质囊性病，一种遗传性肾脏疾病，特点为肾髓质多发大小不等的囊肿并且伴有小管和间质性肾炎。患者表现为肾脏衰竭和肾小管功能障碍。肾髓质囊性</w:t>
      </w:r>
      <w:r>
        <w:rPr>
          <w:spacing w:val="-4"/>
        </w:rPr>
        <w:t>病必须经肾组织活检确诊，并且有临床及影像学证据支持。</w:t>
      </w:r>
    </w:p>
    <w:p>
      <w:pPr>
        <w:pStyle w:val="BodyText"/>
        <w:spacing w:before="7"/>
        <w:ind w:left="2009"/>
      </w:pPr>
      <w:r>
        <w:rPr/>
        <w:t>其他的肾脏囊性病变不在保障范围内。</w:t>
      </w:r>
    </w:p>
    <w:p>
      <w:pPr>
        <w:pStyle w:val="BodyText"/>
        <w:spacing w:before="8"/>
        <w:ind w:left="0"/>
        <w:rPr>
          <w:sz w:val="26"/>
        </w:rPr>
      </w:pPr>
    </w:p>
    <w:p>
      <w:pPr>
        <w:pStyle w:val="Heading1"/>
        <w:spacing w:before="1"/>
      </w:pPr>
      <w:r>
        <w:rPr/>
        <w:t>（五十一）丝虫病所致象皮病</w:t>
      </w:r>
    </w:p>
    <w:p>
      <w:pPr>
        <w:pStyle w:val="BodyText"/>
        <w:spacing w:line="273" w:lineRule="auto"/>
        <w:ind w:right="214" w:firstLine="432"/>
        <w:jc w:val="both"/>
      </w:pPr>
      <w:r>
        <w:rPr>
          <w:spacing w:val="-5"/>
        </w:rPr>
        <w:t>指因丝虫感染导致淋巴阻塞性出现严重淋巴水肿，达到国际淋巴学会淋巴肿</w:t>
      </w:r>
      <w:r>
        <w:rPr>
          <w:spacing w:val="-13"/>
        </w:rPr>
        <w:t>分期第 </w:t>
      </w:r>
      <w:r>
        <w:rPr/>
        <w:t>III</w:t>
      </w:r>
      <w:r>
        <w:rPr>
          <w:spacing w:val="-14"/>
        </w:rPr>
        <w:t> 期，临床表现为肢体象皮肿，患肢较键肢增粗 </w:t>
      </w:r>
      <w:r>
        <w:rPr/>
        <w:t>30</w:t>
      </w:r>
      <w:r>
        <w:rPr>
          <w:spacing w:val="-7"/>
        </w:rPr>
        <w:t>％以上，日常生活不</w:t>
      </w:r>
      <w:r>
        <w:rPr>
          <w:spacing w:val="-5"/>
        </w:rPr>
        <w:t>能自理。</w:t>
      </w:r>
    </w:p>
    <w:p>
      <w:pPr>
        <w:pStyle w:val="BodyText"/>
        <w:spacing w:before="5"/>
        <w:ind w:left="0"/>
        <w:rPr>
          <w:sz w:val="24"/>
        </w:rPr>
      </w:pPr>
    </w:p>
    <w:p>
      <w:pPr>
        <w:pStyle w:val="Heading1"/>
      </w:pPr>
      <w:r>
        <w:rPr/>
        <w:t>(五十二) 胰腺移植</w:t>
      </w:r>
    </w:p>
    <w:p>
      <w:pPr>
        <w:pStyle w:val="BodyText"/>
        <w:spacing w:before="36"/>
        <w:ind w:left="2009"/>
      </w:pPr>
      <w:r>
        <w:rPr/>
        <w:t>指因胰腺功能衰竭，已经实施了在全身麻醉下进行的胰腺的异体器官移植手</w:t>
      </w:r>
    </w:p>
    <w:p>
      <w:pPr>
        <w:pStyle w:val="BodyText"/>
        <w:spacing w:before="36"/>
      </w:pPr>
      <w:r>
        <w:rPr/>
        <w:t>术。</w:t>
      </w:r>
    </w:p>
    <w:p>
      <w:pPr>
        <w:pStyle w:val="BodyText"/>
        <w:spacing w:before="36"/>
        <w:ind w:left="2009"/>
      </w:pPr>
      <w:r>
        <w:rPr/>
        <w:t>单纯胰岛移植、部分胰腺组织或细胞的移植不在本保障范围之内。</w:t>
      </w:r>
    </w:p>
    <w:p>
      <w:pPr>
        <w:pStyle w:val="BodyText"/>
        <w:spacing w:before="11"/>
        <w:ind w:left="0"/>
        <w:rPr>
          <w:sz w:val="23"/>
        </w:rPr>
      </w:pPr>
    </w:p>
    <w:p>
      <w:pPr>
        <w:pStyle w:val="Heading1"/>
        <w:spacing w:before="36"/>
      </w:pPr>
      <w:r>
        <w:rPr/>
        <w:t>（五十三）严重心肌炎</w:t>
      </w:r>
    </w:p>
    <w:p>
      <w:pPr>
        <w:pStyle w:val="BodyText"/>
        <w:spacing w:line="273" w:lineRule="auto"/>
        <w:ind w:right="215" w:firstLine="432"/>
      </w:pPr>
      <w:r>
        <w:rPr/>
        <w:t>指被保险人因严重心肌炎性病变导致心功能损害造成持续的永久不可逆性的心功能衰竭。必须满足所有以下条件：</w:t>
      </w:r>
    </w:p>
    <w:p>
      <w:pPr>
        <w:pStyle w:val="BodyText"/>
        <w:spacing w:line="273" w:lineRule="auto" w:before="7"/>
        <w:ind w:right="230"/>
      </w:pPr>
      <w:r>
        <w:rPr>
          <w:spacing w:val="-4"/>
        </w:rPr>
        <w:t>（1）</w:t>
      </w:r>
      <w:r>
        <w:rPr>
          <w:spacing w:val="-5"/>
        </w:rPr>
        <w:t>心功能衰竭程度达到纽约心脏病学会的心功能分级标准之心功能 </w:t>
      </w:r>
      <w:r>
        <w:rPr/>
        <w:t>IV</w:t>
      </w:r>
      <w:r>
        <w:rPr>
          <w:spacing w:val="-18"/>
        </w:rPr>
        <w:t> 级，或</w:t>
      </w:r>
      <w:r>
        <w:rPr>
          <w:spacing w:val="-7"/>
        </w:rPr>
        <w:t>左室射血分数低于 </w:t>
      </w:r>
      <w:r>
        <w:rPr>
          <w:spacing w:val="-3"/>
        </w:rPr>
        <w:t>30％；</w:t>
      </w:r>
    </w:p>
    <w:p>
      <w:pPr>
        <w:pStyle w:val="BodyText"/>
        <w:spacing w:before="7"/>
      </w:pPr>
      <w:r>
        <w:rPr/>
        <w:t>（2）持续不间断 180 天以上；</w:t>
      </w:r>
    </w:p>
    <w:p>
      <w:pPr>
        <w:pStyle w:val="BodyText"/>
      </w:pPr>
      <w:r>
        <w:rPr/>
        <w:t>（3）被保险人永久不可逆性的体力活动能力受限，不能从事任何体力活动。</w:t>
      </w:r>
    </w:p>
    <w:p>
      <w:pPr>
        <w:pStyle w:val="BodyText"/>
        <w:spacing w:before="8"/>
        <w:ind w:left="0"/>
        <w:rPr>
          <w:sz w:val="26"/>
        </w:rPr>
      </w:pPr>
    </w:p>
    <w:p>
      <w:pPr>
        <w:pStyle w:val="Heading1"/>
        <w:spacing w:before="1"/>
      </w:pPr>
      <w:r>
        <w:rPr/>
        <w:t>（五十四）肺源性心脏病</w:t>
      </w:r>
    </w:p>
    <w:p>
      <w:pPr>
        <w:pStyle w:val="BodyText"/>
        <w:spacing w:line="273" w:lineRule="auto"/>
        <w:ind w:right="110" w:firstLine="432"/>
      </w:pPr>
      <w:r>
        <w:rPr/>
        <w:t>指被保险人因慢性肺部疾病导致慢性心功能损害造成永久不可逆性的心功</w:t>
      </w:r>
      <w:r>
        <w:rPr>
          <w:spacing w:val="-7"/>
        </w:rPr>
        <w:t>能衰竭。心功能衰竭程度达到纽约心脏病学会的心功能分级标准之心功能 </w:t>
      </w:r>
      <w:r>
        <w:rPr/>
        <w:t>IV</w:t>
      </w:r>
      <w:r>
        <w:rPr>
          <w:spacing w:val="-14"/>
        </w:rPr>
        <w:t> 级。</w:t>
      </w:r>
      <w:r>
        <w:rPr>
          <w:spacing w:val="-7"/>
        </w:rPr>
        <w:t>被保险人永久不可逆性的体力活动能力受限，不能从事任何体力活动。</w:t>
      </w:r>
    </w:p>
    <w:p>
      <w:pPr>
        <w:pStyle w:val="BodyText"/>
        <w:spacing w:before="5"/>
        <w:ind w:left="0"/>
        <w:rPr>
          <w:sz w:val="24"/>
        </w:rPr>
      </w:pPr>
    </w:p>
    <w:p>
      <w:pPr>
        <w:pStyle w:val="Heading1"/>
        <w:spacing w:before="1"/>
      </w:pPr>
      <w:r>
        <w:rPr/>
        <w:t>（五十五）1 型糖尿病</w:t>
      </w:r>
    </w:p>
    <w:p>
      <w:pPr>
        <w:pStyle w:val="BodyText"/>
        <w:spacing w:line="273" w:lineRule="auto"/>
        <w:ind w:right="213" w:firstLine="432"/>
        <w:jc w:val="both"/>
      </w:pPr>
      <w:r>
        <w:rPr/>
        <w:t>1</w:t>
      </w:r>
      <w:r>
        <w:rPr>
          <w:spacing w:val="-3"/>
        </w:rPr>
        <w:t> 型糖尿病的特征为由于胰岛素分泌绝对不足引起严重胰岛素缺乏导致慢性</w:t>
      </w:r>
      <w:r>
        <w:rPr>
          <w:spacing w:val="-6"/>
        </w:rPr>
        <w:t>血糖升高，需要依赖外源性胰岛素进行机体的葡萄糖代谢和维持生命。被保险人</w:t>
      </w:r>
      <w:r>
        <w:rPr>
          <w:spacing w:val="-27"/>
        </w:rPr>
        <w:t>的 </w:t>
      </w:r>
      <w:r>
        <w:rPr/>
        <w:t>1</w:t>
      </w:r>
      <w:r>
        <w:rPr>
          <w:spacing w:val="-13"/>
        </w:rPr>
        <w:t> 型糖尿病必须明确诊断，而且有血胰岛素测定及血 </w:t>
      </w:r>
      <w:r>
        <w:rPr/>
        <w:t>C</w:t>
      </w:r>
      <w:r>
        <w:rPr>
          <w:spacing w:val="-21"/>
        </w:rPr>
        <w:t> 肽或尿 </w:t>
      </w:r>
      <w:r>
        <w:rPr/>
        <w:t>C</w:t>
      </w:r>
      <w:r>
        <w:rPr>
          <w:spacing w:val="-9"/>
        </w:rPr>
        <w:t> 肽测定结果支</w:t>
      </w:r>
      <w:r>
        <w:rPr>
          <w:spacing w:val="-5"/>
        </w:rPr>
        <w:t>持诊断，并且满足下列全部条件：</w:t>
      </w:r>
    </w:p>
    <w:p>
      <w:pPr>
        <w:pStyle w:val="BodyText"/>
        <w:spacing w:before="7"/>
      </w:pPr>
      <w:r>
        <w:rPr/>
        <w:t>（1）已经持续性地接受外源性胰岛素注射治疗连续 180 天以上；</w:t>
      </w:r>
    </w:p>
    <w:p>
      <w:pPr>
        <w:pStyle w:val="BodyText"/>
        <w:spacing w:line="273" w:lineRule="auto" w:before="36"/>
        <w:ind w:right="216"/>
      </w:pPr>
      <w:r>
        <w:rPr/>
        <w:t>（2）因需要已经接受了下列治疗：因严重心律失常植入了心脏起搏器；或因坏疽自跖趾关节或以上切除了一趾或多趾。</w:t>
      </w:r>
    </w:p>
    <w:p>
      <w:pPr>
        <w:spacing w:after="0" w:line="273" w:lineRule="auto"/>
        <w:sectPr>
          <w:pgSz w:w="11910" w:h="16840"/>
          <w:pgMar w:top="1080" w:bottom="280" w:left="1680" w:right="1100"/>
        </w:sectPr>
      </w:pPr>
    </w:p>
    <w:tbl>
      <w:tblPr>
        <w:tblW w:w="0" w:type="auto"/>
        <w:jc w:val="left"/>
        <w:tblInd w:w="1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7"/>
      </w:tblGrid>
      <w:tr>
        <w:trPr>
          <w:trHeight w:val="11027" w:hRule="atLeast"/>
        </w:trPr>
        <w:tc>
          <w:tcPr>
            <w:tcW w:w="7837" w:type="dxa"/>
          </w:tcPr>
          <w:p>
            <w:pPr>
              <w:pStyle w:val="TableParagraph"/>
              <w:spacing w:line="209" w:lineRule="exact"/>
              <w:ind w:left="200"/>
              <w:rPr>
                <w:b/>
                <w:sz w:val="21"/>
              </w:rPr>
            </w:pPr>
            <w:r>
              <w:rPr>
                <w:b/>
                <w:sz w:val="21"/>
              </w:rPr>
              <w:t>（五十六）肌营养不良症</w:t>
            </w:r>
          </w:p>
          <w:p>
            <w:pPr>
              <w:pStyle w:val="TableParagraph"/>
              <w:spacing w:line="273" w:lineRule="auto" w:before="37"/>
              <w:ind w:left="200" w:right="301" w:firstLine="432"/>
              <w:jc w:val="both"/>
              <w:rPr>
                <w:sz w:val="21"/>
              </w:rPr>
            </w:pPr>
            <w:r>
              <w:rPr>
                <w:spacing w:val="-5"/>
                <w:sz w:val="21"/>
              </w:rPr>
              <w:t>肌营养不良症是一组遗传性肌肉变性性病变，临床特征为与神经系统无关的</w:t>
            </w:r>
            <w:r>
              <w:rPr>
                <w:spacing w:val="-6"/>
                <w:sz w:val="21"/>
              </w:rPr>
              <w:t>肌肉无力和肌肉萎缩。须满足自主生活能力完全丧失，无法独立完成六项基本日</w:t>
            </w:r>
            <w:r>
              <w:rPr>
                <w:spacing w:val="-4"/>
                <w:sz w:val="21"/>
              </w:rPr>
              <w:t>常生活活动中的三项或三项以上。</w:t>
            </w:r>
          </w:p>
          <w:p>
            <w:pPr>
              <w:pStyle w:val="TableParagraph"/>
              <w:spacing w:before="5"/>
              <w:rPr>
                <w:sz w:val="24"/>
              </w:rPr>
            </w:pPr>
          </w:p>
          <w:p>
            <w:pPr>
              <w:pStyle w:val="TableParagraph"/>
              <w:ind w:left="200"/>
              <w:rPr>
                <w:b/>
                <w:sz w:val="21"/>
              </w:rPr>
            </w:pPr>
            <w:r>
              <w:rPr>
                <w:b/>
                <w:sz w:val="21"/>
              </w:rPr>
              <w:t>（五十七）嗜铬细胞瘤</w:t>
            </w:r>
          </w:p>
          <w:p>
            <w:pPr>
              <w:pStyle w:val="TableParagraph"/>
              <w:spacing w:line="273" w:lineRule="auto" w:before="37"/>
              <w:ind w:left="200" w:right="198" w:firstLine="432"/>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7"/>
              <w:ind w:left="200"/>
              <w:rPr>
                <w:sz w:val="21"/>
              </w:rPr>
            </w:pPr>
            <w:r>
              <w:rPr>
                <w:sz w:val="21"/>
              </w:rPr>
              <w:t>（1）临床有高血压症候群表现；</w:t>
            </w:r>
          </w:p>
          <w:p>
            <w:pPr>
              <w:pStyle w:val="TableParagraph"/>
              <w:spacing w:before="36"/>
              <w:ind w:left="200"/>
              <w:rPr>
                <w:sz w:val="21"/>
              </w:rPr>
            </w:pPr>
            <w:r>
              <w:rPr>
                <w:sz w:val="21"/>
              </w:rPr>
              <w:t>（2）已经实施了嗜铬细胞瘤切除手术。</w:t>
            </w:r>
          </w:p>
          <w:p>
            <w:pPr>
              <w:pStyle w:val="TableParagraph"/>
              <w:spacing w:before="8"/>
              <w:rPr>
                <w:sz w:val="26"/>
              </w:rPr>
            </w:pPr>
          </w:p>
          <w:p>
            <w:pPr>
              <w:pStyle w:val="TableParagraph"/>
              <w:ind w:left="200"/>
              <w:rPr>
                <w:b/>
                <w:sz w:val="21"/>
              </w:rPr>
            </w:pPr>
            <w:r>
              <w:rPr>
                <w:b/>
                <w:sz w:val="21"/>
              </w:rPr>
              <w:t>（五十八）克-雅氏病（CJD、人类疯牛病）</w:t>
            </w:r>
          </w:p>
          <w:p>
            <w:pPr>
              <w:pStyle w:val="TableParagraph"/>
              <w:spacing w:line="273" w:lineRule="auto" w:before="36"/>
              <w:ind w:left="200" w:right="301" w:firstLine="432"/>
              <w:jc w:val="both"/>
              <w:rPr>
                <w:sz w:val="21"/>
              </w:rPr>
            </w:pPr>
            <w:r>
              <w:rPr>
                <w:sz w:val="21"/>
              </w:rPr>
              <w:t>CJD</w:t>
            </w:r>
            <w:r>
              <w:rPr>
                <w:spacing w:val="-3"/>
                <w:sz w:val="21"/>
              </w:rPr>
              <w:t> 是一种传染性海绵状脑病，临床表现为快速进行性痴呆、肌阵挛和特征</w:t>
            </w:r>
            <w:r>
              <w:rPr>
                <w:spacing w:val="-7"/>
                <w:sz w:val="21"/>
              </w:rPr>
              <w:t>性脑电图变化。本病须经三级医院的专科医生根据 </w:t>
            </w:r>
            <w:r>
              <w:rPr>
                <w:sz w:val="21"/>
              </w:rPr>
              <w:t>WHO</w:t>
            </w:r>
            <w:r>
              <w:rPr>
                <w:spacing w:val="-8"/>
                <w:sz w:val="21"/>
              </w:rPr>
              <w:t> 诊断标准明确诊断，并且</w:t>
            </w:r>
            <w:r>
              <w:rPr>
                <w:spacing w:val="-7"/>
                <w:sz w:val="21"/>
              </w:rPr>
              <w:t>被保险人自主生活能力完全丧失，无法独立完成六项基本日常生活活动中的三项</w:t>
            </w:r>
            <w:r>
              <w:rPr>
                <w:spacing w:val="-5"/>
                <w:sz w:val="21"/>
              </w:rPr>
              <w:t>或三项以上。</w:t>
            </w:r>
          </w:p>
          <w:p>
            <w:pPr>
              <w:pStyle w:val="TableParagraph"/>
              <w:spacing w:before="7"/>
              <w:ind w:left="631"/>
              <w:rPr>
                <w:sz w:val="21"/>
              </w:rPr>
            </w:pPr>
            <w:r>
              <w:rPr>
                <w:sz w:val="21"/>
              </w:rPr>
              <w:t>CJD 疑似病例除外。</w:t>
            </w:r>
          </w:p>
          <w:p>
            <w:pPr>
              <w:pStyle w:val="TableParagraph"/>
              <w:spacing w:before="8"/>
              <w:rPr>
                <w:sz w:val="26"/>
              </w:rPr>
            </w:pPr>
          </w:p>
          <w:p>
            <w:pPr>
              <w:pStyle w:val="TableParagraph"/>
              <w:spacing w:before="1"/>
              <w:ind w:left="200"/>
              <w:rPr>
                <w:b/>
                <w:sz w:val="21"/>
              </w:rPr>
            </w:pPr>
            <w:r>
              <w:rPr>
                <w:b/>
                <w:sz w:val="21"/>
              </w:rPr>
              <w:t>（五十九）严重川崎病</w:t>
            </w:r>
          </w:p>
          <w:p>
            <w:pPr>
              <w:pStyle w:val="TableParagraph"/>
              <w:spacing w:before="37"/>
              <w:ind w:left="631"/>
              <w:rPr>
                <w:sz w:val="21"/>
              </w:rPr>
            </w:pPr>
            <w:r>
              <w:rPr>
                <w:sz w:val="21"/>
              </w:rPr>
              <w:t>川崎病为一种病因不明的系统性血管炎。</w:t>
            </w:r>
          </w:p>
          <w:p>
            <w:pPr>
              <w:pStyle w:val="TableParagraph"/>
              <w:spacing w:line="273" w:lineRule="auto" w:before="37"/>
              <w:ind w:left="200" w:right="306" w:firstLine="432"/>
              <w:jc w:val="both"/>
              <w:rPr>
                <w:sz w:val="21"/>
              </w:rPr>
            </w:pPr>
            <w:r>
              <w:rPr>
                <w:sz w:val="21"/>
              </w:rPr>
              <w:t>本附加合同仅对诊断性检查证实川崎病并发冠状动脉瘤或其他心血管异常并且实际接受了手术治疗的情况予以理赔。</w:t>
            </w:r>
          </w:p>
          <w:p>
            <w:pPr>
              <w:pStyle w:val="TableParagraph"/>
              <w:spacing w:before="5"/>
              <w:rPr>
                <w:sz w:val="24"/>
              </w:rPr>
            </w:pPr>
          </w:p>
          <w:p>
            <w:pPr>
              <w:pStyle w:val="TableParagraph"/>
              <w:spacing w:before="1"/>
              <w:ind w:left="200"/>
              <w:rPr>
                <w:b/>
                <w:sz w:val="21"/>
              </w:rPr>
            </w:pPr>
            <w:r>
              <w:rPr>
                <w:b/>
                <w:sz w:val="21"/>
              </w:rPr>
              <w:t>（六十）完全性房室传导阻滞</w:t>
            </w:r>
          </w:p>
          <w:p>
            <w:pPr>
              <w:pStyle w:val="TableParagraph"/>
              <w:spacing w:line="273" w:lineRule="auto" w:before="37"/>
              <w:ind w:left="200" w:right="280" w:firstLine="432"/>
              <w:jc w:val="both"/>
              <w:rPr>
                <w:sz w:val="21"/>
              </w:rPr>
            </w:pPr>
            <w:r>
              <w:rPr>
                <w:sz w:val="21"/>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TableParagraph"/>
              <w:spacing w:before="7"/>
              <w:ind w:left="200"/>
              <w:rPr>
                <w:sz w:val="21"/>
              </w:rPr>
            </w:pPr>
            <w:r>
              <w:rPr>
                <w:sz w:val="21"/>
              </w:rPr>
              <w:t>（1）心电图表现为室性逸搏心律，心室率持续低于 40 次/分；</w:t>
            </w:r>
          </w:p>
          <w:p>
            <w:pPr>
              <w:pStyle w:val="TableParagraph"/>
              <w:spacing w:before="36"/>
              <w:ind w:left="200"/>
              <w:rPr>
                <w:sz w:val="21"/>
              </w:rPr>
            </w:pPr>
            <w:r>
              <w:rPr>
                <w:sz w:val="21"/>
              </w:rPr>
              <w:t>（2）曾经有晕厥、阿-斯综合征发作；</w:t>
            </w:r>
          </w:p>
          <w:p>
            <w:pPr>
              <w:pStyle w:val="TableParagraph"/>
              <w:spacing w:before="36"/>
              <w:ind w:left="200"/>
              <w:rPr>
                <w:sz w:val="21"/>
              </w:rPr>
            </w:pPr>
            <w:r>
              <w:rPr>
                <w:sz w:val="21"/>
              </w:rPr>
              <w:t>（3）已经植入人工永久性心脏起搏器。</w:t>
            </w:r>
          </w:p>
          <w:p>
            <w:pPr>
              <w:pStyle w:val="TableParagraph"/>
              <w:spacing w:before="8"/>
              <w:rPr>
                <w:sz w:val="26"/>
              </w:rPr>
            </w:pPr>
          </w:p>
          <w:p>
            <w:pPr>
              <w:pStyle w:val="TableParagraph"/>
              <w:ind w:left="200"/>
              <w:rPr>
                <w:b/>
                <w:sz w:val="21"/>
              </w:rPr>
            </w:pPr>
            <w:r>
              <w:rPr>
                <w:b/>
                <w:sz w:val="21"/>
              </w:rPr>
              <w:t>（六十一）埃博拉病毒感染</w:t>
            </w:r>
          </w:p>
          <w:p>
            <w:pPr>
              <w:pStyle w:val="TableParagraph"/>
              <w:spacing w:before="36"/>
              <w:ind w:left="631"/>
              <w:rPr>
                <w:sz w:val="21"/>
              </w:rPr>
            </w:pPr>
            <w:r>
              <w:rPr>
                <w:sz w:val="21"/>
              </w:rPr>
              <w:t>指埃博拉病毒感染导致的烈性传染病，并须满足下列全部条件：</w:t>
            </w:r>
          </w:p>
          <w:p>
            <w:pPr>
              <w:pStyle w:val="TableParagraph"/>
              <w:spacing w:before="36"/>
              <w:ind w:left="200"/>
              <w:rPr>
                <w:sz w:val="21"/>
              </w:rPr>
            </w:pPr>
            <w:r>
              <w:rPr>
                <w:sz w:val="21"/>
              </w:rPr>
              <w:t>（1）实验室检查证实埃博拉病毒的存在；</w:t>
            </w:r>
          </w:p>
          <w:p>
            <w:pPr>
              <w:pStyle w:val="TableParagraph"/>
              <w:spacing w:before="36"/>
              <w:ind w:left="200"/>
              <w:rPr>
                <w:sz w:val="21"/>
              </w:rPr>
            </w:pPr>
            <w:r>
              <w:rPr>
                <w:sz w:val="21"/>
              </w:rPr>
              <w:t>（2）从发病开始有超过 30 天的进行性感染症状。</w:t>
            </w:r>
          </w:p>
        </w:tc>
      </w:tr>
      <w:tr>
        <w:trPr>
          <w:trHeight w:val="2914" w:hRule="atLeast"/>
        </w:trPr>
        <w:tc>
          <w:tcPr>
            <w:tcW w:w="7837" w:type="dxa"/>
          </w:tcPr>
          <w:p>
            <w:pPr>
              <w:pStyle w:val="TableParagraph"/>
              <w:spacing w:before="140"/>
              <w:ind w:left="200"/>
              <w:rPr>
                <w:sz w:val="21"/>
              </w:rPr>
            </w:pPr>
            <w:r>
              <w:rPr>
                <w:sz w:val="21"/>
              </w:rPr>
              <w:t>上述 8.7 的释义中部分术语释义如下：</w:t>
            </w:r>
          </w:p>
          <w:p>
            <w:pPr>
              <w:pStyle w:val="TableParagraph"/>
              <w:spacing w:before="9"/>
              <w:rPr>
                <w:sz w:val="26"/>
              </w:rPr>
            </w:pPr>
          </w:p>
          <w:p>
            <w:pPr>
              <w:pStyle w:val="TableParagraph"/>
              <w:ind w:left="200"/>
              <w:rPr>
                <w:sz w:val="21"/>
              </w:rPr>
            </w:pPr>
            <w:r>
              <w:rPr>
                <w:sz w:val="21"/>
              </w:rPr>
              <w:t>（一）肢体机能完全丧失</w:t>
            </w:r>
          </w:p>
          <w:p>
            <w:pPr>
              <w:pStyle w:val="TableParagraph"/>
              <w:spacing w:line="273" w:lineRule="auto" w:before="37"/>
              <w:ind w:left="200" w:right="254" w:firstLine="432"/>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200"/>
              <w:rPr>
                <w:sz w:val="21"/>
              </w:rPr>
            </w:pPr>
            <w:r>
              <w:rPr>
                <w:sz w:val="21"/>
              </w:rPr>
              <w:t>（二）语言能力或咀嚼吞咽能力完全丧失</w:t>
            </w:r>
          </w:p>
          <w:p>
            <w:pPr>
              <w:pStyle w:val="TableParagraph"/>
              <w:spacing w:line="310" w:lineRule="atLeast" w:before="1"/>
              <w:ind w:left="200" w:right="198" w:firstLine="432"/>
              <w:rPr>
                <w:sz w:val="21"/>
              </w:rPr>
            </w:pPr>
            <w:r>
              <w:rPr>
                <w:spacing w:val="-4"/>
                <w:sz w:val="21"/>
              </w:rPr>
              <w:t>语言能力完全丧失是指无法发出四种语音</w:t>
            </w:r>
            <w:r>
              <w:rPr>
                <w:sz w:val="21"/>
              </w:rPr>
              <w:t>（</w:t>
            </w:r>
            <w:r>
              <w:rPr>
                <w:spacing w:val="-6"/>
                <w:sz w:val="21"/>
              </w:rPr>
              <w:t>包括口唇音、齿舌音、口盖音和</w:t>
            </w:r>
            <w:r>
              <w:rPr>
                <w:spacing w:val="-5"/>
                <w:sz w:val="21"/>
              </w:rPr>
              <w:t>喉头音</w:t>
            </w:r>
            <w:r>
              <w:rPr>
                <w:spacing w:val="-44"/>
                <w:sz w:val="21"/>
              </w:rPr>
              <w:t>）</w:t>
            </w:r>
            <w:r>
              <w:rPr>
                <w:spacing w:val="-11"/>
                <w:sz w:val="21"/>
              </w:rPr>
              <w:t>中的任何三种、或声带全部切除，或因大脑语言中枢受伤害而患失语症。</w:t>
            </w:r>
          </w:p>
        </w:tc>
      </w:tr>
    </w:tbl>
    <w:p>
      <w:pPr>
        <w:spacing w:after="0" w:line="310" w:lineRule="atLeast"/>
        <w:rPr>
          <w:sz w:val="21"/>
        </w:rPr>
        <w:sectPr>
          <w:pgSz w:w="11910" w:h="16840"/>
          <w:pgMar w:top="1480" w:bottom="280" w:left="168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29"/>
        <w:gridCol w:w="7914"/>
      </w:tblGrid>
      <w:tr>
        <w:trPr>
          <w:trHeight w:val="5722" w:hRule="atLeast"/>
        </w:trPr>
        <w:tc>
          <w:tcPr>
            <w:tcW w:w="834" w:type="dxa"/>
          </w:tcPr>
          <w:p>
            <w:pPr>
              <w:pStyle w:val="TableParagraph"/>
              <w:rPr>
                <w:rFonts w:ascii="Times New Roman"/>
                <w:sz w:val="20"/>
              </w:rPr>
            </w:pPr>
          </w:p>
        </w:tc>
        <w:tc>
          <w:tcPr>
            <w:tcW w:w="1329" w:type="dxa"/>
          </w:tcPr>
          <w:p>
            <w:pPr>
              <w:pStyle w:val="TableParagraph"/>
              <w:rPr>
                <w:rFonts w:ascii="Times New Roman"/>
                <w:sz w:val="20"/>
              </w:rPr>
            </w:pPr>
          </w:p>
        </w:tc>
        <w:tc>
          <w:tcPr>
            <w:tcW w:w="7914" w:type="dxa"/>
          </w:tcPr>
          <w:p>
            <w:pPr>
              <w:pStyle w:val="TableParagraph"/>
              <w:spacing w:line="211" w:lineRule="exact"/>
              <w:ind w:left="706"/>
              <w:rPr>
                <w:sz w:val="21"/>
              </w:rPr>
            </w:pPr>
            <w:r>
              <w:rPr>
                <w:sz w:val="21"/>
              </w:rPr>
              <w:t>咀嚼吞咽能力完全丧失是指因牙齿以外的原因导致器质障碍或机能障碍，以</w:t>
            </w:r>
          </w:p>
          <w:p>
            <w:pPr>
              <w:pStyle w:val="TableParagraph"/>
              <w:spacing w:before="37"/>
              <w:ind w:left="274"/>
              <w:rPr>
                <w:sz w:val="21"/>
              </w:rPr>
            </w:pPr>
            <w:r>
              <w:rPr>
                <w:sz w:val="21"/>
              </w:rPr>
              <w:t>致不能作咀嚼吞咽运动，除流质食物外不能摄取或吞咽的状态。</w:t>
            </w:r>
          </w:p>
          <w:p>
            <w:pPr>
              <w:pStyle w:val="TableParagraph"/>
              <w:spacing w:before="9"/>
              <w:rPr>
                <w:sz w:val="26"/>
              </w:rPr>
            </w:pPr>
          </w:p>
          <w:p>
            <w:pPr>
              <w:pStyle w:val="TableParagraph"/>
              <w:ind w:left="274"/>
              <w:rPr>
                <w:sz w:val="21"/>
              </w:rPr>
            </w:pPr>
            <w:r>
              <w:rPr>
                <w:sz w:val="21"/>
              </w:rPr>
              <w:t>（三）六项基本日常生活活动</w:t>
            </w:r>
          </w:p>
          <w:p>
            <w:pPr>
              <w:pStyle w:val="TableParagraph"/>
              <w:spacing w:before="37"/>
              <w:ind w:left="706"/>
              <w:rPr>
                <w:sz w:val="21"/>
              </w:rPr>
            </w:pPr>
            <w:r>
              <w:rPr>
                <w:sz w:val="21"/>
              </w:rPr>
              <w:t>六项基本日常生活活动是指：</w:t>
            </w:r>
          </w:p>
          <w:p>
            <w:pPr>
              <w:pStyle w:val="TableParagraph"/>
              <w:spacing w:before="37"/>
              <w:ind w:left="274"/>
              <w:rPr>
                <w:sz w:val="21"/>
              </w:rPr>
            </w:pPr>
            <w:r>
              <w:rPr>
                <w:sz w:val="21"/>
              </w:rPr>
              <w:t>（1）穿衣：自己能够穿衣及脱衣；</w:t>
            </w:r>
          </w:p>
          <w:p>
            <w:pPr>
              <w:pStyle w:val="TableParagraph"/>
              <w:spacing w:before="37"/>
              <w:ind w:left="274"/>
              <w:rPr>
                <w:sz w:val="21"/>
              </w:rPr>
            </w:pPr>
            <w:r>
              <w:rPr>
                <w:sz w:val="21"/>
              </w:rPr>
              <w:t>（2）移动：自己从一个房间到另一个房间；</w:t>
            </w:r>
          </w:p>
          <w:p>
            <w:pPr>
              <w:pStyle w:val="TableParagraph"/>
              <w:spacing w:before="37"/>
              <w:ind w:left="274"/>
              <w:rPr>
                <w:sz w:val="21"/>
              </w:rPr>
            </w:pPr>
            <w:r>
              <w:rPr>
                <w:sz w:val="21"/>
              </w:rPr>
              <w:t>（3）行动：自己上下床或上下轮椅；</w:t>
            </w:r>
          </w:p>
          <w:p>
            <w:pPr>
              <w:pStyle w:val="TableParagraph"/>
              <w:spacing w:before="37"/>
              <w:ind w:left="274"/>
              <w:rPr>
                <w:sz w:val="21"/>
              </w:rPr>
            </w:pPr>
            <w:r>
              <w:rPr>
                <w:sz w:val="21"/>
              </w:rPr>
              <w:t>（4）如厕：自己控制进行大小便；</w:t>
            </w:r>
          </w:p>
          <w:p>
            <w:pPr>
              <w:pStyle w:val="TableParagraph"/>
              <w:spacing w:before="37"/>
              <w:ind w:left="274"/>
              <w:rPr>
                <w:sz w:val="21"/>
              </w:rPr>
            </w:pPr>
            <w:r>
              <w:rPr>
                <w:sz w:val="21"/>
              </w:rPr>
              <w:t>（5）进食：自己从已准备好的碗或碟中取食物放入口中；</w:t>
            </w:r>
          </w:p>
          <w:p>
            <w:pPr>
              <w:pStyle w:val="TableParagraph"/>
              <w:spacing w:before="37"/>
              <w:ind w:left="274"/>
              <w:rPr>
                <w:sz w:val="21"/>
              </w:rPr>
            </w:pPr>
            <w:r>
              <w:rPr>
                <w:sz w:val="21"/>
              </w:rPr>
              <w:t>（6）洗澡：自己进行淋浴或盆浴。</w:t>
            </w:r>
          </w:p>
          <w:p>
            <w:pPr>
              <w:pStyle w:val="TableParagraph"/>
              <w:spacing w:before="8"/>
              <w:rPr>
                <w:sz w:val="26"/>
              </w:rPr>
            </w:pPr>
          </w:p>
          <w:p>
            <w:pPr>
              <w:pStyle w:val="TableParagraph"/>
              <w:spacing w:before="1"/>
              <w:ind w:left="274"/>
              <w:rPr>
                <w:sz w:val="21"/>
              </w:rPr>
            </w:pPr>
            <w:r>
              <w:rPr>
                <w:sz w:val="21"/>
              </w:rPr>
              <w:t>（四）永久不可逆</w:t>
            </w:r>
          </w:p>
          <w:p>
            <w:pPr>
              <w:pStyle w:val="TableParagraph"/>
              <w:spacing w:line="273" w:lineRule="auto" w:before="37"/>
              <w:ind w:left="274" w:right="198" w:firstLine="432"/>
              <w:rPr>
                <w:sz w:val="21"/>
              </w:rPr>
            </w:pPr>
            <w:r>
              <w:rPr>
                <w:spacing w:val="-7"/>
                <w:sz w:val="21"/>
              </w:rPr>
              <w:t>永久不可逆是指自疾病确诊或意外伤害发生之日起，经过积极治疗</w:t>
            </w:r>
            <w:r>
              <w:rPr>
                <w:sz w:val="21"/>
              </w:rPr>
              <w:t>180</w:t>
            </w:r>
            <w:r>
              <w:rPr>
                <w:spacing w:val="-12"/>
                <w:sz w:val="21"/>
              </w:rPr>
              <w:t> 天后， </w:t>
            </w:r>
            <w:r>
              <w:rPr>
                <w:spacing w:val="-6"/>
                <w:sz w:val="21"/>
              </w:rPr>
              <w:t>仍无法通过现有医疗手段恢复。</w:t>
            </w:r>
          </w:p>
          <w:p>
            <w:pPr>
              <w:pStyle w:val="TableParagraph"/>
              <w:spacing w:before="5"/>
              <w:rPr>
                <w:sz w:val="24"/>
              </w:rPr>
            </w:pPr>
          </w:p>
          <w:p>
            <w:pPr>
              <w:pStyle w:val="TableParagraph"/>
              <w:ind w:left="274"/>
              <w:rPr>
                <w:sz w:val="21"/>
              </w:rPr>
            </w:pPr>
            <w:r>
              <w:rPr>
                <w:sz w:val="21"/>
              </w:rPr>
              <w:t>（五）三大关节</w:t>
            </w:r>
          </w:p>
          <w:p>
            <w:pPr>
              <w:pStyle w:val="TableParagraph"/>
              <w:spacing w:before="36"/>
              <w:ind w:left="706"/>
              <w:rPr>
                <w:sz w:val="21"/>
              </w:rPr>
            </w:pPr>
            <w:r>
              <w:rPr>
                <w:sz w:val="21"/>
              </w:rPr>
              <w:t>上肢三大关节是指肩、肘、腕关节，下肢三大关节是指髋、膝、踝关节。</w:t>
            </w:r>
          </w:p>
        </w:tc>
      </w:tr>
      <w:tr>
        <w:trPr>
          <w:trHeight w:val="936" w:hRule="atLeast"/>
        </w:trPr>
        <w:tc>
          <w:tcPr>
            <w:tcW w:w="834" w:type="dxa"/>
          </w:tcPr>
          <w:p>
            <w:pPr>
              <w:pStyle w:val="TableParagraph"/>
              <w:spacing w:before="142"/>
              <w:ind w:left="74" w:right="189"/>
              <w:jc w:val="center"/>
              <w:rPr>
                <w:b/>
                <w:sz w:val="21"/>
              </w:rPr>
            </w:pPr>
            <w:r>
              <w:rPr>
                <w:b/>
                <w:sz w:val="21"/>
              </w:rPr>
              <w:t>8.9</w:t>
            </w:r>
          </w:p>
        </w:tc>
        <w:tc>
          <w:tcPr>
            <w:tcW w:w="1329" w:type="dxa"/>
          </w:tcPr>
          <w:p>
            <w:pPr>
              <w:pStyle w:val="TableParagraph"/>
              <w:spacing w:before="142"/>
              <w:ind w:left="211"/>
              <w:rPr>
                <w:b/>
                <w:sz w:val="21"/>
              </w:rPr>
            </w:pPr>
            <w:r>
              <w:rPr>
                <w:b/>
                <w:sz w:val="21"/>
              </w:rPr>
              <w:t>初次发生</w:t>
            </w:r>
          </w:p>
        </w:tc>
        <w:tc>
          <w:tcPr>
            <w:tcW w:w="7914" w:type="dxa"/>
          </w:tcPr>
          <w:p>
            <w:pPr>
              <w:pStyle w:val="TableParagraph"/>
              <w:spacing w:line="273" w:lineRule="auto" w:before="142"/>
              <w:ind w:left="274" w:right="256"/>
              <w:rPr>
                <w:sz w:val="21"/>
              </w:rPr>
            </w:pPr>
            <w:r>
              <w:rPr>
                <w:sz w:val="21"/>
              </w:rPr>
              <w:t>指被保险人首次出现重大疾病或轻症疾病的前兆或异常的身体状况，包括与重大疾病或轻症疾病相关的症状及体征。</w:t>
            </w:r>
          </w:p>
        </w:tc>
      </w:tr>
      <w:tr>
        <w:trPr>
          <w:trHeight w:val="1560" w:hRule="atLeast"/>
        </w:trPr>
        <w:tc>
          <w:tcPr>
            <w:tcW w:w="834" w:type="dxa"/>
          </w:tcPr>
          <w:p>
            <w:pPr>
              <w:pStyle w:val="TableParagraph"/>
              <w:spacing w:before="142"/>
              <w:ind w:left="180" w:right="189"/>
              <w:jc w:val="center"/>
              <w:rPr>
                <w:b/>
                <w:sz w:val="21"/>
              </w:rPr>
            </w:pPr>
            <w:r>
              <w:rPr>
                <w:b/>
                <w:sz w:val="21"/>
              </w:rPr>
              <w:t>8.10</w:t>
            </w:r>
          </w:p>
        </w:tc>
        <w:tc>
          <w:tcPr>
            <w:tcW w:w="1329" w:type="dxa"/>
          </w:tcPr>
          <w:p>
            <w:pPr>
              <w:pStyle w:val="TableParagraph"/>
              <w:spacing w:before="142"/>
              <w:ind w:left="211"/>
              <w:rPr>
                <w:b/>
                <w:sz w:val="21"/>
              </w:rPr>
            </w:pPr>
            <w:r>
              <w:rPr>
                <w:b/>
                <w:sz w:val="21"/>
              </w:rPr>
              <w:t>医院</w:t>
            </w:r>
          </w:p>
        </w:tc>
        <w:tc>
          <w:tcPr>
            <w:tcW w:w="7914" w:type="dxa"/>
          </w:tcPr>
          <w:p>
            <w:pPr>
              <w:pStyle w:val="TableParagraph"/>
              <w:spacing w:line="273" w:lineRule="auto" w:before="142"/>
              <w:ind w:left="274" w:right="198"/>
              <w:rPr>
                <w:sz w:val="21"/>
              </w:rPr>
            </w:pPr>
            <w:r>
              <w:rPr>
                <w:spacing w:val="-4"/>
                <w:sz w:val="21"/>
              </w:rPr>
              <w:t>指国家卫生部医院等级分类中的二级或二级以上的公立医院，但不包括附属于前</w:t>
            </w:r>
            <w:r>
              <w:rPr>
                <w:spacing w:val="-12"/>
                <w:sz w:val="21"/>
              </w:rPr>
              <w:t>述医院或单独作为诊所、康复、护理、疗养、戒酒、戒毒等或相类似的医疗机构。</w:t>
            </w:r>
            <w:r>
              <w:rPr>
                <w:spacing w:val="-7"/>
                <w:sz w:val="21"/>
              </w:rPr>
              <w:t>同时该医院必须具有符合有关医院管理规定设置标准的医疗设备，并且全日二十</w:t>
            </w:r>
            <w:r>
              <w:rPr>
                <w:spacing w:val="-5"/>
                <w:sz w:val="21"/>
              </w:rPr>
              <w:t>四小时有合格医师及护士驻院提供医疗和护理等服务。</w:t>
            </w:r>
          </w:p>
        </w:tc>
      </w:tr>
      <w:tr>
        <w:trPr>
          <w:trHeight w:val="2184" w:hRule="atLeast"/>
        </w:trPr>
        <w:tc>
          <w:tcPr>
            <w:tcW w:w="834" w:type="dxa"/>
          </w:tcPr>
          <w:p>
            <w:pPr>
              <w:pStyle w:val="TableParagraph"/>
              <w:spacing w:before="143"/>
              <w:ind w:left="180" w:right="189"/>
              <w:jc w:val="center"/>
              <w:rPr>
                <w:b/>
                <w:sz w:val="21"/>
              </w:rPr>
            </w:pPr>
            <w:r>
              <w:rPr>
                <w:b/>
                <w:sz w:val="21"/>
              </w:rPr>
              <w:t>8.11</w:t>
            </w:r>
          </w:p>
        </w:tc>
        <w:tc>
          <w:tcPr>
            <w:tcW w:w="1329" w:type="dxa"/>
          </w:tcPr>
          <w:p>
            <w:pPr>
              <w:pStyle w:val="TableParagraph"/>
              <w:spacing w:before="143"/>
              <w:ind w:left="211"/>
              <w:rPr>
                <w:b/>
                <w:sz w:val="21"/>
              </w:rPr>
            </w:pPr>
            <w:r>
              <w:rPr>
                <w:b/>
                <w:sz w:val="21"/>
              </w:rPr>
              <w:t>专科医生</w:t>
            </w:r>
          </w:p>
        </w:tc>
        <w:tc>
          <w:tcPr>
            <w:tcW w:w="7914" w:type="dxa"/>
          </w:tcPr>
          <w:p>
            <w:pPr>
              <w:pStyle w:val="TableParagraph"/>
              <w:spacing w:before="143"/>
              <w:ind w:left="274"/>
              <w:rPr>
                <w:sz w:val="21"/>
              </w:rPr>
            </w:pPr>
            <w:r>
              <w:rPr>
                <w:sz w:val="21"/>
              </w:rPr>
              <w:t>专科医生应当同时满足以下四项资格条件：</w:t>
            </w:r>
          </w:p>
          <w:p>
            <w:pPr>
              <w:pStyle w:val="TableParagraph"/>
              <w:spacing w:before="37"/>
              <w:ind w:left="274"/>
              <w:rPr>
                <w:sz w:val="21"/>
              </w:rPr>
            </w:pPr>
            <w:r>
              <w:rPr>
                <w:sz w:val="21"/>
              </w:rPr>
              <w:t>（1）具有有效的中华人民共和国《医师资格证书》；</w:t>
            </w:r>
          </w:p>
          <w:p>
            <w:pPr>
              <w:pStyle w:val="TableParagraph"/>
              <w:spacing w:before="37"/>
              <w:ind w:left="271"/>
              <w:rPr>
                <w:sz w:val="21"/>
              </w:rPr>
            </w:pPr>
            <w:r>
              <w:rPr>
                <w:spacing w:val="-15"/>
                <w:sz w:val="21"/>
              </w:rPr>
              <w:t>（2）</w:t>
            </w:r>
            <w:r>
              <w:rPr>
                <w:spacing w:val="-14"/>
                <w:sz w:val="21"/>
              </w:rPr>
              <w:t>具有有效的中华人民共和国《医师执业证书》，并按期到相关部门登记注册；</w:t>
            </w:r>
          </w:p>
          <w:p>
            <w:pPr>
              <w:pStyle w:val="TableParagraph"/>
              <w:spacing w:line="273" w:lineRule="auto" w:before="37"/>
              <w:ind w:left="305" w:right="315" w:hanging="32"/>
              <w:rPr>
                <w:sz w:val="21"/>
              </w:rPr>
            </w:pPr>
            <w:r>
              <w:rPr>
                <w:sz w:val="21"/>
              </w:rPr>
              <w:t>（3）具有有效的中华人民共和国主治医师或主治医师以上职称的《医师职称证书》；</w:t>
            </w:r>
          </w:p>
          <w:p>
            <w:pPr>
              <w:pStyle w:val="TableParagraph"/>
              <w:spacing w:before="7"/>
              <w:ind w:left="274"/>
              <w:rPr>
                <w:sz w:val="21"/>
              </w:rPr>
            </w:pPr>
            <w:r>
              <w:rPr>
                <w:sz w:val="21"/>
              </w:rPr>
              <w:t>（4）在二级或二级以上医院的相应科室从事临床工作三年以上。</w:t>
            </w:r>
          </w:p>
        </w:tc>
      </w:tr>
      <w:tr>
        <w:trPr>
          <w:trHeight w:val="1248" w:hRule="atLeast"/>
        </w:trPr>
        <w:tc>
          <w:tcPr>
            <w:tcW w:w="834" w:type="dxa"/>
          </w:tcPr>
          <w:p>
            <w:pPr>
              <w:pStyle w:val="TableParagraph"/>
              <w:spacing w:before="142"/>
              <w:ind w:left="180" w:right="189"/>
              <w:jc w:val="center"/>
              <w:rPr>
                <w:b/>
                <w:sz w:val="21"/>
              </w:rPr>
            </w:pPr>
            <w:r>
              <w:rPr>
                <w:b/>
                <w:sz w:val="21"/>
              </w:rPr>
              <w:t>8.12</w:t>
            </w:r>
          </w:p>
        </w:tc>
        <w:tc>
          <w:tcPr>
            <w:tcW w:w="1329" w:type="dxa"/>
          </w:tcPr>
          <w:p>
            <w:pPr>
              <w:pStyle w:val="TableParagraph"/>
              <w:spacing w:before="142"/>
              <w:ind w:left="211"/>
              <w:rPr>
                <w:b/>
                <w:sz w:val="21"/>
              </w:rPr>
            </w:pPr>
            <w:r>
              <w:rPr>
                <w:b/>
                <w:sz w:val="21"/>
              </w:rPr>
              <w:t>确诊日</w:t>
            </w:r>
          </w:p>
        </w:tc>
        <w:tc>
          <w:tcPr>
            <w:tcW w:w="7914" w:type="dxa"/>
          </w:tcPr>
          <w:p>
            <w:pPr>
              <w:pStyle w:val="TableParagraph"/>
              <w:spacing w:line="273" w:lineRule="auto" w:before="142"/>
              <w:ind w:left="274" w:right="282"/>
              <w:jc w:val="both"/>
              <w:rPr>
                <w:sz w:val="21"/>
              </w:rPr>
            </w:pPr>
            <w:r>
              <w:rPr>
                <w:sz w:val="21"/>
              </w:rPr>
              <w:t>指满足本附加合同“重大疾病”或“轻症疾病”定义所有条件之日。恶性肿瘤、非危及生命的（极早期的）恶性病变的确诊日以明确诊断该类疾病的病检标本提取日为准。</w:t>
            </w:r>
          </w:p>
        </w:tc>
      </w:tr>
      <w:tr>
        <w:trPr>
          <w:trHeight w:val="2601" w:hRule="atLeast"/>
        </w:trPr>
        <w:tc>
          <w:tcPr>
            <w:tcW w:w="834" w:type="dxa"/>
          </w:tcPr>
          <w:p>
            <w:pPr>
              <w:pStyle w:val="TableParagraph"/>
              <w:spacing w:before="143"/>
              <w:ind w:left="180" w:right="189"/>
              <w:jc w:val="center"/>
              <w:rPr>
                <w:b/>
                <w:sz w:val="21"/>
              </w:rPr>
            </w:pPr>
            <w:r>
              <w:rPr>
                <w:b/>
                <w:sz w:val="21"/>
              </w:rPr>
              <w:t>8.13</w:t>
            </w:r>
          </w:p>
        </w:tc>
        <w:tc>
          <w:tcPr>
            <w:tcW w:w="1329" w:type="dxa"/>
          </w:tcPr>
          <w:p>
            <w:pPr>
              <w:pStyle w:val="TableParagraph"/>
              <w:spacing w:before="143"/>
              <w:ind w:left="211"/>
              <w:rPr>
                <w:b/>
                <w:sz w:val="21"/>
              </w:rPr>
            </w:pPr>
            <w:r>
              <w:rPr>
                <w:b/>
                <w:sz w:val="21"/>
              </w:rPr>
              <w:t>轻症疾病</w:t>
            </w:r>
          </w:p>
        </w:tc>
        <w:tc>
          <w:tcPr>
            <w:tcW w:w="7914" w:type="dxa"/>
          </w:tcPr>
          <w:p>
            <w:pPr>
              <w:pStyle w:val="TableParagraph"/>
              <w:spacing w:line="273" w:lineRule="auto" w:before="143"/>
              <w:ind w:left="274" w:right="256"/>
              <w:rPr>
                <w:sz w:val="21"/>
              </w:rPr>
            </w:pPr>
            <w:r>
              <w:rPr>
                <w:sz w:val="21"/>
              </w:rPr>
              <w:t>本附加合同所指的轻症疾病（共23种），是指符合下列定义的疾病、疾病状态或手术：</w:t>
            </w:r>
          </w:p>
          <w:p>
            <w:pPr>
              <w:pStyle w:val="TableParagraph"/>
              <w:spacing w:before="5"/>
              <w:rPr>
                <w:sz w:val="24"/>
              </w:rPr>
            </w:pPr>
          </w:p>
          <w:p>
            <w:pPr>
              <w:pStyle w:val="TableParagraph"/>
              <w:spacing w:before="1"/>
              <w:ind w:left="274"/>
              <w:rPr>
                <w:b/>
                <w:sz w:val="21"/>
              </w:rPr>
            </w:pPr>
            <w:r>
              <w:rPr>
                <w:b/>
                <w:sz w:val="21"/>
              </w:rPr>
              <w:t>（一）非危及生命的（极早期的）恶性病变</w:t>
            </w:r>
          </w:p>
          <w:p>
            <w:pPr>
              <w:pStyle w:val="TableParagraph"/>
              <w:spacing w:line="273" w:lineRule="auto" w:before="37"/>
              <w:ind w:left="274" w:right="269" w:firstLine="420"/>
              <w:rPr>
                <w:sz w:val="21"/>
              </w:rPr>
            </w:pPr>
            <w:r>
              <w:rPr>
                <w:sz w:val="21"/>
              </w:rPr>
              <w:t>指经组织病理学检查被明确诊断为下列恶性病变，但未达到重大疾病“恶性肿瘤”的标准：</w:t>
            </w:r>
          </w:p>
          <w:p>
            <w:pPr>
              <w:pStyle w:val="TableParagraph"/>
              <w:spacing w:before="7"/>
              <w:ind w:left="274"/>
              <w:rPr>
                <w:sz w:val="21"/>
              </w:rPr>
            </w:pPr>
            <w:r>
              <w:rPr>
                <w:sz w:val="21"/>
              </w:rPr>
              <w:t>（1）原位癌；</w:t>
            </w:r>
          </w:p>
          <w:p>
            <w:pPr>
              <w:pStyle w:val="TableParagraph"/>
              <w:spacing w:line="255" w:lineRule="exact" w:before="37"/>
              <w:ind w:left="274"/>
              <w:rPr>
                <w:sz w:val="21"/>
              </w:rPr>
            </w:pPr>
            <w:r>
              <w:rPr>
                <w:sz w:val="21"/>
              </w:rPr>
              <w:t>（2）相当于 Binet 分期方案 A 期程度的慢性淋巴细胞白血病；</w:t>
            </w:r>
          </w:p>
        </w:tc>
      </w:tr>
    </w:tbl>
    <w:p>
      <w:pPr>
        <w:spacing w:after="0" w:line="255" w:lineRule="exact"/>
        <w:rPr>
          <w:sz w:val="21"/>
        </w:rPr>
        <w:sectPr>
          <w:pgSz w:w="11910" w:h="16840"/>
          <w:pgMar w:top="1160" w:bottom="280" w:left="720" w:right="900"/>
        </w:sectPr>
      </w:pPr>
    </w:p>
    <w:p>
      <w:pPr>
        <w:pStyle w:val="BodyText"/>
        <w:spacing w:before="22"/>
      </w:pPr>
      <w:r>
        <w:rPr/>
        <w:t>（3）相当于 Ann Arbor 分期方案 I 期程度的何杰金氏病；</w:t>
      </w:r>
    </w:p>
    <w:p>
      <w:pPr>
        <w:pStyle w:val="BodyText"/>
      </w:pPr>
      <w:r>
        <w:rPr/>
        <w:t>（4）皮肤癌（不包括恶性黑色素瘤及已发生转移的皮肤癌）</w:t>
      </w:r>
    </w:p>
    <w:p>
      <w:pPr>
        <w:pStyle w:val="BodyText"/>
        <w:spacing w:line="273" w:lineRule="auto"/>
        <w:ind w:right="217"/>
      </w:pPr>
      <w:r>
        <w:rPr/>
        <w:t>（5）TNM</w:t>
      </w:r>
      <w:r>
        <w:rPr>
          <w:spacing w:val="1"/>
        </w:rPr>
        <w:t> 分期为 </w:t>
      </w:r>
      <w:r>
        <w:rPr/>
        <w:t>T1N0M0</w:t>
      </w:r>
      <w:r>
        <w:rPr>
          <w:spacing w:val="-3"/>
        </w:rPr>
        <w:t> 期或更轻分期的前列腺癌</w:t>
      </w:r>
      <w:r>
        <w:rPr/>
        <w:t>（</w:t>
      </w:r>
      <w:r>
        <w:rPr>
          <w:spacing w:val="-3"/>
        </w:rPr>
        <w:t>如为女性被保险人，则不包括此项</w:t>
      </w:r>
      <w:r>
        <w:rPr>
          <w:spacing w:val="-108"/>
        </w:rPr>
        <w:t>）</w:t>
      </w:r>
      <w:r>
        <w:rPr/>
        <w:t>。</w:t>
      </w:r>
    </w:p>
    <w:p>
      <w:pPr>
        <w:pStyle w:val="BodyText"/>
        <w:spacing w:before="5"/>
        <w:ind w:left="0"/>
        <w:rPr>
          <w:sz w:val="24"/>
        </w:rPr>
      </w:pPr>
    </w:p>
    <w:p>
      <w:pPr>
        <w:pStyle w:val="Heading1"/>
      </w:pPr>
      <w:r>
        <w:rPr/>
        <w:t>（二）不典型的急性心肌梗塞及冠状动脉成形手术</w:t>
      </w:r>
    </w:p>
    <w:p>
      <w:pPr>
        <w:pStyle w:val="BodyText"/>
        <w:spacing w:line="273" w:lineRule="auto" w:before="36"/>
        <w:ind w:right="88" w:firstLine="420"/>
      </w:pPr>
      <w:r>
        <w:rPr/>
        <w:t>指被保险人被确诊为以下定义的不典型急性心肌梗塞或（和）接受了冠状动脉成形手术。</w:t>
      </w:r>
    </w:p>
    <w:p>
      <w:pPr>
        <w:pStyle w:val="BodyText"/>
        <w:spacing w:line="273" w:lineRule="auto" w:before="7"/>
        <w:ind w:right="114" w:firstLine="420"/>
      </w:pPr>
      <w:r>
        <w:rPr>
          <w:spacing w:val="-6"/>
        </w:rPr>
        <w:t>不典型急性心肌梗塞：指被临床诊断为急性心肌梗塞并接受了急性心肌梗塞</w:t>
      </w:r>
      <w:r>
        <w:rPr>
          <w:spacing w:val="-4"/>
        </w:rPr>
        <w:t>治疗虽然未达到重大疾病“急性心肌梗塞”的给付标准，但满足下列全部条件：</w:t>
      </w:r>
    </w:p>
    <w:p>
      <w:pPr>
        <w:pStyle w:val="BodyText"/>
        <w:spacing w:before="7"/>
        <w:ind w:left="1997"/>
      </w:pPr>
      <w:r>
        <w:rPr/>
        <w:t>（1）肌钙蛋白有诊断意义的升高；</w:t>
      </w:r>
    </w:p>
    <w:p>
      <w:pPr>
        <w:pStyle w:val="BodyText"/>
        <w:spacing w:before="36"/>
        <w:ind w:left="1997"/>
      </w:pPr>
      <w:r>
        <w:rPr/>
        <w:t>（2）心电图有损伤性的 ST 段改变但未出现病理 Q 波。</w:t>
      </w:r>
    </w:p>
    <w:p>
      <w:pPr>
        <w:pStyle w:val="BodyText"/>
        <w:spacing w:line="273" w:lineRule="auto" w:before="36"/>
        <w:ind w:right="134" w:firstLine="420"/>
        <w:jc w:val="both"/>
      </w:pPr>
      <w:r>
        <w:rPr>
          <w:spacing w:val="-6"/>
        </w:rPr>
        <w:t>冠状动脉成形手术：指为了治疗明显的冠状动脉狭窄性疾病，首次实际实施了冠状动脉球囊扩张成形术、冠状动脉支架植入术、冠状动脉粥肿斑块切除术或</w:t>
      </w:r>
      <w:r>
        <w:rPr>
          <w:spacing w:val="-4"/>
        </w:rPr>
        <w:t>激光冠状动脉成形术。</w:t>
      </w:r>
    </w:p>
    <w:p>
      <w:pPr>
        <w:pStyle w:val="BodyText"/>
        <w:spacing w:before="6"/>
        <w:ind w:left="0"/>
        <w:rPr>
          <w:sz w:val="23"/>
        </w:rPr>
      </w:pPr>
    </w:p>
    <w:p>
      <w:pPr>
        <w:pStyle w:val="Heading1"/>
      </w:pPr>
      <w:r>
        <w:rPr/>
        <w:t>（三）轻微脑中风</w:t>
      </w:r>
    </w:p>
    <w:p>
      <w:pPr>
        <w:pStyle w:val="BodyText"/>
        <w:spacing w:line="273" w:lineRule="auto"/>
        <w:ind w:right="135" w:firstLine="523"/>
        <w:jc w:val="both"/>
      </w:pPr>
      <w:r>
        <w:rPr/>
        <w:t>指实际发生了脑血管的突发病变出现神经系统功能障碍表现，头颅断层扫</w:t>
      </w:r>
      <w:r>
        <w:rPr>
          <w:spacing w:val="-5"/>
          <w:w w:val="100"/>
        </w:rPr>
        <w:t>描</w:t>
      </w:r>
      <w:r>
        <w:rPr>
          <w:w w:val="100"/>
        </w:rPr>
        <w:t>（CT</w:t>
      </w:r>
      <w:r>
        <w:rPr>
          <w:spacing w:val="-106"/>
          <w:w w:val="100"/>
        </w:rPr>
        <w:t>）</w:t>
      </w:r>
      <w:r>
        <w:rPr>
          <w:spacing w:val="-4"/>
          <w:w w:val="100"/>
        </w:rPr>
        <w:t>、核磁共振</w:t>
      </w:r>
      <w:r>
        <w:rPr>
          <w:spacing w:val="-3"/>
          <w:w w:val="100"/>
        </w:rPr>
        <w:t>（</w:t>
      </w:r>
      <w:r>
        <w:rPr>
          <w:w w:val="100"/>
        </w:rPr>
        <w:t>MR</w:t>
      </w:r>
      <w:r>
        <w:rPr>
          <w:spacing w:val="-3"/>
          <w:w w:val="100"/>
        </w:rPr>
        <w:t>I</w:t>
      </w:r>
      <w:r>
        <w:rPr>
          <w:spacing w:val="-5"/>
          <w:w w:val="100"/>
        </w:rPr>
        <w:t>）等影像学检查证实存在对应病灶，确诊为脑出血、脑</w:t>
      </w:r>
      <w:r>
        <w:rPr>
          <w:spacing w:val="-8"/>
        </w:rPr>
        <w:t>栓塞或脑梗塞，在确诊 </w:t>
      </w:r>
      <w:r>
        <w:rPr/>
        <w:t>180</w:t>
      </w:r>
      <w:r>
        <w:rPr>
          <w:spacing w:val="-8"/>
        </w:rPr>
        <w:t> 天后虽然未达到重大疾病“脑中风后遗症”的给付标准但仍然遗留一肢或一肢以上肢体肌力 </w:t>
      </w:r>
      <w:r>
        <w:rPr/>
        <w:t>III</w:t>
      </w:r>
      <w:r>
        <w:rPr>
          <w:spacing w:val="-25"/>
        </w:rPr>
        <w:t> 级或 </w:t>
      </w:r>
      <w:r>
        <w:rPr/>
        <w:t>III</w:t>
      </w:r>
      <w:r>
        <w:rPr>
          <w:spacing w:val="-8"/>
        </w:rPr>
        <w:t> 级以下的运动功能障碍。</w:t>
      </w:r>
    </w:p>
    <w:p>
      <w:pPr>
        <w:pStyle w:val="BodyText"/>
        <w:spacing w:before="5"/>
        <w:ind w:left="0"/>
        <w:rPr>
          <w:sz w:val="24"/>
        </w:rPr>
      </w:pPr>
    </w:p>
    <w:p>
      <w:pPr>
        <w:pStyle w:val="Heading1"/>
      </w:pPr>
      <w:r>
        <w:rPr/>
        <w:t>（四）心脏瓣膜介入手术</w:t>
      </w:r>
    </w:p>
    <w:p>
      <w:pPr>
        <w:pStyle w:val="BodyText"/>
        <w:spacing w:line="273" w:lineRule="auto" w:before="36"/>
        <w:ind w:right="102" w:firstLine="420"/>
      </w:pPr>
      <w:r>
        <w:rPr/>
        <w:t>为了治疗心脏瓣膜疾病，实际实施了非开胸的经胸壁打孔内镜手术或经皮经导管介入手术进行的心脏瓣膜置换或修复手术。</w:t>
      </w:r>
    </w:p>
    <w:p>
      <w:pPr>
        <w:pStyle w:val="BodyText"/>
        <w:spacing w:before="5"/>
        <w:ind w:left="0"/>
        <w:rPr>
          <w:sz w:val="24"/>
        </w:rPr>
      </w:pPr>
    </w:p>
    <w:p>
      <w:pPr>
        <w:pStyle w:val="Heading1"/>
      </w:pPr>
      <w:r>
        <w:rPr/>
        <w:t>（五）视力严重受损</w:t>
      </w:r>
    </w:p>
    <w:p>
      <w:pPr>
        <w:pStyle w:val="BodyText"/>
        <w:spacing w:line="273" w:lineRule="auto" w:before="36"/>
        <w:ind w:right="133" w:firstLine="523"/>
        <w:jc w:val="both"/>
      </w:pPr>
      <w:r>
        <w:rPr/>
        <w:t>指因疾病或意外伤害导致双目视力永久不可逆性丧失，虽然未达到重大疾病“双目失明”的给付标准，但满足下列条件之一：</w:t>
      </w:r>
    </w:p>
    <w:p>
      <w:pPr>
        <w:pStyle w:val="BodyText"/>
        <w:spacing w:line="273" w:lineRule="auto" w:before="7"/>
        <w:ind w:right="136"/>
      </w:pPr>
      <w:r>
        <w:rPr>
          <w:spacing w:val="-10"/>
        </w:rPr>
        <w:t>（1）</w:t>
      </w:r>
      <w:r>
        <w:rPr>
          <w:spacing w:val="-5"/>
        </w:rPr>
        <w:t>双眼中较好眼矫正视力低于 </w:t>
      </w:r>
      <w:r>
        <w:rPr>
          <w:spacing w:val="-8"/>
        </w:rPr>
        <w:t>0.1（</w:t>
      </w:r>
      <w:r>
        <w:rPr>
          <w:spacing w:val="-6"/>
        </w:rPr>
        <w:t>采用国际标准视力表，如果使用其他视力</w:t>
      </w:r>
      <w:r>
        <w:rPr>
          <w:spacing w:val="-4"/>
          <w:w w:val="100"/>
        </w:rPr>
        <w:t>表应进行换算</w:t>
      </w:r>
      <w:r>
        <w:rPr>
          <w:spacing w:val="-108"/>
          <w:w w:val="100"/>
        </w:rPr>
        <w:t>）</w:t>
      </w:r>
      <w:r>
        <w:rPr>
          <w:w w:val="100"/>
        </w:rPr>
        <w:t>；</w:t>
      </w:r>
    </w:p>
    <w:p>
      <w:pPr>
        <w:pStyle w:val="BodyText"/>
        <w:spacing w:before="7"/>
      </w:pPr>
      <w:r>
        <w:rPr/>
        <w:t>（2）双眼中较好眼视野半径小于 20 度。</w:t>
      </w:r>
    </w:p>
    <w:p>
      <w:pPr>
        <w:pStyle w:val="BodyText"/>
        <w:spacing w:line="273" w:lineRule="auto" w:before="36"/>
        <w:ind w:right="134" w:firstLine="432"/>
        <w:jc w:val="both"/>
      </w:pPr>
      <w:r>
        <w:rPr>
          <w:spacing w:val="-5"/>
        </w:rPr>
        <w:t>被保险人申请理赔时年龄必须在三周岁以上，并且提供理赔当时的视力丧失</w:t>
      </w:r>
      <w:r>
        <w:rPr>
          <w:spacing w:val="-4"/>
        </w:rPr>
        <w:t>诊断及检查证据。</w:t>
      </w:r>
    </w:p>
    <w:p>
      <w:pPr>
        <w:pStyle w:val="BodyText"/>
        <w:spacing w:before="5"/>
        <w:ind w:left="0"/>
        <w:rPr>
          <w:sz w:val="24"/>
        </w:rPr>
      </w:pPr>
    </w:p>
    <w:p>
      <w:pPr>
        <w:pStyle w:val="Heading1"/>
      </w:pPr>
      <w:r>
        <w:rPr/>
        <w:t>（六）主动脉内手术</w:t>
      </w:r>
    </w:p>
    <w:p>
      <w:pPr>
        <w:pStyle w:val="BodyText"/>
        <w:spacing w:line="273" w:lineRule="auto"/>
        <w:ind w:right="88" w:firstLine="420"/>
      </w:pPr>
      <w:r>
        <w:rPr/>
        <w:t>为了治疗主动脉疾病实际实施了经皮经导管进行的动脉内手术。主动脉指胸主动脉和腹主动脉，不包括胸主动脉和腹主动脉的分支血管。</w:t>
      </w:r>
    </w:p>
    <w:p>
      <w:pPr>
        <w:pStyle w:val="BodyText"/>
        <w:spacing w:before="6"/>
        <w:ind w:left="0"/>
        <w:rPr>
          <w:sz w:val="24"/>
        </w:rPr>
      </w:pPr>
    </w:p>
    <w:p>
      <w:pPr>
        <w:pStyle w:val="Heading1"/>
      </w:pPr>
      <w:r>
        <w:rPr/>
        <w:t>（七）脑垂体瘤、脑囊肿、脑动脉瘤及脑血管瘤</w:t>
      </w:r>
    </w:p>
    <w:p>
      <w:pPr>
        <w:pStyle w:val="BodyText"/>
        <w:spacing w:line="273" w:lineRule="auto"/>
        <w:ind w:right="133" w:firstLine="420"/>
      </w:pPr>
      <w:r>
        <w:rPr>
          <w:spacing w:val="-4"/>
          <w:w w:val="100"/>
        </w:rPr>
        <w:t>指经头颅断层扫描</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8"/>
          <w:w w:val="100"/>
        </w:rPr>
        <w:t>）</w:t>
      </w:r>
      <w:r>
        <w:rPr>
          <w:spacing w:val="-3"/>
          <w:w w:val="100"/>
        </w:rPr>
        <w:t>或其他影像学检查被确诊为</w:t>
      </w:r>
      <w:r>
        <w:rPr>
          <w:spacing w:val="-3"/>
        </w:rPr>
        <w:t>下列病变，并实际接受了手术或放射治疗。</w:t>
      </w:r>
    </w:p>
    <w:p>
      <w:pPr>
        <w:pStyle w:val="BodyText"/>
        <w:spacing w:before="8"/>
      </w:pPr>
      <w:r>
        <w:rPr/>
        <w:t>（1）脑垂体瘤；</w:t>
      </w:r>
    </w:p>
    <w:p>
      <w:pPr>
        <w:pStyle w:val="BodyText"/>
      </w:pPr>
      <w:r>
        <w:rPr/>
        <w:t>（2）脑囊肿；</w:t>
      </w:r>
    </w:p>
    <w:p>
      <w:pPr>
        <w:pStyle w:val="BodyText"/>
      </w:pPr>
      <w:r>
        <w:rPr/>
        <w:t>（3）脑动脉瘤、脑血管瘤。</w:t>
      </w:r>
    </w:p>
    <w:p>
      <w:pPr>
        <w:spacing w:after="0"/>
        <w:sectPr>
          <w:pgSz w:w="11910" w:h="16840"/>
          <w:pgMar w:top="1080" w:bottom="280" w:left="1680" w:right="1180"/>
        </w:sectPr>
      </w:pPr>
    </w:p>
    <w:p>
      <w:pPr>
        <w:pStyle w:val="Heading1"/>
        <w:spacing w:before="22"/>
      </w:pPr>
      <w:r>
        <w:rPr/>
        <w:t>（八）较小面积 III 度烧伤（10%）</w:t>
      </w:r>
    </w:p>
    <w:p>
      <w:pPr>
        <w:pStyle w:val="BodyText"/>
        <w:ind w:left="2004"/>
      </w:pPr>
      <w:r>
        <w:rPr/>
        <w:t>指烧伤程度为Ⅲ度，且Ⅲ度烧伤的面积大于全身体表面积的 10％但小于</w:t>
      </w:r>
    </w:p>
    <w:p>
      <w:pPr>
        <w:pStyle w:val="BodyText"/>
      </w:pPr>
      <w:r>
        <w:rPr/>
        <w:t>20％。体表面积根据 《中国新九分法》计算。</w:t>
      </w:r>
    </w:p>
    <w:p>
      <w:pPr>
        <w:pStyle w:val="BodyText"/>
        <w:spacing w:before="8"/>
        <w:ind w:left="0"/>
        <w:rPr>
          <w:sz w:val="26"/>
        </w:rPr>
      </w:pPr>
    </w:p>
    <w:p>
      <w:pPr>
        <w:pStyle w:val="Heading1"/>
      </w:pPr>
      <w:r>
        <w:rPr/>
        <w:t>（九）重症头部外伤</w:t>
      </w:r>
    </w:p>
    <w:p>
      <w:pPr>
        <w:pStyle w:val="BodyText"/>
        <w:spacing w:before="36"/>
        <w:ind w:left="2004"/>
      </w:pPr>
      <w:r>
        <w:rPr/>
        <w:t>指因头部遭受机械性外力伤害，引起脑重要部位损伤，并且由头颅断层扫描</w:t>
      </w:r>
    </w:p>
    <w:p>
      <w:pPr>
        <w:pStyle w:val="BodyText"/>
        <w:spacing w:line="273" w:lineRule="auto" w:before="36"/>
        <w:ind w:right="110"/>
      </w:pPr>
      <w:r>
        <w:rPr>
          <w:w w:val="100"/>
        </w:rPr>
        <w:t>（CT</w:t>
      </w:r>
      <w:r>
        <w:rPr>
          <w:spacing w:val="-108"/>
          <w:w w:val="100"/>
        </w:rPr>
        <w:t>）</w:t>
      </w:r>
      <w:r>
        <w:rPr>
          <w:spacing w:val="-4"/>
          <w:w w:val="100"/>
        </w:rPr>
        <w:t>、核磁共振检查</w:t>
      </w:r>
      <w:r>
        <w:rPr>
          <w:w w:val="100"/>
        </w:rPr>
        <w:t>（M</w:t>
      </w:r>
      <w:r>
        <w:rPr>
          <w:spacing w:val="-3"/>
          <w:w w:val="100"/>
        </w:rPr>
        <w:t>R</w:t>
      </w:r>
      <w:r>
        <w:rPr>
          <w:spacing w:val="-1"/>
          <w:w w:val="100"/>
        </w:rPr>
        <w:t>I</w:t>
      </w:r>
      <w:r>
        <w:rPr>
          <w:spacing w:val="-5"/>
          <w:w w:val="100"/>
        </w:rPr>
        <w:t>）</w:t>
      </w:r>
      <w:r>
        <w:rPr>
          <w:spacing w:val="-4"/>
          <w:w w:val="100"/>
        </w:rPr>
        <w:t>或正电子发射断层扫描</w:t>
      </w:r>
      <w:r>
        <w:rPr>
          <w:w w:val="100"/>
        </w:rPr>
        <w:t>（PET</w:t>
      </w:r>
      <w:r>
        <w:rPr>
          <w:spacing w:val="-8"/>
          <w:w w:val="100"/>
        </w:rPr>
        <w:t>）</w:t>
      </w:r>
      <w:r>
        <w:rPr>
          <w:spacing w:val="-3"/>
          <w:w w:val="100"/>
        </w:rPr>
        <w:t>等影像学检查证实。</w:t>
      </w:r>
      <w:r>
        <w:rPr>
          <w:spacing w:val="-5"/>
        </w:rPr>
        <w:t>头部外伤导致神经系统功能障碍，虽然未达到重大疾病“严重脑损伤”的给付标</w:t>
      </w:r>
      <w:r>
        <w:rPr>
          <w:spacing w:val="-4"/>
        </w:rPr>
        <w:t>准，但是符合以下条件之一：</w:t>
      </w:r>
    </w:p>
    <w:p>
      <w:pPr>
        <w:pStyle w:val="BodyText"/>
        <w:spacing w:before="7"/>
      </w:pPr>
      <w:r>
        <w:rPr>
          <w:w w:val="100"/>
        </w:rPr>
        <w:t>（1</w:t>
      </w:r>
      <w:r>
        <w:rPr>
          <w:spacing w:val="-3"/>
          <w:w w:val="100"/>
        </w:rPr>
        <w:t>）被保险人接受了全麻下颅骨切开颅内血肿清除术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ind w:right="215"/>
      </w:pPr>
      <w:r>
        <w:rPr/>
        <w:t>（2）</w:t>
      </w:r>
      <w:r>
        <w:rPr>
          <w:spacing w:val="-10"/>
        </w:rPr>
        <w:t>在外伤 </w:t>
      </w:r>
      <w:r>
        <w:rPr/>
        <w:t>180</w:t>
      </w:r>
      <w:r>
        <w:rPr>
          <w:spacing w:val="-10"/>
        </w:rPr>
        <w:t> 后仍然遗留一肢或一肢以上肢体肌力 </w:t>
      </w:r>
      <w:r>
        <w:rPr/>
        <w:t>III</w:t>
      </w:r>
      <w:r>
        <w:rPr>
          <w:spacing w:val="-19"/>
        </w:rPr>
        <w:t> 级或 </w:t>
      </w:r>
      <w:r>
        <w:rPr/>
        <w:t>III</w:t>
      </w:r>
      <w:r>
        <w:rPr>
          <w:spacing w:val="-9"/>
        </w:rPr>
        <w:t> 级以下的运</w:t>
      </w:r>
      <w:r>
        <w:rPr>
          <w:spacing w:val="-5"/>
        </w:rPr>
        <w:t>动功能障碍。</w:t>
      </w:r>
    </w:p>
    <w:p>
      <w:pPr>
        <w:pStyle w:val="BodyText"/>
        <w:spacing w:before="5"/>
        <w:ind w:left="0"/>
        <w:rPr>
          <w:sz w:val="24"/>
        </w:rPr>
      </w:pPr>
    </w:p>
    <w:p>
      <w:pPr>
        <w:pStyle w:val="Heading1"/>
      </w:pPr>
      <w:r>
        <w:rPr/>
        <w:t>（十）单个肢体缺失</w:t>
      </w:r>
    </w:p>
    <w:p>
      <w:pPr>
        <w:pStyle w:val="BodyText"/>
        <w:spacing w:line="273" w:lineRule="auto"/>
        <w:ind w:right="218" w:firstLine="523"/>
      </w:pPr>
      <w:r>
        <w:rPr/>
        <w:t>指因疾病或意外伤害导致一个肢体自腕关节或踝关节近端（靠近躯干端） 以上完全性断离，但未达到重大疾病“多个肢体缺失”的给付标准。</w:t>
      </w:r>
    </w:p>
    <w:p>
      <w:pPr>
        <w:pStyle w:val="BodyText"/>
        <w:spacing w:before="5"/>
        <w:ind w:left="0"/>
        <w:rPr>
          <w:sz w:val="24"/>
        </w:rPr>
      </w:pPr>
    </w:p>
    <w:p>
      <w:pPr>
        <w:pStyle w:val="Heading1"/>
      </w:pPr>
      <w:r>
        <w:rPr/>
        <w:t>（十一）急性坏死性胰腺炎</w:t>
      </w:r>
    </w:p>
    <w:p>
      <w:pPr>
        <w:pStyle w:val="BodyText"/>
        <w:spacing w:line="273" w:lineRule="auto" w:before="36"/>
        <w:ind w:right="214" w:firstLine="427"/>
        <w:jc w:val="both"/>
      </w:pPr>
      <w:r>
        <w:rPr>
          <w:spacing w:val="-5"/>
        </w:rPr>
        <w:t>指被保险人被确诊为急性坏死性胰腺炎，并实际接受了腹腔镜手术治疗，以</w:t>
      </w:r>
      <w:r>
        <w:rPr>
          <w:spacing w:val="-4"/>
        </w:rPr>
        <w:t>进行坏死组织清除、坏死病灶切除或胰腺切除。</w:t>
      </w:r>
    </w:p>
    <w:p>
      <w:pPr>
        <w:pStyle w:val="BodyText"/>
        <w:spacing w:before="7"/>
        <w:ind w:left="2004"/>
      </w:pPr>
      <w:r>
        <w:rPr/>
        <w:t>因酗酒或饮酒过量所致的急性坏死性胰腺炎不在本附加合同保障范围内。</w:t>
      </w:r>
    </w:p>
    <w:p>
      <w:pPr>
        <w:pStyle w:val="BodyText"/>
        <w:spacing w:before="8"/>
        <w:ind w:left="0"/>
        <w:rPr>
          <w:sz w:val="26"/>
        </w:rPr>
      </w:pPr>
    </w:p>
    <w:p>
      <w:pPr>
        <w:pStyle w:val="Heading1"/>
      </w:pPr>
      <w:r>
        <w:rPr/>
        <w:t>（十二）严重脑炎或脑膜炎</w:t>
      </w:r>
    </w:p>
    <w:p>
      <w:pPr>
        <w:pStyle w:val="BodyText"/>
        <w:spacing w:line="273" w:lineRule="auto" w:before="36"/>
        <w:ind w:right="213" w:firstLine="417"/>
        <w:jc w:val="both"/>
      </w:pPr>
      <w:r>
        <w:rPr>
          <w:spacing w:val="-5"/>
        </w:rPr>
        <w:t>指因患脑炎或脑膜炎住院治疗，并且导致神经系统永久性的功能障碍。神经</w:t>
      </w:r>
      <w:r>
        <w:rPr>
          <w:spacing w:val="-7"/>
        </w:rPr>
        <w:t>系统永久性的功能障碍，指疾病确诊 </w:t>
      </w:r>
      <w:r>
        <w:rPr/>
        <w:t>180</w:t>
      </w:r>
      <w:r>
        <w:rPr>
          <w:spacing w:val="-8"/>
        </w:rPr>
        <w:t> 天后，虽然未达到重大疾病“脑炎后遗</w:t>
      </w:r>
      <w:r>
        <w:rPr>
          <w:spacing w:val="-3"/>
        </w:rPr>
        <w:t>症或脑膜炎后遗症”的标准，仍遗留下列一种或一种以上障碍：</w:t>
      </w:r>
    </w:p>
    <w:p>
      <w:pPr>
        <w:pStyle w:val="BodyText"/>
        <w:spacing w:before="7"/>
      </w:pPr>
      <w:r>
        <w:rPr/>
        <w:t>（1）一肢或一肢以上肢体肌力 III 级或 III 级以下的运动功能障碍；</w:t>
      </w:r>
    </w:p>
    <w:p>
      <w:pPr>
        <w:pStyle w:val="BodyText"/>
        <w:spacing w:before="36"/>
      </w:pPr>
      <w:r>
        <w:rPr/>
        <w:t>（2）听力丧失，双耳平均听阈大于 55 分贝或一耳平均听阈大于 90 分贝；</w:t>
      </w:r>
    </w:p>
    <w:p>
      <w:pPr>
        <w:pStyle w:val="BodyText"/>
        <w:spacing w:before="36"/>
      </w:pPr>
      <w:r>
        <w:rPr/>
        <w:t>（3）视野缺损，双眼视野半径小于 20 度；</w:t>
      </w:r>
    </w:p>
    <w:p>
      <w:pPr>
        <w:pStyle w:val="BodyText"/>
        <w:spacing w:line="273" w:lineRule="auto" w:before="36"/>
        <w:ind w:right="216"/>
      </w:pPr>
      <w:r>
        <w:rPr>
          <w:spacing w:val="-7"/>
        </w:rPr>
        <w:t>（4）视力严重受损，双眼中较好眼矫正视力低于 0.1（</w:t>
      </w:r>
      <w:r>
        <w:rPr>
          <w:spacing w:val="-5"/>
        </w:rPr>
        <w:t>采用国际标准视力表，如</w:t>
      </w:r>
      <w:r>
        <w:rPr>
          <w:spacing w:val="-4"/>
        </w:rPr>
        <w:t>果使用其他视力表应进行换算</w:t>
      </w:r>
      <w:r>
        <w:rPr>
          <w:spacing w:val="-108"/>
        </w:rPr>
        <w:t>）</w:t>
      </w:r>
      <w:r>
        <w:rPr/>
        <w:t>。</w:t>
      </w:r>
    </w:p>
    <w:p>
      <w:pPr>
        <w:pStyle w:val="BodyText"/>
        <w:spacing w:before="5"/>
        <w:ind w:left="0"/>
        <w:rPr>
          <w:sz w:val="24"/>
        </w:rPr>
      </w:pPr>
    </w:p>
    <w:p>
      <w:pPr>
        <w:pStyle w:val="Heading1"/>
      </w:pPr>
      <w:r>
        <w:rPr/>
        <w:t>（十三）中度昏迷</w:t>
      </w:r>
    </w:p>
    <w:p>
      <w:pPr>
        <w:pStyle w:val="BodyText"/>
        <w:spacing w:line="273" w:lineRule="auto"/>
        <w:ind w:right="213" w:firstLine="420"/>
        <w:jc w:val="both"/>
      </w:pPr>
      <w:r>
        <w:rPr>
          <w:spacing w:val="-5"/>
        </w:rPr>
        <w:t>指因疾病或意外伤害处于昏迷的状态，对外界刺激或体内需求无反应，并需</w:t>
      </w:r>
      <w:r>
        <w:rPr>
          <w:spacing w:val="-4"/>
        </w:rPr>
        <w:t>要使用插管和机械性呼吸的方法来维持生命至少 </w:t>
      </w:r>
      <w:r>
        <w:rPr/>
        <w:t>48</w:t>
      </w:r>
      <w:r>
        <w:rPr>
          <w:spacing w:val="-4"/>
        </w:rPr>
        <w:t> 个小时。昏迷的诊断及有关</w:t>
      </w:r>
      <w:r>
        <w:rPr>
          <w:spacing w:val="-7"/>
        </w:rPr>
        <w:t>证明必须由神经科专科医生确定，但未达到重大疾病“深度昏迷”的标准。因酗</w:t>
      </w:r>
      <w:r>
        <w:rPr>
          <w:spacing w:val="-5"/>
        </w:rPr>
        <w:t>酒或药物滥用导致的昏迷不在保障范围内。</w:t>
      </w:r>
    </w:p>
    <w:p>
      <w:pPr>
        <w:pStyle w:val="BodyText"/>
        <w:spacing w:before="6"/>
        <w:ind w:left="0"/>
        <w:rPr>
          <w:sz w:val="24"/>
        </w:rPr>
      </w:pPr>
    </w:p>
    <w:p>
      <w:pPr>
        <w:pStyle w:val="Heading1"/>
      </w:pPr>
      <w:r>
        <w:rPr/>
        <w:t>（十四）中度重症肌无力</w:t>
      </w:r>
    </w:p>
    <w:p>
      <w:pPr>
        <w:pStyle w:val="BodyText"/>
        <w:spacing w:line="273" w:lineRule="auto" w:before="36"/>
        <w:ind w:right="192" w:firstLine="420"/>
        <w:jc w:val="both"/>
      </w:pPr>
      <w:r>
        <w:rPr>
          <w:spacing w:val="-4"/>
        </w:rPr>
        <w:t>指一种神经与肌肉接头部位传递障碍的自身免疫性疾病，临床特征是局部或</w:t>
      </w:r>
      <w:r>
        <w:rPr>
          <w:spacing w:val="-3"/>
        </w:rPr>
        <w:t>全身横纹肌于活动时易于疲劳无力，颅神经眼外肌最易累及，也可涉及呼吸肌、</w:t>
      </w:r>
      <w:r>
        <w:rPr>
          <w:spacing w:val="-11"/>
        </w:rPr>
        <w:t>下肢近端肌群以至全身肌肉。该病必须由专科医生明确诊断，且疾病确诊 </w:t>
      </w:r>
      <w:r>
        <w:rPr/>
        <w:t>180</w:t>
      </w:r>
      <w:r>
        <w:rPr>
          <w:spacing w:val="7"/>
        </w:rPr>
        <w:t> 天</w:t>
      </w:r>
      <w:r>
        <w:rPr>
          <w:spacing w:val="-4"/>
        </w:rPr>
        <w:t>后，仍然存在自主生活能力部分丧失，无法独立完成六项基本日常生活活动中的</w:t>
      </w:r>
      <w:r>
        <w:rPr>
          <w:spacing w:val="-3"/>
        </w:rPr>
        <w:t>二项，但未达到重大疾病“全身性重症肌无力”的标准。</w:t>
      </w:r>
    </w:p>
    <w:p>
      <w:pPr>
        <w:pStyle w:val="BodyText"/>
        <w:spacing w:before="4"/>
        <w:ind w:left="0"/>
        <w:rPr>
          <w:sz w:val="24"/>
        </w:rPr>
      </w:pPr>
    </w:p>
    <w:p>
      <w:pPr>
        <w:pStyle w:val="Heading1"/>
        <w:spacing w:before="1"/>
      </w:pPr>
      <w:r>
        <w:rPr/>
        <w:t>（十五）单耳失聪</w:t>
      </w:r>
    </w:p>
    <w:p>
      <w:pPr>
        <w:spacing w:after="0"/>
        <w:sectPr>
          <w:pgSz w:w="11910" w:h="16840"/>
          <w:pgMar w:top="1080" w:bottom="280" w:left="1680" w:right="1100"/>
        </w:sectPr>
      </w:pPr>
    </w:p>
    <w:p>
      <w:pPr>
        <w:pStyle w:val="BodyText"/>
        <w:spacing w:before="22"/>
        <w:ind w:left="1997"/>
      </w:pPr>
      <w:r>
        <w:rPr/>
        <w:t>指因疾病或意外伤害导致单耳听力永久不可逆性丧失，在 500 赫兹、1000</w:t>
      </w:r>
    </w:p>
    <w:p>
      <w:pPr>
        <w:pStyle w:val="BodyText"/>
        <w:spacing w:line="273" w:lineRule="auto"/>
        <w:ind w:right="111"/>
      </w:pPr>
      <w:r>
        <w:rPr>
          <w:spacing w:val="0"/>
        </w:rPr>
        <w:t>赫兹和 </w:t>
      </w:r>
      <w:r>
        <w:rPr/>
        <w:t>2000</w:t>
      </w:r>
      <w:r>
        <w:rPr>
          <w:spacing w:val="-3"/>
        </w:rPr>
        <w:t> 赫兹语音频率下，平均听阈大于 </w:t>
      </w:r>
      <w:r>
        <w:rPr/>
        <w:t>90</w:t>
      </w:r>
      <w:r>
        <w:rPr>
          <w:spacing w:val="-4"/>
        </w:rPr>
        <w:t> 分贝，且经纯音听力测试、声</w:t>
      </w:r>
      <w:r>
        <w:rPr>
          <w:spacing w:val="-10"/>
        </w:rPr>
        <w:t>导抗检测或者听觉诱发电位检测等证实，但未达到重大疾病“双耳失聪”的标准。</w:t>
      </w:r>
    </w:p>
    <w:p>
      <w:pPr>
        <w:pStyle w:val="BodyText"/>
        <w:spacing w:line="273" w:lineRule="auto" w:before="7"/>
        <w:ind w:right="213" w:firstLine="420"/>
        <w:jc w:val="both"/>
      </w:pPr>
      <w:r>
        <w:rPr>
          <w:spacing w:val="-5"/>
        </w:rPr>
        <w:t>除内耳结构损伤等情形外，被保险人申请理赔时应提供理赔当时的听力丧失</w:t>
      </w:r>
      <w:r>
        <w:rPr>
          <w:spacing w:val="-4"/>
        </w:rPr>
        <w:t>诊断及检查证据。</w:t>
      </w:r>
    </w:p>
    <w:p>
      <w:pPr>
        <w:pStyle w:val="BodyText"/>
        <w:spacing w:before="5"/>
        <w:ind w:left="0"/>
        <w:rPr>
          <w:sz w:val="24"/>
        </w:rPr>
      </w:pPr>
    </w:p>
    <w:p>
      <w:pPr>
        <w:pStyle w:val="Heading1"/>
      </w:pPr>
      <w:r>
        <w:rPr/>
        <w:t>（十六）单肾切除手术</w:t>
      </w:r>
    </w:p>
    <w:p>
      <w:pPr>
        <w:pStyle w:val="BodyText"/>
        <w:spacing w:line="273" w:lineRule="auto"/>
        <w:ind w:right="213" w:firstLine="420"/>
        <w:jc w:val="both"/>
      </w:pPr>
      <w:r>
        <w:rPr/>
        <w:t>因肾脏疾病或外伤而确实已经接受手术完全切除左肾和/或右肾。手术必须</w:t>
      </w:r>
      <w:r>
        <w:rPr>
          <w:spacing w:val="-5"/>
        </w:rPr>
        <w:t>被专科医生视为必要的。部分切除一个肾或因捐赠肾脏而所需的手术不在保障范围内。</w:t>
      </w:r>
    </w:p>
    <w:p>
      <w:pPr>
        <w:pStyle w:val="BodyText"/>
        <w:spacing w:before="5"/>
        <w:ind w:left="0"/>
        <w:rPr>
          <w:sz w:val="24"/>
        </w:rPr>
      </w:pPr>
    </w:p>
    <w:p>
      <w:pPr>
        <w:pStyle w:val="Heading1"/>
      </w:pPr>
      <w:r>
        <w:rPr/>
        <w:t>（十七）左肝叶或右肝叶切除术</w:t>
      </w:r>
    </w:p>
    <w:p>
      <w:pPr>
        <w:pStyle w:val="BodyText"/>
        <w:spacing w:line="273" w:lineRule="auto" w:before="36"/>
        <w:ind w:right="213" w:firstLine="420"/>
        <w:jc w:val="both"/>
      </w:pPr>
      <w:r>
        <w:rPr>
          <w:spacing w:val="1"/>
        </w:rPr>
        <w:t>指因疾病或意外伤害导致必须以部分肝脏切除术切除最少一整叶左肝脏或</w:t>
      </w:r>
      <w:r>
        <w:rPr>
          <w:spacing w:val="-5"/>
        </w:rPr>
        <w:t>一整叶右肝脏。诊断及治疗均须在医院内由专科医生认为是医疗必须的情况下进行。</w:t>
      </w:r>
    </w:p>
    <w:p>
      <w:pPr>
        <w:pStyle w:val="BodyText"/>
        <w:spacing w:line="273" w:lineRule="auto" w:before="7"/>
        <w:ind w:right="218" w:firstLine="420"/>
        <w:jc w:val="both"/>
      </w:pPr>
      <w:r>
        <w:rPr/>
        <w:t>因酒精或者滥用药物引致的疾病或者紊乱及/或因捐赠肝脏而实施的肝脏手术均不在保障范围内。</w:t>
      </w:r>
    </w:p>
    <w:p>
      <w:pPr>
        <w:pStyle w:val="BodyText"/>
        <w:spacing w:before="5"/>
        <w:ind w:left="0"/>
        <w:rPr>
          <w:sz w:val="24"/>
        </w:rPr>
      </w:pPr>
    </w:p>
    <w:p>
      <w:pPr>
        <w:pStyle w:val="Heading1"/>
      </w:pPr>
      <w:r>
        <w:rPr/>
        <w:t>（十八）单肺切除手术</w:t>
      </w:r>
    </w:p>
    <w:p>
      <w:pPr>
        <w:pStyle w:val="BodyText"/>
        <w:spacing w:line="273" w:lineRule="auto"/>
        <w:ind w:right="213" w:firstLine="420"/>
        <w:jc w:val="both"/>
      </w:pPr>
      <w:r>
        <w:rPr>
          <w:spacing w:val="-4"/>
        </w:rPr>
        <w:t>指因疾病或意外伤害而确实已经接受手术完全切除了左全肺或右全肺。手术</w:t>
      </w:r>
      <w:r>
        <w:rPr>
          <w:spacing w:val="-5"/>
        </w:rPr>
        <w:t>必须被专科医生视为必要的。部分切除一个肺或因捐赠肺脏而所需的手术不在保</w:t>
      </w:r>
      <w:r>
        <w:rPr>
          <w:spacing w:val="-4"/>
        </w:rPr>
        <w:t>障范围内。</w:t>
      </w:r>
    </w:p>
    <w:p>
      <w:pPr>
        <w:pStyle w:val="BodyText"/>
        <w:spacing w:before="5"/>
        <w:ind w:left="0"/>
        <w:rPr>
          <w:sz w:val="24"/>
        </w:rPr>
      </w:pPr>
    </w:p>
    <w:p>
      <w:pPr>
        <w:pStyle w:val="Heading1"/>
        <w:spacing w:before="1"/>
      </w:pPr>
      <w:r>
        <w:rPr/>
        <w:t>（十九）中度系统性红斑狼疮</w:t>
      </w:r>
    </w:p>
    <w:p>
      <w:pPr>
        <w:pStyle w:val="BodyText"/>
        <w:spacing w:line="273" w:lineRule="auto"/>
        <w:ind w:right="213" w:firstLine="420"/>
        <w:jc w:val="both"/>
      </w:pPr>
      <w:r>
        <w:rPr>
          <w:spacing w:val="-4"/>
        </w:rPr>
        <w:t>本附加合同所指的系统性红斑狼疮必须符合下列所有理赔条件，但未达到重</w:t>
      </w:r>
      <w:r>
        <w:rPr>
          <w:spacing w:val="-3"/>
        </w:rPr>
        <w:t>大疾病“系统性红斑狼疮 － </w:t>
      </w:r>
      <w:r>
        <w:rPr/>
        <w:t>III</w:t>
      </w:r>
      <w:r>
        <w:rPr>
          <w:spacing w:val="-26"/>
        </w:rPr>
        <w:t> 型或 </w:t>
      </w:r>
      <w:r>
        <w:rPr/>
        <w:t>III</w:t>
      </w:r>
      <w:r>
        <w:rPr>
          <w:spacing w:val="-9"/>
        </w:rPr>
        <w:t> 型以上狼疮性肾炎”的标准：</w:t>
      </w:r>
    </w:p>
    <w:p>
      <w:pPr>
        <w:pStyle w:val="BodyText"/>
        <w:spacing w:before="8"/>
      </w:pPr>
      <w:r>
        <w:rPr/>
        <w:t>（1）在下列 5 项情况中出现最少 2 项：</w:t>
      </w:r>
    </w:p>
    <w:p>
      <w:pPr>
        <w:pStyle w:val="BodyText"/>
        <w:ind w:left="1788"/>
      </w:pPr>
      <w:r>
        <w:rPr/>
        <w:t>①关节炎：非磨损性关节炎，需涉及两个或以上关节；</w:t>
      </w:r>
    </w:p>
    <w:p>
      <w:pPr>
        <w:pStyle w:val="BodyText"/>
        <w:ind w:left="1788"/>
      </w:pPr>
      <w:r>
        <w:rPr/>
        <w:t>②浆膜炎：胸膜炎或心包炎；</w:t>
      </w:r>
    </w:p>
    <w:p>
      <w:pPr>
        <w:pStyle w:val="BodyText"/>
        <w:ind w:left="1788"/>
      </w:pPr>
      <w:r>
        <w:rPr/>
        <w:t>③肾病：24 小时尿蛋白定量达到 0.5 克，或尿液检查出现细胞管型；</w:t>
      </w:r>
    </w:p>
    <w:p>
      <w:pPr>
        <w:pStyle w:val="BodyText"/>
        <w:ind w:left="1788"/>
      </w:pPr>
      <w:r>
        <w:rPr/>
        <w:t>④血液学异常：溶血性贫血、白细胞减少、或血小板减少；</w:t>
      </w:r>
    </w:p>
    <w:p>
      <w:pPr>
        <w:pStyle w:val="BodyText"/>
        <w:ind w:left="1788"/>
      </w:pPr>
      <w:r>
        <w:rPr/>
        <w:t>⑤抗核抗体阳性、或抗 dsDNA 阳性，或抗 Smith 抗体阳性。</w:t>
      </w:r>
    </w:p>
    <w:p>
      <w:pPr>
        <w:pStyle w:val="BodyText"/>
      </w:pPr>
      <w:r>
        <w:rPr/>
        <w:t>（2）系统性红斑狼疮的诊断必须由风湿科或免疫系统专科医生确定。</w:t>
      </w:r>
    </w:p>
    <w:p>
      <w:pPr>
        <w:pStyle w:val="BodyText"/>
        <w:spacing w:before="9"/>
        <w:ind w:left="0"/>
        <w:rPr>
          <w:sz w:val="26"/>
        </w:rPr>
      </w:pPr>
    </w:p>
    <w:p>
      <w:pPr>
        <w:pStyle w:val="Heading1"/>
      </w:pPr>
      <w:r>
        <w:rPr/>
        <w:t>（二十）植入人工耳蜗手术</w:t>
      </w:r>
    </w:p>
    <w:p>
      <w:pPr>
        <w:pStyle w:val="BodyText"/>
        <w:spacing w:line="273" w:lineRule="auto"/>
        <w:ind w:right="213" w:firstLine="420"/>
        <w:jc w:val="both"/>
      </w:pPr>
      <w:r>
        <w:rPr>
          <w:spacing w:val="-4"/>
        </w:rPr>
        <w:t>指因疾病或意外伤害导致耳蜗或听觉神经永久性损坏，被保险人实际已经在</w:t>
      </w:r>
      <w:r>
        <w:rPr>
          <w:spacing w:val="-3"/>
        </w:rPr>
        <w:t>医院内进行了医疗必须的人工耳蜗植入手术。</w:t>
      </w:r>
    </w:p>
    <w:p>
      <w:pPr>
        <w:pStyle w:val="BodyText"/>
        <w:spacing w:before="6"/>
        <w:ind w:left="0"/>
        <w:rPr>
          <w:sz w:val="24"/>
        </w:rPr>
      </w:pPr>
    </w:p>
    <w:p>
      <w:pPr>
        <w:pStyle w:val="Heading1"/>
      </w:pPr>
      <w:r>
        <w:rPr/>
        <w:t>（二十一）植入大脑内分流器</w:t>
      </w:r>
    </w:p>
    <w:p>
      <w:pPr>
        <w:pStyle w:val="BodyText"/>
        <w:spacing w:line="273" w:lineRule="auto"/>
        <w:ind w:right="213" w:firstLine="420"/>
        <w:jc w:val="both"/>
      </w:pPr>
      <w:r>
        <w:rPr>
          <w:spacing w:val="-4"/>
        </w:rPr>
        <w:t>为缓解已升高的脑脊液压力而确实已在脑室进行分流器植入手术。诊断及治</w:t>
      </w:r>
      <w:r>
        <w:rPr>
          <w:spacing w:val="-3"/>
        </w:rPr>
        <w:t>疗均须在医院内由脑神经科专科医生认为是医疗必须的情况下进行。</w:t>
      </w:r>
    </w:p>
    <w:p>
      <w:pPr>
        <w:pStyle w:val="BodyText"/>
        <w:spacing w:before="5"/>
        <w:ind w:left="0"/>
        <w:rPr>
          <w:sz w:val="24"/>
        </w:rPr>
      </w:pPr>
    </w:p>
    <w:p>
      <w:pPr>
        <w:pStyle w:val="Heading1"/>
      </w:pPr>
      <w:r>
        <w:rPr/>
        <w:t>（二十二）胆总管小肠吻合术（胆道重建手术）</w:t>
      </w:r>
    </w:p>
    <w:p>
      <w:pPr>
        <w:pStyle w:val="BodyText"/>
        <w:spacing w:line="273" w:lineRule="auto" w:before="36"/>
        <w:ind w:right="214" w:firstLine="420"/>
        <w:jc w:val="both"/>
      </w:pPr>
      <w:r>
        <w:rPr>
          <w:spacing w:val="-4"/>
        </w:rPr>
        <w:t>因疾病或胆道损伤导致实际接受涉及胆总管小肠吻合术的胆道重建手术。诊</w:t>
      </w:r>
      <w:r>
        <w:rPr>
          <w:spacing w:val="-3"/>
        </w:rPr>
        <w:t>断及治疗均须在医院内由专科医生认为是医疗必须的情况下进行。</w:t>
      </w:r>
    </w:p>
    <w:p>
      <w:pPr>
        <w:pStyle w:val="BodyText"/>
        <w:spacing w:before="7"/>
        <w:ind w:left="1997"/>
      </w:pPr>
      <w:r>
        <w:rPr/>
        <w:t>因胆道闭锁等先天性疾病而导致进行的胆道手术不在本项保障范围内。</w:t>
      </w:r>
    </w:p>
    <w:p>
      <w:pPr>
        <w:spacing w:after="0"/>
        <w:sectPr>
          <w:pgSz w:w="11910" w:h="16840"/>
          <w:pgMar w:top="1080" w:bottom="280" w:left="168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541"/>
        <w:gridCol w:w="7701"/>
      </w:tblGrid>
      <w:tr>
        <w:trPr>
          <w:trHeight w:val="1665" w:hRule="atLeast"/>
        </w:trPr>
        <w:tc>
          <w:tcPr>
            <w:tcW w:w="834" w:type="dxa"/>
          </w:tcPr>
          <w:p>
            <w:pPr>
              <w:pStyle w:val="TableParagraph"/>
              <w:rPr>
                <w:rFonts w:ascii="Times New Roman"/>
                <w:sz w:val="20"/>
              </w:rPr>
            </w:pPr>
          </w:p>
        </w:tc>
        <w:tc>
          <w:tcPr>
            <w:tcW w:w="1541" w:type="dxa"/>
          </w:tcPr>
          <w:p>
            <w:pPr>
              <w:pStyle w:val="TableParagraph"/>
              <w:rPr>
                <w:rFonts w:ascii="Times New Roman"/>
                <w:sz w:val="20"/>
              </w:rPr>
            </w:pPr>
          </w:p>
        </w:tc>
        <w:tc>
          <w:tcPr>
            <w:tcW w:w="7701" w:type="dxa"/>
          </w:tcPr>
          <w:p>
            <w:pPr>
              <w:pStyle w:val="TableParagraph"/>
              <w:spacing w:line="209" w:lineRule="exact"/>
              <w:ind w:left="62"/>
              <w:rPr>
                <w:b/>
                <w:sz w:val="21"/>
              </w:rPr>
            </w:pPr>
            <w:r>
              <w:rPr>
                <w:b/>
                <w:sz w:val="21"/>
              </w:rPr>
              <w:t>（二十三）意外受伤所需的面部重建手术</w:t>
            </w:r>
          </w:p>
          <w:p>
            <w:pPr>
              <w:pStyle w:val="TableParagraph"/>
              <w:spacing w:line="259" w:lineRule="auto" w:before="37"/>
              <w:ind w:left="62" w:right="284" w:firstLine="420"/>
              <w:jc w:val="both"/>
              <w:rPr>
                <w:sz w:val="21"/>
              </w:rPr>
            </w:pPr>
            <w:r>
              <w:rPr>
                <w:spacing w:val="-3"/>
                <w:sz w:val="21"/>
              </w:rPr>
              <w:t>因意外伤害导致面部受伤而确实进</w:t>
            </w:r>
            <w:r>
              <w:rPr>
                <w:rFonts w:ascii="Arial" w:eastAsia="Arial"/>
                <w:spacing w:val="-3"/>
                <w:w w:val="115"/>
                <w:sz w:val="21"/>
              </w:rPr>
              <w:t>行</w:t>
            </w:r>
            <w:r>
              <w:rPr>
                <w:spacing w:val="-6"/>
                <w:sz w:val="21"/>
              </w:rPr>
              <w:t>整形或者重建手术</w:t>
            </w:r>
            <w:r>
              <w:rPr>
                <w:sz w:val="21"/>
              </w:rPr>
              <w:t>（</w:t>
            </w:r>
            <w:r>
              <w:rPr>
                <w:spacing w:val="-9"/>
                <w:sz w:val="21"/>
              </w:rPr>
              <w:t>颈部以上的面部构</w:t>
            </w:r>
            <w:r>
              <w:rPr>
                <w:spacing w:val="1"/>
                <w:w w:val="100"/>
                <w:sz w:val="21"/>
              </w:rPr>
              <w:t>造</w:t>
            </w:r>
            <w:r>
              <w:rPr>
                <w:rFonts w:ascii="Arial" w:eastAsia="Arial"/>
                <w:spacing w:val="1"/>
                <w:w w:val="134"/>
                <w:sz w:val="21"/>
              </w:rPr>
              <w:t>不</w:t>
            </w:r>
            <w:r>
              <w:rPr>
                <w:w w:val="100"/>
                <w:sz w:val="21"/>
              </w:rPr>
              <w:t>完整、缺掉或者受损而对其形态及外观进</w:t>
            </w:r>
            <w:r>
              <w:rPr>
                <w:rFonts w:ascii="Arial" w:eastAsia="Arial"/>
                <w:spacing w:val="1"/>
                <w:w w:val="134"/>
                <w:sz w:val="21"/>
              </w:rPr>
              <w:t>行</w:t>
            </w:r>
            <w:r>
              <w:rPr>
                <w:w w:val="100"/>
                <w:sz w:val="21"/>
              </w:rPr>
              <w:t>修复或者重建</w:t>
            </w:r>
            <w:r>
              <w:rPr>
                <w:spacing w:val="-104"/>
                <w:w w:val="100"/>
                <w:sz w:val="21"/>
              </w:rPr>
              <w:t>）</w:t>
            </w:r>
            <w:r>
              <w:rPr>
                <w:spacing w:val="-18"/>
                <w:w w:val="100"/>
                <w:sz w:val="21"/>
              </w:rPr>
              <w:t>，同时必须由专</w:t>
            </w:r>
            <w:r>
              <w:rPr>
                <w:spacing w:val="-3"/>
                <w:sz w:val="21"/>
              </w:rPr>
              <w:t>科医生证实该面部毁容所进</w:t>
            </w:r>
            <w:r>
              <w:rPr>
                <w:rFonts w:ascii="Arial" w:eastAsia="Arial"/>
                <w:w w:val="115"/>
                <w:sz w:val="21"/>
              </w:rPr>
              <w:t>行</w:t>
            </w:r>
            <w:r>
              <w:rPr>
                <w:spacing w:val="-5"/>
                <w:sz w:val="21"/>
              </w:rPr>
              <w:t>的治疗是医疗所必须。因纯粹整容原因、独立的 </w:t>
            </w:r>
            <w:r>
              <w:rPr>
                <w:spacing w:val="-4"/>
                <w:sz w:val="21"/>
              </w:rPr>
              <w:t>牙齿修复、独立的鼻骨折断或者独立的皮肤伤口所进行的手术均不在保障范围内</w:t>
            </w:r>
            <w:r>
              <w:rPr>
                <w:sz w:val="21"/>
              </w:rPr>
              <w:t>。</w:t>
            </w:r>
          </w:p>
        </w:tc>
      </w:tr>
      <w:tr>
        <w:trPr>
          <w:trHeight w:val="935" w:hRule="atLeast"/>
        </w:trPr>
        <w:tc>
          <w:tcPr>
            <w:tcW w:w="834" w:type="dxa"/>
          </w:tcPr>
          <w:p>
            <w:pPr>
              <w:pStyle w:val="TableParagraph"/>
              <w:spacing w:before="140"/>
              <w:ind w:left="180" w:right="189"/>
              <w:jc w:val="center"/>
              <w:rPr>
                <w:b/>
                <w:sz w:val="21"/>
              </w:rPr>
            </w:pPr>
            <w:r>
              <w:rPr>
                <w:b/>
                <w:sz w:val="21"/>
              </w:rPr>
              <w:t>8.14</w:t>
            </w:r>
          </w:p>
        </w:tc>
        <w:tc>
          <w:tcPr>
            <w:tcW w:w="1541" w:type="dxa"/>
          </w:tcPr>
          <w:p>
            <w:pPr>
              <w:pStyle w:val="TableParagraph"/>
              <w:spacing w:before="140"/>
              <w:ind w:left="211"/>
              <w:rPr>
                <w:b/>
                <w:sz w:val="21"/>
              </w:rPr>
            </w:pPr>
            <w:r>
              <w:rPr>
                <w:b/>
                <w:sz w:val="21"/>
              </w:rPr>
              <w:t>酗酒</w:t>
            </w:r>
          </w:p>
        </w:tc>
        <w:tc>
          <w:tcPr>
            <w:tcW w:w="7701" w:type="dxa"/>
          </w:tcPr>
          <w:p>
            <w:pPr>
              <w:pStyle w:val="TableParagraph"/>
              <w:spacing w:line="273" w:lineRule="auto" w:before="140"/>
              <w:ind w:left="62" w:right="303"/>
              <w:rPr>
                <w:sz w:val="21"/>
              </w:rPr>
            </w:pPr>
            <w:r>
              <w:rPr>
                <w:spacing w:val="-6"/>
                <w:sz w:val="21"/>
              </w:rPr>
              <w:t>指没有节制地喝酒，以医疗机构或司法部门出具的酒精中毒或酒精摄入过量的相</w:t>
            </w:r>
            <w:r>
              <w:rPr>
                <w:spacing w:val="-4"/>
                <w:sz w:val="21"/>
              </w:rPr>
              <w:t>关证明为依据。</w:t>
            </w:r>
          </w:p>
        </w:tc>
      </w:tr>
      <w:tr>
        <w:trPr>
          <w:trHeight w:val="1248" w:hRule="atLeast"/>
        </w:trPr>
        <w:tc>
          <w:tcPr>
            <w:tcW w:w="834" w:type="dxa"/>
          </w:tcPr>
          <w:p>
            <w:pPr>
              <w:pStyle w:val="TableParagraph"/>
              <w:spacing w:before="140"/>
              <w:ind w:left="180" w:right="189"/>
              <w:jc w:val="center"/>
              <w:rPr>
                <w:b/>
                <w:sz w:val="21"/>
              </w:rPr>
            </w:pPr>
            <w:r>
              <w:rPr>
                <w:b/>
                <w:sz w:val="21"/>
              </w:rPr>
              <w:t>8.15</w:t>
            </w:r>
          </w:p>
        </w:tc>
        <w:tc>
          <w:tcPr>
            <w:tcW w:w="1541" w:type="dxa"/>
          </w:tcPr>
          <w:p>
            <w:pPr>
              <w:pStyle w:val="TableParagraph"/>
              <w:spacing w:before="140"/>
              <w:ind w:left="211"/>
              <w:rPr>
                <w:b/>
                <w:sz w:val="21"/>
              </w:rPr>
            </w:pPr>
            <w:r>
              <w:rPr>
                <w:b/>
                <w:sz w:val="21"/>
              </w:rPr>
              <w:t>毒品</w:t>
            </w:r>
          </w:p>
        </w:tc>
        <w:tc>
          <w:tcPr>
            <w:tcW w:w="7701" w:type="dxa"/>
          </w:tcPr>
          <w:p>
            <w:pPr>
              <w:pStyle w:val="TableParagraph"/>
              <w:spacing w:line="273" w:lineRule="auto" w:before="140"/>
              <w:ind w:left="62" w:right="198"/>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8" w:hRule="atLeast"/>
        </w:trPr>
        <w:tc>
          <w:tcPr>
            <w:tcW w:w="834" w:type="dxa"/>
          </w:tcPr>
          <w:p>
            <w:pPr>
              <w:pStyle w:val="TableParagraph"/>
              <w:spacing w:before="140"/>
              <w:ind w:left="180" w:right="189"/>
              <w:jc w:val="center"/>
              <w:rPr>
                <w:b/>
                <w:sz w:val="21"/>
              </w:rPr>
            </w:pPr>
            <w:r>
              <w:rPr>
                <w:b/>
                <w:sz w:val="21"/>
              </w:rPr>
              <w:t>8.16</w:t>
            </w:r>
          </w:p>
        </w:tc>
        <w:tc>
          <w:tcPr>
            <w:tcW w:w="1541" w:type="dxa"/>
          </w:tcPr>
          <w:p>
            <w:pPr>
              <w:pStyle w:val="TableParagraph"/>
              <w:spacing w:before="140"/>
              <w:ind w:left="211"/>
              <w:rPr>
                <w:b/>
                <w:sz w:val="21"/>
              </w:rPr>
            </w:pPr>
            <w:r>
              <w:rPr>
                <w:b/>
                <w:sz w:val="21"/>
              </w:rPr>
              <w:t>酒后驾驶</w:t>
            </w:r>
          </w:p>
        </w:tc>
        <w:tc>
          <w:tcPr>
            <w:tcW w:w="7701" w:type="dxa"/>
          </w:tcPr>
          <w:p>
            <w:pPr>
              <w:pStyle w:val="TableParagraph"/>
              <w:spacing w:line="273" w:lineRule="auto" w:before="140"/>
              <w:ind w:left="62" w:right="303"/>
              <w:jc w:val="both"/>
              <w:rPr>
                <w:sz w:val="21"/>
              </w:rPr>
            </w:pPr>
            <w:r>
              <w:rPr>
                <w:spacing w:val="-6"/>
                <w:sz w:val="21"/>
              </w:rPr>
              <w:t>指经检测或鉴定，发生事故时车辆驾驶人员每百毫升血液中的酒精含量达到或超</w:t>
            </w:r>
            <w:r>
              <w:rPr>
                <w:spacing w:val="-7"/>
                <w:sz w:val="21"/>
              </w:rPr>
              <w:t>过一定的标准，公安机关交通管理部门依据《道路交通安全法》的规定认定为饮</w:t>
            </w:r>
            <w:r>
              <w:rPr>
                <w:spacing w:val="-5"/>
                <w:sz w:val="21"/>
              </w:rPr>
              <w:t>酒后驾驶或醉酒后驾驶。</w:t>
            </w:r>
          </w:p>
        </w:tc>
      </w:tr>
      <w:tr>
        <w:trPr>
          <w:trHeight w:val="2496" w:hRule="atLeast"/>
        </w:trPr>
        <w:tc>
          <w:tcPr>
            <w:tcW w:w="834" w:type="dxa"/>
          </w:tcPr>
          <w:p>
            <w:pPr>
              <w:pStyle w:val="TableParagraph"/>
              <w:spacing w:before="140"/>
              <w:ind w:left="180" w:right="189"/>
              <w:jc w:val="center"/>
              <w:rPr>
                <w:b/>
                <w:sz w:val="21"/>
              </w:rPr>
            </w:pPr>
            <w:r>
              <w:rPr>
                <w:b/>
                <w:sz w:val="21"/>
              </w:rPr>
              <w:t>8.17</w:t>
            </w:r>
          </w:p>
        </w:tc>
        <w:tc>
          <w:tcPr>
            <w:tcW w:w="1541" w:type="dxa"/>
          </w:tcPr>
          <w:p>
            <w:pPr>
              <w:pStyle w:val="TableParagraph"/>
              <w:spacing w:line="273" w:lineRule="auto" w:before="140"/>
              <w:ind w:left="211" w:right="150"/>
              <w:rPr>
                <w:b/>
                <w:sz w:val="21"/>
              </w:rPr>
            </w:pPr>
            <w:r>
              <w:rPr>
                <w:b/>
                <w:sz w:val="21"/>
              </w:rPr>
              <w:t>无合法有效驾驶证驾驶</w:t>
            </w:r>
          </w:p>
        </w:tc>
        <w:tc>
          <w:tcPr>
            <w:tcW w:w="7701" w:type="dxa"/>
          </w:tcPr>
          <w:p>
            <w:pPr>
              <w:pStyle w:val="TableParagraph"/>
              <w:spacing w:before="140"/>
              <w:ind w:left="62"/>
              <w:rPr>
                <w:sz w:val="21"/>
              </w:rPr>
            </w:pPr>
            <w:r>
              <w:rPr>
                <w:sz w:val="21"/>
              </w:rPr>
              <w:t>指下列情形之一：</w:t>
            </w:r>
          </w:p>
          <w:p>
            <w:pPr>
              <w:pStyle w:val="TableParagraph"/>
              <w:spacing w:before="37"/>
              <w:ind w:left="62"/>
              <w:rPr>
                <w:sz w:val="21"/>
              </w:rPr>
            </w:pPr>
            <w:r>
              <w:rPr>
                <w:sz w:val="21"/>
              </w:rPr>
              <w:t>（1）没有取得驾驶资格；</w:t>
            </w:r>
          </w:p>
          <w:p>
            <w:pPr>
              <w:pStyle w:val="TableParagraph"/>
              <w:spacing w:before="37"/>
              <w:ind w:left="62"/>
              <w:rPr>
                <w:sz w:val="21"/>
              </w:rPr>
            </w:pPr>
            <w:r>
              <w:rPr>
                <w:sz w:val="21"/>
              </w:rPr>
              <w:t>（2）驾驶与驾驶证准驾车型不相符合的车辆；</w:t>
            </w:r>
          </w:p>
          <w:p>
            <w:pPr>
              <w:pStyle w:val="TableParagraph"/>
              <w:spacing w:before="37"/>
              <w:ind w:left="62"/>
              <w:rPr>
                <w:sz w:val="21"/>
              </w:rPr>
            </w:pPr>
            <w:r>
              <w:rPr>
                <w:sz w:val="21"/>
              </w:rPr>
              <w:t>（3）持审验不合格的驾驶证驾驶；</w:t>
            </w:r>
          </w:p>
          <w:p>
            <w:pPr>
              <w:pStyle w:val="TableParagraph"/>
              <w:spacing w:line="273" w:lineRule="auto" w:before="37"/>
              <w:ind w:left="587" w:right="309" w:hanging="526"/>
              <w:rPr>
                <w:sz w:val="21"/>
              </w:rPr>
            </w:pPr>
            <w:r>
              <w:rPr>
                <w:sz w:val="21"/>
              </w:rPr>
              <w:t>（4）持学习驾驶证学习驾车时，无教练员随车指导，或不按指定时间、路线学习驾车；</w:t>
            </w:r>
          </w:p>
          <w:p>
            <w:pPr>
              <w:pStyle w:val="TableParagraph"/>
              <w:spacing w:before="7"/>
              <w:ind w:left="62"/>
              <w:rPr>
                <w:sz w:val="21"/>
              </w:rPr>
            </w:pPr>
            <w:r>
              <w:rPr>
                <w:sz w:val="21"/>
              </w:rPr>
              <w:t>（5）驾驶证已过有效期的。</w:t>
            </w:r>
          </w:p>
        </w:tc>
      </w:tr>
      <w:tr>
        <w:trPr>
          <w:trHeight w:val="1560" w:hRule="atLeast"/>
        </w:trPr>
        <w:tc>
          <w:tcPr>
            <w:tcW w:w="834" w:type="dxa"/>
          </w:tcPr>
          <w:p>
            <w:pPr>
              <w:pStyle w:val="TableParagraph"/>
              <w:spacing w:before="140"/>
              <w:ind w:left="180" w:right="189"/>
              <w:jc w:val="center"/>
              <w:rPr>
                <w:b/>
                <w:sz w:val="21"/>
              </w:rPr>
            </w:pPr>
            <w:r>
              <w:rPr>
                <w:b/>
                <w:sz w:val="21"/>
              </w:rPr>
              <w:t>8.18</w:t>
            </w:r>
          </w:p>
        </w:tc>
        <w:tc>
          <w:tcPr>
            <w:tcW w:w="1541" w:type="dxa"/>
          </w:tcPr>
          <w:p>
            <w:pPr>
              <w:pStyle w:val="TableParagraph"/>
              <w:spacing w:line="273" w:lineRule="auto" w:before="140"/>
              <w:ind w:left="211" w:right="271"/>
              <w:rPr>
                <w:b/>
                <w:sz w:val="21"/>
              </w:rPr>
            </w:pPr>
            <w:r>
              <w:rPr>
                <w:b/>
                <w:sz w:val="21"/>
              </w:rPr>
              <w:t>无有效行驶证照</w:t>
            </w:r>
          </w:p>
        </w:tc>
        <w:tc>
          <w:tcPr>
            <w:tcW w:w="7701" w:type="dxa"/>
          </w:tcPr>
          <w:p>
            <w:pPr>
              <w:pStyle w:val="TableParagraph"/>
              <w:spacing w:before="140"/>
              <w:ind w:left="62"/>
              <w:rPr>
                <w:sz w:val="21"/>
              </w:rPr>
            </w:pPr>
            <w:r>
              <w:rPr>
                <w:sz w:val="21"/>
              </w:rPr>
              <w:t>指下列情形之一：</w:t>
            </w:r>
          </w:p>
          <w:p>
            <w:pPr>
              <w:pStyle w:val="TableParagraph"/>
              <w:spacing w:line="273" w:lineRule="auto" w:before="36"/>
              <w:ind w:left="587" w:right="152" w:hanging="526"/>
              <w:rPr>
                <w:sz w:val="21"/>
              </w:rPr>
            </w:pPr>
            <w:r>
              <w:rPr>
                <w:sz w:val="21"/>
              </w:rPr>
              <w:t>（1）发生保险事故时无公安机关交通管理部门核发的合法有效的行驶证、号牌， 或临时号牌或临时移动号牌；</w:t>
            </w:r>
          </w:p>
          <w:p>
            <w:pPr>
              <w:pStyle w:val="TableParagraph"/>
              <w:spacing w:before="7"/>
              <w:ind w:left="62"/>
              <w:rPr>
                <w:sz w:val="21"/>
              </w:rPr>
            </w:pPr>
            <w:r>
              <w:rPr>
                <w:sz w:val="21"/>
              </w:rPr>
              <w:t>（2）未依法按时进行或通过机动车安全技术检验。</w:t>
            </w:r>
          </w:p>
        </w:tc>
      </w:tr>
      <w:tr>
        <w:trPr>
          <w:trHeight w:val="936" w:hRule="atLeast"/>
        </w:trPr>
        <w:tc>
          <w:tcPr>
            <w:tcW w:w="834" w:type="dxa"/>
          </w:tcPr>
          <w:p>
            <w:pPr>
              <w:pStyle w:val="TableParagraph"/>
              <w:spacing w:before="140"/>
              <w:ind w:left="180" w:right="189"/>
              <w:jc w:val="center"/>
              <w:rPr>
                <w:b/>
                <w:sz w:val="21"/>
              </w:rPr>
            </w:pPr>
            <w:r>
              <w:rPr>
                <w:b/>
                <w:sz w:val="21"/>
              </w:rPr>
              <w:t>8.19</w:t>
            </w:r>
          </w:p>
        </w:tc>
        <w:tc>
          <w:tcPr>
            <w:tcW w:w="1541" w:type="dxa"/>
          </w:tcPr>
          <w:p>
            <w:pPr>
              <w:pStyle w:val="TableParagraph"/>
              <w:spacing w:before="140"/>
              <w:ind w:left="211"/>
              <w:rPr>
                <w:b/>
                <w:sz w:val="21"/>
              </w:rPr>
            </w:pPr>
            <w:r>
              <w:rPr>
                <w:b/>
                <w:sz w:val="21"/>
              </w:rPr>
              <w:t>机动车</w:t>
            </w:r>
          </w:p>
        </w:tc>
        <w:tc>
          <w:tcPr>
            <w:tcW w:w="7701" w:type="dxa"/>
          </w:tcPr>
          <w:p>
            <w:pPr>
              <w:pStyle w:val="TableParagraph"/>
              <w:spacing w:line="273" w:lineRule="auto" w:before="140"/>
              <w:ind w:left="62" w:right="273"/>
              <w:rPr>
                <w:sz w:val="21"/>
              </w:rPr>
            </w:pPr>
            <w:r>
              <w:rPr>
                <w:sz w:val="21"/>
              </w:rPr>
              <w:t>指以动力装置驱动或者牵引，上道路行驶的供人员乘用或者用于运送物品以及进行工程专项作业的轮式车辆。</w:t>
            </w:r>
          </w:p>
        </w:tc>
      </w:tr>
      <w:tr>
        <w:trPr>
          <w:trHeight w:val="2184" w:hRule="atLeast"/>
        </w:trPr>
        <w:tc>
          <w:tcPr>
            <w:tcW w:w="834" w:type="dxa"/>
          </w:tcPr>
          <w:p>
            <w:pPr>
              <w:pStyle w:val="TableParagraph"/>
              <w:spacing w:before="140"/>
              <w:ind w:left="180" w:right="189"/>
              <w:jc w:val="center"/>
              <w:rPr>
                <w:b/>
                <w:sz w:val="21"/>
              </w:rPr>
            </w:pPr>
            <w:r>
              <w:rPr>
                <w:b/>
                <w:sz w:val="21"/>
              </w:rPr>
              <w:t>8.20</w:t>
            </w:r>
          </w:p>
        </w:tc>
        <w:tc>
          <w:tcPr>
            <w:tcW w:w="1541" w:type="dxa"/>
          </w:tcPr>
          <w:p>
            <w:pPr>
              <w:pStyle w:val="TableParagraph"/>
              <w:spacing w:line="280" w:lineRule="auto" w:before="164"/>
              <w:ind w:left="211" w:right="271"/>
              <w:jc w:val="both"/>
              <w:rPr>
                <w:b/>
                <w:sz w:val="21"/>
              </w:rPr>
            </w:pPr>
            <w:r>
              <w:rPr>
                <w:b/>
                <w:sz w:val="21"/>
              </w:rPr>
              <w:t>感染艾滋病病毒或患艾滋病</w:t>
            </w:r>
          </w:p>
        </w:tc>
        <w:tc>
          <w:tcPr>
            <w:tcW w:w="7701" w:type="dxa"/>
          </w:tcPr>
          <w:p>
            <w:pPr>
              <w:pStyle w:val="TableParagraph"/>
              <w:spacing w:line="273" w:lineRule="auto" w:before="140"/>
              <w:ind w:left="62" w:right="332"/>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引起的获得性免疫缺陷综合症，英文缩写为 </w:t>
            </w:r>
            <w:r>
              <w:rPr>
                <w:sz w:val="21"/>
              </w:rPr>
              <w:t>AIDS。</w:t>
            </w:r>
          </w:p>
          <w:p>
            <w:pPr>
              <w:pStyle w:val="TableParagraph"/>
              <w:spacing w:before="5"/>
              <w:rPr>
                <w:sz w:val="24"/>
              </w:rPr>
            </w:pPr>
          </w:p>
          <w:p>
            <w:pPr>
              <w:pStyle w:val="TableParagraph"/>
              <w:spacing w:line="273" w:lineRule="auto"/>
              <w:ind w:left="62" w:right="303"/>
              <w:jc w:val="both"/>
              <w:rPr>
                <w:sz w:val="21"/>
              </w:rPr>
            </w:pPr>
            <w:r>
              <w:rPr>
                <w:spacing w:val="-4"/>
                <w:sz w:val="21"/>
              </w:rPr>
              <w:t>在人体血液或其它样本中检测到艾滋病病毒或其抗体呈阳性，没有出现临床症状</w:t>
            </w:r>
            <w:r>
              <w:rPr>
                <w:spacing w:val="-7"/>
                <w:sz w:val="21"/>
              </w:rPr>
              <w:t>或体征的，为感染艾滋病病毒；如果同时出现了明显临床症状或体征的，为患艾滋病。</w:t>
            </w:r>
          </w:p>
        </w:tc>
      </w:tr>
      <w:tr>
        <w:trPr>
          <w:trHeight w:val="935" w:hRule="atLeast"/>
        </w:trPr>
        <w:tc>
          <w:tcPr>
            <w:tcW w:w="834" w:type="dxa"/>
          </w:tcPr>
          <w:p>
            <w:pPr>
              <w:pStyle w:val="TableParagraph"/>
              <w:spacing w:before="140"/>
              <w:ind w:left="180" w:right="189"/>
              <w:jc w:val="center"/>
              <w:rPr>
                <w:b/>
                <w:sz w:val="21"/>
              </w:rPr>
            </w:pPr>
            <w:r>
              <w:rPr>
                <w:b/>
                <w:sz w:val="21"/>
              </w:rPr>
              <w:t>8.21</w:t>
            </w:r>
          </w:p>
        </w:tc>
        <w:tc>
          <w:tcPr>
            <w:tcW w:w="1541" w:type="dxa"/>
          </w:tcPr>
          <w:p>
            <w:pPr>
              <w:pStyle w:val="TableParagraph"/>
              <w:spacing w:before="140"/>
              <w:ind w:left="211"/>
              <w:rPr>
                <w:b/>
                <w:sz w:val="21"/>
              </w:rPr>
            </w:pPr>
            <w:r>
              <w:rPr>
                <w:b/>
                <w:sz w:val="21"/>
              </w:rPr>
              <w:t>遗传性疾病</w:t>
            </w:r>
          </w:p>
        </w:tc>
        <w:tc>
          <w:tcPr>
            <w:tcW w:w="7701" w:type="dxa"/>
          </w:tcPr>
          <w:p>
            <w:pPr>
              <w:pStyle w:val="TableParagraph"/>
              <w:spacing w:line="273" w:lineRule="auto" w:before="140"/>
              <w:ind w:left="62" w:right="255"/>
              <w:rPr>
                <w:sz w:val="21"/>
              </w:rPr>
            </w:pPr>
            <w:r>
              <w:rPr>
                <w:sz w:val="21"/>
              </w:rPr>
              <w:t>指生殖细胞或受精卵的遗传物质（染色体和基因）发生突变（或畸变）所引起的疾病，通常具有由亲代传至后代的垂直传递的特征。</w:t>
            </w:r>
          </w:p>
        </w:tc>
      </w:tr>
      <w:tr>
        <w:trPr>
          <w:trHeight w:val="729" w:hRule="atLeast"/>
        </w:trPr>
        <w:tc>
          <w:tcPr>
            <w:tcW w:w="834" w:type="dxa"/>
          </w:tcPr>
          <w:p>
            <w:pPr>
              <w:pStyle w:val="TableParagraph"/>
              <w:spacing w:before="140"/>
              <w:ind w:left="180" w:right="189"/>
              <w:jc w:val="center"/>
              <w:rPr>
                <w:b/>
                <w:sz w:val="21"/>
              </w:rPr>
            </w:pPr>
            <w:r>
              <w:rPr>
                <w:b/>
                <w:sz w:val="21"/>
              </w:rPr>
              <w:t>8.22</w:t>
            </w:r>
          </w:p>
        </w:tc>
        <w:tc>
          <w:tcPr>
            <w:tcW w:w="1541" w:type="dxa"/>
          </w:tcPr>
          <w:p>
            <w:pPr>
              <w:pStyle w:val="TableParagraph"/>
              <w:spacing w:line="310" w:lineRule="atLeast" w:before="105"/>
              <w:ind w:left="211" w:right="60"/>
              <w:rPr>
                <w:b/>
                <w:sz w:val="21"/>
              </w:rPr>
            </w:pPr>
            <w:r>
              <w:rPr>
                <w:b/>
                <w:sz w:val="21"/>
              </w:rPr>
              <w:t>先天性畸形、变形或染色</w:t>
            </w:r>
          </w:p>
        </w:tc>
        <w:tc>
          <w:tcPr>
            <w:tcW w:w="7701" w:type="dxa"/>
          </w:tcPr>
          <w:p>
            <w:pPr>
              <w:pStyle w:val="TableParagraph"/>
              <w:spacing w:line="310" w:lineRule="atLeast" w:before="105"/>
              <w:ind w:left="62" w:right="303"/>
              <w:rPr>
                <w:sz w:val="21"/>
              </w:rPr>
            </w:pPr>
            <w:r>
              <w:rPr>
                <w:spacing w:val="-6"/>
                <w:sz w:val="21"/>
              </w:rPr>
              <w:t>指被保险人出生时就具有的畸形、变形或染色体异常。先天性畸形、变形和染色</w:t>
            </w:r>
            <w:r>
              <w:rPr>
                <w:spacing w:val="-7"/>
                <w:sz w:val="21"/>
              </w:rPr>
              <w:t>体异常依照世界卫生组织《疾病和有关健康问题的国际统计分类》</w:t>
            </w:r>
            <w:r>
              <w:rPr>
                <w:sz w:val="21"/>
              </w:rPr>
              <w:t>（ICD-10）</w:t>
            </w:r>
            <w:r>
              <w:rPr>
                <w:spacing w:val="-3"/>
                <w:sz w:val="21"/>
              </w:rPr>
              <w:t>确</w:t>
            </w:r>
          </w:p>
        </w:tc>
      </w:tr>
    </w:tbl>
    <w:p>
      <w:pPr>
        <w:spacing w:after="0" w:line="310" w:lineRule="atLeast"/>
        <w:rPr>
          <w:sz w:val="21"/>
        </w:rPr>
        <w:sectPr>
          <w:pgSz w:w="11910" w:h="16840"/>
          <w:pgMar w:top="1480" w:bottom="280" w:left="72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29"/>
        <w:gridCol w:w="7807"/>
      </w:tblGrid>
      <w:tr>
        <w:trPr>
          <w:trHeight w:val="417" w:hRule="atLeast"/>
        </w:trPr>
        <w:tc>
          <w:tcPr>
            <w:tcW w:w="834" w:type="dxa"/>
          </w:tcPr>
          <w:p>
            <w:pPr>
              <w:pStyle w:val="TableParagraph"/>
              <w:rPr>
                <w:rFonts w:ascii="Times New Roman"/>
                <w:sz w:val="20"/>
              </w:rPr>
            </w:pPr>
          </w:p>
        </w:tc>
        <w:tc>
          <w:tcPr>
            <w:tcW w:w="1329" w:type="dxa"/>
          </w:tcPr>
          <w:p>
            <w:pPr>
              <w:pStyle w:val="TableParagraph"/>
              <w:spacing w:line="211" w:lineRule="exact"/>
              <w:ind w:left="211"/>
              <w:rPr>
                <w:b/>
                <w:sz w:val="21"/>
              </w:rPr>
            </w:pPr>
            <w:r>
              <w:rPr>
                <w:b/>
                <w:sz w:val="21"/>
              </w:rPr>
              <w:t>体异常</w:t>
            </w:r>
          </w:p>
        </w:tc>
        <w:tc>
          <w:tcPr>
            <w:tcW w:w="7807" w:type="dxa"/>
          </w:tcPr>
          <w:p>
            <w:pPr>
              <w:pStyle w:val="TableParagraph"/>
              <w:spacing w:line="211" w:lineRule="exact"/>
              <w:ind w:left="274"/>
              <w:rPr>
                <w:sz w:val="21"/>
              </w:rPr>
            </w:pPr>
            <w:r>
              <w:rPr>
                <w:sz w:val="21"/>
              </w:rPr>
              <w:t>定。</w:t>
            </w:r>
          </w:p>
        </w:tc>
      </w:tr>
      <w:tr>
        <w:trPr>
          <w:trHeight w:val="2289" w:hRule="atLeast"/>
        </w:trPr>
        <w:tc>
          <w:tcPr>
            <w:tcW w:w="834" w:type="dxa"/>
          </w:tcPr>
          <w:p>
            <w:pPr>
              <w:pStyle w:val="TableParagraph"/>
              <w:spacing w:before="143"/>
              <w:ind w:left="200"/>
              <w:rPr>
                <w:b/>
                <w:sz w:val="21"/>
              </w:rPr>
            </w:pPr>
            <w:r>
              <w:rPr>
                <w:b/>
                <w:sz w:val="21"/>
              </w:rPr>
              <w:t>8.23</w:t>
            </w:r>
          </w:p>
        </w:tc>
        <w:tc>
          <w:tcPr>
            <w:tcW w:w="1329" w:type="dxa"/>
          </w:tcPr>
          <w:p>
            <w:pPr>
              <w:pStyle w:val="TableParagraph"/>
              <w:spacing w:before="143"/>
              <w:ind w:left="211"/>
              <w:rPr>
                <w:b/>
                <w:sz w:val="21"/>
              </w:rPr>
            </w:pPr>
            <w:r>
              <w:rPr>
                <w:b/>
                <w:sz w:val="21"/>
              </w:rPr>
              <w:t>现金价值</w:t>
            </w:r>
          </w:p>
        </w:tc>
        <w:tc>
          <w:tcPr>
            <w:tcW w:w="7807" w:type="dxa"/>
          </w:tcPr>
          <w:p>
            <w:pPr>
              <w:pStyle w:val="TableParagraph"/>
              <w:spacing w:line="273" w:lineRule="auto" w:before="143"/>
              <w:ind w:left="274" w:right="196"/>
              <w:rPr>
                <w:sz w:val="21"/>
              </w:rPr>
            </w:pPr>
            <w:r>
              <w:rPr>
                <w:spacing w:val="-6"/>
                <w:sz w:val="21"/>
              </w:rPr>
              <w:t>指本附加合同所具有的价值，通常体现为解除合同时，根据精算原理计算的，由</w:t>
            </w:r>
            <w:r>
              <w:rPr>
                <w:spacing w:val="-4"/>
                <w:sz w:val="21"/>
              </w:rPr>
              <w:t>我们退还的那部分金额。</w:t>
            </w:r>
          </w:p>
          <w:p>
            <w:pPr>
              <w:pStyle w:val="TableParagraph"/>
              <w:spacing w:before="5"/>
              <w:rPr>
                <w:sz w:val="24"/>
              </w:rPr>
            </w:pPr>
          </w:p>
          <w:p>
            <w:pPr>
              <w:pStyle w:val="TableParagraph"/>
              <w:spacing w:line="273" w:lineRule="auto" w:before="1"/>
              <w:ind w:left="274" w:right="387"/>
              <w:rPr>
                <w:sz w:val="21"/>
              </w:rPr>
            </w:pPr>
            <w:r>
              <w:rPr>
                <w:sz w:val="21"/>
              </w:rPr>
              <w:t>现金价值＝保险费×（1-手续费比例）×（1－保险经过日数 / 保险期间的日数），经过日数不足1 日的按1 日计算。</w:t>
            </w:r>
          </w:p>
          <w:p>
            <w:pPr>
              <w:pStyle w:val="TableParagraph"/>
              <w:spacing w:before="5"/>
              <w:rPr>
                <w:sz w:val="24"/>
              </w:rPr>
            </w:pPr>
          </w:p>
          <w:p>
            <w:pPr>
              <w:pStyle w:val="TableParagraph"/>
              <w:spacing w:line="255" w:lineRule="exact" w:before="1"/>
              <w:ind w:left="274"/>
              <w:rPr>
                <w:sz w:val="21"/>
              </w:rPr>
            </w:pPr>
            <w:r>
              <w:rPr>
                <w:sz w:val="21"/>
              </w:rPr>
              <w:t>手续费比例占保险费的 35%。</w:t>
            </w:r>
          </w:p>
        </w:tc>
      </w:tr>
    </w:tbl>
    <w:sectPr>
      <w:pgSz w:w="11910" w:h="16840"/>
      <w:pgMar w:top="1160" w:bottom="280" w:left="7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8"/>
      <w:numFmt w:val="decimal"/>
      <w:lvlText w:val="%1"/>
      <w:lvlJc w:val="left"/>
      <w:pPr>
        <w:ind w:left="951" w:hanging="423"/>
        <w:jc w:val="left"/>
      </w:pPr>
      <w:rPr>
        <w:rFonts w:hint="default"/>
      </w:rPr>
    </w:lvl>
    <w:lvl w:ilvl="1">
      <w:start w:val="1"/>
      <w:numFmt w:val="decimal"/>
      <w:lvlText w:val="%1.%2"/>
      <w:lvlJc w:val="left"/>
      <w:pPr>
        <w:ind w:left="689" w:hanging="423"/>
        <w:jc w:val="right"/>
      </w:pPr>
      <w:rPr>
        <w:rFonts w:hint="default" w:ascii="宋体" w:hAnsi="宋体" w:eastAsia="宋体" w:cs="宋体"/>
        <w:w w:val="100"/>
        <w:sz w:val="21"/>
        <w:szCs w:val="21"/>
      </w:rPr>
    </w:lvl>
    <w:lvl w:ilvl="2">
      <w:start w:val="0"/>
      <w:numFmt w:val="bullet"/>
      <w:lvlText w:val="•"/>
      <w:lvlJc w:val="left"/>
      <w:pPr>
        <w:ind w:left="2100" w:hanging="423"/>
      </w:pPr>
      <w:rPr>
        <w:rFonts w:hint="default"/>
      </w:rPr>
    </w:lvl>
    <w:lvl w:ilvl="3">
      <w:start w:val="0"/>
      <w:numFmt w:val="bullet"/>
      <w:lvlText w:val="•"/>
      <w:lvlJc w:val="left"/>
      <w:pPr>
        <w:ind w:left="2245" w:hanging="423"/>
      </w:pPr>
      <w:rPr>
        <w:rFonts w:hint="default"/>
      </w:rPr>
    </w:lvl>
    <w:lvl w:ilvl="4">
      <w:start w:val="0"/>
      <w:numFmt w:val="bullet"/>
      <w:lvlText w:val="•"/>
      <w:lvlJc w:val="left"/>
      <w:pPr>
        <w:ind w:left="2390" w:hanging="423"/>
      </w:pPr>
      <w:rPr>
        <w:rFonts w:hint="default"/>
      </w:rPr>
    </w:lvl>
    <w:lvl w:ilvl="5">
      <w:start w:val="0"/>
      <w:numFmt w:val="bullet"/>
      <w:lvlText w:val="•"/>
      <w:lvlJc w:val="left"/>
      <w:pPr>
        <w:ind w:left="2536" w:hanging="423"/>
      </w:pPr>
      <w:rPr>
        <w:rFonts w:hint="default"/>
      </w:rPr>
    </w:lvl>
    <w:lvl w:ilvl="6">
      <w:start w:val="0"/>
      <w:numFmt w:val="bullet"/>
      <w:lvlText w:val="•"/>
      <w:lvlJc w:val="left"/>
      <w:pPr>
        <w:ind w:left="2681" w:hanging="423"/>
      </w:pPr>
      <w:rPr>
        <w:rFonts w:hint="default"/>
      </w:rPr>
    </w:lvl>
    <w:lvl w:ilvl="7">
      <w:start w:val="0"/>
      <w:numFmt w:val="bullet"/>
      <w:lvlText w:val="•"/>
      <w:lvlJc w:val="left"/>
      <w:pPr>
        <w:ind w:left="2827" w:hanging="423"/>
      </w:pPr>
      <w:rPr>
        <w:rFonts w:hint="default"/>
      </w:rPr>
    </w:lvl>
    <w:lvl w:ilvl="8">
      <w:start w:val="0"/>
      <w:numFmt w:val="bullet"/>
      <w:lvlText w:val="•"/>
      <w:lvlJc w:val="left"/>
      <w:pPr>
        <w:ind w:left="2972" w:hanging="423"/>
      </w:pPr>
      <w:rPr>
        <w:rFonts w:hint="default"/>
      </w:rPr>
    </w:lvl>
  </w:abstractNum>
  <w:abstractNum w:abstractNumId="6">
    <w:multiLevelType w:val="hybridMultilevel"/>
    <w:lvl w:ilvl="0">
      <w:start w:val="7"/>
      <w:numFmt w:val="decimal"/>
      <w:lvlText w:val="%1"/>
      <w:lvlJc w:val="left"/>
      <w:pPr>
        <w:ind w:left="951" w:hanging="423"/>
        <w:jc w:val="left"/>
      </w:pPr>
      <w:rPr>
        <w:rFonts w:hint="default"/>
      </w:rPr>
    </w:lvl>
    <w:lvl w:ilvl="1">
      <w:start w:val="1"/>
      <w:numFmt w:val="decimal"/>
      <w:lvlText w:val="%1.%2"/>
      <w:lvlJc w:val="left"/>
      <w:pPr>
        <w:ind w:left="951" w:hanging="423"/>
        <w:jc w:val="left"/>
      </w:pPr>
      <w:rPr>
        <w:rFonts w:hint="default" w:ascii="宋体" w:hAnsi="宋体" w:eastAsia="宋体" w:cs="宋体"/>
        <w:w w:val="100"/>
        <w:sz w:val="21"/>
        <w:szCs w:val="21"/>
      </w:rPr>
    </w:lvl>
    <w:lvl w:ilvl="2">
      <w:start w:val="0"/>
      <w:numFmt w:val="bullet"/>
      <w:lvlText w:val="•"/>
      <w:lvlJc w:val="left"/>
      <w:pPr>
        <w:ind w:left="1420" w:hanging="423"/>
      </w:pPr>
      <w:rPr>
        <w:rFonts w:hint="default"/>
      </w:rPr>
    </w:lvl>
    <w:lvl w:ilvl="3">
      <w:start w:val="0"/>
      <w:numFmt w:val="bullet"/>
      <w:lvlText w:val="•"/>
      <w:lvlJc w:val="left"/>
      <w:pPr>
        <w:ind w:left="1650" w:hanging="423"/>
      </w:pPr>
      <w:rPr>
        <w:rFonts w:hint="default"/>
      </w:rPr>
    </w:lvl>
    <w:lvl w:ilvl="4">
      <w:start w:val="0"/>
      <w:numFmt w:val="bullet"/>
      <w:lvlText w:val="•"/>
      <w:lvlJc w:val="left"/>
      <w:pPr>
        <w:ind w:left="1881" w:hanging="423"/>
      </w:pPr>
      <w:rPr>
        <w:rFonts w:hint="default"/>
      </w:rPr>
    </w:lvl>
    <w:lvl w:ilvl="5">
      <w:start w:val="0"/>
      <w:numFmt w:val="bullet"/>
      <w:lvlText w:val="•"/>
      <w:lvlJc w:val="left"/>
      <w:pPr>
        <w:ind w:left="2111" w:hanging="423"/>
      </w:pPr>
      <w:rPr>
        <w:rFonts w:hint="default"/>
      </w:rPr>
    </w:lvl>
    <w:lvl w:ilvl="6">
      <w:start w:val="0"/>
      <w:numFmt w:val="bullet"/>
      <w:lvlText w:val="•"/>
      <w:lvlJc w:val="left"/>
      <w:pPr>
        <w:ind w:left="2341"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2" w:hanging="423"/>
      </w:pPr>
      <w:rPr>
        <w:rFonts w:hint="default"/>
      </w:rPr>
    </w:lvl>
  </w:abstractNum>
  <w:abstractNum w:abstractNumId="5">
    <w:multiLevelType w:val="hybridMultilevel"/>
    <w:lvl w:ilvl="0">
      <w:start w:val="5"/>
      <w:numFmt w:val="decimal"/>
      <w:lvlText w:val="%1"/>
      <w:lvlJc w:val="left"/>
      <w:pPr>
        <w:ind w:left="951" w:hanging="423"/>
        <w:jc w:val="left"/>
      </w:pPr>
      <w:rPr>
        <w:rFonts w:hint="default"/>
      </w:rPr>
    </w:lvl>
    <w:lvl w:ilvl="1">
      <w:start w:val="1"/>
      <w:numFmt w:val="decimal"/>
      <w:lvlText w:val="%1.%2"/>
      <w:lvlJc w:val="left"/>
      <w:pPr>
        <w:ind w:left="951" w:hanging="423"/>
        <w:jc w:val="left"/>
      </w:pPr>
      <w:rPr>
        <w:rFonts w:hint="default" w:ascii="宋体" w:hAnsi="宋体" w:eastAsia="宋体" w:cs="宋体"/>
        <w:w w:val="100"/>
        <w:sz w:val="21"/>
        <w:szCs w:val="21"/>
      </w:rPr>
    </w:lvl>
    <w:lvl w:ilvl="2">
      <w:start w:val="0"/>
      <w:numFmt w:val="bullet"/>
      <w:lvlText w:val="•"/>
      <w:lvlJc w:val="left"/>
      <w:pPr>
        <w:ind w:left="1420" w:hanging="423"/>
      </w:pPr>
      <w:rPr>
        <w:rFonts w:hint="default"/>
      </w:rPr>
    </w:lvl>
    <w:lvl w:ilvl="3">
      <w:start w:val="0"/>
      <w:numFmt w:val="bullet"/>
      <w:lvlText w:val="•"/>
      <w:lvlJc w:val="left"/>
      <w:pPr>
        <w:ind w:left="1650" w:hanging="423"/>
      </w:pPr>
      <w:rPr>
        <w:rFonts w:hint="default"/>
      </w:rPr>
    </w:lvl>
    <w:lvl w:ilvl="4">
      <w:start w:val="0"/>
      <w:numFmt w:val="bullet"/>
      <w:lvlText w:val="•"/>
      <w:lvlJc w:val="left"/>
      <w:pPr>
        <w:ind w:left="1881" w:hanging="423"/>
      </w:pPr>
      <w:rPr>
        <w:rFonts w:hint="default"/>
      </w:rPr>
    </w:lvl>
    <w:lvl w:ilvl="5">
      <w:start w:val="0"/>
      <w:numFmt w:val="bullet"/>
      <w:lvlText w:val="•"/>
      <w:lvlJc w:val="left"/>
      <w:pPr>
        <w:ind w:left="2111" w:hanging="423"/>
      </w:pPr>
      <w:rPr>
        <w:rFonts w:hint="default"/>
      </w:rPr>
    </w:lvl>
    <w:lvl w:ilvl="6">
      <w:start w:val="0"/>
      <w:numFmt w:val="bullet"/>
      <w:lvlText w:val="•"/>
      <w:lvlJc w:val="left"/>
      <w:pPr>
        <w:ind w:left="2341"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2" w:hanging="423"/>
      </w:pPr>
      <w:rPr>
        <w:rFonts w:hint="default"/>
      </w:rPr>
    </w:lvl>
  </w:abstractNum>
  <w:abstractNum w:abstractNumId="4">
    <w:multiLevelType w:val="hybridMultilevel"/>
    <w:lvl w:ilvl="0">
      <w:start w:val="4"/>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3">
    <w:multiLevelType w:val="hybridMultilevel"/>
    <w:lvl w:ilvl="0">
      <w:start w:val="3"/>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2">
    <w:multiLevelType w:val="hybridMultilevel"/>
    <w:lvl w:ilvl="0">
      <w:start w:val="2"/>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1">
    <w:multiLevelType w:val="hybridMultilevel"/>
    <w:lvl w:ilvl="0">
      <w:start w:val="1"/>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97" w:hanging="423"/>
      </w:pPr>
      <w:rPr>
        <w:rFonts w:hint="default"/>
      </w:rPr>
    </w:lvl>
    <w:lvl w:ilvl="3">
      <w:start w:val="0"/>
      <w:numFmt w:val="bullet"/>
      <w:lvlText w:val="•"/>
      <w:lvlJc w:val="left"/>
      <w:pPr>
        <w:ind w:left="2186" w:hanging="423"/>
      </w:pPr>
      <w:rPr>
        <w:rFonts w:hint="default"/>
      </w:rPr>
    </w:lvl>
    <w:lvl w:ilvl="4">
      <w:start w:val="0"/>
      <w:numFmt w:val="bullet"/>
      <w:lvlText w:val="•"/>
      <w:lvlJc w:val="left"/>
      <w:pPr>
        <w:ind w:left="2374" w:hanging="423"/>
      </w:pPr>
      <w:rPr>
        <w:rFonts w:hint="default"/>
      </w:rPr>
    </w:lvl>
    <w:lvl w:ilvl="5">
      <w:start w:val="0"/>
      <w:numFmt w:val="bullet"/>
      <w:lvlText w:val="•"/>
      <w:lvlJc w:val="left"/>
      <w:pPr>
        <w:ind w:left="2563" w:hanging="423"/>
      </w:pPr>
      <w:rPr>
        <w:rFonts w:hint="default"/>
      </w:rPr>
    </w:lvl>
    <w:lvl w:ilvl="6">
      <w:start w:val="0"/>
      <w:numFmt w:val="bullet"/>
      <w:lvlText w:val="•"/>
      <w:lvlJc w:val="left"/>
      <w:pPr>
        <w:ind w:left="2752" w:hanging="423"/>
      </w:pPr>
      <w:rPr>
        <w:rFonts w:hint="default"/>
      </w:rPr>
    </w:lvl>
    <w:lvl w:ilvl="7">
      <w:start w:val="0"/>
      <w:numFmt w:val="bullet"/>
      <w:lvlText w:val="•"/>
      <w:lvlJc w:val="left"/>
      <w:pPr>
        <w:ind w:left="2940" w:hanging="423"/>
      </w:pPr>
      <w:rPr>
        <w:rFonts w:hint="default"/>
      </w:rPr>
    </w:lvl>
    <w:lvl w:ilvl="8">
      <w:start w:val="0"/>
      <w:numFmt w:val="bullet"/>
      <w:lvlText w:val="•"/>
      <w:lvlJc w:val="left"/>
      <w:pPr>
        <w:ind w:left="3129" w:hanging="423"/>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0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8"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55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7"/>
    </w:pPr>
    <w:rPr>
      <w:rFonts w:ascii="宋体" w:hAnsi="宋体" w:eastAsia="宋体" w:cs="宋体"/>
      <w:sz w:val="21"/>
      <w:szCs w:val="21"/>
    </w:rPr>
  </w:style>
  <w:style w:styleId="Heading1" w:type="paragraph">
    <w:name w:val="Heading 1"/>
    <w:basedOn w:val="Normal"/>
    <w:uiPriority w:val="1"/>
    <w:qFormat/>
    <w:pPr>
      <w:ind w:left="1577"/>
      <w:outlineLvl w:val="1"/>
    </w:pPr>
    <w:rPr>
      <w:rFonts w:ascii="宋体" w:hAnsi="宋体" w:eastAsia="宋体" w:cs="宋体"/>
      <w:b/>
      <w:bCs/>
      <w:sz w:val="21"/>
      <w:szCs w:val="21"/>
    </w:rPr>
  </w:style>
  <w:style w:styleId="ListParagraph" w:type="paragraph">
    <w:name w:val="List Paragraph"/>
    <w:basedOn w:val="Normal"/>
    <w:uiPriority w:val="1"/>
    <w:qFormat/>
    <w:pPr>
      <w:spacing w:before="44"/>
      <w:ind w:left="692" w:hanging="422"/>
    </w:pPr>
    <w:rPr>
      <w:rFonts w:ascii="仿宋" w:hAnsi="仿宋" w:eastAsia="仿宋" w:cs="仿宋"/>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liurx</dc:creator>
  <dc:title>条款</dc:title>
  <dcterms:created xsi:type="dcterms:W3CDTF">2018-10-19T21:56:05Z</dcterms:created>
  <dcterms:modified xsi:type="dcterms:W3CDTF">2018-10-19T21:56:05Z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2017-07-03T00:00:00Z</vt:filetime>
  </property>
  <property fmtid="{D5CDD505-2E9C-101B-9397-08002B2CF9AE}" pid="3" name="Creator">
    <vt:lpwstr>Microsoft® Word 2010</vt:lpwstr>
  </property>
  <property fmtid="{D5CDD505-2E9C-101B-9397-08002B2CF9AE}" pid="4" name="LastSaved">
    <vt:filetime>2018-10-19T00:00:00Z</vt:filetime>
  </property>
</Properties>
</file>