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17"/>
        </w:rPr>
      </w:pPr>
    </w:p>
    <w:p>
      <w:pPr>
        <w:pStyle w:val="BodyText"/>
        <w:ind w:left="8568"/>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35" w:lineRule="auto" w:before="37"/>
        <w:ind w:left="8238" w:right="135" w:hanging="562"/>
        <w:jc w:val="right"/>
        <w:rPr>
          <w:sz w:val="14"/>
        </w:rPr>
      </w:pPr>
      <w:r>
        <w:rPr>
          <w:sz w:val="14"/>
        </w:rPr>
        <w:t>和谐健康[2010]疾病保险 001 号</w:t>
      </w:r>
      <w:r>
        <w:rPr>
          <w:w w:val="95"/>
          <w:sz w:val="14"/>
        </w:rPr>
        <w:t>请扫描以查询验证条款</w:t>
      </w:r>
    </w:p>
    <w:p>
      <w:pPr>
        <w:pStyle w:val="BodyText"/>
        <w:rPr>
          <w:sz w:val="13"/>
        </w:rPr>
      </w:pPr>
    </w:p>
    <w:p>
      <w:pPr>
        <w:spacing w:line="593" w:lineRule="exact" w:before="0"/>
        <w:ind w:left="1389" w:right="1395" w:firstLine="0"/>
        <w:jc w:val="center"/>
        <w:rPr>
          <w:rFonts w:ascii="微软雅黑" w:eastAsia="微软雅黑" w:hint="eastAsia"/>
          <w:b/>
          <w:sz w:val="44"/>
        </w:rPr>
      </w:pPr>
      <w:r>
        <w:rPr>
          <w:rFonts w:ascii="微软雅黑" w:eastAsia="微软雅黑" w:hint="eastAsia"/>
          <w:b/>
          <w:sz w:val="44"/>
        </w:rPr>
        <w:t>和谐一年期重疾团体疾病保险条款</w:t>
      </w:r>
    </w:p>
    <w:p>
      <w:pPr>
        <w:pStyle w:val="BodyText"/>
        <w:spacing w:before="17"/>
        <w:rPr>
          <w:rFonts w:ascii="微软雅黑"/>
          <w:b/>
          <w:sz w:val="38"/>
        </w:rPr>
      </w:pPr>
    </w:p>
    <w:p>
      <w:pPr>
        <w:pStyle w:val="Heading1"/>
      </w:pPr>
      <w:r>
        <w:rPr/>
        <w:t>阅 读 指 引</w:t>
      </w:r>
    </w:p>
    <w:p>
      <w:pPr>
        <w:pStyle w:val="BodyText"/>
        <w:spacing w:before="208"/>
        <w:ind w:left="1451" w:right="1394"/>
        <w:jc w:val="center"/>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52"/>
        </w:rPr>
        <w:t>款</w:t>
      </w:r>
      <w:r>
        <w:rPr>
          <w:position w:val="-7"/>
        </w:rPr>
        <w:t>．</w:t>
      </w:r>
    </w:p>
    <w:p>
      <w:pPr>
        <w:pStyle w:val="BodyText"/>
        <w:spacing w:before="9"/>
        <w:rPr>
          <w:sz w:val="20"/>
        </w:rPr>
      </w:pPr>
    </w:p>
    <w:p>
      <w:pPr>
        <w:pStyle w:val="Heading2"/>
        <w:ind w:right="1395"/>
        <w:jc w:val="center"/>
      </w:pPr>
      <w:r>
        <w:rPr/>
        <w:t>投保人拥有的重要权益</w:t>
      </w:r>
    </w:p>
    <w:p>
      <w:pPr>
        <w:pStyle w:val="BodyText"/>
        <w:tabs>
          <w:tab w:pos="9313" w:val="right" w:leader="dot"/>
        </w:tabs>
        <w:spacing w:before="11"/>
        <w:ind w:left="1030"/>
        <w:rPr>
          <w:rFonts w:ascii="Times New Roman" w:eastAsia="Times New Roman"/>
        </w:rPr>
      </w:pPr>
      <w:r>
        <w:rPr>
          <w:spacing w:val="5"/>
        </w:rPr>
        <w:t>受益人</w:t>
      </w:r>
      <w:r>
        <w:rPr>
          <w:spacing w:val="2"/>
        </w:rPr>
        <w:t>可</w:t>
      </w:r>
      <w:r>
        <w:rPr>
          <w:spacing w:val="5"/>
        </w:rPr>
        <w:t>以享有</w:t>
      </w:r>
      <w:r>
        <w:rPr>
          <w:spacing w:val="2"/>
        </w:rPr>
        <w:t>保</w:t>
      </w:r>
      <w:r>
        <w:rPr>
          <w:spacing w:val="5"/>
        </w:rPr>
        <w:t>险金</w:t>
      </w:r>
      <w:r>
        <w:rPr>
          <w:spacing w:val="2"/>
        </w:rPr>
        <w:t>请</w:t>
      </w:r>
      <w:r>
        <w:rPr>
          <w:spacing w:val="5"/>
        </w:rPr>
        <w:t>求权</w:t>
        <w:tab/>
      </w:r>
      <w:r>
        <w:rPr>
          <w:rFonts w:ascii="Times New Roman" w:eastAsia="Times New Roman"/>
          <w:spacing w:val="5"/>
        </w:rPr>
        <w:t>3.3</w:t>
      </w:r>
    </w:p>
    <w:p>
      <w:pPr>
        <w:pStyle w:val="BodyText"/>
        <w:tabs>
          <w:tab w:pos="9317" w:val="right" w:leader="dot"/>
        </w:tabs>
        <w:spacing w:before="21"/>
        <w:ind w:left="1030"/>
        <w:rPr>
          <w:rFonts w:ascii="Times New Roman" w:eastAsia="Times New Roman"/>
        </w:rPr>
      </w:pPr>
      <w:r>
        <w:rPr>
          <w:spacing w:val="2"/>
        </w:rPr>
        <w:t>您</w:t>
      </w:r>
      <w:r>
        <w:rPr>
          <w:spacing w:val="5"/>
        </w:rPr>
        <w:t>有</w:t>
      </w:r>
      <w:r>
        <w:rPr>
          <w:spacing w:val="2"/>
        </w:rPr>
        <w:t>退保的权利</w:t>
        <w:tab/>
      </w:r>
      <w:r>
        <w:rPr>
          <w:rFonts w:ascii="Times New Roman" w:eastAsia="Times New Roman"/>
          <w:spacing w:val="2"/>
        </w:rPr>
        <w:t>5.1</w:t>
      </w:r>
    </w:p>
    <w:p>
      <w:pPr>
        <w:pStyle w:val="Heading2"/>
        <w:spacing w:line="337" w:lineRule="exact" w:before="271"/>
        <w:ind w:left="1393" w:right="1395"/>
        <w:jc w:val="center"/>
      </w:pPr>
      <w:r>
        <w:rPr/>
        <w:t>投保人应当特别注意的事项</w:t>
      </w:r>
    </w:p>
    <w:p>
      <w:pPr>
        <w:tabs>
          <w:tab w:pos="9324" w:val="right" w:leader="dot"/>
        </w:tabs>
        <w:spacing w:line="337" w:lineRule="exact" w:before="0"/>
        <w:ind w:left="1030" w:right="0" w:firstLine="0"/>
        <w:jc w:val="left"/>
        <w:rPr>
          <w:rFonts w:ascii="Times New Roman" w:eastAsia="Times New Roman"/>
          <w:sz w:val="21"/>
        </w:rPr>
      </w:pPr>
      <w:r>
        <w:rPr>
          <w:spacing w:val="12"/>
          <w:sz w:val="21"/>
        </w:rPr>
        <w:t>请注</w:t>
      </w:r>
      <w:r>
        <w:rPr>
          <w:spacing w:val="10"/>
          <w:sz w:val="21"/>
        </w:rPr>
        <w:t>意</w:t>
      </w:r>
      <w:r>
        <w:rPr>
          <w:rFonts w:ascii="微软雅黑" w:eastAsia="微软雅黑" w:hint="eastAsia"/>
          <w:b/>
          <w:spacing w:val="12"/>
          <w:sz w:val="21"/>
        </w:rPr>
        <w:t>责任免除条款</w:t>
        <w:tab/>
      </w:r>
      <w:r>
        <w:rPr>
          <w:rFonts w:ascii="Times New Roman" w:eastAsia="Times New Roman"/>
          <w:spacing w:val="12"/>
          <w:sz w:val="21"/>
        </w:rPr>
        <w:t>2.4</w:t>
      </w:r>
    </w:p>
    <w:p>
      <w:pPr>
        <w:pStyle w:val="BodyText"/>
        <w:tabs>
          <w:tab w:pos="9317" w:val="right" w:leader="dot"/>
        </w:tabs>
        <w:spacing w:before="11"/>
        <w:ind w:left="1030"/>
        <w:rPr>
          <w:rFonts w:ascii="Times New Roman" w:eastAsia="Times New Roman"/>
        </w:rPr>
      </w:pPr>
      <w:r>
        <w:rPr>
          <w:spacing w:val="2"/>
        </w:rPr>
        <w:t>退</w:t>
      </w:r>
      <w:r>
        <w:rPr>
          <w:spacing w:val="5"/>
        </w:rPr>
        <w:t>保</w:t>
      </w:r>
      <w:r>
        <w:rPr>
          <w:spacing w:val="2"/>
        </w:rPr>
        <w:t>会给您造</w:t>
      </w:r>
      <w:r>
        <w:rPr>
          <w:spacing w:val="5"/>
        </w:rPr>
        <w:t>成</w:t>
      </w:r>
      <w:r>
        <w:rPr>
          <w:spacing w:val="2"/>
        </w:rPr>
        <w:t>一定的损失</w:t>
      </w:r>
      <w:r>
        <w:rPr>
          <w:spacing w:val="5"/>
        </w:rPr>
        <w:t>，</w:t>
      </w:r>
      <w:r>
        <w:rPr>
          <w:spacing w:val="2"/>
        </w:rPr>
        <w:t>请您慎重</w:t>
      </w:r>
      <w:r>
        <w:rPr>
          <w:spacing w:val="5"/>
        </w:rPr>
        <w:t>决</w:t>
      </w:r>
      <w:r>
        <w:rPr/>
        <w:t>策</w:t>
        <w:tab/>
      </w:r>
      <w:r>
        <w:rPr>
          <w:rFonts w:ascii="Times New Roman" w:eastAsia="Times New Roman"/>
          <w:spacing w:val="3"/>
        </w:rPr>
        <w:t>5.1</w:t>
      </w:r>
    </w:p>
    <w:p>
      <w:pPr>
        <w:pStyle w:val="BodyText"/>
        <w:tabs>
          <w:tab w:pos="9303" w:val="right" w:leader="dot"/>
        </w:tabs>
        <w:spacing w:before="20"/>
        <w:ind w:left="1030"/>
        <w:rPr>
          <w:rFonts w:ascii="Times New Roman" w:eastAsia="Times New Roman"/>
        </w:rPr>
      </w:pPr>
      <w:r>
        <w:rPr>
          <w:spacing w:val="7"/>
        </w:rPr>
        <w:t>请如实</w:t>
      </w:r>
      <w:r>
        <w:rPr>
          <w:spacing w:val="5"/>
        </w:rPr>
        <w:t>告</w:t>
      </w:r>
      <w:r>
        <w:rPr>
          <w:spacing w:val="7"/>
        </w:rPr>
        <w:t>知有</w:t>
      </w:r>
      <w:r>
        <w:rPr>
          <w:spacing w:val="5"/>
        </w:rPr>
        <w:t>关</w:t>
      </w:r>
      <w:r>
        <w:rPr>
          <w:spacing w:val="7"/>
        </w:rPr>
        <w:t>信息，</w:t>
      </w:r>
      <w:r>
        <w:rPr>
          <w:spacing w:val="5"/>
        </w:rPr>
        <w:t>否</w:t>
      </w:r>
      <w:r>
        <w:rPr>
          <w:spacing w:val="7"/>
        </w:rPr>
        <w:t>则将导</w:t>
      </w:r>
      <w:r>
        <w:rPr>
          <w:spacing w:val="5"/>
        </w:rPr>
        <w:t>致</w:t>
      </w:r>
      <w:r>
        <w:rPr>
          <w:spacing w:val="7"/>
        </w:rPr>
        <w:t>您权</w:t>
      </w:r>
      <w:r>
        <w:rPr>
          <w:spacing w:val="5"/>
        </w:rPr>
        <w:t>益</w:t>
      </w:r>
      <w:r>
        <w:rPr>
          <w:spacing w:val="7"/>
        </w:rPr>
        <w:t>的损害</w:t>
        <w:tab/>
      </w:r>
      <w:r>
        <w:rPr>
          <w:rFonts w:ascii="Times New Roman" w:eastAsia="Times New Roman"/>
          <w:spacing w:val="5"/>
        </w:rPr>
        <w:t>6.1</w:t>
      </w:r>
    </w:p>
    <w:p>
      <w:pPr>
        <w:pStyle w:val="BodyText"/>
        <w:tabs>
          <w:tab w:pos="9311" w:val="right" w:leader="dot"/>
        </w:tabs>
        <w:spacing w:line="270" w:lineRule="exact" w:before="20"/>
        <w:ind w:left="1029"/>
        <w:rPr>
          <w:rFonts w:ascii="Times New Roman" w:eastAsia="Times New Roman"/>
        </w:rPr>
      </w:pPr>
      <w:r>
        <w:rPr>
          <w:spacing w:val="15"/>
        </w:rPr>
        <w:t>我</w:t>
      </w:r>
      <w:r>
        <w:rPr>
          <w:spacing w:val="12"/>
        </w:rPr>
        <w:t>们对一</w:t>
      </w:r>
      <w:r>
        <w:rPr>
          <w:spacing w:val="15"/>
        </w:rPr>
        <w:t>些</w:t>
      </w:r>
      <w:r>
        <w:rPr>
          <w:spacing w:val="12"/>
        </w:rPr>
        <w:t>重要</w:t>
      </w:r>
      <w:r>
        <w:rPr>
          <w:spacing w:val="15"/>
        </w:rPr>
        <w:t>术</w:t>
      </w:r>
      <w:r>
        <w:rPr>
          <w:spacing w:val="12"/>
        </w:rPr>
        <w:t>语进</w:t>
      </w:r>
      <w:r>
        <w:rPr>
          <w:spacing w:val="15"/>
        </w:rPr>
        <w:t>行</w:t>
      </w:r>
      <w:r>
        <w:rPr>
          <w:spacing w:val="12"/>
        </w:rPr>
        <w:t>了解释</w:t>
      </w:r>
      <w:r>
        <w:rPr>
          <w:spacing w:val="15"/>
        </w:rPr>
        <w:t>，</w:t>
      </w:r>
      <w:r>
        <w:rPr>
          <w:spacing w:val="12"/>
        </w:rPr>
        <w:t>并作</w:t>
      </w:r>
      <w:r>
        <w:rPr>
          <w:spacing w:val="15"/>
        </w:rPr>
        <w:t>了</w:t>
      </w:r>
      <w:r>
        <w:rPr>
          <w:spacing w:val="12"/>
        </w:rPr>
        <w:t>显著</w:t>
      </w:r>
      <w:r>
        <w:rPr>
          <w:spacing w:val="15"/>
        </w:rPr>
        <w:t>标</w:t>
      </w:r>
      <w:r>
        <w:rPr>
          <w:spacing w:val="12"/>
        </w:rPr>
        <w:t>识，请</w:t>
      </w:r>
      <w:r>
        <w:rPr>
          <w:spacing w:val="15"/>
        </w:rPr>
        <w:t>您</w:t>
      </w:r>
      <w:r>
        <w:rPr>
          <w:spacing w:val="12"/>
        </w:rPr>
        <w:t>注意</w:t>
        <w:tab/>
      </w:r>
      <w:r>
        <w:rPr>
          <w:rFonts w:ascii="Times New Roman" w:eastAsia="Times New Roman"/>
        </w:rPr>
        <w:t>7</w:t>
      </w:r>
    </w:p>
    <w:p>
      <w:pPr>
        <w:pStyle w:val="BodyText"/>
        <w:tabs>
          <w:tab w:pos="9312" w:val="right" w:leader="dot"/>
        </w:tabs>
        <w:spacing w:line="342" w:lineRule="exact"/>
        <w:ind w:left="1030"/>
        <w:rPr>
          <w:rFonts w:ascii="Times New Roman" w:eastAsia="Times New Roman"/>
        </w:rPr>
      </w:pPr>
      <w:r>
        <w:rPr>
          <w:spacing w:val="7"/>
        </w:rPr>
        <w:t>请</w:t>
      </w:r>
      <w:r>
        <w:rPr>
          <w:spacing w:val="5"/>
        </w:rPr>
        <w:t>您</w:t>
      </w:r>
      <w:r>
        <w:rPr>
          <w:spacing w:val="7"/>
        </w:rPr>
        <w:t>注</w:t>
      </w:r>
      <w:r>
        <w:rPr/>
        <w:t>意</w:t>
      </w:r>
      <w:r>
        <w:rPr>
          <w:spacing w:val="6"/>
        </w:rPr>
        <w:t> </w:t>
      </w:r>
      <w:r>
        <w:rPr>
          <w:rFonts w:ascii="Times New Roman" w:eastAsia="Times New Roman"/>
          <w:spacing w:val="3"/>
        </w:rPr>
        <w:t>42</w:t>
      </w:r>
      <w:r>
        <w:rPr>
          <w:rFonts w:ascii="Times New Roman" w:eastAsia="Times New Roman"/>
          <w:spacing w:val="40"/>
        </w:rPr>
        <w:t> </w:t>
      </w:r>
      <w:r>
        <w:rPr>
          <w:spacing w:val="5"/>
        </w:rPr>
        <w:t>种</w:t>
      </w:r>
      <w:r>
        <w:rPr>
          <w:rFonts w:ascii="微软雅黑" w:eastAsia="微软雅黑" w:hint="eastAsia"/>
          <w:b/>
          <w:spacing w:val="7"/>
        </w:rPr>
        <w:t>重大疾</w:t>
      </w:r>
      <w:r>
        <w:rPr>
          <w:rFonts w:ascii="微软雅黑" w:eastAsia="微软雅黑" w:hint="eastAsia"/>
          <w:b/>
          <w:spacing w:val="5"/>
        </w:rPr>
        <w:t>病</w:t>
      </w:r>
      <w:r>
        <w:rPr>
          <w:spacing w:val="7"/>
        </w:rPr>
        <w:t>的</w:t>
      </w:r>
      <w:r>
        <w:rPr>
          <w:spacing w:val="5"/>
        </w:rPr>
        <w:t>症</w:t>
      </w:r>
      <w:r>
        <w:rPr>
          <w:spacing w:val="7"/>
        </w:rPr>
        <w:t>状</w:t>
      </w:r>
      <w:r>
        <w:rPr>
          <w:spacing w:val="5"/>
        </w:rPr>
        <w:t>和</w:t>
      </w:r>
      <w:r>
        <w:rPr>
          <w:spacing w:val="7"/>
        </w:rPr>
        <w:t>条</w:t>
      </w:r>
      <w:r>
        <w:rPr/>
        <w:t>件</w:t>
        <w:tab/>
      </w:r>
      <w:r>
        <w:rPr>
          <w:rFonts w:ascii="Times New Roman" w:eastAsia="Times New Roman"/>
          <w:spacing w:val="5"/>
        </w:rPr>
        <w:t>7.3</w:t>
      </w:r>
    </w:p>
    <w:p>
      <w:pPr>
        <w:spacing w:after="0" w:line="342" w:lineRule="exact"/>
        <w:rPr>
          <w:rFonts w:ascii="Times New Roman" w:eastAsia="Times New Roman"/>
        </w:rPr>
        <w:sectPr>
          <w:headerReference w:type="default" r:id="rId5"/>
          <w:footerReference w:type="default" r:id="rId6"/>
          <w:type w:val="continuous"/>
          <w:pgSz w:w="11910" w:h="16840"/>
          <w:pgMar w:header="877" w:footer="995" w:top="1100" w:bottom="1180" w:left="1060" w:right="1000"/>
          <w:pgNumType w:start="1"/>
        </w:sectPr>
      </w:pPr>
    </w:p>
    <w:p>
      <w:pPr>
        <w:spacing w:before="335"/>
        <w:ind w:left="1388" w:right="1395" w:firstLine="0"/>
        <w:jc w:val="center"/>
        <w:rPr>
          <w:rFonts w:ascii="微软雅黑" w:eastAsia="微软雅黑" w:hint="eastAsia"/>
          <w:b/>
          <w:sz w:val="32"/>
        </w:rPr>
      </w:pPr>
      <w:r>
        <w:rPr>
          <w:rFonts w:ascii="微软雅黑" w:eastAsia="微软雅黑" w:hint="eastAsia"/>
          <w:b/>
          <w:sz w:val="32"/>
        </w:rPr>
        <w:t>条 款 目 录</w:t>
      </w:r>
    </w:p>
    <w:p>
      <w:pPr>
        <w:pStyle w:val="BodyText"/>
        <w:spacing w:before="105"/>
        <w:ind w:left="1451" w:right="1395"/>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的</w:t>
      </w:r>
      <w:r>
        <w:rPr>
          <w:spacing w:val="-63"/>
          <w:w w:val="100"/>
          <w:position w:val="-7"/>
        </w:rPr>
        <w:t>．</w:t>
      </w:r>
      <w:r>
        <w:rPr>
          <w:spacing w:val="-152"/>
          <w:w w:val="100"/>
        </w:rPr>
        <w:t>重</w:t>
      </w:r>
      <w:r>
        <w:rPr>
          <w:spacing w:val="-63"/>
          <w:w w:val="100"/>
          <w:position w:val="-7"/>
        </w:rPr>
        <w:t>．</w:t>
      </w:r>
      <w:r>
        <w:rPr>
          <w:spacing w:val="-149"/>
          <w:w w:val="100"/>
        </w:rPr>
        <w:t>要</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2"/>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2"/>
          <w:w w:val="100"/>
        </w:rPr>
        <w:t>的</w:t>
      </w:r>
      <w:r>
        <w:rPr>
          <w:spacing w:val="-63"/>
          <w:w w:val="100"/>
          <w:position w:val="-7"/>
        </w:rPr>
        <w:t>．</w:t>
      </w:r>
      <w:r>
        <w:rPr>
          <w:spacing w:val="-149"/>
          <w:w w:val="100"/>
        </w:rPr>
        <w:t>权</w:t>
      </w:r>
      <w:r>
        <w:rPr>
          <w:spacing w:val="-65"/>
          <w:w w:val="100"/>
          <w:position w:val="-7"/>
        </w:rPr>
        <w:t>．</w:t>
      </w:r>
      <w:r>
        <w:rPr>
          <w:spacing w:val="-149"/>
          <w:w w:val="100"/>
        </w:rPr>
        <w:t>益</w:t>
      </w:r>
      <w:r>
        <w:rPr>
          <w:spacing w:val="-63"/>
          <w:w w:val="100"/>
          <w:position w:val="-7"/>
        </w:rPr>
        <w:t>．</w:t>
      </w:r>
      <w:r>
        <w:rPr>
          <w:spacing w:val="-149"/>
          <w:w w:val="100"/>
        </w:rPr>
        <w:t>，</w:t>
      </w:r>
      <w:r>
        <w:rPr>
          <w:spacing w:val="-65"/>
          <w:w w:val="100"/>
          <w:position w:val="-7"/>
        </w:rPr>
        <w:t>．</w:t>
      </w:r>
      <w:r>
        <w:rPr>
          <w:spacing w:val="-147"/>
          <w:w w:val="100"/>
        </w:rPr>
        <w:t>请</w:t>
      </w:r>
      <w:r>
        <w:rPr>
          <w:spacing w:val="-63"/>
          <w:w w:val="100"/>
          <w:position w:val="-7"/>
        </w:rPr>
        <w:t>．</w:t>
      </w:r>
      <w:r>
        <w:rPr>
          <w:spacing w:val="-152"/>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w w:val="100"/>
          <w:position w:val="-7"/>
        </w:rPr>
        <w:t>．</w:t>
      </w:r>
    </w:p>
    <w:p>
      <w:pPr>
        <w:pStyle w:val="BodyText"/>
        <w:spacing w:before="5" w:after="1"/>
        <w:rPr>
          <w:sz w:val="26"/>
        </w:rPr>
      </w:pPr>
    </w:p>
    <w:tbl>
      <w:tblPr>
        <w:tblW w:w="0" w:type="auto"/>
        <w:jc w:val="left"/>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4"/>
        <w:gridCol w:w="2860"/>
        <w:gridCol w:w="3959"/>
      </w:tblGrid>
      <w:tr>
        <w:trPr>
          <w:trHeight w:val="4840" w:hRule="atLeast"/>
        </w:trPr>
        <w:tc>
          <w:tcPr>
            <w:tcW w:w="2354" w:type="dxa"/>
            <w:tcBorders>
              <w:left w:val="nil"/>
            </w:tcBorders>
          </w:tcPr>
          <w:p>
            <w:pPr>
              <w:pStyle w:val="TableParagraph"/>
              <w:numPr>
                <w:ilvl w:val="0"/>
                <w:numId w:val="1"/>
              </w:numPr>
              <w:tabs>
                <w:tab w:pos="284" w:val="left" w:leader="none"/>
              </w:tabs>
              <w:spacing w:line="253" w:lineRule="exact" w:before="0" w:after="0"/>
              <w:ind w:left="283" w:right="0" w:hanging="156"/>
              <w:jc w:val="left"/>
              <w:rPr>
                <w:rFonts w:ascii="微软雅黑" w:eastAsia="微软雅黑" w:hint="eastAsia"/>
                <w:b/>
                <w:sz w:val="21"/>
              </w:rPr>
            </w:pPr>
            <w:r>
              <w:rPr>
                <w:rFonts w:ascii="微软雅黑" w:eastAsia="微软雅黑" w:hint="eastAsia"/>
                <w:b/>
                <w:sz w:val="21"/>
                <w:u w:val="single"/>
              </w:rPr>
              <w:t>您与我们的合同</w:t>
            </w:r>
          </w:p>
          <w:p>
            <w:pPr>
              <w:pStyle w:val="TableParagraph"/>
              <w:numPr>
                <w:ilvl w:val="1"/>
                <w:numId w:val="1"/>
              </w:numPr>
              <w:tabs>
                <w:tab w:pos="595" w:val="left" w:leader="none"/>
              </w:tabs>
              <w:spacing w:line="268" w:lineRule="exact" w:before="0" w:after="0"/>
              <w:ind w:left="594" w:right="0" w:hanging="413"/>
              <w:jc w:val="left"/>
              <w:rPr>
                <w:sz w:val="21"/>
              </w:rPr>
            </w:pPr>
            <w:r>
              <w:rPr>
                <w:spacing w:val="-2"/>
                <w:sz w:val="21"/>
              </w:rPr>
              <w:t>合同构成</w:t>
            </w:r>
          </w:p>
          <w:p>
            <w:pPr>
              <w:pStyle w:val="TableParagraph"/>
              <w:numPr>
                <w:ilvl w:val="1"/>
                <w:numId w:val="1"/>
              </w:numPr>
              <w:tabs>
                <w:tab w:pos="593" w:val="left" w:leader="none"/>
              </w:tabs>
              <w:spacing w:line="272" w:lineRule="exact" w:before="0" w:after="0"/>
              <w:ind w:left="592" w:right="0" w:hanging="412"/>
              <w:jc w:val="left"/>
              <w:rPr>
                <w:sz w:val="21"/>
              </w:rPr>
            </w:pPr>
            <w:r>
              <w:rPr>
                <w:spacing w:val="-2"/>
                <w:sz w:val="21"/>
              </w:rPr>
              <w:t>保险对象</w:t>
            </w:r>
          </w:p>
          <w:p>
            <w:pPr>
              <w:pStyle w:val="TableParagraph"/>
              <w:numPr>
                <w:ilvl w:val="1"/>
                <w:numId w:val="1"/>
              </w:numPr>
              <w:tabs>
                <w:tab w:pos="593" w:val="left" w:leader="none"/>
              </w:tabs>
              <w:spacing w:line="272" w:lineRule="exact" w:before="0" w:after="0"/>
              <w:ind w:left="592" w:right="0" w:hanging="412"/>
              <w:jc w:val="left"/>
              <w:rPr>
                <w:sz w:val="21"/>
              </w:rPr>
            </w:pPr>
            <w:r>
              <w:rPr>
                <w:spacing w:val="-3"/>
                <w:sz w:val="21"/>
              </w:rPr>
              <w:t>合同成立与生效</w:t>
            </w:r>
          </w:p>
          <w:p>
            <w:pPr>
              <w:pStyle w:val="TableParagraph"/>
              <w:numPr>
                <w:ilvl w:val="1"/>
                <w:numId w:val="1"/>
              </w:numPr>
              <w:tabs>
                <w:tab w:pos="594" w:val="left" w:leader="none"/>
              </w:tabs>
              <w:spacing w:line="281" w:lineRule="exact" w:before="0" w:after="0"/>
              <w:ind w:left="593" w:right="0" w:hanging="413"/>
              <w:jc w:val="left"/>
              <w:rPr>
                <w:sz w:val="21"/>
              </w:rPr>
            </w:pPr>
            <w:r>
              <w:rPr>
                <w:spacing w:val="-2"/>
                <w:sz w:val="21"/>
              </w:rPr>
              <w:t>保险期间</w:t>
            </w:r>
          </w:p>
          <w:p>
            <w:pPr>
              <w:pStyle w:val="TableParagraph"/>
              <w:numPr>
                <w:ilvl w:val="0"/>
                <w:numId w:val="2"/>
              </w:numPr>
              <w:tabs>
                <w:tab w:pos="284" w:val="left" w:leader="none"/>
              </w:tabs>
              <w:spacing w:line="349" w:lineRule="exact" w:before="160" w:after="0"/>
              <w:ind w:left="283" w:right="0" w:hanging="156"/>
              <w:jc w:val="left"/>
              <w:rPr>
                <w:rFonts w:ascii="微软雅黑" w:eastAsia="微软雅黑" w:hint="eastAsia"/>
                <w:b/>
                <w:sz w:val="21"/>
              </w:rPr>
            </w:pPr>
            <w:r>
              <w:rPr>
                <w:rFonts w:ascii="微软雅黑" w:eastAsia="微软雅黑" w:hint="eastAsia"/>
                <w:b/>
                <w:sz w:val="21"/>
                <w:u w:val="single"/>
              </w:rPr>
              <w:t>我们提供的保障</w:t>
            </w:r>
          </w:p>
          <w:p>
            <w:pPr>
              <w:pStyle w:val="TableParagraph"/>
              <w:numPr>
                <w:ilvl w:val="1"/>
                <w:numId w:val="2"/>
              </w:numPr>
              <w:tabs>
                <w:tab w:pos="603" w:val="left" w:leader="none"/>
              </w:tabs>
              <w:spacing w:line="268" w:lineRule="exact" w:before="0" w:after="0"/>
              <w:ind w:left="602" w:right="0" w:hanging="369"/>
              <w:jc w:val="left"/>
              <w:rPr>
                <w:sz w:val="21"/>
              </w:rPr>
            </w:pPr>
            <w:r>
              <w:rPr>
                <w:spacing w:val="-3"/>
                <w:sz w:val="21"/>
              </w:rPr>
              <w:t>保险金额</w:t>
            </w:r>
          </w:p>
          <w:p>
            <w:pPr>
              <w:pStyle w:val="TableParagraph"/>
              <w:numPr>
                <w:ilvl w:val="1"/>
                <w:numId w:val="2"/>
              </w:numPr>
              <w:tabs>
                <w:tab w:pos="603" w:val="left" w:leader="none"/>
              </w:tabs>
              <w:spacing w:line="272" w:lineRule="exact" w:before="0" w:after="0"/>
              <w:ind w:left="602" w:right="0" w:hanging="370"/>
              <w:jc w:val="left"/>
              <w:rPr>
                <w:sz w:val="21"/>
              </w:rPr>
            </w:pPr>
            <w:r>
              <w:rPr>
                <w:spacing w:val="-3"/>
                <w:sz w:val="21"/>
              </w:rPr>
              <w:t>等待期</w:t>
            </w:r>
          </w:p>
          <w:p>
            <w:pPr>
              <w:pStyle w:val="TableParagraph"/>
              <w:numPr>
                <w:ilvl w:val="1"/>
                <w:numId w:val="2"/>
              </w:numPr>
              <w:tabs>
                <w:tab w:pos="603" w:val="left" w:leader="none"/>
              </w:tabs>
              <w:spacing w:line="272" w:lineRule="exact" w:before="0" w:after="0"/>
              <w:ind w:left="602" w:right="0" w:hanging="370"/>
              <w:jc w:val="left"/>
              <w:rPr>
                <w:sz w:val="21"/>
              </w:rPr>
            </w:pPr>
            <w:r>
              <w:rPr>
                <w:spacing w:val="-3"/>
                <w:sz w:val="21"/>
              </w:rPr>
              <w:t>保险责任</w:t>
            </w:r>
          </w:p>
          <w:p>
            <w:pPr>
              <w:pStyle w:val="TableParagraph"/>
              <w:numPr>
                <w:ilvl w:val="1"/>
                <w:numId w:val="2"/>
              </w:numPr>
              <w:tabs>
                <w:tab w:pos="603" w:val="left" w:leader="none"/>
              </w:tabs>
              <w:spacing w:line="281" w:lineRule="exact" w:before="0" w:after="0"/>
              <w:ind w:left="602" w:right="0" w:hanging="370"/>
              <w:jc w:val="left"/>
              <w:rPr>
                <w:sz w:val="21"/>
              </w:rPr>
            </w:pPr>
            <w:r>
              <w:rPr>
                <w:spacing w:val="-2"/>
                <w:sz w:val="21"/>
              </w:rPr>
              <w:t>责任免除</w:t>
            </w:r>
          </w:p>
          <w:p>
            <w:pPr>
              <w:pStyle w:val="TableParagraph"/>
              <w:numPr>
                <w:ilvl w:val="0"/>
                <w:numId w:val="2"/>
              </w:numPr>
              <w:tabs>
                <w:tab w:pos="284" w:val="left" w:leader="none"/>
              </w:tabs>
              <w:spacing w:line="349" w:lineRule="exact" w:before="160" w:after="0"/>
              <w:ind w:left="283" w:right="0" w:hanging="156"/>
              <w:jc w:val="left"/>
              <w:rPr>
                <w:rFonts w:ascii="微软雅黑" w:eastAsia="微软雅黑" w:hint="eastAsia"/>
                <w:b/>
                <w:sz w:val="21"/>
              </w:rPr>
            </w:pPr>
            <w:r>
              <w:rPr>
                <w:rFonts w:ascii="微软雅黑" w:eastAsia="微软雅黑" w:hint="eastAsia"/>
                <w:b/>
                <w:sz w:val="21"/>
                <w:u w:val="single"/>
              </w:rPr>
              <w:t>如何申请保险金</w:t>
            </w:r>
          </w:p>
          <w:p>
            <w:pPr>
              <w:pStyle w:val="TableParagraph"/>
              <w:numPr>
                <w:ilvl w:val="1"/>
                <w:numId w:val="2"/>
              </w:numPr>
              <w:tabs>
                <w:tab w:pos="603" w:val="left" w:leader="none"/>
              </w:tabs>
              <w:spacing w:line="268" w:lineRule="exact" w:before="0" w:after="0"/>
              <w:ind w:left="602" w:right="0" w:hanging="370"/>
              <w:jc w:val="left"/>
              <w:rPr>
                <w:sz w:val="21"/>
              </w:rPr>
            </w:pPr>
            <w:r>
              <w:rPr>
                <w:spacing w:val="-3"/>
                <w:sz w:val="21"/>
              </w:rPr>
              <w:t>受益人</w:t>
            </w:r>
          </w:p>
          <w:p>
            <w:pPr>
              <w:pStyle w:val="TableParagraph"/>
              <w:numPr>
                <w:ilvl w:val="1"/>
                <w:numId w:val="2"/>
              </w:numPr>
              <w:tabs>
                <w:tab w:pos="603" w:val="left" w:leader="none"/>
              </w:tabs>
              <w:spacing w:line="272" w:lineRule="exact" w:before="0" w:after="0"/>
              <w:ind w:left="602" w:right="0" w:hanging="370"/>
              <w:jc w:val="left"/>
              <w:rPr>
                <w:sz w:val="21"/>
              </w:rPr>
            </w:pPr>
            <w:r>
              <w:rPr>
                <w:spacing w:val="-3"/>
                <w:sz w:val="21"/>
              </w:rPr>
              <w:t>保险事故通知</w:t>
            </w:r>
          </w:p>
          <w:p>
            <w:pPr>
              <w:pStyle w:val="TableParagraph"/>
              <w:numPr>
                <w:ilvl w:val="1"/>
                <w:numId w:val="2"/>
              </w:numPr>
              <w:tabs>
                <w:tab w:pos="603" w:val="left" w:leader="none"/>
              </w:tabs>
              <w:spacing w:line="272" w:lineRule="exact" w:before="0" w:after="0"/>
              <w:ind w:left="602" w:right="0" w:hanging="370"/>
              <w:jc w:val="left"/>
              <w:rPr>
                <w:sz w:val="21"/>
              </w:rPr>
            </w:pPr>
            <w:r>
              <w:rPr>
                <w:spacing w:val="-3"/>
                <w:sz w:val="21"/>
              </w:rPr>
              <w:t>保险金申请</w:t>
            </w:r>
          </w:p>
          <w:p>
            <w:pPr>
              <w:pStyle w:val="TableParagraph"/>
              <w:numPr>
                <w:ilvl w:val="1"/>
                <w:numId w:val="2"/>
              </w:numPr>
              <w:tabs>
                <w:tab w:pos="603" w:val="left" w:leader="none"/>
              </w:tabs>
              <w:spacing w:line="272" w:lineRule="exact" w:before="0" w:after="0"/>
              <w:ind w:left="602" w:right="0" w:hanging="370"/>
              <w:jc w:val="left"/>
              <w:rPr>
                <w:sz w:val="21"/>
              </w:rPr>
            </w:pPr>
            <w:r>
              <w:rPr>
                <w:spacing w:val="-3"/>
                <w:sz w:val="21"/>
              </w:rPr>
              <w:t>保险金给付</w:t>
            </w:r>
          </w:p>
          <w:p>
            <w:pPr>
              <w:pStyle w:val="TableParagraph"/>
              <w:numPr>
                <w:ilvl w:val="1"/>
                <w:numId w:val="2"/>
              </w:numPr>
              <w:tabs>
                <w:tab w:pos="603" w:val="left" w:leader="none"/>
              </w:tabs>
              <w:spacing w:line="277" w:lineRule="exact" w:before="0" w:after="0"/>
              <w:ind w:left="602" w:right="0" w:hanging="370"/>
              <w:jc w:val="left"/>
              <w:rPr>
                <w:sz w:val="21"/>
              </w:rPr>
            </w:pPr>
            <w:r>
              <w:rPr>
                <w:spacing w:val="-3"/>
                <w:sz w:val="21"/>
              </w:rPr>
              <w:t>诉讼时效</w:t>
            </w:r>
          </w:p>
        </w:tc>
        <w:tc>
          <w:tcPr>
            <w:tcW w:w="2860" w:type="dxa"/>
          </w:tcPr>
          <w:p>
            <w:pPr>
              <w:pStyle w:val="TableParagraph"/>
              <w:numPr>
                <w:ilvl w:val="0"/>
                <w:numId w:val="3"/>
              </w:numPr>
              <w:tabs>
                <w:tab w:pos="267" w:val="left" w:leader="none"/>
              </w:tabs>
              <w:spacing w:line="253" w:lineRule="exact" w:before="0" w:after="0"/>
              <w:ind w:left="266" w:right="0" w:hanging="156"/>
              <w:jc w:val="left"/>
              <w:rPr>
                <w:rFonts w:ascii="微软雅黑" w:eastAsia="微软雅黑" w:hint="eastAsia"/>
                <w:b/>
                <w:sz w:val="21"/>
              </w:rPr>
            </w:pPr>
            <w:r>
              <w:rPr>
                <w:rFonts w:ascii="微软雅黑" w:eastAsia="微软雅黑" w:hint="eastAsia"/>
                <w:b/>
                <w:sz w:val="21"/>
                <w:u w:val="single"/>
              </w:rPr>
              <w:t>如何交纳保险费</w:t>
            </w:r>
          </w:p>
          <w:p>
            <w:pPr>
              <w:pStyle w:val="TableParagraph"/>
              <w:numPr>
                <w:ilvl w:val="1"/>
                <w:numId w:val="3"/>
              </w:numPr>
              <w:tabs>
                <w:tab w:pos="586" w:val="left" w:leader="none"/>
              </w:tabs>
              <w:spacing w:line="268" w:lineRule="exact" w:before="0" w:after="0"/>
              <w:ind w:left="585" w:right="0" w:hanging="369"/>
              <w:jc w:val="left"/>
              <w:rPr>
                <w:sz w:val="21"/>
              </w:rPr>
            </w:pPr>
            <w:r>
              <w:rPr>
                <w:spacing w:val="-3"/>
                <w:sz w:val="21"/>
              </w:rPr>
              <w:t>保险费的交纳</w:t>
            </w:r>
          </w:p>
          <w:p>
            <w:pPr>
              <w:pStyle w:val="TableParagraph"/>
              <w:numPr>
                <w:ilvl w:val="1"/>
                <w:numId w:val="3"/>
              </w:numPr>
              <w:tabs>
                <w:tab w:pos="586" w:val="left" w:leader="none"/>
              </w:tabs>
              <w:spacing w:line="281" w:lineRule="exact" w:before="0" w:after="0"/>
              <w:ind w:left="585" w:right="0" w:hanging="369"/>
              <w:jc w:val="left"/>
              <w:rPr>
                <w:sz w:val="21"/>
              </w:rPr>
            </w:pPr>
            <w:r>
              <w:rPr>
                <w:spacing w:val="-3"/>
                <w:sz w:val="21"/>
              </w:rPr>
              <w:t>保险费的调整</w:t>
            </w:r>
          </w:p>
          <w:p>
            <w:pPr>
              <w:pStyle w:val="TableParagraph"/>
              <w:numPr>
                <w:ilvl w:val="0"/>
                <w:numId w:val="3"/>
              </w:numPr>
              <w:tabs>
                <w:tab w:pos="267" w:val="left" w:leader="none"/>
              </w:tabs>
              <w:spacing w:line="349" w:lineRule="exact" w:before="160" w:after="0"/>
              <w:ind w:left="266" w:right="0" w:hanging="156"/>
              <w:jc w:val="left"/>
              <w:rPr>
                <w:rFonts w:ascii="微软雅黑" w:eastAsia="微软雅黑" w:hint="eastAsia"/>
                <w:b/>
                <w:sz w:val="21"/>
              </w:rPr>
            </w:pPr>
            <w:r>
              <w:rPr>
                <w:rFonts w:ascii="微软雅黑" w:eastAsia="微软雅黑" w:hint="eastAsia"/>
                <w:b/>
                <w:sz w:val="21"/>
                <w:u w:val="single"/>
              </w:rPr>
              <w:t>如何解除保险合同</w:t>
            </w:r>
          </w:p>
          <w:p>
            <w:pPr>
              <w:pStyle w:val="TableParagraph"/>
              <w:numPr>
                <w:ilvl w:val="1"/>
                <w:numId w:val="3"/>
              </w:numPr>
              <w:tabs>
                <w:tab w:pos="586" w:val="left" w:leader="none"/>
              </w:tabs>
              <w:spacing w:line="277" w:lineRule="exact" w:before="0" w:after="0"/>
              <w:ind w:left="585" w:right="0" w:hanging="369"/>
              <w:jc w:val="left"/>
              <w:rPr>
                <w:sz w:val="21"/>
              </w:rPr>
            </w:pPr>
            <w:r>
              <w:rPr>
                <w:spacing w:val="-2"/>
                <w:sz w:val="21"/>
              </w:rPr>
              <w:t>合同解除</w:t>
            </w:r>
          </w:p>
          <w:p>
            <w:pPr>
              <w:pStyle w:val="TableParagraph"/>
              <w:numPr>
                <w:ilvl w:val="0"/>
                <w:numId w:val="3"/>
              </w:numPr>
              <w:tabs>
                <w:tab w:pos="267" w:val="left" w:leader="none"/>
              </w:tabs>
              <w:spacing w:line="348" w:lineRule="exact" w:before="161" w:after="0"/>
              <w:ind w:left="266" w:right="0" w:hanging="156"/>
              <w:jc w:val="left"/>
              <w:rPr>
                <w:rFonts w:ascii="微软雅黑" w:eastAsia="微软雅黑" w:hint="eastAsia"/>
                <w:b/>
                <w:sz w:val="21"/>
              </w:rPr>
            </w:pPr>
            <w:r>
              <w:rPr>
                <w:rFonts w:ascii="微软雅黑" w:eastAsia="微软雅黑" w:hint="eastAsia"/>
                <w:b/>
                <w:sz w:val="21"/>
                <w:u w:val="single"/>
              </w:rPr>
              <w:t>其他需要关注的事项</w:t>
            </w:r>
          </w:p>
          <w:p>
            <w:pPr>
              <w:pStyle w:val="TableParagraph"/>
              <w:numPr>
                <w:ilvl w:val="1"/>
                <w:numId w:val="3"/>
              </w:numPr>
              <w:tabs>
                <w:tab w:pos="586" w:val="left" w:leader="none"/>
              </w:tabs>
              <w:spacing w:line="268" w:lineRule="exact" w:before="0" w:after="0"/>
              <w:ind w:left="585" w:right="0" w:hanging="369"/>
              <w:jc w:val="left"/>
              <w:rPr>
                <w:sz w:val="21"/>
              </w:rPr>
            </w:pPr>
            <w:r>
              <w:rPr>
                <w:spacing w:val="-3"/>
                <w:sz w:val="21"/>
              </w:rPr>
              <w:t>明确说明与如实告知</w:t>
            </w:r>
          </w:p>
          <w:p>
            <w:pPr>
              <w:pStyle w:val="TableParagraph"/>
              <w:numPr>
                <w:ilvl w:val="1"/>
                <w:numId w:val="3"/>
              </w:numPr>
              <w:tabs>
                <w:tab w:pos="586" w:val="left" w:leader="none"/>
              </w:tabs>
              <w:spacing w:line="272" w:lineRule="exact" w:before="0" w:after="0"/>
              <w:ind w:left="585" w:right="0" w:hanging="369"/>
              <w:jc w:val="left"/>
              <w:rPr>
                <w:sz w:val="21"/>
              </w:rPr>
            </w:pPr>
            <w:r>
              <w:rPr>
                <w:spacing w:val="-3"/>
                <w:sz w:val="21"/>
              </w:rPr>
              <w:t>年龄错误</w:t>
            </w:r>
          </w:p>
          <w:p>
            <w:pPr>
              <w:pStyle w:val="TableParagraph"/>
              <w:numPr>
                <w:ilvl w:val="1"/>
                <w:numId w:val="3"/>
              </w:numPr>
              <w:tabs>
                <w:tab w:pos="586" w:val="left" w:leader="none"/>
              </w:tabs>
              <w:spacing w:line="272" w:lineRule="exact" w:before="0" w:after="0"/>
              <w:ind w:left="585" w:right="0" w:hanging="369"/>
              <w:jc w:val="left"/>
              <w:rPr>
                <w:sz w:val="21"/>
              </w:rPr>
            </w:pPr>
            <w:r>
              <w:rPr>
                <w:spacing w:val="-3"/>
                <w:sz w:val="21"/>
              </w:rPr>
              <w:t>合同解除权的限制</w:t>
            </w:r>
          </w:p>
          <w:p>
            <w:pPr>
              <w:pStyle w:val="TableParagraph"/>
              <w:numPr>
                <w:ilvl w:val="1"/>
                <w:numId w:val="3"/>
              </w:numPr>
              <w:tabs>
                <w:tab w:pos="586" w:val="left" w:leader="none"/>
              </w:tabs>
              <w:spacing w:line="272" w:lineRule="exact" w:before="0" w:after="0"/>
              <w:ind w:left="585" w:right="0" w:hanging="369"/>
              <w:jc w:val="left"/>
              <w:rPr>
                <w:sz w:val="21"/>
              </w:rPr>
            </w:pPr>
            <w:r>
              <w:rPr>
                <w:spacing w:val="-3"/>
                <w:sz w:val="21"/>
              </w:rPr>
              <w:t>被保险人变动</w:t>
            </w:r>
          </w:p>
          <w:p>
            <w:pPr>
              <w:pStyle w:val="TableParagraph"/>
              <w:numPr>
                <w:ilvl w:val="1"/>
                <w:numId w:val="3"/>
              </w:numPr>
              <w:tabs>
                <w:tab w:pos="586" w:val="left" w:leader="none"/>
              </w:tabs>
              <w:spacing w:line="272" w:lineRule="exact" w:before="0" w:after="0"/>
              <w:ind w:left="585" w:right="0" w:hanging="369"/>
              <w:jc w:val="left"/>
              <w:rPr>
                <w:sz w:val="21"/>
              </w:rPr>
            </w:pPr>
            <w:r>
              <w:rPr>
                <w:spacing w:val="-3"/>
                <w:sz w:val="21"/>
              </w:rPr>
              <w:t>合同内容变更</w:t>
            </w:r>
          </w:p>
          <w:p>
            <w:pPr>
              <w:pStyle w:val="TableParagraph"/>
              <w:numPr>
                <w:ilvl w:val="1"/>
                <w:numId w:val="3"/>
              </w:numPr>
              <w:tabs>
                <w:tab w:pos="586" w:val="left" w:leader="none"/>
              </w:tabs>
              <w:spacing w:line="272" w:lineRule="exact" w:before="0" w:after="0"/>
              <w:ind w:left="585" w:right="0" w:hanging="369"/>
              <w:jc w:val="left"/>
              <w:rPr>
                <w:sz w:val="21"/>
              </w:rPr>
            </w:pPr>
            <w:r>
              <w:rPr>
                <w:spacing w:val="-3"/>
                <w:sz w:val="21"/>
              </w:rPr>
              <w:t>联络方式变更</w:t>
            </w:r>
          </w:p>
          <w:p>
            <w:pPr>
              <w:pStyle w:val="TableParagraph"/>
              <w:numPr>
                <w:ilvl w:val="1"/>
                <w:numId w:val="3"/>
              </w:numPr>
              <w:tabs>
                <w:tab w:pos="586" w:val="left" w:leader="none"/>
              </w:tabs>
              <w:spacing w:line="281" w:lineRule="exact" w:before="0" w:after="0"/>
              <w:ind w:left="585" w:right="0" w:hanging="369"/>
              <w:jc w:val="left"/>
              <w:rPr>
                <w:sz w:val="21"/>
              </w:rPr>
            </w:pPr>
            <w:r>
              <w:rPr>
                <w:spacing w:val="-3"/>
                <w:sz w:val="21"/>
              </w:rPr>
              <w:t>争议处理</w:t>
            </w:r>
          </w:p>
          <w:p>
            <w:pPr>
              <w:pStyle w:val="TableParagraph"/>
              <w:numPr>
                <w:ilvl w:val="0"/>
                <w:numId w:val="3"/>
              </w:numPr>
              <w:tabs>
                <w:tab w:pos="267" w:val="left" w:leader="none"/>
              </w:tabs>
              <w:spacing w:line="349" w:lineRule="exact" w:before="160" w:after="0"/>
              <w:ind w:left="266" w:right="0" w:hanging="156"/>
              <w:jc w:val="left"/>
              <w:rPr>
                <w:rFonts w:ascii="微软雅黑" w:eastAsia="微软雅黑" w:hint="eastAsia"/>
                <w:b/>
                <w:sz w:val="21"/>
              </w:rPr>
            </w:pPr>
            <w:r>
              <w:rPr>
                <w:rFonts w:ascii="微软雅黑" w:eastAsia="微软雅黑" w:hint="eastAsia"/>
                <w:b/>
                <w:sz w:val="21"/>
                <w:u w:val="single"/>
              </w:rPr>
              <w:t>释义</w:t>
            </w:r>
          </w:p>
          <w:p>
            <w:pPr>
              <w:pStyle w:val="TableParagraph"/>
              <w:numPr>
                <w:ilvl w:val="1"/>
                <w:numId w:val="3"/>
              </w:numPr>
              <w:tabs>
                <w:tab w:pos="586" w:val="left" w:leader="none"/>
              </w:tabs>
              <w:spacing w:line="277" w:lineRule="exact" w:before="0" w:after="0"/>
              <w:ind w:left="585" w:right="0" w:hanging="369"/>
              <w:jc w:val="left"/>
              <w:rPr>
                <w:sz w:val="21"/>
              </w:rPr>
            </w:pPr>
            <w:r>
              <w:rPr>
                <w:spacing w:val="-2"/>
                <w:sz w:val="21"/>
              </w:rPr>
              <w:t>意外伤害</w:t>
            </w:r>
          </w:p>
        </w:tc>
        <w:tc>
          <w:tcPr>
            <w:tcW w:w="3959" w:type="dxa"/>
            <w:tcBorders>
              <w:right w:val="nil"/>
            </w:tcBorders>
          </w:tcPr>
          <w:p>
            <w:pPr>
              <w:pStyle w:val="TableParagraph"/>
              <w:numPr>
                <w:ilvl w:val="1"/>
                <w:numId w:val="4"/>
              </w:numPr>
              <w:tabs>
                <w:tab w:pos="585" w:val="left" w:leader="none"/>
              </w:tabs>
              <w:spacing w:line="248" w:lineRule="exact" w:before="0" w:after="0"/>
              <w:ind w:left="584" w:right="0" w:hanging="370"/>
              <w:jc w:val="left"/>
              <w:rPr>
                <w:sz w:val="21"/>
              </w:rPr>
            </w:pPr>
            <w:r>
              <w:rPr>
                <w:spacing w:val="-2"/>
                <w:sz w:val="21"/>
              </w:rPr>
              <w:t>重大疾病</w:t>
            </w:r>
          </w:p>
          <w:p>
            <w:pPr>
              <w:pStyle w:val="TableParagraph"/>
              <w:numPr>
                <w:ilvl w:val="1"/>
                <w:numId w:val="4"/>
              </w:numPr>
              <w:tabs>
                <w:tab w:pos="585" w:val="left" w:leader="none"/>
              </w:tabs>
              <w:spacing w:line="272" w:lineRule="exact" w:before="0" w:after="0"/>
              <w:ind w:left="584" w:right="0" w:hanging="370"/>
              <w:jc w:val="left"/>
              <w:rPr>
                <w:sz w:val="21"/>
              </w:rPr>
            </w:pPr>
            <w:r>
              <w:rPr>
                <w:spacing w:val="-2"/>
                <w:sz w:val="21"/>
              </w:rPr>
              <w:t>专科医生</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毒品</w:t>
            </w:r>
          </w:p>
          <w:p>
            <w:pPr>
              <w:pStyle w:val="TableParagraph"/>
              <w:numPr>
                <w:ilvl w:val="1"/>
                <w:numId w:val="4"/>
              </w:numPr>
              <w:tabs>
                <w:tab w:pos="637" w:val="left" w:leader="none"/>
              </w:tabs>
              <w:spacing w:line="272" w:lineRule="exact" w:before="0" w:after="0"/>
              <w:ind w:left="637" w:right="0" w:hanging="423"/>
              <w:jc w:val="left"/>
              <w:rPr>
                <w:sz w:val="21"/>
              </w:rPr>
            </w:pPr>
            <w:r>
              <w:rPr>
                <w:spacing w:val="-2"/>
                <w:sz w:val="21"/>
              </w:rPr>
              <w:t>酒后驾驶</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无合法有效驾驶证驾驶</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无有效行使证</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感染艾滋病病毒或患艾滋病</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遗传性疾病</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先天性畸形、变形或染色体异常</w:t>
            </w:r>
          </w:p>
          <w:p>
            <w:pPr>
              <w:pStyle w:val="TableParagraph"/>
              <w:numPr>
                <w:ilvl w:val="1"/>
                <w:numId w:val="4"/>
              </w:numPr>
              <w:tabs>
                <w:tab w:pos="628" w:val="left" w:leader="none"/>
              </w:tabs>
              <w:spacing w:line="272" w:lineRule="exact" w:before="0" w:after="0"/>
              <w:ind w:left="627" w:right="0" w:hanging="413"/>
              <w:jc w:val="left"/>
              <w:rPr>
                <w:sz w:val="21"/>
              </w:rPr>
            </w:pPr>
            <w:r>
              <w:rPr>
                <w:spacing w:val="-2"/>
                <w:sz w:val="21"/>
              </w:rPr>
              <w:t>现金价值</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医院</w:t>
            </w:r>
          </w:p>
          <w:p>
            <w:pPr>
              <w:pStyle w:val="TableParagraph"/>
              <w:numPr>
                <w:ilvl w:val="1"/>
                <w:numId w:val="4"/>
              </w:numPr>
              <w:tabs>
                <w:tab w:pos="637" w:val="left" w:leader="none"/>
              </w:tabs>
              <w:spacing w:line="272" w:lineRule="exact" w:before="0" w:after="0"/>
              <w:ind w:left="637" w:right="0" w:hanging="423"/>
              <w:jc w:val="left"/>
              <w:rPr>
                <w:sz w:val="21"/>
              </w:rPr>
            </w:pPr>
            <w:r>
              <w:rPr>
                <w:spacing w:val="-3"/>
                <w:sz w:val="21"/>
              </w:rPr>
              <w:t>肢体机能完全丧失</w:t>
            </w:r>
          </w:p>
          <w:p>
            <w:pPr>
              <w:pStyle w:val="TableParagraph"/>
              <w:numPr>
                <w:ilvl w:val="1"/>
                <w:numId w:val="4"/>
              </w:numPr>
              <w:tabs>
                <w:tab w:pos="625" w:val="left" w:leader="none"/>
              </w:tabs>
              <w:spacing w:line="271" w:lineRule="exact" w:before="0" w:after="0"/>
              <w:ind w:left="624" w:right="0" w:hanging="410"/>
              <w:jc w:val="left"/>
              <w:rPr>
                <w:sz w:val="21"/>
              </w:rPr>
            </w:pPr>
            <w:r>
              <w:rPr>
                <w:spacing w:val="-3"/>
                <w:sz w:val="21"/>
              </w:rPr>
              <w:t>语言能力或咀嚼吞咽能力完全丧失</w:t>
            </w:r>
          </w:p>
          <w:p>
            <w:pPr>
              <w:pStyle w:val="TableParagraph"/>
              <w:numPr>
                <w:ilvl w:val="1"/>
                <w:numId w:val="4"/>
              </w:numPr>
              <w:tabs>
                <w:tab w:pos="625" w:val="left" w:leader="none"/>
              </w:tabs>
              <w:spacing w:line="272" w:lineRule="exact" w:before="0" w:after="0"/>
              <w:ind w:left="624" w:right="0" w:hanging="410"/>
              <w:jc w:val="left"/>
              <w:rPr>
                <w:sz w:val="21"/>
              </w:rPr>
            </w:pPr>
            <w:r>
              <w:rPr>
                <w:spacing w:val="-3"/>
                <w:sz w:val="21"/>
              </w:rPr>
              <w:t>六项基本日常生活活动</w:t>
            </w:r>
          </w:p>
          <w:p>
            <w:pPr>
              <w:pStyle w:val="TableParagraph"/>
              <w:numPr>
                <w:ilvl w:val="1"/>
                <w:numId w:val="4"/>
              </w:numPr>
              <w:tabs>
                <w:tab w:pos="625" w:val="left" w:leader="none"/>
              </w:tabs>
              <w:spacing w:line="272" w:lineRule="exact" w:before="0" w:after="0"/>
              <w:ind w:left="624" w:right="0" w:hanging="410"/>
              <w:jc w:val="left"/>
              <w:rPr>
                <w:sz w:val="21"/>
              </w:rPr>
            </w:pPr>
            <w:r>
              <w:rPr>
                <w:spacing w:val="-3"/>
                <w:sz w:val="21"/>
              </w:rPr>
              <w:t>永久不可逆</w:t>
            </w:r>
          </w:p>
          <w:p>
            <w:pPr>
              <w:pStyle w:val="TableParagraph"/>
              <w:numPr>
                <w:ilvl w:val="1"/>
                <w:numId w:val="4"/>
              </w:numPr>
              <w:tabs>
                <w:tab w:pos="637" w:val="left" w:leader="none"/>
              </w:tabs>
              <w:spacing w:line="281" w:lineRule="exact" w:before="0" w:after="0"/>
              <w:ind w:left="637" w:right="0" w:hanging="423"/>
              <w:jc w:val="left"/>
              <w:rPr>
                <w:sz w:val="21"/>
              </w:rPr>
            </w:pPr>
            <w:r>
              <w:rPr>
                <w:spacing w:val="-3"/>
                <w:sz w:val="21"/>
              </w:rPr>
              <w:t>周岁</w:t>
            </w:r>
          </w:p>
        </w:tc>
      </w:tr>
    </w:tbl>
    <w:p>
      <w:pPr>
        <w:spacing w:after="0" w:line="281" w:lineRule="exact"/>
        <w:jc w:val="left"/>
        <w:rPr>
          <w:sz w:val="21"/>
        </w:rPr>
        <w:sectPr>
          <w:pgSz w:w="11910" w:h="16840"/>
          <w:pgMar w:header="877" w:footer="995" w:top="1100" w:bottom="1180" w:left="1060" w:right="1000"/>
        </w:sectPr>
      </w:pPr>
    </w:p>
    <w:p>
      <w:pPr>
        <w:pStyle w:val="BodyText"/>
        <w:spacing w:before="9"/>
        <w:rPr>
          <w:sz w:val="24"/>
        </w:rPr>
      </w:pPr>
    </w:p>
    <w:p>
      <w:pPr>
        <w:pStyle w:val="BodyText"/>
        <w:spacing w:before="43"/>
        <w:ind w:left="470"/>
      </w:pPr>
      <w:r>
        <w:rPr/>
        <w:t>在本条款中，“您”指投保单位，</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均指和谐健康保险股份有限公司。</w:t>
      </w:r>
    </w:p>
    <w:p>
      <w:pPr>
        <w:pStyle w:val="BodyText"/>
        <w:spacing w:before="11"/>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643"/>
        <w:gridCol w:w="7922"/>
      </w:tblGrid>
      <w:tr>
        <w:trPr>
          <w:trHeight w:val="445" w:hRule="atLeast"/>
        </w:trPr>
        <w:tc>
          <w:tcPr>
            <w:tcW w:w="719" w:type="dxa"/>
            <w:tcBorders>
              <w:top w:val="single" w:sz="4" w:space="0" w:color="000000"/>
              <w:bottom w:val="single" w:sz="8" w:space="0" w:color="000000"/>
            </w:tcBorders>
          </w:tcPr>
          <w:p>
            <w:pPr>
              <w:pStyle w:val="TableParagraph"/>
              <w:spacing w:line="426" w:lineRule="exact"/>
              <w:ind w:left="110"/>
              <w:rPr>
                <w:rFonts w:ascii="Wingdings" w:hAnsi="Wingdings"/>
                <w:sz w:val="40"/>
              </w:rPr>
            </w:pPr>
            <w:r>
              <w:rPr>
                <w:rFonts w:ascii="Wingdings" w:hAnsi="Wingdings"/>
                <w:w w:val="100"/>
                <w:sz w:val="40"/>
              </w:rPr>
              <w:t></w:t>
            </w:r>
          </w:p>
        </w:tc>
        <w:tc>
          <w:tcPr>
            <w:tcW w:w="9565" w:type="dxa"/>
            <w:gridSpan w:val="2"/>
            <w:tcBorders>
              <w:top w:val="single" w:sz="4" w:space="0" w:color="000000"/>
              <w:bottom w:val="single" w:sz="8" w:space="0" w:color="000000"/>
            </w:tcBorders>
          </w:tcPr>
          <w:p>
            <w:pPr>
              <w:pStyle w:val="TableParagraph"/>
              <w:spacing w:line="370" w:lineRule="exact"/>
              <w:ind w:left="250"/>
              <w:rPr>
                <w:rFonts w:ascii="微软雅黑" w:eastAsia="微软雅黑" w:hint="eastAsia"/>
                <w:b/>
                <w:sz w:val="24"/>
              </w:rPr>
            </w:pPr>
            <w:r>
              <w:rPr>
                <w:rFonts w:ascii="微软雅黑" w:eastAsia="微软雅黑" w:hint="eastAsia"/>
                <w:b/>
                <w:sz w:val="24"/>
              </w:rPr>
              <w:t>您与我们的合同</w:t>
            </w:r>
          </w:p>
        </w:tc>
      </w:tr>
      <w:tr>
        <w:trPr>
          <w:trHeight w:val="1438" w:hRule="atLeast"/>
        </w:trPr>
        <w:tc>
          <w:tcPr>
            <w:tcW w:w="719" w:type="dxa"/>
            <w:tcBorders>
              <w:top w:val="single" w:sz="8" w:space="0" w:color="000000"/>
            </w:tcBorders>
          </w:tcPr>
          <w:p>
            <w:pPr>
              <w:pStyle w:val="TableParagraph"/>
              <w:spacing w:before="2"/>
              <w:rPr>
                <w:sz w:val="18"/>
              </w:rPr>
            </w:pPr>
          </w:p>
          <w:p>
            <w:pPr>
              <w:pStyle w:val="TableParagraph"/>
              <w:ind w:left="110"/>
              <w:rPr>
                <w:rFonts w:ascii="Times New Roman"/>
                <w:b/>
                <w:sz w:val="21"/>
              </w:rPr>
            </w:pPr>
            <w:r>
              <w:rPr>
                <w:rFonts w:ascii="Times New Roman"/>
                <w:b/>
                <w:sz w:val="21"/>
              </w:rPr>
              <w:t>1.1</w:t>
            </w:r>
          </w:p>
        </w:tc>
        <w:tc>
          <w:tcPr>
            <w:tcW w:w="1643" w:type="dxa"/>
            <w:tcBorders>
              <w:top w:val="single" w:sz="8" w:space="0" w:color="000000"/>
            </w:tcBorders>
          </w:tcPr>
          <w:p>
            <w:pPr>
              <w:pStyle w:val="TableParagraph"/>
              <w:spacing w:before="143"/>
              <w:ind w:left="250"/>
              <w:rPr>
                <w:rFonts w:ascii="微软雅黑" w:eastAsia="微软雅黑" w:hint="eastAsia"/>
                <w:b/>
                <w:sz w:val="21"/>
              </w:rPr>
            </w:pPr>
            <w:r>
              <w:rPr>
                <w:rFonts w:ascii="微软雅黑" w:eastAsia="微软雅黑" w:hint="eastAsia"/>
                <w:b/>
                <w:sz w:val="21"/>
              </w:rPr>
              <w:t>合同构成</w:t>
            </w:r>
          </w:p>
        </w:tc>
        <w:tc>
          <w:tcPr>
            <w:tcW w:w="7922" w:type="dxa"/>
            <w:tcBorders>
              <w:top w:val="single" w:sz="8" w:space="0" w:color="000000"/>
            </w:tcBorders>
          </w:tcPr>
          <w:p>
            <w:pPr>
              <w:pStyle w:val="TableParagraph"/>
              <w:spacing w:before="11"/>
              <w:rPr>
                <w:sz w:val="15"/>
              </w:rPr>
            </w:pPr>
          </w:p>
          <w:p>
            <w:pPr>
              <w:pStyle w:val="TableParagraph"/>
              <w:spacing w:line="237" w:lineRule="auto" w:before="1"/>
              <w:ind w:left="124" w:right="227"/>
              <w:jc w:val="both"/>
              <w:rPr>
                <w:sz w:val="21"/>
              </w:rPr>
            </w:pPr>
            <w:r>
              <w:rPr>
                <w:sz w:val="21"/>
              </w:rPr>
              <w:t>本保险条款、保险单或其它保险凭证、投保书、与保险合同有关的投保文件、合法有效的声明、批注、附贴批单、其它书面协议都是您与我们之间订立的保险合同的构成部分。</w:t>
            </w:r>
          </w:p>
          <w:p>
            <w:pPr>
              <w:pStyle w:val="TableParagraph"/>
              <w:spacing w:line="274" w:lineRule="exact"/>
              <w:ind w:left="124"/>
              <w:jc w:val="both"/>
              <w:rPr>
                <w:sz w:val="21"/>
              </w:rPr>
            </w:pPr>
            <w:r>
              <w:rPr>
                <w:sz w:val="21"/>
              </w:rPr>
              <w:t>“和谐一年期重疾团体疾病保险合同”以下简称为“本合同”。</w:t>
            </w:r>
          </w:p>
        </w:tc>
      </w:tr>
      <w:tr>
        <w:trPr>
          <w:trHeight w:val="1066" w:hRule="atLeast"/>
        </w:trPr>
        <w:tc>
          <w:tcPr>
            <w:tcW w:w="719" w:type="dxa"/>
          </w:tcPr>
          <w:p>
            <w:pPr>
              <w:pStyle w:val="TableParagraph"/>
              <w:spacing w:before="131"/>
              <w:ind w:left="110"/>
              <w:rPr>
                <w:rFonts w:ascii="Times New Roman"/>
                <w:b/>
                <w:sz w:val="21"/>
              </w:rPr>
            </w:pPr>
            <w:r>
              <w:rPr>
                <w:rFonts w:ascii="Times New Roman"/>
                <w:b/>
                <w:sz w:val="21"/>
              </w:rPr>
              <w:t>1.2</w:t>
            </w:r>
          </w:p>
        </w:tc>
        <w:tc>
          <w:tcPr>
            <w:tcW w:w="1643" w:type="dxa"/>
          </w:tcPr>
          <w:p>
            <w:pPr>
              <w:pStyle w:val="TableParagraph"/>
              <w:spacing w:before="36"/>
              <w:ind w:left="250"/>
              <w:rPr>
                <w:rFonts w:ascii="微软雅黑" w:eastAsia="微软雅黑" w:hint="eastAsia"/>
                <w:b/>
                <w:sz w:val="21"/>
              </w:rPr>
            </w:pPr>
            <w:r>
              <w:rPr>
                <w:rFonts w:ascii="微软雅黑" w:eastAsia="微软雅黑" w:hint="eastAsia"/>
                <w:b/>
                <w:sz w:val="21"/>
              </w:rPr>
              <w:t>保险对象</w:t>
            </w:r>
          </w:p>
        </w:tc>
        <w:tc>
          <w:tcPr>
            <w:tcW w:w="7922" w:type="dxa"/>
          </w:tcPr>
          <w:p>
            <w:pPr>
              <w:pStyle w:val="TableParagraph"/>
              <w:spacing w:line="230" w:lineRule="auto" w:before="111"/>
              <w:ind w:left="124" w:right="227" w:hanging="1"/>
              <w:jc w:val="both"/>
              <w:rPr>
                <w:sz w:val="21"/>
              </w:rPr>
            </w:pPr>
            <w:r>
              <w:rPr>
                <w:spacing w:val="-7"/>
                <w:sz w:val="21"/>
              </w:rPr>
              <w:t>凡人数不少于 </w:t>
            </w:r>
            <w:r>
              <w:rPr>
                <w:rFonts w:ascii="Times New Roman" w:eastAsia="Times New Roman"/>
                <w:sz w:val="21"/>
              </w:rPr>
              <w:t>5 </w:t>
            </w:r>
            <w:r>
              <w:rPr>
                <w:spacing w:val="-3"/>
                <w:sz w:val="21"/>
              </w:rPr>
              <w:t>人、不是以购买保险为目的而组成的团体均可作为投保人，为其身体健康的成员及其配偶和未成年子女向本公司投保本保险，实际投保人数不得低于</w:t>
            </w:r>
            <w:r>
              <w:rPr>
                <w:spacing w:val="-6"/>
                <w:sz w:val="21"/>
              </w:rPr>
              <w:t>该团体具有投保资格人数的 </w:t>
            </w:r>
            <w:r>
              <w:rPr>
                <w:rFonts w:ascii="Times New Roman" w:eastAsia="Times New Roman"/>
                <w:sz w:val="21"/>
              </w:rPr>
              <w:t>75%</w:t>
            </w:r>
            <w:r>
              <w:rPr>
                <w:sz w:val="21"/>
              </w:rPr>
              <w:t>。</w:t>
            </w:r>
          </w:p>
        </w:tc>
      </w:tr>
      <w:tr>
        <w:trPr>
          <w:trHeight w:val="1050" w:hRule="atLeast"/>
        </w:trPr>
        <w:tc>
          <w:tcPr>
            <w:tcW w:w="719" w:type="dxa"/>
          </w:tcPr>
          <w:p>
            <w:pPr>
              <w:pStyle w:val="TableParagraph"/>
              <w:spacing w:before="123"/>
              <w:ind w:left="110"/>
              <w:rPr>
                <w:rFonts w:ascii="Times New Roman"/>
                <w:b/>
                <w:sz w:val="21"/>
              </w:rPr>
            </w:pPr>
            <w:r>
              <w:rPr>
                <w:rFonts w:ascii="Times New Roman"/>
                <w:b/>
                <w:sz w:val="21"/>
              </w:rPr>
              <w:t>1.3</w:t>
            </w:r>
          </w:p>
        </w:tc>
        <w:tc>
          <w:tcPr>
            <w:tcW w:w="1643" w:type="dxa"/>
          </w:tcPr>
          <w:p>
            <w:pPr>
              <w:pStyle w:val="TableParagraph"/>
              <w:spacing w:line="180" w:lineRule="auto" w:before="119"/>
              <w:ind w:left="250" w:right="123"/>
              <w:rPr>
                <w:rFonts w:ascii="微软雅黑" w:eastAsia="微软雅黑" w:hint="eastAsia"/>
                <w:b/>
                <w:sz w:val="21"/>
              </w:rPr>
            </w:pPr>
            <w:r>
              <w:rPr>
                <w:rFonts w:ascii="微软雅黑" w:eastAsia="微软雅黑" w:hint="eastAsia"/>
                <w:b/>
                <w:sz w:val="21"/>
              </w:rPr>
              <w:t>合同成立与生效</w:t>
            </w:r>
          </w:p>
        </w:tc>
        <w:tc>
          <w:tcPr>
            <w:tcW w:w="7922" w:type="dxa"/>
          </w:tcPr>
          <w:p>
            <w:pPr>
              <w:pStyle w:val="TableParagraph"/>
              <w:spacing w:line="274" w:lineRule="exact" w:before="91"/>
              <w:ind w:left="124"/>
              <w:rPr>
                <w:sz w:val="21"/>
              </w:rPr>
            </w:pPr>
            <w:r>
              <w:rPr>
                <w:sz w:val="21"/>
              </w:rPr>
              <w:t>您向我们提出申请，我们同意承保，本合同成立。</w:t>
            </w:r>
          </w:p>
          <w:p>
            <w:pPr>
              <w:pStyle w:val="TableParagraph"/>
              <w:spacing w:line="237" w:lineRule="auto" w:before="2"/>
              <w:ind w:left="124" w:right="227"/>
              <w:rPr>
                <w:sz w:val="21"/>
              </w:rPr>
            </w:pPr>
            <w:r>
              <w:rPr>
                <w:sz w:val="21"/>
              </w:rPr>
              <w:t>您交付保险费、本公司签发保险单的次日零时起，本合同开始生效，具体生效日以保险单所载的日期为准。</w:t>
            </w:r>
          </w:p>
        </w:tc>
      </w:tr>
      <w:tr>
        <w:trPr>
          <w:trHeight w:val="646" w:hRule="atLeast"/>
        </w:trPr>
        <w:tc>
          <w:tcPr>
            <w:tcW w:w="719" w:type="dxa"/>
            <w:tcBorders>
              <w:bottom w:val="single" w:sz="8" w:space="0" w:color="000000"/>
            </w:tcBorders>
          </w:tcPr>
          <w:p>
            <w:pPr>
              <w:pStyle w:val="TableParagraph"/>
              <w:spacing w:before="131"/>
              <w:ind w:left="110"/>
              <w:rPr>
                <w:rFonts w:ascii="Times New Roman"/>
                <w:b/>
                <w:sz w:val="21"/>
              </w:rPr>
            </w:pPr>
            <w:r>
              <w:rPr>
                <w:rFonts w:ascii="Times New Roman"/>
                <w:b/>
                <w:sz w:val="21"/>
              </w:rPr>
              <w:t>1.4</w:t>
            </w:r>
          </w:p>
        </w:tc>
        <w:tc>
          <w:tcPr>
            <w:tcW w:w="1643" w:type="dxa"/>
            <w:tcBorders>
              <w:bottom w:val="single" w:sz="8" w:space="0" w:color="000000"/>
            </w:tcBorders>
          </w:tcPr>
          <w:p>
            <w:pPr>
              <w:pStyle w:val="TableParagraph"/>
              <w:spacing w:before="36"/>
              <w:ind w:left="250"/>
              <w:rPr>
                <w:rFonts w:ascii="微软雅黑" w:eastAsia="微软雅黑" w:hint="eastAsia"/>
                <w:b/>
                <w:sz w:val="21"/>
              </w:rPr>
            </w:pPr>
            <w:r>
              <w:rPr>
                <w:rFonts w:ascii="微软雅黑" w:eastAsia="微软雅黑" w:hint="eastAsia"/>
                <w:b/>
                <w:sz w:val="21"/>
              </w:rPr>
              <w:t>保险期间</w:t>
            </w:r>
          </w:p>
        </w:tc>
        <w:tc>
          <w:tcPr>
            <w:tcW w:w="7922" w:type="dxa"/>
            <w:tcBorders>
              <w:bottom w:val="single" w:sz="8" w:space="0" w:color="000000"/>
            </w:tcBorders>
          </w:tcPr>
          <w:p>
            <w:pPr>
              <w:pStyle w:val="TableParagraph"/>
              <w:spacing w:before="99"/>
              <w:ind w:left="124"/>
              <w:rPr>
                <w:sz w:val="21"/>
              </w:rPr>
            </w:pPr>
            <w:r>
              <w:rPr>
                <w:sz w:val="21"/>
              </w:rPr>
              <w:t>本合同的保险期间为 </w:t>
            </w:r>
            <w:r>
              <w:rPr>
                <w:rFonts w:ascii="Times New Roman" w:eastAsia="Times New Roman"/>
                <w:sz w:val="21"/>
              </w:rPr>
              <w:t>1 </w:t>
            </w:r>
            <w:r>
              <w:rPr>
                <w:sz w:val="21"/>
              </w:rPr>
              <w:t>年。</w:t>
            </w:r>
          </w:p>
        </w:tc>
      </w:tr>
      <w:tr>
        <w:trPr>
          <w:trHeight w:val="443" w:hRule="atLeast"/>
        </w:trPr>
        <w:tc>
          <w:tcPr>
            <w:tcW w:w="719" w:type="dxa"/>
            <w:tcBorders>
              <w:top w:val="single" w:sz="8" w:space="0" w:color="000000"/>
              <w:bottom w:val="single" w:sz="8" w:space="0" w:color="000000"/>
            </w:tcBorders>
          </w:tcPr>
          <w:p>
            <w:pPr>
              <w:pStyle w:val="TableParagraph"/>
              <w:spacing w:line="423" w:lineRule="exact"/>
              <w:ind w:left="110"/>
              <w:rPr>
                <w:rFonts w:ascii="Wingdings" w:hAnsi="Wingdings"/>
                <w:sz w:val="40"/>
              </w:rPr>
            </w:pPr>
            <w:r>
              <w:rPr>
                <w:rFonts w:ascii="Wingdings" w:hAnsi="Wingdings"/>
                <w:w w:val="100"/>
                <w:sz w:val="40"/>
              </w:rPr>
              <w:t></w:t>
            </w:r>
          </w:p>
        </w:tc>
        <w:tc>
          <w:tcPr>
            <w:tcW w:w="9565" w:type="dxa"/>
            <w:gridSpan w:val="2"/>
            <w:tcBorders>
              <w:top w:val="single" w:sz="8" w:space="0" w:color="000000"/>
              <w:bottom w:val="single" w:sz="8" w:space="0" w:color="000000"/>
            </w:tcBorders>
          </w:tcPr>
          <w:p>
            <w:pPr>
              <w:pStyle w:val="TableParagraph"/>
              <w:spacing w:line="370" w:lineRule="exact"/>
              <w:ind w:left="250"/>
              <w:rPr>
                <w:rFonts w:ascii="微软雅黑" w:eastAsia="微软雅黑" w:hint="eastAsia"/>
                <w:b/>
                <w:sz w:val="24"/>
              </w:rPr>
            </w:pPr>
            <w:r>
              <w:rPr>
                <w:rFonts w:ascii="微软雅黑" w:eastAsia="微软雅黑" w:hint="eastAsia"/>
                <w:b/>
                <w:sz w:val="24"/>
              </w:rPr>
              <w:t>我们提供的保障</w:t>
            </w:r>
          </w:p>
        </w:tc>
      </w:tr>
      <w:tr>
        <w:trPr>
          <w:trHeight w:val="382" w:hRule="atLeast"/>
        </w:trPr>
        <w:tc>
          <w:tcPr>
            <w:tcW w:w="719" w:type="dxa"/>
            <w:tcBorders>
              <w:top w:val="single" w:sz="8" w:space="0" w:color="000000"/>
            </w:tcBorders>
          </w:tcPr>
          <w:p>
            <w:pPr>
              <w:pStyle w:val="TableParagraph"/>
              <w:ind w:left="110"/>
              <w:rPr>
                <w:rFonts w:ascii="Times New Roman"/>
                <w:b/>
                <w:sz w:val="21"/>
              </w:rPr>
            </w:pPr>
            <w:r>
              <w:rPr>
                <w:rFonts w:ascii="Times New Roman"/>
                <w:b/>
                <w:sz w:val="21"/>
              </w:rPr>
              <w:t>2.1</w:t>
            </w:r>
          </w:p>
        </w:tc>
        <w:tc>
          <w:tcPr>
            <w:tcW w:w="1643" w:type="dxa"/>
            <w:tcBorders>
              <w:top w:val="single" w:sz="8" w:space="0" w:color="000000"/>
            </w:tcBorders>
          </w:tcPr>
          <w:p>
            <w:pPr>
              <w:pStyle w:val="TableParagraph"/>
              <w:spacing w:line="268" w:lineRule="exact"/>
              <w:ind w:left="250"/>
              <w:rPr>
                <w:rFonts w:ascii="微软雅黑" w:eastAsia="微软雅黑" w:hint="eastAsia"/>
                <w:b/>
                <w:sz w:val="21"/>
              </w:rPr>
            </w:pPr>
            <w:r>
              <w:rPr>
                <w:rFonts w:ascii="微软雅黑" w:eastAsia="微软雅黑" w:hint="eastAsia"/>
                <w:b/>
                <w:sz w:val="21"/>
              </w:rPr>
              <w:t>保险金额</w:t>
            </w:r>
          </w:p>
        </w:tc>
        <w:tc>
          <w:tcPr>
            <w:tcW w:w="7922" w:type="dxa"/>
            <w:tcBorders>
              <w:top w:val="single" w:sz="8" w:space="0" w:color="000000"/>
            </w:tcBorders>
          </w:tcPr>
          <w:p>
            <w:pPr>
              <w:pStyle w:val="TableParagraph"/>
              <w:spacing w:line="243" w:lineRule="exact"/>
              <w:ind w:left="124"/>
              <w:rPr>
                <w:sz w:val="21"/>
              </w:rPr>
            </w:pPr>
            <w:r>
              <w:rPr>
                <w:sz w:val="21"/>
              </w:rPr>
              <w:t>本合同各项保险责任的保险金额由您在投保时与我们约定并在保险单上载明。</w:t>
            </w:r>
          </w:p>
        </w:tc>
      </w:tr>
      <w:tr>
        <w:trPr>
          <w:trHeight w:val="792" w:hRule="atLeast"/>
        </w:trPr>
        <w:tc>
          <w:tcPr>
            <w:tcW w:w="719" w:type="dxa"/>
          </w:tcPr>
          <w:p>
            <w:pPr>
              <w:pStyle w:val="TableParagraph"/>
              <w:spacing w:before="131"/>
              <w:ind w:left="110"/>
              <w:rPr>
                <w:rFonts w:ascii="Times New Roman"/>
                <w:b/>
                <w:sz w:val="21"/>
              </w:rPr>
            </w:pPr>
            <w:r>
              <w:rPr>
                <w:rFonts w:ascii="Times New Roman"/>
                <w:b/>
                <w:sz w:val="21"/>
              </w:rPr>
              <w:t>2.2</w:t>
            </w:r>
          </w:p>
        </w:tc>
        <w:tc>
          <w:tcPr>
            <w:tcW w:w="1643" w:type="dxa"/>
          </w:tcPr>
          <w:p>
            <w:pPr>
              <w:pStyle w:val="TableParagraph"/>
              <w:spacing w:before="36"/>
              <w:ind w:left="250"/>
              <w:rPr>
                <w:rFonts w:ascii="微软雅黑" w:eastAsia="微软雅黑" w:hint="eastAsia"/>
                <w:b/>
                <w:sz w:val="21"/>
              </w:rPr>
            </w:pPr>
            <w:r>
              <w:rPr>
                <w:rFonts w:ascii="微软雅黑" w:eastAsia="微软雅黑" w:hint="eastAsia"/>
                <w:b/>
                <w:sz w:val="21"/>
              </w:rPr>
              <w:t>等待期</w:t>
            </w:r>
          </w:p>
        </w:tc>
        <w:tc>
          <w:tcPr>
            <w:tcW w:w="7922" w:type="dxa"/>
          </w:tcPr>
          <w:p>
            <w:pPr>
              <w:pStyle w:val="TableParagraph"/>
              <w:spacing w:line="184" w:lineRule="auto" w:before="166"/>
              <w:ind w:left="124" w:right="1957"/>
              <w:rPr>
                <w:sz w:val="21"/>
              </w:rPr>
            </w:pPr>
            <w:r>
              <w:rPr>
                <w:sz w:val="21"/>
              </w:rPr>
              <w:t>因疾病导致的保险事故的等待期为自本合同生效之日起 </w:t>
            </w:r>
            <w:r>
              <w:rPr>
                <w:rFonts w:ascii="Times New Roman" w:eastAsia="Times New Roman"/>
                <w:sz w:val="21"/>
              </w:rPr>
              <w:t>30 </w:t>
            </w:r>
            <w:r>
              <w:rPr>
                <w:sz w:val="21"/>
              </w:rPr>
              <w:t>日； 因</w:t>
            </w:r>
            <w:r>
              <w:rPr>
                <w:rFonts w:ascii="微软雅黑" w:eastAsia="微软雅黑" w:hint="eastAsia"/>
                <w:b/>
                <w:sz w:val="21"/>
              </w:rPr>
              <w:t>意外伤害</w:t>
            </w:r>
            <w:r>
              <w:rPr>
                <w:sz w:val="21"/>
              </w:rPr>
              <w:t>（见 </w:t>
            </w:r>
            <w:r>
              <w:rPr>
                <w:rFonts w:ascii="Times New Roman" w:eastAsia="Times New Roman"/>
                <w:sz w:val="21"/>
              </w:rPr>
              <w:t>7.1</w:t>
            </w:r>
            <w:r>
              <w:rPr>
                <w:sz w:val="21"/>
              </w:rPr>
              <w:t>）导致的保险事故无等待期。</w:t>
            </w:r>
          </w:p>
        </w:tc>
      </w:tr>
      <w:tr>
        <w:trPr>
          <w:trHeight w:val="1603" w:hRule="atLeast"/>
        </w:trPr>
        <w:tc>
          <w:tcPr>
            <w:tcW w:w="719" w:type="dxa"/>
          </w:tcPr>
          <w:p>
            <w:pPr>
              <w:pStyle w:val="TableParagraph"/>
              <w:spacing w:before="123"/>
              <w:ind w:left="110"/>
              <w:rPr>
                <w:rFonts w:ascii="Times New Roman"/>
                <w:b/>
                <w:sz w:val="21"/>
              </w:rPr>
            </w:pPr>
            <w:r>
              <w:rPr>
                <w:rFonts w:ascii="Times New Roman"/>
                <w:b/>
                <w:sz w:val="21"/>
              </w:rPr>
              <w:t>2.3</w:t>
            </w:r>
          </w:p>
        </w:tc>
        <w:tc>
          <w:tcPr>
            <w:tcW w:w="1643" w:type="dxa"/>
          </w:tcPr>
          <w:p>
            <w:pPr>
              <w:pStyle w:val="TableParagraph"/>
              <w:spacing w:before="28"/>
              <w:ind w:left="250"/>
              <w:rPr>
                <w:rFonts w:ascii="微软雅黑" w:eastAsia="微软雅黑" w:hint="eastAsia"/>
                <w:b/>
                <w:sz w:val="21"/>
              </w:rPr>
            </w:pPr>
            <w:r>
              <w:rPr>
                <w:rFonts w:ascii="微软雅黑" w:eastAsia="微软雅黑" w:hint="eastAsia"/>
                <w:b/>
                <w:sz w:val="21"/>
              </w:rPr>
              <w:t>保险责任</w:t>
            </w:r>
          </w:p>
        </w:tc>
        <w:tc>
          <w:tcPr>
            <w:tcW w:w="7922" w:type="dxa"/>
          </w:tcPr>
          <w:p>
            <w:pPr>
              <w:pStyle w:val="TableParagraph"/>
              <w:spacing w:before="91"/>
              <w:ind w:left="124" w:right="100"/>
              <w:rPr>
                <w:sz w:val="21"/>
              </w:rPr>
            </w:pPr>
            <w:r>
              <w:rPr>
                <w:sz w:val="21"/>
              </w:rPr>
              <w:t>您可以单独投保重大疾病责任，也可以在投保重大疾病责任的基础上加投疾病身故责任，但不能单独投保疾病身故责任。</w:t>
            </w:r>
          </w:p>
          <w:p>
            <w:pPr>
              <w:pStyle w:val="TableParagraph"/>
              <w:spacing w:line="283" w:lineRule="exact"/>
              <w:ind w:left="124"/>
              <w:rPr>
                <w:sz w:val="21"/>
              </w:rPr>
            </w:pPr>
            <w:r>
              <w:rPr>
                <w:sz w:val="21"/>
              </w:rPr>
              <w:t>等待期内，如被保险人初次患本合同约定的</w:t>
            </w:r>
            <w:r>
              <w:rPr>
                <w:rFonts w:ascii="微软雅黑" w:eastAsia="微软雅黑" w:hint="eastAsia"/>
                <w:b/>
                <w:sz w:val="21"/>
              </w:rPr>
              <w:t>重大疾病</w:t>
            </w:r>
            <w:r>
              <w:rPr>
                <w:sz w:val="21"/>
              </w:rPr>
              <w:t>（见 </w:t>
            </w:r>
            <w:r>
              <w:rPr>
                <w:rFonts w:ascii="Times New Roman" w:eastAsia="Times New Roman"/>
                <w:sz w:val="21"/>
              </w:rPr>
              <w:t>7.2</w:t>
            </w:r>
            <w:r>
              <w:rPr>
                <w:sz w:val="21"/>
              </w:rPr>
              <w:t>）或因疾病身故，我们</w:t>
            </w:r>
          </w:p>
          <w:p>
            <w:pPr>
              <w:pStyle w:val="TableParagraph"/>
              <w:spacing w:line="237" w:lineRule="auto"/>
              <w:ind w:left="124" w:right="228"/>
              <w:rPr>
                <w:sz w:val="21"/>
              </w:rPr>
            </w:pPr>
            <w:r>
              <w:rPr>
                <w:sz w:val="21"/>
              </w:rPr>
              <w:t>退还该被保险人该项责任对应的所交保险费，本合同对该被保险人该项责任终止。等待期后， 对应于每项责任，我们按照下列方式给付保险金：</w:t>
            </w:r>
          </w:p>
        </w:tc>
      </w:tr>
      <w:tr>
        <w:trPr>
          <w:trHeight w:val="795" w:hRule="atLeast"/>
        </w:trPr>
        <w:tc>
          <w:tcPr>
            <w:tcW w:w="719" w:type="dxa"/>
          </w:tcPr>
          <w:p>
            <w:pPr>
              <w:pStyle w:val="TableParagraph"/>
              <w:rPr>
                <w:rFonts w:ascii="Times New Roman"/>
                <w:sz w:val="20"/>
              </w:rPr>
            </w:pPr>
          </w:p>
        </w:tc>
        <w:tc>
          <w:tcPr>
            <w:tcW w:w="1643" w:type="dxa"/>
          </w:tcPr>
          <w:p>
            <w:pPr>
              <w:pStyle w:val="TableParagraph"/>
              <w:spacing w:before="90"/>
              <w:ind w:left="250" w:right="547"/>
              <w:rPr>
                <w:sz w:val="21"/>
              </w:rPr>
            </w:pPr>
            <w:r>
              <w:rPr>
                <w:sz w:val="21"/>
              </w:rPr>
              <w:t>重大疾病保险金</w:t>
            </w:r>
          </w:p>
        </w:tc>
        <w:tc>
          <w:tcPr>
            <w:tcW w:w="7922" w:type="dxa"/>
          </w:tcPr>
          <w:p>
            <w:pPr>
              <w:pStyle w:val="TableParagraph"/>
              <w:spacing w:line="180" w:lineRule="auto" w:before="119"/>
              <w:ind w:left="124" w:right="103"/>
              <w:rPr>
                <w:sz w:val="21"/>
              </w:rPr>
            </w:pPr>
            <w:r>
              <w:rPr>
                <w:sz w:val="21"/>
              </w:rPr>
              <w:t>被保险人经</w:t>
            </w:r>
            <w:r>
              <w:rPr>
                <w:rFonts w:ascii="微软雅黑" w:hAnsi="微软雅黑" w:eastAsia="微软雅黑" w:hint="eastAsia"/>
                <w:b/>
                <w:sz w:val="21"/>
              </w:rPr>
              <w:t>专科医生</w:t>
            </w:r>
            <w:r>
              <w:rPr>
                <w:sz w:val="21"/>
              </w:rPr>
              <w:t>（见 </w:t>
            </w:r>
            <w:r>
              <w:rPr>
                <w:rFonts w:ascii="Times New Roman" w:hAnsi="Times New Roman" w:eastAsia="Times New Roman"/>
                <w:sz w:val="21"/>
              </w:rPr>
              <w:t>7.3</w:t>
            </w:r>
            <w:r>
              <w:rPr>
                <w:sz w:val="21"/>
              </w:rPr>
              <w:t>）诊断初次患本合同约定的</w:t>
            </w:r>
            <w:r>
              <w:rPr>
                <w:rFonts w:ascii="微软雅黑" w:hAnsi="微软雅黑" w:eastAsia="微软雅黑" w:hint="eastAsia"/>
                <w:b/>
                <w:sz w:val="21"/>
              </w:rPr>
              <w:t>重大疾病</w:t>
            </w:r>
            <w:r>
              <w:rPr>
                <w:sz w:val="21"/>
              </w:rPr>
              <w:t>的，我们给付</w:t>
            </w:r>
            <w:r>
              <w:rPr>
                <w:rFonts w:ascii="Times New Roman" w:hAnsi="Times New Roman" w:eastAsia="Times New Roman"/>
                <w:sz w:val="21"/>
              </w:rPr>
              <w:t>“</w:t>
            </w:r>
            <w:r>
              <w:rPr>
                <w:rFonts w:ascii="微软雅黑" w:hAnsi="微软雅黑" w:eastAsia="微软雅黑" w:hint="eastAsia"/>
                <w:b/>
                <w:sz w:val="21"/>
              </w:rPr>
              <w:t>重大疾病</w:t>
            </w:r>
            <w:r>
              <w:rPr>
                <w:sz w:val="21"/>
              </w:rPr>
              <w:t>保险金</w:t>
            </w:r>
            <w:r>
              <w:rPr>
                <w:rFonts w:ascii="Times New Roman" w:hAnsi="Times New Roman" w:eastAsia="Times New Roman"/>
                <w:sz w:val="21"/>
              </w:rPr>
              <w:t>”</w:t>
            </w:r>
            <w:r>
              <w:rPr>
                <w:sz w:val="21"/>
              </w:rPr>
              <w:t>，本合同对该被保险人的该项保险责任终止。</w:t>
            </w:r>
          </w:p>
        </w:tc>
      </w:tr>
      <w:tr>
        <w:trPr>
          <w:trHeight w:val="770" w:hRule="atLeast"/>
        </w:trPr>
        <w:tc>
          <w:tcPr>
            <w:tcW w:w="719" w:type="dxa"/>
          </w:tcPr>
          <w:p>
            <w:pPr>
              <w:pStyle w:val="TableParagraph"/>
              <w:rPr>
                <w:rFonts w:ascii="Times New Roman"/>
                <w:sz w:val="20"/>
              </w:rPr>
            </w:pPr>
          </w:p>
        </w:tc>
        <w:tc>
          <w:tcPr>
            <w:tcW w:w="1643" w:type="dxa"/>
          </w:tcPr>
          <w:p>
            <w:pPr>
              <w:pStyle w:val="TableParagraph"/>
              <w:spacing w:before="82"/>
              <w:ind w:left="250" w:right="547"/>
              <w:rPr>
                <w:sz w:val="21"/>
              </w:rPr>
            </w:pPr>
            <w:r>
              <w:rPr>
                <w:sz w:val="21"/>
              </w:rPr>
              <w:t>疾病身故保险金</w:t>
            </w:r>
          </w:p>
        </w:tc>
        <w:tc>
          <w:tcPr>
            <w:tcW w:w="7922" w:type="dxa"/>
          </w:tcPr>
          <w:p>
            <w:pPr>
              <w:pStyle w:val="TableParagraph"/>
              <w:spacing w:line="225" w:lineRule="auto" w:before="100"/>
              <w:ind w:left="124" w:right="101"/>
              <w:rPr>
                <w:sz w:val="21"/>
              </w:rPr>
            </w:pPr>
            <w:r>
              <w:rPr>
                <w:sz w:val="21"/>
              </w:rPr>
              <w:t>被保险人因疾病身故的，我们按照疾病身故保险金额给付</w:t>
            </w:r>
            <w:r>
              <w:rPr>
                <w:rFonts w:ascii="Times New Roman" w:hAnsi="Times New Roman" w:eastAsia="Times New Roman"/>
                <w:sz w:val="21"/>
              </w:rPr>
              <w:t>“</w:t>
            </w:r>
            <w:r>
              <w:rPr>
                <w:sz w:val="21"/>
              </w:rPr>
              <w:t>疾病身故保险金</w:t>
            </w:r>
            <w:r>
              <w:rPr>
                <w:rFonts w:ascii="Times New Roman" w:hAnsi="Times New Roman" w:eastAsia="Times New Roman"/>
                <w:sz w:val="21"/>
              </w:rPr>
              <w:t>”</w:t>
            </w:r>
            <w:r>
              <w:rPr>
                <w:sz w:val="21"/>
              </w:rPr>
              <w:t>， 本合同对该被保险人的保险责任终止。</w:t>
            </w:r>
          </w:p>
        </w:tc>
      </w:tr>
      <w:tr>
        <w:trPr>
          <w:trHeight w:val="3656" w:hRule="atLeast"/>
        </w:trPr>
        <w:tc>
          <w:tcPr>
            <w:tcW w:w="719" w:type="dxa"/>
          </w:tcPr>
          <w:p>
            <w:pPr>
              <w:pStyle w:val="TableParagraph"/>
              <w:spacing w:before="131"/>
              <w:ind w:left="110"/>
              <w:rPr>
                <w:rFonts w:ascii="Times New Roman"/>
                <w:b/>
                <w:sz w:val="21"/>
              </w:rPr>
            </w:pPr>
            <w:r>
              <w:rPr>
                <w:rFonts w:ascii="Times New Roman"/>
                <w:b/>
                <w:sz w:val="21"/>
              </w:rPr>
              <w:t>2.4</w:t>
            </w:r>
          </w:p>
        </w:tc>
        <w:tc>
          <w:tcPr>
            <w:tcW w:w="1643" w:type="dxa"/>
          </w:tcPr>
          <w:p>
            <w:pPr>
              <w:pStyle w:val="TableParagraph"/>
              <w:spacing w:before="36"/>
              <w:ind w:left="250"/>
              <w:rPr>
                <w:rFonts w:ascii="微软雅黑" w:eastAsia="微软雅黑" w:hint="eastAsia"/>
                <w:b/>
                <w:sz w:val="21"/>
              </w:rPr>
            </w:pPr>
            <w:r>
              <w:rPr>
                <w:rFonts w:ascii="微软雅黑" w:eastAsia="微软雅黑" w:hint="eastAsia"/>
                <w:b/>
                <w:sz w:val="21"/>
              </w:rPr>
              <w:t>责任免除</w:t>
            </w:r>
          </w:p>
        </w:tc>
        <w:tc>
          <w:tcPr>
            <w:tcW w:w="7922" w:type="dxa"/>
          </w:tcPr>
          <w:p>
            <w:pPr>
              <w:pStyle w:val="TableParagraph"/>
              <w:spacing w:line="180" w:lineRule="auto" w:before="127"/>
              <w:ind w:left="124" w:right="206"/>
              <w:rPr>
                <w:rFonts w:ascii="微软雅黑" w:eastAsia="微软雅黑" w:hint="eastAsia"/>
                <w:b/>
                <w:sz w:val="21"/>
              </w:rPr>
            </w:pPr>
            <w:r>
              <w:rPr>
                <w:rFonts w:ascii="微软雅黑" w:eastAsia="微软雅黑" w:hint="eastAsia"/>
                <w:b/>
                <w:sz w:val="21"/>
              </w:rPr>
              <w:t>因下列情形之一，导致被保险人发生本合同约定的保险事故的，本公司不承担保险责任：</w:t>
            </w:r>
          </w:p>
          <w:p>
            <w:pPr>
              <w:pStyle w:val="TableParagraph"/>
              <w:numPr>
                <w:ilvl w:val="0"/>
                <w:numId w:val="5"/>
              </w:numPr>
              <w:tabs>
                <w:tab w:pos="845" w:val="left" w:leader="none"/>
              </w:tabs>
              <w:spacing w:line="228" w:lineRule="exact" w:before="0" w:after="0"/>
              <w:ind w:left="844" w:right="0" w:hanging="720"/>
              <w:jc w:val="left"/>
              <w:rPr>
                <w:rFonts w:ascii="微软雅黑" w:eastAsia="微软雅黑" w:hint="eastAsia"/>
                <w:b/>
                <w:sz w:val="21"/>
              </w:rPr>
            </w:pPr>
            <w:r>
              <w:rPr>
                <w:rFonts w:ascii="微软雅黑" w:eastAsia="微软雅黑" w:hint="eastAsia"/>
                <w:b/>
                <w:spacing w:val="-2"/>
                <w:sz w:val="21"/>
              </w:rPr>
              <w:t>投保人对被保险人的故意行为；</w:t>
            </w:r>
          </w:p>
          <w:p>
            <w:pPr>
              <w:pStyle w:val="TableParagraph"/>
              <w:numPr>
                <w:ilvl w:val="0"/>
                <w:numId w:val="5"/>
              </w:numPr>
              <w:tabs>
                <w:tab w:pos="845" w:val="left" w:leader="none"/>
              </w:tabs>
              <w:spacing w:line="272" w:lineRule="exact" w:before="0" w:after="0"/>
              <w:ind w:left="844" w:right="0" w:hanging="7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TableParagraph"/>
              <w:numPr>
                <w:ilvl w:val="0"/>
                <w:numId w:val="5"/>
              </w:numPr>
              <w:tabs>
                <w:tab w:pos="845" w:val="left" w:leader="none"/>
              </w:tabs>
              <w:spacing w:line="272" w:lineRule="exact" w:before="0" w:after="0"/>
              <w:ind w:left="844" w:right="0" w:hanging="720"/>
              <w:jc w:val="left"/>
              <w:rPr>
                <w:rFonts w:ascii="微软雅黑" w:eastAsia="微软雅黑" w:hint="eastAsia"/>
                <w:b/>
                <w:sz w:val="21"/>
              </w:rPr>
            </w:pPr>
            <w:r>
              <w:rPr>
                <w:rFonts w:ascii="微软雅黑" w:eastAsia="微软雅黑" w:hint="eastAsia"/>
                <w:b/>
                <w:spacing w:val="-2"/>
                <w:sz w:val="21"/>
              </w:rPr>
              <w:t>被保险人主动吸食或注射毒品</w:t>
            </w:r>
            <w:r>
              <w:rPr>
                <w:sz w:val="21"/>
              </w:rPr>
              <w:t>（</w:t>
            </w:r>
            <w:r>
              <w:rPr>
                <w:spacing w:val="-21"/>
                <w:sz w:val="21"/>
              </w:rPr>
              <w:t>见 </w:t>
            </w:r>
            <w:r>
              <w:rPr>
                <w:rFonts w:ascii="Times New Roman" w:eastAsia="Times New Roman"/>
                <w:sz w:val="21"/>
              </w:rPr>
              <w:t>7.4</w:t>
            </w:r>
            <w:r>
              <w:rPr>
                <w:sz w:val="21"/>
              </w:rPr>
              <w:t>）</w:t>
            </w:r>
            <w:r>
              <w:rPr>
                <w:rFonts w:ascii="微软雅黑" w:eastAsia="微软雅黑" w:hint="eastAsia"/>
                <w:b/>
                <w:sz w:val="21"/>
              </w:rPr>
              <w:t>；</w:t>
            </w:r>
          </w:p>
          <w:p>
            <w:pPr>
              <w:pStyle w:val="TableParagraph"/>
              <w:numPr>
                <w:ilvl w:val="0"/>
                <w:numId w:val="5"/>
              </w:numPr>
              <w:tabs>
                <w:tab w:pos="845" w:val="left" w:leader="none"/>
              </w:tabs>
              <w:spacing w:line="180" w:lineRule="auto" w:before="45" w:after="0"/>
              <w:ind w:left="844" w:right="122" w:hanging="720"/>
              <w:jc w:val="left"/>
              <w:rPr>
                <w:rFonts w:ascii="微软雅黑" w:eastAsia="微软雅黑" w:hint="eastAsia"/>
                <w:b/>
                <w:sz w:val="21"/>
              </w:rPr>
            </w:pPr>
            <w:r>
              <w:rPr>
                <w:rFonts w:ascii="微软雅黑" w:eastAsia="微软雅黑" w:hint="eastAsia"/>
                <w:b/>
                <w:sz w:val="21"/>
              </w:rPr>
              <w:t>被保险人酒后驾驶</w:t>
            </w:r>
            <w:r>
              <w:rPr>
                <w:spacing w:val="-3"/>
                <w:sz w:val="21"/>
              </w:rPr>
              <w:t>（</w:t>
            </w:r>
            <w:r>
              <w:rPr>
                <w:spacing w:val="-21"/>
                <w:sz w:val="21"/>
              </w:rPr>
              <w:t>见 </w:t>
            </w:r>
            <w:r>
              <w:rPr>
                <w:rFonts w:ascii="Times New Roman" w:eastAsia="Times New Roman"/>
                <w:sz w:val="21"/>
              </w:rPr>
              <w:t>7.5</w:t>
            </w:r>
            <w:r>
              <w:rPr>
                <w:sz w:val="21"/>
              </w:rPr>
              <w:t>）</w:t>
            </w:r>
            <w:r>
              <w:rPr>
                <w:rFonts w:ascii="微软雅黑" w:eastAsia="微软雅黑" w:hint="eastAsia"/>
                <w:b/>
                <w:spacing w:val="-1"/>
                <w:sz w:val="21"/>
              </w:rPr>
              <w:t>，无合法有效驾驶证驾驶</w:t>
            </w:r>
            <w:r>
              <w:rPr>
                <w:sz w:val="21"/>
              </w:rPr>
              <w:t>（</w:t>
            </w:r>
            <w:r>
              <w:rPr>
                <w:spacing w:val="-21"/>
                <w:sz w:val="21"/>
              </w:rPr>
              <w:t>见 </w:t>
            </w:r>
            <w:r>
              <w:rPr>
                <w:rFonts w:ascii="Times New Roman" w:eastAsia="Times New Roman"/>
                <w:sz w:val="21"/>
              </w:rPr>
              <w:t>7.6</w:t>
            </w:r>
            <w:r>
              <w:rPr>
                <w:sz w:val="21"/>
              </w:rPr>
              <w:t>）</w:t>
            </w:r>
            <w:r>
              <w:rPr>
                <w:rFonts w:ascii="微软雅黑" w:eastAsia="微软雅黑" w:hint="eastAsia"/>
                <w:b/>
                <w:sz w:val="21"/>
              </w:rPr>
              <w:t>，或驾驶无有效行驶证</w:t>
            </w:r>
            <w:r>
              <w:rPr>
                <w:spacing w:val="-3"/>
                <w:sz w:val="21"/>
              </w:rPr>
              <w:t>（</w:t>
            </w:r>
            <w:r>
              <w:rPr>
                <w:spacing w:val="-21"/>
                <w:sz w:val="21"/>
              </w:rPr>
              <w:t>见 </w:t>
            </w:r>
            <w:r>
              <w:rPr>
                <w:rFonts w:ascii="Times New Roman" w:eastAsia="Times New Roman"/>
                <w:sz w:val="21"/>
              </w:rPr>
              <w:t>7.7</w:t>
            </w:r>
            <w:r>
              <w:rPr>
                <w:sz w:val="21"/>
              </w:rPr>
              <w:t>）</w:t>
            </w:r>
            <w:r>
              <w:rPr>
                <w:rFonts w:ascii="微软雅黑" w:eastAsia="微软雅黑" w:hint="eastAsia"/>
                <w:b/>
                <w:sz w:val="21"/>
              </w:rPr>
              <w:t>的机动车；</w:t>
            </w:r>
          </w:p>
          <w:p>
            <w:pPr>
              <w:pStyle w:val="TableParagraph"/>
              <w:numPr>
                <w:ilvl w:val="0"/>
                <w:numId w:val="5"/>
              </w:numPr>
              <w:tabs>
                <w:tab w:pos="845" w:val="left" w:leader="none"/>
              </w:tabs>
              <w:spacing w:line="228" w:lineRule="exact" w:before="0" w:after="0"/>
              <w:ind w:left="844" w:right="0" w:hanging="720"/>
              <w:jc w:val="left"/>
              <w:rPr>
                <w:rFonts w:ascii="微软雅黑" w:eastAsia="微软雅黑" w:hint="eastAsia"/>
                <w:b/>
                <w:sz w:val="21"/>
              </w:rPr>
            </w:pPr>
            <w:r>
              <w:rPr>
                <w:rFonts w:ascii="微软雅黑" w:eastAsia="微软雅黑" w:hint="eastAsia"/>
                <w:b/>
                <w:spacing w:val="-2"/>
                <w:sz w:val="21"/>
              </w:rPr>
              <w:t>被保险人感染艾滋病病毒或患艾滋病</w:t>
            </w:r>
            <w:r>
              <w:rPr>
                <w:spacing w:val="-3"/>
                <w:sz w:val="21"/>
              </w:rPr>
              <w:t>（</w:t>
            </w:r>
            <w:r>
              <w:rPr>
                <w:spacing w:val="-18"/>
                <w:sz w:val="21"/>
              </w:rPr>
              <w:t>见 </w:t>
            </w:r>
            <w:r>
              <w:rPr>
                <w:rFonts w:ascii="Times New Roman" w:eastAsia="Times New Roman"/>
                <w:sz w:val="21"/>
              </w:rPr>
              <w:t>7.8</w:t>
            </w:r>
            <w:r>
              <w:rPr>
                <w:sz w:val="21"/>
              </w:rPr>
              <w:t>）</w:t>
            </w:r>
            <w:r>
              <w:rPr>
                <w:rFonts w:ascii="微软雅黑" w:eastAsia="微软雅黑" w:hint="eastAsia"/>
                <w:b/>
                <w:sz w:val="21"/>
              </w:rPr>
              <w:t>；</w:t>
            </w:r>
          </w:p>
          <w:p>
            <w:pPr>
              <w:pStyle w:val="TableParagraph"/>
              <w:numPr>
                <w:ilvl w:val="0"/>
                <w:numId w:val="5"/>
              </w:numPr>
              <w:tabs>
                <w:tab w:pos="845" w:val="left" w:leader="none"/>
              </w:tabs>
              <w:spacing w:line="272" w:lineRule="exact" w:before="0" w:after="0"/>
              <w:ind w:left="844" w:right="0" w:hanging="720"/>
              <w:jc w:val="left"/>
              <w:rPr>
                <w:rFonts w:ascii="微软雅黑" w:eastAsia="微软雅黑" w:hint="eastAsia"/>
                <w:b/>
                <w:sz w:val="21"/>
              </w:rPr>
            </w:pPr>
            <w:r>
              <w:rPr>
                <w:rFonts w:ascii="微软雅黑" w:eastAsia="微软雅黑" w:hint="eastAsia"/>
                <w:b/>
                <w:spacing w:val="-2"/>
                <w:sz w:val="21"/>
              </w:rPr>
              <w:t>被保险人因意外事故导致的身故；</w:t>
            </w:r>
          </w:p>
          <w:p>
            <w:pPr>
              <w:pStyle w:val="TableParagraph"/>
              <w:numPr>
                <w:ilvl w:val="0"/>
                <w:numId w:val="5"/>
              </w:numPr>
              <w:tabs>
                <w:tab w:pos="845" w:val="left" w:leader="none"/>
              </w:tabs>
              <w:spacing w:line="272" w:lineRule="exact" w:before="0" w:after="0"/>
              <w:ind w:left="844" w:right="0" w:hanging="720"/>
              <w:jc w:val="left"/>
              <w:rPr>
                <w:rFonts w:ascii="微软雅黑" w:eastAsia="微软雅黑" w:hint="eastAsia"/>
                <w:b/>
                <w:sz w:val="21"/>
              </w:rPr>
            </w:pPr>
            <w:r>
              <w:rPr>
                <w:rFonts w:ascii="微软雅黑" w:eastAsia="微软雅黑" w:hint="eastAsia"/>
                <w:b/>
                <w:spacing w:val="-2"/>
                <w:sz w:val="21"/>
              </w:rPr>
              <w:t>战争、军事冲突、暴乱或武装叛乱；</w:t>
            </w:r>
          </w:p>
          <w:p>
            <w:pPr>
              <w:pStyle w:val="TableParagraph"/>
              <w:numPr>
                <w:ilvl w:val="0"/>
                <w:numId w:val="5"/>
              </w:numPr>
              <w:tabs>
                <w:tab w:pos="845" w:val="left" w:leader="none"/>
              </w:tabs>
              <w:spacing w:line="272" w:lineRule="exact" w:before="0" w:after="0"/>
              <w:ind w:left="844" w:right="0" w:hanging="720"/>
              <w:jc w:val="left"/>
              <w:rPr>
                <w:rFonts w:ascii="微软雅黑" w:eastAsia="微软雅黑" w:hint="eastAsia"/>
                <w:b/>
                <w:sz w:val="21"/>
              </w:rPr>
            </w:pPr>
            <w:r>
              <w:rPr>
                <w:rFonts w:ascii="微软雅黑" w:eastAsia="微软雅黑" w:hint="eastAsia"/>
                <w:b/>
                <w:spacing w:val="-2"/>
                <w:sz w:val="21"/>
              </w:rPr>
              <w:t>核爆炸、核辐射或核污染；</w:t>
            </w:r>
          </w:p>
          <w:p>
            <w:pPr>
              <w:pStyle w:val="TableParagraph"/>
              <w:numPr>
                <w:ilvl w:val="0"/>
                <w:numId w:val="5"/>
              </w:numPr>
              <w:tabs>
                <w:tab w:pos="845" w:val="left" w:leader="none"/>
              </w:tabs>
              <w:spacing w:line="272" w:lineRule="exact" w:before="0" w:after="0"/>
              <w:ind w:left="844" w:right="0" w:hanging="720"/>
              <w:jc w:val="left"/>
              <w:rPr>
                <w:rFonts w:ascii="微软雅黑" w:eastAsia="微软雅黑" w:hint="eastAsia"/>
                <w:b/>
                <w:sz w:val="21"/>
              </w:rPr>
            </w:pPr>
            <w:r>
              <w:rPr>
                <w:rFonts w:ascii="微软雅黑" w:eastAsia="微软雅黑" w:hint="eastAsia"/>
                <w:b/>
                <w:sz w:val="21"/>
              </w:rPr>
              <w:t>遗传性疾病</w:t>
            </w:r>
            <w:r>
              <w:rPr>
                <w:spacing w:val="-3"/>
                <w:sz w:val="21"/>
              </w:rPr>
              <w:t>（</w:t>
            </w:r>
            <w:r>
              <w:rPr>
                <w:spacing w:val="-21"/>
                <w:sz w:val="21"/>
              </w:rPr>
              <w:t>见 </w:t>
            </w:r>
            <w:r>
              <w:rPr>
                <w:rFonts w:ascii="Times New Roman" w:eastAsia="Times New Roman"/>
                <w:sz w:val="21"/>
              </w:rPr>
              <w:t>7.9</w:t>
            </w:r>
            <w:r>
              <w:rPr>
                <w:sz w:val="21"/>
              </w:rPr>
              <w:t>）</w:t>
            </w:r>
            <w:r>
              <w:rPr>
                <w:rFonts w:ascii="微软雅黑" w:eastAsia="微软雅黑" w:hint="eastAsia"/>
                <w:b/>
                <w:spacing w:val="-2"/>
                <w:sz w:val="21"/>
              </w:rPr>
              <w:t>，先天性畸形、变形或染色体异常</w:t>
            </w:r>
            <w:r>
              <w:rPr>
                <w:sz w:val="21"/>
              </w:rPr>
              <w:t>（</w:t>
            </w:r>
            <w:r>
              <w:rPr>
                <w:spacing w:val="-22"/>
                <w:sz w:val="21"/>
              </w:rPr>
              <w:t>见 </w:t>
            </w:r>
            <w:r>
              <w:rPr>
                <w:rFonts w:ascii="Times New Roman" w:eastAsia="Times New Roman"/>
                <w:sz w:val="21"/>
              </w:rPr>
              <w:t>7.10</w:t>
            </w:r>
            <w:r>
              <w:rPr>
                <w:sz w:val="21"/>
              </w:rPr>
              <w:t>）</w:t>
            </w:r>
            <w:r>
              <w:rPr>
                <w:rFonts w:ascii="微软雅黑" w:eastAsia="微软雅黑" w:hint="eastAsia"/>
                <w:b/>
                <w:sz w:val="21"/>
              </w:rPr>
              <w:t>。</w:t>
            </w:r>
          </w:p>
          <w:p>
            <w:pPr>
              <w:pStyle w:val="TableParagraph"/>
              <w:spacing w:line="288" w:lineRule="exact"/>
              <w:ind w:left="124"/>
              <w:rPr>
                <w:rFonts w:ascii="微软雅黑" w:eastAsia="微软雅黑" w:hint="eastAsia"/>
                <w:b/>
                <w:sz w:val="21"/>
              </w:rPr>
            </w:pPr>
            <w:r>
              <w:rPr>
                <w:rFonts w:ascii="微软雅黑" w:eastAsia="微软雅黑" w:hint="eastAsia"/>
                <w:b/>
                <w:sz w:val="21"/>
              </w:rPr>
              <w:t>发生上述第 </w:t>
            </w:r>
            <w:r>
              <w:rPr>
                <w:rFonts w:ascii="Times New Roman" w:eastAsia="Times New Roman"/>
                <w:b/>
                <w:sz w:val="21"/>
              </w:rPr>
              <w:t>1 </w:t>
            </w:r>
            <w:r>
              <w:rPr>
                <w:rFonts w:ascii="微软雅黑" w:eastAsia="微软雅黑" w:hint="eastAsia"/>
                <w:b/>
                <w:sz w:val="21"/>
              </w:rPr>
              <w:t>项导致被保险人发生保险事故的，对该被保险人的保险责任终止，若</w:t>
            </w:r>
          </w:p>
        </w:tc>
      </w:tr>
    </w:tbl>
    <w:p>
      <w:pPr>
        <w:spacing w:after="0" w:line="288" w:lineRule="exact"/>
        <w:rPr>
          <w:rFonts w:ascii="微软雅黑" w:eastAsia="微软雅黑" w:hint="eastAsia"/>
          <w:sz w:val="21"/>
        </w:rPr>
        <w:sectPr>
          <w:pgSz w:w="11910" w:h="16840"/>
          <w:pgMar w:header="877" w:footer="995" w:top="1100" w:bottom="1180" w:left="720" w:right="680"/>
        </w:sectPr>
      </w:pPr>
    </w:p>
    <w:p>
      <w:pPr>
        <w:pStyle w:val="BodyText"/>
        <w:spacing w:before="7"/>
        <w:rPr>
          <w:sz w:val="23"/>
        </w:rPr>
      </w:pPr>
    </w:p>
    <w:p>
      <w:pPr>
        <w:pStyle w:val="Heading2"/>
        <w:spacing w:line="323" w:lineRule="exact"/>
        <w:ind w:left="2604"/>
      </w:pPr>
      <w:r>
        <w:rPr/>
        <w:t>该被保险人未领取过理赔金，我们向其他权利人退还该被保险人项下的现金价值</w:t>
      </w:r>
    </w:p>
    <w:p>
      <w:pPr>
        <w:pStyle w:val="BodyText"/>
        <w:spacing w:line="276" w:lineRule="exact" w:after="47"/>
        <w:ind w:left="2604"/>
      </w:pPr>
      <w:r>
        <w:rPr/>
        <w:t>（见 </w:t>
      </w:r>
      <w:r>
        <w:rPr>
          <w:rFonts w:ascii="Times New Roman" w:eastAsia="Times New Roman"/>
        </w:rPr>
        <w:t>7.11</w:t>
      </w:r>
      <w:r>
        <w:rPr/>
        <w:t>）。</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643"/>
        <w:gridCol w:w="7922"/>
      </w:tblGrid>
      <w:tr>
        <w:trPr>
          <w:trHeight w:val="1028" w:hRule="atLeast"/>
        </w:trPr>
        <w:tc>
          <w:tcPr>
            <w:tcW w:w="719" w:type="dxa"/>
            <w:tcBorders>
              <w:bottom w:val="single" w:sz="8" w:space="0" w:color="000000"/>
            </w:tcBorders>
          </w:tcPr>
          <w:p>
            <w:pPr>
              <w:pStyle w:val="TableParagraph"/>
              <w:rPr>
                <w:rFonts w:ascii="Times New Roman"/>
                <w:sz w:val="20"/>
              </w:rPr>
            </w:pPr>
          </w:p>
        </w:tc>
        <w:tc>
          <w:tcPr>
            <w:tcW w:w="1643" w:type="dxa"/>
            <w:tcBorders>
              <w:bottom w:val="single" w:sz="8" w:space="0" w:color="000000"/>
            </w:tcBorders>
          </w:tcPr>
          <w:p>
            <w:pPr>
              <w:pStyle w:val="TableParagraph"/>
              <w:rPr>
                <w:rFonts w:ascii="Times New Roman"/>
                <w:sz w:val="20"/>
              </w:rPr>
            </w:pPr>
          </w:p>
        </w:tc>
        <w:tc>
          <w:tcPr>
            <w:tcW w:w="7922" w:type="dxa"/>
            <w:tcBorders>
              <w:bottom w:val="single" w:sz="8" w:space="0" w:color="000000"/>
            </w:tcBorders>
          </w:tcPr>
          <w:p>
            <w:pPr>
              <w:pStyle w:val="TableParagraph"/>
              <w:spacing w:line="191" w:lineRule="exact"/>
              <w:ind w:left="124"/>
              <w:rPr>
                <w:rFonts w:ascii="微软雅黑" w:eastAsia="微软雅黑" w:hint="eastAsia"/>
                <w:b/>
                <w:sz w:val="21"/>
              </w:rPr>
            </w:pPr>
            <w:r>
              <w:rPr>
                <w:rFonts w:ascii="微软雅黑" w:eastAsia="微软雅黑" w:hint="eastAsia"/>
                <w:b/>
                <w:sz w:val="21"/>
              </w:rPr>
              <w:t>发生上述其它几项导致被保险人发生保险事故的，对该被保险人的保险责任终止，</w:t>
            </w:r>
          </w:p>
          <w:p>
            <w:pPr>
              <w:pStyle w:val="TableParagraph"/>
              <w:spacing w:line="180" w:lineRule="auto" w:before="45"/>
              <w:ind w:left="124" w:right="572"/>
              <w:rPr>
                <w:rFonts w:ascii="微软雅黑" w:eastAsia="微软雅黑" w:hint="eastAsia"/>
                <w:b/>
                <w:sz w:val="21"/>
              </w:rPr>
            </w:pPr>
            <w:r>
              <w:rPr>
                <w:rFonts w:ascii="微软雅黑" w:eastAsia="微软雅黑" w:hint="eastAsia"/>
                <w:b/>
                <w:sz w:val="21"/>
              </w:rPr>
              <w:t>若该被保险人未领取过理赔金，我们向您退还该被保险人项下的现金价值。 若发生事故的被保险人领取过理赔金，则不退还该被保险人项下的现金价值。</w:t>
            </w:r>
          </w:p>
        </w:tc>
      </w:tr>
      <w:tr>
        <w:trPr>
          <w:trHeight w:val="443" w:hRule="atLeast"/>
        </w:trPr>
        <w:tc>
          <w:tcPr>
            <w:tcW w:w="719" w:type="dxa"/>
            <w:tcBorders>
              <w:top w:val="single" w:sz="8" w:space="0" w:color="000000"/>
              <w:bottom w:val="single" w:sz="8" w:space="0" w:color="000000"/>
            </w:tcBorders>
          </w:tcPr>
          <w:p>
            <w:pPr>
              <w:pStyle w:val="TableParagraph"/>
              <w:spacing w:line="423" w:lineRule="exact"/>
              <w:ind w:left="110"/>
              <w:rPr>
                <w:rFonts w:ascii="Wingdings" w:hAnsi="Wingdings"/>
                <w:sz w:val="40"/>
              </w:rPr>
            </w:pPr>
            <w:r>
              <w:rPr>
                <w:rFonts w:ascii="Wingdings" w:hAnsi="Wingdings"/>
                <w:w w:val="100"/>
                <w:sz w:val="40"/>
              </w:rPr>
              <w:t></w:t>
            </w:r>
          </w:p>
        </w:tc>
        <w:tc>
          <w:tcPr>
            <w:tcW w:w="9565" w:type="dxa"/>
            <w:gridSpan w:val="2"/>
            <w:tcBorders>
              <w:top w:val="single" w:sz="8" w:space="0" w:color="000000"/>
              <w:bottom w:val="single" w:sz="8" w:space="0" w:color="000000"/>
            </w:tcBorders>
          </w:tcPr>
          <w:p>
            <w:pPr>
              <w:pStyle w:val="TableParagraph"/>
              <w:spacing w:line="370" w:lineRule="exact"/>
              <w:ind w:left="250"/>
              <w:rPr>
                <w:rFonts w:ascii="微软雅黑" w:eastAsia="微软雅黑" w:hint="eastAsia"/>
                <w:b/>
                <w:sz w:val="24"/>
              </w:rPr>
            </w:pPr>
            <w:r>
              <w:rPr>
                <w:rFonts w:ascii="微软雅黑" w:eastAsia="微软雅黑" w:hint="eastAsia"/>
                <w:b/>
                <w:sz w:val="24"/>
              </w:rPr>
              <w:t>如何申请保险金</w:t>
            </w:r>
          </w:p>
        </w:tc>
      </w:tr>
      <w:tr>
        <w:trPr>
          <w:trHeight w:val="5251" w:hRule="atLeast"/>
        </w:trPr>
        <w:tc>
          <w:tcPr>
            <w:tcW w:w="719" w:type="dxa"/>
            <w:tcBorders>
              <w:top w:val="single" w:sz="8" w:space="0" w:color="000000"/>
            </w:tcBorders>
          </w:tcPr>
          <w:p>
            <w:pPr>
              <w:pStyle w:val="TableParagraph"/>
              <w:spacing w:before="4"/>
              <w:rPr>
                <w:sz w:val="18"/>
              </w:rPr>
            </w:pPr>
          </w:p>
          <w:p>
            <w:pPr>
              <w:pStyle w:val="TableParagraph"/>
              <w:ind w:left="110"/>
              <w:rPr>
                <w:rFonts w:ascii="Times New Roman"/>
                <w:b/>
                <w:sz w:val="21"/>
              </w:rPr>
            </w:pPr>
            <w:r>
              <w:rPr>
                <w:rFonts w:ascii="Times New Roman"/>
                <w:b/>
                <w:sz w:val="21"/>
              </w:rPr>
              <w:t>3.1</w:t>
            </w:r>
          </w:p>
        </w:tc>
        <w:tc>
          <w:tcPr>
            <w:tcW w:w="1643" w:type="dxa"/>
            <w:tcBorders>
              <w:top w:val="single" w:sz="8" w:space="0" w:color="000000"/>
            </w:tcBorders>
          </w:tcPr>
          <w:p>
            <w:pPr>
              <w:pStyle w:val="TableParagraph"/>
              <w:spacing w:before="145"/>
              <w:ind w:left="250"/>
              <w:rPr>
                <w:rFonts w:ascii="微软雅黑" w:eastAsia="微软雅黑" w:hint="eastAsia"/>
                <w:b/>
                <w:sz w:val="21"/>
              </w:rPr>
            </w:pPr>
            <w:r>
              <w:rPr>
                <w:rFonts w:ascii="微软雅黑" w:eastAsia="微软雅黑" w:hint="eastAsia"/>
                <w:b/>
                <w:sz w:val="21"/>
              </w:rPr>
              <w:t>受益人</w:t>
            </w:r>
          </w:p>
        </w:tc>
        <w:tc>
          <w:tcPr>
            <w:tcW w:w="7922" w:type="dxa"/>
            <w:tcBorders>
              <w:top w:val="single" w:sz="8" w:space="0" w:color="000000"/>
            </w:tcBorders>
          </w:tcPr>
          <w:p>
            <w:pPr>
              <w:pStyle w:val="TableParagraph"/>
              <w:spacing w:before="11"/>
              <w:rPr>
                <w:sz w:val="15"/>
              </w:rPr>
            </w:pPr>
          </w:p>
          <w:p>
            <w:pPr>
              <w:pStyle w:val="TableParagraph"/>
              <w:spacing w:line="273" w:lineRule="exact"/>
              <w:ind w:left="177"/>
              <w:rPr>
                <w:sz w:val="21"/>
              </w:rPr>
            </w:pPr>
            <w:r>
              <w:rPr>
                <w:sz w:val="21"/>
              </w:rPr>
              <w:t>您或者被保险人可以指定一人或多人为“疾病身故保险金”受益人。</w:t>
            </w:r>
          </w:p>
          <w:p>
            <w:pPr>
              <w:pStyle w:val="TableParagraph"/>
              <w:ind w:left="124" w:right="227"/>
              <w:rPr>
                <w:sz w:val="21"/>
              </w:rPr>
            </w:pPr>
            <w:r>
              <w:rPr>
                <w:sz w:val="21"/>
              </w:rPr>
              <w:t>“疾病身故保险金”受益人为多人时，可以确定受益顺序和受益份额；如果没有确定份额，各受益人按照相等份额享有受益权。</w:t>
            </w:r>
          </w:p>
          <w:p>
            <w:pPr>
              <w:pStyle w:val="TableParagraph"/>
              <w:ind w:left="124" w:right="227"/>
              <w:rPr>
                <w:sz w:val="21"/>
              </w:rPr>
            </w:pPr>
            <w:r>
              <w:rPr>
                <w:sz w:val="21"/>
              </w:rPr>
              <w:t>被保险人为无民事行为能力人或限制民事行为能力人的，可以由其监护人指定受益人。</w:t>
            </w:r>
          </w:p>
          <w:p>
            <w:pPr>
              <w:pStyle w:val="TableParagraph"/>
              <w:ind w:left="124" w:right="227"/>
              <w:rPr>
                <w:sz w:val="21"/>
              </w:rPr>
            </w:pPr>
            <w:r>
              <w:rPr>
                <w:sz w:val="21"/>
              </w:rPr>
              <w:t>您或者被保险人在被保险人身故前可以变更“疾病身故保险金”受益人，但需书面通知我们，自我们在保险单上批注之日起生效。</w:t>
            </w:r>
          </w:p>
          <w:p>
            <w:pPr>
              <w:pStyle w:val="TableParagraph"/>
              <w:spacing w:line="271" w:lineRule="exact" w:before="2"/>
              <w:ind w:left="124"/>
              <w:rPr>
                <w:sz w:val="21"/>
              </w:rPr>
            </w:pPr>
            <w:r>
              <w:rPr>
                <w:sz w:val="21"/>
              </w:rPr>
              <w:t>您在指定和变更“疾病身故保险金”受益人时，须经被保险人书面同意。</w:t>
            </w:r>
          </w:p>
          <w:p>
            <w:pPr>
              <w:pStyle w:val="TableParagraph"/>
              <w:spacing w:line="272" w:lineRule="exact"/>
              <w:ind w:left="124"/>
              <w:rPr>
                <w:sz w:val="21"/>
              </w:rPr>
            </w:pPr>
            <w:r>
              <w:rPr>
                <w:sz w:val="21"/>
              </w:rPr>
              <w:t>被保险人身故后，有下列情形之一的，保险金作为被保险人的遗产，由本公司依照</w:t>
            </w:r>
          </w:p>
          <w:p>
            <w:pPr>
              <w:pStyle w:val="TableParagraph"/>
              <w:spacing w:line="272" w:lineRule="exact"/>
              <w:ind w:left="124"/>
              <w:rPr>
                <w:sz w:val="21"/>
              </w:rPr>
            </w:pPr>
            <w:r>
              <w:rPr>
                <w:sz w:val="21"/>
              </w:rPr>
              <w:t>《中华人民共和国继承法》的规定履行给付保险金的义务：</w:t>
            </w:r>
          </w:p>
          <w:p>
            <w:pPr>
              <w:pStyle w:val="TableParagraph"/>
              <w:spacing w:line="280" w:lineRule="exact"/>
              <w:ind w:left="124"/>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line="272" w:lineRule="exact"/>
              <w:ind w:left="124"/>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line="272" w:lineRule="exact"/>
              <w:ind w:left="124"/>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ind w:left="124" w:right="227"/>
              <w:rPr>
                <w:sz w:val="21"/>
              </w:rPr>
            </w:pPr>
            <w:r>
              <w:rPr>
                <w:sz w:val="21"/>
              </w:rPr>
              <w:t>受益人与被保险人在同一事件中身故，且不能确定身故先后顺序的，推定受益人身故在先。</w:t>
            </w:r>
          </w:p>
          <w:p>
            <w:pPr>
              <w:pStyle w:val="TableParagraph"/>
              <w:spacing w:before="5"/>
              <w:ind w:left="124" w:right="227"/>
              <w:rPr>
                <w:sz w:val="21"/>
              </w:rPr>
            </w:pPr>
            <w:r>
              <w:rPr>
                <w:sz w:val="21"/>
              </w:rPr>
              <w:t>受益人故意造成被保险人身故、疾病的，或者故意杀害被保险人未遂的，该受益人丧失受益权。</w:t>
            </w:r>
          </w:p>
          <w:p>
            <w:pPr>
              <w:pStyle w:val="TableParagraph"/>
              <w:spacing w:line="271" w:lineRule="exact"/>
              <w:ind w:left="124"/>
              <w:rPr>
                <w:sz w:val="21"/>
              </w:rPr>
            </w:pPr>
            <w:r>
              <w:rPr>
                <w:sz w:val="21"/>
              </w:rPr>
              <w:t>“重大疾病保险金”的受益人为被保险人本人。</w:t>
            </w:r>
          </w:p>
        </w:tc>
      </w:tr>
      <w:tr>
        <w:trPr>
          <w:trHeight w:val="1603" w:hRule="atLeast"/>
        </w:trPr>
        <w:tc>
          <w:tcPr>
            <w:tcW w:w="719" w:type="dxa"/>
          </w:tcPr>
          <w:p>
            <w:pPr>
              <w:pStyle w:val="TableParagraph"/>
              <w:spacing w:before="132"/>
              <w:ind w:left="110"/>
              <w:rPr>
                <w:rFonts w:ascii="Times New Roman"/>
                <w:b/>
                <w:sz w:val="21"/>
              </w:rPr>
            </w:pPr>
            <w:r>
              <w:rPr>
                <w:rFonts w:ascii="Times New Roman"/>
                <w:b/>
                <w:sz w:val="21"/>
              </w:rPr>
              <w:t>3.2</w:t>
            </w:r>
          </w:p>
        </w:tc>
        <w:tc>
          <w:tcPr>
            <w:tcW w:w="1643" w:type="dxa"/>
          </w:tcPr>
          <w:p>
            <w:pPr>
              <w:pStyle w:val="TableParagraph"/>
              <w:spacing w:before="37"/>
              <w:ind w:left="250"/>
              <w:rPr>
                <w:rFonts w:ascii="微软雅黑" w:eastAsia="微软雅黑" w:hint="eastAsia"/>
                <w:b/>
                <w:sz w:val="21"/>
              </w:rPr>
            </w:pPr>
            <w:r>
              <w:rPr>
                <w:rFonts w:ascii="微软雅黑" w:eastAsia="微软雅黑" w:hint="eastAsia"/>
                <w:b/>
                <w:sz w:val="21"/>
              </w:rPr>
              <w:t>保险事故通知</w:t>
            </w:r>
          </w:p>
        </w:tc>
        <w:tc>
          <w:tcPr>
            <w:tcW w:w="7922" w:type="dxa"/>
          </w:tcPr>
          <w:p>
            <w:pPr>
              <w:pStyle w:val="TableParagraph"/>
              <w:spacing w:line="180" w:lineRule="auto" w:before="128"/>
              <w:ind w:left="124" w:right="127"/>
              <w:jc w:val="both"/>
              <w:rPr>
                <w:sz w:val="21"/>
              </w:rPr>
            </w:pPr>
            <w:r>
              <w:rPr>
                <w:spacing w:val="-5"/>
                <w:sz w:val="21"/>
              </w:rPr>
              <w:t>您或受益人知道保险事故后应当在 </w:t>
            </w:r>
            <w:r>
              <w:rPr>
                <w:rFonts w:ascii="Times New Roman" w:eastAsia="Times New Roman"/>
                <w:sz w:val="21"/>
              </w:rPr>
              <w:t>10 </w:t>
            </w:r>
            <w:r>
              <w:rPr>
                <w:spacing w:val="-3"/>
                <w:sz w:val="21"/>
              </w:rPr>
              <w:t>日内通知本公司。</w:t>
            </w:r>
            <w:r>
              <w:rPr>
                <w:rFonts w:ascii="微软雅黑" w:eastAsia="微软雅黑" w:hint="eastAsia"/>
                <w:b/>
                <w:spacing w:val="-1"/>
                <w:sz w:val="21"/>
              </w:rPr>
              <w:t>如果您或受益人故意或者因</w:t>
            </w:r>
            <w:r>
              <w:rPr>
                <w:rFonts w:ascii="微软雅黑" w:eastAsia="微软雅黑" w:hint="eastAsia"/>
                <w:b/>
                <w:spacing w:val="-3"/>
                <w:sz w:val="21"/>
              </w:rPr>
              <w:t>重大过失未及时通知，致使保险事故的性质、原因、损失程度等难以确定的，我们对无法确定的部分，不承担给付保险金的责任，</w:t>
            </w:r>
            <w:r>
              <w:rPr>
                <w:spacing w:val="-3"/>
                <w:sz w:val="21"/>
              </w:rPr>
              <w:t>但我们通过其他途径已经及时知道</w:t>
            </w:r>
          </w:p>
          <w:p>
            <w:pPr>
              <w:pStyle w:val="TableParagraph"/>
              <w:spacing w:line="272" w:lineRule="exact" w:before="1"/>
              <w:ind w:left="124" w:right="227"/>
              <w:jc w:val="both"/>
              <w:rPr>
                <w:sz w:val="21"/>
              </w:rPr>
            </w:pPr>
            <w:r>
              <w:rPr>
                <w:sz w:val="21"/>
              </w:rPr>
              <w:t>或者应当及时知道保险事故发生或者虽未及时通知但不影响我们确定保险事故的性质、原因、损失程度的除外。</w:t>
            </w:r>
          </w:p>
        </w:tc>
      </w:tr>
      <w:tr>
        <w:trPr>
          <w:trHeight w:val="525" w:hRule="atLeast"/>
        </w:trPr>
        <w:tc>
          <w:tcPr>
            <w:tcW w:w="719" w:type="dxa"/>
          </w:tcPr>
          <w:p>
            <w:pPr>
              <w:pStyle w:val="TableParagraph"/>
              <w:spacing w:before="131"/>
              <w:ind w:left="110"/>
              <w:rPr>
                <w:rFonts w:ascii="Times New Roman"/>
                <w:b/>
                <w:sz w:val="21"/>
              </w:rPr>
            </w:pPr>
            <w:r>
              <w:rPr>
                <w:rFonts w:ascii="Times New Roman"/>
                <w:b/>
                <w:sz w:val="21"/>
              </w:rPr>
              <w:t>3.3</w:t>
            </w:r>
          </w:p>
        </w:tc>
        <w:tc>
          <w:tcPr>
            <w:tcW w:w="1643" w:type="dxa"/>
          </w:tcPr>
          <w:p>
            <w:pPr>
              <w:pStyle w:val="TableParagraph"/>
              <w:spacing w:before="36"/>
              <w:ind w:left="250"/>
              <w:rPr>
                <w:rFonts w:ascii="微软雅黑" w:eastAsia="微软雅黑" w:hint="eastAsia"/>
                <w:b/>
                <w:sz w:val="21"/>
              </w:rPr>
            </w:pPr>
            <w:r>
              <w:rPr>
                <w:rFonts w:ascii="微软雅黑" w:eastAsia="微软雅黑" w:hint="eastAsia"/>
                <w:b/>
                <w:sz w:val="21"/>
              </w:rPr>
              <w:t>保险金申请</w:t>
            </w:r>
          </w:p>
        </w:tc>
        <w:tc>
          <w:tcPr>
            <w:tcW w:w="7922" w:type="dxa"/>
          </w:tcPr>
          <w:p>
            <w:pPr>
              <w:pStyle w:val="TableParagraph"/>
              <w:spacing w:before="99"/>
              <w:ind w:left="124"/>
              <w:rPr>
                <w:sz w:val="21"/>
              </w:rPr>
            </w:pPr>
            <w:r>
              <w:rPr>
                <w:sz w:val="21"/>
              </w:rPr>
              <w:t>在申请保险金时，请按照下列方式办理：</w:t>
            </w:r>
          </w:p>
        </w:tc>
      </w:tr>
      <w:tr>
        <w:trPr>
          <w:trHeight w:val="1884" w:hRule="atLeast"/>
        </w:trPr>
        <w:tc>
          <w:tcPr>
            <w:tcW w:w="719" w:type="dxa"/>
          </w:tcPr>
          <w:p>
            <w:pPr>
              <w:pStyle w:val="TableParagraph"/>
              <w:rPr>
                <w:rFonts w:ascii="Times New Roman"/>
                <w:sz w:val="20"/>
              </w:rPr>
            </w:pPr>
          </w:p>
        </w:tc>
        <w:tc>
          <w:tcPr>
            <w:tcW w:w="1643" w:type="dxa"/>
          </w:tcPr>
          <w:p>
            <w:pPr>
              <w:pStyle w:val="TableParagraph"/>
              <w:spacing w:before="87"/>
              <w:ind w:left="250" w:right="336"/>
              <w:rPr>
                <w:sz w:val="21"/>
              </w:rPr>
            </w:pPr>
            <w:r>
              <w:rPr>
                <w:spacing w:val="-1"/>
                <w:sz w:val="21"/>
              </w:rPr>
              <w:t>重大疾病 </w:t>
            </w:r>
            <w:r>
              <w:rPr>
                <w:spacing w:val="-2"/>
                <w:sz w:val="21"/>
              </w:rPr>
              <w:t>保险金申请</w:t>
            </w:r>
          </w:p>
        </w:tc>
        <w:tc>
          <w:tcPr>
            <w:tcW w:w="7922" w:type="dxa"/>
          </w:tcPr>
          <w:p>
            <w:pPr>
              <w:pStyle w:val="TableParagraph"/>
              <w:spacing w:line="274" w:lineRule="exact" w:before="87"/>
              <w:ind w:left="124"/>
              <w:rPr>
                <w:sz w:val="21"/>
              </w:rPr>
            </w:pPr>
            <w:r>
              <w:rPr>
                <w:sz w:val="21"/>
              </w:rPr>
              <w:t>由该项保险金受益人或委托代理人填写理赔申请书，并须提供下列证明和资料：</w:t>
            </w:r>
          </w:p>
          <w:p>
            <w:pPr>
              <w:pStyle w:val="TableParagraph"/>
              <w:numPr>
                <w:ilvl w:val="0"/>
                <w:numId w:val="6"/>
              </w:numPr>
              <w:tabs>
                <w:tab w:pos="845" w:val="left" w:leader="none"/>
              </w:tabs>
              <w:spacing w:line="280" w:lineRule="exact" w:before="0" w:after="0"/>
              <w:ind w:left="844" w:right="0" w:hanging="720"/>
              <w:jc w:val="left"/>
              <w:rPr>
                <w:sz w:val="21"/>
              </w:rPr>
            </w:pPr>
            <w:r>
              <w:rPr>
                <w:spacing w:val="-3"/>
                <w:sz w:val="21"/>
              </w:rPr>
              <w:t>有效的保险合同原件；</w:t>
            </w:r>
          </w:p>
          <w:p>
            <w:pPr>
              <w:pStyle w:val="TableParagraph"/>
              <w:numPr>
                <w:ilvl w:val="0"/>
                <w:numId w:val="6"/>
              </w:numPr>
              <w:tabs>
                <w:tab w:pos="845" w:val="left" w:leader="none"/>
              </w:tabs>
              <w:spacing w:line="241" w:lineRule="exact" w:before="0" w:after="0"/>
              <w:ind w:left="844" w:right="0" w:hanging="720"/>
              <w:jc w:val="left"/>
              <w:rPr>
                <w:sz w:val="21"/>
              </w:rPr>
            </w:pPr>
            <w:r>
              <w:rPr>
                <w:spacing w:val="-3"/>
                <w:sz w:val="21"/>
              </w:rPr>
              <w:t>受益人户籍证明或身份证明；</w:t>
            </w:r>
          </w:p>
          <w:p>
            <w:pPr>
              <w:pStyle w:val="TableParagraph"/>
              <w:numPr>
                <w:ilvl w:val="0"/>
                <w:numId w:val="6"/>
              </w:numPr>
              <w:tabs>
                <w:tab w:pos="845" w:val="left" w:leader="none"/>
              </w:tabs>
              <w:spacing w:line="216" w:lineRule="auto" w:before="0" w:after="0"/>
              <w:ind w:left="844" w:right="139" w:hanging="720"/>
              <w:jc w:val="left"/>
              <w:rPr>
                <w:sz w:val="21"/>
              </w:rPr>
            </w:pPr>
            <w:r>
              <w:rPr>
                <w:rFonts w:ascii="微软雅黑" w:eastAsia="微软雅黑" w:hint="eastAsia"/>
                <w:b/>
                <w:sz w:val="21"/>
              </w:rPr>
              <w:t>医院</w:t>
            </w:r>
            <w:r>
              <w:rPr>
                <w:sz w:val="21"/>
              </w:rPr>
              <w:t>（</w:t>
            </w:r>
            <w:r>
              <w:rPr>
                <w:spacing w:val="-13"/>
                <w:sz w:val="21"/>
              </w:rPr>
              <w:t>见 </w:t>
            </w:r>
            <w:r>
              <w:rPr>
                <w:rFonts w:ascii="Times New Roman" w:eastAsia="Times New Roman"/>
                <w:sz w:val="21"/>
              </w:rPr>
              <w:t>7.12</w:t>
            </w:r>
            <w:r>
              <w:rPr>
                <w:sz w:val="21"/>
              </w:rPr>
              <w:t>）</w:t>
            </w:r>
            <w:r>
              <w:rPr>
                <w:spacing w:val="-3"/>
                <w:sz w:val="21"/>
              </w:rPr>
              <w:t>出具的附有病理检查、血液检验及其它检验报告、疾病诊断证明书、出院小结和住院病历等；</w:t>
            </w:r>
          </w:p>
          <w:p>
            <w:pPr>
              <w:pStyle w:val="TableParagraph"/>
              <w:numPr>
                <w:ilvl w:val="0"/>
                <w:numId w:val="6"/>
              </w:numPr>
              <w:tabs>
                <w:tab w:pos="845" w:val="left" w:leader="none"/>
              </w:tabs>
              <w:spacing w:line="290" w:lineRule="exact" w:before="4" w:after="0"/>
              <w:ind w:left="844" w:right="0" w:hanging="720"/>
              <w:jc w:val="left"/>
              <w:rPr>
                <w:sz w:val="21"/>
              </w:rPr>
            </w:pPr>
            <w:r>
              <w:rPr>
                <w:spacing w:val="-3"/>
                <w:sz w:val="21"/>
              </w:rPr>
              <w:t>受益人所能提供的与确认保险事故的性质、原因等有关的其它证明和资料。</w:t>
            </w:r>
          </w:p>
        </w:tc>
      </w:tr>
      <w:tr>
        <w:trPr>
          <w:trHeight w:val="1754" w:hRule="atLeast"/>
        </w:trPr>
        <w:tc>
          <w:tcPr>
            <w:tcW w:w="719" w:type="dxa"/>
          </w:tcPr>
          <w:p>
            <w:pPr>
              <w:pStyle w:val="TableParagraph"/>
              <w:rPr>
                <w:rFonts w:ascii="Times New Roman"/>
                <w:sz w:val="20"/>
              </w:rPr>
            </w:pPr>
          </w:p>
        </w:tc>
        <w:tc>
          <w:tcPr>
            <w:tcW w:w="1643" w:type="dxa"/>
          </w:tcPr>
          <w:p>
            <w:pPr>
              <w:pStyle w:val="TableParagraph"/>
              <w:spacing w:line="237" w:lineRule="auto" w:before="82"/>
              <w:ind w:left="250" w:right="336"/>
              <w:rPr>
                <w:sz w:val="21"/>
              </w:rPr>
            </w:pPr>
            <w:r>
              <w:rPr>
                <w:spacing w:val="-1"/>
                <w:sz w:val="21"/>
              </w:rPr>
              <w:t>疾病身故 </w:t>
            </w:r>
            <w:r>
              <w:rPr>
                <w:spacing w:val="-2"/>
                <w:sz w:val="21"/>
              </w:rPr>
              <w:t>保险金申请</w:t>
            </w:r>
          </w:p>
        </w:tc>
        <w:tc>
          <w:tcPr>
            <w:tcW w:w="7922" w:type="dxa"/>
          </w:tcPr>
          <w:p>
            <w:pPr>
              <w:pStyle w:val="TableParagraph"/>
              <w:spacing w:line="273" w:lineRule="exact" w:before="79"/>
              <w:ind w:left="124"/>
              <w:rPr>
                <w:sz w:val="21"/>
              </w:rPr>
            </w:pPr>
            <w:r>
              <w:rPr>
                <w:sz w:val="21"/>
              </w:rPr>
              <w:t>由该项保险金受益人或委托代理人填写理赔申请书，并须提供下列证明和资料：</w:t>
            </w:r>
          </w:p>
          <w:p>
            <w:pPr>
              <w:pStyle w:val="TableParagraph"/>
              <w:numPr>
                <w:ilvl w:val="0"/>
                <w:numId w:val="7"/>
              </w:numPr>
              <w:tabs>
                <w:tab w:pos="845" w:val="left" w:leader="none"/>
              </w:tabs>
              <w:spacing w:line="280" w:lineRule="exact" w:before="0" w:after="0"/>
              <w:ind w:left="844" w:right="0" w:hanging="720"/>
              <w:jc w:val="left"/>
              <w:rPr>
                <w:sz w:val="21"/>
              </w:rPr>
            </w:pPr>
            <w:r>
              <w:rPr>
                <w:spacing w:val="-3"/>
                <w:sz w:val="21"/>
              </w:rPr>
              <w:t>有效的保险合同原件；</w:t>
            </w:r>
          </w:p>
          <w:p>
            <w:pPr>
              <w:pStyle w:val="TableParagraph"/>
              <w:numPr>
                <w:ilvl w:val="0"/>
                <w:numId w:val="7"/>
              </w:numPr>
              <w:tabs>
                <w:tab w:pos="845" w:val="left" w:leader="none"/>
              </w:tabs>
              <w:spacing w:line="241" w:lineRule="exact" w:before="0" w:after="0"/>
              <w:ind w:left="844" w:right="0" w:hanging="720"/>
              <w:jc w:val="left"/>
              <w:rPr>
                <w:sz w:val="21"/>
              </w:rPr>
            </w:pPr>
            <w:r>
              <w:rPr>
                <w:spacing w:val="-3"/>
                <w:sz w:val="21"/>
              </w:rPr>
              <w:t>受益人户籍证明或身份证明；</w:t>
            </w:r>
          </w:p>
          <w:p>
            <w:pPr>
              <w:pStyle w:val="TableParagraph"/>
              <w:numPr>
                <w:ilvl w:val="0"/>
                <w:numId w:val="7"/>
              </w:numPr>
              <w:tabs>
                <w:tab w:pos="845" w:val="left" w:leader="none"/>
              </w:tabs>
              <w:spacing w:line="218" w:lineRule="auto" w:before="0" w:after="0"/>
              <w:ind w:left="844" w:right="138" w:hanging="720"/>
              <w:jc w:val="left"/>
              <w:rPr>
                <w:sz w:val="21"/>
              </w:rPr>
            </w:pPr>
            <w:r>
              <w:rPr>
                <w:spacing w:val="-2"/>
                <w:sz w:val="21"/>
              </w:rPr>
              <w:t>公安部门、</w:t>
            </w:r>
            <w:r>
              <w:rPr>
                <w:rFonts w:ascii="微软雅黑" w:eastAsia="微软雅黑" w:hint="eastAsia"/>
                <w:b/>
                <w:sz w:val="21"/>
              </w:rPr>
              <w:t>医院</w:t>
            </w:r>
            <w:r>
              <w:rPr>
                <w:spacing w:val="-3"/>
                <w:sz w:val="21"/>
              </w:rPr>
              <w:t>或依法有权出具死亡证明书的机构出具的被保险人死亡证明书、户籍注销证明及丧葬证明；</w:t>
            </w:r>
          </w:p>
          <w:p>
            <w:pPr>
              <w:pStyle w:val="TableParagraph"/>
              <w:numPr>
                <w:ilvl w:val="0"/>
                <w:numId w:val="7"/>
              </w:numPr>
              <w:tabs>
                <w:tab w:pos="845" w:val="left" w:leader="none"/>
              </w:tabs>
              <w:spacing w:line="287" w:lineRule="exact" w:before="8" w:after="0"/>
              <w:ind w:left="844" w:right="0" w:hanging="720"/>
              <w:jc w:val="left"/>
              <w:rPr>
                <w:sz w:val="21"/>
              </w:rPr>
            </w:pPr>
            <w:r>
              <w:rPr>
                <w:spacing w:val="-3"/>
                <w:sz w:val="21"/>
              </w:rPr>
              <w:t>受益人所能提供的与确认保险事故的性质、原因等有关的其它证明和资料。</w:t>
            </w:r>
          </w:p>
        </w:tc>
      </w:tr>
      <w:tr>
        <w:trPr>
          <w:trHeight w:val="505" w:hRule="atLeast"/>
        </w:trPr>
        <w:tc>
          <w:tcPr>
            <w:tcW w:w="719" w:type="dxa"/>
          </w:tcPr>
          <w:p>
            <w:pPr>
              <w:pStyle w:val="TableParagraph"/>
              <w:rPr>
                <w:rFonts w:ascii="Times New Roman"/>
                <w:sz w:val="20"/>
              </w:rPr>
            </w:pPr>
          </w:p>
        </w:tc>
        <w:tc>
          <w:tcPr>
            <w:tcW w:w="1643" w:type="dxa"/>
          </w:tcPr>
          <w:p>
            <w:pPr>
              <w:pStyle w:val="TableParagraph"/>
              <w:rPr>
                <w:rFonts w:ascii="Times New Roman"/>
                <w:sz w:val="20"/>
              </w:rPr>
            </w:pPr>
          </w:p>
        </w:tc>
        <w:tc>
          <w:tcPr>
            <w:tcW w:w="7922" w:type="dxa"/>
          </w:tcPr>
          <w:p>
            <w:pPr>
              <w:pStyle w:val="TableParagraph"/>
              <w:spacing w:line="232" w:lineRule="exact"/>
              <w:ind w:left="124"/>
              <w:rPr>
                <w:sz w:val="21"/>
              </w:rPr>
            </w:pPr>
            <w:r>
              <w:rPr>
                <w:sz w:val="21"/>
              </w:rPr>
              <w:t>上述各项保险金申请，若办理人为委托代理人，需提供授权委托书，代理人身份证</w:t>
            </w:r>
          </w:p>
          <w:p>
            <w:pPr>
              <w:pStyle w:val="TableParagraph"/>
              <w:spacing w:line="253" w:lineRule="exact"/>
              <w:ind w:left="124"/>
              <w:rPr>
                <w:sz w:val="21"/>
              </w:rPr>
            </w:pPr>
            <w:r>
              <w:rPr>
                <w:sz w:val="21"/>
              </w:rPr>
              <w:t>明。</w:t>
            </w:r>
          </w:p>
        </w:tc>
      </w:tr>
    </w:tbl>
    <w:p>
      <w:pPr>
        <w:spacing w:after="0" w:line="253" w:lineRule="exact"/>
        <w:rPr>
          <w:sz w:val="21"/>
        </w:rPr>
        <w:sectPr>
          <w:pgSz w:w="11910" w:h="16840"/>
          <w:pgMar w:header="877" w:footer="995" w:top="1100" w:bottom="1180" w:left="720" w:right="680"/>
        </w:sectPr>
      </w:pPr>
    </w:p>
    <w:p>
      <w:pPr>
        <w:pStyle w:val="BodyText"/>
        <w:spacing w:before="7"/>
        <w:rPr>
          <w:sz w:val="23"/>
        </w:rPr>
      </w:pPr>
    </w:p>
    <w:p>
      <w:pPr>
        <w:pStyle w:val="BodyText"/>
        <w:spacing w:line="237" w:lineRule="auto" w:before="40"/>
        <w:ind w:left="2604" w:right="332"/>
      </w:pPr>
      <w:r>
        <w:rPr/>
        <w:t>上述各项保险金申请的证明和资料不完整的，我们将及时一次性通知申请人补充提供有关证明和资料。</w:t>
      </w:r>
    </w:p>
    <w:p>
      <w:pPr>
        <w:pStyle w:val="BodyText"/>
        <w:spacing w:before="4"/>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643"/>
        <w:gridCol w:w="7923"/>
      </w:tblGrid>
      <w:tr>
        <w:trPr>
          <w:trHeight w:val="2281" w:hRule="atLeast"/>
        </w:trPr>
        <w:tc>
          <w:tcPr>
            <w:tcW w:w="719" w:type="dxa"/>
          </w:tcPr>
          <w:p>
            <w:pPr>
              <w:pStyle w:val="TableParagraph"/>
              <w:spacing w:line="234" w:lineRule="exact"/>
              <w:ind w:left="110"/>
              <w:rPr>
                <w:rFonts w:ascii="Times New Roman"/>
                <w:b/>
                <w:sz w:val="21"/>
              </w:rPr>
            </w:pPr>
            <w:r>
              <w:rPr>
                <w:rFonts w:ascii="Times New Roman"/>
                <w:b/>
                <w:sz w:val="21"/>
              </w:rPr>
              <w:t>3.4</w:t>
            </w:r>
          </w:p>
        </w:tc>
        <w:tc>
          <w:tcPr>
            <w:tcW w:w="1643" w:type="dxa"/>
          </w:tcPr>
          <w:p>
            <w:pPr>
              <w:pStyle w:val="TableParagraph"/>
              <w:spacing w:line="260" w:lineRule="exact"/>
              <w:ind w:left="250"/>
              <w:rPr>
                <w:rFonts w:ascii="微软雅黑" w:eastAsia="微软雅黑" w:hint="eastAsia"/>
                <w:b/>
                <w:sz w:val="21"/>
              </w:rPr>
            </w:pPr>
            <w:r>
              <w:rPr>
                <w:rFonts w:ascii="微软雅黑" w:eastAsia="微软雅黑" w:hint="eastAsia"/>
                <w:b/>
                <w:sz w:val="21"/>
              </w:rPr>
              <w:t>保险金给付</w:t>
            </w:r>
          </w:p>
        </w:tc>
        <w:tc>
          <w:tcPr>
            <w:tcW w:w="7923" w:type="dxa"/>
          </w:tcPr>
          <w:p>
            <w:pPr>
              <w:pStyle w:val="TableParagraph"/>
              <w:numPr>
                <w:ilvl w:val="0"/>
                <w:numId w:val="8"/>
              </w:numPr>
              <w:tabs>
                <w:tab w:pos="845" w:val="left" w:leader="none"/>
              </w:tabs>
              <w:spacing w:line="242" w:lineRule="exact" w:before="0" w:after="0"/>
              <w:ind w:left="844" w:right="0" w:hanging="720"/>
              <w:jc w:val="left"/>
              <w:rPr>
                <w:sz w:val="21"/>
              </w:rPr>
            </w:pPr>
            <w:r>
              <w:rPr>
                <w:spacing w:val="-5"/>
                <w:sz w:val="21"/>
              </w:rPr>
              <w:t>我们在收到保险金理赔申请书及合同约定的证明和资料后，将在 </w:t>
            </w:r>
            <w:r>
              <w:rPr>
                <w:rFonts w:ascii="Times New Roman" w:eastAsia="Times New Roman"/>
                <w:sz w:val="21"/>
              </w:rPr>
              <w:t>5</w:t>
            </w:r>
            <w:r>
              <w:rPr>
                <w:rFonts w:ascii="Times New Roman" w:eastAsia="Times New Roman"/>
                <w:spacing w:val="6"/>
                <w:sz w:val="21"/>
              </w:rPr>
              <w:t> </w:t>
            </w:r>
            <w:r>
              <w:rPr>
                <w:spacing w:val="-2"/>
                <w:sz w:val="21"/>
              </w:rPr>
              <w:t>日内作出</w:t>
            </w:r>
          </w:p>
          <w:p>
            <w:pPr>
              <w:pStyle w:val="TableParagraph"/>
              <w:spacing w:line="272" w:lineRule="exact"/>
              <w:ind w:left="844"/>
              <w:rPr>
                <w:sz w:val="21"/>
              </w:rPr>
            </w:pPr>
            <w:r>
              <w:rPr>
                <w:sz w:val="21"/>
              </w:rPr>
              <w:t>核定；情形复杂的，在 </w:t>
            </w:r>
            <w:r>
              <w:rPr>
                <w:rFonts w:ascii="Times New Roman" w:eastAsia="Times New Roman"/>
                <w:sz w:val="21"/>
              </w:rPr>
              <w:t>30 </w:t>
            </w:r>
            <w:r>
              <w:rPr>
                <w:sz w:val="21"/>
              </w:rPr>
              <w:t>日内作出核定。对属于保险责任的，我们在与受</w:t>
            </w:r>
          </w:p>
          <w:p>
            <w:pPr>
              <w:pStyle w:val="TableParagraph"/>
              <w:spacing w:line="272" w:lineRule="exact"/>
              <w:ind w:left="844"/>
              <w:rPr>
                <w:sz w:val="21"/>
              </w:rPr>
            </w:pPr>
            <w:r>
              <w:rPr>
                <w:sz w:val="21"/>
              </w:rPr>
              <w:t>益人达成给付保险金的协议后 </w:t>
            </w:r>
            <w:r>
              <w:rPr>
                <w:rFonts w:ascii="Times New Roman" w:eastAsia="Times New Roman"/>
                <w:sz w:val="21"/>
              </w:rPr>
              <w:t>10 </w:t>
            </w:r>
            <w:r>
              <w:rPr>
                <w:sz w:val="21"/>
              </w:rPr>
              <w:t>日内，履行给付保险金义务。</w:t>
            </w:r>
          </w:p>
          <w:p>
            <w:pPr>
              <w:pStyle w:val="TableParagraph"/>
              <w:numPr>
                <w:ilvl w:val="0"/>
                <w:numId w:val="8"/>
              </w:numPr>
              <w:tabs>
                <w:tab w:pos="845" w:val="left" w:leader="none"/>
              </w:tabs>
              <w:spacing w:line="225" w:lineRule="auto" w:before="9" w:after="0"/>
              <w:ind w:left="844" w:right="139" w:hanging="720"/>
              <w:jc w:val="both"/>
              <w:rPr>
                <w:sz w:val="21"/>
              </w:rPr>
            </w:pPr>
            <w:r>
              <w:rPr>
                <w:spacing w:val="-3"/>
                <w:sz w:val="21"/>
              </w:rPr>
              <w:t>我们未及时履行前款规定义务的，除支付保险金外，应当赔偿受益人因此受到的损失。前述</w:t>
            </w:r>
            <w:r>
              <w:rPr>
                <w:rFonts w:ascii="Times New Roman" w:hAnsi="Times New Roman" w:eastAsia="Times New Roman"/>
                <w:sz w:val="21"/>
              </w:rPr>
              <w:t>“</w:t>
            </w:r>
            <w:r>
              <w:rPr>
                <w:spacing w:val="-2"/>
                <w:sz w:val="21"/>
              </w:rPr>
              <w:t>损失</w:t>
            </w:r>
            <w:r>
              <w:rPr>
                <w:rFonts w:ascii="Times New Roman" w:hAnsi="Times New Roman" w:eastAsia="Times New Roman"/>
                <w:sz w:val="21"/>
              </w:rPr>
              <w:t>”</w:t>
            </w:r>
            <w:r>
              <w:rPr>
                <w:spacing w:val="-3"/>
                <w:sz w:val="21"/>
              </w:rPr>
              <w:t>是指逾期支付保险金的利息损失，该利息根据中国人民银行公布的同时期人民币活期存款基准利率计算。</w:t>
            </w:r>
          </w:p>
          <w:p>
            <w:pPr>
              <w:pStyle w:val="TableParagraph"/>
              <w:numPr>
                <w:ilvl w:val="0"/>
                <w:numId w:val="8"/>
              </w:numPr>
              <w:tabs>
                <w:tab w:pos="845" w:val="left" w:leader="none"/>
              </w:tabs>
              <w:spacing w:line="225" w:lineRule="auto" w:before="14" w:after="0"/>
              <w:ind w:left="844" w:right="152" w:hanging="720"/>
              <w:jc w:val="both"/>
              <w:rPr>
                <w:sz w:val="21"/>
              </w:rPr>
            </w:pPr>
            <w:r>
              <w:rPr>
                <w:spacing w:val="-5"/>
                <w:sz w:val="21"/>
              </w:rPr>
              <w:t>对不属于保险责任的，我们自作出核定之日起 </w:t>
            </w:r>
            <w:r>
              <w:rPr>
                <w:rFonts w:ascii="Times New Roman" w:eastAsia="Times New Roman"/>
                <w:sz w:val="21"/>
              </w:rPr>
              <w:t>3</w:t>
            </w:r>
            <w:r>
              <w:rPr>
                <w:rFonts w:ascii="Times New Roman" w:eastAsia="Times New Roman"/>
                <w:spacing w:val="2"/>
                <w:sz w:val="21"/>
              </w:rPr>
              <w:t> </w:t>
            </w:r>
            <w:r>
              <w:rPr>
                <w:spacing w:val="-3"/>
                <w:sz w:val="21"/>
              </w:rPr>
              <w:t>日内向受益人发出《拒绝给付保险金通知书》，并说明理由。</w:t>
            </w:r>
          </w:p>
        </w:tc>
      </w:tr>
      <w:tr>
        <w:trPr>
          <w:trHeight w:val="918" w:hRule="atLeast"/>
        </w:trPr>
        <w:tc>
          <w:tcPr>
            <w:tcW w:w="719" w:type="dxa"/>
            <w:tcBorders>
              <w:bottom w:val="single" w:sz="4" w:space="0" w:color="000000"/>
            </w:tcBorders>
          </w:tcPr>
          <w:p>
            <w:pPr>
              <w:pStyle w:val="TableParagraph"/>
              <w:spacing w:before="132"/>
              <w:ind w:left="110"/>
              <w:rPr>
                <w:rFonts w:ascii="Times New Roman"/>
                <w:b/>
                <w:sz w:val="21"/>
              </w:rPr>
            </w:pPr>
            <w:r>
              <w:rPr>
                <w:rFonts w:ascii="Times New Roman"/>
                <w:b/>
                <w:sz w:val="21"/>
              </w:rPr>
              <w:t>3.5</w:t>
            </w:r>
          </w:p>
        </w:tc>
        <w:tc>
          <w:tcPr>
            <w:tcW w:w="1643" w:type="dxa"/>
            <w:tcBorders>
              <w:bottom w:val="single" w:sz="4" w:space="0" w:color="000000"/>
            </w:tcBorders>
          </w:tcPr>
          <w:p>
            <w:pPr>
              <w:pStyle w:val="TableParagraph"/>
              <w:spacing w:before="37"/>
              <w:ind w:left="250"/>
              <w:rPr>
                <w:rFonts w:ascii="微软雅黑" w:eastAsia="微软雅黑" w:hint="eastAsia"/>
                <w:b/>
                <w:sz w:val="21"/>
              </w:rPr>
            </w:pPr>
            <w:r>
              <w:rPr>
                <w:rFonts w:ascii="微软雅黑" w:eastAsia="微软雅黑" w:hint="eastAsia"/>
                <w:b/>
                <w:sz w:val="21"/>
              </w:rPr>
              <w:t>诉讼时效</w:t>
            </w:r>
          </w:p>
        </w:tc>
        <w:tc>
          <w:tcPr>
            <w:tcW w:w="7923" w:type="dxa"/>
            <w:tcBorders>
              <w:bottom w:val="single" w:sz="4" w:space="0" w:color="000000"/>
            </w:tcBorders>
          </w:tcPr>
          <w:p>
            <w:pPr>
              <w:pStyle w:val="TableParagraph"/>
              <w:spacing w:line="223" w:lineRule="auto" w:before="119"/>
              <w:ind w:left="124" w:right="173"/>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443" w:hRule="atLeast"/>
        </w:trPr>
        <w:tc>
          <w:tcPr>
            <w:tcW w:w="719" w:type="dxa"/>
            <w:tcBorders>
              <w:top w:val="single" w:sz="4" w:space="0" w:color="000000"/>
              <w:bottom w:val="single" w:sz="8" w:space="0" w:color="000000"/>
            </w:tcBorders>
          </w:tcPr>
          <w:p>
            <w:pPr>
              <w:pStyle w:val="TableParagraph"/>
              <w:spacing w:line="423" w:lineRule="exact"/>
              <w:ind w:left="110"/>
              <w:rPr>
                <w:rFonts w:ascii="Wingdings" w:hAnsi="Wingdings"/>
                <w:sz w:val="40"/>
              </w:rPr>
            </w:pPr>
            <w:r>
              <w:rPr>
                <w:rFonts w:ascii="Wingdings" w:hAnsi="Wingdings"/>
                <w:w w:val="100"/>
                <w:sz w:val="40"/>
              </w:rPr>
              <w:t></w:t>
            </w:r>
          </w:p>
        </w:tc>
        <w:tc>
          <w:tcPr>
            <w:tcW w:w="9566" w:type="dxa"/>
            <w:gridSpan w:val="2"/>
            <w:tcBorders>
              <w:top w:val="single" w:sz="4" w:space="0" w:color="000000"/>
              <w:bottom w:val="single" w:sz="8" w:space="0" w:color="000000"/>
            </w:tcBorders>
          </w:tcPr>
          <w:p>
            <w:pPr>
              <w:pStyle w:val="TableParagraph"/>
              <w:spacing w:line="370" w:lineRule="exact"/>
              <w:ind w:left="250"/>
              <w:rPr>
                <w:rFonts w:ascii="微软雅黑" w:eastAsia="微软雅黑" w:hint="eastAsia"/>
                <w:b/>
                <w:sz w:val="24"/>
              </w:rPr>
            </w:pPr>
            <w:r>
              <w:rPr>
                <w:rFonts w:ascii="微软雅黑" w:eastAsia="微软雅黑" w:hint="eastAsia"/>
                <w:b/>
                <w:sz w:val="24"/>
              </w:rPr>
              <w:t>如何交纳保险费</w:t>
            </w:r>
          </w:p>
        </w:tc>
      </w:tr>
      <w:tr>
        <w:trPr>
          <w:trHeight w:val="623" w:hRule="atLeast"/>
        </w:trPr>
        <w:tc>
          <w:tcPr>
            <w:tcW w:w="719" w:type="dxa"/>
            <w:tcBorders>
              <w:top w:val="single" w:sz="8" w:space="0" w:color="000000"/>
            </w:tcBorders>
          </w:tcPr>
          <w:p>
            <w:pPr>
              <w:pStyle w:val="TableParagraph"/>
              <w:spacing w:before="4"/>
              <w:rPr>
                <w:sz w:val="18"/>
              </w:rPr>
            </w:pPr>
          </w:p>
          <w:p>
            <w:pPr>
              <w:pStyle w:val="TableParagraph"/>
              <w:ind w:left="110"/>
              <w:rPr>
                <w:rFonts w:ascii="Times New Roman"/>
                <w:b/>
                <w:sz w:val="21"/>
              </w:rPr>
            </w:pPr>
            <w:r>
              <w:rPr>
                <w:rFonts w:ascii="Times New Roman"/>
                <w:b/>
                <w:sz w:val="21"/>
              </w:rPr>
              <w:t>4.1</w:t>
            </w:r>
          </w:p>
        </w:tc>
        <w:tc>
          <w:tcPr>
            <w:tcW w:w="1643" w:type="dxa"/>
            <w:tcBorders>
              <w:top w:val="single" w:sz="8" w:space="0" w:color="000000"/>
            </w:tcBorders>
          </w:tcPr>
          <w:p>
            <w:pPr>
              <w:pStyle w:val="TableParagraph"/>
              <w:spacing w:before="145"/>
              <w:ind w:left="250"/>
              <w:rPr>
                <w:rFonts w:ascii="微软雅黑" w:eastAsia="微软雅黑" w:hint="eastAsia"/>
                <w:b/>
                <w:sz w:val="21"/>
              </w:rPr>
            </w:pPr>
            <w:r>
              <w:rPr>
                <w:rFonts w:ascii="微软雅黑" w:eastAsia="微软雅黑" w:hint="eastAsia"/>
                <w:b/>
                <w:sz w:val="21"/>
              </w:rPr>
              <w:t>保险费的交纳</w:t>
            </w:r>
          </w:p>
        </w:tc>
        <w:tc>
          <w:tcPr>
            <w:tcW w:w="7923" w:type="dxa"/>
            <w:tcBorders>
              <w:top w:val="single" w:sz="8" w:space="0" w:color="000000"/>
            </w:tcBorders>
          </w:tcPr>
          <w:p>
            <w:pPr>
              <w:pStyle w:val="TableParagraph"/>
              <w:spacing w:before="11"/>
              <w:rPr>
                <w:sz w:val="15"/>
              </w:rPr>
            </w:pPr>
          </w:p>
          <w:p>
            <w:pPr>
              <w:pStyle w:val="TableParagraph"/>
              <w:ind w:left="124"/>
              <w:rPr>
                <w:sz w:val="21"/>
              </w:rPr>
            </w:pPr>
            <w:r>
              <w:rPr>
                <w:sz w:val="21"/>
              </w:rPr>
              <w:t>您应当按照本合同约定向我们支付保险费。</w:t>
            </w:r>
          </w:p>
        </w:tc>
      </w:tr>
      <w:tr>
        <w:trPr>
          <w:trHeight w:val="647" w:hRule="atLeast"/>
        </w:trPr>
        <w:tc>
          <w:tcPr>
            <w:tcW w:w="719" w:type="dxa"/>
            <w:tcBorders>
              <w:bottom w:val="single" w:sz="8" w:space="0" w:color="000000"/>
            </w:tcBorders>
          </w:tcPr>
          <w:p>
            <w:pPr>
              <w:pStyle w:val="TableParagraph"/>
              <w:spacing w:before="132"/>
              <w:ind w:left="110"/>
              <w:rPr>
                <w:rFonts w:ascii="Times New Roman"/>
                <w:b/>
                <w:sz w:val="21"/>
              </w:rPr>
            </w:pPr>
            <w:r>
              <w:rPr>
                <w:rFonts w:ascii="Times New Roman"/>
                <w:b/>
                <w:sz w:val="21"/>
              </w:rPr>
              <w:t>4.2</w:t>
            </w:r>
          </w:p>
        </w:tc>
        <w:tc>
          <w:tcPr>
            <w:tcW w:w="1643" w:type="dxa"/>
            <w:tcBorders>
              <w:bottom w:val="single" w:sz="8" w:space="0" w:color="000000"/>
            </w:tcBorders>
          </w:tcPr>
          <w:p>
            <w:pPr>
              <w:pStyle w:val="TableParagraph"/>
              <w:spacing w:before="38"/>
              <w:ind w:left="250"/>
              <w:rPr>
                <w:rFonts w:ascii="微软雅黑" w:eastAsia="微软雅黑" w:hint="eastAsia"/>
                <w:b/>
                <w:sz w:val="21"/>
              </w:rPr>
            </w:pPr>
            <w:r>
              <w:rPr>
                <w:rFonts w:ascii="微软雅黑" w:eastAsia="微软雅黑" w:hint="eastAsia"/>
                <w:b/>
                <w:sz w:val="21"/>
              </w:rPr>
              <w:t>保险费的调整</w:t>
            </w:r>
          </w:p>
        </w:tc>
        <w:tc>
          <w:tcPr>
            <w:tcW w:w="7923" w:type="dxa"/>
            <w:tcBorders>
              <w:bottom w:val="single" w:sz="8" w:space="0" w:color="000000"/>
            </w:tcBorders>
          </w:tcPr>
          <w:p>
            <w:pPr>
              <w:pStyle w:val="TableParagraph"/>
              <w:spacing w:before="100"/>
              <w:ind w:left="124"/>
              <w:rPr>
                <w:sz w:val="21"/>
              </w:rPr>
            </w:pPr>
            <w:r>
              <w:rPr>
                <w:sz w:val="21"/>
              </w:rPr>
              <w:t>本保险的保险费可根据投保团体的区域、规模、年龄结构、行业性质等进行调整。</w:t>
            </w:r>
          </w:p>
        </w:tc>
      </w:tr>
      <w:tr>
        <w:trPr>
          <w:trHeight w:val="421" w:hRule="atLeast"/>
        </w:trPr>
        <w:tc>
          <w:tcPr>
            <w:tcW w:w="719" w:type="dxa"/>
            <w:tcBorders>
              <w:top w:val="single" w:sz="8" w:space="0" w:color="000000"/>
              <w:bottom w:val="single" w:sz="8" w:space="0" w:color="000000"/>
            </w:tcBorders>
          </w:tcPr>
          <w:p>
            <w:pPr>
              <w:pStyle w:val="TableParagraph"/>
              <w:spacing w:line="402" w:lineRule="exact"/>
              <w:ind w:left="110"/>
              <w:rPr>
                <w:rFonts w:ascii="Arial" w:hAnsi="Arial"/>
                <w:b/>
                <w:sz w:val="40"/>
              </w:rPr>
            </w:pPr>
            <w:r>
              <w:rPr>
                <w:rFonts w:ascii="Arial" w:hAnsi="Arial"/>
                <w:b/>
                <w:w w:val="119"/>
                <w:sz w:val="40"/>
              </w:rPr>
              <w:t></w:t>
            </w:r>
          </w:p>
        </w:tc>
        <w:tc>
          <w:tcPr>
            <w:tcW w:w="9566" w:type="dxa"/>
            <w:gridSpan w:val="2"/>
            <w:tcBorders>
              <w:top w:val="single" w:sz="8" w:space="0" w:color="000000"/>
              <w:bottom w:val="single" w:sz="8" w:space="0" w:color="000000"/>
            </w:tcBorders>
          </w:tcPr>
          <w:p>
            <w:pPr>
              <w:pStyle w:val="TableParagraph"/>
              <w:spacing w:line="358" w:lineRule="exact"/>
              <w:ind w:left="250"/>
              <w:rPr>
                <w:rFonts w:ascii="微软雅黑" w:eastAsia="微软雅黑" w:hint="eastAsia"/>
                <w:b/>
                <w:sz w:val="24"/>
              </w:rPr>
            </w:pPr>
            <w:r>
              <w:rPr>
                <w:rFonts w:ascii="微软雅黑" w:eastAsia="微软雅黑" w:hint="eastAsia"/>
                <w:b/>
                <w:sz w:val="24"/>
              </w:rPr>
              <w:t>如何解除保险合同</w:t>
            </w:r>
          </w:p>
        </w:tc>
      </w:tr>
      <w:tr>
        <w:trPr>
          <w:trHeight w:val="2389" w:hRule="atLeast"/>
        </w:trPr>
        <w:tc>
          <w:tcPr>
            <w:tcW w:w="719" w:type="dxa"/>
            <w:tcBorders>
              <w:top w:val="single" w:sz="8" w:space="0" w:color="000000"/>
              <w:bottom w:val="single" w:sz="8" w:space="0" w:color="000000"/>
            </w:tcBorders>
          </w:tcPr>
          <w:p>
            <w:pPr>
              <w:pStyle w:val="TableParagraph"/>
              <w:spacing w:before="4"/>
              <w:rPr>
                <w:sz w:val="18"/>
              </w:rPr>
            </w:pPr>
          </w:p>
          <w:p>
            <w:pPr>
              <w:pStyle w:val="TableParagraph"/>
              <w:ind w:left="110"/>
              <w:rPr>
                <w:rFonts w:ascii="Times New Roman"/>
                <w:b/>
                <w:sz w:val="21"/>
              </w:rPr>
            </w:pPr>
            <w:r>
              <w:rPr>
                <w:rFonts w:ascii="Times New Roman"/>
                <w:b/>
                <w:sz w:val="21"/>
              </w:rPr>
              <w:t>5.1</w:t>
            </w:r>
          </w:p>
        </w:tc>
        <w:tc>
          <w:tcPr>
            <w:tcW w:w="1643" w:type="dxa"/>
            <w:tcBorders>
              <w:top w:val="single" w:sz="8" w:space="0" w:color="000000"/>
              <w:bottom w:val="single" w:sz="8" w:space="0" w:color="000000"/>
            </w:tcBorders>
          </w:tcPr>
          <w:p>
            <w:pPr>
              <w:pStyle w:val="TableParagraph"/>
              <w:spacing w:before="145"/>
              <w:ind w:left="250"/>
              <w:rPr>
                <w:rFonts w:ascii="微软雅黑" w:eastAsia="微软雅黑" w:hint="eastAsia"/>
                <w:b/>
                <w:sz w:val="21"/>
              </w:rPr>
            </w:pPr>
            <w:r>
              <w:rPr>
                <w:rFonts w:ascii="微软雅黑" w:eastAsia="微软雅黑" w:hint="eastAsia"/>
                <w:b/>
                <w:sz w:val="21"/>
              </w:rPr>
              <w:t>合同解除</w:t>
            </w:r>
          </w:p>
        </w:tc>
        <w:tc>
          <w:tcPr>
            <w:tcW w:w="7923" w:type="dxa"/>
            <w:tcBorders>
              <w:top w:val="single" w:sz="8" w:space="0" w:color="000000"/>
              <w:bottom w:val="single" w:sz="8" w:space="0" w:color="000000"/>
            </w:tcBorders>
          </w:tcPr>
          <w:p>
            <w:pPr>
              <w:pStyle w:val="TableParagraph"/>
              <w:spacing w:before="11"/>
              <w:rPr>
                <w:sz w:val="15"/>
              </w:rPr>
            </w:pPr>
          </w:p>
          <w:p>
            <w:pPr>
              <w:pStyle w:val="TableParagraph"/>
              <w:spacing w:line="273" w:lineRule="exact"/>
              <w:ind w:left="124"/>
              <w:jc w:val="both"/>
              <w:rPr>
                <w:sz w:val="21"/>
              </w:rPr>
            </w:pPr>
            <w:r>
              <w:rPr>
                <w:sz w:val="21"/>
              </w:rPr>
              <w:t>您于本合同生效后，可要求解除本合同。您应提供下列文件和资料：</w:t>
            </w:r>
          </w:p>
          <w:p>
            <w:pPr>
              <w:pStyle w:val="TableParagraph"/>
              <w:numPr>
                <w:ilvl w:val="0"/>
                <w:numId w:val="9"/>
              </w:numPr>
              <w:tabs>
                <w:tab w:pos="845" w:val="left" w:leader="none"/>
              </w:tabs>
              <w:spacing w:line="280" w:lineRule="exact" w:before="0" w:after="0"/>
              <w:ind w:left="844" w:right="0" w:hanging="720"/>
              <w:jc w:val="both"/>
              <w:rPr>
                <w:sz w:val="21"/>
              </w:rPr>
            </w:pPr>
            <w:r>
              <w:rPr>
                <w:spacing w:val="-3"/>
                <w:sz w:val="21"/>
              </w:rPr>
              <w:t>加盖投保人公章的保全申请书；</w:t>
            </w:r>
          </w:p>
          <w:p>
            <w:pPr>
              <w:pStyle w:val="TableParagraph"/>
              <w:numPr>
                <w:ilvl w:val="0"/>
                <w:numId w:val="9"/>
              </w:numPr>
              <w:tabs>
                <w:tab w:pos="845" w:val="left" w:leader="none"/>
              </w:tabs>
              <w:spacing w:line="272" w:lineRule="exact" w:before="0" w:after="0"/>
              <w:ind w:left="844" w:right="0" w:hanging="720"/>
              <w:jc w:val="both"/>
              <w:rPr>
                <w:sz w:val="21"/>
              </w:rPr>
            </w:pPr>
            <w:r>
              <w:rPr>
                <w:spacing w:val="-3"/>
                <w:sz w:val="21"/>
              </w:rPr>
              <w:t>本保险合同及相关凭证的原件；</w:t>
            </w:r>
          </w:p>
          <w:p>
            <w:pPr>
              <w:pStyle w:val="TableParagraph"/>
              <w:numPr>
                <w:ilvl w:val="0"/>
                <w:numId w:val="9"/>
              </w:numPr>
              <w:tabs>
                <w:tab w:pos="845" w:val="left" w:leader="none"/>
              </w:tabs>
              <w:spacing w:line="271" w:lineRule="exact" w:before="0" w:after="0"/>
              <w:ind w:left="844" w:right="0" w:hanging="720"/>
              <w:jc w:val="both"/>
              <w:rPr>
                <w:sz w:val="21"/>
              </w:rPr>
            </w:pPr>
            <w:r>
              <w:rPr>
                <w:spacing w:val="-3"/>
                <w:sz w:val="21"/>
              </w:rPr>
              <w:t>经办人的有效身份证明。</w:t>
            </w:r>
          </w:p>
          <w:p>
            <w:pPr>
              <w:pStyle w:val="TableParagraph"/>
              <w:spacing w:line="182" w:lineRule="auto" w:before="60"/>
              <w:ind w:left="124" w:right="181"/>
              <w:jc w:val="both"/>
              <w:rPr>
                <w:sz w:val="21"/>
              </w:rPr>
            </w:pPr>
            <w:r>
              <w:rPr>
                <w:spacing w:val="-4"/>
                <w:sz w:val="21"/>
              </w:rPr>
              <w:t>自我们收到保全申请书之日起，本合同终止。我们在收到上述证明和资料之日起 </w:t>
            </w:r>
            <w:r>
              <w:rPr>
                <w:rFonts w:ascii="Times New Roman" w:eastAsia="Times New Roman"/>
                <w:spacing w:val="-3"/>
                <w:sz w:val="21"/>
              </w:rPr>
              <w:t>30 </w:t>
            </w:r>
            <w:r>
              <w:rPr>
                <w:spacing w:val="-4"/>
                <w:sz w:val="21"/>
              </w:rPr>
              <w:t>日内向您退还未领取过理赔金的被保险人项下的</w:t>
            </w:r>
            <w:r>
              <w:rPr>
                <w:rFonts w:ascii="微软雅黑" w:eastAsia="微软雅黑" w:hint="eastAsia"/>
                <w:b/>
                <w:sz w:val="21"/>
              </w:rPr>
              <w:t>现金价值</w:t>
            </w:r>
            <w:r>
              <w:rPr>
                <w:spacing w:val="-3"/>
                <w:sz w:val="21"/>
              </w:rPr>
              <w:t>；若被保险人领取过理赔金，则不退还该被保险人项下的</w:t>
            </w:r>
            <w:r>
              <w:rPr>
                <w:rFonts w:ascii="微软雅黑" w:eastAsia="微软雅黑" w:hint="eastAsia"/>
                <w:b/>
                <w:sz w:val="21"/>
              </w:rPr>
              <w:t>现金价值</w:t>
            </w:r>
            <w:r>
              <w:rPr>
                <w:sz w:val="21"/>
              </w:rPr>
              <w:t>。</w:t>
            </w:r>
          </w:p>
        </w:tc>
      </w:tr>
      <w:tr>
        <w:trPr>
          <w:trHeight w:val="421" w:hRule="atLeast"/>
        </w:trPr>
        <w:tc>
          <w:tcPr>
            <w:tcW w:w="719" w:type="dxa"/>
            <w:tcBorders>
              <w:top w:val="single" w:sz="8" w:space="0" w:color="000000"/>
              <w:bottom w:val="single" w:sz="8" w:space="0" w:color="000000"/>
            </w:tcBorders>
          </w:tcPr>
          <w:p>
            <w:pPr>
              <w:pStyle w:val="TableParagraph"/>
              <w:spacing w:line="402" w:lineRule="exact"/>
              <w:ind w:left="110"/>
              <w:rPr>
                <w:rFonts w:ascii="Arial" w:hAnsi="Arial"/>
                <w:b/>
                <w:sz w:val="40"/>
              </w:rPr>
            </w:pPr>
            <w:r>
              <w:rPr>
                <w:rFonts w:ascii="Arial" w:hAnsi="Arial"/>
                <w:b/>
                <w:w w:val="119"/>
                <w:sz w:val="40"/>
              </w:rPr>
              <w:t></w:t>
            </w:r>
          </w:p>
        </w:tc>
        <w:tc>
          <w:tcPr>
            <w:tcW w:w="9566" w:type="dxa"/>
            <w:gridSpan w:val="2"/>
            <w:tcBorders>
              <w:top w:val="single" w:sz="8" w:space="0" w:color="000000"/>
              <w:bottom w:val="single" w:sz="8" w:space="0" w:color="000000"/>
            </w:tcBorders>
          </w:tcPr>
          <w:p>
            <w:pPr>
              <w:pStyle w:val="TableParagraph"/>
              <w:spacing w:line="358" w:lineRule="exact"/>
              <w:ind w:left="250"/>
              <w:rPr>
                <w:rFonts w:ascii="微软雅黑" w:eastAsia="微软雅黑" w:hint="eastAsia"/>
                <w:b/>
                <w:sz w:val="24"/>
              </w:rPr>
            </w:pPr>
            <w:r>
              <w:rPr>
                <w:rFonts w:ascii="微软雅黑" w:eastAsia="微软雅黑" w:hint="eastAsia"/>
                <w:b/>
                <w:sz w:val="24"/>
              </w:rPr>
              <w:t>其他需要关注的事项</w:t>
            </w:r>
          </w:p>
        </w:tc>
      </w:tr>
      <w:tr>
        <w:trPr>
          <w:trHeight w:val="4162" w:hRule="atLeast"/>
        </w:trPr>
        <w:tc>
          <w:tcPr>
            <w:tcW w:w="719" w:type="dxa"/>
            <w:tcBorders>
              <w:top w:val="single" w:sz="8" w:space="0" w:color="000000"/>
            </w:tcBorders>
          </w:tcPr>
          <w:p>
            <w:pPr>
              <w:pStyle w:val="TableParagraph"/>
              <w:spacing w:before="4"/>
              <w:rPr>
                <w:sz w:val="18"/>
              </w:rPr>
            </w:pPr>
          </w:p>
          <w:p>
            <w:pPr>
              <w:pStyle w:val="TableParagraph"/>
              <w:ind w:left="110"/>
              <w:rPr>
                <w:rFonts w:ascii="Times New Roman"/>
                <w:b/>
                <w:sz w:val="21"/>
              </w:rPr>
            </w:pPr>
            <w:r>
              <w:rPr>
                <w:rFonts w:ascii="Times New Roman"/>
                <w:b/>
                <w:sz w:val="21"/>
              </w:rPr>
              <w:t>6.1</w:t>
            </w:r>
          </w:p>
        </w:tc>
        <w:tc>
          <w:tcPr>
            <w:tcW w:w="1643" w:type="dxa"/>
            <w:tcBorders>
              <w:top w:val="single" w:sz="8" w:space="0" w:color="000000"/>
            </w:tcBorders>
          </w:tcPr>
          <w:p>
            <w:pPr>
              <w:pStyle w:val="TableParagraph"/>
              <w:rPr>
                <w:sz w:val="18"/>
              </w:rPr>
            </w:pPr>
          </w:p>
          <w:p>
            <w:pPr>
              <w:pStyle w:val="TableParagraph"/>
              <w:spacing w:line="180" w:lineRule="auto"/>
              <w:ind w:left="250" w:right="334"/>
              <w:rPr>
                <w:rFonts w:ascii="微软雅黑" w:eastAsia="微软雅黑" w:hint="eastAsia"/>
                <w:b/>
                <w:sz w:val="21"/>
              </w:rPr>
            </w:pPr>
            <w:r>
              <w:rPr>
                <w:rFonts w:ascii="微软雅黑" w:eastAsia="微软雅黑" w:hint="eastAsia"/>
                <w:b/>
                <w:sz w:val="21"/>
              </w:rPr>
              <w:t>明确说明与如实告知</w:t>
            </w:r>
          </w:p>
        </w:tc>
        <w:tc>
          <w:tcPr>
            <w:tcW w:w="7923" w:type="dxa"/>
            <w:tcBorders>
              <w:top w:val="single" w:sz="8" w:space="0" w:color="000000"/>
            </w:tcBorders>
          </w:tcPr>
          <w:p>
            <w:pPr>
              <w:pStyle w:val="TableParagraph"/>
              <w:spacing w:before="11"/>
              <w:rPr>
                <w:sz w:val="15"/>
              </w:rPr>
            </w:pPr>
          </w:p>
          <w:p>
            <w:pPr>
              <w:pStyle w:val="TableParagraph"/>
              <w:spacing w:line="273" w:lineRule="exact"/>
              <w:ind w:left="124"/>
              <w:rPr>
                <w:sz w:val="21"/>
              </w:rPr>
            </w:pPr>
            <w:r>
              <w:rPr>
                <w:sz w:val="21"/>
              </w:rPr>
              <w:t>订立本合同时，本公司应向您说明本合同的内容。</w:t>
            </w:r>
          </w:p>
          <w:p>
            <w:pPr>
              <w:pStyle w:val="TableParagraph"/>
              <w:spacing w:line="237" w:lineRule="auto"/>
              <w:ind w:left="124" w:right="228"/>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line="271" w:lineRule="exact"/>
              <w:ind w:left="124"/>
              <w:rPr>
                <w:sz w:val="21"/>
              </w:rPr>
            </w:pPr>
            <w:r>
              <w:rPr>
                <w:sz w:val="21"/>
              </w:rPr>
              <w:t>本公司就您和被保险人的有关情况提出询问，您应当如实告知。</w:t>
            </w:r>
          </w:p>
          <w:p>
            <w:pPr>
              <w:pStyle w:val="TableParagraph"/>
              <w:spacing w:line="237" w:lineRule="auto" w:before="2"/>
              <w:ind w:left="124" w:right="228"/>
              <w:rPr>
                <w:sz w:val="21"/>
              </w:rPr>
            </w:pPr>
            <w:r>
              <w:rPr>
                <w:sz w:val="21"/>
              </w:rPr>
              <w:t>如果您故意或者因重大过失未履行前款规定的如实告知义务，足以影响本公司决定是否同意承保或者提高保险费率的，本公司有权解除本合同。</w:t>
            </w:r>
          </w:p>
          <w:p>
            <w:pPr>
              <w:pStyle w:val="TableParagraph"/>
              <w:spacing w:line="180" w:lineRule="auto" w:before="27"/>
              <w:ind w:left="124" w:right="207"/>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如果您故意不履行如实告知义务，对于本合同解除前发生的保险事故，本公司不承担给付保险金的责任，并不退还保险费。</w:t>
            </w:r>
          </w:p>
          <w:p>
            <w:pPr>
              <w:pStyle w:val="TableParagraph"/>
              <w:spacing w:line="180" w:lineRule="auto" w:before="1"/>
              <w:ind w:left="124" w:right="207"/>
              <w:rPr>
                <w:sz w:val="21"/>
              </w:rPr>
            </w:pPr>
            <w:r>
              <w:rPr>
                <w:rFonts w:ascii="微软雅黑" w:eastAsia="微软雅黑" w:hint="eastAsia"/>
                <w:b/>
                <w:sz w:val="21"/>
              </w:rPr>
              <w:t>如果您因重大过失未履行如实告知义务，对保险事故的发生有严重影响的，对于本合同解除前发生的保险事故，本公司不承担给付保险金的责任，</w:t>
            </w:r>
            <w:r>
              <w:rPr>
                <w:sz w:val="21"/>
              </w:rPr>
              <w:t>但应当退还保险</w:t>
            </w:r>
          </w:p>
          <w:p>
            <w:pPr>
              <w:pStyle w:val="TableParagraph"/>
              <w:spacing w:line="246" w:lineRule="exact"/>
              <w:ind w:left="124"/>
              <w:rPr>
                <w:sz w:val="21"/>
              </w:rPr>
            </w:pPr>
            <w:r>
              <w:rPr>
                <w:sz w:val="21"/>
              </w:rPr>
              <w:t>费。</w:t>
            </w:r>
          </w:p>
          <w:p>
            <w:pPr>
              <w:pStyle w:val="TableParagraph"/>
              <w:ind w:left="124" w:right="228"/>
              <w:rPr>
                <w:sz w:val="21"/>
              </w:rPr>
            </w:pPr>
            <w:r>
              <w:rPr>
                <w:sz w:val="21"/>
              </w:rPr>
              <w:t>本公司在合同订立时已经知道您未如实告知的情况的，本公司不得解除合同；发生保险事故的，本公司承担给付保险金的责任。</w:t>
            </w:r>
          </w:p>
        </w:tc>
      </w:tr>
      <w:tr>
        <w:trPr>
          <w:trHeight w:val="645" w:hRule="atLeast"/>
        </w:trPr>
        <w:tc>
          <w:tcPr>
            <w:tcW w:w="719" w:type="dxa"/>
          </w:tcPr>
          <w:p>
            <w:pPr>
              <w:pStyle w:val="TableParagraph"/>
              <w:spacing w:before="131"/>
              <w:ind w:left="110"/>
              <w:rPr>
                <w:rFonts w:ascii="Times New Roman"/>
                <w:b/>
                <w:sz w:val="21"/>
              </w:rPr>
            </w:pPr>
            <w:r>
              <w:rPr>
                <w:rFonts w:ascii="Times New Roman"/>
                <w:b/>
                <w:sz w:val="21"/>
              </w:rPr>
              <w:t>6.2</w:t>
            </w:r>
          </w:p>
        </w:tc>
        <w:tc>
          <w:tcPr>
            <w:tcW w:w="1643" w:type="dxa"/>
          </w:tcPr>
          <w:p>
            <w:pPr>
              <w:pStyle w:val="TableParagraph"/>
              <w:spacing w:before="36"/>
              <w:ind w:left="250"/>
              <w:rPr>
                <w:rFonts w:ascii="微软雅黑" w:eastAsia="微软雅黑" w:hint="eastAsia"/>
                <w:b/>
                <w:sz w:val="21"/>
              </w:rPr>
            </w:pPr>
            <w:r>
              <w:rPr>
                <w:rFonts w:ascii="微软雅黑" w:eastAsia="微软雅黑" w:hint="eastAsia"/>
                <w:b/>
                <w:sz w:val="21"/>
              </w:rPr>
              <w:t>年龄错误</w:t>
            </w:r>
          </w:p>
        </w:tc>
        <w:tc>
          <w:tcPr>
            <w:tcW w:w="7923" w:type="dxa"/>
          </w:tcPr>
          <w:p>
            <w:pPr>
              <w:pStyle w:val="TableParagraph"/>
              <w:spacing w:line="272" w:lineRule="exact" w:before="127"/>
              <w:ind w:left="124" w:right="440" w:hanging="1"/>
              <w:rPr>
                <w:sz w:val="21"/>
              </w:rPr>
            </w:pPr>
            <w:r>
              <w:rPr>
                <w:sz w:val="21"/>
              </w:rPr>
              <w:t>您在申请投保时，应将与有效身份证件相符的被保险人的出生日期在投保单上填明，如果发生错误按照下列方式办理：</w:t>
            </w:r>
          </w:p>
        </w:tc>
      </w:tr>
    </w:tbl>
    <w:p>
      <w:pPr>
        <w:spacing w:after="0" w:line="272" w:lineRule="exact"/>
        <w:rPr>
          <w:sz w:val="21"/>
        </w:rPr>
        <w:sectPr>
          <w:pgSz w:w="11910" w:h="16840"/>
          <w:pgMar w:header="877" w:footer="995" w:top="1100" w:bottom="1180" w:left="720" w:right="680"/>
        </w:sectPr>
      </w:pPr>
    </w:p>
    <w:p>
      <w:pPr>
        <w:pStyle w:val="BodyText"/>
        <w:rPr>
          <w:rFonts w:ascii="Times New Roman"/>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529"/>
        <w:gridCol w:w="7923"/>
      </w:tblGrid>
      <w:tr>
        <w:trPr>
          <w:trHeight w:val="3209" w:hRule="atLeast"/>
        </w:trPr>
        <w:tc>
          <w:tcPr>
            <w:tcW w:w="833" w:type="dxa"/>
            <w:tcBorders>
              <w:top w:val="single" w:sz="6" w:space="0" w:color="000000"/>
            </w:tcBorders>
          </w:tcPr>
          <w:p>
            <w:pPr>
              <w:pStyle w:val="TableParagraph"/>
              <w:rPr>
                <w:rFonts w:ascii="Times New Roman"/>
                <w:sz w:val="20"/>
              </w:rPr>
            </w:pPr>
          </w:p>
        </w:tc>
        <w:tc>
          <w:tcPr>
            <w:tcW w:w="1529" w:type="dxa"/>
            <w:tcBorders>
              <w:top w:val="single" w:sz="6" w:space="0" w:color="000000"/>
            </w:tcBorders>
          </w:tcPr>
          <w:p>
            <w:pPr>
              <w:pStyle w:val="TableParagraph"/>
              <w:rPr>
                <w:rFonts w:ascii="Times New Roman"/>
                <w:sz w:val="20"/>
              </w:rPr>
            </w:pPr>
          </w:p>
        </w:tc>
        <w:tc>
          <w:tcPr>
            <w:tcW w:w="7923" w:type="dxa"/>
            <w:tcBorders>
              <w:top w:val="single" w:sz="6" w:space="0" w:color="000000"/>
            </w:tcBorders>
          </w:tcPr>
          <w:p>
            <w:pPr>
              <w:pStyle w:val="TableParagraph"/>
              <w:rPr>
                <w:rFonts w:ascii="Times New Roman"/>
                <w:sz w:val="20"/>
              </w:rPr>
            </w:pPr>
          </w:p>
          <w:p>
            <w:pPr>
              <w:pStyle w:val="TableParagraph"/>
              <w:numPr>
                <w:ilvl w:val="0"/>
                <w:numId w:val="10"/>
              </w:numPr>
              <w:tabs>
                <w:tab w:pos="756" w:val="left" w:leader="none"/>
              </w:tabs>
              <w:spacing w:line="180" w:lineRule="auto" w:before="143" w:after="0"/>
              <w:ind w:left="755" w:right="207" w:hanging="631"/>
              <w:jc w:val="both"/>
              <w:rPr>
                <w:sz w:val="21"/>
              </w:rPr>
            </w:pPr>
            <w:r>
              <w:rPr>
                <w:rFonts w:ascii="微软雅黑" w:eastAsia="微软雅黑" w:hint="eastAsia"/>
                <w:b/>
                <w:spacing w:val="-3"/>
                <w:sz w:val="21"/>
              </w:rPr>
              <w:t>您申报的被保险人年龄不真实，并且其真实年龄不符合本合同约定投保年龄限制的，我们可以解除合同并对合同解除前发生的保险事故不承担给付保险金的责任</w:t>
            </w:r>
            <w:r>
              <w:rPr>
                <w:spacing w:val="-3"/>
                <w:sz w:val="21"/>
              </w:rPr>
              <w:t>。解除本合同时，我们将向您退还未领取过理赔金的被保险人项下的</w:t>
            </w:r>
            <w:r>
              <w:rPr>
                <w:rFonts w:ascii="微软雅黑" w:eastAsia="微软雅黑" w:hint="eastAsia"/>
                <w:b/>
                <w:sz w:val="21"/>
              </w:rPr>
              <w:t>现金价值</w:t>
            </w:r>
            <w:r>
              <w:rPr>
                <w:spacing w:val="-4"/>
                <w:sz w:val="21"/>
              </w:rPr>
              <w:t>；若被保险人领取过理赔金，则不退还该被保险人项下的</w:t>
            </w:r>
            <w:r>
              <w:rPr>
                <w:rFonts w:ascii="微软雅黑" w:eastAsia="微软雅黑" w:hint="eastAsia"/>
                <w:b/>
                <w:sz w:val="21"/>
              </w:rPr>
              <w:t>现金价值</w:t>
            </w:r>
            <w:r>
              <w:rPr>
                <w:sz w:val="21"/>
              </w:rPr>
              <w:t>。</w:t>
            </w:r>
          </w:p>
          <w:p>
            <w:pPr>
              <w:pStyle w:val="TableParagraph"/>
              <w:numPr>
                <w:ilvl w:val="0"/>
                <w:numId w:val="10"/>
              </w:numPr>
              <w:tabs>
                <w:tab w:pos="756" w:val="left" w:leader="none"/>
              </w:tabs>
              <w:spacing w:line="253" w:lineRule="exact" w:before="0" w:after="0"/>
              <w:ind w:left="755" w:right="0" w:hanging="631"/>
              <w:jc w:val="left"/>
              <w:rPr>
                <w:sz w:val="21"/>
              </w:rPr>
            </w:pPr>
            <w:r>
              <w:rPr>
                <w:spacing w:val="-3"/>
                <w:sz w:val="21"/>
              </w:rPr>
              <w:t>您申报的被保险人年龄不真实，致使您实付保险费少于应付保险费的，本公</w:t>
            </w:r>
          </w:p>
          <w:p>
            <w:pPr>
              <w:pStyle w:val="TableParagraph"/>
              <w:spacing w:line="237" w:lineRule="auto"/>
              <w:ind w:left="755" w:right="228"/>
              <w:rPr>
                <w:sz w:val="21"/>
              </w:rPr>
            </w:pPr>
            <w:r>
              <w:rPr>
                <w:sz w:val="21"/>
              </w:rPr>
              <w:t>司有权更正并要求您补交保险费。若已经发生保险事故，在给付保险金时按实付保险费和应付保险费的比例给付。</w:t>
            </w:r>
          </w:p>
          <w:p>
            <w:pPr>
              <w:pStyle w:val="TableParagraph"/>
              <w:numPr>
                <w:ilvl w:val="0"/>
                <w:numId w:val="10"/>
              </w:numPr>
              <w:tabs>
                <w:tab w:pos="756" w:val="left" w:leader="none"/>
              </w:tabs>
              <w:spacing w:line="223" w:lineRule="auto" w:before="25" w:after="0"/>
              <w:ind w:left="755" w:right="228" w:hanging="631"/>
              <w:jc w:val="both"/>
              <w:rPr>
                <w:sz w:val="21"/>
              </w:rPr>
            </w:pPr>
            <w:r>
              <w:rPr>
                <w:spacing w:val="-3"/>
                <w:sz w:val="21"/>
              </w:rPr>
              <w:t>您申报的被保险人年龄不真实，致使您实付保险费多于应付保险费的，本公司会将多收的保险费无息退还给您。</w:t>
            </w:r>
          </w:p>
        </w:tc>
      </w:tr>
      <w:tr>
        <w:trPr>
          <w:trHeight w:val="663" w:hRule="atLeast"/>
        </w:trPr>
        <w:tc>
          <w:tcPr>
            <w:tcW w:w="833" w:type="dxa"/>
          </w:tcPr>
          <w:p>
            <w:pPr>
              <w:pStyle w:val="TableParagraph"/>
              <w:spacing w:before="131"/>
              <w:ind w:left="110"/>
              <w:rPr>
                <w:rFonts w:ascii="Times New Roman"/>
                <w:b/>
                <w:sz w:val="21"/>
              </w:rPr>
            </w:pPr>
            <w:r>
              <w:rPr>
                <w:rFonts w:ascii="Times New Roman"/>
                <w:b/>
                <w:sz w:val="21"/>
              </w:rPr>
              <w:t>6.3</w:t>
            </w:r>
          </w:p>
        </w:tc>
        <w:tc>
          <w:tcPr>
            <w:tcW w:w="1529" w:type="dxa"/>
          </w:tcPr>
          <w:p>
            <w:pPr>
              <w:pStyle w:val="TableParagraph"/>
              <w:spacing w:line="318" w:lineRule="exact" w:before="37"/>
              <w:ind w:left="136"/>
              <w:rPr>
                <w:rFonts w:ascii="微软雅黑" w:eastAsia="微软雅黑" w:hint="eastAsia"/>
                <w:b/>
                <w:sz w:val="21"/>
              </w:rPr>
            </w:pPr>
            <w:r>
              <w:rPr>
                <w:rFonts w:ascii="微软雅黑" w:eastAsia="微软雅黑" w:hint="eastAsia"/>
                <w:b/>
                <w:sz w:val="21"/>
              </w:rPr>
              <w:t>合同解除权的</w:t>
            </w:r>
          </w:p>
          <w:p>
            <w:pPr>
              <w:pStyle w:val="TableParagraph"/>
              <w:spacing w:line="289" w:lineRule="exact"/>
              <w:ind w:left="136"/>
              <w:rPr>
                <w:rFonts w:ascii="微软雅黑" w:eastAsia="微软雅黑" w:hint="eastAsia"/>
                <w:b/>
                <w:sz w:val="21"/>
              </w:rPr>
            </w:pPr>
            <w:r>
              <w:rPr>
                <w:rFonts w:ascii="微软雅黑" w:eastAsia="微软雅黑" w:hint="eastAsia"/>
                <w:b/>
                <w:sz w:val="21"/>
              </w:rPr>
              <w:t>限制</w:t>
            </w:r>
          </w:p>
        </w:tc>
        <w:tc>
          <w:tcPr>
            <w:tcW w:w="7923" w:type="dxa"/>
          </w:tcPr>
          <w:p>
            <w:pPr>
              <w:pStyle w:val="TableParagraph"/>
              <w:spacing w:line="274" w:lineRule="exact" w:before="125"/>
              <w:ind w:left="124" w:right="262" w:hanging="1"/>
              <w:rPr>
                <w:sz w:val="21"/>
              </w:rPr>
            </w:pPr>
            <w:r>
              <w:rPr>
                <w:spacing w:val="-16"/>
                <w:sz w:val="21"/>
              </w:rPr>
              <w:t>条款 </w:t>
            </w:r>
            <w:r>
              <w:rPr>
                <w:rFonts w:ascii="Times New Roman" w:eastAsia="Times New Roman"/>
                <w:sz w:val="21"/>
              </w:rPr>
              <w:t>6.1 </w:t>
            </w:r>
            <w:r>
              <w:rPr>
                <w:spacing w:val="-24"/>
                <w:sz w:val="21"/>
              </w:rPr>
              <w:t>及 </w:t>
            </w:r>
            <w:r>
              <w:rPr>
                <w:rFonts w:ascii="Times New Roman" w:eastAsia="Times New Roman"/>
                <w:sz w:val="21"/>
              </w:rPr>
              <w:t>6.2 </w:t>
            </w:r>
            <w:r>
              <w:rPr>
                <w:spacing w:val="-5"/>
                <w:sz w:val="21"/>
              </w:rPr>
              <w:t>中规定的合同解除权，自本公司知道有解除事由之日起，超过 </w:t>
            </w:r>
            <w:r>
              <w:rPr>
                <w:rFonts w:ascii="Times New Roman" w:eastAsia="Times New Roman"/>
                <w:sz w:val="21"/>
              </w:rPr>
              <w:t>30 </w:t>
            </w:r>
            <w:r>
              <w:rPr>
                <w:sz w:val="21"/>
              </w:rPr>
              <w:t>日</w:t>
            </w:r>
            <w:r>
              <w:rPr>
                <w:spacing w:val="-2"/>
                <w:sz w:val="21"/>
              </w:rPr>
              <w:t>不行使而消灭。</w:t>
            </w:r>
          </w:p>
        </w:tc>
      </w:tr>
      <w:tr>
        <w:trPr>
          <w:trHeight w:val="246" w:hRule="atLeast"/>
        </w:trPr>
        <w:tc>
          <w:tcPr>
            <w:tcW w:w="833" w:type="dxa"/>
          </w:tcPr>
          <w:p>
            <w:pPr>
              <w:pStyle w:val="TableParagraph"/>
              <w:spacing w:line="227" w:lineRule="exact"/>
              <w:ind w:left="110"/>
              <w:rPr>
                <w:rFonts w:ascii="Times New Roman"/>
                <w:sz w:val="21"/>
              </w:rPr>
            </w:pPr>
            <w:r>
              <w:rPr>
                <w:rFonts w:ascii="Times New Roman"/>
                <w:w w:val="100"/>
                <w:sz w:val="21"/>
              </w:rPr>
              <w:t>.</w:t>
            </w:r>
          </w:p>
        </w:tc>
        <w:tc>
          <w:tcPr>
            <w:tcW w:w="1529" w:type="dxa"/>
          </w:tcPr>
          <w:p>
            <w:pPr>
              <w:pStyle w:val="TableParagraph"/>
              <w:rPr>
                <w:rFonts w:ascii="Times New Roman"/>
                <w:sz w:val="16"/>
              </w:rPr>
            </w:pPr>
          </w:p>
        </w:tc>
        <w:tc>
          <w:tcPr>
            <w:tcW w:w="7923" w:type="dxa"/>
          </w:tcPr>
          <w:p>
            <w:pPr>
              <w:pStyle w:val="TableParagraph"/>
              <w:rPr>
                <w:rFonts w:ascii="Times New Roman"/>
                <w:sz w:val="16"/>
              </w:rPr>
            </w:pPr>
          </w:p>
        </w:tc>
      </w:tr>
      <w:tr>
        <w:trPr>
          <w:trHeight w:val="3376" w:hRule="atLeast"/>
        </w:trPr>
        <w:tc>
          <w:tcPr>
            <w:tcW w:w="833" w:type="dxa"/>
          </w:tcPr>
          <w:p>
            <w:pPr>
              <w:pStyle w:val="TableParagraph"/>
              <w:spacing w:line="240" w:lineRule="exact"/>
              <w:ind w:left="110"/>
              <w:rPr>
                <w:rFonts w:ascii="Times New Roman"/>
                <w:b/>
                <w:sz w:val="21"/>
              </w:rPr>
            </w:pPr>
            <w:r>
              <w:rPr>
                <w:rFonts w:ascii="Times New Roman"/>
                <w:b/>
                <w:sz w:val="21"/>
              </w:rPr>
              <w:t>6.4</w:t>
            </w:r>
          </w:p>
        </w:tc>
        <w:tc>
          <w:tcPr>
            <w:tcW w:w="1529" w:type="dxa"/>
          </w:tcPr>
          <w:p>
            <w:pPr>
              <w:pStyle w:val="TableParagraph"/>
              <w:spacing w:line="267" w:lineRule="exact"/>
              <w:ind w:left="136"/>
              <w:rPr>
                <w:rFonts w:ascii="微软雅黑" w:eastAsia="微软雅黑" w:hint="eastAsia"/>
                <w:b/>
                <w:sz w:val="21"/>
              </w:rPr>
            </w:pPr>
            <w:r>
              <w:rPr>
                <w:rFonts w:ascii="微软雅黑" w:eastAsia="微软雅黑" w:hint="eastAsia"/>
                <w:b/>
                <w:sz w:val="21"/>
              </w:rPr>
              <w:t>被保险人变动</w:t>
            </w:r>
          </w:p>
        </w:tc>
        <w:tc>
          <w:tcPr>
            <w:tcW w:w="7923" w:type="dxa"/>
          </w:tcPr>
          <w:p>
            <w:pPr>
              <w:pStyle w:val="TableParagraph"/>
              <w:numPr>
                <w:ilvl w:val="0"/>
                <w:numId w:val="11"/>
              </w:numPr>
              <w:tabs>
                <w:tab w:pos="785" w:val="left" w:leader="none"/>
              </w:tabs>
              <w:spacing w:line="247" w:lineRule="exact" w:before="0" w:after="0"/>
              <w:ind w:left="784" w:right="0" w:hanging="660"/>
              <w:jc w:val="left"/>
              <w:rPr>
                <w:sz w:val="21"/>
              </w:rPr>
            </w:pPr>
            <w:r>
              <w:rPr>
                <w:sz w:val="21"/>
              </w:rPr>
              <w:t>因人员变动需要增加被保险人的，您应书面通知本公司，我们审核同意并于</w:t>
            </w:r>
          </w:p>
          <w:p>
            <w:pPr>
              <w:pStyle w:val="TableParagraph"/>
              <w:spacing w:line="264" w:lineRule="exact"/>
              <w:ind w:left="784"/>
              <w:rPr>
                <w:sz w:val="21"/>
              </w:rPr>
            </w:pPr>
            <w:r>
              <w:rPr>
                <w:sz w:val="21"/>
              </w:rPr>
              <w:t>收取相应保险费的次日零时起开始承担所有保险责任。</w:t>
            </w:r>
          </w:p>
          <w:p>
            <w:pPr>
              <w:pStyle w:val="TableParagraph"/>
              <w:numPr>
                <w:ilvl w:val="0"/>
                <w:numId w:val="11"/>
              </w:numPr>
              <w:tabs>
                <w:tab w:pos="785" w:val="left" w:leader="none"/>
              </w:tabs>
              <w:spacing w:line="228" w:lineRule="auto" w:before="14" w:after="0"/>
              <w:ind w:left="784" w:right="98" w:hanging="660"/>
              <w:jc w:val="both"/>
              <w:rPr>
                <w:sz w:val="21"/>
              </w:rPr>
            </w:pPr>
            <w:r>
              <w:rPr>
                <w:sz w:val="21"/>
              </w:rPr>
              <w:t>因被保险人离职或其它原因需要退出本合同的，您应书面通知本公司，我们对该被保险人承担的所有保险责任自通知到达之日</w:t>
            </w:r>
            <w:r>
              <w:rPr>
                <w:rFonts w:ascii="Times New Roman" w:eastAsia="Times New Roman"/>
                <w:sz w:val="21"/>
              </w:rPr>
              <w:t>24</w:t>
            </w:r>
            <w:r>
              <w:rPr>
                <w:sz w:val="21"/>
              </w:rPr>
              <w:t>时起终止。如您要求的减少被保险人日期在通知到达日之后，我们对该被保险人的所有保险责任自您要求的减少被保险人日期的</w:t>
            </w:r>
            <w:r>
              <w:rPr>
                <w:rFonts w:ascii="Times New Roman" w:eastAsia="Times New Roman"/>
                <w:sz w:val="21"/>
              </w:rPr>
              <w:t>24</w:t>
            </w:r>
            <w:r>
              <w:rPr>
                <w:sz w:val="21"/>
              </w:rPr>
              <w:t>时起终止。若该被保险人未领取过理赔金，</w:t>
            </w:r>
          </w:p>
          <w:p>
            <w:pPr>
              <w:pStyle w:val="TableParagraph"/>
              <w:spacing w:line="180" w:lineRule="auto" w:before="11"/>
              <w:ind w:left="784" w:right="98"/>
              <w:rPr>
                <w:sz w:val="21"/>
              </w:rPr>
            </w:pPr>
            <w:r>
              <w:rPr>
                <w:sz w:val="21"/>
              </w:rPr>
              <w:t>我们向您退还该被保险人项下的</w:t>
            </w:r>
            <w:r>
              <w:rPr>
                <w:rFonts w:ascii="微软雅黑" w:eastAsia="微软雅黑" w:hint="eastAsia"/>
                <w:b/>
                <w:sz w:val="21"/>
              </w:rPr>
              <w:t>现金价值；</w:t>
            </w:r>
            <w:r>
              <w:rPr>
                <w:sz w:val="21"/>
              </w:rPr>
              <w:t>若该被保险人领取过理赔金，则不退还该被保险人项下的</w:t>
            </w:r>
            <w:r>
              <w:rPr>
                <w:rFonts w:ascii="微软雅黑" w:eastAsia="微软雅黑" w:hint="eastAsia"/>
                <w:b/>
                <w:sz w:val="21"/>
              </w:rPr>
              <w:t>现金价值</w:t>
            </w:r>
            <w:r>
              <w:rPr>
                <w:sz w:val="21"/>
              </w:rPr>
              <w:t>。</w:t>
            </w:r>
          </w:p>
          <w:p>
            <w:pPr>
              <w:pStyle w:val="TableParagraph"/>
              <w:numPr>
                <w:ilvl w:val="0"/>
                <w:numId w:val="11"/>
              </w:numPr>
              <w:tabs>
                <w:tab w:pos="785" w:val="left" w:leader="none"/>
              </w:tabs>
              <w:spacing w:line="201" w:lineRule="auto" w:before="19" w:after="0"/>
              <w:ind w:left="784" w:right="98" w:hanging="660"/>
              <w:jc w:val="both"/>
              <w:rPr>
                <w:sz w:val="21"/>
              </w:rPr>
            </w:pPr>
            <w:r>
              <w:rPr>
                <w:spacing w:val="1"/>
                <w:sz w:val="21"/>
              </w:rPr>
              <w:t>因被保险人变动致使本合同的被保险人总人数少于</w:t>
            </w:r>
            <w:r>
              <w:rPr>
                <w:rFonts w:ascii="Times New Roman" w:eastAsia="Times New Roman"/>
                <w:spacing w:val="5"/>
                <w:sz w:val="21"/>
              </w:rPr>
              <w:t>5</w:t>
            </w:r>
            <w:r>
              <w:rPr>
                <w:spacing w:val="1"/>
                <w:sz w:val="21"/>
              </w:rPr>
              <w:t>人，或实际投保人数占</w:t>
            </w:r>
            <w:r>
              <w:rPr>
                <w:sz w:val="21"/>
              </w:rPr>
              <w:t>团体具有投保资格的总人数的比例低于</w:t>
            </w:r>
            <w:r>
              <w:rPr>
                <w:rFonts w:ascii="Times New Roman" w:eastAsia="Times New Roman"/>
                <w:sz w:val="21"/>
              </w:rPr>
              <w:t>75%</w:t>
            </w:r>
            <w:r>
              <w:rPr>
                <w:sz w:val="21"/>
              </w:rPr>
              <w:t>时，我们有权解除本合同，并向您退未领取过理赔金的各被保险人项下的</w:t>
            </w:r>
            <w:r>
              <w:rPr>
                <w:rFonts w:ascii="微软雅黑" w:eastAsia="微软雅黑" w:hint="eastAsia"/>
                <w:b/>
                <w:sz w:val="21"/>
              </w:rPr>
              <w:t>现金价值</w:t>
            </w:r>
            <w:r>
              <w:rPr>
                <w:sz w:val="21"/>
              </w:rPr>
              <w:t>，若被保险人领取过理赔</w:t>
            </w:r>
          </w:p>
          <w:p>
            <w:pPr>
              <w:pStyle w:val="TableParagraph"/>
              <w:spacing w:line="274" w:lineRule="exact"/>
              <w:ind w:left="784"/>
              <w:rPr>
                <w:sz w:val="21"/>
              </w:rPr>
            </w:pPr>
            <w:r>
              <w:rPr>
                <w:sz w:val="21"/>
              </w:rPr>
              <w:t>金，则不退还该被保险人项下的</w:t>
            </w:r>
            <w:r>
              <w:rPr>
                <w:rFonts w:ascii="微软雅黑" w:eastAsia="微软雅黑" w:hint="eastAsia"/>
                <w:b/>
                <w:sz w:val="21"/>
              </w:rPr>
              <w:t>现金价值</w:t>
            </w:r>
            <w:r>
              <w:rPr>
                <w:sz w:val="21"/>
              </w:rPr>
              <w:t>。</w:t>
            </w:r>
          </w:p>
        </w:tc>
      </w:tr>
      <w:tr>
        <w:trPr>
          <w:trHeight w:val="1058" w:hRule="atLeast"/>
        </w:trPr>
        <w:tc>
          <w:tcPr>
            <w:tcW w:w="833" w:type="dxa"/>
          </w:tcPr>
          <w:p>
            <w:pPr>
              <w:pStyle w:val="TableParagraph"/>
              <w:spacing w:before="131"/>
              <w:ind w:left="110"/>
              <w:rPr>
                <w:rFonts w:ascii="Times New Roman"/>
                <w:b/>
                <w:sz w:val="21"/>
              </w:rPr>
            </w:pPr>
            <w:r>
              <w:rPr>
                <w:rFonts w:ascii="Times New Roman"/>
                <w:b/>
                <w:sz w:val="21"/>
              </w:rPr>
              <w:t>6.5</w:t>
            </w:r>
          </w:p>
        </w:tc>
        <w:tc>
          <w:tcPr>
            <w:tcW w:w="1529" w:type="dxa"/>
          </w:tcPr>
          <w:p>
            <w:pPr>
              <w:pStyle w:val="TableParagraph"/>
              <w:spacing w:before="36"/>
              <w:ind w:left="136"/>
              <w:rPr>
                <w:rFonts w:ascii="微软雅黑" w:eastAsia="微软雅黑" w:hint="eastAsia"/>
                <w:b/>
                <w:sz w:val="21"/>
              </w:rPr>
            </w:pPr>
            <w:r>
              <w:rPr>
                <w:rFonts w:ascii="微软雅黑" w:eastAsia="微软雅黑" w:hint="eastAsia"/>
                <w:b/>
                <w:sz w:val="21"/>
              </w:rPr>
              <w:t>合同内容变更</w:t>
            </w:r>
          </w:p>
        </w:tc>
        <w:tc>
          <w:tcPr>
            <w:tcW w:w="7923" w:type="dxa"/>
          </w:tcPr>
          <w:p>
            <w:pPr>
              <w:pStyle w:val="TableParagraph"/>
              <w:spacing w:line="237" w:lineRule="auto" w:before="102"/>
              <w:ind w:left="124" w:right="228"/>
              <w:jc w:val="both"/>
              <w:rPr>
                <w:sz w:val="21"/>
              </w:rPr>
            </w:pPr>
            <w:r>
              <w:rPr>
                <w:sz w:val="21"/>
              </w:rPr>
              <w:t>在本合同有效期内，经您与我们协商一致，可以变更本合同的有关内容。变更本合同内容的，应当由我们在保险单或者其它保险凭证上批注或者附贴批单，或者由您与我们订立书面的变更协议。</w:t>
            </w:r>
          </w:p>
        </w:tc>
      </w:tr>
      <w:tr>
        <w:trPr>
          <w:trHeight w:val="1058" w:hRule="atLeast"/>
        </w:trPr>
        <w:tc>
          <w:tcPr>
            <w:tcW w:w="833" w:type="dxa"/>
          </w:tcPr>
          <w:p>
            <w:pPr>
              <w:pStyle w:val="TableParagraph"/>
              <w:spacing w:before="131"/>
              <w:ind w:left="110"/>
              <w:rPr>
                <w:rFonts w:ascii="Times New Roman"/>
                <w:b/>
                <w:sz w:val="21"/>
              </w:rPr>
            </w:pPr>
            <w:r>
              <w:rPr>
                <w:rFonts w:ascii="Times New Roman"/>
                <w:b/>
                <w:sz w:val="21"/>
              </w:rPr>
              <w:t>6.6</w:t>
            </w:r>
          </w:p>
        </w:tc>
        <w:tc>
          <w:tcPr>
            <w:tcW w:w="1529" w:type="dxa"/>
          </w:tcPr>
          <w:p>
            <w:pPr>
              <w:pStyle w:val="TableParagraph"/>
              <w:spacing w:before="36"/>
              <w:ind w:left="136"/>
              <w:rPr>
                <w:rFonts w:ascii="微软雅黑" w:eastAsia="微软雅黑" w:hint="eastAsia"/>
                <w:b/>
                <w:sz w:val="21"/>
              </w:rPr>
            </w:pPr>
            <w:r>
              <w:rPr>
                <w:rFonts w:ascii="微软雅黑" w:eastAsia="微软雅黑" w:hint="eastAsia"/>
                <w:b/>
                <w:sz w:val="21"/>
              </w:rPr>
              <w:t>联络方式变更</w:t>
            </w:r>
          </w:p>
        </w:tc>
        <w:tc>
          <w:tcPr>
            <w:tcW w:w="7923" w:type="dxa"/>
          </w:tcPr>
          <w:p>
            <w:pPr>
              <w:pStyle w:val="TableParagraph"/>
              <w:spacing w:line="237" w:lineRule="auto" w:before="102"/>
              <w:ind w:left="124" w:right="228"/>
              <w:jc w:val="both"/>
              <w:rPr>
                <w:sz w:val="21"/>
              </w:rPr>
            </w:pPr>
            <w:r>
              <w:rPr>
                <w:sz w:val="21"/>
              </w:rPr>
              <w:t>为了保障您的合法权益，您的联系电话、电子邮箱或通讯地址变更时，请及时通知我们。若您未通知我们，我们按本合同载明的最后联络方式发送的有关通知，均视为已送达给您。</w:t>
            </w:r>
          </w:p>
        </w:tc>
      </w:tr>
      <w:tr>
        <w:trPr>
          <w:trHeight w:val="920" w:hRule="atLeast"/>
        </w:trPr>
        <w:tc>
          <w:tcPr>
            <w:tcW w:w="833" w:type="dxa"/>
            <w:tcBorders>
              <w:bottom w:val="single" w:sz="4" w:space="0" w:color="000000"/>
            </w:tcBorders>
          </w:tcPr>
          <w:p>
            <w:pPr>
              <w:pStyle w:val="TableParagraph"/>
              <w:spacing w:before="131"/>
              <w:ind w:left="110"/>
              <w:rPr>
                <w:rFonts w:ascii="Times New Roman"/>
                <w:b/>
                <w:sz w:val="21"/>
              </w:rPr>
            </w:pPr>
            <w:r>
              <w:rPr>
                <w:rFonts w:ascii="Times New Roman"/>
                <w:b/>
                <w:sz w:val="21"/>
              </w:rPr>
              <w:t>6.7</w:t>
            </w:r>
          </w:p>
        </w:tc>
        <w:tc>
          <w:tcPr>
            <w:tcW w:w="1529" w:type="dxa"/>
            <w:tcBorders>
              <w:bottom w:val="single" w:sz="4" w:space="0" w:color="000000"/>
            </w:tcBorders>
          </w:tcPr>
          <w:p>
            <w:pPr>
              <w:pStyle w:val="TableParagraph"/>
              <w:spacing w:before="36"/>
              <w:ind w:left="136"/>
              <w:rPr>
                <w:rFonts w:ascii="微软雅黑" w:eastAsia="微软雅黑" w:hint="eastAsia"/>
                <w:b/>
                <w:sz w:val="21"/>
              </w:rPr>
            </w:pPr>
            <w:r>
              <w:rPr>
                <w:rFonts w:ascii="微软雅黑" w:eastAsia="微软雅黑" w:hint="eastAsia"/>
                <w:b/>
                <w:sz w:val="21"/>
              </w:rPr>
              <w:t>争议处理</w:t>
            </w:r>
          </w:p>
        </w:tc>
        <w:tc>
          <w:tcPr>
            <w:tcW w:w="7923" w:type="dxa"/>
            <w:tcBorders>
              <w:bottom w:val="single" w:sz="4" w:space="0" w:color="000000"/>
            </w:tcBorders>
          </w:tcPr>
          <w:p>
            <w:pPr>
              <w:pStyle w:val="TableParagraph"/>
              <w:spacing w:before="99"/>
              <w:ind w:left="124" w:right="228"/>
              <w:rPr>
                <w:sz w:val="21"/>
              </w:rPr>
            </w:pPr>
            <w:r>
              <w:rPr>
                <w:sz w:val="21"/>
              </w:rPr>
              <w:t>因履行本合同发生的争议，当事人协商解决不成，依法向保单签发机构所在地的人民法院起诉。</w:t>
            </w:r>
          </w:p>
        </w:tc>
      </w:tr>
      <w:tr>
        <w:trPr>
          <w:trHeight w:val="421" w:hRule="atLeast"/>
        </w:trPr>
        <w:tc>
          <w:tcPr>
            <w:tcW w:w="833" w:type="dxa"/>
            <w:tcBorders>
              <w:top w:val="single" w:sz="4" w:space="0" w:color="000000"/>
              <w:bottom w:val="single" w:sz="8" w:space="0" w:color="000000"/>
            </w:tcBorders>
          </w:tcPr>
          <w:p>
            <w:pPr>
              <w:pStyle w:val="TableParagraph"/>
              <w:spacing w:line="402" w:lineRule="exact"/>
              <w:ind w:left="110"/>
              <w:rPr>
                <w:rFonts w:ascii="Arial" w:hAnsi="Arial"/>
                <w:b/>
                <w:sz w:val="40"/>
              </w:rPr>
            </w:pPr>
            <w:r>
              <w:rPr>
                <w:rFonts w:ascii="Arial" w:hAnsi="Arial"/>
                <w:b/>
                <w:w w:val="119"/>
                <w:sz w:val="40"/>
              </w:rPr>
              <w:t></w:t>
            </w:r>
          </w:p>
        </w:tc>
        <w:tc>
          <w:tcPr>
            <w:tcW w:w="1529" w:type="dxa"/>
            <w:tcBorders>
              <w:top w:val="single" w:sz="4" w:space="0" w:color="000000"/>
              <w:bottom w:val="single" w:sz="8" w:space="0" w:color="000000"/>
            </w:tcBorders>
          </w:tcPr>
          <w:p>
            <w:pPr>
              <w:pStyle w:val="TableParagraph"/>
              <w:spacing w:line="358" w:lineRule="exact"/>
              <w:ind w:left="136"/>
              <w:rPr>
                <w:rFonts w:ascii="微软雅黑" w:eastAsia="微软雅黑" w:hint="eastAsia"/>
                <w:b/>
                <w:sz w:val="24"/>
              </w:rPr>
            </w:pPr>
            <w:r>
              <w:rPr>
                <w:rFonts w:ascii="微软雅黑" w:eastAsia="微软雅黑" w:hint="eastAsia"/>
                <w:b/>
                <w:sz w:val="24"/>
              </w:rPr>
              <w:t>释义</w:t>
            </w:r>
          </w:p>
        </w:tc>
        <w:tc>
          <w:tcPr>
            <w:tcW w:w="7923" w:type="dxa"/>
            <w:tcBorders>
              <w:top w:val="single" w:sz="4" w:space="0" w:color="000000"/>
              <w:bottom w:val="single" w:sz="8" w:space="0" w:color="000000"/>
            </w:tcBorders>
          </w:tcPr>
          <w:p>
            <w:pPr>
              <w:pStyle w:val="TableParagraph"/>
              <w:rPr>
                <w:rFonts w:ascii="Times New Roman"/>
                <w:sz w:val="20"/>
              </w:rPr>
            </w:pPr>
          </w:p>
        </w:tc>
      </w:tr>
      <w:tr>
        <w:trPr>
          <w:trHeight w:val="622" w:hRule="atLeast"/>
        </w:trPr>
        <w:tc>
          <w:tcPr>
            <w:tcW w:w="833" w:type="dxa"/>
            <w:tcBorders>
              <w:top w:val="single" w:sz="8" w:space="0" w:color="000000"/>
            </w:tcBorders>
          </w:tcPr>
          <w:p>
            <w:pPr>
              <w:pStyle w:val="TableParagraph"/>
              <w:spacing w:before="10"/>
              <w:rPr>
                <w:rFonts w:ascii="Times New Roman"/>
                <w:sz w:val="20"/>
              </w:rPr>
            </w:pPr>
          </w:p>
          <w:p>
            <w:pPr>
              <w:pStyle w:val="TableParagraph"/>
              <w:ind w:left="110"/>
              <w:rPr>
                <w:rFonts w:ascii="Times New Roman"/>
                <w:b/>
                <w:sz w:val="21"/>
              </w:rPr>
            </w:pPr>
            <w:r>
              <w:rPr>
                <w:rFonts w:ascii="Times New Roman"/>
                <w:b/>
                <w:sz w:val="21"/>
              </w:rPr>
              <w:t>7.1</w:t>
            </w:r>
          </w:p>
        </w:tc>
        <w:tc>
          <w:tcPr>
            <w:tcW w:w="1529" w:type="dxa"/>
            <w:tcBorders>
              <w:top w:val="single" w:sz="8" w:space="0" w:color="000000"/>
            </w:tcBorders>
          </w:tcPr>
          <w:p>
            <w:pPr>
              <w:pStyle w:val="TableParagraph"/>
              <w:spacing w:before="145"/>
              <w:ind w:left="136"/>
              <w:rPr>
                <w:rFonts w:ascii="微软雅黑" w:eastAsia="微软雅黑" w:hint="eastAsia"/>
                <w:b/>
                <w:sz w:val="21"/>
              </w:rPr>
            </w:pPr>
            <w:r>
              <w:rPr>
                <w:rFonts w:ascii="微软雅黑" w:eastAsia="微软雅黑" w:hint="eastAsia"/>
                <w:b/>
                <w:sz w:val="21"/>
              </w:rPr>
              <w:t>意外伤害</w:t>
            </w:r>
          </w:p>
        </w:tc>
        <w:tc>
          <w:tcPr>
            <w:tcW w:w="7923" w:type="dxa"/>
            <w:tcBorders>
              <w:top w:val="single" w:sz="8" w:space="0" w:color="000000"/>
            </w:tcBorders>
          </w:tcPr>
          <w:p>
            <w:pPr>
              <w:pStyle w:val="TableParagraph"/>
              <w:rPr>
                <w:rFonts w:ascii="Times New Roman"/>
                <w:sz w:val="18"/>
              </w:rPr>
            </w:pPr>
          </w:p>
          <w:p>
            <w:pPr>
              <w:pStyle w:val="TableParagraph"/>
              <w:spacing w:before="1"/>
              <w:ind w:left="124"/>
              <w:rPr>
                <w:sz w:val="21"/>
              </w:rPr>
            </w:pPr>
            <w:r>
              <w:rPr>
                <w:sz w:val="21"/>
              </w:rPr>
              <w:t>指因外来的、突发的、非本意的、非疾病的客观事件致使身体受到的伤害。</w:t>
            </w:r>
          </w:p>
        </w:tc>
      </w:tr>
      <w:tr>
        <w:trPr>
          <w:trHeight w:val="801" w:hRule="atLeast"/>
        </w:trPr>
        <w:tc>
          <w:tcPr>
            <w:tcW w:w="833" w:type="dxa"/>
          </w:tcPr>
          <w:p>
            <w:pPr>
              <w:pStyle w:val="TableParagraph"/>
              <w:spacing w:before="131"/>
              <w:ind w:left="110"/>
              <w:rPr>
                <w:rFonts w:ascii="Times New Roman"/>
                <w:b/>
                <w:sz w:val="21"/>
              </w:rPr>
            </w:pPr>
            <w:r>
              <w:rPr>
                <w:rFonts w:ascii="Times New Roman"/>
                <w:b/>
                <w:sz w:val="21"/>
              </w:rPr>
              <w:t>7.2</w:t>
            </w:r>
          </w:p>
        </w:tc>
        <w:tc>
          <w:tcPr>
            <w:tcW w:w="1529" w:type="dxa"/>
          </w:tcPr>
          <w:p>
            <w:pPr>
              <w:pStyle w:val="TableParagraph"/>
              <w:spacing w:before="36"/>
              <w:ind w:left="136"/>
              <w:rPr>
                <w:rFonts w:ascii="微软雅黑" w:eastAsia="微软雅黑" w:hint="eastAsia"/>
                <w:b/>
                <w:sz w:val="21"/>
              </w:rPr>
            </w:pPr>
            <w:r>
              <w:rPr>
                <w:rFonts w:ascii="微软雅黑" w:eastAsia="微软雅黑" w:hint="eastAsia"/>
                <w:b/>
                <w:sz w:val="21"/>
              </w:rPr>
              <w:t>重大疾病</w:t>
            </w:r>
          </w:p>
        </w:tc>
        <w:tc>
          <w:tcPr>
            <w:tcW w:w="7923" w:type="dxa"/>
          </w:tcPr>
          <w:p>
            <w:pPr>
              <w:pStyle w:val="TableParagraph"/>
              <w:spacing w:line="180" w:lineRule="auto" w:before="127"/>
              <w:ind w:left="124" w:right="104"/>
              <w:rPr>
                <w:rFonts w:ascii="微软雅黑" w:eastAsia="微软雅黑" w:hint="eastAsia"/>
                <w:b/>
                <w:sz w:val="21"/>
              </w:rPr>
            </w:pPr>
            <w:r>
              <w:rPr>
                <w:sz w:val="21"/>
              </w:rPr>
              <w:t>被保险人发生符合以下疾病定义所述条件的疾病，应当由</w:t>
            </w:r>
            <w:r>
              <w:rPr>
                <w:rFonts w:ascii="微软雅黑" w:eastAsia="微软雅黑" w:hint="eastAsia"/>
                <w:b/>
                <w:sz w:val="21"/>
              </w:rPr>
              <w:t>专科医生</w:t>
            </w:r>
            <w:r>
              <w:rPr>
                <w:sz w:val="21"/>
              </w:rPr>
              <w:t>明确诊断。</w:t>
            </w:r>
            <w:r>
              <w:rPr>
                <w:rFonts w:ascii="微软雅黑" w:eastAsia="微软雅黑" w:hint="eastAsia"/>
                <w:b/>
                <w:sz w:val="21"/>
              </w:rPr>
              <w:t>以下前 </w:t>
            </w:r>
            <w:r>
              <w:rPr>
                <w:rFonts w:ascii="Times New Roman" w:eastAsia="Times New Roman"/>
                <w:b/>
                <w:sz w:val="21"/>
              </w:rPr>
              <w:t>25 </w:t>
            </w:r>
            <w:r>
              <w:rPr>
                <w:rFonts w:ascii="微软雅黑" w:eastAsia="微软雅黑" w:hint="eastAsia"/>
                <w:b/>
                <w:sz w:val="21"/>
              </w:rPr>
              <w:t>种疾病为中国保险行业协会推荐疾病。</w:t>
            </w:r>
          </w:p>
        </w:tc>
      </w:tr>
      <w:tr>
        <w:trPr>
          <w:trHeight w:val="1665" w:hRule="atLeast"/>
        </w:trPr>
        <w:tc>
          <w:tcPr>
            <w:tcW w:w="833" w:type="dxa"/>
          </w:tcPr>
          <w:p>
            <w:pPr>
              <w:pStyle w:val="TableParagraph"/>
              <w:spacing w:before="82"/>
              <w:ind w:left="167"/>
              <w:rPr>
                <w:sz w:val="21"/>
              </w:rPr>
            </w:pPr>
            <w:r>
              <w:rPr>
                <w:sz w:val="21"/>
              </w:rPr>
              <w:t>（</w:t>
            </w:r>
            <w:r>
              <w:rPr>
                <w:rFonts w:ascii="Times New Roman" w:eastAsia="Times New Roman"/>
                <w:sz w:val="21"/>
              </w:rPr>
              <w:t>1</w:t>
            </w:r>
            <w:r>
              <w:rPr>
                <w:sz w:val="21"/>
              </w:rPr>
              <w:t>）</w:t>
            </w:r>
          </w:p>
        </w:tc>
        <w:tc>
          <w:tcPr>
            <w:tcW w:w="1529" w:type="dxa"/>
          </w:tcPr>
          <w:p>
            <w:pPr>
              <w:pStyle w:val="TableParagraph"/>
              <w:spacing w:before="82"/>
              <w:ind w:left="136"/>
              <w:rPr>
                <w:sz w:val="21"/>
              </w:rPr>
            </w:pPr>
            <w:r>
              <w:rPr>
                <w:sz w:val="21"/>
              </w:rPr>
              <w:t>恶性肿瘤</w:t>
            </w:r>
          </w:p>
        </w:tc>
        <w:tc>
          <w:tcPr>
            <w:tcW w:w="7923" w:type="dxa"/>
          </w:tcPr>
          <w:p>
            <w:pPr>
              <w:pStyle w:val="TableParagraph"/>
              <w:spacing w:line="280" w:lineRule="auto" w:before="82"/>
              <w:ind w:left="124" w:right="97"/>
              <w:jc w:val="both"/>
              <w:rPr>
                <w:sz w:val="21"/>
              </w:rPr>
            </w:pPr>
            <w:r>
              <w:rPr>
                <w:sz w:val="21"/>
              </w:rPr>
              <w:t>指恶性细胞不受控制的进行性增长和扩散，浸润和破坏周围正常组织，可以经血管、淋巴管和体腔扩散转移到身体其它部位的疾病。经病理学检查结果明确诊断， 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55" w:lineRule="exact" w:before="15"/>
              <w:ind w:left="124"/>
              <w:jc w:val="both"/>
              <w:rPr>
                <w:sz w:val="21"/>
              </w:rPr>
            </w:pPr>
            <w:r>
              <w:rPr>
                <w:sz w:val="21"/>
              </w:rPr>
              <w:t>下列疾病不在保障范围内：</w:t>
            </w:r>
          </w:p>
        </w:tc>
      </w:tr>
    </w:tbl>
    <w:p>
      <w:pPr>
        <w:spacing w:after="0" w:line="255" w:lineRule="exact"/>
        <w:jc w:val="both"/>
        <w:rPr>
          <w:sz w:val="21"/>
        </w:rPr>
        <w:sectPr>
          <w:headerReference w:type="default" r:id="rId8"/>
          <w:pgSz w:w="11910" w:h="16840"/>
          <w:pgMar w:header="857" w:footer="995" w:top="1040" w:bottom="1180" w:left="720" w:right="680"/>
        </w:sectPr>
      </w:pPr>
    </w:p>
    <w:p>
      <w:pPr>
        <w:pStyle w:val="BodyText"/>
        <w:rPr>
          <w:rFonts w:ascii="Times New Roman"/>
          <w:sz w:val="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27"/>
        <w:gridCol w:w="8025"/>
      </w:tblGrid>
      <w:tr>
        <w:trPr>
          <w:trHeight w:val="2436" w:hRule="atLeast"/>
        </w:trPr>
        <w:tc>
          <w:tcPr>
            <w:tcW w:w="865" w:type="dxa"/>
            <w:tcBorders>
              <w:top w:val="single" w:sz="6" w:space="0" w:color="000000"/>
            </w:tcBorders>
          </w:tcPr>
          <w:p>
            <w:pPr>
              <w:pStyle w:val="TableParagraph"/>
              <w:rPr>
                <w:rFonts w:ascii="Times New Roman"/>
                <w:sz w:val="20"/>
              </w:rPr>
            </w:pPr>
          </w:p>
        </w:tc>
        <w:tc>
          <w:tcPr>
            <w:tcW w:w="1527" w:type="dxa"/>
            <w:tcBorders>
              <w:top w:val="single" w:sz="6" w:space="0" w:color="000000"/>
            </w:tcBorders>
          </w:tcPr>
          <w:p>
            <w:pPr>
              <w:pStyle w:val="TableParagraph"/>
              <w:rPr>
                <w:rFonts w:ascii="Times New Roman"/>
                <w:sz w:val="20"/>
              </w:rPr>
            </w:pPr>
          </w:p>
        </w:tc>
        <w:tc>
          <w:tcPr>
            <w:tcW w:w="8025" w:type="dxa"/>
            <w:tcBorders>
              <w:top w:val="single" w:sz="6" w:space="0" w:color="000000"/>
            </w:tcBorders>
          </w:tcPr>
          <w:p>
            <w:pPr>
              <w:pStyle w:val="TableParagraph"/>
              <w:spacing w:before="11"/>
              <w:rPr>
                <w:rFonts w:ascii="Times New Roman"/>
                <w:sz w:val="29"/>
              </w:rPr>
            </w:pPr>
          </w:p>
          <w:p>
            <w:pPr>
              <w:pStyle w:val="TableParagraph"/>
              <w:ind w:left="126"/>
              <w:rPr>
                <w:sz w:val="21"/>
              </w:rPr>
            </w:pPr>
            <w:r>
              <w:rPr>
                <w:sz w:val="21"/>
              </w:rPr>
              <w:t>（</w:t>
            </w:r>
            <w:r>
              <w:rPr>
                <w:rFonts w:ascii="Times New Roman" w:eastAsia="Times New Roman"/>
                <w:sz w:val="21"/>
              </w:rPr>
              <w:t>1</w:t>
            </w:r>
            <w:r>
              <w:rPr>
                <w:sz w:val="21"/>
              </w:rPr>
              <w:t>）原位癌；</w:t>
            </w:r>
          </w:p>
          <w:p>
            <w:pPr>
              <w:pStyle w:val="TableParagraph"/>
              <w:spacing w:before="35"/>
              <w:ind w:left="126"/>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35"/>
              <w:ind w:left="126"/>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35"/>
              <w:ind w:left="126"/>
              <w:rPr>
                <w:sz w:val="21"/>
              </w:rPr>
            </w:pPr>
            <w:r>
              <w:rPr>
                <w:sz w:val="21"/>
              </w:rPr>
              <w:t>（</w:t>
            </w:r>
            <w:r>
              <w:rPr>
                <w:rFonts w:ascii="Times New Roman" w:eastAsia="Times New Roman"/>
                <w:sz w:val="21"/>
              </w:rPr>
              <w:t>4</w:t>
            </w:r>
            <w:r>
              <w:rPr>
                <w:sz w:val="21"/>
              </w:rPr>
              <w:t>）皮肤癌（不包括恶性黑色素瘤及已发生转移的皮肤癌）；</w:t>
            </w:r>
          </w:p>
          <w:p>
            <w:pPr>
              <w:pStyle w:val="TableParagraph"/>
              <w:spacing w:line="279" w:lineRule="exact" w:before="35"/>
              <w:ind w:left="126"/>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line="351" w:lineRule="exact"/>
              <w:ind w:left="126"/>
              <w:rPr>
                <w:sz w:val="21"/>
              </w:rPr>
            </w:pPr>
            <w:r>
              <w:rPr>
                <w:sz w:val="21"/>
              </w:rPr>
              <w:t>（</w:t>
            </w:r>
            <w:r>
              <w:rPr>
                <w:rFonts w:ascii="Times New Roman" w:eastAsia="Times New Roman"/>
                <w:sz w:val="21"/>
              </w:rPr>
              <w:t>6</w:t>
            </w:r>
            <w:r>
              <w:rPr>
                <w:sz w:val="21"/>
              </w:rPr>
              <w:t>）</w:t>
            </w:r>
            <w:r>
              <w:rPr>
                <w:rFonts w:ascii="微软雅黑" w:eastAsia="微软雅黑" w:hint="eastAsia"/>
                <w:b/>
                <w:sz w:val="21"/>
              </w:rPr>
              <w:t>感染艾滋病病毒或患艾滋病</w:t>
            </w:r>
            <w:r>
              <w:rPr>
                <w:sz w:val="21"/>
              </w:rPr>
              <w:t>期间所患恶性肿瘤。</w:t>
            </w:r>
          </w:p>
        </w:tc>
      </w:tr>
      <w:tr>
        <w:trPr>
          <w:trHeight w:val="2201" w:hRule="atLeast"/>
        </w:trPr>
        <w:tc>
          <w:tcPr>
            <w:tcW w:w="865" w:type="dxa"/>
          </w:tcPr>
          <w:p>
            <w:pPr>
              <w:pStyle w:val="TableParagraph"/>
              <w:spacing w:before="109"/>
              <w:ind w:right="136"/>
              <w:jc w:val="right"/>
              <w:rPr>
                <w:sz w:val="21"/>
              </w:rPr>
            </w:pPr>
            <w:r>
              <w:rPr>
                <w:sz w:val="21"/>
              </w:rPr>
              <w:t>（</w:t>
            </w:r>
            <w:r>
              <w:rPr>
                <w:rFonts w:ascii="Times New Roman" w:eastAsia="Times New Roman"/>
                <w:sz w:val="21"/>
              </w:rPr>
              <w:t>2</w:t>
            </w:r>
            <w:r>
              <w:rPr>
                <w:sz w:val="21"/>
              </w:rPr>
              <w:t>）</w:t>
            </w:r>
          </w:p>
        </w:tc>
        <w:tc>
          <w:tcPr>
            <w:tcW w:w="1527" w:type="dxa"/>
          </w:tcPr>
          <w:p>
            <w:pPr>
              <w:pStyle w:val="TableParagraph"/>
              <w:spacing w:before="109"/>
              <w:ind w:left="117" w:right="109"/>
              <w:jc w:val="center"/>
              <w:rPr>
                <w:sz w:val="21"/>
              </w:rPr>
            </w:pPr>
            <w:r>
              <w:rPr>
                <w:sz w:val="21"/>
              </w:rPr>
              <w:t>急性心肌梗塞</w:t>
            </w:r>
          </w:p>
        </w:tc>
        <w:tc>
          <w:tcPr>
            <w:tcW w:w="8025" w:type="dxa"/>
          </w:tcPr>
          <w:p>
            <w:pPr>
              <w:pStyle w:val="TableParagraph"/>
              <w:spacing w:line="288" w:lineRule="auto" w:before="109"/>
              <w:ind w:left="126" w:right="328"/>
              <w:rPr>
                <w:sz w:val="21"/>
              </w:rPr>
            </w:pPr>
            <w:r>
              <w:rPr>
                <w:sz w:val="21"/>
              </w:rPr>
              <w:t>指因冠状动脉阻塞导致的相应区域供血不足造成部分心肌坏死。须满足下列至少三项条件：</w:t>
            </w:r>
          </w:p>
          <w:p>
            <w:pPr>
              <w:pStyle w:val="TableParagraph"/>
              <w:spacing w:before="9"/>
              <w:ind w:left="126"/>
              <w:rPr>
                <w:sz w:val="21"/>
              </w:rPr>
            </w:pPr>
            <w:r>
              <w:rPr>
                <w:sz w:val="21"/>
              </w:rPr>
              <w:t>（</w:t>
            </w:r>
            <w:r>
              <w:rPr>
                <w:rFonts w:ascii="Times New Roman" w:eastAsia="Times New Roman"/>
                <w:sz w:val="21"/>
              </w:rPr>
              <w:t>1</w:t>
            </w:r>
            <w:r>
              <w:rPr>
                <w:sz w:val="21"/>
              </w:rPr>
              <w:t>）典型临床表现，例如急性胸痛等；</w:t>
            </w:r>
          </w:p>
          <w:p>
            <w:pPr>
              <w:pStyle w:val="TableParagraph"/>
              <w:spacing w:before="35"/>
              <w:ind w:left="126"/>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35"/>
              <w:ind w:left="126"/>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35"/>
              <w:ind w:left="12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521" w:hRule="atLeast"/>
        </w:trPr>
        <w:tc>
          <w:tcPr>
            <w:tcW w:w="865" w:type="dxa"/>
          </w:tcPr>
          <w:p>
            <w:pPr>
              <w:pStyle w:val="TableParagraph"/>
              <w:spacing w:before="110"/>
              <w:ind w:right="136"/>
              <w:jc w:val="right"/>
              <w:rPr>
                <w:sz w:val="21"/>
              </w:rPr>
            </w:pPr>
            <w:r>
              <w:rPr>
                <w:sz w:val="21"/>
              </w:rPr>
              <w:t>（</w:t>
            </w:r>
            <w:r>
              <w:rPr>
                <w:rFonts w:ascii="Times New Roman" w:eastAsia="Times New Roman"/>
                <w:sz w:val="21"/>
              </w:rPr>
              <w:t>3</w:t>
            </w:r>
            <w:r>
              <w:rPr>
                <w:sz w:val="21"/>
              </w:rPr>
              <w:t>）</w:t>
            </w:r>
          </w:p>
        </w:tc>
        <w:tc>
          <w:tcPr>
            <w:tcW w:w="1527" w:type="dxa"/>
          </w:tcPr>
          <w:p>
            <w:pPr>
              <w:pStyle w:val="TableParagraph"/>
              <w:spacing w:before="110"/>
              <w:ind w:left="117" w:right="109"/>
              <w:jc w:val="center"/>
              <w:rPr>
                <w:sz w:val="21"/>
              </w:rPr>
            </w:pPr>
            <w:r>
              <w:rPr>
                <w:sz w:val="21"/>
              </w:rPr>
              <w:t>脑中风后遗症</w:t>
            </w:r>
          </w:p>
        </w:tc>
        <w:tc>
          <w:tcPr>
            <w:tcW w:w="8025" w:type="dxa"/>
          </w:tcPr>
          <w:p>
            <w:pPr>
              <w:pStyle w:val="TableParagraph"/>
              <w:spacing w:line="276" w:lineRule="auto" w:before="110"/>
              <w:ind w:left="126" w:right="328"/>
              <w:jc w:val="both"/>
              <w:rPr>
                <w:sz w:val="21"/>
              </w:rPr>
            </w:pPr>
            <w:r>
              <w:rPr>
                <w:spacing w:val="-3"/>
                <w:sz w:val="21"/>
              </w:rPr>
              <w:t>指因脑血管的突发病变引起脑血管出血、栓塞或梗塞，并导致神经系统永久性的功</w:t>
            </w:r>
            <w:r>
              <w:rPr>
                <w:spacing w:val="-5"/>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305" w:lineRule="exact"/>
              <w:ind w:left="126"/>
              <w:rPr>
                <w:sz w:val="21"/>
              </w:rPr>
            </w:pPr>
            <w:r>
              <w:rPr>
                <w:sz w:val="21"/>
              </w:rPr>
              <w:t>（</w:t>
            </w:r>
            <w:r>
              <w:rPr>
                <w:rFonts w:ascii="Times New Roman" w:eastAsia="Times New Roman"/>
                <w:sz w:val="21"/>
              </w:rPr>
              <w:t>1</w:t>
            </w:r>
            <w:r>
              <w:rPr>
                <w:sz w:val="21"/>
              </w:rPr>
              <w:t>）一肢或一肢以上</w:t>
            </w:r>
            <w:r>
              <w:rPr>
                <w:rFonts w:ascii="微软雅黑" w:eastAsia="微软雅黑" w:hint="eastAsia"/>
                <w:b/>
                <w:sz w:val="21"/>
              </w:rPr>
              <w:t>肢体机能完全丧失</w:t>
            </w:r>
            <w:r>
              <w:rPr>
                <w:sz w:val="21"/>
              </w:rPr>
              <w:t>（见 </w:t>
            </w:r>
            <w:r>
              <w:rPr>
                <w:rFonts w:ascii="Times New Roman" w:eastAsia="Times New Roman"/>
                <w:sz w:val="21"/>
              </w:rPr>
              <w:t>7.13</w:t>
            </w:r>
            <w:r>
              <w:rPr>
                <w:sz w:val="21"/>
              </w:rPr>
              <w:t>）；</w:t>
            </w:r>
          </w:p>
          <w:p>
            <w:pPr>
              <w:pStyle w:val="TableParagraph"/>
              <w:spacing w:line="326" w:lineRule="exact"/>
              <w:ind w:left="126"/>
              <w:rPr>
                <w:sz w:val="21"/>
              </w:rPr>
            </w:pPr>
            <w:r>
              <w:rPr>
                <w:sz w:val="21"/>
              </w:rPr>
              <w:t>（</w:t>
            </w:r>
            <w:r>
              <w:rPr>
                <w:rFonts w:ascii="Times New Roman" w:eastAsia="Times New Roman"/>
                <w:sz w:val="21"/>
              </w:rPr>
              <w:t>2</w:t>
            </w:r>
            <w:r>
              <w:rPr>
                <w:sz w:val="21"/>
              </w:rPr>
              <w:t>）</w:t>
            </w:r>
            <w:r>
              <w:rPr>
                <w:rFonts w:ascii="微软雅黑" w:eastAsia="微软雅黑" w:hint="eastAsia"/>
                <w:b/>
                <w:sz w:val="21"/>
              </w:rPr>
              <w:t>语言能力或咀嚼吞咽能力完全丧失</w:t>
            </w:r>
            <w:r>
              <w:rPr>
                <w:sz w:val="21"/>
              </w:rPr>
              <w:t>（见 </w:t>
            </w:r>
            <w:r>
              <w:rPr>
                <w:rFonts w:ascii="Times New Roman" w:eastAsia="Times New Roman"/>
                <w:sz w:val="21"/>
              </w:rPr>
              <w:t>7.14</w:t>
            </w:r>
            <w:r>
              <w:rPr>
                <w:sz w:val="21"/>
              </w:rPr>
              <w:t>）；</w:t>
            </w:r>
          </w:p>
          <w:p>
            <w:pPr>
              <w:pStyle w:val="TableParagraph"/>
              <w:spacing w:line="326" w:lineRule="exact" w:before="28"/>
              <w:ind w:left="126" w:right="160" w:hanging="1"/>
              <w:rPr>
                <w:sz w:val="21"/>
              </w:rPr>
            </w:pPr>
            <w:r>
              <w:rPr>
                <w:sz w:val="21"/>
              </w:rPr>
              <w:t>（</w:t>
            </w:r>
            <w:r>
              <w:rPr>
                <w:rFonts w:ascii="Times New Roman" w:eastAsia="Times New Roman"/>
                <w:sz w:val="21"/>
              </w:rPr>
              <w:t>3</w:t>
            </w:r>
            <w:r>
              <w:rPr>
                <w:sz w:val="21"/>
              </w:rPr>
              <w:t>）自主生活能力完全丧失，无法独立完成</w:t>
            </w:r>
            <w:r>
              <w:rPr>
                <w:rFonts w:ascii="微软雅黑" w:eastAsia="微软雅黑" w:hint="eastAsia"/>
                <w:b/>
                <w:sz w:val="21"/>
              </w:rPr>
              <w:t>六项基本日常生活活动</w:t>
            </w:r>
            <w:r>
              <w:rPr>
                <w:sz w:val="21"/>
              </w:rPr>
              <w:t>（见 </w:t>
            </w:r>
            <w:r>
              <w:rPr>
                <w:rFonts w:ascii="Times New Roman" w:eastAsia="Times New Roman"/>
                <w:sz w:val="21"/>
              </w:rPr>
              <w:t>7.15</w:t>
            </w:r>
            <w:r>
              <w:rPr>
                <w:sz w:val="21"/>
              </w:rPr>
              <w:t>）中的三项或三项以上。</w:t>
            </w:r>
          </w:p>
        </w:tc>
      </w:tr>
      <w:tr>
        <w:trPr>
          <w:trHeight w:val="1875" w:hRule="atLeast"/>
        </w:trPr>
        <w:tc>
          <w:tcPr>
            <w:tcW w:w="865" w:type="dxa"/>
          </w:tcPr>
          <w:p>
            <w:pPr>
              <w:pStyle w:val="TableParagraph"/>
              <w:spacing w:before="118"/>
              <w:ind w:right="136"/>
              <w:jc w:val="right"/>
              <w:rPr>
                <w:sz w:val="21"/>
              </w:rPr>
            </w:pPr>
            <w:r>
              <w:rPr>
                <w:sz w:val="21"/>
              </w:rPr>
              <w:t>（</w:t>
            </w:r>
            <w:r>
              <w:rPr>
                <w:rFonts w:ascii="Times New Roman" w:eastAsia="Times New Roman"/>
                <w:sz w:val="21"/>
              </w:rPr>
              <w:t>4</w:t>
            </w:r>
            <w:r>
              <w:rPr>
                <w:sz w:val="21"/>
              </w:rPr>
              <w:t>）</w:t>
            </w:r>
          </w:p>
        </w:tc>
        <w:tc>
          <w:tcPr>
            <w:tcW w:w="1527" w:type="dxa"/>
          </w:tcPr>
          <w:p>
            <w:pPr>
              <w:pStyle w:val="TableParagraph"/>
              <w:spacing w:line="285" w:lineRule="auto" w:before="118"/>
              <w:ind w:left="136" w:right="125"/>
              <w:jc w:val="both"/>
              <w:rPr>
                <w:sz w:val="21"/>
              </w:rPr>
            </w:pPr>
            <w:r>
              <w:rPr>
                <w:sz w:val="21"/>
              </w:rPr>
              <w:t>重大器官移植术或造血干细胞移植术</w:t>
            </w:r>
          </w:p>
        </w:tc>
        <w:tc>
          <w:tcPr>
            <w:tcW w:w="8025" w:type="dxa"/>
          </w:tcPr>
          <w:p>
            <w:pPr>
              <w:pStyle w:val="TableParagraph"/>
              <w:spacing w:line="285" w:lineRule="auto" w:before="118"/>
              <w:ind w:left="126" w:right="328"/>
              <w:rPr>
                <w:sz w:val="21"/>
              </w:rPr>
            </w:pPr>
            <w:r>
              <w:rPr>
                <w:sz w:val="21"/>
              </w:rPr>
              <w:t>重大器官移植术，指因相应器官功能衰竭，已经实施了肾脏、肝脏、心脏或肺脏的异体移植手术。</w:t>
            </w:r>
          </w:p>
          <w:p>
            <w:pPr>
              <w:pStyle w:val="TableParagraph"/>
              <w:spacing w:line="285" w:lineRule="auto" w:before="11"/>
              <w:ind w:left="126" w:right="328"/>
              <w:rPr>
                <w:sz w:val="21"/>
              </w:rPr>
            </w:pPr>
            <w:r>
              <w:rPr>
                <w:spacing w:val="-3"/>
                <w:sz w:val="21"/>
              </w:rPr>
              <w:t>造血干细胞移植术，指因造血功能损害或造血系统恶性肿瘤，已经实施了造血干细胞（包括骨髓造血干细胞、外周血造血干细胞和脐血造血干细胞）的异体移植手 术。</w:t>
            </w:r>
          </w:p>
        </w:tc>
      </w:tr>
      <w:tr>
        <w:trPr>
          <w:trHeight w:val="1549" w:hRule="atLeast"/>
        </w:trPr>
        <w:tc>
          <w:tcPr>
            <w:tcW w:w="865" w:type="dxa"/>
          </w:tcPr>
          <w:p>
            <w:pPr>
              <w:pStyle w:val="TableParagraph"/>
              <w:spacing w:before="117"/>
              <w:ind w:right="136"/>
              <w:jc w:val="right"/>
              <w:rPr>
                <w:sz w:val="21"/>
              </w:rPr>
            </w:pPr>
            <w:r>
              <w:rPr>
                <w:sz w:val="21"/>
              </w:rPr>
              <w:t>（</w:t>
            </w:r>
            <w:r>
              <w:rPr>
                <w:rFonts w:ascii="Times New Roman" w:eastAsia="Times New Roman"/>
                <w:sz w:val="21"/>
              </w:rPr>
              <w:t>5</w:t>
            </w:r>
            <w:r>
              <w:rPr>
                <w:sz w:val="21"/>
              </w:rPr>
              <w:t>）</w:t>
            </w:r>
          </w:p>
        </w:tc>
        <w:tc>
          <w:tcPr>
            <w:tcW w:w="1527" w:type="dxa"/>
          </w:tcPr>
          <w:p>
            <w:pPr>
              <w:pStyle w:val="TableParagraph"/>
              <w:spacing w:line="285" w:lineRule="auto" w:before="117"/>
              <w:ind w:left="136" w:right="125"/>
              <w:jc w:val="both"/>
              <w:rPr>
                <w:sz w:val="21"/>
              </w:rPr>
            </w:pPr>
            <w:r>
              <w:rPr>
                <w:sz w:val="21"/>
              </w:rPr>
              <w:t>冠状动脉搭桥术（或称冠状动脉旁路移植术）</w:t>
            </w:r>
          </w:p>
        </w:tc>
        <w:tc>
          <w:tcPr>
            <w:tcW w:w="8025" w:type="dxa"/>
          </w:tcPr>
          <w:p>
            <w:pPr>
              <w:pStyle w:val="TableParagraph"/>
              <w:spacing w:line="285" w:lineRule="auto" w:before="117"/>
              <w:ind w:left="126" w:right="539"/>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548" w:hRule="atLeast"/>
        </w:trPr>
        <w:tc>
          <w:tcPr>
            <w:tcW w:w="865" w:type="dxa"/>
          </w:tcPr>
          <w:p>
            <w:pPr>
              <w:pStyle w:val="TableParagraph"/>
              <w:spacing w:before="118"/>
              <w:ind w:right="136"/>
              <w:jc w:val="right"/>
              <w:rPr>
                <w:sz w:val="21"/>
              </w:rPr>
            </w:pPr>
            <w:r>
              <w:rPr>
                <w:sz w:val="21"/>
              </w:rPr>
              <w:t>（</w:t>
            </w:r>
            <w:r>
              <w:rPr>
                <w:rFonts w:ascii="Times New Roman" w:eastAsia="Times New Roman"/>
                <w:sz w:val="21"/>
              </w:rPr>
              <w:t>6</w:t>
            </w:r>
            <w:r>
              <w:rPr>
                <w:sz w:val="21"/>
              </w:rPr>
              <w:t>）</w:t>
            </w:r>
          </w:p>
        </w:tc>
        <w:tc>
          <w:tcPr>
            <w:tcW w:w="1527" w:type="dxa"/>
          </w:tcPr>
          <w:p>
            <w:pPr>
              <w:pStyle w:val="TableParagraph"/>
              <w:spacing w:before="118"/>
              <w:ind w:left="136"/>
              <w:rPr>
                <w:sz w:val="21"/>
              </w:rPr>
            </w:pPr>
            <w:r>
              <w:rPr>
                <w:sz w:val="21"/>
              </w:rPr>
              <w:t>终末期肾病</w:t>
            </w:r>
          </w:p>
          <w:p>
            <w:pPr>
              <w:pStyle w:val="TableParagraph"/>
              <w:spacing w:line="285" w:lineRule="auto" w:before="51"/>
              <w:ind w:left="136" w:right="125"/>
              <w:jc w:val="both"/>
              <w:rPr>
                <w:sz w:val="21"/>
              </w:rPr>
            </w:pPr>
            <w:r>
              <w:rPr>
                <w:sz w:val="21"/>
              </w:rPr>
              <w:t>（或称慢性肾功能衰竭尿毒症期）</w:t>
            </w:r>
          </w:p>
        </w:tc>
        <w:tc>
          <w:tcPr>
            <w:tcW w:w="8025" w:type="dxa"/>
          </w:tcPr>
          <w:p>
            <w:pPr>
              <w:pStyle w:val="TableParagraph"/>
              <w:spacing w:line="268" w:lineRule="auto" w:before="118"/>
              <w:ind w:left="126" w:right="149"/>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895" w:hRule="atLeast"/>
        </w:trPr>
        <w:tc>
          <w:tcPr>
            <w:tcW w:w="865" w:type="dxa"/>
          </w:tcPr>
          <w:p>
            <w:pPr>
              <w:pStyle w:val="TableParagraph"/>
              <w:spacing w:before="118"/>
              <w:ind w:right="136"/>
              <w:jc w:val="right"/>
              <w:rPr>
                <w:sz w:val="21"/>
              </w:rPr>
            </w:pPr>
            <w:r>
              <w:rPr>
                <w:sz w:val="21"/>
              </w:rPr>
              <w:t>（</w:t>
            </w:r>
            <w:r>
              <w:rPr>
                <w:rFonts w:ascii="Times New Roman" w:eastAsia="Times New Roman"/>
                <w:sz w:val="21"/>
              </w:rPr>
              <w:t>7</w:t>
            </w:r>
            <w:r>
              <w:rPr>
                <w:sz w:val="21"/>
              </w:rPr>
              <w:t>）</w:t>
            </w:r>
          </w:p>
        </w:tc>
        <w:tc>
          <w:tcPr>
            <w:tcW w:w="1527" w:type="dxa"/>
          </w:tcPr>
          <w:p>
            <w:pPr>
              <w:pStyle w:val="TableParagraph"/>
              <w:spacing w:before="118"/>
              <w:ind w:left="117" w:right="109"/>
              <w:jc w:val="center"/>
              <w:rPr>
                <w:sz w:val="21"/>
              </w:rPr>
            </w:pPr>
            <w:r>
              <w:rPr>
                <w:sz w:val="21"/>
              </w:rPr>
              <w:t>多个肢体缺失</w:t>
            </w:r>
          </w:p>
        </w:tc>
        <w:tc>
          <w:tcPr>
            <w:tcW w:w="8025" w:type="dxa"/>
          </w:tcPr>
          <w:p>
            <w:pPr>
              <w:pStyle w:val="TableParagraph"/>
              <w:spacing w:line="256" w:lineRule="auto" w:before="56"/>
              <w:ind w:left="126" w:right="206"/>
              <w:rPr>
                <w:sz w:val="21"/>
              </w:rPr>
            </w:pPr>
            <w:r>
              <w:rPr>
                <w:sz w:val="21"/>
              </w:rPr>
              <w:t>指因疾病或</w:t>
            </w:r>
            <w:r>
              <w:rPr>
                <w:rFonts w:ascii="微软雅黑" w:eastAsia="微软雅黑" w:hint="eastAsia"/>
                <w:b/>
                <w:sz w:val="21"/>
              </w:rPr>
              <w:t>意外伤害</w:t>
            </w:r>
            <w:r>
              <w:rPr>
                <w:sz w:val="21"/>
              </w:rPr>
              <w:t>导致两个或两个以上肢体自腕关节或踝关节近端（靠近躯干端）以上完全性断离。</w:t>
            </w:r>
          </w:p>
        </w:tc>
      </w:tr>
      <w:tr>
        <w:trPr>
          <w:trHeight w:val="1061" w:hRule="atLeast"/>
        </w:trPr>
        <w:tc>
          <w:tcPr>
            <w:tcW w:w="865" w:type="dxa"/>
          </w:tcPr>
          <w:p>
            <w:pPr>
              <w:pStyle w:val="TableParagraph"/>
              <w:spacing w:before="118"/>
              <w:ind w:right="136"/>
              <w:jc w:val="right"/>
              <w:rPr>
                <w:sz w:val="21"/>
              </w:rPr>
            </w:pPr>
            <w:r>
              <w:rPr>
                <w:sz w:val="21"/>
              </w:rPr>
              <w:t>（</w:t>
            </w:r>
            <w:r>
              <w:rPr>
                <w:rFonts w:ascii="Times New Roman" w:eastAsia="Times New Roman"/>
                <w:sz w:val="21"/>
              </w:rPr>
              <w:t>8</w:t>
            </w:r>
            <w:r>
              <w:rPr>
                <w:sz w:val="21"/>
              </w:rPr>
              <w:t>）</w:t>
            </w:r>
          </w:p>
        </w:tc>
        <w:tc>
          <w:tcPr>
            <w:tcW w:w="1527" w:type="dxa"/>
          </w:tcPr>
          <w:p>
            <w:pPr>
              <w:pStyle w:val="TableParagraph"/>
              <w:spacing w:line="285" w:lineRule="auto" w:before="118"/>
              <w:ind w:left="136" w:right="125"/>
              <w:rPr>
                <w:sz w:val="21"/>
              </w:rPr>
            </w:pPr>
            <w:r>
              <w:rPr>
                <w:sz w:val="21"/>
              </w:rPr>
              <w:t>急性或亚急性重症肝炎</w:t>
            </w:r>
          </w:p>
        </w:tc>
        <w:tc>
          <w:tcPr>
            <w:tcW w:w="8025" w:type="dxa"/>
          </w:tcPr>
          <w:p>
            <w:pPr>
              <w:pStyle w:val="TableParagraph"/>
              <w:spacing w:line="285" w:lineRule="auto" w:before="118"/>
              <w:ind w:left="126" w:right="201"/>
              <w:rPr>
                <w:sz w:val="21"/>
              </w:rPr>
            </w:pPr>
            <w:r>
              <w:rPr>
                <w:sz w:val="21"/>
              </w:rPr>
              <w:t>指因肝炎病毒感染引起肝脏组织弥漫性坏死，导致急性肝功能衰竭，且经血清学或病毒学检查证实，并须满足下列全部条件：</w:t>
            </w:r>
          </w:p>
          <w:p>
            <w:pPr>
              <w:pStyle w:val="TableParagraph"/>
              <w:spacing w:line="271" w:lineRule="exact" w:before="11"/>
              <w:ind w:left="126"/>
              <w:rPr>
                <w:sz w:val="21"/>
              </w:rPr>
            </w:pPr>
            <w:r>
              <w:rPr>
                <w:sz w:val="21"/>
              </w:rPr>
              <w:t>（</w:t>
            </w:r>
            <w:r>
              <w:rPr>
                <w:rFonts w:ascii="Times New Roman" w:eastAsia="Times New Roman"/>
                <w:sz w:val="21"/>
              </w:rPr>
              <w:t>1</w:t>
            </w:r>
            <w:r>
              <w:rPr>
                <w:sz w:val="21"/>
              </w:rPr>
              <w:t>）重度黄疸或黄疸迅速加重；</w:t>
            </w:r>
          </w:p>
        </w:tc>
      </w:tr>
    </w:tbl>
    <w:p>
      <w:pPr>
        <w:spacing w:after="0" w:line="271" w:lineRule="exact"/>
        <w:rPr>
          <w:sz w:val="21"/>
        </w:rPr>
        <w:sectPr>
          <w:pgSz w:w="11910" w:h="16840"/>
          <w:pgMar w:header="857" w:footer="995" w:top="1040" w:bottom="1180" w:left="700" w:right="58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525"/>
        <w:gridCol w:w="7999"/>
      </w:tblGrid>
      <w:tr>
        <w:trPr>
          <w:trHeight w:val="1455" w:hRule="atLeast"/>
        </w:trPr>
        <w:tc>
          <w:tcPr>
            <w:tcW w:w="949" w:type="dxa"/>
            <w:tcBorders>
              <w:top w:val="single" w:sz="6" w:space="0" w:color="000000"/>
            </w:tcBorders>
          </w:tcPr>
          <w:p>
            <w:pPr>
              <w:pStyle w:val="TableParagraph"/>
              <w:rPr>
                <w:rFonts w:ascii="Times New Roman"/>
                <w:sz w:val="20"/>
              </w:rPr>
            </w:pPr>
          </w:p>
        </w:tc>
        <w:tc>
          <w:tcPr>
            <w:tcW w:w="1525" w:type="dxa"/>
            <w:tcBorders>
              <w:top w:val="single" w:sz="6" w:space="0" w:color="000000"/>
            </w:tcBorders>
          </w:tcPr>
          <w:p>
            <w:pPr>
              <w:pStyle w:val="TableParagraph"/>
              <w:rPr>
                <w:rFonts w:ascii="Times New Roman"/>
                <w:sz w:val="20"/>
              </w:rPr>
            </w:pPr>
          </w:p>
        </w:tc>
        <w:tc>
          <w:tcPr>
            <w:tcW w:w="7999" w:type="dxa"/>
            <w:tcBorders>
              <w:top w:val="single" w:sz="6" w:space="0" w:color="000000"/>
            </w:tcBorders>
          </w:tcPr>
          <w:p>
            <w:pPr>
              <w:pStyle w:val="TableParagraph"/>
              <w:spacing w:before="11"/>
              <w:rPr>
                <w:rFonts w:ascii="Times New Roman"/>
                <w:sz w:val="29"/>
              </w:rPr>
            </w:pPr>
          </w:p>
          <w:p>
            <w:pPr>
              <w:pStyle w:val="TableParagraph"/>
              <w:ind w:left="101"/>
              <w:rPr>
                <w:sz w:val="21"/>
              </w:rPr>
            </w:pPr>
            <w:r>
              <w:rPr>
                <w:sz w:val="21"/>
              </w:rPr>
              <w:t>（</w:t>
            </w:r>
            <w:r>
              <w:rPr>
                <w:rFonts w:ascii="Times New Roman" w:eastAsia="Times New Roman"/>
                <w:sz w:val="21"/>
              </w:rPr>
              <w:t>2</w:t>
            </w:r>
            <w:r>
              <w:rPr>
                <w:sz w:val="21"/>
              </w:rPr>
              <w:t>）肝性脑病；</w:t>
            </w:r>
          </w:p>
          <w:p>
            <w:pPr>
              <w:pStyle w:val="TableParagraph"/>
              <w:spacing w:before="35"/>
              <w:ind w:left="10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35"/>
              <w:ind w:left="102"/>
              <w:rPr>
                <w:sz w:val="21"/>
              </w:rPr>
            </w:pPr>
            <w:r>
              <w:rPr>
                <w:sz w:val="21"/>
              </w:rPr>
              <w:t>（</w:t>
            </w:r>
            <w:r>
              <w:rPr>
                <w:rFonts w:ascii="Times New Roman" w:eastAsia="Times New Roman"/>
                <w:sz w:val="21"/>
              </w:rPr>
              <w:t>4</w:t>
            </w:r>
            <w:r>
              <w:rPr>
                <w:sz w:val="21"/>
              </w:rPr>
              <w:t>）肝功能指标进行性恶化。</w:t>
            </w:r>
          </w:p>
        </w:tc>
      </w:tr>
      <w:tr>
        <w:trPr>
          <w:trHeight w:val="2510" w:hRule="atLeast"/>
        </w:trPr>
        <w:tc>
          <w:tcPr>
            <w:tcW w:w="949" w:type="dxa"/>
          </w:tcPr>
          <w:p>
            <w:pPr>
              <w:pStyle w:val="TableParagraph"/>
              <w:spacing w:before="110"/>
              <w:ind w:right="161"/>
              <w:jc w:val="right"/>
              <w:rPr>
                <w:sz w:val="21"/>
              </w:rPr>
            </w:pPr>
            <w:r>
              <w:rPr>
                <w:sz w:val="21"/>
              </w:rPr>
              <w:t>（</w:t>
            </w:r>
            <w:r>
              <w:rPr>
                <w:rFonts w:ascii="Times New Roman" w:eastAsia="Times New Roman"/>
                <w:sz w:val="21"/>
              </w:rPr>
              <w:t>9</w:t>
            </w:r>
            <w:r>
              <w:rPr>
                <w:sz w:val="21"/>
              </w:rPr>
              <w:t>）</w:t>
            </w:r>
          </w:p>
        </w:tc>
        <w:tc>
          <w:tcPr>
            <w:tcW w:w="1525" w:type="dxa"/>
          </w:tcPr>
          <w:p>
            <w:pPr>
              <w:pStyle w:val="TableParagraph"/>
              <w:spacing w:before="110"/>
              <w:ind w:left="110"/>
              <w:rPr>
                <w:sz w:val="21"/>
              </w:rPr>
            </w:pPr>
            <w:r>
              <w:rPr>
                <w:sz w:val="21"/>
              </w:rPr>
              <w:t>良性脑肿瘤</w:t>
            </w:r>
          </w:p>
        </w:tc>
        <w:tc>
          <w:tcPr>
            <w:tcW w:w="7999" w:type="dxa"/>
          </w:tcPr>
          <w:p>
            <w:pPr>
              <w:pStyle w:val="TableParagraph"/>
              <w:spacing w:line="285" w:lineRule="auto" w:before="110"/>
              <w:ind w:left="101" w:right="326"/>
              <w:rPr>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p>
          <w:p>
            <w:pPr>
              <w:pStyle w:val="TableParagraph"/>
              <w:spacing w:line="268" w:lineRule="auto"/>
              <w:ind w:left="102" w:right="398"/>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8"/>
              <w:ind w:left="10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35"/>
              <w:ind w:left="102"/>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35"/>
              <w:ind w:left="102"/>
              <w:rPr>
                <w:sz w:val="21"/>
              </w:rPr>
            </w:pPr>
            <w:r>
              <w:rPr>
                <w:sz w:val="21"/>
              </w:rPr>
              <w:t>脑垂体瘤、脑囊肿、脑血管性疾病不在保障范围内。</w:t>
            </w:r>
          </w:p>
        </w:tc>
      </w:tr>
      <w:tr>
        <w:trPr>
          <w:trHeight w:val="1912" w:hRule="atLeast"/>
        </w:trPr>
        <w:tc>
          <w:tcPr>
            <w:tcW w:w="949" w:type="dxa"/>
          </w:tcPr>
          <w:p>
            <w:pPr>
              <w:pStyle w:val="TableParagraph"/>
              <w:spacing w:before="157"/>
              <w:ind w:left="346"/>
              <w:rPr>
                <w:rFonts w:ascii="Times New Roman"/>
                <w:sz w:val="21"/>
              </w:rPr>
            </w:pPr>
            <w:r>
              <w:rPr>
                <w:rFonts w:ascii="Times New Roman"/>
                <w:sz w:val="21"/>
              </w:rPr>
              <w:t>(10)</w:t>
            </w:r>
          </w:p>
        </w:tc>
        <w:tc>
          <w:tcPr>
            <w:tcW w:w="1525" w:type="dxa"/>
          </w:tcPr>
          <w:p>
            <w:pPr>
              <w:pStyle w:val="TableParagraph"/>
              <w:spacing w:line="237" w:lineRule="auto" w:before="132"/>
              <w:ind w:left="110" w:right="100"/>
              <w:rPr>
                <w:sz w:val="21"/>
              </w:rPr>
            </w:pPr>
            <w:r>
              <w:rPr>
                <w:sz w:val="21"/>
              </w:rPr>
              <w:t>慢性肝功能衰竭失代偿期</w:t>
            </w:r>
          </w:p>
        </w:tc>
        <w:tc>
          <w:tcPr>
            <w:tcW w:w="7999" w:type="dxa"/>
          </w:tcPr>
          <w:p>
            <w:pPr>
              <w:pStyle w:val="TableParagraph"/>
              <w:spacing w:line="273" w:lineRule="exact" w:before="129"/>
              <w:ind w:left="102"/>
              <w:rPr>
                <w:sz w:val="21"/>
              </w:rPr>
            </w:pPr>
            <w:r>
              <w:rPr>
                <w:sz w:val="21"/>
              </w:rPr>
              <w:t>指因慢性肝脏疾病导致肝功能衰竭。须满足下列全部条件：</w:t>
            </w:r>
          </w:p>
          <w:p>
            <w:pPr>
              <w:pStyle w:val="TableParagraph"/>
              <w:spacing w:line="280" w:lineRule="exact"/>
              <w:ind w:left="102"/>
              <w:rPr>
                <w:sz w:val="21"/>
              </w:rPr>
            </w:pPr>
            <w:r>
              <w:rPr>
                <w:sz w:val="21"/>
              </w:rPr>
              <w:t>（</w:t>
            </w:r>
            <w:r>
              <w:rPr>
                <w:rFonts w:ascii="Times New Roman" w:eastAsia="Times New Roman"/>
                <w:sz w:val="21"/>
              </w:rPr>
              <w:t>1</w:t>
            </w:r>
            <w:r>
              <w:rPr>
                <w:sz w:val="21"/>
              </w:rPr>
              <w:t>）持续性黄疸；</w:t>
            </w:r>
          </w:p>
          <w:p>
            <w:pPr>
              <w:pStyle w:val="TableParagraph"/>
              <w:spacing w:line="272" w:lineRule="exact"/>
              <w:ind w:left="102"/>
              <w:rPr>
                <w:sz w:val="21"/>
              </w:rPr>
            </w:pPr>
            <w:r>
              <w:rPr>
                <w:sz w:val="21"/>
              </w:rPr>
              <w:t>（</w:t>
            </w:r>
            <w:r>
              <w:rPr>
                <w:rFonts w:ascii="Times New Roman" w:eastAsia="Times New Roman"/>
                <w:sz w:val="21"/>
              </w:rPr>
              <w:t>2</w:t>
            </w:r>
            <w:r>
              <w:rPr>
                <w:sz w:val="21"/>
              </w:rPr>
              <w:t>）腹水；</w:t>
            </w:r>
          </w:p>
          <w:p>
            <w:pPr>
              <w:pStyle w:val="TableParagraph"/>
              <w:spacing w:line="272" w:lineRule="exact"/>
              <w:ind w:left="102"/>
              <w:rPr>
                <w:sz w:val="21"/>
              </w:rPr>
            </w:pPr>
            <w:r>
              <w:rPr>
                <w:sz w:val="21"/>
              </w:rPr>
              <w:t>（</w:t>
            </w:r>
            <w:r>
              <w:rPr>
                <w:rFonts w:ascii="Times New Roman" w:eastAsia="Times New Roman"/>
                <w:sz w:val="21"/>
              </w:rPr>
              <w:t>3</w:t>
            </w:r>
            <w:r>
              <w:rPr>
                <w:sz w:val="21"/>
              </w:rPr>
              <w:t>）肝性脑病；</w:t>
            </w:r>
          </w:p>
          <w:p>
            <w:pPr>
              <w:pStyle w:val="TableParagraph"/>
              <w:spacing w:line="223" w:lineRule="auto" w:before="12"/>
              <w:ind w:left="102" w:right="2750"/>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175" w:hRule="atLeast"/>
        </w:trPr>
        <w:tc>
          <w:tcPr>
            <w:tcW w:w="949" w:type="dxa"/>
          </w:tcPr>
          <w:p>
            <w:pPr>
              <w:pStyle w:val="TableParagraph"/>
              <w:spacing w:before="91"/>
              <w:ind w:right="113"/>
              <w:jc w:val="right"/>
              <w:rPr>
                <w:sz w:val="21"/>
              </w:rPr>
            </w:pPr>
            <w:r>
              <w:rPr>
                <w:sz w:val="21"/>
              </w:rPr>
              <w:t>（</w:t>
            </w:r>
            <w:r>
              <w:rPr>
                <w:rFonts w:ascii="Times New Roman" w:eastAsia="Times New Roman"/>
                <w:sz w:val="21"/>
              </w:rPr>
              <w:t>11</w:t>
            </w:r>
            <w:r>
              <w:rPr>
                <w:sz w:val="21"/>
              </w:rPr>
              <w:t>）</w:t>
            </w:r>
          </w:p>
        </w:tc>
        <w:tc>
          <w:tcPr>
            <w:tcW w:w="1525" w:type="dxa"/>
          </w:tcPr>
          <w:p>
            <w:pPr>
              <w:pStyle w:val="TableParagraph"/>
              <w:spacing w:line="285" w:lineRule="auto" w:before="91"/>
              <w:ind w:left="110" w:right="149"/>
              <w:rPr>
                <w:sz w:val="21"/>
              </w:rPr>
            </w:pPr>
            <w:r>
              <w:rPr>
                <w:sz w:val="21"/>
              </w:rPr>
              <w:t>脑炎后遗症或脑膜炎后遗症</w:t>
            </w:r>
          </w:p>
        </w:tc>
        <w:tc>
          <w:tcPr>
            <w:tcW w:w="7999" w:type="dxa"/>
          </w:tcPr>
          <w:p>
            <w:pPr>
              <w:pStyle w:val="TableParagraph"/>
              <w:spacing w:line="285" w:lineRule="auto" w:before="91"/>
              <w:ind w:left="102" w:right="32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6" w:lineRule="exact"/>
              <w:ind w:left="101"/>
              <w:rPr>
                <w:sz w:val="21"/>
              </w:rPr>
            </w:pPr>
            <w:r>
              <w:rPr>
                <w:sz w:val="21"/>
              </w:rPr>
              <w:t>（</w:t>
            </w:r>
            <w:r>
              <w:rPr>
                <w:rFonts w:ascii="Times New Roman" w:eastAsia="Times New Roman"/>
                <w:sz w:val="21"/>
              </w:rPr>
              <w:t>1</w:t>
            </w:r>
            <w:r>
              <w:rPr>
                <w:sz w:val="21"/>
              </w:rPr>
              <w:t>）一肢或一肢以上</w:t>
            </w:r>
            <w:r>
              <w:rPr>
                <w:rFonts w:ascii="微软雅黑" w:eastAsia="微软雅黑" w:hint="eastAsia"/>
                <w:b/>
                <w:sz w:val="21"/>
              </w:rPr>
              <w:t>肢体机能完全丧失</w:t>
            </w:r>
            <w:r>
              <w:rPr>
                <w:sz w:val="21"/>
              </w:rPr>
              <w:t>；</w:t>
            </w:r>
          </w:p>
          <w:p>
            <w:pPr>
              <w:pStyle w:val="TableParagraph"/>
              <w:spacing w:line="326" w:lineRule="exact"/>
              <w:ind w:left="101"/>
              <w:rPr>
                <w:sz w:val="21"/>
              </w:rPr>
            </w:pPr>
            <w:r>
              <w:rPr>
                <w:sz w:val="21"/>
              </w:rPr>
              <w:t>（</w:t>
            </w:r>
            <w:r>
              <w:rPr>
                <w:rFonts w:ascii="Times New Roman" w:eastAsia="Times New Roman"/>
                <w:sz w:val="21"/>
              </w:rPr>
              <w:t>2</w:t>
            </w:r>
            <w:r>
              <w:rPr>
                <w:sz w:val="21"/>
              </w:rPr>
              <w:t>）</w:t>
            </w:r>
            <w:r>
              <w:rPr>
                <w:rFonts w:ascii="微软雅黑" w:eastAsia="微软雅黑" w:hint="eastAsia"/>
                <w:b/>
                <w:sz w:val="21"/>
              </w:rPr>
              <w:t>语言能力或咀嚼吞咽能力完全丧失</w:t>
            </w:r>
            <w:r>
              <w:rPr>
                <w:sz w:val="21"/>
              </w:rPr>
              <w:t>；</w:t>
            </w:r>
          </w:p>
          <w:p>
            <w:pPr>
              <w:pStyle w:val="TableParagraph"/>
              <w:spacing w:line="326" w:lineRule="exact" w:before="29"/>
              <w:ind w:left="102" w:right="224" w:hanging="1"/>
              <w:rPr>
                <w:sz w:val="21"/>
              </w:rPr>
            </w:pPr>
            <w:r>
              <w:rPr>
                <w:sz w:val="21"/>
              </w:rPr>
              <w:t>（</w:t>
            </w:r>
            <w:r>
              <w:rPr>
                <w:rFonts w:ascii="Times New Roman" w:eastAsia="Times New Roman"/>
                <w:sz w:val="21"/>
              </w:rPr>
              <w:t>3</w:t>
            </w:r>
            <w:r>
              <w:rPr>
                <w:sz w:val="21"/>
              </w:rPr>
              <w:t>）自主生活能力完全丧失，无法独立完成</w:t>
            </w:r>
            <w:r>
              <w:rPr>
                <w:rFonts w:ascii="微软雅黑" w:eastAsia="微软雅黑" w:hint="eastAsia"/>
                <w:b/>
                <w:sz w:val="21"/>
              </w:rPr>
              <w:t>六项基本日常生活活动</w:t>
            </w:r>
            <w:r>
              <w:rPr>
                <w:sz w:val="21"/>
              </w:rPr>
              <w:t>中的三项或三项以上。</w:t>
            </w:r>
          </w:p>
        </w:tc>
      </w:tr>
      <w:tr>
        <w:trPr>
          <w:trHeight w:val="1548" w:hRule="atLeast"/>
        </w:trPr>
        <w:tc>
          <w:tcPr>
            <w:tcW w:w="949" w:type="dxa"/>
          </w:tcPr>
          <w:p>
            <w:pPr>
              <w:pStyle w:val="TableParagraph"/>
              <w:spacing w:before="118"/>
              <w:ind w:right="113"/>
              <w:jc w:val="right"/>
              <w:rPr>
                <w:sz w:val="21"/>
              </w:rPr>
            </w:pPr>
            <w:r>
              <w:rPr>
                <w:sz w:val="21"/>
              </w:rPr>
              <w:t>（</w:t>
            </w:r>
            <w:r>
              <w:rPr>
                <w:rFonts w:ascii="Times New Roman" w:eastAsia="Times New Roman"/>
                <w:sz w:val="21"/>
              </w:rPr>
              <w:t>12</w:t>
            </w:r>
            <w:r>
              <w:rPr>
                <w:sz w:val="21"/>
              </w:rPr>
              <w:t>）</w:t>
            </w:r>
          </w:p>
        </w:tc>
        <w:tc>
          <w:tcPr>
            <w:tcW w:w="1525" w:type="dxa"/>
          </w:tcPr>
          <w:p>
            <w:pPr>
              <w:pStyle w:val="TableParagraph"/>
              <w:spacing w:before="118"/>
              <w:ind w:left="110"/>
              <w:rPr>
                <w:sz w:val="21"/>
              </w:rPr>
            </w:pPr>
            <w:r>
              <w:rPr>
                <w:sz w:val="21"/>
              </w:rPr>
              <w:t>深度昏迷</w:t>
            </w:r>
          </w:p>
        </w:tc>
        <w:tc>
          <w:tcPr>
            <w:tcW w:w="7999" w:type="dxa"/>
          </w:tcPr>
          <w:p>
            <w:pPr>
              <w:pStyle w:val="TableParagraph"/>
              <w:spacing w:line="261" w:lineRule="auto" w:before="56"/>
              <w:ind w:left="101" w:right="197"/>
              <w:jc w:val="both"/>
              <w:rPr>
                <w:sz w:val="21"/>
              </w:rPr>
            </w:pPr>
            <w:r>
              <w:rPr>
                <w:spacing w:val="-1"/>
                <w:sz w:val="21"/>
              </w:rPr>
              <w:t>指因疾病或</w:t>
            </w:r>
            <w:r>
              <w:rPr>
                <w:rFonts w:ascii="微软雅黑" w:eastAsia="微软雅黑" w:hint="eastAsia"/>
                <w:b/>
                <w:sz w:val="21"/>
              </w:rPr>
              <w:t>意外伤害</w:t>
            </w:r>
            <w:r>
              <w:rPr>
                <w:spacing w:val="-2"/>
                <w:sz w:val="21"/>
              </w:rPr>
              <w:t>导致意识丧失</w:t>
            </w:r>
            <w:r>
              <w:rPr>
                <w:rFonts w:ascii="Times New Roman" w:eastAsia="Times New Roman"/>
                <w:sz w:val="21"/>
              </w:rPr>
              <w:t>,</w:t>
            </w:r>
            <w:r>
              <w:rPr>
                <w:spacing w:val="-3"/>
                <w:sz w:val="21"/>
              </w:rPr>
              <w:t>对外界刺激和体内需求均无反应</w:t>
            </w:r>
            <w:r>
              <w:rPr>
                <w:rFonts w:ascii="Times New Roman" w:eastAsia="Times New Roman"/>
                <w:sz w:val="21"/>
              </w:rPr>
              <w:t>,</w:t>
            </w:r>
            <w:r>
              <w:rPr>
                <w:spacing w:val="-1"/>
                <w:sz w:val="21"/>
              </w:rPr>
              <w:t>昏迷程度按照格</w:t>
            </w:r>
            <w:r>
              <w:rPr>
                <w:spacing w:val="-3"/>
                <w:sz w:val="21"/>
              </w:rPr>
              <w:t>拉斯哥昏迷分级</w:t>
            </w:r>
            <w:r>
              <w:rPr>
                <w:sz w:val="21"/>
              </w:rPr>
              <w:t>（</w:t>
            </w:r>
            <w:r>
              <w:rPr>
                <w:rFonts w:ascii="Times New Roman" w:eastAsia="Times New Roman"/>
                <w:sz w:val="21"/>
              </w:rPr>
              <w:t>Glasgow coma scale</w:t>
            </w:r>
            <w:r>
              <w:rPr>
                <w:sz w:val="21"/>
              </w:rPr>
              <w:t>）</w:t>
            </w:r>
            <w:r>
              <w:rPr>
                <w:spacing w:val="-9"/>
                <w:sz w:val="21"/>
              </w:rPr>
              <w:t>结果为 </w:t>
            </w:r>
            <w:r>
              <w:rPr>
                <w:rFonts w:ascii="Times New Roman" w:eastAsia="Times New Roman"/>
                <w:sz w:val="21"/>
              </w:rPr>
              <w:t>5 </w:t>
            </w:r>
            <w:r>
              <w:rPr>
                <w:spacing w:val="-13"/>
                <w:sz w:val="21"/>
              </w:rPr>
              <w:t>分或 </w:t>
            </w:r>
            <w:r>
              <w:rPr>
                <w:rFonts w:ascii="Times New Roman" w:eastAsia="Times New Roman"/>
                <w:sz w:val="21"/>
              </w:rPr>
              <w:t>5 </w:t>
            </w:r>
            <w:r>
              <w:rPr>
                <w:spacing w:val="-3"/>
                <w:sz w:val="21"/>
              </w:rPr>
              <w:t>分以下，且已经持续使用呼</w:t>
            </w:r>
            <w:r>
              <w:rPr>
                <w:spacing w:val="-7"/>
                <w:sz w:val="21"/>
              </w:rPr>
              <w:t>吸机及其它生命维持系统 </w:t>
            </w:r>
            <w:r>
              <w:rPr>
                <w:rFonts w:ascii="Times New Roman" w:eastAsia="Times New Roman"/>
                <w:sz w:val="21"/>
              </w:rPr>
              <w:t>96 </w:t>
            </w:r>
            <w:r>
              <w:rPr>
                <w:spacing w:val="-3"/>
                <w:sz w:val="21"/>
              </w:rPr>
              <w:t>小时以上。</w:t>
            </w:r>
          </w:p>
          <w:p>
            <w:pPr>
              <w:pStyle w:val="TableParagraph"/>
              <w:spacing w:before="15"/>
              <w:ind w:left="101"/>
              <w:jc w:val="both"/>
              <w:rPr>
                <w:sz w:val="21"/>
              </w:rPr>
            </w:pPr>
            <w:r>
              <w:rPr>
                <w:sz w:val="21"/>
              </w:rPr>
              <w:t>因酗酒或药物滥用导致的深度昏迷不在保障范围内。</w:t>
            </w:r>
          </w:p>
        </w:tc>
      </w:tr>
      <w:tr>
        <w:trPr>
          <w:trHeight w:val="1245" w:hRule="atLeast"/>
        </w:trPr>
        <w:tc>
          <w:tcPr>
            <w:tcW w:w="949" w:type="dxa"/>
          </w:tcPr>
          <w:p>
            <w:pPr>
              <w:pStyle w:val="TableParagraph"/>
              <w:spacing w:before="118"/>
              <w:ind w:right="108"/>
              <w:jc w:val="right"/>
              <w:rPr>
                <w:sz w:val="21"/>
              </w:rPr>
            </w:pPr>
            <w:r>
              <w:rPr>
                <w:sz w:val="21"/>
              </w:rPr>
              <w:t>（</w:t>
            </w:r>
            <w:r>
              <w:rPr>
                <w:rFonts w:ascii="Times New Roman" w:eastAsia="Times New Roman"/>
                <w:sz w:val="21"/>
              </w:rPr>
              <w:t>13</w:t>
            </w:r>
            <w:r>
              <w:rPr>
                <w:sz w:val="21"/>
              </w:rPr>
              <w:t>）</w:t>
            </w:r>
          </w:p>
        </w:tc>
        <w:tc>
          <w:tcPr>
            <w:tcW w:w="1525" w:type="dxa"/>
          </w:tcPr>
          <w:p>
            <w:pPr>
              <w:pStyle w:val="TableParagraph"/>
              <w:spacing w:before="118"/>
              <w:ind w:left="110"/>
              <w:rPr>
                <w:sz w:val="21"/>
              </w:rPr>
            </w:pPr>
            <w:r>
              <w:rPr>
                <w:sz w:val="21"/>
              </w:rPr>
              <w:t>双耳失聪</w:t>
            </w:r>
          </w:p>
        </w:tc>
        <w:tc>
          <w:tcPr>
            <w:tcW w:w="7999" w:type="dxa"/>
          </w:tcPr>
          <w:p>
            <w:pPr>
              <w:pStyle w:val="TableParagraph"/>
              <w:spacing w:before="56"/>
              <w:ind w:left="101"/>
              <w:rPr>
                <w:sz w:val="21"/>
              </w:rPr>
            </w:pPr>
            <w:r>
              <w:rPr>
                <w:sz w:val="21"/>
              </w:rPr>
              <w:t>指因疾病或</w:t>
            </w:r>
            <w:r>
              <w:rPr>
                <w:rFonts w:ascii="微软雅黑" w:eastAsia="微软雅黑" w:hint="eastAsia"/>
                <w:b/>
                <w:sz w:val="21"/>
              </w:rPr>
              <w:t>意外伤害</w:t>
            </w:r>
            <w:r>
              <w:rPr>
                <w:sz w:val="21"/>
              </w:rPr>
              <w:t>导致双耳听力</w:t>
            </w:r>
            <w:r>
              <w:rPr>
                <w:rFonts w:ascii="微软雅黑" w:eastAsia="微软雅黑" w:hint="eastAsia"/>
                <w:b/>
                <w:sz w:val="21"/>
              </w:rPr>
              <w:t>永久不可逆</w:t>
            </w:r>
            <w:r>
              <w:rPr>
                <w:sz w:val="21"/>
              </w:rPr>
              <w:t>（见 </w:t>
            </w:r>
            <w:r>
              <w:rPr>
                <w:rFonts w:ascii="Times New Roman" w:eastAsia="Times New Roman"/>
                <w:sz w:val="21"/>
              </w:rPr>
              <w:t>7.16</w:t>
            </w:r>
            <w:r>
              <w:rPr>
                <w:sz w:val="21"/>
              </w:rPr>
              <w:t>）性丧失，在 </w:t>
            </w:r>
            <w:r>
              <w:rPr>
                <w:rFonts w:ascii="Times New Roman" w:eastAsia="Times New Roman"/>
                <w:sz w:val="21"/>
              </w:rPr>
              <w:t>500 </w:t>
            </w:r>
            <w:r>
              <w:rPr>
                <w:sz w:val="21"/>
              </w:rPr>
              <w:t>赫兹、</w:t>
            </w:r>
          </w:p>
          <w:p>
            <w:pPr>
              <w:pStyle w:val="TableParagraph"/>
              <w:spacing w:line="268" w:lineRule="auto" w:before="26"/>
              <w:ind w:left="102" w:right="308" w:hanging="1"/>
              <w:rPr>
                <w:sz w:val="21"/>
              </w:rPr>
            </w:pPr>
            <w:r>
              <w:rPr>
                <w:rFonts w:ascii="Times New Roman" w:eastAsia="Times New Roman"/>
                <w:sz w:val="21"/>
              </w:rPr>
              <w:t>1000 </w:t>
            </w:r>
            <w:r>
              <w:rPr>
                <w:spacing w:val="-13"/>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2235" w:hRule="atLeast"/>
        </w:trPr>
        <w:tc>
          <w:tcPr>
            <w:tcW w:w="949" w:type="dxa"/>
          </w:tcPr>
          <w:p>
            <w:pPr>
              <w:pStyle w:val="TableParagraph"/>
              <w:spacing w:before="142"/>
              <w:ind w:right="108"/>
              <w:jc w:val="right"/>
              <w:rPr>
                <w:sz w:val="21"/>
              </w:rPr>
            </w:pPr>
            <w:r>
              <w:rPr>
                <w:sz w:val="21"/>
              </w:rPr>
              <w:t>（</w:t>
            </w:r>
            <w:r>
              <w:rPr>
                <w:rFonts w:ascii="Times New Roman" w:eastAsia="Times New Roman"/>
                <w:sz w:val="21"/>
              </w:rPr>
              <w:t>14</w:t>
            </w:r>
            <w:r>
              <w:rPr>
                <w:sz w:val="21"/>
              </w:rPr>
              <w:t>）</w:t>
            </w:r>
          </w:p>
        </w:tc>
        <w:tc>
          <w:tcPr>
            <w:tcW w:w="1525" w:type="dxa"/>
          </w:tcPr>
          <w:p>
            <w:pPr>
              <w:pStyle w:val="TableParagraph"/>
              <w:spacing w:before="142"/>
              <w:ind w:left="110"/>
              <w:rPr>
                <w:sz w:val="21"/>
              </w:rPr>
            </w:pPr>
            <w:r>
              <w:rPr>
                <w:sz w:val="21"/>
              </w:rPr>
              <w:t>双目失明</w:t>
            </w:r>
          </w:p>
        </w:tc>
        <w:tc>
          <w:tcPr>
            <w:tcW w:w="7999" w:type="dxa"/>
          </w:tcPr>
          <w:p>
            <w:pPr>
              <w:pStyle w:val="TableParagraph"/>
              <w:spacing w:line="259" w:lineRule="auto" w:before="80"/>
              <w:ind w:left="101" w:right="322"/>
              <w:rPr>
                <w:sz w:val="21"/>
              </w:rPr>
            </w:pPr>
            <w:r>
              <w:rPr>
                <w:sz w:val="21"/>
              </w:rPr>
              <w:t>指因疾病或</w:t>
            </w:r>
            <w:r>
              <w:rPr>
                <w:rFonts w:ascii="微软雅黑" w:eastAsia="微软雅黑" w:hint="eastAsia"/>
                <w:b/>
                <w:sz w:val="21"/>
              </w:rPr>
              <w:t>意外伤害</w:t>
            </w:r>
            <w:r>
              <w:rPr>
                <w:sz w:val="21"/>
              </w:rPr>
              <w:t>导致双眼视力</w:t>
            </w:r>
            <w:r>
              <w:rPr>
                <w:rFonts w:ascii="微软雅黑" w:eastAsia="微软雅黑" w:hint="eastAsia"/>
                <w:b/>
                <w:sz w:val="21"/>
              </w:rPr>
              <w:t>永久不可逆</w:t>
            </w:r>
            <w:r>
              <w:rPr>
                <w:sz w:val="21"/>
              </w:rPr>
              <w:t>性丧失，双眼中较好眼须满足下列至少一项条件：</w:t>
            </w:r>
          </w:p>
          <w:p>
            <w:pPr>
              <w:pStyle w:val="TableParagraph"/>
              <w:spacing w:before="34"/>
              <w:ind w:left="101"/>
              <w:rPr>
                <w:sz w:val="21"/>
              </w:rPr>
            </w:pPr>
            <w:r>
              <w:rPr>
                <w:sz w:val="21"/>
              </w:rPr>
              <w:t>（</w:t>
            </w:r>
            <w:r>
              <w:rPr>
                <w:rFonts w:ascii="Times New Roman" w:eastAsia="Times New Roman"/>
                <w:sz w:val="21"/>
              </w:rPr>
              <w:t>1</w:t>
            </w:r>
            <w:r>
              <w:rPr>
                <w:sz w:val="21"/>
              </w:rPr>
              <w:t>）眼球缺失或摘除；</w:t>
            </w:r>
          </w:p>
          <w:p>
            <w:pPr>
              <w:pStyle w:val="TableParagraph"/>
              <w:spacing w:line="268" w:lineRule="auto" w:before="35"/>
              <w:ind w:left="102" w:right="582" w:hanging="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（采用国际标准视力表，如果使用其它视力表应进行换算）；</w:t>
            </w:r>
          </w:p>
          <w:p>
            <w:pPr>
              <w:pStyle w:val="TableParagraph"/>
              <w:spacing w:before="26"/>
              <w:ind w:left="10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30" w:hRule="atLeast"/>
        </w:trPr>
        <w:tc>
          <w:tcPr>
            <w:tcW w:w="949" w:type="dxa"/>
          </w:tcPr>
          <w:p>
            <w:pPr>
              <w:pStyle w:val="TableParagraph"/>
              <w:spacing w:before="110"/>
              <w:ind w:right="113"/>
              <w:jc w:val="right"/>
              <w:rPr>
                <w:sz w:val="21"/>
              </w:rPr>
            </w:pPr>
            <w:r>
              <w:rPr>
                <w:sz w:val="21"/>
              </w:rPr>
              <w:t>（</w:t>
            </w:r>
            <w:r>
              <w:rPr>
                <w:rFonts w:ascii="Times New Roman" w:eastAsia="Times New Roman"/>
                <w:sz w:val="21"/>
              </w:rPr>
              <w:t>15</w:t>
            </w:r>
            <w:r>
              <w:rPr>
                <w:sz w:val="21"/>
              </w:rPr>
              <w:t>）</w:t>
            </w:r>
          </w:p>
        </w:tc>
        <w:tc>
          <w:tcPr>
            <w:tcW w:w="1525" w:type="dxa"/>
          </w:tcPr>
          <w:p>
            <w:pPr>
              <w:pStyle w:val="TableParagraph"/>
              <w:spacing w:before="110"/>
              <w:ind w:left="110"/>
              <w:rPr>
                <w:sz w:val="21"/>
              </w:rPr>
            </w:pPr>
            <w:r>
              <w:rPr>
                <w:sz w:val="21"/>
              </w:rPr>
              <w:t>瘫痪</w:t>
            </w:r>
          </w:p>
        </w:tc>
        <w:tc>
          <w:tcPr>
            <w:tcW w:w="7999" w:type="dxa"/>
          </w:tcPr>
          <w:p>
            <w:pPr>
              <w:pStyle w:val="TableParagraph"/>
              <w:spacing w:line="180" w:lineRule="auto" w:before="138"/>
              <w:ind w:left="102" w:right="197" w:hanging="1"/>
              <w:rPr>
                <w:sz w:val="21"/>
              </w:rPr>
            </w:pPr>
            <w:r>
              <w:rPr>
                <w:sz w:val="21"/>
              </w:rPr>
              <w:t>指因疾病或</w:t>
            </w:r>
            <w:r>
              <w:rPr>
                <w:rFonts w:ascii="微软雅黑" w:eastAsia="微软雅黑" w:hint="eastAsia"/>
                <w:b/>
                <w:sz w:val="21"/>
              </w:rPr>
              <w:t>意外伤害</w:t>
            </w:r>
            <w:r>
              <w:rPr>
                <w:sz w:val="21"/>
              </w:rPr>
              <w:t>导致两肢或两肢以上肢体机能永久完全丧失。肢体机能永久完全丧失，指疾病确诊 </w:t>
            </w:r>
            <w:r>
              <w:rPr>
                <w:rFonts w:ascii="Times New Roman" w:eastAsia="Times New Roman"/>
                <w:sz w:val="21"/>
              </w:rPr>
              <w:t>180 </w:t>
            </w:r>
            <w:r>
              <w:rPr>
                <w:sz w:val="21"/>
              </w:rPr>
              <w:t>天后或</w:t>
            </w:r>
            <w:r>
              <w:rPr>
                <w:rFonts w:ascii="微软雅黑" w:eastAsia="微软雅黑" w:hint="eastAsia"/>
                <w:b/>
                <w:sz w:val="21"/>
              </w:rPr>
              <w:t>意外伤害</w:t>
            </w:r>
            <w:r>
              <w:rPr>
                <w:sz w:val="21"/>
              </w:rPr>
              <w:t>发生 </w:t>
            </w:r>
            <w:r>
              <w:rPr>
                <w:rFonts w:ascii="Times New Roman" w:eastAsia="Times New Roman"/>
                <w:sz w:val="21"/>
              </w:rPr>
              <w:t>180 </w:t>
            </w:r>
            <w:r>
              <w:rPr>
                <w:sz w:val="21"/>
              </w:rPr>
              <w:t>天后，每肢三大关节中的两大关</w:t>
            </w:r>
          </w:p>
          <w:p>
            <w:pPr>
              <w:pStyle w:val="TableParagraph"/>
              <w:spacing w:line="228" w:lineRule="exact"/>
              <w:ind w:left="102"/>
              <w:rPr>
                <w:sz w:val="21"/>
              </w:rPr>
            </w:pPr>
            <w:r>
              <w:rPr>
                <w:sz w:val="21"/>
              </w:rPr>
              <w:t>节仍然完全僵硬，或不能随意识活动。</w:t>
            </w:r>
          </w:p>
        </w:tc>
      </w:tr>
    </w:tbl>
    <w:p>
      <w:pPr>
        <w:spacing w:after="0" w:line="228" w:lineRule="exact"/>
        <w:rPr>
          <w:sz w:val="21"/>
        </w:rPr>
        <w:sectPr>
          <w:pgSz w:w="11910" w:h="16840"/>
          <w:pgMar w:header="857" w:footer="995" w:top="1040" w:bottom="1180" w:left="640" w:right="580"/>
        </w:sectPr>
      </w:pPr>
    </w:p>
    <w:p>
      <w:pPr>
        <w:pStyle w:val="BodyText"/>
        <w:spacing w:before="11"/>
        <w:rPr>
          <w:rFonts w:ascii="Times New Roman"/>
          <w:sz w:val="3"/>
        </w:rPr>
      </w:pPr>
    </w:p>
    <w:p>
      <w:pPr>
        <w:pStyle w:val="BodyText"/>
        <w:spacing w:line="20" w:lineRule="exact"/>
        <w:ind w:left="513"/>
        <w:rPr>
          <w:rFonts w:ascii="Times New Roman"/>
          <w:sz w:val="2"/>
        </w:rPr>
      </w:pPr>
      <w:r>
        <w:rPr>
          <w:rFonts w:ascii="Times New Roman"/>
          <w:spacing w:val="5"/>
          <w:sz w:val="2"/>
        </w:rPr>
        <w:t> </w:t>
      </w:r>
      <w:r>
        <w:rPr>
          <w:rFonts w:ascii="Times New Roman"/>
          <w:spacing w:val="5"/>
          <w:sz w:val="2"/>
        </w:rPr>
        <w:pict>
          <v:group style="width:481.95pt;height:.75pt;mso-position-horizontal-relative:char;mso-position-vertical-relative:line" coordorigin="0,0" coordsize="9639,15">
            <v:line style="position:absolute" from="0,7" to="9638,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500"/>
        <w:gridCol w:w="8026"/>
      </w:tblGrid>
      <w:tr>
        <w:trPr>
          <w:trHeight w:val="401" w:hRule="atLeast"/>
        </w:trPr>
        <w:tc>
          <w:tcPr>
            <w:tcW w:w="949" w:type="dxa"/>
          </w:tcPr>
          <w:p>
            <w:pPr>
              <w:pStyle w:val="TableParagraph"/>
              <w:spacing w:line="234" w:lineRule="exact"/>
              <w:ind w:right="108"/>
              <w:jc w:val="right"/>
              <w:rPr>
                <w:sz w:val="21"/>
              </w:rPr>
            </w:pPr>
            <w:r>
              <w:rPr>
                <w:sz w:val="21"/>
              </w:rPr>
              <w:t>（</w:t>
            </w:r>
            <w:r>
              <w:rPr>
                <w:rFonts w:ascii="Times New Roman" w:eastAsia="Times New Roman"/>
                <w:sz w:val="21"/>
              </w:rPr>
              <w:t>16</w:t>
            </w:r>
            <w:r>
              <w:rPr>
                <w:sz w:val="21"/>
              </w:rPr>
              <w:t>）</w:t>
            </w:r>
          </w:p>
        </w:tc>
        <w:tc>
          <w:tcPr>
            <w:tcW w:w="1500" w:type="dxa"/>
          </w:tcPr>
          <w:p>
            <w:pPr>
              <w:pStyle w:val="TableParagraph"/>
              <w:spacing w:line="218" w:lineRule="exact"/>
              <w:ind w:left="110"/>
              <w:rPr>
                <w:sz w:val="21"/>
              </w:rPr>
            </w:pPr>
            <w:r>
              <w:rPr>
                <w:sz w:val="21"/>
              </w:rPr>
              <w:t>心脏瓣膜手术</w:t>
            </w:r>
          </w:p>
        </w:tc>
        <w:tc>
          <w:tcPr>
            <w:tcW w:w="8026" w:type="dxa"/>
          </w:tcPr>
          <w:p>
            <w:pPr>
              <w:pStyle w:val="TableParagraph"/>
              <w:spacing w:line="218" w:lineRule="exact"/>
              <w:ind w:left="127"/>
              <w:rPr>
                <w:sz w:val="21"/>
              </w:rPr>
            </w:pPr>
            <w:r>
              <w:rPr>
                <w:sz w:val="21"/>
              </w:rPr>
              <w:t>指为治疗心脏瓣膜疾病，实际实施了开胸进行的心脏瓣膜置换或修复的手术。</w:t>
            </w:r>
          </w:p>
        </w:tc>
      </w:tr>
      <w:tr>
        <w:trPr>
          <w:trHeight w:val="2195" w:hRule="atLeast"/>
        </w:trPr>
        <w:tc>
          <w:tcPr>
            <w:tcW w:w="949" w:type="dxa"/>
          </w:tcPr>
          <w:p>
            <w:pPr>
              <w:pStyle w:val="TableParagraph"/>
              <w:spacing w:before="110"/>
              <w:ind w:right="108"/>
              <w:jc w:val="right"/>
              <w:rPr>
                <w:sz w:val="21"/>
              </w:rPr>
            </w:pPr>
            <w:r>
              <w:rPr>
                <w:sz w:val="21"/>
              </w:rPr>
              <w:t>（</w:t>
            </w:r>
            <w:r>
              <w:rPr>
                <w:rFonts w:ascii="Times New Roman" w:eastAsia="Times New Roman"/>
                <w:sz w:val="21"/>
              </w:rPr>
              <w:t>17</w:t>
            </w:r>
            <w:r>
              <w:rPr>
                <w:sz w:val="21"/>
              </w:rPr>
              <w:t>）</w:t>
            </w:r>
          </w:p>
        </w:tc>
        <w:tc>
          <w:tcPr>
            <w:tcW w:w="1500" w:type="dxa"/>
          </w:tcPr>
          <w:p>
            <w:pPr>
              <w:pStyle w:val="TableParagraph"/>
              <w:spacing w:line="285" w:lineRule="auto" w:before="110"/>
              <w:ind w:left="110" w:right="125"/>
              <w:rPr>
                <w:sz w:val="21"/>
              </w:rPr>
            </w:pPr>
            <w:r>
              <w:rPr>
                <w:sz w:val="21"/>
              </w:rPr>
              <w:t>严重阿尔茨海默病</w:t>
            </w:r>
          </w:p>
        </w:tc>
        <w:tc>
          <w:tcPr>
            <w:tcW w:w="8026" w:type="dxa"/>
          </w:tcPr>
          <w:p>
            <w:pPr>
              <w:pStyle w:val="TableParagraph"/>
              <w:spacing w:line="285" w:lineRule="auto" w:before="110"/>
              <w:ind w:left="126" w:right="200"/>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w:t>
            </w:r>
          </w:p>
          <w:p>
            <w:pPr>
              <w:pStyle w:val="TableParagraph"/>
              <w:spacing w:line="294" w:lineRule="exact"/>
              <w:ind w:left="126"/>
              <w:jc w:val="both"/>
              <w:rPr>
                <w:sz w:val="21"/>
              </w:rPr>
            </w:pPr>
            <w:r>
              <w:rPr>
                <w:sz w:val="21"/>
              </w:rPr>
              <w:t>学检查证实，且自主生活能力完全丧失，无法独立完成</w:t>
            </w:r>
            <w:r>
              <w:rPr>
                <w:rFonts w:ascii="微软雅黑" w:eastAsia="微软雅黑" w:hint="eastAsia"/>
                <w:b/>
                <w:sz w:val="21"/>
              </w:rPr>
              <w:t>六项基本日常生活活动</w:t>
            </w:r>
            <w:r>
              <w:rPr>
                <w:sz w:val="21"/>
              </w:rPr>
              <w:t>中的</w:t>
            </w:r>
          </w:p>
          <w:p>
            <w:pPr>
              <w:pStyle w:val="TableParagraph"/>
              <w:spacing w:before="26"/>
              <w:ind w:left="126"/>
              <w:jc w:val="both"/>
              <w:rPr>
                <w:sz w:val="21"/>
              </w:rPr>
            </w:pPr>
            <w:r>
              <w:rPr>
                <w:sz w:val="21"/>
              </w:rPr>
              <w:t>三项或三项以上。</w:t>
            </w:r>
          </w:p>
          <w:p>
            <w:pPr>
              <w:pStyle w:val="TableParagraph"/>
              <w:spacing w:before="51"/>
              <w:ind w:left="126"/>
              <w:jc w:val="both"/>
              <w:rPr>
                <w:sz w:val="21"/>
              </w:rPr>
            </w:pPr>
            <w:r>
              <w:rPr>
                <w:sz w:val="21"/>
              </w:rPr>
              <w:t>神经官能症和精神疾病不在保障范围内。</w:t>
            </w:r>
          </w:p>
        </w:tc>
      </w:tr>
      <w:tr>
        <w:trPr>
          <w:trHeight w:val="2855" w:hRule="atLeast"/>
        </w:trPr>
        <w:tc>
          <w:tcPr>
            <w:tcW w:w="949" w:type="dxa"/>
          </w:tcPr>
          <w:p>
            <w:pPr>
              <w:pStyle w:val="TableParagraph"/>
              <w:spacing w:before="118"/>
              <w:ind w:right="108"/>
              <w:jc w:val="right"/>
              <w:rPr>
                <w:sz w:val="21"/>
              </w:rPr>
            </w:pPr>
            <w:r>
              <w:rPr>
                <w:sz w:val="21"/>
              </w:rPr>
              <w:t>（</w:t>
            </w:r>
            <w:r>
              <w:rPr>
                <w:rFonts w:ascii="Times New Roman" w:eastAsia="Times New Roman"/>
                <w:sz w:val="21"/>
              </w:rPr>
              <w:t>18</w:t>
            </w:r>
            <w:r>
              <w:rPr>
                <w:sz w:val="21"/>
              </w:rPr>
              <w:t>）</w:t>
            </w:r>
          </w:p>
        </w:tc>
        <w:tc>
          <w:tcPr>
            <w:tcW w:w="1500" w:type="dxa"/>
          </w:tcPr>
          <w:p>
            <w:pPr>
              <w:pStyle w:val="TableParagraph"/>
              <w:spacing w:before="118"/>
              <w:ind w:left="110"/>
              <w:rPr>
                <w:sz w:val="21"/>
              </w:rPr>
            </w:pPr>
            <w:r>
              <w:rPr>
                <w:sz w:val="21"/>
              </w:rPr>
              <w:t>严重脑损伤</w:t>
            </w:r>
          </w:p>
        </w:tc>
        <w:tc>
          <w:tcPr>
            <w:tcW w:w="8026" w:type="dxa"/>
          </w:tcPr>
          <w:p>
            <w:pPr>
              <w:pStyle w:val="TableParagraph"/>
              <w:spacing w:line="285" w:lineRule="auto" w:before="118"/>
              <w:ind w:left="127" w:right="539"/>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8" w:lineRule="auto"/>
              <w:ind w:left="127" w:right="320"/>
              <w:rPr>
                <w:sz w:val="21"/>
              </w:rPr>
            </w:pPr>
            <w:r>
              <w:rPr>
                <w:sz w:val="21"/>
              </w:rPr>
              <w:t>（</w:t>
            </w:r>
            <w:r>
              <w:rPr>
                <w:rFonts w:ascii="Times New Roman" w:eastAsia="Times New Roman"/>
                <w:sz w:val="21"/>
              </w:rPr>
              <w:t>PET</w:t>
            </w:r>
            <w:r>
              <w:rPr>
                <w:sz w:val="21"/>
              </w:rPr>
              <w:t>）等影像学检查证实。神经系统永久性的功能障碍，指脑损伤 </w:t>
            </w:r>
            <w:r>
              <w:rPr>
                <w:rFonts w:ascii="Times New Roman" w:eastAsia="Times New Roman"/>
                <w:sz w:val="21"/>
              </w:rPr>
              <w:t>180 </w:t>
            </w:r>
            <w:r>
              <w:rPr>
                <w:sz w:val="21"/>
              </w:rPr>
              <w:t>天后，仍遗留下列一种或一种以上障碍：</w:t>
            </w:r>
          </w:p>
          <w:p>
            <w:pPr>
              <w:pStyle w:val="TableParagraph"/>
              <w:spacing w:line="310" w:lineRule="exact" w:before="9"/>
              <w:ind w:left="126"/>
              <w:rPr>
                <w:sz w:val="21"/>
              </w:rPr>
            </w:pPr>
            <w:r>
              <w:rPr>
                <w:sz w:val="21"/>
              </w:rPr>
              <w:t>（</w:t>
            </w:r>
            <w:r>
              <w:rPr>
                <w:rFonts w:ascii="Times New Roman" w:eastAsia="Times New Roman"/>
                <w:sz w:val="21"/>
              </w:rPr>
              <w:t>1</w:t>
            </w:r>
            <w:r>
              <w:rPr>
                <w:sz w:val="21"/>
              </w:rPr>
              <w:t>）一肢或一肢以上</w:t>
            </w:r>
            <w:r>
              <w:rPr>
                <w:rFonts w:ascii="微软雅黑" w:eastAsia="微软雅黑" w:hint="eastAsia"/>
                <w:b/>
                <w:sz w:val="21"/>
              </w:rPr>
              <w:t>肢体机能完全丧失</w:t>
            </w:r>
            <w:r>
              <w:rPr>
                <w:sz w:val="21"/>
              </w:rPr>
              <w:t>；</w:t>
            </w:r>
          </w:p>
          <w:p>
            <w:pPr>
              <w:pStyle w:val="TableParagraph"/>
              <w:spacing w:line="328" w:lineRule="exact"/>
              <w:ind w:left="126"/>
              <w:rPr>
                <w:sz w:val="21"/>
              </w:rPr>
            </w:pPr>
            <w:r>
              <w:rPr>
                <w:sz w:val="21"/>
              </w:rPr>
              <w:t>（</w:t>
            </w:r>
            <w:r>
              <w:rPr>
                <w:rFonts w:ascii="Times New Roman" w:eastAsia="Times New Roman"/>
                <w:sz w:val="21"/>
              </w:rPr>
              <w:t>2</w:t>
            </w:r>
            <w:r>
              <w:rPr>
                <w:sz w:val="21"/>
              </w:rPr>
              <w:t>）</w:t>
            </w:r>
            <w:r>
              <w:rPr>
                <w:rFonts w:ascii="微软雅黑" w:eastAsia="微软雅黑" w:hint="eastAsia"/>
                <w:b/>
                <w:sz w:val="21"/>
              </w:rPr>
              <w:t>语言能力或咀嚼吞咽能力完全丧失</w:t>
            </w:r>
            <w:r>
              <w:rPr>
                <w:sz w:val="21"/>
              </w:rPr>
              <w:t>；</w:t>
            </w:r>
          </w:p>
          <w:p>
            <w:pPr>
              <w:pStyle w:val="TableParagraph"/>
              <w:spacing w:line="326" w:lineRule="exact" w:before="28"/>
              <w:ind w:left="127" w:right="226" w:hanging="1"/>
              <w:rPr>
                <w:sz w:val="21"/>
              </w:rPr>
            </w:pPr>
            <w:r>
              <w:rPr>
                <w:sz w:val="21"/>
              </w:rPr>
              <w:t>（</w:t>
            </w:r>
            <w:r>
              <w:rPr>
                <w:rFonts w:ascii="Times New Roman" w:eastAsia="Times New Roman"/>
                <w:sz w:val="21"/>
              </w:rPr>
              <w:t>3</w:t>
            </w:r>
            <w:r>
              <w:rPr>
                <w:sz w:val="21"/>
              </w:rPr>
              <w:t>）自主生活能力完全丧失，无法独立完成</w:t>
            </w:r>
            <w:r>
              <w:rPr>
                <w:rFonts w:ascii="微软雅黑" w:eastAsia="微软雅黑" w:hint="eastAsia"/>
                <w:b/>
                <w:sz w:val="21"/>
              </w:rPr>
              <w:t>六项基本日常生活活动</w:t>
            </w:r>
            <w:r>
              <w:rPr>
                <w:sz w:val="21"/>
              </w:rPr>
              <w:t>中的三项或三项以上。</w:t>
            </w:r>
          </w:p>
        </w:tc>
      </w:tr>
      <w:tr>
        <w:trPr>
          <w:trHeight w:val="2529" w:hRule="atLeast"/>
        </w:trPr>
        <w:tc>
          <w:tcPr>
            <w:tcW w:w="949" w:type="dxa"/>
          </w:tcPr>
          <w:p>
            <w:pPr>
              <w:pStyle w:val="TableParagraph"/>
              <w:spacing w:before="118"/>
              <w:ind w:right="108"/>
              <w:jc w:val="right"/>
              <w:rPr>
                <w:sz w:val="21"/>
              </w:rPr>
            </w:pPr>
            <w:r>
              <w:rPr>
                <w:sz w:val="21"/>
              </w:rPr>
              <w:t>（</w:t>
            </w:r>
            <w:r>
              <w:rPr>
                <w:rFonts w:ascii="Times New Roman" w:eastAsia="Times New Roman"/>
                <w:sz w:val="21"/>
              </w:rPr>
              <w:t>19</w:t>
            </w:r>
            <w:r>
              <w:rPr>
                <w:sz w:val="21"/>
              </w:rPr>
              <w:t>）</w:t>
            </w:r>
          </w:p>
        </w:tc>
        <w:tc>
          <w:tcPr>
            <w:tcW w:w="1500" w:type="dxa"/>
          </w:tcPr>
          <w:p>
            <w:pPr>
              <w:pStyle w:val="TableParagraph"/>
              <w:spacing w:before="118"/>
              <w:ind w:left="110"/>
              <w:rPr>
                <w:sz w:val="21"/>
              </w:rPr>
            </w:pPr>
            <w:r>
              <w:rPr>
                <w:sz w:val="21"/>
              </w:rPr>
              <w:t>严重帕金森病</w:t>
            </w:r>
          </w:p>
        </w:tc>
        <w:tc>
          <w:tcPr>
            <w:tcW w:w="8026" w:type="dxa"/>
          </w:tcPr>
          <w:p>
            <w:pPr>
              <w:pStyle w:val="TableParagraph"/>
              <w:spacing w:line="285" w:lineRule="auto" w:before="118"/>
              <w:ind w:left="127" w:right="328"/>
              <w:rPr>
                <w:sz w:val="21"/>
              </w:rPr>
            </w:pPr>
            <w:r>
              <w:rPr>
                <w:sz w:val="21"/>
              </w:rPr>
              <w:t>是一种中枢神经系统的退行性疾病，临床表现为震颤麻痹、共济失调等。须满足下列全部条件：</w:t>
            </w:r>
          </w:p>
          <w:p>
            <w:pPr>
              <w:pStyle w:val="TableParagraph"/>
              <w:spacing w:line="277" w:lineRule="exact" w:before="11"/>
              <w:ind w:left="127"/>
              <w:rPr>
                <w:sz w:val="21"/>
              </w:rPr>
            </w:pPr>
            <w:r>
              <w:rPr>
                <w:sz w:val="21"/>
              </w:rPr>
              <w:t>（</w:t>
            </w:r>
            <w:r>
              <w:rPr>
                <w:rFonts w:ascii="Times New Roman" w:eastAsia="Times New Roman"/>
                <w:sz w:val="21"/>
              </w:rPr>
              <w:t>1</w:t>
            </w:r>
            <w:r>
              <w:rPr>
                <w:sz w:val="21"/>
              </w:rPr>
              <w:t>）药物治疗无法控制病情；</w:t>
            </w:r>
          </w:p>
          <w:p>
            <w:pPr>
              <w:pStyle w:val="TableParagraph"/>
              <w:spacing w:line="326" w:lineRule="exact" w:before="33"/>
              <w:ind w:left="127" w:right="226" w:hanging="1"/>
              <w:rPr>
                <w:sz w:val="21"/>
              </w:rPr>
            </w:pPr>
            <w:r>
              <w:rPr>
                <w:sz w:val="21"/>
              </w:rPr>
              <w:t>（</w:t>
            </w:r>
            <w:r>
              <w:rPr>
                <w:rFonts w:ascii="Times New Roman" w:eastAsia="Times New Roman"/>
                <w:sz w:val="21"/>
              </w:rPr>
              <w:t>2</w:t>
            </w:r>
            <w:r>
              <w:rPr>
                <w:sz w:val="21"/>
              </w:rPr>
              <w:t>）自主生活能力完全丧失，无法独立完成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26" w:lineRule="exact" w:before="2"/>
              <w:ind w:left="127" w:right="233" w:hanging="1"/>
              <w:rPr>
                <w:sz w:val="21"/>
              </w:rPr>
            </w:pPr>
            <w:r>
              <w:rPr>
                <w:spacing w:val="-5"/>
                <w:sz w:val="21"/>
              </w:rPr>
              <w:t>继发性帕金森综合征不在保障范围内。该疾病保障至被保险人 </w:t>
            </w:r>
            <w:r>
              <w:rPr>
                <w:rFonts w:ascii="Times New Roman" w:eastAsia="Times New Roman"/>
                <w:sz w:val="21"/>
              </w:rPr>
              <w:t>60 </w:t>
            </w:r>
            <w:r>
              <w:rPr>
                <w:rFonts w:ascii="微软雅黑" w:eastAsia="微软雅黑" w:hint="eastAsia"/>
                <w:b/>
                <w:sz w:val="21"/>
              </w:rPr>
              <w:t>周岁</w:t>
            </w:r>
            <w:r>
              <w:rPr>
                <w:spacing w:val="-3"/>
                <w:sz w:val="21"/>
              </w:rPr>
              <w:t>（</w:t>
            </w:r>
            <w:r>
              <w:rPr>
                <w:spacing w:val="-20"/>
                <w:sz w:val="21"/>
              </w:rPr>
              <w:t>见 </w:t>
            </w:r>
            <w:r>
              <w:rPr>
                <w:rFonts w:ascii="Times New Roman" w:eastAsia="Times New Roman"/>
                <w:sz w:val="21"/>
              </w:rPr>
              <w:t>7.17</w:t>
            </w:r>
            <w:r>
              <w:rPr>
                <w:sz w:val="21"/>
              </w:rPr>
              <w:t>）时止。</w:t>
            </w:r>
          </w:p>
        </w:tc>
      </w:tr>
      <w:tr>
        <w:trPr>
          <w:trHeight w:val="812" w:hRule="atLeast"/>
        </w:trPr>
        <w:tc>
          <w:tcPr>
            <w:tcW w:w="949" w:type="dxa"/>
          </w:tcPr>
          <w:p>
            <w:pPr>
              <w:pStyle w:val="TableParagraph"/>
              <w:spacing w:before="118"/>
              <w:ind w:right="113"/>
              <w:jc w:val="right"/>
              <w:rPr>
                <w:sz w:val="21"/>
              </w:rPr>
            </w:pPr>
            <w:r>
              <w:rPr>
                <w:sz w:val="21"/>
              </w:rPr>
              <w:t>（</w:t>
            </w:r>
            <w:r>
              <w:rPr>
                <w:rFonts w:ascii="Times New Roman" w:eastAsia="Times New Roman"/>
                <w:sz w:val="21"/>
              </w:rPr>
              <w:t>20</w:t>
            </w:r>
            <w:r>
              <w:rPr>
                <w:sz w:val="21"/>
              </w:rPr>
              <w:t>）</w:t>
            </w:r>
          </w:p>
        </w:tc>
        <w:tc>
          <w:tcPr>
            <w:tcW w:w="1500" w:type="dxa"/>
          </w:tcPr>
          <w:p>
            <w:pPr>
              <w:pStyle w:val="TableParagraph"/>
              <w:spacing w:before="118"/>
              <w:ind w:left="110"/>
              <w:rPr>
                <w:sz w:val="21"/>
              </w:rPr>
            </w:pPr>
            <w:r>
              <w:rPr>
                <w:sz w:val="21"/>
              </w:rPr>
              <w:t>严重Ⅲ度烧伤</w:t>
            </w:r>
          </w:p>
        </w:tc>
        <w:tc>
          <w:tcPr>
            <w:tcW w:w="8026" w:type="dxa"/>
          </w:tcPr>
          <w:p>
            <w:pPr>
              <w:pStyle w:val="TableParagraph"/>
              <w:spacing w:line="223" w:lineRule="auto" w:before="138"/>
              <w:ind w:left="127" w:right="124" w:hanging="1"/>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203" w:hRule="atLeast"/>
        </w:trPr>
        <w:tc>
          <w:tcPr>
            <w:tcW w:w="949" w:type="dxa"/>
          </w:tcPr>
          <w:p>
            <w:pPr>
              <w:pStyle w:val="TableParagraph"/>
              <w:spacing w:before="90"/>
              <w:ind w:right="108"/>
              <w:jc w:val="right"/>
              <w:rPr>
                <w:sz w:val="21"/>
              </w:rPr>
            </w:pPr>
            <w:r>
              <w:rPr>
                <w:sz w:val="21"/>
              </w:rPr>
              <w:t>（</w:t>
            </w:r>
            <w:r>
              <w:rPr>
                <w:rFonts w:ascii="Times New Roman" w:eastAsia="Times New Roman"/>
                <w:sz w:val="21"/>
              </w:rPr>
              <w:t>21</w:t>
            </w:r>
            <w:r>
              <w:rPr>
                <w:sz w:val="21"/>
              </w:rPr>
              <w:t>）</w:t>
            </w:r>
          </w:p>
        </w:tc>
        <w:tc>
          <w:tcPr>
            <w:tcW w:w="1500" w:type="dxa"/>
          </w:tcPr>
          <w:p>
            <w:pPr>
              <w:pStyle w:val="TableParagraph"/>
              <w:spacing w:line="285" w:lineRule="auto" w:before="90"/>
              <w:ind w:left="110" w:right="125"/>
              <w:rPr>
                <w:sz w:val="21"/>
              </w:rPr>
            </w:pPr>
            <w:r>
              <w:rPr>
                <w:sz w:val="21"/>
              </w:rPr>
              <w:t>严重原发性肺动脉高压</w:t>
            </w:r>
          </w:p>
        </w:tc>
        <w:tc>
          <w:tcPr>
            <w:tcW w:w="8026" w:type="dxa"/>
          </w:tcPr>
          <w:p>
            <w:pPr>
              <w:pStyle w:val="TableParagraph"/>
              <w:spacing w:line="237" w:lineRule="auto" w:before="32"/>
              <w:ind w:left="126" w:right="221"/>
              <w:rPr>
                <w:sz w:val="21"/>
              </w:rPr>
            </w:pPr>
            <w:r>
              <w:rPr>
                <w:spacing w:val="-4"/>
                <w:sz w:val="21"/>
              </w:rPr>
              <w:t>指不明原因的肺动脉压力持续性增高，进行性发展而导致的慢性疾病，已经造成</w:t>
            </w:r>
            <w:r>
              <w:rPr>
                <w:rFonts w:ascii="微软雅黑" w:eastAsia="微软雅黑" w:hint="eastAsia"/>
                <w:b/>
                <w:sz w:val="21"/>
              </w:rPr>
              <w:t>永久不可逆</w:t>
            </w:r>
            <w:r>
              <w:rPr>
                <w:spacing w:val="-4"/>
                <w:sz w:val="21"/>
              </w:rPr>
              <w:t>性的体力活动能力受限，达到美国纽约心脏病学会心功能状态分级 </w:t>
            </w:r>
            <w:r>
              <w:rPr>
                <w:rFonts w:ascii="Times New Roman" w:eastAsia="Times New Roman"/>
                <w:sz w:val="21"/>
              </w:rPr>
              <w:t>IV</w:t>
            </w:r>
            <w:r>
              <w:rPr>
                <w:rFonts w:ascii="Times New Roman" w:eastAsia="Times New Roman"/>
                <w:spacing w:val="5"/>
                <w:sz w:val="21"/>
              </w:rPr>
              <w:t> </w:t>
            </w:r>
            <w:r>
              <w:rPr>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213" w:hRule="atLeast"/>
        </w:trPr>
        <w:tc>
          <w:tcPr>
            <w:tcW w:w="949" w:type="dxa"/>
          </w:tcPr>
          <w:p>
            <w:pPr>
              <w:pStyle w:val="TableParagraph"/>
              <w:spacing w:before="109"/>
              <w:ind w:right="108"/>
              <w:jc w:val="right"/>
              <w:rPr>
                <w:sz w:val="21"/>
              </w:rPr>
            </w:pPr>
            <w:r>
              <w:rPr>
                <w:sz w:val="21"/>
              </w:rPr>
              <w:t>（</w:t>
            </w:r>
            <w:r>
              <w:rPr>
                <w:rFonts w:ascii="Times New Roman" w:eastAsia="Times New Roman"/>
                <w:sz w:val="21"/>
              </w:rPr>
              <w:t>22</w:t>
            </w:r>
            <w:r>
              <w:rPr>
                <w:sz w:val="21"/>
              </w:rPr>
              <w:t>）</w:t>
            </w:r>
          </w:p>
        </w:tc>
        <w:tc>
          <w:tcPr>
            <w:tcW w:w="1500" w:type="dxa"/>
          </w:tcPr>
          <w:p>
            <w:pPr>
              <w:pStyle w:val="TableParagraph"/>
              <w:spacing w:line="285" w:lineRule="auto" w:before="109"/>
              <w:ind w:left="110" w:right="125"/>
              <w:rPr>
                <w:sz w:val="21"/>
              </w:rPr>
            </w:pPr>
            <w:r>
              <w:rPr>
                <w:sz w:val="21"/>
              </w:rPr>
              <w:t>严重运动神经元病</w:t>
            </w:r>
          </w:p>
        </w:tc>
        <w:tc>
          <w:tcPr>
            <w:tcW w:w="8026" w:type="dxa"/>
          </w:tcPr>
          <w:p>
            <w:pPr>
              <w:pStyle w:val="TableParagraph"/>
              <w:spacing w:line="285" w:lineRule="auto" w:before="109"/>
              <w:ind w:left="126" w:right="328"/>
              <w:rPr>
                <w:sz w:val="21"/>
              </w:rPr>
            </w:pPr>
            <w:r>
              <w:rPr>
                <w:sz w:val="21"/>
              </w:rPr>
              <w:t>是一组中枢神经系统运动神经元的进行性变性疾病，包括进行性脊肌萎缩症、进行性延髓麻痹症、原发性侧索硬化症、肌萎缩性侧索硬化症。须满足自主生活能力完</w:t>
            </w:r>
          </w:p>
          <w:p>
            <w:pPr>
              <w:pStyle w:val="TableParagraph"/>
              <w:spacing w:line="314" w:lineRule="exact"/>
              <w:ind w:left="126"/>
              <w:rPr>
                <w:sz w:val="21"/>
              </w:rPr>
            </w:pPr>
            <w:r>
              <w:rPr>
                <w:sz w:val="21"/>
              </w:rPr>
              <w:t>全丧失，无法独立完成</w:t>
            </w:r>
            <w:r>
              <w:rPr>
                <w:rFonts w:ascii="微软雅黑" w:eastAsia="微软雅黑" w:hint="eastAsia"/>
                <w:b/>
                <w:sz w:val="21"/>
              </w:rPr>
              <w:t>六项基本日常生活活动</w:t>
            </w:r>
            <w:r>
              <w:rPr>
                <w:sz w:val="21"/>
              </w:rPr>
              <w:t>中的三项或三项以上的条件。</w:t>
            </w:r>
          </w:p>
        </w:tc>
      </w:tr>
      <w:tr>
        <w:trPr>
          <w:trHeight w:val="1222" w:hRule="atLeast"/>
        </w:trPr>
        <w:tc>
          <w:tcPr>
            <w:tcW w:w="949" w:type="dxa"/>
          </w:tcPr>
          <w:p>
            <w:pPr>
              <w:pStyle w:val="TableParagraph"/>
              <w:spacing w:before="117"/>
              <w:ind w:right="108"/>
              <w:jc w:val="right"/>
              <w:rPr>
                <w:sz w:val="21"/>
              </w:rPr>
            </w:pPr>
            <w:r>
              <w:rPr>
                <w:sz w:val="21"/>
              </w:rPr>
              <w:t>（</w:t>
            </w:r>
            <w:r>
              <w:rPr>
                <w:rFonts w:ascii="Times New Roman" w:eastAsia="Times New Roman"/>
                <w:sz w:val="21"/>
              </w:rPr>
              <w:t>23</w:t>
            </w:r>
            <w:r>
              <w:rPr>
                <w:sz w:val="21"/>
              </w:rPr>
              <w:t>）</w:t>
            </w:r>
          </w:p>
        </w:tc>
        <w:tc>
          <w:tcPr>
            <w:tcW w:w="1500" w:type="dxa"/>
          </w:tcPr>
          <w:p>
            <w:pPr>
              <w:pStyle w:val="TableParagraph"/>
              <w:spacing w:before="117"/>
              <w:ind w:left="110"/>
              <w:rPr>
                <w:sz w:val="21"/>
              </w:rPr>
            </w:pPr>
            <w:r>
              <w:rPr>
                <w:sz w:val="21"/>
              </w:rPr>
              <w:t>语言能力丧失</w:t>
            </w:r>
          </w:p>
        </w:tc>
        <w:tc>
          <w:tcPr>
            <w:tcW w:w="8026" w:type="dxa"/>
          </w:tcPr>
          <w:p>
            <w:pPr>
              <w:pStyle w:val="TableParagraph"/>
              <w:spacing w:line="259" w:lineRule="auto" w:before="54"/>
              <w:ind w:left="127" w:right="167" w:hanging="1"/>
              <w:rPr>
                <w:sz w:val="21"/>
              </w:rPr>
            </w:pPr>
            <w:r>
              <w:rPr>
                <w:sz w:val="21"/>
              </w:rPr>
              <w:t>指因疾病或</w:t>
            </w:r>
            <w:r>
              <w:rPr>
                <w:rFonts w:ascii="微软雅黑" w:eastAsia="微软雅黑" w:hint="eastAsia"/>
                <w:b/>
                <w:sz w:val="21"/>
              </w:rPr>
              <w:t>意外伤害</w:t>
            </w:r>
            <w:r>
              <w:rPr>
                <w:sz w:val="21"/>
              </w:rPr>
              <w:t>导致完全丧失语言能力，经过积极治疗至少 </w:t>
            </w:r>
            <w:r>
              <w:rPr>
                <w:rFonts w:ascii="Times New Roman" w:eastAsia="Times New Roman"/>
                <w:sz w:val="21"/>
              </w:rPr>
              <w:t>12 </w:t>
            </w:r>
            <w:r>
              <w:rPr>
                <w:sz w:val="21"/>
              </w:rPr>
              <w:t>个月（声带完全切除不受此时间限制），仍无法通过现有医疗手段恢复。</w:t>
            </w:r>
          </w:p>
          <w:p>
            <w:pPr>
              <w:pStyle w:val="TableParagraph"/>
              <w:spacing w:before="34"/>
              <w:ind w:left="126"/>
              <w:rPr>
                <w:sz w:val="21"/>
              </w:rPr>
            </w:pPr>
            <w:r>
              <w:rPr>
                <w:sz w:val="21"/>
              </w:rPr>
              <w:t>精神心理因素所致的语言能力丧失不在保障范围内。</w:t>
            </w:r>
          </w:p>
        </w:tc>
      </w:tr>
      <w:tr>
        <w:trPr>
          <w:trHeight w:val="1061" w:hRule="atLeast"/>
        </w:trPr>
        <w:tc>
          <w:tcPr>
            <w:tcW w:w="949" w:type="dxa"/>
          </w:tcPr>
          <w:p>
            <w:pPr>
              <w:pStyle w:val="TableParagraph"/>
              <w:spacing w:before="118"/>
              <w:ind w:right="108"/>
              <w:jc w:val="right"/>
              <w:rPr>
                <w:sz w:val="21"/>
              </w:rPr>
            </w:pPr>
            <w:r>
              <w:rPr>
                <w:sz w:val="21"/>
              </w:rPr>
              <w:t>（</w:t>
            </w:r>
            <w:r>
              <w:rPr>
                <w:rFonts w:ascii="Times New Roman" w:eastAsia="Times New Roman"/>
                <w:sz w:val="21"/>
              </w:rPr>
              <w:t>24</w:t>
            </w:r>
            <w:r>
              <w:rPr>
                <w:sz w:val="21"/>
              </w:rPr>
              <w:t>）</w:t>
            </w:r>
          </w:p>
        </w:tc>
        <w:tc>
          <w:tcPr>
            <w:tcW w:w="1500" w:type="dxa"/>
          </w:tcPr>
          <w:p>
            <w:pPr>
              <w:pStyle w:val="TableParagraph"/>
              <w:spacing w:line="285" w:lineRule="auto" w:before="118"/>
              <w:ind w:left="110" w:right="125"/>
              <w:rPr>
                <w:sz w:val="21"/>
              </w:rPr>
            </w:pPr>
            <w:r>
              <w:rPr>
                <w:sz w:val="21"/>
              </w:rPr>
              <w:t>重型再生障碍性贫血</w:t>
            </w:r>
          </w:p>
        </w:tc>
        <w:tc>
          <w:tcPr>
            <w:tcW w:w="8026" w:type="dxa"/>
          </w:tcPr>
          <w:p>
            <w:pPr>
              <w:pStyle w:val="TableParagraph"/>
              <w:spacing w:line="285" w:lineRule="auto" w:before="118"/>
              <w:ind w:left="127" w:right="328"/>
              <w:rPr>
                <w:sz w:val="21"/>
              </w:rPr>
            </w:pPr>
            <w:r>
              <w:rPr>
                <w:sz w:val="21"/>
              </w:rPr>
              <w:t>指因骨髓造血功能慢性持续性衰竭导致的贫血、中性粒细胞减少及血小板减少。须满足下列全部条件：</w:t>
            </w:r>
          </w:p>
          <w:p>
            <w:pPr>
              <w:pStyle w:val="TableParagraph"/>
              <w:spacing w:line="271" w:lineRule="exact" w:before="11"/>
              <w:ind w:left="127"/>
              <w:rPr>
                <w:sz w:val="21"/>
              </w:rPr>
            </w:pPr>
            <w:r>
              <w:rPr>
                <w:sz w:val="21"/>
              </w:rPr>
              <w:t>（</w:t>
            </w:r>
            <w:r>
              <w:rPr>
                <w:rFonts w:ascii="Times New Roman" w:eastAsia="Times New Roman"/>
                <w:sz w:val="21"/>
              </w:rPr>
              <w:t>1</w:t>
            </w:r>
            <w:r>
              <w:rPr>
                <w:sz w:val="21"/>
              </w:rPr>
              <w:t>）骨髓穿刺检查或骨髓活检结果支持诊断；</w:t>
            </w:r>
          </w:p>
        </w:tc>
      </w:tr>
    </w:tbl>
    <w:p>
      <w:pPr>
        <w:spacing w:after="0" w:line="271" w:lineRule="exact"/>
        <w:rPr>
          <w:sz w:val="21"/>
        </w:rPr>
        <w:sectPr>
          <w:pgSz w:w="11910" w:h="16840"/>
          <w:pgMar w:header="857" w:footer="995" w:top="1040" w:bottom="1180" w:left="640" w:right="58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00"/>
        <w:gridCol w:w="7898"/>
      </w:tblGrid>
      <w:tr>
        <w:trPr>
          <w:trHeight w:val="1782" w:hRule="atLeast"/>
        </w:trPr>
        <w:tc>
          <w:tcPr>
            <w:tcW w:w="944" w:type="dxa"/>
            <w:tcBorders>
              <w:top w:val="single" w:sz="6" w:space="0" w:color="000000"/>
            </w:tcBorders>
          </w:tcPr>
          <w:p>
            <w:pPr>
              <w:pStyle w:val="TableParagraph"/>
              <w:rPr>
                <w:rFonts w:ascii="Times New Roman"/>
                <w:sz w:val="20"/>
              </w:rPr>
            </w:pPr>
          </w:p>
        </w:tc>
        <w:tc>
          <w:tcPr>
            <w:tcW w:w="1500" w:type="dxa"/>
            <w:tcBorders>
              <w:top w:val="single" w:sz="6" w:space="0" w:color="000000"/>
            </w:tcBorders>
          </w:tcPr>
          <w:p>
            <w:pPr>
              <w:pStyle w:val="TableParagraph"/>
              <w:rPr>
                <w:rFonts w:ascii="Times New Roman"/>
                <w:sz w:val="20"/>
              </w:rPr>
            </w:pPr>
          </w:p>
        </w:tc>
        <w:tc>
          <w:tcPr>
            <w:tcW w:w="7898" w:type="dxa"/>
            <w:tcBorders>
              <w:top w:val="single" w:sz="6" w:space="0" w:color="000000"/>
            </w:tcBorders>
          </w:tcPr>
          <w:p>
            <w:pPr>
              <w:pStyle w:val="TableParagraph"/>
              <w:spacing w:before="11"/>
              <w:rPr>
                <w:rFonts w:ascii="Times New Roman"/>
                <w:sz w:val="29"/>
              </w:rPr>
            </w:pPr>
          </w:p>
          <w:p>
            <w:pPr>
              <w:pStyle w:val="TableParagraph"/>
              <w:ind w:left="108" w:right="4285"/>
              <w:jc w:val="center"/>
              <w:rPr>
                <w:sz w:val="21"/>
              </w:rPr>
            </w:pPr>
            <w:r>
              <w:rPr>
                <w:sz w:val="21"/>
              </w:rPr>
              <w:t>（</w:t>
            </w:r>
            <w:r>
              <w:rPr>
                <w:rFonts w:ascii="Times New Roman" w:eastAsia="Times New Roman"/>
                <w:sz w:val="21"/>
              </w:rPr>
              <w:t>2</w:t>
            </w:r>
            <w:r>
              <w:rPr>
                <w:sz w:val="21"/>
              </w:rPr>
              <w:t>）外周血象须具备以下三项条件：</w:t>
            </w:r>
          </w:p>
          <w:p>
            <w:pPr>
              <w:pStyle w:val="TableParagraph"/>
              <w:spacing w:before="35"/>
              <w:ind w:left="446"/>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35"/>
              <w:ind w:left="446"/>
              <w:rPr>
                <w:sz w:val="21"/>
              </w:rPr>
            </w:pPr>
            <w:r>
              <w:rPr>
                <w:sz w:val="21"/>
              </w:rPr>
              <w:t>② 网织红细胞＜</w:t>
            </w:r>
            <w:r>
              <w:rPr>
                <w:rFonts w:ascii="Times New Roman" w:hAnsi="Times New Roman" w:eastAsia="Times New Roman"/>
                <w:sz w:val="21"/>
              </w:rPr>
              <w:t>1%</w:t>
            </w:r>
            <w:r>
              <w:rPr>
                <w:sz w:val="21"/>
              </w:rPr>
              <w:t>；</w:t>
            </w:r>
          </w:p>
          <w:p>
            <w:pPr>
              <w:pStyle w:val="TableParagraph"/>
              <w:spacing w:before="35"/>
              <w:ind w:left="446"/>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65" w:hRule="atLeast"/>
        </w:trPr>
        <w:tc>
          <w:tcPr>
            <w:tcW w:w="944" w:type="dxa"/>
          </w:tcPr>
          <w:p>
            <w:pPr>
              <w:pStyle w:val="TableParagraph"/>
              <w:spacing w:before="110"/>
              <w:ind w:right="108"/>
              <w:jc w:val="right"/>
              <w:rPr>
                <w:sz w:val="21"/>
              </w:rPr>
            </w:pPr>
            <w:r>
              <w:rPr>
                <w:sz w:val="21"/>
              </w:rPr>
              <w:t>（</w:t>
            </w:r>
            <w:r>
              <w:rPr>
                <w:rFonts w:ascii="Times New Roman" w:eastAsia="Times New Roman"/>
                <w:sz w:val="21"/>
              </w:rPr>
              <w:t>25</w:t>
            </w:r>
            <w:r>
              <w:rPr>
                <w:sz w:val="21"/>
              </w:rPr>
              <w:t>）</w:t>
            </w:r>
          </w:p>
        </w:tc>
        <w:tc>
          <w:tcPr>
            <w:tcW w:w="1500" w:type="dxa"/>
          </w:tcPr>
          <w:p>
            <w:pPr>
              <w:pStyle w:val="TableParagraph"/>
              <w:spacing w:before="110"/>
              <w:ind w:left="110"/>
              <w:rPr>
                <w:sz w:val="21"/>
              </w:rPr>
            </w:pPr>
            <w:r>
              <w:rPr>
                <w:sz w:val="21"/>
              </w:rPr>
              <w:t>主动脉手术</w:t>
            </w:r>
          </w:p>
        </w:tc>
        <w:tc>
          <w:tcPr>
            <w:tcW w:w="7898" w:type="dxa"/>
          </w:tcPr>
          <w:p>
            <w:pPr>
              <w:pStyle w:val="TableParagraph"/>
              <w:spacing w:line="285" w:lineRule="auto" w:before="110"/>
              <w:ind w:left="127" w:right="20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4"/>
              <w:ind w:left="127"/>
              <w:jc w:val="both"/>
              <w:rPr>
                <w:sz w:val="21"/>
              </w:rPr>
            </w:pPr>
            <w:r>
              <w:rPr>
                <w:sz w:val="21"/>
              </w:rPr>
              <w:t>动脉内血管成形术不在保障范围内。</w:t>
            </w:r>
          </w:p>
        </w:tc>
      </w:tr>
      <w:tr>
        <w:trPr>
          <w:trHeight w:val="1923" w:hRule="atLeast"/>
        </w:trPr>
        <w:tc>
          <w:tcPr>
            <w:tcW w:w="944" w:type="dxa"/>
          </w:tcPr>
          <w:p>
            <w:pPr>
              <w:pStyle w:val="TableParagraph"/>
              <w:spacing w:before="141"/>
              <w:ind w:right="108"/>
              <w:jc w:val="right"/>
              <w:rPr>
                <w:sz w:val="21"/>
              </w:rPr>
            </w:pPr>
            <w:r>
              <w:rPr>
                <w:sz w:val="21"/>
              </w:rPr>
              <w:t>（</w:t>
            </w:r>
            <w:r>
              <w:rPr>
                <w:rFonts w:ascii="Times New Roman" w:eastAsia="Times New Roman"/>
                <w:sz w:val="21"/>
              </w:rPr>
              <w:t>26</w:t>
            </w:r>
            <w:r>
              <w:rPr>
                <w:sz w:val="21"/>
              </w:rPr>
              <w:t>）</w:t>
            </w:r>
          </w:p>
        </w:tc>
        <w:tc>
          <w:tcPr>
            <w:tcW w:w="1500" w:type="dxa"/>
          </w:tcPr>
          <w:p>
            <w:pPr>
              <w:pStyle w:val="TableParagraph"/>
              <w:spacing w:before="141"/>
              <w:ind w:left="110"/>
              <w:rPr>
                <w:sz w:val="21"/>
              </w:rPr>
            </w:pPr>
            <w:r>
              <w:rPr>
                <w:sz w:val="21"/>
              </w:rPr>
              <w:t>多发性硬化</w:t>
            </w:r>
          </w:p>
        </w:tc>
        <w:tc>
          <w:tcPr>
            <w:tcW w:w="7898" w:type="dxa"/>
          </w:tcPr>
          <w:p>
            <w:pPr>
              <w:pStyle w:val="TableParagraph"/>
              <w:spacing w:before="78"/>
              <w:ind w:left="127"/>
              <w:rPr>
                <w:sz w:val="21"/>
              </w:rPr>
            </w:pPr>
            <w:r>
              <w:rPr>
                <w:sz w:val="21"/>
              </w:rPr>
              <w:t>经神经内科</w:t>
            </w:r>
            <w:r>
              <w:rPr>
                <w:rFonts w:ascii="微软雅黑" w:eastAsia="微软雅黑" w:hint="eastAsia"/>
                <w:b/>
                <w:sz w:val="21"/>
              </w:rPr>
              <w:t>专科医生</w:t>
            </w:r>
            <w:r>
              <w:rPr>
                <w:sz w:val="21"/>
              </w:rPr>
              <w:t>明确诊断为多发性硬化，且须同时满足下列条件：</w:t>
            </w:r>
          </w:p>
          <w:p>
            <w:pPr>
              <w:pStyle w:val="TableParagraph"/>
              <w:spacing w:line="277" w:lineRule="exact" w:before="27"/>
              <w:ind w:left="127"/>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或核磁共振检查显示存在神经系统散在的多部位病变；</w:t>
            </w:r>
          </w:p>
          <w:p>
            <w:pPr>
              <w:pStyle w:val="TableParagraph"/>
              <w:spacing w:line="349" w:lineRule="exact"/>
              <w:ind w:left="127"/>
              <w:rPr>
                <w:sz w:val="21"/>
              </w:rPr>
            </w:pPr>
            <w:r>
              <w:rPr>
                <w:sz w:val="21"/>
              </w:rPr>
              <w:t>（</w:t>
            </w:r>
            <w:r>
              <w:rPr>
                <w:rFonts w:ascii="Times New Roman" w:eastAsia="Times New Roman"/>
                <w:sz w:val="21"/>
              </w:rPr>
              <w:t>2</w:t>
            </w:r>
            <w:r>
              <w:rPr>
                <w:sz w:val="21"/>
              </w:rPr>
              <w:t>）被保险人无法独立完成</w:t>
            </w:r>
            <w:r>
              <w:rPr>
                <w:rFonts w:ascii="微软雅黑" w:eastAsia="微软雅黑" w:hint="eastAsia"/>
                <w:b/>
                <w:sz w:val="21"/>
              </w:rPr>
              <w:t>六项基本日常生活活动</w:t>
            </w:r>
            <w:r>
              <w:rPr>
                <w:sz w:val="21"/>
              </w:rPr>
              <w:t>中的三项或三项以上；</w:t>
            </w:r>
          </w:p>
          <w:p>
            <w:pPr>
              <w:pStyle w:val="TableParagraph"/>
              <w:spacing w:line="268" w:lineRule="auto" w:before="27"/>
              <w:ind w:left="127" w:right="308"/>
              <w:rPr>
                <w:sz w:val="21"/>
              </w:rPr>
            </w:pPr>
            <w:r>
              <w:rPr>
                <w:sz w:val="21"/>
              </w:rPr>
              <w:t>（</w:t>
            </w:r>
            <w:r>
              <w:rPr>
                <w:rFonts w:ascii="Times New Roman" w:eastAsia="Times New Roman"/>
                <w:sz w:val="21"/>
              </w:rPr>
              <w:t>3</w:t>
            </w:r>
            <w:r>
              <w:rPr>
                <w:sz w:val="21"/>
              </w:rPr>
              <w:t>）出现下列并发症之一或一种以上：吞咽困难、言语困难、共济失调、精神异常。</w:t>
            </w:r>
          </w:p>
        </w:tc>
      </w:tr>
      <w:tr>
        <w:trPr>
          <w:trHeight w:val="2577" w:hRule="atLeast"/>
        </w:trPr>
        <w:tc>
          <w:tcPr>
            <w:tcW w:w="944" w:type="dxa"/>
          </w:tcPr>
          <w:p>
            <w:pPr>
              <w:pStyle w:val="TableParagraph"/>
              <w:spacing w:before="142"/>
              <w:ind w:right="108"/>
              <w:jc w:val="right"/>
              <w:rPr>
                <w:sz w:val="21"/>
              </w:rPr>
            </w:pPr>
            <w:r>
              <w:rPr>
                <w:sz w:val="21"/>
              </w:rPr>
              <w:t>（</w:t>
            </w:r>
            <w:r>
              <w:rPr>
                <w:rFonts w:ascii="Times New Roman" w:eastAsia="Times New Roman"/>
                <w:sz w:val="21"/>
              </w:rPr>
              <w:t>27</w:t>
            </w:r>
            <w:r>
              <w:rPr>
                <w:sz w:val="21"/>
              </w:rPr>
              <w:t>）</w:t>
            </w:r>
          </w:p>
        </w:tc>
        <w:tc>
          <w:tcPr>
            <w:tcW w:w="1500" w:type="dxa"/>
          </w:tcPr>
          <w:p>
            <w:pPr>
              <w:pStyle w:val="TableParagraph"/>
              <w:spacing w:line="285" w:lineRule="auto" w:before="142"/>
              <w:ind w:left="110" w:right="124"/>
              <w:rPr>
                <w:sz w:val="21"/>
              </w:rPr>
            </w:pPr>
            <w:r>
              <w:rPr>
                <w:sz w:val="21"/>
              </w:rPr>
              <w:t>Ｉ型糖尿病合并症晚期</w:t>
            </w:r>
          </w:p>
        </w:tc>
        <w:tc>
          <w:tcPr>
            <w:tcW w:w="7898" w:type="dxa"/>
          </w:tcPr>
          <w:p>
            <w:pPr>
              <w:pStyle w:val="TableParagraph"/>
              <w:spacing w:before="80"/>
              <w:ind w:left="127"/>
              <w:rPr>
                <w:sz w:val="21"/>
              </w:rPr>
            </w:pPr>
            <w:r>
              <w:rPr>
                <w:sz w:val="21"/>
              </w:rPr>
              <w:t>经内分泌</w:t>
            </w:r>
            <w:r>
              <w:rPr>
                <w:rFonts w:ascii="微软雅黑" w:eastAsia="微软雅黑" w:hint="eastAsia"/>
                <w:b/>
                <w:sz w:val="21"/>
              </w:rPr>
              <w:t>专科医生</w:t>
            </w:r>
            <w:r>
              <w:rPr>
                <w:sz w:val="21"/>
              </w:rPr>
              <w:t>明确诊断为Ｉ型糖尿病，且须同时满足下列条件：</w:t>
            </w:r>
          </w:p>
          <w:p>
            <w:pPr>
              <w:pStyle w:val="TableParagraph"/>
              <w:spacing w:before="26"/>
              <w:ind w:left="127"/>
              <w:rPr>
                <w:sz w:val="21"/>
              </w:rPr>
            </w:pPr>
            <w:r>
              <w:rPr>
                <w:sz w:val="21"/>
              </w:rPr>
              <w:t>（</w:t>
            </w:r>
            <w:r>
              <w:rPr>
                <w:rFonts w:ascii="Times New Roman" w:eastAsia="Times New Roman"/>
                <w:sz w:val="21"/>
              </w:rPr>
              <w:t>1</w:t>
            </w:r>
            <w:r>
              <w:rPr>
                <w:sz w:val="21"/>
              </w:rPr>
              <w:t>）必须持续性地依赖外源性胰岛素维持生命。</w:t>
            </w:r>
          </w:p>
          <w:p>
            <w:pPr>
              <w:pStyle w:val="TableParagraph"/>
              <w:spacing w:before="35"/>
              <w:ind w:left="127"/>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37"/>
              <w:ind w:left="127"/>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35"/>
              <w:ind w:left="446"/>
              <w:rPr>
                <w:sz w:val="21"/>
              </w:rPr>
            </w:pPr>
            <w:r>
              <w:rPr>
                <w:sz w:val="21"/>
              </w:rPr>
              <w:t>① 并发增殖性视网膜病变；</w:t>
            </w:r>
          </w:p>
          <w:p>
            <w:pPr>
              <w:pStyle w:val="TableParagraph"/>
              <w:spacing w:before="51"/>
              <w:ind w:left="446"/>
              <w:rPr>
                <w:sz w:val="21"/>
              </w:rPr>
            </w:pPr>
            <w:r>
              <w:rPr>
                <w:sz w:val="21"/>
              </w:rPr>
              <w:t>② 并发心脏病变，并须植入心脏起搏器进行治疗；</w:t>
            </w:r>
          </w:p>
          <w:p>
            <w:pPr>
              <w:pStyle w:val="TableParagraph"/>
              <w:spacing w:before="51"/>
              <w:ind w:left="446"/>
              <w:rPr>
                <w:sz w:val="21"/>
              </w:rPr>
            </w:pPr>
            <w:r>
              <w:rPr>
                <w:sz w:val="21"/>
              </w:rPr>
              <w:t>③ 至少一个脚趾发生坏疽并已达到手术切除指征。</w:t>
            </w:r>
          </w:p>
        </w:tc>
      </w:tr>
      <w:tr>
        <w:trPr>
          <w:trHeight w:val="1269" w:hRule="atLeast"/>
        </w:trPr>
        <w:tc>
          <w:tcPr>
            <w:tcW w:w="944" w:type="dxa"/>
          </w:tcPr>
          <w:p>
            <w:pPr>
              <w:pStyle w:val="TableParagraph"/>
              <w:spacing w:before="142"/>
              <w:ind w:right="108"/>
              <w:jc w:val="right"/>
              <w:rPr>
                <w:sz w:val="21"/>
              </w:rPr>
            </w:pPr>
            <w:r>
              <w:rPr>
                <w:sz w:val="21"/>
              </w:rPr>
              <w:t>（</w:t>
            </w:r>
            <w:r>
              <w:rPr>
                <w:rFonts w:ascii="Times New Roman" w:eastAsia="Times New Roman"/>
                <w:sz w:val="21"/>
              </w:rPr>
              <w:t>28</w:t>
            </w:r>
            <w:r>
              <w:rPr>
                <w:sz w:val="21"/>
              </w:rPr>
              <w:t>）</w:t>
            </w:r>
          </w:p>
        </w:tc>
        <w:tc>
          <w:tcPr>
            <w:tcW w:w="1500" w:type="dxa"/>
          </w:tcPr>
          <w:p>
            <w:pPr>
              <w:pStyle w:val="TableParagraph"/>
              <w:spacing w:line="285" w:lineRule="auto" w:before="142"/>
              <w:ind w:left="110" w:right="124"/>
              <w:rPr>
                <w:sz w:val="21"/>
              </w:rPr>
            </w:pPr>
            <w:r>
              <w:rPr>
                <w:sz w:val="21"/>
              </w:rPr>
              <w:t>急性坏死性胰腺炎</w:t>
            </w:r>
          </w:p>
        </w:tc>
        <w:tc>
          <w:tcPr>
            <w:tcW w:w="7898" w:type="dxa"/>
          </w:tcPr>
          <w:p>
            <w:pPr>
              <w:pStyle w:val="TableParagraph"/>
              <w:spacing w:line="256" w:lineRule="auto" w:before="80"/>
              <w:ind w:left="127" w:right="198" w:hanging="1"/>
              <w:rPr>
                <w:sz w:val="21"/>
              </w:rPr>
            </w:pPr>
            <w:r>
              <w:rPr>
                <w:sz w:val="21"/>
              </w:rPr>
              <w:t>经消化内科</w:t>
            </w:r>
            <w:r>
              <w:rPr>
                <w:rFonts w:ascii="微软雅黑" w:eastAsia="微软雅黑" w:hint="eastAsia"/>
                <w:b/>
                <w:sz w:val="21"/>
              </w:rPr>
              <w:t>专科医生</w:t>
            </w:r>
            <w:r>
              <w:rPr>
                <w:sz w:val="21"/>
              </w:rPr>
              <w:t>明确诊断为急性坏死性胰腺炎，并已经进行胰腺引流、胰腺组织清除、病灶切除或胰腺部分切除的手术治疗。</w:t>
            </w:r>
          </w:p>
          <w:p>
            <w:pPr>
              <w:pStyle w:val="TableParagraph"/>
              <w:spacing w:before="37"/>
              <w:ind w:left="127"/>
              <w:rPr>
                <w:sz w:val="21"/>
              </w:rPr>
            </w:pPr>
            <w:r>
              <w:rPr>
                <w:sz w:val="21"/>
              </w:rPr>
              <w:t>因酗酒或滥用药物所致的急性坏死性胰腺炎不在保障范围内。</w:t>
            </w:r>
          </w:p>
        </w:tc>
      </w:tr>
      <w:tr>
        <w:trPr>
          <w:trHeight w:val="5010" w:hRule="atLeast"/>
        </w:trPr>
        <w:tc>
          <w:tcPr>
            <w:tcW w:w="944" w:type="dxa"/>
          </w:tcPr>
          <w:p>
            <w:pPr>
              <w:pStyle w:val="TableParagraph"/>
              <w:spacing w:before="142"/>
              <w:ind w:right="108"/>
              <w:jc w:val="right"/>
              <w:rPr>
                <w:sz w:val="21"/>
              </w:rPr>
            </w:pPr>
            <w:r>
              <w:rPr>
                <w:sz w:val="21"/>
              </w:rPr>
              <w:t>（</w:t>
            </w:r>
            <w:r>
              <w:rPr>
                <w:rFonts w:ascii="Times New Roman" w:eastAsia="Times New Roman"/>
                <w:sz w:val="21"/>
              </w:rPr>
              <w:t>29</w:t>
            </w:r>
            <w:r>
              <w:rPr>
                <w:sz w:val="21"/>
              </w:rPr>
              <w:t>）</w:t>
            </w:r>
          </w:p>
        </w:tc>
        <w:tc>
          <w:tcPr>
            <w:tcW w:w="1500" w:type="dxa"/>
          </w:tcPr>
          <w:p>
            <w:pPr>
              <w:pStyle w:val="TableParagraph"/>
              <w:spacing w:line="285" w:lineRule="auto" w:before="142"/>
              <w:ind w:left="110" w:right="124"/>
              <w:rPr>
                <w:sz w:val="21"/>
              </w:rPr>
            </w:pPr>
            <w:r>
              <w:rPr>
                <w:sz w:val="21"/>
              </w:rPr>
              <w:t>系统性红斑狼疮</w:t>
            </w:r>
          </w:p>
        </w:tc>
        <w:tc>
          <w:tcPr>
            <w:tcW w:w="7898" w:type="dxa"/>
          </w:tcPr>
          <w:p>
            <w:pPr>
              <w:pStyle w:val="TableParagraph"/>
              <w:spacing w:before="80"/>
              <w:ind w:left="127"/>
              <w:rPr>
                <w:sz w:val="21"/>
              </w:rPr>
            </w:pPr>
            <w:r>
              <w:rPr>
                <w:sz w:val="21"/>
              </w:rPr>
              <w:t>经相关</w:t>
            </w:r>
            <w:r>
              <w:rPr>
                <w:rFonts w:ascii="微软雅黑" w:eastAsia="微软雅黑" w:hint="eastAsia"/>
                <w:b/>
                <w:sz w:val="21"/>
              </w:rPr>
              <w:t>专科医生</w:t>
            </w:r>
            <w:r>
              <w:rPr>
                <w:sz w:val="21"/>
              </w:rPr>
              <w:t>明确诊断为系统性红斑疮，且须同时满足下列条件：</w:t>
            </w:r>
          </w:p>
          <w:p>
            <w:pPr>
              <w:pStyle w:val="TableParagraph"/>
              <w:spacing w:before="26"/>
              <w:ind w:left="127"/>
              <w:rPr>
                <w:sz w:val="21"/>
              </w:rPr>
            </w:pPr>
            <w:r>
              <w:rPr>
                <w:sz w:val="21"/>
              </w:rPr>
              <w:t>（</w:t>
            </w:r>
            <w:r>
              <w:rPr>
                <w:rFonts w:ascii="Times New Roman" w:eastAsia="Times New Roman"/>
                <w:sz w:val="21"/>
              </w:rPr>
              <w:t>1</w:t>
            </w:r>
            <w:r>
              <w:rPr>
                <w:sz w:val="21"/>
              </w:rPr>
              <w:t>）临床表现满足下列至少五个条件：</w:t>
            </w:r>
          </w:p>
          <w:p>
            <w:pPr>
              <w:pStyle w:val="TableParagraph"/>
              <w:spacing w:before="38"/>
              <w:ind w:left="446"/>
              <w:rPr>
                <w:sz w:val="21"/>
              </w:rPr>
            </w:pPr>
            <w:r>
              <w:rPr>
                <w:sz w:val="21"/>
              </w:rPr>
              <w:t>① 蝶形红斑或盘形红斑；</w:t>
            </w:r>
          </w:p>
          <w:p>
            <w:pPr>
              <w:pStyle w:val="TableParagraph"/>
              <w:spacing w:before="51"/>
              <w:ind w:left="446"/>
              <w:rPr>
                <w:sz w:val="21"/>
              </w:rPr>
            </w:pPr>
            <w:r>
              <w:rPr>
                <w:sz w:val="21"/>
              </w:rPr>
              <w:t>②狼疮肾炎致使肾功能损害，肌酐清除率低于每分钟 </w:t>
            </w:r>
            <w:r>
              <w:rPr>
                <w:rFonts w:ascii="Times New Roman" w:hAnsi="Times New Roman" w:eastAsia="Times New Roman"/>
                <w:sz w:val="21"/>
              </w:rPr>
              <w:t>30ml</w:t>
            </w:r>
            <w:r>
              <w:rPr>
                <w:sz w:val="21"/>
              </w:rPr>
              <w:t>；</w:t>
            </w:r>
          </w:p>
          <w:p>
            <w:pPr>
              <w:pStyle w:val="TableParagraph"/>
              <w:spacing w:before="35"/>
              <w:ind w:left="446"/>
              <w:rPr>
                <w:sz w:val="21"/>
              </w:rPr>
            </w:pPr>
            <w:r>
              <w:rPr>
                <w:sz w:val="21"/>
              </w:rPr>
              <w:t>③口鼻腔黏膜溃疡；</w:t>
            </w:r>
          </w:p>
          <w:p>
            <w:pPr>
              <w:pStyle w:val="TableParagraph"/>
              <w:spacing w:before="51"/>
              <w:ind w:left="446"/>
              <w:rPr>
                <w:sz w:val="21"/>
              </w:rPr>
            </w:pPr>
            <w:r>
              <w:rPr>
                <w:sz w:val="21"/>
              </w:rPr>
              <w:t>④非畸形性关节炎或多关节痛；</w:t>
            </w:r>
          </w:p>
          <w:p>
            <w:pPr>
              <w:pStyle w:val="TableParagraph"/>
              <w:spacing w:before="51"/>
              <w:ind w:left="446"/>
              <w:rPr>
                <w:sz w:val="21"/>
              </w:rPr>
            </w:pPr>
            <w:r>
              <w:rPr>
                <w:sz w:val="21"/>
              </w:rPr>
              <w:t>⑤ 胸膜炎或心包炎；</w:t>
            </w:r>
          </w:p>
          <w:p>
            <w:pPr>
              <w:pStyle w:val="TableParagraph"/>
              <w:spacing w:before="51"/>
              <w:ind w:left="446"/>
              <w:rPr>
                <w:sz w:val="21"/>
              </w:rPr>
            </w:pPr>
            <w:r>
              <w:rPr>
                <w:sz w:val="21"/>
              </w:rPr>
              <w:t>⑥神经系统损伤，出现癫痫或精神症状；</w:t>
            </w:r>
          </w:p>
          <w:p>
            <w:pPr>
              <w:pStyle w:val="TableParagraph"/>
              <w:spacing w:before="53"/>
              <w:ind w:left="446"/>
              <w:rPr>
                <w:sz w:val="21"/>
              </w:rPr>
            </w:pPr>
            <w:r>
              <w:rPr>
                <w:sz w:val="21"/>
              </w:rPr>
              <w:t>⑦出现溶血性贫血。</w:t>
            </w:r>
          </w:p>
          <w:p>
            <w:pPr>
              <w:pStyle w:val="TableParagraph"/>
              <w:spacing w:before="51"/>
              <w:ind w:left="127"/>
              <w:rPr>
                <w:sz w:val="21"/>
              </w:rPr>
            </w:pPr>
            <w:r>
              <w:rPr>
                <w:sz w:val="21"/>
              </w:rPr>
              <w:t>（</w:t>
            </w:r>
            <w:r>
              <w:rPr>
                <w:rFonts w:ascii="Times New Roman" w:eastAsia="Times New Roman"/>
                <w:sz w:val="21"/>
              </w:rPr>
              <w:t>2</w:t>
            </w:r>
            <w:r>
              <w:rPr>
                <w:sz w:val="21"/>
              </w:rPr>
              <w:t>）检测结果满足下列至少三个条件：</w:t>
            </w:r>
          </w:p>
          <w:p>
            <w:pPr>
              <w:pStyle w:val="TableParagraph"/>
              <w:spacing w:before="35"/>
              <w:ind w:left="446"/>
              <w:rPr>
                <w:sz w:val="21"/>
              </w:rPr>
            </w:pPr>
            <w:r>
              <w:rPr>
                <w:sz w:val="21"/>
              </w:rPr>
              <w:t>①抗 </w:t>
            </w:r>
            <w:r>
              <w:rPr>
                <w:rFonts w:ascii="Times New Roman" w:hAnsi="Times New Roman" w:eastAsia="Times New Roman"/>
                <w:sz w:val="21"/>
              </w:rPr>
              <w:t>dsDNA </w:t>
            </w:r>
            <w:r>
              <w:rPr>
                <w:sz w:val="21"/>
              </w:rPr>
              <w:t>抗体阳性；</w:t>
            </w:r>
          </w:p>
          <w:p>
            <w:pPr>
              <w:pStyle w:val="TableParagraph"/>
              <w:spacing w:before="35"/>
              <w:ind w:left="446"/>
              <w:rPr>
                <w:sz w:val="21"/>
              </w:rPr>
            </w:pPr>
            <w:r>
              <w:rPr>
                <w:sz w:val="21"/>
              </w:rPr>
              <w:t>②抗核抗体阳性；</w:t>
            </w:r>
          </w:p>
          <w:p>
            <w:pPr>
              <w:pStyle w:val="TableParagraph"/>
              <w:spacing w:before="51"/>
              <w:ind w:left="446"/>
              <w:rPr>
                <w:sz w:val="21"/>
              </w:rPr>
            </w:pPr>
            <w:r>
              <w:rPr>
                <w:sz w:val="21"/>
              </w:rPr>
              <w:t>③ 皮肤狼疮带试验（非病损部位）或肾活检阳性；</w:t>
            </w:r>
          </w:p>
          <w:p>
            <w:pPr>
              <w:pStyle w:val="TableParagraph"/>
              <w:spacing w:before="52"/>
              <w:ind w:left="446"/>
              <w:rPr>
                <w:sz w:val="21"/>
              </w:rPr>
            </w:pPr>
            <w:r>
              <w:rPr>
                <w:sz w:val="21"/>
              </w:rPr>
              <w:t>④ </w:t>
            </w:r>
            <w:r>
              <w:rPr>
                <w:rFonts w:ascii="Times New Roman" w:hAnsi="Times New Roman" w:eastAsia="Times New Roman"/>
                <w:sz w:val="21"/>
              </w:rPr>
              <w:t>C</w:t>
            </w:r>
            <w:r>
              <w:rPr>
                <w:rFonts w:ascii="Times New Roman" w:hAnsi="Times New Roman" w:eastAsia="Times New Roman"/>
                <w:sz w:val="21"/>
                <w:vertAlign w:val="subscript"/>
              </w:rPr>
              <w:t>3</w:t>
            </w:r>
            <w:r>
              <w:rPr>
                <w:rFonts w:ascii="Times New Roman" w:hAnsi="Times New Roman" w:eastAsia="Times New Roman"/>
                <w:sz w:val="21"/>
                <w:vertAlign w:val="baseline"/>
              </w:rPr>
            </w:r>
            <w:r>
              <w:rPr>
                <w:sz w:val="21"/>
                <w:vertAlign w:val="baseline"/>
              </w:rPr>
              <w:t>低于正常值；</w:t>
            </w:r>
          </w:p>
          <w:p>
            <w:pPr>
              <w:pStyle w:val="TableParagraph"/>
              <w:spacing w:line="271" w:lineRule="exact" w:before="38"/>
              <w:ind w:left="446"/>
              <w:rPr>
                <w:sz w:val="21"/>
              </w:rPr>
            </w:pPr>
            <w:r>
              <w:rPr>
                <w:sz w:val="21"/>
              </w:rPr>
              <w:t>⑤白细胞小于 </w:t>
            </w:r>
            <w:r>
              <w:rPr>
                <w:rFonts w:ascii="Times New Roman" w:hAnsi="Times New Roman" w:eastAsia="Times New Roman"/>
                <w:sz w:val="21"/>
              </w:rPr>
              <w:t>4000/</w:t>
            </w:r>
            <w:r>
              <w:rPr>
                <w:sz w:val="21"/>
              </w:rPr>
              <w:t>μ</w:t>
            </w:r>
            <w:r>
              <w:rPr>
                <w:rFonts w:ascii="Times New Roman" w:hAnsi="Times New Roman" w:eastAsia="Times New Roman"/>
                <w:sz w:val="21"/>
              </w:rPr>
              <w:t>l </w:t>
            </w:r>
            <w:r>
              <w:rPr>
                <w:sz w:val="21"/>
              </w:rPr>
              <w:t>或血小板小于 </w:t>
            </w:r>
            <w:r>
              <w:rPr>
                <w:rFonts w:ascii="Times New Roman" w:hAnsi="Times New Roman" w:eastAsia="Times New Roman"/>
                <w:sz w:val="21"/>
              </w:rPr>
              <w:t>100000/</w:t>
            </w:r>
            <w:r>
              <w:rPr>
                <w:sz w:val="21"/>
              </w:rPr>
              <w:t>μ</w:t>
            </w:r>
            <w:r>
              <w:rPr>
                <w:rFonts w:ascii="Times New Roman" w:hAnsi="Times New Roman" w:eastAsia="Times New Roman"/>
                <w:sz w:val="21"/>
              </w:rPr>
              <w:t>l</w:t>
            </w:r>
            <w:r>
              <w:rPr>
                <w:sz w:val="21"/>
              </w:rPr>
              <w:t>。</w:t>
            </w:r>
          </w:p>
        </w:tc>
      </w:tr>
    </w:tbl>
    <w:p>
      <w:pPr>
        <w:spacing w:after="0" w:line="271" w:lineRule="exact"/>
        <w:rPr>
          <w:sz w:val="21"/>
        </w:rPr>
        <w:sectPr>
          <w:footerReference w:type="default" r:id="rId9"/>
          <w:pgSz w:w="11910" w:h="16840"/>
          <w:pgMar w:footer="995" w:header="857" w:top="1040" w:bottom="1180" w:left="640" w:right="700"/>
          <w:pgNumType w:start="10"/>
        </w:sectPr>
      </w:pPr>
    </w:p>
    <w:p>
      <w:pPr>
        <w:pStyle w:val="BodyText"/>
        <w:spacing w:before="11"/>
        <w:rPr>
          <w:rFonts w:ascii="Times New Roman"/>
          <w:sz w:val="3"/>
        </w:rPr>
      </w:pPr>
    </w:p>
    <w:p>
      <w:pPr>
        <w:pStyle w:val="BodyText"/>
        <w:spacing w:line="20" w:lineRule="exact"/>
        <w:ind w:left="513"/>
        <w:rPr>
          <w:rFonts w:ascii="Times New Roman"/>
          <w:sz w:val="2"/>
        </w:rPr>
      </w:pPr>
      <w:r>
        <w:rPr>
          <w:rFonts w:ascii="Times New Roman"/>
          <w:spacing w:val="5"/>
          <w:sz w:val="2"/>
        </w:rPr>
        <w:t> </w:t>
      </w:r>
      <w:r>
        <w:rPr>
          <w:rFonts w:ascii="Times New Roman"/>
          <w:spacing w:val="5"/>
          <w:sz w:val="2"/>
        </w:rPr>
        <w:pict>
          <v:group style="width:481.95pt;height:.75pt;mso-position-horizontal-relative:char;mso-position-vertical-relative:line" coordorigin="0,0" coordsize="9639,15">
            <v:line style="position:absolute" from="0,7" to="9638,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00"/>
        <w:gridCol w:w="7898"/>
      </w:tblGrid>
      <w:tr>
        <w:trPr>
          <w:trHeight w:val="1072" w:hRule="atLeast"/>
        </w:trPr>
        <w:tc>
          <w:tcPr>
            <w:tcW w:w="944" w:type="dxa"/>
          </w:tcPr>
          <w:p>
            <w:pPr>
              <w:pStyle w:val="TableParagraph"/>
              <w:spacing w:line="234" w:lineRule="exact"/>
              <w:ind w:right="108"/>
              <w:jc w:val="right"/>
              <w:rPr>
                <w:sz w:val="21"/>
              </w:rPr>
            </w:pPr>
            <w:r>
              <w:rPr>
                <w:sz w:val="21"/>
              </w:rPr>
              <w:t>（</w:t>
            </w:r>
            <w:r>
              <w:rPr>
                <w:rFonts w:ascii="Times New Roman" w:eastAsia="Times New Roman"/>
                <w:sz w:val="21"/>
              </w:rPr>
              <w:t>30</w:t>
            </w:r>
            <w:r>
              <w:rPr>
                <w:sz w:val="21"/>
              </w:rPr>
              <w:t>）</w:t>
            </w:r>
          </w:p>
        </w:tc>
        <w:tc>
          <w:tcPr>
            <w:tcW w:w="1500" w:type="dxa"/>
          </w:tcPr>
          <w:p>
            <w:pPr>
              <w:pStyle w:val="TableParagraph"/>
              <w:spacing w:line="218" w:lineRule="exact"/>
              <w:ind w:left="110"/>
              <w:rPr>
                <w:sz w:val="21"/>
              </w:rPr>
            </w:pPr>
            <w:r>
              <w:rPr>
                <w:sz w:val="21"/>
              </w:rPr>
              <w:t>侵蚀性葡萄胎</w:t>
            </w:r>
          </w:p>
          <w:p>
            <w:pPr>
              <w:pStyle w:val="TableParagraph"/>
              <w:spacing w:line="285" w:lineRule="auto" w:before="54"/>
              <w:ind w:left="110" w:right="333"/>
              <w:rPr>
                <w:sz w:val="21"/>
              </w:rPr>
            </w:pPr>
            <w:r>
              <w:rPr>
                <w:sz w:val="21"/>
              </w:rPr>
              <w:t>（恶性葡萄胎）</w:t>
            </w:r>
          </w:p>
        </w:tc>
        <w:tc>
          <w:tcPr>
            <w:tcW w:w="7898" w:type="dxa"/>
          </w:tcPr>
          <w:p>
            <w:pPr>
              <w:pStyle w:val="TableParagraph"/>
              <w:spacing w:line="243" w:lineRule="exact"/>
              <w:ind w:left="127"/>
              <w:rPr>
                <w:sz w:val="21"/>
              </w:rPr>
            </w:pPr>
            <w:r>
              <w:rPr>
                <w:sz w:val="21"/>
              </w:rPr>
              <w:t>经妇产科</w:t>
            </w:r>
            <w:r>
              <w:rPr>
                <w:rFonts w:ascii="微软雅黑" w:eastAsia="微软雅黑" w:hint="eastAsia"/>
                <w:b/>
                <w:sz w:val="21"/>
              </w:rPr>
              <w:t>专科医生</w:t>
            </w:r>
            <w:r>
              <w:rPr>
                <w:sz w:val="21"/>
              </w:rPr>
              <w:t>明确诊断为侵蚀性葡萄胎，且已经对侵蚀性葡萄胎进行化疗或根</w:t>
            </w:r>
          </w:p>
          <w:p>
            <w:pPr>
              <w:pStyle w:val="TableParagraph"/>
              <w:spacing w:before="28"/>
              <w:ind w:left="127"/>
              <w:rPr>
                <w:sz w:val="21"/>
              </w:rPr>
            </w:pPr>
            <w:r>
              <w:rPr>
                <w:sz w:val="21"/>
              </w:rPr>
              <w:t>治性手术治疗。</w:t>
            </w:r>
          </w:p>
        </w:tc>
      </w:tr>
      <w:tr>
        <w:trPr>
          <w:trHeight w:val="2251" w:hRule="atLeast"/>
        </w:trPr>
        <w:tc>
          <w:tcPr>
            <w:tcW w:w="944" w:type="dxa"/>
          </w:tcPr>
          <w:p>
            <w:pPr>
              <w:pStyle w:val="TableParagraph"/>
              <w:spacing w:before="142"/>
              <w:ind w:right="108"/>
              <w:jc w:val="right"/>
              <w:rPr>
                <w:sz w:val="21"/>
              </w:rPr>
            </w:pPr>
            <w:r>
              <w:rPr>
                <w:sz w:val="21"/>
              </w:rPr>
              <w:t>（</w:t>
            </w:r>
            <w:r>
              <w:rPr>
                <w:rFonts w:ascii="Times New Roman" w:eastAsia="Times New Roman"/>
                <w:sz w:val="21"/>
              </w:rPr>
              <w:t>31</w:t>
            </w:r>
            <w:r>
              <w:rPr>
                <w:sz w:val="21"/>
              </w:rPr>
              <w:t>）</w:t>
            </w:r>
          </w:p>
        </w:tc>
        <w:tc>
          <w:tcPr>
            <w:tcW w:w="1500" w:type="dxa"/>
          </w:tcPr>
          <w:p>
            <w:pPr>
              <w:pStyle w:val="TableParagraph"/>
              <w:spacing w:before="142"/>
              <w:ind w:left="110"/>
              <w:rPr>
                <w:sz w:val="21"/>
              </w:rPr>
            </w:pPr>
            <w:r>
              <w:rPr>
                <w:sz w:val="21"/>
              </w:rPr>
              <w:t>终末期肺病</w:t>
            </w:r>
          </w:p>
        </w:tc>
        <w:tc>
          <w:tcPr>
            <w:tcW w:w="7898" w:type="dxa"/>
          </w:tcPr>
          <w:p>
            <w:pPr>
              <w:pStyle w:val="TableParagraph"/>
              <w:spacing w:before="80"/>
              <w:ind w:left="127"/>
              <w:rPr>
                <w:sz w:val="21"/>
              </w:rPr>
            </w:pPr>
            <w:r>
              <w:rPr>
                <w:sz w:val="21"/>
              </w:rPr>
              <w:t>经呼吸科</w:t>
            </w:r>
            <w:r>
              <w:rPr>
                <w:rFonts w:ascii="微软雅黑" w:eastAsia="微软雅黑" w:hint="eastAsia"/>
                <w:b/>
                <w:sz w:val="21"/>
              </w:rPr>
              <w:t>专科医生</w:t>
            </w:r>
            <w:r>
              <w:rPr>
                <w:sz w:val="21"/>
              </w:rPr>
              <w:t>明确诊断为终末期肺病，且须同时满足下列条件：</w:t>
            </w:r>
          </w:p>
          <w:p>
            <w:pPr>
              <w:pStyle w:val="TableParagraph"/>
              <w:spacing w:before="26"/>
              <w:ind w:left="12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w:t>
            </w:r>
            <w:r>
              <w:rPr>
                <w:rFonts w:ascii="Times New Roman" w:eastAsia="Times New Roman"/>
                <w:sz w:val="21"/>
                <w:vertAlign w:val="subscript"/>
              </w:rPr>
              <w:t>1</w:t>
            </w:r>
            <w:r>
              <w:rPr>
                <w:rFonts w:ascii="Times New Roman" w:eastAsia="Times New Roman"/>
                <w:sz w:val="21"/>
                <w:vertAlign w:val="baseline"/>
              </w:rPr>
            </w:r>
            <w:r>
              <w:rPr>
                <w:sz w:val="21"/>
                <w:vertAlign w:val="baseline"/>
              </w:rPr>
              <w:t>持续低于 </w:t>
            </w:r>
            <w:r>
              <w:rPr>
                <w:rFonts w:ascii="Times New Roman" w:eastAsia="Times New Roman"/>
                <w:sz w:val="21"/>
                <w:vertAlign w:val="baseline"/>
              </w:rPr>
              <w:t>0.75 </w:t>
            </w:r>
            <w:r>
              <w:rPr>
                <w:sz w:val="21"/>
                <w:vertAlign w:val="baseline"/>
              </w:rPr>
              <w:t>升；</w:t>
            </w:r>
          </w:p>
          <w:p>
            <w:pPr>
              <w:pStyle w:val="TableParagraph"/>
              <w:spacing w:before="35"/>
              <w:ind w:left="127"/>
              <w:rPr>
                <w:sz w:val="21"/>
              </w:rPr>
            </w:pPr>
            <w:r>
              <w:rPr>
                <w:sz w:val="21"/>
              </w:rPr>
              <w:t>（</w:t>
            </w:r>
            <w:r>
              <w:rPr>
                <w:rFonts w:ascii="Times New Roman" w:eastAsia="Times New Roman"/>
                <w:sz w:val="21"/>
              </w:rPr>
              <w:t>2</w:t>
            </w:r>
            <w:r>
              <w:rPr>
                <w:sz w:val="21"/>
              </w:rPr>
              <w:t>）病人缺氧必须广泛而持续地进行输氧治疗；</w:t>
            </w:r>
          </w:p>
          <w:p>
            <w:pPr>
              <w:pStyle w:val="TableParagraph"/>
              <w:spacing w:before="35"/>
              <w:ind w:left="127"/>
              <w:rPr>
                <w:sz w:val="21"/>
              </w:rPr>
            </w:pPr>
            <w:r>
              <w:rPr>
                <w:sz w:val="21"/>
              </w:rPr>
              <w:t>（</w:t>
            </w:r>
            <w:r>
              <w:rPr>
                <w:rFonts w:ascii="Times New Roman" w:eastAsia="Times New Roman"/>
                <w:sz w:val="21"/>
              </w:rPr>
              <w:t>3</w:t>
            </w:r>
            <w:r>
              <w:rPr>
                <w:sz w:val="21"/>
              </w:rPr>
              <w:t>）动脉血气分析氧分压低于 </w:t>
            </w:r>
            <w:r>
              <w:rPr>
                <w:rFonts w:ascii="Times New Roman" w:eastAsia="Times New Roman"/>
                <w:sz w:val="21"/>
              </w:rPr>
              <w:t>55mmHg</w:t>
            </w:r>
            <w:r>
              <w:rPr>
                <w:sz w:val="21"/>
              </w:rPr>
              <w:t>；</w:t>
            </w:r>
          </w:p>
          <w:p>
            <w:pPr>
              <w:pStyle w:val="TableParagraph"/>
              <w:spacing w:before="35"/>
              <w:ind w:left="127"/>
              <w:rPr>
                <w:sz w:val="21"/>
              </w:rPr>
            </w:pPr>
            <w:r>
              <w:rPr>
                <w:sz w:val="21"/>
              </w:rPr>
              <w:t>（</w:t>
            </w:r>
            <w:r>
              <w:rPr>
                <w:rFonts w:ascii="Times New Roman" w:eastAsia="Times New Roman"/>
                <w:sz w:val="21"/>
              </w:rPr>
              <w:t>4</w:t>
            </w:r>
            <w:r>
              <w:rPr>
                <w:sz w:val="21"/>
              </w:rPr>
              <w:t>）出现慢性呼吸功能衰竭。</w:t>
            </w:r>
          </w:p>
          <w:p>
            <w:pPr>
              <w:pStyle w:val="TableParagraph"/>
              <w:spacing w:before="38"/>
              <w:ind w:left="127"/>
              <w:rPr>
                <w:sz w:val="21"/>
              </w:rPr>
            </w:pPr>
            <w:r>
              <w:rPr>
                <w:sz w:val="21"/>
              </w:rPr>
              <w:t>因职业因素造成的肺部疾病不在保障范围内。</w:t>
            </w:r>
          </w:p>
        </w:tc>
      </w:tr>
      <w:tr>
        <w:trPr>
          <w:trHeight w:val="1277" w:hRule="atLeast"/>
        </w:trPr>
        <w:tc>
          <w:tcPr>
            <w:tcW w:w="944" w:type="dxa"/>
          </w:tcPr>
          <w:p>
            <w:pPr>
              <w:pStyle w:val="TableParagraph"/>
              <w:spacing w:before="142"/>
              <w:ind w:right="108"/>
              <w:jc w:val="right"/>
              <w:rPr>
                <w:sz w:val="21"/>
              </w:rPr>
            </w:pPr>
            <w:r>
              <w:rPr>
                <w:sz w:val="21"/>
              </w:rPr>
              <w:t>（</w:t>
            </w:r>
            <w:r>
              <w:rPr>
                <w:rFonts w:ascii="Times New Roman" w:eastAsia="Times New Roman"/>
                <w:sz w:val="21"/>
              </w:rPr>
              <w:t>32</w:t>
            </w:r>
            <w:r>
              <w:rPr>
                <w:sz w:val="21"/>
              </w:rPr>
              <w:t>）</w:t>
            </w:r>
          </w:p>
        </w:tc>
        <w:tc>
          <w:tcPr>
            <w:tcW w:w="1500" w:type="dxa"/>
          </w:tcPr>
          <w:p>
            <w:pPr>
              <w:pStyle w:val="TableParagraph"/>
              <w:spacing w:before="142"/>
              <w:ind w:left="110"/>
              <w:rPr>
                <w:sz w:val="21"/>
              </w:rPr>
            </w:pPr>
            <w:r>
              <w:rPr>
                <w:sz w:val="21"/>
              </w:rPr>
              <w:t>克隆病</w:t>
            </w:r>
          </w:p>
        </w:tc>
        <w:tc>
          <w:tcPr>
            <w:tcW w:w="7898" w:type="dxa"/>
          </w:tcPr>
          <w:p>
            <w:pPr>
              <w:pStyle w:val="TableParagraph"/>
              <w:spacing w:before="142"/>
              <w:ind w:left="127"/>
              <w:rPr>
                <w:sz w:val="21"/>
              </w:rPr>
            </w:pPr>
            <w:r>
              <w:rPr>
                <w:sz w:val="21"/>
              </w:rPr>
              <w:t>指一种肉芽肿性肠炎。且须满足下列所有条件：</w:t>
            </w:r>
          </w:p>
          <w:p>
            <w:pPr>
              <w:pStyle w:val="TableParagraph"/>
              <w:spacing w:before="51"/>
              <w:ind w:left="127"/>
              <w:rPr>
                <w:sz w:val="21"/>
              </w:rPr>
            </w:pPr>
            <w:r>
              <w:rPr>
                <w:sz w:val="21"/>
              </w:rPr>
              <w:t>（</w:t>
            </w:r>
            <w:r>
              <w:rPr>
                <w:rFonts w:ascii="Times New Roman" w:eastAsia="Times New Roman"/>
                <w:sz w:val="21"/>
              </w:rPr>
              <w:t>1</w:t>
            </w:r>
            <w:r>
              <w:rPr>
                <w:sz w:val="21"/>
              </w:rPr>
              <w:t>）已经造成瘘管并伴有肠梗阻或肠穿孔；</w:t>
            </w:r>
          </w:p>
          <w:p>
            <w:pPr>
              <w:pStyle w:val="TableParagraph"/>
              <w:spacing w:before="35"/>
              <w:ind w:left="127"/>
              <w:rPr>
                <w:sz w:val="21"/>
              </w:rPr>
            </w:pPr>
            <w:r>
              <w:rPr>
                <w:sz w:val="21"/>
              </w:rPr>
              <w:t>（</w:t>
            </w:r>
            <w:r>
              <w:rPr>
                <w:rFonts w:ascii="Times New Roman" w:eastAsia="Times New Roman"/>
                <w:sz w:val="21"/>
              </w:rPr>
              <w:t>2</w:t>
            </w:r>
            <w:r>
              <w:rPr>
                <w:sz w:val="21"/>
              </w:rPr>
              <w:t>）有结肠镜检查和组织病理学检查作为诊断依据。</w:t>
            </w:r>
          </w:p>
        </w:tc>
      </w:tr>
      <w:tr>
        <w:trPr>
          <w:trHeight w:val="1595" w:hRule="atLeast"/>
        </w:trPr>
        <w:tc>
          <w:tcPr>
            <w:tcW w:w="944" w:type="dxa"/>
          </w:tcPr>
          <w:p>
            <w:pPr>
              <w:pStyle w:val="TableParagraph"/>
              <w:spacing w:before="134"/>
              <w:ind w:right="108"/>
              <w:jc w:val="right"/>
              <w:rPr>
                <w:sz w:val="21"/>
              </w:rPr>
            </w:pPr>
            <w:r>
              <w:rPr>
                <w:sz w:val="21"/>
              </w:rPr>
              <w:t>（</w:t>
            </w:r>
            <w:r>
              <w:rPr>
                <w:rFonts w:ascii="Times New Roman" w:eastAsia="Times New Roman"/>
                <w:sz w:val="21"/>
              </w:rPr>
              <w:t>33</w:t>
            </w:r>
            <w:r>
              <w:rPr>
                <w:sz w:val="21"/>
              </w:rPr>
              <w:t>）</w:t>
            </w:r>
          </w:p>
        </w:tc>
        <w:tc>
          <w:tcPr>
            <w:tcW w:w="1500" w:type="dxa"/>
          </w:tcPr>
          <w:p>
            <w:pPr>
              <w:pStyle w:val="TableParagraph"/>
              <w:spacing w:before="134"/>
              <w:ind w:left="110"/>
              <w:rPr>
                <w:sz w:val="21"/>
              </w:rPr>
            </w:pPr>
            <w:r>
              <w:rPr>
                <w:sz w:val="21"/>
              </w:rPr>
              <w:t>限制性心肌病</w:t>
            </w:r>
          </w:p>
        </w:tc>
        <w:tc>
          <w:tcPr>
            <w:tcW w:w="7898" w:type="dxa"/>
          </w:tcPr>
          <w:p>
            <w:pPr>
              <w:pStyle w:val="TableParagraph"/>
              <w:spacing w:line="285" w:lineRule="auto" w:before="134"/>
              <w:ind w:left="127" w:right="200"/>
              <w:rPr>
                <w:sz w:val="21"/>
              </w:rPr>
            </w:pPr>
            <w:r>
              <w:rPr>
                <w:sz w:val="21"/>
              </w:rPr>
              <w:t>指以心肌间质纤维化增生、心脏舒张充盈受限为特征的心肌疾病。理赔时必须满足下列所有条件：</w:t>
            </w:r>
          </w:p>
          <w:p>
            <w:pPr>
              <w:pStyle w:val="TableParagraph"/>
              <w:spacing w:before="11"/>
              <w:ind w:left="127"/>
              <w:rPr>
                <w:sz w:val="21"/>
              </w:rPr>
            </w:pPr>
            <w:r>
              <w:rPr>
                <w:sz w:val="21"/>
              </w:rPr>
              <w:t>（</w:t>
            </w:r>
            <w:r>
              <w:rPr>
                <w:rFonts w:ascii="Times New Roman" w:eastAsia="Times New Roman"/>
                <w:sz w:val="21"/>
              </w:rPr>
              <w:t>1</w:t>
            </w:r>
            <w:r>
              <w:rPr>
                <w:sz w:val="21"/>
              </w:rPr>
              <w:t>）心电图提示窦性心动过速，</w:t>
            </w:r>
            <w:r>
              <w:rPr>
                <w:rFonts w:ascii="Times New Roman" w:eastAsia="Times New Roman"/>
                <w:sz w:val="21"/>
              </w:rPr>
              <w:t>T </w:t>
            </w:r>
            <w:r>
              <w:rPr>
                <w:sz w:val="21"/>
              </w:rPr>
              <w:t>波低平或倒置；</w:t>
            </w:r>
          </w:p>
          <w:p>
            <w:pPr>
              <w:pStyle w:val="TableParagraph"/>
              <w:spacing w:before="35"/>
              <w:ind w:left="127"/>
              <w:rPr>
                <w:sz w:val="21"/>
              </w:rPr>
            </w:pPr>
            <w:r>
              <w:rPr>
                <w:sz w:val="21"/>
              </w:rPr>
              <w:t>（</w:t>
            </w:r>
            <w:r>
              <w:rPr>
                <w:rFonts w:ascii="Times New Roman" w:eastAsia="Times New Roman"/>
                <w:sz w:val="21"/>
              </w:rPr>
              <w:t>2</w:t>
            </w:r>
            <w:r>
              <w:rPr>
                <w:sz w:val="21"/>
              </w:rPr>
              <w:t>）左心室造影显示心内膜肥厚、心室腔缩小、心尖部钝化。</w:t>
            </w:r>
          </w:p>
        </w:tc>
      </w:tr>
      <w:tr>
        <w:trPr>
          <w:trHeight w:val="935" w:hRule="atLeast"/>
        </w:trPr>
        <w:tc>
          <w:tcPr>
            <w:tcW w:w="944" w:type="dxa"/>
          </w:tcPr>
          <w:p>
            <w:pPr>
              <w:pStyle w:val="TableParagraph"/>
              <w:spacing w:before="134"/>
              <w:ind w:right="108"/>
              <w:jc w:val="right"/>
              <w:rPr>
                <w:sz w:val="21"/>
              </w:rPr>
            </w:pPr>
            <w:r>
              <w:rPr>
                <w:sz w:val="21"/>
              </w:rPr>
              <w:t>（</w:t>
            </w:r>
            <w:r>
              <w:rPr>
                <w:rFonts w:ascii="Times New Roman" w:eastAsia="Times New Roman"/>
                <w:sz w:val="21"/>
              </w:rPr>
              <w:t>34</w:t>
            </w:r>
            <w:r>
              <w:rPr>
                <w:sz w:val="21"/>
              </w:rPr>
              <w:t>）</w:t>
            </w:r>
          </w:p>
        </w:tc>
        <w:tc>
          <w:tcPr>
            <w:tcW w:w="1500" w:type="dxa"/>
          </w:tcPr>
          <w:p>
            <w:pPr>
              <w:pStyle w:val="TableParagraph"/>
              <w:spacing w:before="134"/>
              <w:ind w:left="110"/>
              <w:rPr>
                <w:sz w:val="21"/>
              </w:rPr>
            </w:pPr>
            <w:r>
              <w:rPr>
                <w:sz w:val="21"/>
              </w:rPr>
              <w:t>脊髓灰质炎</w:t>
            </w:r>
          </w:p>
        </w:tc>
        <w:tc>
          <w:tcPr>
            <w:tcW w:w="7898" w:type="dxa"/>
          </w:tcPr>
          <w:p>
            <w:pPr>
              <w:pStyle w:val="TableParagraph"/>
              <w:spacing w:line="256" w:lineRule="auto" w:before="72"/>
              <w:ind w:left="127" w:right="203"/>
              <w:rPr>
                <w:sz w:val="21"/>
              </w:rPr>
            </w:pPr>
            <w:r>
              <w:rPr>
                <w:sz w:val="21"/>
              </w:rPr>
              <w:t>经神经科</w:t>
            </w:r>
            <w:r>
              <w:rPr>
                <w:rFonts w:ascii="微软雅黑" w:eastAsia="微软雅黑" w:hint="eastAsia"/>
                <w:b/>
                <w:sz w:val="21"/>
              </w:rPr>
              <w:t>专科医生</w:t>
            </w:r>
            <w:r>
              <w:rPr>
                <w:sz w:val="21"/>
              </w:rPr>
              <w:t>明确诊断为脊髓灰质炎，并出现</w:t>
            </w:r>
            <w:r>
              <w:rPr>
                <w:rFonts w:ascii="微软雅黑" w:eastAsia="微软雅黑" w:hint="eastAsia"/>
                <w:b/>
                <w:sz w:val="21"/>
              </w:rPr>
              <w:t>永久不可逆</w:t>
            </w:r>
            <w:r>
              <w:rPr>
                <w:sz w:val="21"/>
              </w:rPr>
              <w:t>的肢体萎缩与运动障碍。</w:t>
            </w:r>
          </w:p>
        </w:tc>
      </w:tr>
      <w:tr>
        <w:trPr>
          <w:trHeight w:val="1280" w:hRule="atLeast"/>
        </w:trPr>
        <w:tc>
          <w:tcPr>
            <w:tcW w:w="944" w:type="dxa"/>
          </w:tcPr>
          <w:p>
            <w:pPr>
              <w:pStyle w:val="TableParagraph"/>
              <w:spacing w:before="142"/>
              <w:ind w:right="108"/>
              <w:jc w:val="right"/>
              <w:rPr>
                <w:sz w:val="21"/>
              </w:rPr>
            </w:pPr>
            <w:r>
              <w:rPr>
                <w:sz w:val="21"/>
              </w:rPr>
              <w:t>（</w:t>
            </w:r>
            <w:r>
              <w:rPr>
                <w:rFonts w:ascii="Times New Roman" w:eastAsia="Times New Roman"/>
                <w:sz w:val="21"/>
              </w:rPr>
              <w:t>35</w:t>
            </w:r>
            <w:r>
              <w:rPr>
                <w:sz w:val="21"/>
              </w:rPr>
              <w:t>）</w:t>
            </w:r>
          </w:p>
        </w:tc>
        <w:tc>
          <w:tcPr>
            <w:tcW w:w="1500" w:type="dxa"/>
          </w:tcPr>
          <w:p>
            <w:pPr>
              <w:pStyle w:val="TableParagraph"/>
              <w:spacing w:before="142"/>
              <w:ind w:left="110"/>
              <w:rPr>
                <w:sz w:val="21"/>
              </w:rPr>
            </w:pPr>
            <w:r>
              <w:rPr>
                <w:sz w:val="21"/>
              </w:rPr>
              <w:t>肾髓质囊性病</w:t>
            </w:r>
          </w:p>
        </w:tc>
        <w:tc>
          <w:tcPr>
            <w:tcW w:w="7898" w:type="dxa"/>
          </w:tcPr>
          <w:p>
            <w:pPr>
              <w:pStyle w:val="TableParagraph"/>
              <w:spacing w:before="80"/>
              <w:ind w:left="127"/>
              <w:rPr>
                <w:sz w:val="21"/>
              </w:rPr>
            </w:pPr>
            <w:r>
              <w:rPr>
                <w:sz w:val="21"/>
              </w:rPr>
              <w:t>经肾脏内科</w:t>
            </w:r>
            <w:r>
              <w:rPr>
                <w:rFonts w:ascii="微软雅黑" w:eastAsia="微软雅黑" w:hint="eastAsia"/>
                <w:b/>
                <w:sz w:val="21"/>
              </w:rPr>
              <w:t>专科医生</w:t>
            </w:r>
            <w:r>
              <w:rPr>
                <w:sz w:val="21"/>
              </w:rPr>
              <w:t>明确诊断为肾髓质囊性病，且须同时满足下列条件：</w:t>
            </w:r>
          </w:p>
          <w:p>
            <w:pPr>
              <w:pStyle w:val="TableParagraph"/>
              <w:spacing w:before="26"/>
              <w:ind w:left="12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38"/>
              <w:ind w:left="127"/>
              <w:rPr>
                <w:sz w:val="21"/>
              </w:rPr>
            </w:pPr>
            <w:r>
              <w:rPr>
                <w:sz w:val="21"/>
              </w:rPr>
              <w:t>（</w:t>
            </w:r>
            <w:r>
              <w:rPr>
                <w:rFonts w:ascii="Times New Roman" w:eastAsia="Times New Roman"/>
                <w:sz w:val="21"/>
              </w:rPr>
              <w:t>2</w:t>
            </w:r>
            <w:r>
              <w:rPr>
                <w:sz w:val="21"/>
              </w:rPr>
              <w:t>）出现贫血及肾功能衰竭等临床表现。</w:t>
            </w:r>
          </w:p>
        </w:tc>
      </w:tr>
      <w:tr>
        <w:trPr>
          <w:trHeight w:val="2248" w:hRule="atLeast"/>
        </w:trPr>
        <w:tc>
          <w:tcPr>
            <w:tcW w:w="944" w:type="dxa"/>
          </w:tcPr>
          <w:p>
            <w:pPr>
              <w:pStyle w:val="TableParagraph"/>
              <w:spacing w:before="134"/>
              <w:ind w:right="108"/>
              <w:jc w:val="right"/>
              <w:rPr>
                <w:sz w:val="21"/>
              </w:rPr>
            </w:pPr>
            <w:r>
              <w:rPr>
                <w:sz w:val="21"/>
              </w:rPr>
              <w:t>（</w:t>
            </w:r>
            <w:r>
              <w:rPr>
                <w:rFonts w:ascii="Times New Roman" w:eastAsia="Times New Roman"/>
                <w:sz w:val="21"/>
              </w:rPr>
              <w:t>36</w:t>
            </w:r>
            <w:r>
              <w:rPr>
                <w:sz w:val="21"/>
              </w:rPr>
              <w:t>）</w:t>
            </w:r>
          </w:p>
        </w:tc>
        <w:tc>
          <w:tcPr>
            <w:tcW w:w="1500" w:type="dxa"/>
          </w:tcPr>
          <w:p>
            <w:pPr>
              <w:pStyle w:val="TableParagraph"/>
              <w:spacing w:before="134"/>
              <w:ind w:left="110"/>
              <w:rPr>
                <w:sz w:val="21"/>
              </w:rPr>
            </w:pPr>
            <w:r>
              <w:rPr>
                <w:sz w:val="21"/>
              </w:rPr>
              <w:t>肌营养不良症</w:t>
            </w:r>
          </w:p>
        </w:tc>
        <w:tc>
          <w:tcPr>
            <w:tcW w:w="7898" w:type="dxa"/>
          </w:tcPr>
          <w:p>
            <w:pPr>
              <w:pStyle w:val="TableParagraph"/>
              <w:spacing w:line="256" w:lineRule="auto" w:before="72"/>
              <w:ind w:left="127" w:right="198" w:hanging="1"/>
              <w:rPr>
                <w:sz w:val="21"/>
              </w:rPr>
            </w:pPr>
            <w:r>
              <w:rPr>
                <w:sz w:val="21"/>
              </w:rPr>
              <w:t>指一种原发于肌肉的</w:t>
            </w:r>
            <w:r>
              <w:rPr>
                <w:rFonts w:ascii="微软雅黑" w:eastAsia="微软雅黑" w:hint="eastAsia"/>
                <w:b/>
                <w:sz w:val="21"/>
              </w:rPr>
              <w:t>遗传性疾病</w:t>
            </w:r>
            <w:r>
              <w:rPr>
                <w:sz w:val="21"/>
              </w:rPr>
              <w:t>，主要表现为受累骨骼肌的无力和萎缩。理赔时必须满足下列条件中的三个或三个以上：</w:t>
            </w:r>
          </w:p>
          <w:p>
            <w:pPr>
              <w:pStyle w:val="TableParagraph"/>
              <w:spacing w:before="37"/>
              <w:ind w:left="127"/>
              <w:rPr>
                <w:sz w:val="21"/>
              </w:rPr>
            </w:pPr>
            <w:r>
              <w:rPr>
                <w:sz w:val="21"/>
              </w:rPr>
              <w:t>（</w:t>
            </w:r>
            <w:r>
              <w:rPr>
                <w:rFonts w:ascii="Times New Roman" w:eastAsia="Times New Roman"/>
                <w:sz w:val="21"/>
              </w:rPr>
              <w:t>1</w:t>
            </w:r>
            <w:r>
              <w:rPr>
                <w:sz w:val="21"/>
              </w:rPr>
              <w:t>）家庭史中有其他成员患相同疾病；</w:t>
            </w:r>
          </w:p>
          <w:p>
            <w:pPr>
              <w:pStyle w:val="TableParagraph"/>
              <w:spacing w:before="35"/>
              <w:ind w:left="127"/>
              <w:rPr>
                <w:sz w:val="21"/>
              </w:rPr>
            </w:pPr>
            <w:r>
              <w:rPr>
                <w:sz w:val="21"/>
              </w:rPr>
              <w:t>（</w:t>
            </w:r>
            <w:r>
              <w:rPr>
                <w:rFonts w:ascii="Times New Roman" w:eastAsia="Times New Roman"/>
                <w:sz w:val="21"/>
              </w:rPr>
              <w:t>2</w:t>
            </w:r>
            <w:r>
              <w:rPr>
                <w:sz w:val="21"/>
              </w:rPr>
              <w:t>）临床表现有无感觉神经紊乱，正常脑脊液及轻微腱反射的减退；</w:t>
            </w:r>
          </w:p>
          <w:p>
            <w:pPr>
              <w:pStyle w:val="TableParagraph"/>
              <w:spacing w:before="35"/>
              <w:ind w:left="127"/>
              <w:rPr>
                <w:sz w:val="21"/>
              </w:rPr>
            </w:pPr>
            <w:r>
              <w:rPr>
                <w:sz w:val="21"/>
              </w:rPr>
              <w:t>（</w:t>
            </w:r>
            <w:r>
              <w:rPr>
                <w:rFonts w:ascii="Times New Roman" w:eastAsia="Times New Roman"/>
                <w:sz w:val="21"/>
              </w:rPr>
              <w:t>3</w:t>
            </w:r>
            <w:r>
              <w:rPr>
                <w:sz w:val="21"/>
              </w:rPr>
              <w:t>）典型的肌电图；</w:t>
            </w:r>
          </w:p>
          <w:p>
            <w:pPr>
              <w:pStyle w:val="TableParagraph"/>
              <w:spacing w:before="35"/>
              <w:ind w:left="127"/>
              <w:rPr>
                <w:sz w:val="21"/>
              </w:rPr>
            </w:pPr>
            <w:r>
              <w:rPr>
                <w:sz w:val="21"/>
              </w:rPr>
              <w:t>（</w:t>
            </w:r>
            <w:r>
              <w:rPr>
                <w:rFonts w:ascii="Times New Roman" w:eastAsia="Times New Roman"/>
                <w:sz w:val="21"/>
              </w:rPr>
              <w:t>4</w:t>
            </w:r>
            <w:r>
              <w:rPr>
                <w:sz w:val="21"/>
              </w:rPr>
              <w:t>）临床推测必须有肌肉或组织检查加以证实。</w:t>
            </w:r>
          </w:p>
        </w:tc>
      </w:tr>
      <w:tr>
        <w:trPr>
          <w:trHeight w:val="1932" w:hRule="atLeast"/>
        </w:trPr>
        <w:tc>
          <w:tcPr>
            <w:tcW w:w="944" w:type="dxa"/>
          </w:tcPr>
          <w:p>
            <w:pPr>
              <w:pStyle w:val="TableParagraph"/>
              <w:spacing w:before="134"/>
              <w:ind w:right="108"/>
              <w:jc w:val="right"/>
              <w:rPr>
                <w:sz w:val="21"/>
              </w:rPr>
            </w:pPr>
            <w:r>
              <w:rPr>
                <w:sz w:val="21"/>
              </w:rPr>
              <w:t>（</w:t>
            </w:r>
            <w:r>
              <w:rPr>
                <w:rFonts w:ascii="Times New Roman" w:eastAsia="Times New Roman"/>
                <w:sz w:val="21"/>
              </w:rPr>
              <w:t>37</w:t>
            </w:r>
            <w:r>
              <w:rPr>
                <w:sz w:val="21"/>
              </w:rPr>
              <w:t>）</w:t>
            </w:r>
          </w:p>
        </w:tc>
        <w:tc>
          <w:tcPr>
            <w:tcW w:w="1500" w:type="dxa"/>
          </w:tcPr>
          <w:p>
            <w:pPr>
              <w:pStyle w:val="TableParagraph"/>
              <w:spacing w:line="285" w:lineRule="auto" w:before="134"/>
              <w:ind w:left="110" w:right="125"/>
              <w:rPr>
                <w:sz w:val="21"/>
              </w:rPr>
            </w:pPr>
            <w:r>
              <w:rPr>
                <w:sz w:val="21"/>
              </w:rPr>
              <w:t>特发性血小板减少性紫癜</w:t>
            </w:r>
          </w:p>
        </w:tc>
        <w:tc>
          <w:tcPr>
            <w:tcW w:w="7898" w:type="dxa"/>
          </w:tcPr>
          <w:p>
            <w:pPr>
              <w:pStyle w:val="TableParagraph"/>
              <w:spacing w:line="285" w:lineRule="auto" w:before="134"/>
              <w:ind w:left="127" w:right="200"/>
              <w:rPr>
                <w:sz w:val="21"/>
              </w:rPr>
            </w:pPr>
            <w:r>
              <w:rPr>
                <w:sz w:val="21"/>
              </w:rPr>
              <w:t>指由于体内产生抗自身血小板抗体引起血小板破坏增多，从而导致外周血中血小板持续减少的出血性疾病。理赔时须满足下列所有条件：</w:t>
            </w:r>
          </w:p>
          <w:p>
            <w:pPr>
              <w:pStyle w:val="TableParagraph"/>
              <w:spacing w:before="13"/>
              <w:ind w:left="127"/>
              <w:rPr>
                <w:sz w:val="21"/>
              </w:rPr>
            </w:pPr>
            <w:r>
              <w:rPr>
                <w:sz w:val="21"/>
              </w:rPr>
              <w:t>（</w:t>
            </w:r>
            <w:r>
              <w:rPr>
                <w:rFonts w:ascii="Times New Roman" w:hAnsi="Times New Roman" w:eastAsia="Times New Roman"/>
                <w:sz w:val="21"/>
              </w:rPr>
              <w:t>1</w:t>
            </w:r>
            <w:r>
              <w:rPr>
                <w:sz w:val="21"/>
              </w:rPr>
              <w:t>）血化验显示血小板</w:t>
            </w:r>
            <w:r>
              <w:rPr>
                <w:rFonts w:ascii="Times New Roman" w:hAnsi="Times New Roman" w:eastAsia="Times New Roman"/>
                <w:sz w:val="21"/>
              </w:rPr>
              <w:t>&lt;4</w:t>
            </w:r>
            <w:r>
              <w:rPr>
                <w:sz w:val="21"/>
              </w:rPr>
              <w:t>×</w:t>
            </w:r>
            <w:r>
              <w:rPr>
                <w:rFonts w:ascii="Times New Roman" w:hAnsi="Times New Roman" w:eastAsia="Times New Roman"/>
                <w:sz w:val="21"/>
              </w:rPr>
              <w:t>10</w:t>
            </w:r>
            <w:r>
              <w:rPr>
                <w:rFonts w:ascii="Times New Roman" w:hAnsi="Times New Roman" w:eastAsia="Times New Roman"/>
                <w:sz w:val="21"/>
                <w:vertAlign w:val="superscript"/>
              </w:rPr>
              <w:t>1</w:t>
            </w:r>
            <w:r>
              <w:rPr>
                <w:rFonts w:ascii="Times New Roman" w:hAnsi="Times New Roman" w:eastAsia="Times New Roman"/>
                <w:sz w:val="21"/>
                <w:vertAlign w:val="superscript"/>
              </w:rPr>
              <w:t>0</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35"/>
              <w:ind w:left="127"/>
              <w:rPr>
                <w:sz w:val="21"/>
              </w:rPr>
            </w:pPr>
            <w:r>
              <w:rPr>
                <w:sz w:val="21"/>
              </w:rPr>
              <w:t>（</w:t>
            </w:r>
            <w:r>
              <w:rPr>
                <w:rFonts w:ascii="Times New Roman" w:eastAsia="Times New Roman"/>
                <w:sz w:val="21"/>
              </w:rPr>
              <w:t>2</w:t>
            </w:r>
            <w:r>
              <w:rPr>
                <w:sz w:val="21"/>
              </w:rPr>
              <w:t>）广泛出现累及皮肤、粘膜或内脏的出血；</w:t>
            </w:r>
          </w:p>
          <w:p>
            <w:pPr>
              <w:pStyle w:val="TableParagraph"/>
              <w:spacing w:before="35"/>
              <w:ind w:left="126"/>
              <w:rPr>
                <w:sz w:val="21"/>
              </w:rPr>
            </w:pPr>
            <w:r>
              <w:rPr>
                <w:sz w:val="21"/>
              </w:rPr>
              <w:t>（</w:t>
            </w:r>
            <w:r>
              <w:rPr>
                <w:rFonts w:ascii="Times New Roman" w:eastAsia="Times New Roman"/>
                <w:sz w:val="21"/>
              </w:rPr>
              <w:t>3</w:t>
            </w:r>
            <w:r>
              <w:rPr>
                <w:sz w:val="21"/>
              </w:rPr>
              <w:t>）</w:t>
            </w:r>
            <w:r>
              <w:rPr>
                <w:rFonts w:ascii="Times New Roman" w:eastAsia="Times New Roman"/>
                <w:sz w:val="21"/>
              </w:rPr>
              <w:t>PAIg</w:t>
            </w:r>
            <w:r>
              <w:rPr>
                <w:sz w:val="21"/>
              </w:rPr>
              <w:t>阳性或</w:t>
            </w:r>
            <w:r>
              <w:rPr>
                <w:rFonts w:ascii="Times New Roman" w:eastAsia="Times New Roman"/>
                <w:sz w:val="21"/>
              </w:rPr>
              <w:t>PAC</w:t>
            </w:r>
            <w:r>
              <w:rPr>
                <w:rFonts w:ascii="Times New Roman" w:eastAsia="Times New Roman"/>
                <w:sz w:val="21"/>
                <w:vertAlign w:val="subscript"/>
              </w:rPr>
              <w:t>3</w:t>
            </w:r>
            <w:r>
              <w:rPr>
                <w:rFonts w:ascii="Times New Roman" w:eastAsia="Times New Roman"/>
                <w:sz w:val="21"/>
                <w:vertAlign w:val="baseline"/>
              </w:rPr>
            </w:r>
            <w:r>
              <w:rPr>
                <w:sz w:val="21"/>
                <w:vertAlign w:val="baseline"/>
              </w:rPr>
              <w:t>阳性。</w:t>
            </w:r>
          </w:p>
        </w:tc>
      </w:tr>
      <w:tr>
        <w:trPr>
          <w:trHeight w:val="727" w:hRule="atLeast"/>
        </w:trPr>
        <w:tc>
          <w:tcPr>
            <w:tcW w:w="944" w:type="dxa"/>
          </w:tcPr>
          <w:p>
            <w:pPr>
              <w:pStyle w:val="TableParagraph"/>
              <w:spacing w:before="126"/>
              <w:ind w:right="108"/>
              <w:jc w:val="right"/>
              <w:rPr>
                <w:sz w:val="21"/>
              </w:rPr>
            </w:pPr>
            <w:r>
              <w:rPr>
                <w:sz w:val="21"/>
              </w:rPr>
              <w:t>（</w:t>
            </w:r>
            <w:r>
              <w:rPr>
                <w:rFonts w:ascii="Times New Roman" w:eastAsia="Times New Roman"/>
                <w:sz w:val="21"/>
              </w:rPr>
              <w:t>38</w:t>
            </w:r>
            <w:r>
              <w:rPr>
                <w:sz w:val="21"/>
              </w:rPr>
              <w:t>）</w:t>
            </w:r>
          </w:p>
        </w:tc>
        <w:tc>
          <w:tcPr>
            <w:tcW w:w="1500" w:type="dxa"/>
          </w:tcPr>
          <w:p>
            <w:pPr>
              <w:pStyle w:val="TableParagraph"/>
              <w:spacing w:line="320" w:lineRule="atLeast" w:before="81"/>
              <w:ind w:left="110" w:right="125"/>
              <w:rPr>
                <w:sz w:val="21"/>
              </w:rPr>
            </w:pPr>
            <w:r>
              <w:rPr>
                <w:sz w:val="21"/>
              </w:rPr>
              <w:t>Ⅲ度房室传导阻滞</w:t>
            </w:r>
          </w:p>
        </w:tc>
        <w:tc>
          <w:tcPr>
            <w:tcW w:w="7898" w:type="dxa"/>
          </w:tcPr>
          <w:p>
            <w:pPr>
              <w:pStyle w:val="TableParagraph"/>
              <w:spacing w:line="320" w:lineRule="atLeast" w:before="81"/>
              <w:ind w:left="127" w:right="200"/>
              <w:rPr>
                <w:sz w:val="21"/>
              </w:rPr>
            </w:pPr>
            <w:r>
              <w:rPr>
                <w:sz w:val="21"/>
              </w:rPr>
              <w:t>房室传导阻滞指心房激动在房室交界区、房室束及其分支内发生阻滞，不能正常地传到心室的心脏传导性疾病。理赔时须满足下列所有条件：</w:t>
            </w:r>
          </w:p>
        </w:tc>
      </w:tr>
    </w:tbl>
    <w:p>
      <w:pPr>
        <w:spacing w:after="0" w:line="320" w:lineRule="atLeast"/>
        <w:rPr>
          <w:sz w:val="21"/>
        </w:rPr>
        <w:sectPr>
          <w:pgSz w:w="11910" w:h="16840"/>
          <w:pgMar w:header="857" w:footer="995" w:top="1040" w:bottom="1180" w:left="640" w:right="70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500"/>
        <w:gridCol w:w="7999"/>
      </w:tblGrid>
      <w:tr>
        <w:trPr>
          <w:trHeight w:val="1479" w:hRule="atLeast"/>
        </w:trPr>
        <w:tc>
          <w:tcPr>
            <w:tcW w:w="949" w:type="dxa"/>
            <w:tcBorders>
              <w:top w:val="single" w:sz="6" w:space="0" w:color="000000"/>
            </w:tcBorders>
          </w:tcPr>
          <w:p>
            <w:pPr>
              <w:pStyle w:val="TableParagraph"/>
              <w:rPr>
                <w:rFonts w:ascii="Times New Roman"/>
                <w:sz w:val="20"/>
              </w:rPr>
            </w:pPr>
          </w:p>
        </w:tc>
        <w:tc>
          <w:tcPr>
            <w:tcW w:w="1500" w:type="dxa"/>
            <w:tcBorders>
              <w:top w:val="single" w:sz="6" w:space="0" w:color="000000"/>
            </w:tcBorders>
          </w:tcPr>
          <w:p>
            <w:pPr>
              <w:pStyle w:val="TableParagraph"/>
              <w:rPr>
                <w:rFonts w:ascii="Times New Roman"/>
                <w:sz w:val="20"/>
              </w:rPr>
            </w:pPr>
          </w:p>
        </w:tc>
        <w:tc>
          <w:tcPr>
            <w:tcW w:w="7999" w:type="dxa"/>
            <w:tcBorders>
              <w:top w:val="single" w:sz="6" w:space="0" w:color="000000"/>
            </w:tcBorders>
          </w:tcPr>
          <w:p>
            <w:pPr>
              <w:pStyle w:val="TableParagraph"/>
              <w:spacing w:before="11"/>
              <w:rPr>
                <w:rFonts w:ascii="Times New Roman"/>
                <w:sz w:val="29"/>
              </w:rPr>
            </w:pPr>
          </w:p>
          <w:p>
            <w:pPr>
              <w:pStyle w:val="TableParagraph"/>
              <w:ind w:left="126"/>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35"/>
              <w:ind w:left="126"/>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斯综合征或心力衰竭的表现；</w:t>
            </w:r>
          </w:p>
          <w:p>
            <w:pPr>
              <w:pStyle w:val="TableParagraph"/>
              <w:spacing w:before="35"/>
              <w:ind w:left="127"/>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2251" w:hRule="atLeast"/>
        </w:trPr>
        <w:tc>
          <w:tcPr>
            <w:tcW w:w="949" w:type="dxa"/>
          </w:tcPr>
          <w:p>
            <w:pPr>
              <w:pStyle w:val="TableParagraph"/>
              <w:spacing w:before="134"/>
              <w:ind w:left="204"/>
              <w:rPr>
                <w:sz w:val="21"/>
              </w:rPr>
            </w:pPr>
            <w:r>
              <w:rPr>
                <w:sz w:val="21"/>
              </w:rPr>
              <w:t>（</w:t>
            </w:r>
            <w:r>
              <w:rPr>
                <w:rFonts w:ascii="Times New Roman" w:eastAsia="Times New Roman"/>
                <w:sz w:val="21"/>
              </w:rPr>
              <w:t>39</w:t>
            </w:r>
            <w:r>
              <w:rPr>
                <w:sz w:val="21"/>
              </w:rPr>
              <w:t>）</w:t>
            </w:r>
          </w:p>
        </w:tc>
        <w:tc>
          <w:tcPr>
            <w:tcW w:w="1500" w:type="dxa"/>
          </w:tcPr>
          <w:p>
            <w:pPr>
              <w:pStyle w:val="TableParagraph"/>
              <w:spacing w:before="134"/>
              <w:ind w:left="110"/>
              <w:rPr>
                <w:sz w:val="21"/>
              </w:rPr>
            </w:pPr>
            <w:r>
              <w:rPr>
                <w:sz w:val="21"/>
              </w:rPr>
              <w:t>重症肌无力</w:t>
            </w:r>
          </w:p>
        </w:tc>
        <w:tc>
          <w:tcPr>
            <w:tcW w:w="7999" w:type="dxa"/>
          </w:tcPr>
          <w:p>
            <w:pPr>
              <w:pStyle w:val="TableParagraph"/>
              <w:spacing w:line="285" w:lineRule="auto" w:before="134"/>
              <w:ind w:left="127" w:right="301"/>
              <w:rPr>
                <w:sz w:val="21"/>
              </w:rPr>
            </w:pPr>
            <w:r>
              <w:rPr>
                <w:sz w:val="21"/>
              </w:rPr>
              <w:t>指一种神经与肌肉接头部位传递障碍的自身免疫疾病，临床表现是局部或全身横纹肌在活动时易于疲劳无力。理赔时必须满足下列所有条件：</w:t>
            </w:r>
          </w:p>
          <w:p>
            <w:pPr>
              <w:pStyle w:val="TableParagraph"/>
              <w:spacing w:before="11"/>
              <w:ind w:left="127"/>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68" w:lineRule="auto" w:before="38"/>
              <w:ind w:left="127" w:right="198"/>
              <w:rPr>
                <w:sz w:val="21"/>
              </w:rPr>
            </w:pPr>
            <w:r>
              <w:rPr>
                <w:sz w:val="21"/>
              </w:rPr>
              <w:t>（</w:t>
            </w:r>
            <w:r>
              <w:rPr>
                <w:rFonts w:ascii="Times New Roman" w:eastAsia="Times New Roman"/>
                <w:sz w:val="21"/>
              </w:rPr>
              <w:t>2</w:t>
            </w:r>
            <w:r>
              <w:rPr>
                <w:sz w:val="21"/>
              </w:rPr>
              <w:t>）出现眼睑下垂、构音困难、进食呛咳，或由于肌无力累及延髓肌、呼吸肌而致呼吸功能异常的肌无力危象；</w:t>
            </w:r>
          </w:p>
          <w:p>
            <w:pPr>
              <w:pStyle w:val="TableParagraph"/>
              <w:spacing w:before="26"/>
              <w:ind w:left="127"/>
              <w:rPr>
                <w:sz w:val="21"/>
              </w:rPr>
            </w:pPr>
            <w:r>
              <w:rPr>
                <w:sz w:val="21"/>
              </w:rPr>
              <w:t>（</w:t>
            </w:r>
            <w:r>
              <w:rPr>
                <w:rFonts w:ascii="Times New Roman" w:eastAsia="Times New Roman"/>
                <w:sz w:val="21"/>
              </w:rPr>
              <w:t>3</w:t>
            </w:r>
            <w:r>
              <w:rPr>
                <w:sz w:val="21"/>
              </w:rPr>
              <w:t>）症状缓解、复发及恶化交替出现。</w:t>
            </w:r>
          </w:p>
        </w:tc>
      </w:tr>
      <w:tr>
        <w:trPr>
          <w:trHeight w:val="1269" w:hRule="atLeast"/>
        </w:trPr>
        <w:tc>
          <w:tcPr>
            <w:tcW w:w="949" w:type="dxa"/>
          </w:tcPr>
          <w:p>
            <w:pPr>
              <w:pStyle w:val="TableParagraph"/>
              <w:spacing w:before="134"/>
              <w:ind w:left="204"/>
              <w:rPr>
                <w:sz w:val="21"/>
              </w:rPr>
            </w:pPr>
            <w:r>
              <w:rPr>
                <w:sz w:val="21"/>
              </w:rPr>
              <w:t>（</w:t>
            </w:r>
            <w:r>
              <w:rPr>
                <w:rFonts w:ascii="Times New Roman" w:eastAsia="Times New Roman"/>
                <w:sz w:val="21"/>
              </w:rPr>
              <w:t>40</w:t>
            </w:r>
            <w:r>
              <w:rPr>
                <w:sz w:val="21"/>
              </w:rPr>
              <w:t>）</w:t>
            </w:r>
          </w:p>
        </w:tc>
        <w:tc>
          <w:tcPr>
            <w:tcW w:w="1500" w:type="dxa"/>
          </w:tcPr>
          <w:p>
            <w:pPr>
              <w:pStyle w:val="TableParagraph"/>
              <w:spacing w:before="134"/>
              <w:ind w:left="110"/>
              <w:rPr>
                <w:sz w:val="21"/>
              </w:rPr>
            </w:pPr>
            <w:r>
              <w:rPr>
                <w:sz w:val="21"/>
              </w:rPr>
              <w:t>坏死性筋膜炎</w:t>
            </w:r>
          </w:p>
        </w:tc>
        <w:tc>
          <w:tcPr>
            <w:tcW w:w="7999" w:type="dxa"/>
          </w:tcPr>
          <w:p>
            <w:pPr>
              <w:pStyle w:val="TableParagraph"/>
              <w:spacing w:before="72"/>
              <w:ind w:left="126"/>
              <w:rPr>
                <w:sz w:val="21"/>
              </w:rPr>
            </w:pPr>
            <w:r>
              <w:rPr>
                <w:sz w:val="21"/>
              </w:rPr>
              <w:t>经</w:t>
            </w:r>
            <w:r>
              <w:rPr>
                <w:rFonts w:ascii="微软雅黑" w:eastAsia="微软雅黑" w:hint="eastAsia"/>
                <w:b/>
                <w:sz w:val="21"/>
              </w:rPr>
              <w:t>专科医生</w:t>
            </w:r>
            <w:r>
              <w:rPr>
                <w:sz w:val="21"/>
              </w:rPr>
              <w:t>明确诊断为坏死性筋膜炎，且须满足下列所有条件：</w:t>
            </w:r>
          </w:p>
          <w:p>
            <w:pPr>
              <w:pStyle w:val="TableParagraph"/>
              <w:spacing w:line="277" w:lineRule="exact" w:before="26"/>
              <w:ind w:left="126"/>
              <w:rPr>
                <w:sz w:val="21"/>
              </w:rPr>
            </w:pPr>
            <w:r>
              <w:rPr>
                <w:sz w:val="21"/>
              </w:rPr>
              <w:t>（</w:t>
            </w:r>
            <w:r>
              <w:rPr>
                <w:rFonts w:ascii="Times New Roman" w:eastAsia="Times New Roman"/>
                <w:sz w:val="21"/>
              </w:rPr>
              <w:t>1</w:t>
            </w:r>
            <w:r>
              <w:rPr>
                <w:sz w:val="21"/>
              </w:rPr>
              <w:t>）出现广泛性肌肉及软组织坏死；</w:t>
            </w:r>
          </w:p>
          <w:p>
            <w:pPr>
              <w:pStyle w:val="TableParagraph"/>
              <w:spacing w:line="349" w:lineRule="exact"/>
              <w:ind w:left="126"/>
              <w:rPr>
                <w:sz w:val="21"/>
              </w:rPr>
            </w:pPr>
            <w:r>
              <w:rPr>
                <w:sz w:val="21"/>
              </w:rPr>
              <w:t>（</w:t>
            </w:r>
            <w:r>
              <w:rPr>
                <w:rFonts w:ascii="Times New Roman" w:eastAsia="Times New Roman"/>
                <w:sz w:val="21"/>
              </w:rPr>
              <w:t>2</w:t>
            </w:r>
            <w:r>
              <w:rPr>
                <w:sz w:val="21"/>
              </w:rPr>
              <w:t>）身体患病部位</w:t>
            </w:r>
            <w:r>
              <w:rPr>
                <w:rFonts w:ascii="微软雅黑" w:eastAsia="微软雅黑" w:hint="eastAsia"/>
                <w:b/>
                <w:sz w:val="21"/>
              </w:rPr>
              <w:t>永久不可逆</w:t>
            </w:r>
            <w:r>
              <w:rPr>
                <w:sz w:val="21"/>
              </w:rPr>
              <w:t>的功能丧失。</w:t>
            </w:r>
          </w:p>
        </w:tc>
      </w:tr>
      <w:tr>
        <w:trPr>
          <w:trHeight w:val="2243" w:hRule="atLeast"/>
        </w:trPr>
        <w:tc>
          <w:tcPr>
            <w:tcW w:w="949" w:type="dxa"/>
          </w:tcPr>
          <w:p>
            <w:pPr>
              <w:pStyle w:val="TableParagraph"/>
              <w:spacing w:before="134"/>
              <w:ind w:left="204"/>
              <w:rPr>
                <w:sz w:val="21"/>
              </w:rPr>
            </w:pPr>
            <w:r>
              <w:rPr>
                <w:sz w:val="21"/>
              </w:rPr>
              <w:t>（</w:t>
            </w:r>
            <w:r>
              <w:rPr>
                <w:rFonts w:ascii="Times New Roman" w:eastAsia="Times New Roman"/>
                <w:sz w:val="21"/>
              </w:rPr>
              <w:t>41</w:t>
            </w:r>
            <w:r>
              <w:rPr>
                <w:sz w:val="21"/>
              </w:rPr>
              <w:t>）</w:t>
            </w:r>
          </w:p>
        </w:tc>
        <w:tc>
          <w:tcPr>
            <w:tcW w:w="1500" w:type="dxa"/>
          </w:tcPr>
          <w:p>
            <w:pPr>
              <w:pStyle w:val="TableParagraph"/>
              <w:spacing w:line="285" w:lineRule="auto" w:before="134"/>
              <w:ind w:left="110" w:right="125"/>
              <w:rPr>
                <w:sz w:val="21"/>
              </w:rPr>
            </w:pPr>
            <w:r>
              <w:rPr>
                <w:sz w:val="21"/>
              </w:rPr>
              <w:t>原发性硬化性胆管炎</w:t>
            </w:r>
          </w:p>
        </w:tc>
        <w:tc>
          <w:tcPr>
            <w:tcW w:w="7999" w:type="dxa"/>
          </w:tcPr>
          <w:p>
            <w:pPr>
              <w:pStyle w:val="TableParagraph"/>
              <w:spacing w:before="72"/>
              <w:ind w:left="126"/>
              <w:rPr>
                <w:sz w:val="21"/>
              </w:rPr>
            </w:pPr>
            <w:r>
              <w:rPr>
                <w:sz w:val="21"/>
              </w:rPr>
              <w:t>经相关</w:t>
            </w:r>
            <w:r>
              <w:rPr>
                <w:rFonts w:ascii="微软雅黑" w:eastAsia="微软雅黑" w:hint="eastAsia"/>
                <w:b/>
                <w:sz w:val="21"/>
              </w:rPr>
              <w:t>专科医生</w:t>
            </w:r>
            <w:r>
              <w:rPr>
                <w:sz w:val="21"/>
              </w:rPr>
              <w:t>明确诊断为原发性硬化性胆管炎。且须满足下列所有条件：</w:t>
            </w:r>
          </w:p>
          <w:p>
            <w:pPr>
              <w:pStyle w:val="TableParagraph"/>
              <w:spacing w:before="26"/>
              <w:ind w:left="126"/>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35"/>
              <w:ind w:left="126"/>
              <w:rPr>
                <w:sz w:val="21"/>
              </w:rPr>
            </w:pPr>
            <w:r>
              <w:rPr>
                <w:sz w:val="21"/>
              </w:rPr>
              <w:t>（</w:t>
            </w:r>
            <w:r>
              <w:rPr>
                <w:rFonts w:ascii="Times New Roman" w:eastAsia="Times New Roman"/>
                <w:sz w:val="21"/>
              </w:rPr>
              <w:t>2</w:t>
            </w:r>
            <w:r>
              <w:rPr>
                <w:sz w:val="21"/>
              </w:rPr>
              <w:t>）血清 </w:t>
            </w:r>
            <w:r>
              <w:rPr>
                <w:rFonts w:ascii="Times New Roman" w:eastAsia="Times New Roman"/>
                <w:sz w:val="21"/>
              </w:rPr>
              <w:t>ANCA </w:t>
            </w:r>
            <w:r>
              <w:rPr>
                <w:sz w:val="21"/>
              </w:rPr>
              <w:t>阳性；</w:t>
            </w:r>
          </w:p>
          <w:p>
            <w:pPr>
              <w:pStyle w:val="TableParagraph"/>
              <w:spacing w:before="37"/>
              <w:ind w:left="126"/>
              <w:rPr>
                <w:sz w:val="21"/>
              </w:rPr>
            </w:pPr>
            <w:r>
              <w:rPr>
                <w:sz w:val="21"/>
              </w:rPr>
              <w:t>（</w:t>
            </w:r>
            <w:r>
              <w:rPr>
                <w:rFonts w:ascii="Times New Roman" w:eastAsia="Times New Roman"/>
                <w:sz w:val="21"/>
              </w:rPr>
              <w:t>3</w:t>
            </w:r>
            <w:r>
              <w:rPr>
                <w:sz w:val="21"/>
              </w:rPr>
              <w:t>）持续性黄疸病史；</w:t>
            </w:r>
          </w:p>
          <w:p>
            <w:pPr>
              <w:pStyle w:val="TableParagraph"/>
              <w:spacing w:before="35"/>
              <w:ind w:left="126"/>
              <w:rPr>
                <w:sz w:val="21"/>
              </w:rPr>
            </w:pPr>
            <w:r>
              <w:rPr>
                <w:sz w:val="21"/>
              </w:rPr>
              <w:t>（</w:t>
            </w:r>
            <w:r>
              <w:rPr>
                <w:rFonts w:ascii="Times New Roman" w:eastAsia="Times New Roman"/>
                <w:sz w:val="21"/>
              </w:rPr>
              <w:t>4</w:t>
            </w:r>
            <w:r>
              <w:rPr>
                <w:sz w:val="21"/>
              </w:rPr>
              <w:t>）出现胆汁性肝硬化或门脉高压。</w:t>
            </w:r>
          </w:p>
          <w:p>
            <w:pPr>
              <w:pStyle w:val="TableParagraph"/>
              <w:spacing w:before="35"/>
              <w:ind w:left="126"/>
              <w:rPr>
                <w:sz w:val="21"/>
              </w:rPr>
            </w:pPr>
            <w:r>
              <w:rPr>
                <w:sz w:val="21"/>
              </w:rPr>
              <w:t>因肿瘤或胆管损伤继发的硬化性胆管炎不在保障范围内。</w:t>
            </w:r>
          </w:p>
        </w:tc>
      </w:tr>
      <w:tr>
        <w:trPr>
          <w:trHeight w:val="3883" w:hRule="atLeast"/>
        </w:trPr>
        <w:tc>
          <w:tcPr>
            <w:tcW w:w="949" w:type="dxa"/>
          </w:tcPr>
          <w:p>
            <w:pPr>
              <w:pStyle w:val="TableParagraph"/>
              <w:spacing w:before="142"/>
              <w:ind w:left="204"/>
              <w:rPr>
                <w:sz w:val="21"/>
              </w:rPr>
            </w:pPr>
            <w:r>
              <w:rPr>
                <w:sz w:val="21"/>
              </w:rPr>
              <w:t>（</w:t>
            </w:r>
            <w:r>
              <w:rPr>
                <w:rFonts w:ascii="Times New Roman" w:eastAsia="Times New Roman"/>
                <w:sz w:val="21"/>
              </w:rPr>
              <w:t>42</w:t>
            </w:r>
            <w:r>
              <w:rPr>
                <w:sz w:val="21"/>
              </w:rPr>
              <w:t>）</w:t>
            </w:r>
          </w:p>
        </w:tc>
        <w:tc>
          <w:tcPr>
            <w:tcW w:w="1500" w:type="dxa"/>
          </w:tcPr>
          <w:p>
            <w:pPr>
              <w:pStyle w:val="TableParagraph"/>
              <w:spacing w:before="142"/>
              <w:ind w:left="110"/>
              <w:rPr>
                <w:sz w:val="21"/>
              </w:rPr>
            </w:pPr>
            <w:r>
              <w:rPr>
                <w:sz w:val="21"/>
              </w:rPr>
              <w:t>强直性脊柱炎</w:t>
            </w:r>
          </w:p>
        </w:tc>
        <w:tc>
          <w:tcPr>
            <w:tcW w:w="7999" w:type="dxa"/>
          </w:tcPr>
          <w:p>
            <w:pPr>
              <w:pStyle w:val="TableParagraph"/>
              <w:spacing w:line="285" w:lineRule="auto" w:before="142"/>
              <w:ind w:left="126" w:right="301"/>
              <w:rPr>
                <w:sz w:val="21"/>
              </w:rPr>
            </w:pPr>
            <w:r>
              <w:rPr>
                <w:sz w:val="21"/>
              </w:rPr>
              <w:t>指以中轴关节慢性炎症为特征的慢性进展性风湿性疾病。理赔时必须满足下列所有条件：</w:t>
            </w:r>
          </w:p>
          <w:p>
            <w:pPr>
              <w:pStyle w:val="TableParagraph"/>
              <w:spacing w:before="11"/>
              <w:ind w:left="126"/>
              <w:rPr>
                <w:sz w:val="21"/>
              </w:rPr>
            </w:pPr>
            <w:r>
              <w:rPr>
                <w:sz w:val="21"/>
              </w:rPr>
              <w:t>（</w:t>
            </w:r>
            <w:r>
              <w:rPr>
                <w:rFonts w:ascii="Times New Roman" w:eastAsia="Times New Roman"/>
                <w:sz w:val="21"/>
              </w:rPr>
              <w:t>1</w:t>
            </w:r>
            <w:r>
              <w:rPr>
                <w:sz w:val="21"/>
              </w:rPr>
              <w:t>）放射学检查显示骶髂关节融合，脊椎竹节样改变；</w:t>
            </w:r>
          </w:p>
          <w:p>
            <w:pPr>
              <w:pStyle w:val="TableParagraph"/>
              <w:spacing w:before="35"/>
              <w:ind w:left="126"/>
              <w:rPr>
                <w:sz w:val="21"/>
              </w:rPr>
            </w:pPr>
            <w:r>
              <w:rPr>
                <w:sz w:val="21"/>
              </w:rPr>
              <w:t>（</w:t>
            </w:r>
            <w:r>
              <w:rPr>
                <w:rFonts w:ascii="Times New Roman" w:eastAsia="Times New Roman"/>
                <w:sz w:val="21"/>
              </w:rPr>
              <w:t>2</w:t>
            </w:r>
            <w:r>
              <w:rPr>
                <w:sz w:val="21"/>
              </w:rPr>
              <w:t>）出现以下两项或两项以上：</w:t>
            </w:r>
          </w:p>
          <w:p>
            <w:pPr>
              <w:pStyle w:val="TableParagraph"/>
              <w:spacing w:line="285" w:lineRule="auto" w:before="35"/>
              <w:ind w:left="760" w:right="299" w:hanging="315"/>
              <w:rPr>
                <w:sz w:val="21"/>
              </w:rPr>
            </w:pPr>
            <w:r>
              <w:rPr>
                <w:sz w:val="21"/>
              </w:rPr>
              <w:t>① 心血管系统出现以下一项或一项以上的并发症：下行性主动脉瓣膜下纤维化、主动脉瓣关闭不全、二尖瓣脱垂、二尖瓣关闭不全、心脏增大、心电传导障碍；</w:t>
            </w:r>
          </w:p>
          <w:p>
            <w:pPr>
              <w:pStyle w:val="TableParagraph"/>
              <w:spacing w:line="285" w:lineRule="auto" w:before="11"/>
              <w:ind w:left="760" w:right="301" w:hanging="315"/>
              <w:rPr>
                <w:sz w:val="21"/>
              </w:rPr>
            </w:pPr>
            <w:r>
              <w:rPr>
                <w:sz w:val="21"/>
              </w:rPr>
              <w:t>② 肺部出现以下一项或一项以上的并发症：肺上叶纤维化、肺大疱、斑片状或索条状阴影、肺空洞形成；</w:t>
            </w:r>
          </w:p>
          <w:p>
            <w:pPr>
              <w:pStyle w:val="TableParagraph"/>
              <w:spacing w:before="11"/>
              <w:ind w:left="446"/>
              <w:rPr>
                <w:sz w:val="21"/>
              </w:rPr>
            </w:pPr>
            <w:r>
              <w:rPr>
                <w:sz w:val="21"/>
              </w:rPr>
              <w:t>③ 肾淀粉性病变。</w:t>
            </w:r>
          </w:p>
          <w:p>
            <w:pPr>
              <w:pStyle w:val="TableParagraph"/>
              <w:spacing w:before="54"/>
              <w:ind w:left="126"/>
              <w:rPr>
                <w:sz w:val="21"/>
              </w:rPr>
            </w:pPr>
            <w:r>
              <w:rPr>
                <w:sz w:val="21"/>
              </w:rPr>
              <w:t>（</w:t>
            </w:r>
            <w:r>
              <w:rPr>
                <w:rFonts w:ascii="Times New Roman" w:eastAsia="Times New Roman"/>
                <w:sz w:val="21"/>
              </w:rPr>
              <w:t>3</w:t>
            </w:r>
            <w:r>
              <w:rPr>
                <w:sz w:val="21"/>
              </w:rPr>
              <w:t>）人淋巴细胞组织相容性抗原（</w:t>
            </w:r>
            <w:r>
              <w:rPr>
                <w:rFonts w:ascii="Times New Roman" w:eastAsia="Times New Roman"/>
                <w:sz w:val="21"/>
              </w:rPr>
              <w:t>HLA-B27</w:t>
            </w:r>
            <w:r>
              <w:rPr>
                <w:sz w:val="21"/>
              </w:rPr>
              <w:t>）阳性。</w:t>
            </w:r>
          </w:p>
        </w:tc>
      </w:tr>
      <w:tr>
        <w:trPr>
          <w:trHeight w:val="2250" w:hRule="atLeast"/>
        </w:trPr>
        <w:tc>
          <w:tcPr>
            <w:tcW w:w="949" w:type="dxa"/>
          </w:tcPr>
          <w:p>
            <w:pPr>
              <w:pStyle w:val="TableParagraph"/>
              <w:spacing w:before="174"/>
              <w:ind w:left="200"/>
              <w:rPr>
                <w:rFonts w:ascii="Times New Roman"/>
                <w:b/>
                <w:sz w:val="21"/>
              </w:rPr>
            </w:pPr>
            <w:r>
              <w:rPr>
                <w:rFonts w:ascii="Times New Roman"/>
                <w:b/>
                <w:sz w:val="21"/>
              </w:rPr>
              <w:t>7.3</w:t>
            </w:r>
          </w:p>
        </w:tc>
        <w:tc>
          <w:tcPr>
            <w:tcW w:w="1500" w:type="dxa"/>
          </w:tcPr>
          <w:p>
            <w:pPr>
              <w:pStyle w:val="TableParagraph"/>
              <w:spacing w:before="79"/>
              <w:ind w:left="110"/>
              <w:rPr>
                <w:rFonts w:ascii="微软雅黑" w:eastAsia="微软雅黑" w:hint="eastAsia"/>
                <w:b/>
                <w:sz w:val="21"/>
              </w:rPr>
            </w:pPr>
            <w:r>
              <w:rPr>
                <w:rFonts w:ascii="微软雅黑" w:eastAsia="微软雅黑" w:hint="eastAsia"/>
                <w:b/>
                <w:sz w:val="21"/>
              </w:rPr>
              <w:t>专科医生</w:t>
            </w:r>
          </w:p>
        </w:tc>
        <w:tc>
          <w:tcPr>
            <w:tcW w:w="7999" w:type="dxa"/>
          </w:tcPr>
          <w:p>
            <w:pPr>
              <w:pStyle w:val="TableParagraph"/>
              <w:spacing w:before="142"/>
              <w:ind w:left="126"/>
              <w:rPr>
                <w:sz w:val="21"/>
              </w:rPr>
            </w:pPr>
            <w:r>
              <w:rPr>
                <w:sz w:val="21"/>
              </w:rPr>
              <w:t>专科医生应当同时满足以下四项资格条件：</w:t>
            </w:r>
          </w:p>
          <w:p>
            <w:pPr>
              <w:pStyle w:val="TableParagraph"/>
              <w:spacing w:before="54"/>
              <w:ind w:left="126"/>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35"/>
              <w:ind w:left="127"/>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68" w:lineRule="auto" w:before="35"/>
              <w:ind w:left="127" w:right="620"/>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6"/>
              <w:ind w:left="127"/>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691" w:hRule="atLeast"/>
        </w:trPr>
        <w:tc>
          <w:tcPr>
            <w:tcW w:w="949" w:type="dxa"/>
          </w:tcPr>
          <w:p>
            <w:pPr>
              <w:pStyle w:val="TableParagraph"/>
              <w:spacing w:before="175"/>
              <w:ind w:left="200"/>
              <w:rPr>
                <w:rFonts w:ascii="Times New Roman"/>
                <w:b/>
                <w:sz w:val="21"/>
              </w:rPr>
            </w:pPr>
            <w:r>
              <w:rPr>
                <w:rFonts w:ascii="Times New Roman"/>
                <w:b/>
                <w:sz w:val="21"/>
              </w:rPr>
              <w:t>7.4</w:t>
            </w:r>
          </w:p>
        </w:tc>
        <w:tc>
          <w:tcPr>
            <w:tcW w:w="1500" w:type="dxa"/>
          </w:tcPr>
          <w:p>
            <w:pPr>
              <w:pStyle w:val="TableParagraph"/>
              <w:spacing w:before="80"/>
              <w:ind w:left="110"/>
              <w:rPr>
                <w:rFonts w:ascii="微软雅黑" w:eastAsia="微软雅黑" w:hint="eastAsia"/>
                <w:b/>
                <w:sz w:val="21"/>
              </w:rPr>
            </w:pPr>
            <w:r>
              <w:rPr>
                <w:rFonts w:ascii="微软雅黑" w:eastAsia="微软雅黑" w:hint="eastAsia"/>
                <w:b/>
                <w:sz w:val="21"/>
              </w:rPr>
              <w:t>毒品</w:t>
            </w:r>
          </w:p>
        </w:tc>
        <w:tc>
          <w:tcPr>
            <w:tcW w:w="7999" w:type="dxa"/>
          </w:tcPr>
          <w:p>
            <w:pPr>
              <w:pStyle w:val="TableParagraph"/>
              <w:spacing w:line="274" w:lineRule="exact" w:before="169"/>
              <w:ind w:left="126" w:right="301"/>
              <w:rPr>
                <w:sz w:val="21"/>
              </w:rPr>
            </w:pPr>
            <w:r>
              <w:rPr>
                <w:sz w:val="21"/>
              </w:rPr>
              <w:t>指中华人民共和国刑法规定的鸦片、海洛因、甲基苯丙胺（冰毒）、吗啡、大麻、可卡因以及国家规定管制的其他能够使人形成瘾癖的麻醉药品和精神药品，但不包</w:t>
            </w:r>
          </w:p>
        </w:tc>
      </w:tr>
    </w:tbl>
    <w:p>
      <w:pPr>
        <w:spacing w:after="0" w:line="274" w:lineRule="exact"/>
        <w:rPr>
          <w:sz w:val="21"/>
        </w:rPr>
        <w:sectPr>
          <w:pgSz w:w="11910" w:h="16840"/>
          <w:pgMar w:header="857" w:footer="995" w:top="1040" w:bottom="1180" w:left="640" w:right="60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636"/>
        <w:gridCol w:w="8019"/>
      </w:tblGrid>
      <w:tr>
        <w:trPr>
          <w:trHeight w:val="759" w:hRule="atLeast"/>
        </w:trPr>
        <w:tc>
          <w:tcPr>
            <w:tcW w:w="814" w:type="dxa"/>
            <w:tcBorders>
              <w:top w:val="single" w:sz="6" w:space="0" w:color="000000"/>
            </w:tcBorders>
          </w:tcPr>
          <w:p>
            <w:pPr>
              <w:pStyle w:val="TableParagraph"/>
              <w:rPr>
                <w:rFonts w:ascii="Times New Roman"/>
                <w:sz w:val="20"/>
              </w:rPr>
            </w:pPr>
          </w:p>
        </w:tc>
        <w:tc>
          <w:tcPr>
            <w:tcW w:w="1636" w:type="dxa"/>
            <w:tcBorders>
              <w:top w:val="single" w:sz="6" w:space="0" w:color="000000"/>
            </w:tcBorders>
          </w:tcPr>
          <w:p>
            <w:pPr>
              <w:pStyle w:val="TableParagraph"/>
              <w:rPr>
                <w:rFonts w:ascii="Times New Roman"/>
                <w:sz w:val="20"/>
              </w:rPr>
            </w:pPr>
          </w:p>
        </w:tc>
        <w:tc>
          <w:tcPr>
            <w:tcW w:w="8019" w:type="dxa"/>
            <w:tcBorders>
              <w:top w:val="single" w:sz="6" w:space="0" w:color="000000"/>
            </w:tcBorders>
          </w:tcPr>
          <w:p>
            <w:pPr>
              <w:pStyle w:val="TableParagraph"/>
              <w:spacing w:before="11"/>
              <w:rPr>
                <w:rFonts w:ascii="Times New Roman"/>
                <w:sz w:val="29"/>
              </w:rPr>
            </w:pPr>
          </w:p>
          <w:p>
            <w:pPr>
              <w:pStyle w:val="TableParagraph"/>
              <w:ind w:left="126"/>
              <w:rPr>
                <w:sz w:val="21"/>
              </w:rPr>
            </w:pPr>
            <w:r>
              <w:rPr>
                <w:sz w:val="21"/>
              </w:rPr>
              <w:t>括由医生开具并遵医嘱使用的用于治疗疾病但含有毒品成分的处方药品。</w:t>
            </w:r>
          </w:p>
        </w:tc>
      </w:tr>
      <w:tr>
        <w:trPr>
          <w:trHeight w:val="1058" w:hRule="atLeast"/>
        </w:trPr>
        <w:tc>
          <w:tcPr>
            <w:tcW w:w="814" w:type="dxa"/>
          </w:tcPr>
          <w:p>
            <w:pPr>
              <w:pStyle w:val="TableParagraph"/>
              <w:spacing w:before="131"/>
              <w:ind w:left="200"/>
              <w:rPr>
                <w:rFonts w:ascii="Times New Roman"/>
                <w:b/>
                <w:sz w:val="21"/>
              </w:rPr>
            </w:pPr>
            <w:r>
              <w:rPr>
                <w:rFonts w:ascii="Times New Roman"/>
                <w:b/>
                <w:sz w:val="21"/>
              </w:rPr>
              <w:t>7.5</w:t>
            </w:r>
          </w:p>
        </w:tc>
        <w:tc>
          <w:tcPr>
            <w:tcW w:w="1636" w:type="dxa"/>
          </w:tcPr>
          <w:p>
            <w:pPr>
              <w:pStyle w:val="TableParagraph"/>
              <w:spacing w:before="36"/>
              <w:ind w:left="245"/>
              <w:rPr>
                <w:rFonts w:ascii="微软雅黑" w:eastAsia="微软雅黑" w:hint="eastAsia"/>
                <w:b/>
                <w:sz w:val="21"/>
              </w:rPr>
            </w:pPr>
            <w:r>
              <w:rPr>
                <w:rFonts w:ascii="微软雅黑" w:eastAsia="微软雅黑" w:hint="eastAsia"/>
                <w:b/>
                <w:sz w:val="21"/>
              </w:rPr>
              <w:t>酒后驾驶</w:t>
            </w:r>
          </w:p>
        </w:tc>
        <w:tc>
          <w:tcPr>
            <w:tcW w:w="8019" w:type="dxa"/>
          </w:tcPr>
          <w:p>
            <w:pPr>
              <w:pStyle w:val="TableParagraph"/>
              <w:spacing w:line="237" w:lineRule="auto" w:before="102"/>
              <w:ind w:left="126" w:right="196"/>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3341" w:hRule="atLeast"/>
        </w:trPr>
        <w:tc>
          <w:tcPr>
            <w:tcW w:w="814" w:type="dxa"/>
          </w:tcPr>
          <w:p>
            <w:pPr>
              <w:pStyle w:val="TableParagraph"/>
              <w:spacing w:before="131"/>
              <w:ind w:left="200"/>
              <w:rPr>
                <w:rFonts w:ascii="Times New Roman"/>
                <w:b/>
                <w:sz w:val="21"/>
              </w:rPr>
            </w:pPr>
            <w:r>
              <w:rPr>
                <w:rFonts w:ascii="Times New Roman"/>
                <w:b/>
                <w:sz w:val="21"/>
              </w:rPr>
              <w:t>7.6</w:t>
            </w:r>
          </w:p>
        </w:tc>
        <w:tc>
          <w:tcPr>
            <w:tcW w:w="1636" w:type="dxa"/>
          </w:tcPr>
          <w:p>
            <w:pPr>
              <w:pStyle w:val="TableParagraph"/>
              <w:spacing w:line="216" w:lineRule="auto" w:before="73"/>
              <w:ind w:left="245" w:right="332"/>
              <w:rPr>
                <w:rFonts w:ascii="微软雅黑" w:eastAsia="微软雅黑" w:hint="eastAsia"/>
                <w:b/>
                <w:sz w:val="21"/>
              </w:rPr>
            </w:pPr>
            <w:r>
              <w:rPr>
                <w:rFonts w:ascii="微软雅黑" w:eastAsia="微软雅黑" w:hint="eastAsia"/>
                <w:b/>
                <w:sz w:val="21"/>
              </w:rPr>
              <w:t>无合法有效驾驶证驾驶</w:t>
            </w:r>
          </w:p>
        </w:tc>
        <w:tc>
          <w:tcPr>
            <w:tcW w:w="8019" w:type="dxa"/>
          </w:tcPr>
          <w:p>
            <w:pPr>
              <w:pStyle w:val="TableParagraph"/>
              <w:spacing w:line="273" w:lineRule="exact" w:before="99"/>
              <w:ind w:left="126"/>
              <w:rPr>
                <w:sz w:val="21"/>
              </w:rPr>
            </w:pPr>
            <w:r>
              <w:rPr>
                <w:sz w:val="21"/>
              </w:rPr>
              <w:t>指下列情形之一：</w:t>
            </w:r>
          </w:p>
          <w:p>
            <w:pPr>
              <w:pStyle w:val="TableParagraph"/>
              <w:numPr>
                <w:ilvl w:val="0"/>
                <w:numId w:val="12"/>
              </w:numPr>
              <w:tabs>
                <w:tab w:pos="755" w:val="left" w:leader="none"/>
              </w:tabs>
              <w:spacing w:line="280" w:lineRule="exact" w:before="0" w:after="0"/>
              <w:ind w:left="757" w:right="0" w:hanging="631"/>
              <w:jc w:val="left"/>
              <w:rPr>
                <w:sz w:val="21"/>
              </w:rPr>
            </w:pPr>
            <w:r>
              <w:rPr>
                <w:spacing w:val="-3"/>
                <w:sz w:val="21"/>
              </w:rPr>
              <w:t>没有驾驶证驾驶；</w:t>
            </w:r>
          </w:p>
          <w:p>
            <w:pPr>
              <w:pStyle w:val="TableParagraph"/>
              <w:numPr>
                <w:ilvl w:val="0"/>
                <w:numId w:val="12"/>
              </w:numPr>
              <w:tabs>
                <w:tab w:pos="756" w:val="left" w:leader="none"/>
              </w:tabs>
              <w:spacing w:line="272" w:lineRule="exact" w:before="0" w:after="0"/>
              <w:ind w:left="755" w:right="0" w:hanging="629"/>
              <w:jc w:val="left"/>
              <w:rPr>
                <w:sz w:val="21"/>
              </w:rPr>
            </w:pPr>
            <w:r>
              <w:rPr>
                <w:spacing w:val="-3"/>
                <w:sz w:val="21"/>
              </w:rPr>
              <w:t>驾驶与驾驶证准驾车型不相符合的车辆；</w:t>
            </w:r>
          </w:p>
          <w:p>
            <w:pPr>
              <w:pStyle w:val="TableParagraph"/>
              <w:numPr>
                <w:ilvl w:val="0"/>
                <w:numId w:val="12"/>
              </w:numPr>
              <w:tabs>
                <w:tab w:pos="756" w:val="left" w:leader="none"/>
              </w:tabs>
              <w:spacing w:line="272" w:lineRule="exact" w:before="0" w:after="0"/>
              <w:ind w:left="755" w:right="0" w:hanging="629"/>
              <w:jc w:val="left"/>
              <w:rPr>
                <w:sz w:val="21"/>
              </w:rPr>
            </w:pPr>
            <w:r>
              <w:rPr>
                <w:spacing w:val="-3"/>
                <w:sz w:val="21"/>
              </w:rPr>
              <w:t>驾驶员持审验不合格的驾驶证驾驶；</w:t>
            </w:r>
          </w:p>
          <w:p>
            <w:pPr>
              <w:pStyle w:val="TableParagraph"/>
              <w:numPr>
                <w:ilvl w:val="0"/>
                <w:numId w:val="12"/>
              </w:numPr>
              <w:tabs>
                <w:tab w:pos="756" w:val="left" w:leader="none"/>
              </w:tabs>
              <w:spacing w:line="272" w:lineRule="exact" w:before="0" w:after="0"/>
              <w:ind w:left="755" w:right="0" w:hanging="629"/>
              <w:jc w:val="left"/>
              <w:rPr>
                <w:sz w:val="21"/>
              </w:rPr>
            </w:pPr>
            <w:r>
              <w:rPr>
                <w:spacing w:val="-3"/>
                <w:sz w:val="21"/>
              </w:rPr>
              <w:t>未经公安交通管理部门同意，持未审验的驾驶证驾驶；</w:t>
            </w:r>
          </w:p>
          <w:p>
            <w:pPr>
              <w:pStyle w:val="TableParagraph"/>
              <w:numPr>
                <w:ilvl w:val="0"/>
                <w:numId w:val="12"/>
              </w:numPr>
              <w:tabs>
                <w:tab w:pos="756" w:val="left" w:leader="none"/>
              </w:tabs>
              <w:spacing w:line="225" w:lineRule="auto" w:before="7" w:after="0"/>
              <w:ind w:left="757" w:right="324" w:hanging="631"/>
              <w:jc w:val="left"/>
              <w:rPr>
                <w:sz w:val="21"/>
              </w:rPr>
            </w:pPr>
            <w:r>
              <w:rPr>
                <w:spacing w:val="-3"/>
                <w:sz w:val="21"/>
              </w:rPr>
              <w:t>持学习驾驶证学习驾车时，无教练员随车指导，或不按指定时间、路线学习驾车；</w:t>
            </w:r>
          </w:p>
          <w:p>
            <w:pPr>
              <w:pStyle w:val="TableParagraph"/>
              <w:numPr>
                <w:ilvl w:val="0"/>
                <w:numId w:val="12"/>
              </w:numPr>
              <w:tabs>
                <w:tab w:pos="756" w:val="left" w:leader="none"/>
              </w:tabs>
              <w:spacing w:line="278" w:lineRule="exact" w:before="0" w:after="0"/>
              <w:ind w:left="755" w:right="0" w:hanging="629"/>
              <w:jc w:val="left"/>
              <w:rPr>
                <w:sz w:val="21"/>
              </w:rPr>
            </w:pPr>
            <w:r>
              <w:rPr>
                <w:spacing w:val="-3"/>
                <w:sz w:val="21"/>
              </w:rPr>
              <w:t>持学习驾驶证在高速公路上驾车；</w:t>
            </w:r>
          </w:p>
          <w:p>
            <w:pPr>
              <w:pStyle w:val="TableParagraph"/>
              <w:numPr>
                <w:ilvl w:val="0"/>
                <w:numId w:val="12"/>
              </w:numPr>
              <w:tabs>
                <w:tab w:pos="756" w:val="left" w:leader="none"/>
              </w:tabs>
              <w:spacing w:line="272" w:lineRule="exact" w:before="0" w:after="0"/>
              <w:ind w:left="755" w:right="0" w:hanging="629"/>
              <w:jc w:val="left"/>
              <w:rPr>
                <w:sz w:val="21"/>
              </w:rPr>
            </w:pPr>
            <w:r>
              <w:rPr>
                <w:spacing w:val="-3"/>
                <w:sz w:val="21"/>
              </w:rPr>
              <w:t>公安交通管理部门规定的其它无有效驾驶证驾驶的情况。</w:t>
            </w:r>
          </w:p>
          <w:p>
            <w:pPr>
              <w:pStyle w:val="TableParagraph"/>
              <w:spacing w:line="285" w:lineRule="auto"/>
              <w:ind w:left="127" w:right="533"/>
              <w:rPr>
                <w:sz w:val="21"/>
              </w:rPr>
            </w:pPr>
            <w:r>
              <w:rPr>
                <w:sz w:val="21"/>
              </w:rPr>
              <w:t>事故发生时法律法规的相关规定与上述释义不符的，以事故发生时的法律法规为准。</w:t>
            </w:r>
          </w:p>
        </w:tc>
      </w:tr>
      <w:tr>
        <w:trPr>
          <w:trHeight w:val="1118" w:hRule="atLeast"/>
        </w:trPr>
        <w:tc>
          <w:tcPr>
            <w:tcW w:w="814" w:type="dxa"/>
          </w:tcPr>
          <w:p>
            <w:pPr>
              <w:pStyle w:val="TableParagraph"/>
              <w:spacing w:before="183"/>
              <w:ind w:left="200"/>
              <w:rPr>
                <w:rFonts w:ascii="Times New Roman"/>
                <w:b/>
                <w:sz w:val="21"/>
              </w:rPr>
            </w:pPr>
            <w:r>
              <w:rPr>
                <w:rFonts w:ascii="Times New Roman"/>
                <w:b/>
                <w:sz w:val="21"/>
              </w:rPr>
              <w:t>7.7</w:t>
            </w:r>
          </w:p>
        </w:tc>
        <w:tc>
          <w:tcPr>
            <w:tcW w:w="1636" w:type="dxa"/>
          </w:tcPr>
          <w:p>
            <w:pPr>
              <w:pStyle w:val="TableParagraph"/>
              <w:spacing w:before="88"/>
              <w:ind w:left="245"/>
              <w:rPr>
                <w:rFonts w:ascii="微软雅黑" w:eastAsia="微软雅黑" w:hint="eastAsia"/>
                <w:b/>
                <w:sz w:val="21"/>
              </w:rPr>
            </w:pPr>
            <w:r>
              <w:rPr>
                <w:rFonts w:ascii="微软雅黑" w:eastAsia="微软雅黑" w:hint="eastAsia"/>
                <w:b/>
                <w:sz w:val="21"/>
              </w:rPr>
              <w:t>无有效行驶证</w:t>
            </w:r>
          </w:p>
        </w:tc>
        <w:tc>
          <w:tcPr>
            <w:tcW w:w="8019" w:type="dxa"/>
          </w:tcPr>
          <w:p>
            <w:pPr>
              <w:pStyle w:val="TableParagraph"/>
              <w:spacing w:line="274" w:lineRule="exact" w:before="151"/>
              <w:ind w:left="126"/>
              <w:rPr>
                <w:sz w:val="21"/>
              </w:rPr>
            </w:pPr>
            <w:r>
              <w:rPr>
                <w:sz w:val="21"/>
              </w:rPr>
              <w:t>指下列情形之一：</w:t>
            </w:r>
          </w:p>
          <w:p>
            <w:pPr>
              <w:pStyle w:val="TableParagraph"/>
              <w:spacing w:line="280" w:lineRule="exact"/>
              <w:ind w:left="126"/>
              <w:rPr>
                <w:sz w:val="21"/>
              </w:rPr>
            </w:pPr>
            <w:r>
              <w:rPr>
                <w:sz w:val="21"/>
              </w:rPr>
              <w:t>（</w:t>
            </w:r>
            <w:r>
              <w:rPr>
                <w:rFonts w:ascii="Times New Roman" w:eastAsia="Times New Roman"/>
                <w:sz w:val="21"/>
              </w:rPr>
              <w:t>1</w:t>
            </w:r>
            <w:r>
              <w:rPr>
                <w:sz w:val="21"/>
              </w:rPr>
              <w:t>）机动车被依法注销登记的；</w:t>
            </w:r>
          </w:p>
          <w:p>
            <w:pPr>
              <w:pStyle w:val="TableParagraph"/>
              <w:spacing w:line="281" w:lineRule="exact"/>
              <w:ind w:left="126"/>
              <w:rPr>
                <w:sz w:val="21"/>
              </w:rPr>
            </w:pPr>
            <w:r>
              <w:rPr>
                <w:sz w:val="21"/>
              </w:rPr>
              <w:t>（</w:t>
            </w:r>
            <w:r>
              <w:rPr>
                <w:rFonts w:ascii="Times New Roman" w:eastAsia="Times New Roman"/>
                <w:sz w:val="21"/>
              </w:rPr>
              <w:t>2</w:t>
            </w:r>
            <w:r>
              <w:rPr>
                <w:sz w:val="21"/>
              </w:rPr>
              <w:t>）未依法按时进行或通过机动车安全技术检验。</w:t>
            </w:r>
          </w:p>
        </w:tc>
      </w:tr>
      <w:tr>
        <w:trPr>
          <w:trHeight w:val="1731" w:hRule="atLeast"/>
        </w:trPr>
        <w:tc>
          <w:tcPr>
            <w:tcW w:w="814" w:type="dxa"/>
          </w:tcPr>
          <w:p>
            <w:pPr>
              <w:pStyle w:val="TableParagraph"/>
              <w:spacing w:before="123"/>
              <w:ind w:left="200"/>
              <w:rPr>
                <w:rFonts w:ascii="Times New Roman"/>
                <w:b/>
                <w:sz w:val="21"/>
              </w:rPr>
            </w:pPr>
            <w:r>
              <w:rPr>
                <w:rFonts w:ascii="Times New Roman"/>
                <w:b/>
                <w:sz w:val="21"/>
              </w:rPr>
              <w:t>7.8</w:t>
            </w:r>
          </w:p>
        </w:tc>
        <w:tc>
          <w:tcPr>
            <w:tcW w:w="1636" w:type="dxa"/>
          </w:tcPr>
          <w:p>
            <w:pPr>
              <w:pStyle w:val="TableParagraph"/>
              <w:spacing w:line="216" w:lineRule="auto" w:before="65"/>
              <w:ind w:left="245" w:right="121"/>
              <w:rPr>
                <w:rFonts w:ascii="微软雅黑" w:eastAsia="微软雅黑" w:hint="eastAsia"/>
                <w:b/>
                <w:sz w:val="21"/>
              </w:rPr>
            </w:pPr>
            <w:r>
              <w:rPr>
                <w:rFonts w:ascii="微软雅黑" w:eastAsia="微软雅黑" w:hint="eastAsia"/>
                <w:b/>
                <w:sz w:val="21"/>
              </w:rPr>
              <w:t>感染艾滋病病毒或患艾滋病</w:t>
            </w:r>
          </w:p>
        </w:tc>
        <w:tc>
          <w:tcPr>
            <w:tcW w:w="8019" w:type="dxa"/>
          </w:tcPr>
          <w:p>
            <w:pPr>
              <w:pStyle w:val="TableParagraph"/>
              <w:spacing w:line="225" w:lineRule="auto" w:before="108"/>
              <w:ind w:left="126" w:right="318"/>
              <w:rPr>
                <w:sz w:val="21"/>
              </w:rPr>
            </w:pPr>
            <w:r>
              <w:rPr>
                <w:sz w:val="21"/>
              </w:rPr>
              <w:t>艾滋病病毒指人类免疫缺陷病毒，英文缩写为</w:t>
            </w:r>
            <w:r>
              <w:rPr>
                <w:rFonts w:ascii="Times New Roman" w:eastAsia="Times New Roman"/>
                <w:sz w:val="21"/>
              </w:rPr>
              <w:t>HIV</w:t>
            </w:r>
            <w:r>
              <w:rPr>
                <w:sz w:val="21"/>
              </w:rPr>
              <w:t>。艾滋病指人类免疫缺陷病毒引起的获得性免疫缺陷综合征，英文缩写为</w:t>
            </w:r>
            <w:r>
              <w:rPr>
                <w:rFonts w:ascii="Times New Roman" w:eastAsia="Times New Roman"/>
                <w:sz w:val="21"/>
              </w:rPr>
              <w:t>AIDS</w:t>
            </w:r>
            <w:r>
              <w:rPr>
                <w:sz w:val="21"/>
              </w:rPr>
              <w:t>。</w:t>
            </w:r>
          </w:p>
          <w:p>
            <w:pPr>
              <w:pStyle w:val="TableParagraph"/>
              <w:spacing w:line="255" w:lineRule="exact"/>
              <w:ind w:left="125"/>
              <w:rPr>
                <w:sz w:val="21"/>
              </w:rPr>
            </w:pPr>
            <w:r>
              <w:rPr>
                <w:sz w:val="21"/>
              </w:rPr>
              <w:t>在人体血液或其它样本中检测到艾滋病病毒或其抗体呈阳性，没有出现临床症状或</w:t>
            </w:r>
          </w:p>
          <w:p>
            <w:pPr>
              <w:pStyle w:val="TableParagraph"/>
              <w:spacing w:line="288" w:lineRule="auto" w:before="52"/>
              <w:ind w:left="125" w:right="533"/>
              <w:rPr>
                <w:sz w:val="21"/>
              </w:rPr>
            </w:pPr>
            <w:r>
              <w:rPr>
                <w:sz w:val="21"/>
              </w:rPr>
              <w:t>体征的，为感染艾滋病病毒；如果同时出现了明显临床症状或体征的，为患艾滋病。</w:t>
            </w:r>
          </w:p>
        </w:tc>
      </w:tr>
      <w:tr>
        <w:trPr>
          <w:trHeight w:val="903" w:hRule="atLeast"/>
        </w:trPr>
        <w:tc>
          <w:tcPr>
            <w:tcW w:w="814" w:type="dxa"/>
          </w:tcPr>
          <w:p>
            <w:pPr>
              <w:pStyle w:val="TableParagraph"/>
              <w:spacing w:before="158"/>
              <w:ind w:left="200"/>
              <w:rPr>
                <w:rFonts w:ascii="Times New Roman"/>
                <w:b/>
                <w:sz w:val="21"/>
              </w:rPr>
            </w:pPr>
            <w:r>
              <w:rPr>
                <w:rFonts w:ascii="Times New Roman"/>
                <w:b/>
                <w:sz w:val="21"/>
              </w:rPr>
              <w:t>7.9</w:t>
            </w:r>
          </w:p>
        </w:tc>
        <w:tc>
          <w:tcPr>
            <w:tcW w:w="1636" w:type="dxa"/>
          </w:tcPr>
          <w:p>
            <w:pPr>
              <w:pStyle w:val="TableParagraph"/>
              <w:spacing w:before="63"/>
              <w:ind w:left="245"/>
              <w:rPr>
                <w:rFonts w:ascii="微软雅黑" w:eastAsia="微软雅黑" w:hint="eastAsia"/>
                <w:b/>
                <w:sz w:val="21"/>
              </w:rPr>
            </w:pPr>
            <w:r>
              <w:rPr>
                <w:rFonts w:ascii="微软雅黑" w:eastAsia="微软雅黑" w:hint="eastAsia"/>
                <w:b/>
                <w:sz w:val="21"/>
              </w:rPr>
              <w:t>遗传性疾病</w:t>
            </w:r>
          </w:p>
        </w:tc>
        <w:tc>
          <w:tcPr>
            <w:tcW w:w="8019" w:type="dxa"/>
          </w:tcPr>
          <w:p>
            <w:pPr>
              <w:pStyle w:val="TableParagraph"/>
              <w:spacing w:before="125"/>
              <w:ind w:left="126" w:right="322"/>
              <w:rPr>
                <w:sz w:val="21"/>
              </w:rPr>
            </w:pPr>
            <w:r>
              <w:rPr>
                <w:sz w:val="21"/>
              </w:rPr>
              <w:t>指生殖细胞或受精卵的遗传物质（染色体和基因）发生突变或畸变所引起的疾病， 通常具有由亲代传至后代的垂直传递的特征。</w:t>
            </w:r>
          </w:p>
        </w:tc>
      </w:tr>
      <w:tr>
        <w:trPr>
          <w:trHeight w:val="1148" w:hRule="atLeast"/>
        </w:trPr>
        <w:tc>
          <w:tcPr>
            <w:tcW w:w="814" w:type="dxa"/>
          </w:tcPr>
          <w:p>
            <w:pPr>
              <w:pStyle w:val="TableParagraph"/>
              <w:spacing w:before="3"/>
              <w:rPr>
                <w:rFonts w:ascii="Times New Roman"/>
                <w:sz w:val="19"/>
              </w:rPr>
            </w:pPr>
          </w:p>
          <w:p>
            <w:pPr>
              <w:pStyle w:val="TableParagraph"/>
              <w:ind w:left="200"/>
              <w:rPr>
                <w:rFonts w:ascii="Times New Roman"/>
                <w:b/>
                <w:sz w:val="21"/>
              </w:rPr>
            </w:pPr>
            <w:r>
              <w:rPr>
                <w:rFonts w:ascii="Times New Roman"/>
                <w:b/>
                <w:sz w:val="21"/>
              </w:rPr>
              <w:t>7.10</w:t>
            </w:r>
          </w:p>
        </w:tc>
        <w:tc>
          <w:tcPr>
            <w:tcW w:w="1636" w:type="dxa"/>
          </w:tcPr>
          <w:p>
            <w:pPr>
              <w:pStyle w:val="TableParagraph"/>
              <w:spacing w:before="10"/>
              <w:rPr>
                <w:rFonts w:ascii="Times New Roman"/>
                <w:sz w:val="18"/>
              </w:rPr>
            </w:pPr>
          </w:p>
          <w:p>
            <w:pPr>
              <w:pStyle w:val="TableParagraph"/>
              <w:spacing w:line="180" w:lineRule="auto"/>
              <w:ind w:left="245" w:right="121"/>
              <w:jc w:val="both"/>
              <w:rPr>
                <w:rFonts w:ascii="微软雅黑" w:eastAsia="微软雅黑" w:hint="eastAsia"/>
                <w:b/>
                <w:sz w:val="21"/>
              </w:rPr>
            </w:pPr>
            <w:r>
              <w:rPr>
                <w:rFonts w:ascii="微软雅黑" w:eastAsia="微软雅黑" w:hint="eastAsia"/>
                <w:b/>
                <w:sz w:val="21"/>
              </w:rPr>
              <w:t>先天性畸形、变形或染色体异常</w:t>
            </w:r>
          </w:p>
        </w:tc>
        <w:tc>
          <w:tcPr>
            <w:tcW w:w="8019" w:type="dxa"/>
          </w:tcPr>
          <w:p>
            <w:pPr>
              <w:pStyle w:val="TableParagraph"/>
              <w:spacing w:line="237" w:lineRule="auto" w:before="192"/>
              <w:ind w:left="126" w:right="314"/>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337" w:hRule="atLeast"/>
        </w:trPr>
        <w:tc>
          <w:tcPr>
            <w:tcW w:w="814" w:type="dxa"/>
          </w:tcPr>
          <w:p>
            <w:pPr>
              <w:pStyle w:val="TableParagraph"/>
              <w:spacing w:before="131"/>
              <w:ind w:left="200"/>
              <w:rPr>
                <w:rFonts w:ascii="Times New Roman"/>
                <w:b/>
                <w:sz w:val="21"/>
              </w:rPr>
            </w:pPr>
            <w:r>
              <w:rPr>
                <w:rFonts w:ascii="Times New Roman"/>
                <w:b/>
                <w:sz w:val="21"/>
              </w:rPr>
              <w:t>7.11</w:t>
            </w:r>
          </w:p>
        </w:tc>
        <w:tc>
          <w:tcPr>
            <w:tcW w:w="1636" w:type="dxa"/>
          </w:tcPr>
          <w:p>
            <w:pPr>
              <w:pStyle w:val="TableParagraph"/>
              <w:spacing w:before="36"/>
              <w:ind w:left="245"/>
              <w:rPr>
                <w:rFonts w:ascii="微软雅黑" w:eastAsia="微软雅黑" w:hint="eastAsia"/>
                <w:b/>
                <w:sz w:val="21"/>
              </w:rPr>
            </w:pPr>
            <w:r>
              <w:rPr>
                <w:rFonts w:ascii="微软雅黑" w:eastAsia="微软雅黑" w:hint="eastAsia"/>
                <w:b/>
                <w:sz w:val="21"/>
              </w:rPr>
              <w:t>现金价值</w:t>
            </w:r>
          </w:p>
        </w:tc>
        <w:tc>
          <w:tcPr>
            <w:tcW w:w="8019" w:type="dxa"/>
          </w:tcPr>
          <w:p>
            <w:pPr>
              <w:pStyle w:val="TableParagraph"/>
              <w:spacing w:line="237" w:lineRule="auto" w:before="102"/>
              <w:ind w:left="126" w:right="322"/>
              <w:rPr>
                <w:sz w:val="21"/>
              </w:rPr>
            </w:pPr>
            <w:r>
              <w:rPr>
                <w:sz w:val="21"/>
              </w:rPr>
              <w:t>指保险单所具有的价值，通常体现为解除合同时，根据精算原理计算的，由本公司退还的那部分金额。</w:t>
            </w:r>
          </w:p>
          <w:p>
            <w:pPr>
              <w:pStyle w:val="TableParagraph"/>
              <w:spacing w:line="280" w:lineRule="exact"/>
              <w:ind w:left="126"/>
              <w:rPr>
                <w:rFonts w:ascii="Times New Roman" w:hAnsi="Times New Roman" w:eastAsia="Times New Roman"/>
                <w:sz w:val="21"/>
              </w:rPr>
            </w:pPr>
            <w:r>
              <w:rPr>
                <w:sz w:val="21"/>
              </w:rPr>
              <w:t>现金价值</w:t>
            </w:r>
            <w:r>
              <w:rPr>
                <w:rFonts w:ascii="Times New Roman" w:hAnsi="Times New Roman" w:eastAsia="Times New Roman"/>
                <w:sz w:val="21"/>
              </w:rPr>
              <w:t>= </w:t>
            </w:r>
            <w:r>
              <w:rPr>
                <w:sz w:val="21"/>
              </w:rPr>
              <w:t>保险费×</w:t>
            </w:r>
            <w:r>
              <w:rPr>
                <w:rFonts w:ascii="Times New Roman" w:hAnsi="Times New Roman" w:eastAsia="Times New Roman"/>
                <w:sz w:val="21"/>
              </w:rPr>
              <w:t>0.75</w:t>
            </w:r>
            <w:r>
              <w:rPr>
                <w:sz w:val="21"/>
              </w:rPr>
              <w:t>×（</w:t>
            </w:r>
            <w:r>
              <w:rPr>
                <w:rFonts w:ascii="Times New Roman" w:hAnsi="Times New Roman" w:eastAsia="Times New Roman"/>
                <w:sz w:val="21"/>
              </w:rPr>
              <w:t>1</w:t>
            </w:r>
            <w:r>
              <w:rPr>
                <w:sz w:val="21"/>
              </w:rPr>
              <w:t>－保险经过日数 </w:t>
            </w:r>
            <w:r>
              <w:rPr>
                <w:rFonts w:ascii="Times New Roman" w:hAnsi="Times New Roman" w:eastAsia="Times New Roman"/>
                <w:sz w:val="21"/>
              </w:rPr>
              <w:t>/ </w:t>
            </w:r>
            <w:r>
              <w:rPr>
                <w:sz w:val="21"/>
              </w:rPr>
              <w:t>保险期间的日数），经过日数不足 </w:t>
            </w:r>
            <w:r>
              <w:rPr>
                <w:rFonts w:ascii="Times New Roman" w:hAnsi="Times New Roman" w:eastAsia="Times New Roman"/>
                <w:sz w:val="21"/>
              </w:rPr>
              <w:t>1</w:t>
            </w:r>
          </w:p>
          <w:p>
            <w:pPr>
              <w:pStyle w:val="TableParagraph"/>
              <w:spacing w:line="281" w:lineRule="exact"/>
              <w:ind w:left="125"/>
              <w:rPr>
                <w:sz w:val="21"/>
              </w:rPr>
            </w:pPr>
            <w:r>
              <w:rPr>
                <w:sz w:val="21"/>
              </w:rPr>
              <w:t>日的按 </w:t>
            </w:r>
            <w:r>
              <w:rPr>
                <w:rFonts w:ascii="Times New Roman" w:eastAsia="Times New Roman"/>
                <w:sz w:val="21"/>
              </w:rPr>
              <w:t>1 </w:t>
            </w:r>
            <w:r>
              <w:rPr>
                <w:sz w:val="21"/>
              </w:rPr>
              <w:t>日计算。</w:t>
            </w:r>
          </w:p>
        </w:tc>
      </w:tr>
      <w:tr>
        <w:trPr>
          <w:trHeight w:val="1323" w:hRule="atLeast"/>
        </w:trPr>
        <w:tc>
          <w:tcPr>
            <w:tcW w:w="814" w:type="dxa"/>
          </w:tcPr>
          <w:p>
            <w:pPr>
              <w:pStyle w:val="TableParagraph"/>
              <w:spacing w:before="123"/>
              <w:ind w:left="200"/>
              <w:rPr>
                <w:rFonts w:ascii="Times New Roman"/>
                <w:b/>
                <w:sz w:val="21"/>
              </w:rPr>
            </w:pPr>
            <w:r>
              <w:rPr>
                <w:rFonts w:ascii="Times New Roman"/>
                <w:b/>
                <w:sz w:val="21"/>
              </w:rPr>
              <w:t>7.12</w:t>
            </w:r>
          </w:p>
        </w:tc>
        <w:tc>
          <w:tcPr>
            <w:tcW w:w="1636" w:type="dxa"/>
          </w:tcPr>
          <w:p>
            <w:pPr>
              <w:pStyle w:val="TableParagraph"/>
              <w:spacing w:before="28"/>
              <w:ind w:left="245"/>
              <w:rPr>
                <w:rFonts w:ascii="微软雅黑" w:eastAsia="微软雅黑" w:hint="eastAsia"/>
                <w:b/>
                <w:sz w:val="21"/>
              </w:rPr>
            </w:pPr>
            <w:r>
              <w:rPr>
                <w:rFonts w:ascii="微软雅黑" w:eastAsia="微软雅黑" w:hint="eastAsia"/>
                <w:b/>
                <w:sz w:val="21"/>
              </w:rPr>
              <w:t>医院</w:t>
            </w:r>
          </w:p>
        </w:tc>
        <w:tc>
          <w:tcPr>
            <w:tcW w:w="8019" w:type="dxa"/>
          </w:tcPr>
          <w:p>
            <w:pPr>
              <w:pStyle w:val="TableParagraph"/>
              <w:spacing w:line="237" w:lineRule="auto" w:before="94"/>
              <w:ind w:left="126" w:right="322"/>
              <w:jc w:val="both"/>
              <w:rPr>
                <w:sz w:val="21"/>
              </w:rPr>
            </w:pPr>
            <w:r>
              <w:rPr>
                <w:sz w:val="21"/>
              </w:rPr>
              <w:t>指本公司与投保人约定的定点医院，未约定定点医院的，则指依法设立的国家卫生部医院等级分类中的二级或以上医疗机构，但不包括民办医院、疗养院、护理院、康复中心、戒酒或戒毒中心、精神心理治疗中心以及无相应医护人员或设备的二级或三级医院的联合医院或联合病房。</w:t>
            </w:r>
          </w:p>
        </w:tc>
      </w:tr>
      <w:tr>
        <w:trPr>
          <w:trHeight w:val="786" w:hRule="atLeast"/>
        </w:trPr>
        <w:tc>
          <w:tcPr>
            <w:tcW w:w="814" w:type="dxa"/>
          </w:tcPr>
          <w:p>
            <w:pPr>
              <w:pStyle w:val="TableParagraph"/>
              <w:spacing w:before="131"/>
              <w:ind w:left="200"/>
              <w:rPr>
                <w:rFonts w:ascii="Times New Roman"/>
                <w:b/>
                <w:sz w:val="21"/>
              </w:rPr>
            </w:pPr>
            <w:r>
              <w:rPr>
                <w:rFonts w:ascii="Times New Roman"/>
                <w:b/>
                <w:sz w:val="21"/>
              </w:rPr>
              <w:t>7.13</w:t>
            </w:r>
          </w:p>
        </w:tc>
        <w:tc>
          <w:tcPr>
            <w:tcW w:w="1636" w:type="dxa"/>
          </w:tcPr>
          <w:p>
            <w:pPr>
              <w:pStyle w:val="TableParagraph"/>
              <w:spacing w:line="180" w:lineRule="auto" w:before="127"/>
              <w:ind w:left="245" w:right="545"/>
              <w:rPr>
                <w:rFonts w:ascii="微软雅黑" w:eastAsia="微软雅黑" w:hint="eastAsia"/>
                <w:b/>
                <w:sz w:val="21"/>
              </w:rPr>
            </w:pPr>
            <w:r>
              <w:rPr>
                <w:rFonts w:ascii="微软雅黑" w:eastAsia="微软雅黑" w:hint="eastAsia"/>
                <w:b/>
                <w:sz w:val="21"/>
              </w:rPr>
              <w:t>肢体机能完全丧失</w:t>
            </w:r>
          </w:p>
        </w:tc>
        <w:tc>
          <w:tcPr>
            <w:tcW w:w="8019" w:type="dxa"/>
          </w:tcPr>
          <w:p>
            <w:pPr>
              <w:pStyle w:val="TableParagraph"/>
              <w:spacing w:line="237" w:lineRule="auto" w:before="102"/>
              <w:ind w:left="126" w:right="322"/>
              <w:rPr>
                <w:sz w:val="21"/>
              </w:rPr>
            </w:pPr>
            <w:r>
              <w:rPr>
                <w:sz w:val="21"/>
              </w:rPr>
              <w:t>指肢体的三大关节中的两大关节僵硬，或不能随意识活动。肢体是指包括肩关节的整个上肢或包括髋关节的整个下肢。</w:t>
            </w:r>
          </w:p>
        </w:tc>
      </w:tr>
      <w:tr>
        <w:trPr>
          <w:trHeight w:val="646" w:hRule="atLeast"/>
        </w:trPr>
        <w:tc>
          <w:tcPr>
            <w:tcW w:w="814" w:type="dxa"/>
          </w:tcPr>
          <w:p>
            <w:pPr>
              <w:pStyle w:val="TableParagraph"/>
              <w:spacing w:before="132"/>
              <w:ind w:left="200"/>
              <w:rPr>
                <w:rFonts w:ascii="Times New Roman"/>
                <w:b/>
                <w:sz w:val="21"/>
              </w:rPr>
            </w:pPr>
            <w:r>
              <w:rPr>
                <w:rFonts w:ascii="Times New Roman"/>
                <w:b/>
                <w:sz w:val="21"/>
              </w:rPr>
              <w:t>7.14</w:t>
            </w:r>
          </w:p>
        </w:tc>
        <w:tc>
          <w:tcPr>
            <w:tcW w:w="1636" w:type="dxa"/>
          </w:tcPr>
          <w:p>
            <w:pPr>
              <w:pStyle w:val="TableParagraph"/>
              <w:spacing w:line="317" w:lineRule="exact" w:before="38"/>
              <w:ind w:left="245"/>
              <w:rPr>
                <w:rFonts w:ascii="微软雅黑" w:eastAsia="微软雅黑" w:hint="eastAsia"/>
                <w:b/>
                <w:sz w:val="21"/>
              </w:rPr>
            </w:pPr>
            <w:r>
              <w:rPr>
                <w:rFonts w:ascii="微软雅黑" w:eastAsia="微软雅黑" w:hint="eastAsia"/>
                <w:b/>
                <w:sz w:val="21"/>
              </w:rPr>
              <w:t>语言能力或咀</w:t>
            </w:r>
          </w:p>
          <w:p>
            <w:pPr>
              <w:pStyle w:val="TableParagraph"/>
              <w:spacing w:line="272" w:lineRule="exact"/>
              <w:ind w:left="245"/>
              <w:rPr>
                <w:rFonts w:ascii="微软雅黑" w:eastAsia="微软雅黑" w:hint="eastAsia"/>
                <w:b/>
                <w:sz w:val="21"/>
              </w:rPr>
            </w:pPr>
            <w:r>
              <w:rPr>
                <w:rFonts w:ascii="微软雅黑" w:eastAsia="微软雅黑" w:hint="eastAsia"/>
                <w:b/>
                <w:sz w:val="21"/>
              </w:rPr>
              <w:t>嚼吞咽能力完</w:t>
            </w:r>
          </w:p>
        </w:tc>
        <w:tc>
          <w:tcPr>
            <w:tcW w:w="8019" w:type="dxa"/>
          </w:tcPr>
          <w:p>
            <w:pPr>
              <w:pStyle w:val="TableParagraph"/>
              <w:spacing w:line="272" w:lineRule="exact" w:before="128"/>
              <w:ind w:left="126" w:right="533"/>
              <w:rPr>
                <w:sz w:val="21"/>
              </w:rPr>
            </w:pPr>
            <w:r>
              <w:rPr>
                <w:sz w:val="21"/>
              </w:rPr>
              <w:t>语言能力完全丧失，指无法发出四种语音（包括口唇音、齿舌音、口盖音和喉头音）中的任何三种、或声带全部切除，或因大脑语言中枢受伤害而患失语症。</w:t>
            </w:r>
          </w:p>
        </w:tc>
      </w:tr>
    </w:tbl>
    <w:p>
      <w:pPr>
        <w:spacing w:after="0" w:line="272" w:lineRule="exact"/>
        <w:rPr>
          <w:sz w:val="21"/>
        </w:rPr>
        <w:sectPr>
          <w:pgSz w:w="11910" w:h="16840"/>
          <w:pgMar w:header="857" w:footer="995" w:top="1040" w:bottom="1180" w:left="640" w:right="58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636"/>
        <w:gridCol w:w="7892"/>
      </w:tblGrid>
      <w:tr>
        <w:trPr>
          <w:trHeight w:val="1030" w:hRule="atLeast"/>
        </w:trPr>
        <w:tc>
          <w:tcPr>
            <w:tcW w:w="814" w:type="dxa"/>
            <w:tcBorders>
              <w:top w:val="single" w:sz="6" w:space="0" w:color="000000"/>
            </w:tcBorders>
          </w:tcPr>
          <w:p>
            <w:pPr>
              <w:pStyle w:val="TableParagraph"/>
              <w:rPr>
                <w:rFonts w:ascii="Times New Roman"/>
                <w:sz w:val="20"/>
              </w:rPr>
            </w:pPr>
          </w:p>
        </w:tc>
        <w:tc>
          <w:tcPr>
            <w:tcW w:w="1636" w:type="dxa"/>
            <w:tcBorders>
              <w:top w:val="single" w:sz="6" w:space="0" w:color="000000"/>
            </w:tcBorders>
          </w:tcPr>
          <w:p>
            <w:pPr>
              <w:pStyle w:val="TableParagraph"/>
              <w:spacing w:before="6"/>
              <w:rPr>
                <w:rFonts w:ascii="Times New Roman"/>
                <w:sz w:val="24"/>
              </w:rPr>
            </w:pPr>
          </w:p>
          <w:p>
            <w:pPr>
              <w:pStyle w:val="TableParagraph"/>
              <w:ind w:left="245"/>
              <w:rPr>
                <w:rFonts w:ascii="微软雅黑" w:eastAsia="微软雅黑" w:hint="eastAsia"/>
                <w:b/>
                <w:sz w:val="21"/>
              </w:rPr>
            </w:pPr>
            <w:r>
              <w:rPr>
                <w:rFonts w:ascii="微软雅黑" w:eastAsia="微软雅黑" w:hint="eastAsia"/>
                <w:b/>
                <w:sz w:val="21"/>
              </w:rPr>
              <w:t>全丧失</w:t>
            </w:r>
          </w:p>
        </w:tc>
        <w:tc>
          <w:tcPr>
            <w:tcW w:w="7892" w:type="dxa"/>
            <w:tcBorders>
              <w:top w:val="single" w:sz="6" w:space="0" w:color="000000"/>
            </w:tcBorders>
          </w:tcPr>
          <w:p>
            <w:pPr>
              <w:pStyle w:val="TableParagraph"/>
              <w:rPr>
                <w:rFonts w:ascii="Times New Roman"/>
                <w:sz w:val="20"/>
              </w:rPr>
            </w:pPr>
          </w:p>
          <w:p>
            <w:pPr>
              <w:pStyle w:val="TableParagraph"/>
              <w:spacing w:line="237" w:lineRule="auto" w:before="117"/>
              <w:ind w:left="126" w:right="195"/>
              <w:rPr>
                <w:sz w:val="21"/>
              </w:rPr>
            </w:pPr>
            <w:r>
              <w:rPr>
                <w:sz w:val="21"/>
              </w:rPr>
              <w:t>咀嚼吞咽能力完全丧失，指因牙齿以外的原因导致器质障碍或机能障碍，以致不能作咀嚼吞咽运动，除流质食物外不能摄取或吞咽的状态。</w:t>
            </w:r>
          </w:p>
        </w:tc>
      </w:tr>
      <w:tr>
        <w:trPr>
          <w:trHeight w:val="2155" w:hRule="atLeast"/>
        </w:trPr>
        <w:tc>
          <w:tcPr>
            <w:tcW w:w="814" w:type="dxa"/>
          </w:tcPr>
          <w:p>
            <w:pPr>
              <w:pStyle w:val="TableParagraph"/>
              <w:spacing w:before="131"/>
              <w:ind w:left="200"/>
              <w:rPr>
                <w:rFonts w:ascii="Times New Roman"/>
                <w:b/>
                <w:sz w:val="21"/>
              </w:rPr>
            </w:pPr>
            <w:r>
              <w:rPr>
                <w:rFonts w:ascii="Times New Roman"/>
                <w:b/>
                <w:sz w:val="21"/>
              </w:rPr>
              <w:t>7.15</w:t>
            </w:r>
          </w:p>
        </w:tc>
        <w:tc>
          <w:tcPr>
            <w:tcW w:w="1636" w:type="dxa"/>
          </w:tcPr>
          <w:p>
            <w:pPr>
              <w:pStyle w:val="TableParagraph"/>
              <w:spacing w:line="180" w:lineRule="auto" w:before="127"/>
              <w:ind w:left="245" w:right="121"/>
              <w:rPr>
                <w:rFonts w:ascii="微软雅黑" w:eastAsia="微软雅黑" w:hint="eastAsia"/>
                <w:b/>
                <w:sz w:val="21"/>
              </w:rPr>
            </w:pPr>
            <w:r>
              <w:rPr>
                <w:rFonts w:ascii="微软雅黑" w:eastAsia="微软雅黑" w:hint="eastAsia"/>
                <w:b/>
                <w:sz w:val="21"/>
              </w:rPr>
              <w:t>六项基本日常生活活动</w:t>
            </w:r>
          </w:p>
        </w:tc>
        <w:tc>
          <w:tcPr>
            <w:tcW w:w="7892" w:type="dxa"/>
          </w:tcPr>
          <w:p>
            <w:pPr>
              <w:pStyle w:val="TableParagraph"/>
              <w:spacing w:line="349" w:lineRule="exact" w:before="36"/>
              <w:ind w:left="126"/>
              <w:rPr>
                <w:sz w:val="21"/>
              </w:rPr>
            </w:pPr>
            <w:r>
              <w:rPr>
                <w:rFonts w:ascii="微软雅黑" w:eastAsia="微软雅黑" w:hint="eastAsia"/>
                <w:b/>
                <w:sz w:val="21"/>
              </w:rPr>
              <w:t>六项基本日常生活活动</w:t>
            </w:r>
            <w:r>
              <w:rPr>
                <w:sz w:val="21"/>
              </w:rPr>
              <w:t>是指：</w:t>
            </w:r>
          </w:p>
          <w:p>
            <w:pPr>
              <w:pStyle w:val="TableParagraph"/>
              <w:spacing w:line="268" w:lineRule="exact"/>
              <w:ind w:left="126"/>
              <w:rPr>
                <w:sz w:val="21"/>
              </w:rPr>
            </w:pPr>
            <w:r>
              <w:rPr>
                <w:sz w:val="21"/>
              </w:rPr>
              <w:t>（</w:t>
            </w:r>
            <w:r>
              <w:rPr>
                <w:rFonts w:ascii="Times New Roman" w:eastAsia="Times New Roman"/>
                <w:sz w:val="21"/>
              </w:rPr>
              <w:t>1</w:t>
            </w:r>
            <w:r>
              <w:rPr>
                <w:sz w:val="21"/>
              </w:rPr>
              <w:t>）穿衣：自己能够穿衣及脱衣；</w:t>
            </w:r>
          </w:p>
          <w:p>
            <w:pPr>
              <w:pStyle w:val="TableParagraph"/>
              <w:spacing w:line="272" w:lineRule="exact"/>
              <w:ind w:left="126"/>
              <w:rPr>
                <w:sz w:val="21"/>
              </w:rPr>
            </w:pPr>
            <w:r>
              <w:rPr>
                <w:sz w:val="21"/>
              </w:rPr>
              <w:t>（</w:t>
            </w:r>
            <w:r>
              <w:rPr>
                <w:rFonts w:ascii="Times New Roman" w:eastAsia="Times New Roman"/>
                <w:sz w:val="21"/>
              </w:rPr>
              <w:t>2</w:t>
            </w:r>
            <w:r>
              <w:rPr>
                <w:sz w:val="21"/>
              </w:rPr>
              <w:t>）移动：自己从一个房间到另一个房间；</w:t>
            </w:r>
          </w:p>
          <w:p>
            <w:pPr>
              <w:pStyle w:val="TableParagraph"/>
              <w:spacing w:line="272" w:lineRule="exact"/>
              <w:ind w:left="126"/>
              <w:rPr>
                <w:sz w:val="21"/>
              </w:rPr>
            </w:pPr>
            <w:r>
              <w:rPr>
                <w:sz w:val="21"/>
              </w:rPr>
              <w:t>（</w:t>
            </w:r>
            <w:r>
              <w:rPr>
                <w:rFonts w:ascii="Times New Roman" w:eastAsia="Times New Roman"/>
                <w:sz w:val="21"/>
              </w:rPr>
              <w:t>3</w:t>
            </w:r>
            <w:r>
              <w:rPr>
                <w:sz w:val="21"/>
              </w:rPr>
              <w:t>）行动：自己上下床或上下轮椅；</w:t>
            </w:r>
          </w:p>
          <w:p>
            <w:pPr>
              <w:pStyle w:val="TableParagraph"/>
              <w:spacing w:line="272" w:lineRule="exact"/>
              <w:ind w:left="126"/>
              <w:rPr>
                <w:sz w:val="21"/>
              </w:rPr>
            </w:pPr>
            <w:r>
              <w:rPr>
                <w:sz w:val="21"/>
              </w:rPr>
              <w:t>（</w:t>
            </w:r>
            <w:r>
              <w:rPr>
                <w:rFonts w:ascii="Times New Roman" w:eastAsia="Times New Roman"/>
                <w:sz w:val="21"/>
              </w:rPr>
              <w:t>4</w:t>
            </w:r>
            <w:r>
              <w:rPr>
                <w:sz w:val="21"/>
              </w:rPr>
              <w:t>）如厕：自己控制进行大小便；</w:t>
            </w:r>
          </w:p>
          <w:p>
            <w:pPr>
              <w:pStyle w:val="TableParagraph"/>
              <w:spacing w:line="272" w:lineRule="exact"/>
              <w:ind w:left="126"/>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line="281" w:lineRule="exact"/>
              <w:ind w:left="126"/>
              <w:rPr>
                <w:sz w:val="21"/>
              </w:rPr>
            </w:pPr>
            <w:r>
              <w:rPr>
                <w:sz w:val="21"/>
              </w:rPr>
              <w:t>（</w:t>
            </w:r>
            <w:r>
              <w:rPr>
                <w:rFonts w:ascii="Times New Roman" w:eastAsia="Times New Roman"/>
                <w:sz w:val="21"/>
              </w:rPr>
              <w:t>6</w:t>
            </w:r>
            <w:r>
              <w:rPr>
                <w:sz w:val="21"/>
              </w:rPr>
              <w:t>）洗澡：自己进行淋浴或盆浴。</w:t>
            </w:r>
          </w:p>
        </w:tc>
      </w:tr>
      <w:tr>
        <w:trPr>
          <w:trHeight w:val="859" w:hRule="atLeast"/>
        </w:trPr>
        <w:tc>
          <w:tcPr>
            <w:tcW w:w="814" w:type="dxa"/>
          </w:tcPr>
          <w:p>
            <w:pPr>
              <w:pStyle w:val="TableParagraph"/>
              <w:spacing w:before="123"/>
              <w:ind w:left="200"/>
              <w:rPr>
                <w:rFonts w:ascii="Times New Roman"/>
                <w:b/>
                <w:sz w:val="21"/>
              </w:rPr>
            </w:pPr>
            <w:r>
              <w:rPr>
                <w:rFonts w:ascii="Times New Roman"/>
                <w:b/>
                <w:sz w:val="21"/>
              </w:rPr>
              <w:t>7.16</w:t>
            </w:r>
          </w:p>
        </w:tc>
        <w:tc>
          <w:tcPr>
            <w:tcW w:w="1636" w:type="dxa"/>
          </w:tcPr>
          <w:p>
            <w:pPr>
              <w:pStyle w:val="TableParagraph"/>
              <w:spacing w:before="29"/>
              <w:ind w:left="245"/>
              <w:rPr>
                <w:rFonts w:ascii="微软雅黑" w:eastAsia="微软雅黑" w:hint="eastAsia"/>
                <w:b/>
                <w:sz w:val="21"/>
              </w:rPr>
            </w:pPr>
            <w:r>
              <w:rPr>
                <w:rFonts w:ascii="微软雅黑" w:eastAsia="微软雅黑" w:hint="eastAsia"/>
                <w:b/>
                <w:sz w:val="21"/>
              </w:rPr>
              <w:t>永久不可逆</w:t>
            </w:r>
          </w:p>
        </w:tc>
        <w:tc>
          <w:tcPr>
            <w:tcW w:w="7892" w:type="dxa"/>
          </w:tcPr>
          <w:p>
            <w:pPr>
              <w:pStyle w:val="TableParagraph"/>
              <w:spacing w:line="256" w:lineRule="auto" w:before="29"/>
              <w:ind w:left="125" w:right="143"/>
              <w:rPr>
                <w:sz w:val="21"/>
              </w:rPr>
            </w:pPr>
            <w:r>
              <w:rPr>
                <w:sz w:val="21"/>
              </w:rPr>
              <w:t>指自疾病确诊或</w:t>
            </w:r>
            <w:r>
              <w:rPr>
                <w:rFonts w:ascii="微软雅黑" w:eastAsia="微软雅黑" w:hint="eastAsia"/>
                <w:b/>
                <w:sz w:val="21"/>
              </w:rPr>
              <w:t>意外伤害</w:t>
            </w:r>
            <w:r>
              <w:rPr>
                <w:sz w:val="21"/>
              </w:rPr>
              <w:t>发生之日起，经过积极治疗 </w:t>
            </w:r>
            <w:r>
              <w:rPr>
                <w:rFonts w:ascii="Times New Roman" w:eastAsia="Times New Roman"/>
                <w:sz w:val="21"/>
              </w:rPr>
              <w:t>180 </w:t>
            </w:r>
            <w:r>
              <w:rPr>
                <w:sz w:val="21"/>
              </w:rPr>
              <w:t>天后，仍无法通过现有医疗手段恢复。</w:t>
            </w:r>
          </w:p>
        </w:tc>
      </w:tr>
      <w:tr>
        <w:trPr>
          <w:trHeight w:val="675" w:hRule="atLeast"/>
        </w:trPr>
        <w:tc>
          <w:tcPr>
            <w:tcW w:w="814" w:type="dxa"/>
          </w:tcPr>
          <w:p>
            <w:pPr>
              <w:pStyle w:val="TableParagraph"/>
              <w:spacing w:before="159"/>
              <w:ind w:left="200"/>
              <w:rPr>
                <w:rFonts w:ascii="Times New Roman"/>
                <w:b/>
                <w:sz w:val="21"/>
              </w:rPr>
            </w:pPr>
            <w:r>
              <w:rPr>
                <w:rFonts w:ascii="Times New Roman"/>
                <w:b/>
                <w:sz w:val="21"/>
              </w:rPr>
              <w:t>7.17</w:t>
            </w:r>
          </w:p>
        </w:tc>
        <w:tc>
          <w:tcPr>
            <w:tcW w:w="1636" w:type="dxa"/>
          </w:tcPr>
          <w:p>
            <w:pPr>
              <w:pStyle w:val="TableParagraph"/>
              <w:spacing w:before="64"/>
              <w:ind w:left="245"/>
              <w:rPr>
                <w:rFonts w:ascii="微软雅黑" w:eastAsia="微软雅黑" w:hint="eastAsia"/>
                <w:b/>
                <w:sz w:val="21"/>
              </w:rPr>
            </w:pPr>
            <w:r>
              <w:rPr>
                <w:rFonts w:ascii="微软雅黑" w:eastAsia="微软雅黑" w:hint="eastAsia"/>
                <w:b/>
                <w:sz w:val="21"/>
              </w:rPr>
              <w:t>周岁</w:t>
            </w:r>
          </w:p>
        </w:tc>
        <w:tc>
          <w:tcPr>
            <w:tcW w:w="7892" w:type="dxa"/>
          </w:tcPr>
          <w:p>
            <w:pPr>
              <w:pStyle w:val="TableParagraph"/>
              <w:spacing w:line="274" w:lineRule="exact" w:before="153"/>
              <w:ind w:left="126" w:right="195"/>
              <w:rPr>
                <w:sz w:val="21"/>
              </w:rPr>
            </w:pPr>
            <w:r>
              <w:rPr>
                <w:sz w:val="21"/>
              </w:rPr>
              <w:t>指按法定身份证明文件中记载的出生日期计算的年龄，自出生之日起为零周岁，每经过一年增加一岁，不足一年的不计。</w:t>
            </w:r>
          </w:p>
        </w:tc>
      </w:tr>
    </w:tbl>
    <w:sectPr>
      <w:pgSz w:w="11910" w:h="16840"/>
      <w:pgMar w:header="857" w:footer="995" w:top="1040" w:bottom="1180" w:left="6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0006pt;margin-top:781.179993pt;width:17.150pt;height:12pt;mso-position-horizontal-relative:page;mso-position-vertical-relative:page;z-index:-339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320007pt;margin-top:781.179993pt;width:21.6pt;height:12pt;mso-position-horizontal-relative:page;mso-position-vertical-relative:page;z-index:-3385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52" from="58.080002pt,55.559982pt" to="540.000002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4.039993pt;margin-top:42.865608pt;width:110pt;height:11pt;mso-position-horizontal-relative:page;mso-position-vertical-relative:page;z-index:-33928"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039993pt;margin-top:42.865608pt;width:110pt;height:11pt;mso-position-horizontal-relative:page;mso-position-vertical-relative:page;z-index:-33880"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57" w:hanging="629"/>
        <w:jc w:val="left"/>
      </w:pPr>
      <w:rPr>
        <w:rFonts w:hint="default" w:ascii="宋体" w:hAnsi="宋体" w:eastAsia="宋体" w:cs="宋体"/>
        <w:w w:val="100"/>
        <w:sz w:val="21"/>
        <w:szCs w:val="21"/>
      </w:rPr>
    </w:lvl>
    <w:lvl w:ilvl="1">
      <w:start w:val="0"/>
      <w:numFmt w:val="bullet"/>
      <w:lvlText w:val="•"/>
      <w:lvlJc w:val="left"/>
      <w:pPr>
        <w:ind w:left="1485" w:hanging="629"/>
      </w:pPr>
      <w:rPr>
        <w:rFonts w:hint="default"/>
      </w:rPr>
    </w:lvl>
    <w:lvl w:ilvl="2">
      <w:start w:val="0"/>
      <w:numFmt w:val="bullet"/>
      <w:lvlText w:val="•"/>
      <w:lvlJc w:val="left"/>
      <w:pPr>
        <w:ind w:left="2211" w:hanging="629"/>
      </w:pPr>
      <w:rPr>
        <w:rFonts w:hint="default"/>
      </w:rPr>
    </w:lvl>
    <w:lvl w:ilvl="3">
      <w:start w:val="0"/>
      <w:numFmt w:val="bullet"/>
      <w:lvlText w:val="•"/>
      <w:lvlJc w:val="left"/>
      <w:pPr>
        <w:ind w:left="2937" w:hanging="629"/>
      </w:pPr>
      <w:rPr>
        <w:rFonts w:hint="default"/>
      </w:rPr>
    </w:lvl>
    <w:lvl w:ilvl="4">
      <w:start w:val="0"/>
      <w:numFmt w:val="bullet"/>
      <w:lvlText w:val="•"/>
      <w:lvlJc w:val="left"/>
      <w:pPr>
        <w:ind w:left="3663" w:hanging="629"/>
      </w:pPr>
      <w:rPr>
        <w:rFonts w:hint="default"/>
      </w:rPr>
    </w:lvl>
    <w:lvl w:ilvl="5">
      <w:start w:val="0"/>
      <w:numFmt w:val="bullet"/>
      <w:lvlText w:val="•"/>
      <w:lvlJc w:val="left"/>
      <w:pPr>
        <w:ind w:left="4389" w:hanging="629"/>
      </w:pPr>
      <w:rPr>
        <w:rFonts w:hint="default"/>
      </w:rPr>
    </w:lvl>
    <w:lvl w:ilvl="6">
      <w:start w:val="0"/>
      <w:numFmt w:val="bullet"/>
      <w:lvlText w:val="•"/>
      <w:lvlJc w:val="left"/>
      <w:pPr>
        <w:ind w:left="5115" w:hanging="629"/>
      </w:pPr>
      <w:rPr>
        <w:rFonts w:hint="default"/>
      </w:rPr>
    </w:lvl>
    <w:lvl w:ilvl="7">
      <w:start w:val="0"/>
      <w:numFmt w:val="bullet"/>
      <w:lvlText w:val="•"/>
      <w:lvlJc w:val="left"/>
      <w:pPr>
        <w:ind w:left="5841" w:hanging="629"/>
      </w:pPr>
      <w:rPr>
        <w:rFonts w:hint="default"/>
      </w:rPr>
    </w:lvl>
    <w:lvl w:ilvl="8">
      <w:start w:val="0"/>
      <w:numFmt w:val="bullet"/>
      <w:lvlText w:val="•"/>
      <w:lvlJc w:val="left"/>
      <w:pPr>
        <w:ind w:left="6567" w:hanging="629"/>
      </w:pPr>
      <w:rPr>
        <w:rFonts w:hint="default"/>
      </w:rPr>
    </w:lvl>
  </w:abstractNum>
  <w:abstractNum w:abstractNumId="10">
    <w:multiLevelType w:val="hybridMultilevel"/>
    <w:lvl w:ilvl="0">
      <w:start w:val="1"/>
      <w:numFmt w:val="decimal"/>
      <w:lvlText w:val="（%1）"/>
      <w:lvlJc w:val="left"/>
      <w:pPr>
        <w:ind w:left="784" w:hanging="660"/>
        <w:jc w:val="left"/>
      </w:pPr>
      <w:rPr>
        <w:rFonts w:hint="default" w:ascii="宋体" w:hAnsi="宋体" w:eastAsia="宋体" w:cs="宋体"/>
        <w:w w:val="100"/>
        <w:sz w:val="21"/>
        <w:szCs w:val="21"/>
      </w:rPr>
    </w:lvl>
    <w:lvl w:ilvl="1">
      <w:start w:val="0"/>
      <w:numFmt w:val="bullet"/>
      <w:lvlText w:val="•"/>
      <w:lvlJc w:val="left"/>
      <w:pPr>
        <w:ind w:left="1494" w:hanging="660"/>
      </w:pPr>
      <w:rPr>
        <w:rFonts w:hint="default"/>
      </w:rPr>
    </w:lvl>
    <w:lvl w:ilvl="2">
      <w:start w:val="0"/>
      <w:numFmt w:val="bullet"/>
      <w:lvlText w:val="•"/>
      <w:lvlJc w:val="left"/>
      <w:pPr>
        <w:ind w:left="2208" w:hanging="660"/>
      </w:pPr>
      <w:rPr>
        <w:rFonts w:hint="default"/>
      </w:rPr>
    </w:lvl>
    <w:lvl w:ilvl="3">
      <w:start w:val="0"/>
      <w:numFmt w:val="bullet"/>
      <w:lvlText w:val="•"/>
      <w:lvlJc w:val="left"/>
      <w:pPr>
        <w:ind w:left="2922" w:hanging="660"/>
      </w:pPr>
      <w:rPr>
        <w:rFonts w:hint="default"/>
      </w:rPr>
    </w:lvl>
    <w:lvl w:ilvl="4">
      <w:start w:val="0"/>
      <w:numFmt w:val="bullet"/>
      <w:lvlText w:val="•"/>
      <w:lvlJc w:val="left"/>
      <w:pPr>
        <w:ind w:left="3637" w:hanging="660"/>
      </w:pPr>
      <w:rPr>
        <w:rFonts w:hint="default"/>
      </w:rPr>
    </w:lvl>
    <w:lvl w:ilvl="5">
      <w:start w:val="0"/>
      <w:numFmt w:val="bullet"/>
      <w:lvlText w:val="•"/>
      <w:lvlJc w:val="left"/>
      <w:pPr>
        <w:ind w:left="4351" w:hanging="660"/>
      </w:pPr>
      <w:rPr>
        <w:rFonts w:hint="default"/>
      </w:rPr>
    </w:lvl>
    <w:lvl w:ilvl="6">
      <w:start w:val="0"/>
      <w:numFmt w:val="bullet"/>
      <w:lvlText w:val="•"/>
      <w:lvlJc w:val="left"/>
      <w:pPr>
        <w:ind w:left="5065" w:hanging="660"/>
      </w:pPr>
      <w:rPr>
        <w:rFonts w:hint="default"/>
      </w:rPr>
    </w:lvl>
    <w:lvl w:ilvl="7">
      <w:start w:val="0"/>
      <w:numFmt w:val="bullet"/>
      <w:lvlText w:val="•"/>
      <w:lvlJc w:val="left"/>
      <w:pPr>
        <w:ind w:left="5780" w:hanging="660"/>
      </w:pPr>
      <w:rPr>
        <w:rFonts w:hint="default"/>
      </w:rPr>
    </w:lvl>
    <w:lvl w:ilvl="8">
      <w:start w:val="0"/>
      <w:numFmt w:val="bullet"/>
      <w:lvlText w:val="•"/>
      <w:lvlJc w:val="left"/>
      <w:pPr>
        <w:ind w:left="6494" w:hanging="660"/>
      </w:pPr>
      <w:rPr>
        <w:rFonts w:hint="default"/>
      </w:rPr>
    </w:lvl>
  </w:abstractNum>
  <w:abstractNum w:abstractNumId="9">
    <w:multiLevelType w:val="hybridMultilevel"/>
    <w:lvl w:ilvl="0">
      <w:start w:val="1"/>
      <w:numFmt w:val="decimal"/>
      <w:lvlText w:val="（%1）"/>
      <w:lvlJc w:val="left"/>
      <w:pPr>
        <w:ind w:left="755" w:hanging="632"/>
        <w:jc w:val="left"/>
      </w:pPr>
      <w:rPr>
        <w:rFonts w:hint="default" w:ascii="宋体" w:hAnsi="宋体" w:eastAsia="宋体" w:cs="宋体"/>
        <w:w w:val="100"/>
        <w:sz w:val="21"/>
        <w:szCs w:val="21"/>
      </w:rPr>
    </w:lvl>
    <w:lvl w:ilvl="1">
      <w:start w:val="0"/>
      <w:numFmt w:val="bullet"/>
      <w:lvlText w:val="•"/>
      <w:lvlJc w:val="left"/>
      <w:pPr>
        <w:ind w:left="1476" w:hanging="632"/>
      </w:pPr>
      <w:rPr>
        <w:rFonts w:hint="default"/>
      </w:rPr>
    </w:lvl>
    <w:lvl w:ilvl="2">
      <w:start w:val="0"/>
      <w:numFmt w:val="bullet"/>
      <w:lvlText w:val="•"/>
      <w:lvlJc w:val="left"/>
      <w:pPr>
        <w:ind w:left="2192" w:hanging="632"/>
      </w:pPr>
      <w:rPr>
        <w:rFonts w:hint="default"/>
      </w:rPr>
    </w:lvl>
    <w:lvl w:ilvl="3">
      <w:start w:val="0"/>
      <w:numFmt w:val="bullet"/>
      <w:lvlText w:val="•"/>
      <w:lvlJc w:val="left"/>
      <w:pPr>
        <w:ind w:left="2908" w:hanging="632"/>
      </w:pPr>
      <w:rPr>
        <w:rFonts w:hint="default"/>
      </w:rPr>
    </w:lvl>
    <w:lvl w:ilvl="4">
      <w:start w:val="0"/>
      <w:numFmt w:val="bullet"/>
      <w:lvlText w:val="•"/>
      <w:lvlJc w:val="left"/>
      <w:pPr>
        <w:ind w:left="3625" w:hanging="632"/>
      </w:pPr>
      <w:rPr>
        <w:rFonts w:hint="default"/>
      </w:rPr>
    </w:lvl>
    <w:lvl w:ilvl="5">
      <w:start w:val="0"/>
      <w:numFmt w:val="bullet"/>
      <w:lvlText w:val="•"/>
      <w:lvlJc w:val="left"/>
      <w:pPr>
        <w:ind w:left="4341" w:hanging="632"/>
      </w:pPr>
      <w:rPr>
        <w:rFonts w:hint="default"/>
      </w:rPr>
    </w:lvl>
    <w:lvl w:ilvl="6">
      <w:start w:val="0"/>
      <w:numFmt w:val="bullet"/>
      <w:lvlText w:val="•"/>
      <w:lvlJc w:val="left"/>
      <w:pPr>
        <w:ind w:left="5057" w:hanging="632"/>
      </w:pPr>
      <w:rPr>
        <w:rFonts w:hint="default"/>
      </w:rPr>
    </w:lvl>
    <w:lvl w:ilvl="7">
      <w:start w:val="0"/>
      <w:numFmt w:val="bullet"/>
      <w:lvlText w:val="•"/>
      <w:lvlJc w:val="left"/>
      <w:pPr>
        <w:ind w:left="5774" w:hanging="632"/>
      </w:pPr>
      <w:rPr>
        <w:rFonts w:hint="default"/>
      </w:rPr>
    </w:lvl>
    <w:lvl w:ilvl="8">
      <w:start w:val="0"/>
      <w:numFmt w:val="bullet"/>
      <w:lvlText w:val="•"/>
      <w:lvlJc w:val="left"/>
      <w:pPr>
        <w:ind w:left="6490" w:hanging="632"/>
      </w:pPr>
      <w:rPr>
        <w:rFonts w:hint="default"/>
      </w:rPr>
    </w:lvl>
  </w:abstractNum>
  <w:abstractNum w:abstractNumId="8">
    <w:multiLevelType w:val="hybridMultilevel"/>
    <w:lvl w:ilvl="0">
      <w:start w:val="1"/>
      <w:numFmt w:val="decimal"/>
      <w:lvlText w:val="（%1）"/>
      <w:lvlJc w:val="left"/>
      <w:pPr>
        <w:ind w:left="844" w:hanging="720"/>
        <w:jc w:val="left"/>
      </w:pPr>
      <w:rPr>
        <w:rFonts w:hint="default" w:ascii="宋体" w:hAnsi="宋体" w:eastAsia="宋体" w:cs="宋体"/>
        <w:w w:val="100"/>
        <w:sz w:val="21"/>
        <w:szCs w:val="21"/>
      </w:rPr>
    </w:lvl>
    <w:lvl w:ilvl="1">
      <w:start w:val="0"/>
      <w:numFmt w:val="bullet"/>
      <w:lvlText w:val="•"/>
      <w:lvlJc w:val="left"/>
      <w:pPr>
        <w:ind w:left="154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64" w:hanging="720"/>
      </w:pPr>
      <w:rPr>
        <w:rFonts w:hint="default"/>
      </w:rPr>
    </w:lvl>
    <w:lvl w:ilvl="4">
      <w:start w:val="0"/>
      <w:numFmt w:val="bullet"/>
      <w:lvlText w:val="•"/>
      <w:lvlJc w:val="left"/>
      <w:pPr>
        <w:ind w:left="3673" w:hanging="720"/>
      </w:pPr>
      <w:rPr>
        <w:rFonts w:hint="default"/>
      </w:rPr>
    </w:lvl>
    <w:lvl w:ilvl="5">
      <w:start w:val="0"/>
      <w:numFmt w:val="bullet"/>
      <w:lvlText w:val="•"/>
      <w:lvlJc w:val="left"/>
      <w:pPr>
        <w:ind w:left="4381" w:hanging="720"/>
      </w:pPr>
      <w:rPr>
        <w:rFonts w:hint="default"/>
      </w:rPr>
    </w:lvl>
    <w:lvl w:ilvl="6">
      <w:start w:val="0"/>
      <w:numFmt w:val="bullet"/>
      <w:lvlText w:val="•"/>
      <w:lvlJc w:val="left"/>
      <w:pPr>
        <w:ind w:left="5089" w:hanging="720"/>
      </w:pPr>
      <w:rPr>
        <w:rFonts w:hint="default"/>
      </w:rPr>
    </w:lvl>
    <w:lvl w:ilvl="7">
      <w:start w:val="0"/>
      <w:numFmt w:val="bullet"/>
      <w:lvlText w:val="•"/>
      <w:lvlJc w:val="left"/>
      <w:pPr>
        <w:ind w:left="5798" w:hanging="720"/>
      </w:pPr>
      <w:rPr>
        <w:rFonts w:hint="default"/>
      </w:rPr>
    </w:lvl>
    <w:lvl w:ilvl="8">
      <w:start w:val="0"/>
      <w:numFmt w:val="bullet"/>
      <w:lvlText w:val="•"/>
      <w:lvlJc w:val="left"/>
      <w:pPr>
        <w:ind w:left="6506" w:hanging="720"/>
      </w:pPr>
      <w:rPr>
        <w:rFonts w:hint="default"/>
      </w:rPr>
    </w:lvl>
  </w:abstractNum>
  <w:abstractNum w:abstractNumId="7">
    <w:multiLevelType w:val="hybridMultilevel"/>
    <w:lvl w:ilvl="0">
      <w:start w:val="1"/>
      <w:numFmt w:val="decimal"/>
      <w:lvlText w:val="（%1）"/>
      <w:lvlJc w:val="left"/>
      <w:pPr>
        <w:ind w:left="844" w:hanging="720"/>
        <w:jc w:val="left"/>
      </w:pPr>
      <w:rPr>
        <w:rFonts w:hint="default" w:ascii="宋体" w:hAnsi="宋体" w:eastAsia="宋体" w:cs="宋体"/>
        <w:w w:val="100"/>
        <w:sz w:val="21"/>
        <w:szCs w:val="21"/>
      </w:rPr>
    </w:lvl>
    <w:lvl w:ilvl="1">
      <w:start w:val="0"/>
      <w:numFmt w:val="bullet"/>
      <w:lvlText w:val="•"/>
      <w:lvlJc w:val="left"/>
      <w:pPr>
        <w:ind w:left="154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64" w:hanging="720"/>
      </w:pPr>
      <w:rPr>
        <w:rFonts w:hint="default"/>
      </w:rPr>
    </w:lvl>
    <w:lvl w:ilvl="4">
      <w:start w:val="0"/>
      <w:numFmt w:val="bullet"/>
      <w:lvlText w:val="•"/>
      <w:lvlJc w:val="left"/>
      <w:pPr>
        <w:ind w:left="3673" w:hanging="720"/>
      </w:pPr>
      <w:rPr>
        <w:rFonts w:hint="default"/>
      </w:rPr>
    </w:lvl>
    <w:lvl w:ilvl="5">
      <w:start w:val="0"/>
      <w:numFmt w:val="bullet"/>
      <w:lvlText w:val="•"/>
      <w:lvlJc w:val="left"/>
      <w:pPr>
        <w:ind w:left="4381" w:hanging="720"/>
      </w:pPr>
      <w:rPr>
        <w:rFonts w:hint="default"/>
      </w:rPr>
    </w:lvl>
    <w:lvl w:ilvl="6">
      <w:start w:val="0"/>
      <w:numFmt w:val="bullet"/>
      <w:lvlText w:val="•"/>
      <w:lvlJc w:val="left"/>
      <w:pPr>
        <w:ind w:left="5089" w:hanging="720"/>
      </w:pPr>
      <w:rPr>
        <w:rFonts w:hint="default"/>
      </w:rPr>
    </w:lvl>
    <w:lvl w:ilvl="7">
      <w:start w:val="0"/>
      <w:numFmt w:val="bullet"/>
      <w:lvlText w:val="•"/>
      <w:lvlJc w:val="left"/>
      <w:pPr>
        <w:ind w:left="5798" w:hanging="720"/>
      </w:pPr>
      <w:rPr>
        <w:rFonts w:hint="default"/>
      </w:rPr>
    </w:lvl>
    <w:lvl w:ilvl="8">
      <w:start w:val="0"/>
      <w:numFmt w:val="bullet"/>
      <w:lvlText w:val="•"/>
      <w:lvlJc w:val="left"/>
      <w:pPr>
        <w:ind w:left="6506" w:hanging="720"/>
      </w:pPr>
      <w:rPr>
        <w:rFonts w:hint="default"/>
      </w:rPr>
    </w:lvl>
  </w:abstractNum>
  <w:abstractNum w:abstractNumId="6">
    <w:multiLevelType w:val="hybridMultilevel"/>
    <w:lvl w:ilvl="0">
      <w:start w:val="1"/>
      <w:numFmt w:val="decimal"/>
      <w:lvlText w:val="（%1）"/>
      <w:lvlJc w:val="left"/>
      <w:pPr>
        <w:ind w:left="844" w:hanging="720"/>
        <w:jc w:val="left"/>
      </w:pPr>
      <w:rPr>
        <w:rFonts w:hint="default" w:ascii="宋体" w:hAnsi="宋体" w:eastAsia="宋体" w:cs="宋体"/>
        <w:w w:val="100"/>
        <w:sz w:val="21"/>
        <w:szCs w:val="21"/>
      </w:rPr>
    </w:lvl>
    <w:lvl w:ilvl="1">
      <w:start w:val="0"/>
      <w:numFmt w:val="bullet"/>
      <w:lvlText w:val="•"/>
      <w:lvlJc w:val="left"/>
      <w:pPr>
        <w:ind w:left="154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64" w:hanging="720"/>
      </w:pPr>
      <w:rPr>
        <w:rFonts w:hint="default"/>
      </w:rPr>
    </w:lvl>
    <w:lvl w:ilvl="4">
      <w:start w:val="0"/>
      <w:numFmt w:val="bullet"/>
      <w:lvlText w:val="•"/>
      <w:lvlJc w:val="left"/>
      <w:pPr>
        <w:ind w:left="3672" w:hanging="720"/>
      </w:pPr>
      <w:rPr>
        <w:rFonts w:hint="default"/>
      </w:rPr>
    </w:lvl>
    <w:lvl w:ilvl="5">
      <w:start w:val="0"/>
      <w:numFmt w:val="bullet"/>
      <w:lvlText w:val="•"/>
      <w:lvlJc w:val="left"/>
      <w:pPr>
        <w:ind w:left="4381" w:hanging="720"/>
      </w:pPr>
      <w:rPr>
        <w:rFonts w:hint="default"/>
      </w:rPr>
    </w:lvl>
    <w:lvl w:ilvl="6">
      <w:start w:val="0"/>
      <w:numFmt w:val="bullet"/>
      <w:lvlText w:val="•"/>
      <w:lvlJc w:val="left"/>
      <w:pPr>
        <w:ind w:left="5089" w:hanging="720"/>
      </w:pPr>
      <w:rPr>
        <w:rFonts w:hint="default"/>
      </w:rPr>
    </w:lvl>
    <w:lvl w:ilvl="7">
      <w:start w:val="0"/>
      <w:numFmt w:val="bullet"/>
      <w:lvlText w:val="•"/>
      <w:lvlJc w:val="left"/>
      <w:pPr>
        <w:ind w:left="5797" w:hanging="720"/>
      </w:pPr>
      <w:rPr>
        <w:rFonts w:hint="default"/>
      </w:rPr>
    </w:lvl>
    <w:lvl w:ilvl="8">
      <w:start w:val="0"/>
      <w:numFmt w:val="bullet"/>
      <w:lvlText w:val="•"/>
      <w:lvlJc w:val="left"/>
      <w:pPr>
        <w:ind w:left="6505" w:hanging="720"/>
      </w:pPr>
      <w:rPr>
        <w:rFonts w:hint="default"/>
      </w:rPr>
    </w:lvl>
  </w:abstractNum>
  <w:abstractNum w:abstractNumId="5">
    <w:multiLevelType w:val="hybridMultilevel"/>
    <w:lvl w:ilvl="0">
      <w:start w:val="1"/>
      <w:numFmt w:val="decimal"/>
      <w:lvlText w:val="（%1）"/>
      <w:lvlJc w:val="left"/>
      <w:pPr>
        <w:ind w:left="844" w:hanging="720"/>
        <w:jc w:val="left"/>
      </w:pPr>
      <w:rPr>
        <w:rFonts w:hint="default" w:ascii="宋体" w:hAnsi="宋体" w:eastAsia="宋体" w:cs="宋体"/>
        <w:w w:val="100"/>
        <w:sz w:val="21"/>
        <w:szCs w:val="21"/>
      </w:rPr>
    </w:lvl>
    <w:lvl w:ilvl="1">
      <w:start w:val="0"/>
      <w:numFmt w:val="bullet"/>
      <w:lvlText w:val="•"/>
      <w:lvlJc w:val="left"/>
      <w:pPr>
        <w:ind w:left="154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64" w:hanging="720"/>
      </w:pPr>
      <w:rPr>
        <w:rFonts w:hint="default"/>
      </w:rPr>
    </w:lvl>
    <w:lvl w:ilvl="4">
      <w:start w:val="0"/>
      <w:numFmt w:val="bullet"/>
      <w:lvlText w:val="•"/>
      <w:lvlJc w:val="left"/>
      <w:pPr>
        <w:ind w:left="3672" w:hanging="720"/>
      </w:pPr>
      <w:rPr>
        <w:rFonts w:hint="default"/>
      </w:rPr>
    </w:lvl>
    <w:lvl w:ilvl="5">
      <w:start w:val="0"/>
      <w:numFmt w:val="bullet"/>
      <w:lvlText w:val="•"/>
      <w:lvlJc w:val="left"/>
      <w:pPr>
        <w:ind w:left="4381" w:hanging="720"/>
      </w:pPr>
      <w:rPr>
        <w:rFonts w:hint="default"/>
      </w:rPr>
    </w:lvl>
    <w:lvl w:ilvl="6">
      <w:start w:val="0"/>
      <w:numFmt w:val="bullet"/>
      <w:lvlText w:val="•"/>
      <w:lvlJc w:val="left"/>
      <w:pPr>
        <w:ind w:left="5089" w:hanging="720"/>
      </w:pPr>
      <w:rPr>
        <w:rFonts w:hint="default"/>
      </w:rPr>
    </w:lvl>
    <w:lvl w:ilvl="7">
      <w:start w:val="0"/>
      <w:numFmt w:val="bullet"/>
      <w:lvlText w:val="•"/>
      <w:lvlJc w:val="left"/>
      <w:pPr>
        <w:ind w:left="5797" w:hanging="720"/>
      </w:pPr>
      <w:rPr>
        <w:rFonts w:hint="default"/>
      </w:rPr>
    </w:lvl>
    <w:lvl w:ilvl="8">
      <w:start w:val="0"/>
      <w:numFmt w:val="bullet"/>
      <w:lvlText w:val="•"/>
      <w:lvlJc w:val="left"/>
      <w:pPr>
        <w:ind w:left="6505" w:hanging="720"/>
      </w:pPr>
      <w:rPr>
        <w:rFonts w:hint="default"/>
      </w:rPr>
    </w:lvl>
  </w:abstractNum>
  <w:abstractNum w:abstractNumId="4">
    <w:multiLevelType w:val="hybridMultilevel"/>
    <w:lvl w:ilvl="0">
      <w:start w:val="1"/>
      <w:numFmt w:val="decimal"/>
      <w:lvlText w:val="（%1）"/>
      <w:lvlJc w:val="left"/>
      <w:pPr>
        <w:ind w:left="844" w:hanging="720"/>
        <w:jc w:val="left"/>
      </w:pPr>
      <w:rPr>
        <w:rFonts w:hint="default" w:ascii="宋体" w:hAnsi="宋体" w:eastAsia="宋体" w:cs="宋体"/>
        <w:w w:val="100"/>
        <w:sz w:val="21"/>
        <w:szCs w:val="21"/>
      </w:rPr>
    </w:lvl>
    <w:lvl w:ilvl="1">
      <w:start w:val="0"/>
      <w:numFmt w:val="bullet"/>
      <w:lvlText w:val="•"/>
      <w:lvlJc w:val="left"/>
      <w:pPr>
        <w:ind w:left="154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64" w:hanging="720"/>
      </w:pPr>
      <w:rPr>
        <w:rFonts w:hint="default"/>
      </w:rPr>
    </w:lvl>
    <w:lvl w:ilvl="4">
      <w:start w:val="0"/>
      <w:numFmt w:val="bullet"/>
      <w:lvlText w:val="•"/>
      <w:lvlJc w:val="left"/>
      <w:pPr>
        <w:ind w:left="3672" w:hanging="720"/>
      </w:pPr>
      <w:rPr>
        <w:rFonts w:hint="default"/>
      </w:rPr>
    </w:lvl>
    <w:lvl w:ilvl="5">
      <w:start w:val="0"/>
      <w:numFmt w:val="bullet"/>
      <w:lvlText w:val="•"/>
      <w:lvlJc w:val="left"/>
      <w:pPr>
        <w:ind w:left="4381" w:hanging="720"/>
      </w:pPr>
      <w:rPr>
        <w:rFonts w:hint="default"/>
      </w:rPr>
    </w:lvl>
    <w:lvl w:ilvl="6">
      <w:start w:val="0"/>
      <w:numFmt w:val="bullet"/>
      <w:lvlText w:val="•"/>
      <w:lvlJc w:val="left"/>
      <w:pPr>
        <w:ind w:left="5089" w:hanging="720"/>
      </w:pPr>
      <w:rPr>
        <w:rFonts w:hint="default"/>
      </w:rPr>
    </w:lvl>
    <w:lvl w:ilvl="7">
      <w:start w:val="0"/>
      <w:numFmt w:val="bullet"/>
      <w:lvlText w:val="•"/>
      <w:lvlJc w:val="left"/>
      <w:pPr>
        <w:ind w:left="5797" w:hanging="720"/>
      </w:pPr>
      <w:rPr>
        <w:rFonts w:hint="default"/>
      </w:rPr>
    </w:lvl>
    <w:lvl w:ilvl="8">
      <w:start w:val="0"/>
      <w:numFmt w:val="bullet"/>
      <w:lvlText w:val="•"/>
      <w:lvlJc w:val="left"/>
      <w:pPr>
        <w:ind w:left="6505" w:hanging="720"/>
      </w:pPr>
      <w:rPr>
        <w:rFonts w:hint="default"/>
      </w:rPr>
    </w:lvl>
  </w:abstractNum>
  <w:abstractNum w:abstractNumId="3">
    <w:multiLevelType w:val="hybridMultilevel"/>
    <w:lvl w:ilvl="0">
      <w:start w:val="7"/>
      <w:numFmt w:val="decimal"/>
      <w:lvlText w:val="%1"/>
      <w:lvlJc w:val="left"/>
      <w:pPr>
        <w:ind w:left="584" w:hanging="370"/>
        <w:jc w:val="left"/>
      </w:pPr>
      <w:rPr>
        <w:rFonts w:hint="default"/>
      </w:rPr>
    </w:lvl>
    <w:lvl w:ilvl="1">
      <w:start w:val="2"/>
      <w:numFmt w:val="decimal"/>
      <w:lvlText w:val="%1.%2"/>
      <w:lvlJc w:val="left"/>
      <w:pPr>
        <w:ind w:left="584"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254" w:hanging="370"/>
      </w:pPr>
      <w:rPr>
        <w:rFonts w:hint="default"/>
      </w:rPr>
    </w:lvl>
    <w:lvl w:ilvl="3">
      <w:start w:val="0"/>
      <w:numFmt w:val="bullet"/>
      <w:lvlText w:val="•"/>
      <w:lvlJc w:val="left"/>
      <w:pPr>
        <w:ind w:left="1592" w:hanging="370"/>
      </w:pPr>
      <w:rPr>
        <w:rFonts w:hint="default"/>
      </w:rPr>
    </w:lvl>
    <w:lvl w:ilvl="4">
      <w:start w:val="0"/>
      <w:numFmt w:val="bullet"/>
      <w:lvlText w:val="•"/>
      <w:lvlJc w:val="left"/>
      <w:pPr>
        <w:ind w:left="1929" w:hanging="370"/>
      </w:pPr>
      <w:rPr>
        <w:rFonts w:hint="default"/>
      </w:rPr>
    </w:lvl>
    <w:lvl w:ilvl="5">
      <w:start w:val="0"/>
      <w:numFmt w:val="bullet"/>
      <w:lvlText w:val="•"/>
      <w:lvlJc w:val="left"/>
      <w:pPr>
        <w:ind w:left="2267" w:hanging="370"/>
      </w:pPr>
      <w:rPr>
        <w:rFonts w:hint="default"/>
      </w:rPr>
    </w:lvl>
    <w:lvl w:ilvl="6">
      <w:start w:val="0"/>
      <w:numFmt w:val="bullet"/>
      <w:lvlText w:val="•"/>
      <w:lvlJc w:val="left"/>
      <w:pPr>
        <w:ind w:left="2604" w:hanging="370"/>
      </w:pPr>
      <w:rPr>
        <w:rFonts w:hint="default"/>
      </w:rPr>
    </w:lvl>
    <w:lvl w:ilvl="7">
      <w:start w:val="0"/>
      <w:numFmt w:val="bullet"/>
      <w:lvlText w:val="•"/>
      <w:lvlJc w:val="left"/>
      <w:pPr>
        <w:ind w:left="2941" w:hanging="370"/>
      </w:pPr>
      <w:rPr>
        <w:rFonts w:hint="default"/>
      </w:rPr>
    </w:lvl>
    <w:lvl w:ilvl="8">
      <w:start w:val="0"/>
      <w:numFmt w:val="bullet"/>
      <w:lvlText w:val="•"/>
      <w:lvlJc w:val="left"/>
      <w:pPr>
        <w:ind w:left="3279" w:hanging="370"/>
      </w:pPr>
      <w:rPr>
        <w:rFonts w:hint="default"/>
      </w:rPr>
    </w:lvl>
  </w:abstractNum>
  <w:abstractNum w:abstractNumId="2">
    <w:multiLevelType w:val="hybridMultilevel"/>
    <w:lvl w:ilvl="0">
      <w:start w:val="4"/>
      <w:numFmt w:val="decimal"/>
      <w:lvlText w:val="%1"/>
      <w:lvlJc w:val="left"/>
      <w:pPr>
        <w:ind w:left="266" w:hanging="156"/>
        <w:jc w:val="left"/>
      </w:pPr>
      <w:rPr>
        <w:rFonts w:hint="default"/>
        <w:w w:val="100"/>
        <w:u w:val="single" w:color="000000"/>
      </w:rPr>
    </w:lvl>
    <w:lvl w:ilvl="1">
      <w:start w:val="1"/>
      <w:numFmt w:val="decimal"/>
      <w:lvlText w:val="%1.%2"/>
      <w:lvlJc w:val="left"/>
      <w:pPr>
        <w:ind w:left="58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832" w:hanging="370"/>
      </w:pPr>
      <w:rPr>
        <w:rFonts w:hint="default"/>
      </w:rPr>
    </w:lvl>
    <w:lvl w:ilvl="3">
      <w:start w:val="0"/>
      <w:numFmt w:val="bullet"/>
      <w:lvlText w:val="•"/>
      <w:lvlJc w:val="left"/>
      <w:pPr>
        <w:ind w:left="1084" w:hanging="370"/>
      </w:pPr>
      <w:rPr>
        <w:rFonts w:hint="default"/>
      </w:rPr>
    </w:lvl>
    <w:lvl w:ilvl="4">
      <w:start w:val="0"/>
      <w:numFmt w:val="bullet"/>
      <w:lvlText w:val="•"/>
      <w:lvlJc w:val="left"/>
      <w:pPr>
        <w:ind w:left="1336" w:hanging="370"/>
      </w:pPr>
      <w:rPr>
        <w:rFonts w:hint="default"/>
      </w:rPr>
    </w:lvl>
    <w:lvl w:ilvl="5">
      <w:start w:val="0"/>
      <w:numFmt w:val="bullet"/>
      <w:lvlText w:val="•"/>
      <w:lvlJc w:val="left"/>
      <w:pPr>
        <w:ind w:left="1588" w:hanging="370"/>
      </w:pPr>
      <w:rPr>
        <w:rFonts w:hint="default"/>
      </w:rPr>
    </w:lvl>
    <w:lvl w:ilvl="6">
      <w:start w:val="0"/>
      <w:numFmt w:val="bullet"/>
      <w:lvlText w:val="•"/>
      <w:lvlJc w:val="left"/>
      <w:pPr>
        <w:ind w:left="1841" w:hanging="370"/>
      </w:pPr>
      <w:rPr>
        <w:rFonts w:hint="default"/>
      </w:rPr>
    </w:lvl>
    <w:lvl w:ilvl="7">
      <w:start w:val="0"/>
      <w:numFmt w:val="bullet"/>
      <w:lvlText w:val="•"/>
      <w:lvlJc w:val="left"/>
      <w:pPr>
        <w:ind w:left="2093" w:hanging="370"/>
      </w:pPr>
      <w:rPr>
        <w:rFonts w:hint="default"/>
      </w:rPr>
    </w:lvl>
    <w:lvl w:ilvl="8">
      <w:start w:val="0"/>
      <w:numFmt w:val="bullet"/>
      <w:lvlText w:val="•"/>
      <w:lvlJc w:val="left"/>
      <w:pPr>
        <w:ind w:left="2345" w:hanging="370"/>
      </w:pPr>
      <w:rPr>
        <w:rFonts w:hint="default"/>
      </w:rPr>
    </w:lvl>
  </w:abstractNum>
  <w:abstractNum w:abstractNumId="1">
    <w:multiLevelType w:val="hybridMultilevel"/>
    <w:lvl w:ilvl="0">
      <w:start w:val="2"/>
      <w:numFmt w:val="decimal"/>
      <w:lvlText w:val="%1"/>
      <w:lvlJc w:val="left"/>
      <w:pPr>
        <w:ind w:left="283" w:hanging="156"/>
        <w:jc w:val="left"/>
      </w:pPr>
      <w:rPr>
        <w:rFonts w:hint="default"/>
        <w:w w:val="100"/>
        <w:u w:val="single" w:color="000000"/>
      </w:rPr>
    </w:lvl>
    <w:lvl w:ilvl="1">
      <w:start w:val="1"/>
      <w:numFmt w:val="decimal"/>
      <w:lvlText w:val="%1.%2"/>
      <w:lvlJc w:val="left"/>
      <w:pPr>
        <w:ind w:left="602" w:hanging="370"/>
        <w:jc w:val="left"/>
      </w:pPr>
      <w:rPr>
        <w:rFonts w:hint="default" w:ascii="Times New Roman" w:hAnsi="Times New Roman" w:eastAsia="Times New Roman" w:cs="Times New Roman"/>
        <w:w w:val="100"/>
        <w:sz w:val="21"/>
        <w:szCs w:val="21"/>
      </w:rPr>
    </w:lvl>
    <w:lvl w:ilvl="2">
      <w:start w:val="0"/>
      <w:numFmt w:val="bullet"/>
      <w:lvlText w:val="•"/>
      <w:lvlJc w:val="left"/>
      <w:pPr>
        <w:ind w:left="794" w:hanging="370"/>
      </w:pPr>
      <w:rPr>
        <w:rFonts w:hint="default"/>
      </w:rPr>
    </w:lvl>
    <w:lvl w:ilvl="3">
      <w:start w:val="0"/>
      <w:numFmt w:val="bullet"/>
      <w:lvlText w:val="•"/>
      <w:lvlJc w:val="left"/>
      <w:pPr>
        <w:ind w:left="988" w:hanging="370"/>
      </w:pPr>
      <w:rPr>
        <w:rFonts w:hint="default"/>
      </w:rPr>
    </w:lvl>
    <w:lvl w:ilvl="4">
      <w:start w:val="0"/>
      <w:numFmt w:val="bullet"/>
      <w:lvlText w:val="•"/>
      <w:lvlJc w:val="left"/>
      <w:pPr>
        <w:ind w:left="1183" w:hanging="370"/>
      </w:pPr>
      <w:rPr>
        <w:rFonts w:hint="default"/>
      </w:rPr>
    </w:lvl>
    <w:lvl w:ilvl="5">
      <w:start w:val="0"/>
      <w:numFmt w:val="bullet"/>
      <w:lvlText w:val="•"/>
      <w:lvlJc w:val="left"/>
      <w:pPr>
        <w:ind w:left="1377" w:hanging="370"/>
      </w:pPr>
      <w:rPr>
        <w:rFonts w:hint="default"/>
      </w:rPr>
    </w:lvl>
    <w:lvl w:ilvl="6">
      <w:start w:val="0"/>
      <w:numFmt w:val="bullet"/>
      <w:lvlText w:val="•"/>
      <w:lvlJc w:val="left"/>
      <w:pPr>
        <w:ind w:left="1571" w:hanging="370"/>
      </w:pPr>
      <w:rPr>
        <w:rFonts w:hint="default"/>
      </w:rPr>
    </w:lvl>
    <w:lvl w:ilvl="7">
      <w:start w:val="0"/>
      <w:numFmt w:val="bullet"/>
      <w:lvlText w:val="•"/>
      <w:lvlJc w:val="left"/>
      <w:pPr>
        <w:ind w:left="1766" w:hanging="370"/>
      </w:pPr>
      <w:rPr>
        <w:rFonts w:hint="default"/>
      </w:rPr>
    </w:lvl>
    <w:lvl w:ilvl="8">
      <w:start w:val="0"/>
      <w:numFmt w:val="bullet"/>
      <w:lvlText w:val="•"/>
      <w:lvlJc w:val="left"/>
      <w:pPr>
        <w:ind w:left="1960" w:hanging="370"/>
      </w:pPr>
      <w:rPr>
        <w:rFonts w:hint="default"/>
      </w:rPr>
    </w:lvl>
  </w:abstractNum>
  <w:abstractNum w:abstractNumId="0">
    <w:multiLevelType w:val="hybridMultilevel"/>
    <w:lvl w:ilvl="0">
      <w:start w:val="1"/>
      <w:numFmt w:val="decimal"/>
      <w:lvlText w:val="%1"/>
      <w:lvlJc w:val="left"/>
      <w:pPr>
        <w:ind w:left="283" w:hanging="156"/>
        <w:jc w:val="left"/>
      </w:pPr>
      <w:rPr>
        <w:rFonts w:hint="default"/>
        <w:w w:val="100"/>
        <w:u w:val="single" w:color="000000"/>
      </w:rPr>
    </w:lvl>
    <w:lvl w:ilvl="1">
      <w:start w:val="1"/>
      <w:numFmt w:val="decimal"/>
      <w:lvlText w:val="%1.%2"/>
      <w:lvlJc w:val="left"/>
      <w:pPr>
        <w:ind w:left="594" w:hanging="413"/>
        <w:jc w:val="left"/>
      </w:pPr>
      <w:rPr>
        <w:rFonts w:hint="default" w:ascii="Times New Roman" w:hAnsi="Times New Roman" w:eastAsia="Times New Roman" w:cs="Times New Roman"/>
        <w:w w:val="100"/>
        <w:sz w:val="21"/>
        <w:szCs w:val="21"/>
      </w:rPr>
    </w:lvl>
    <w:lvl w:ilvl="2">
      <w:start w:val="0"/>
      <w:numFmt w:val="bullet"/>
      <w:lvlText w:val="•"/>
      <w:lvlJc w:val="left"/>
      <w:pPr>
        <w:ind w:left="794" w:hanging="413"/>
      </w:pPr>
      <w:rPr>
        <w:rFonts w:hint="default"/>
      </w:rPr>
    </w:lvl>
    <w:lvl w:ilvl="3">
      <w:start w:val="0"/>
      <w:numFmt w:val="bullet"/>
      <w:lvlText w:val="•"/>
      <w:lvlJc w:val="left"/>
      <w:pPr>
        <w:ind w:left="988" w:hanging="413"/>
      </w:pPr>
      <w:rPr>
        <w:rFonts w:hint="default"/>
      </w:rPr>
    </w:lvl>
    <w:lvl w:ilvl="4">
      <w:start w:val="0"/>
      <w:numFmt w:val="bullet"/>
      <w:lvlText w:val="•"/>
      <w:lvlJc w:val="left"/>
      <w:pPr>
        <w:ind w:left="1183" w:hanging="413"/>
      </w:pPr>
      <w:rPr>
        <w:rFonts w:hint="default"/>
      </w:rPr>
    </w:lvl>
    <w:lvl w:ilvl="5">
      <w:start w:val="0"/>
      <w:numFmt w:val="bullet"/>
      <w:lvlText w:val="•"/>
      <w:lvlJc w:val="left"/>
      <w:pPr>
        <w:ind w:left="1377" w:hanging="413"/>
      </w:pPr>
      <w:rPr>
        <w:rFonts w:hint="default"/>
      </w:rPr>
    </w:lvl>
    <w:lvl w:ilvl="6">
      <w:start w:val="0"/>
      <w:numFmt w:val="bullet"/>
      <w:lvlText w:val="•"/>
      <w:lvlJc w:val="left"/>
      <w:pPr>
        <w:ind w:left="1571" w:hanging="413"/>
      </w:pPr>
      <w:rPr>
        <w:rFonts w:hint="default"/>
      </w:rPr>
    </w:lvl>
    <w:lvl w:ilvl="7">
      <w:start w:val="0"/>
      <w:numFmt w:val="bullet"/>
      <w:lvlText w:val="•"/>
      <w:lvlJc w:val="left"/>
      <w:pPr>
        <w:ind w:left="1766" w:hanging="413"/>
      </w:pPr>
      <w:rPr>
        <w:rFonts w:hint="default"/>
      </w:rPr>
    </w:lvl>
    <w:lvl w:ilvl="8">
      <w:start w:val="0"/>
      <w:numFmt w:val="bullet"/>
      <w:lvlText w:val="•"/>
      <w:lvlJc w:val="left"/>
      <w:pPr>
        <w:ind w:left="1960"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88" w:right="1395"/>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395"/>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瑞福德团体重大疾病保险条款</dc:title>
  <dcterms:created xsi:type="dcterms:W3CDTF">2018-10-19T21:56:50Z</dcterms:created>
  <dcterms:modified xsi:type="dcterms:W3CDTF">2018-10-19T21:56:50Z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Acrobat PDFMaker 9.0 Word 版</vt:lpwstr>
  </property>
  <property fmtid="{D5CDD505-2E9C-101B-9397-08002B2CF9AE}" pid="4" name="LastSaved">
    <vt:filetime>2018-10-19T00:00:00Z</vt:filetime>
  </property>
</Properties>
</file>