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rFonts w:ascii="Times New Roman"/>
          <w:sz w:val="34"/>
        </w:rPr>
      </w:pPr>
    </w:p>
    <w:p>
      <w:pPr>
        <w:spacing w:before="1"/>
        <w:ind w:left="363" w:right="0" w:firstLine="0"/>
        <w:jc w:val="left"/>
        <w:rPr>
          <w:b/>
          <w:sz w:val="32"/>
        </w:rPr>
      </w:pPr>
      <w:r>
        <w:rPr>
          <w:b/>
          <w:color w:val="003F7E"/>
          <w:w w:val="95"/>
          <w:sz w:val="32"/>
        </w:rPr>
        <w:t>中美联泰大都会人寿保险有限公司</w:t>
      </w:r>
    </w:p>
    <w:p>
      <w:pPr>
        <w:spacing w:before="69"/>
        <w:ind w:left="382" w:right="0" w:firstLine="0"/>
        <w:jc w:val="left"/>
        <w:rPr>
          <w:b/>
          <w:sz w:val="28"/>
        </w:rPr>
      </w:pPr>
      <w:r>
        <w:rPr>
          <w:b/>
          <w:spacing w:val="-2"/>
          <w:sz w:val="28"/>
        </w:rPr>
        <w:t>附加精选第二次重大疾病保险</w:t>
      </w:r>
      <w:r>
        <w:rPr>
          <w:b/>
          <w:sz w:val="28"/>
        </w:rPr>
        <w:t>（A</w:t>
      </w:r>
      <w:r>
        <w:rPr>
          <w:b/>
          <w:spacing w:val="-40"/>
          <w:sz w:val="28"/>
        </w:rPr>
        <w:t> 款</w:t>
      </w:r>
      <w:r>
        <w:rPr>
          <w:b/>
          <w:spacing w:val="-3"/>
          <w:sz w:val="28"/>
        </w:rPr>
        <w:t>）</w:t>
      </w:r>
      <w:r>
        <w:rPr>
          <w:b/>
          <w:sz w:val="28"/>
        </w:rPr>
        <w:t>条款</w:t>
      </w:r>
    </w:p>
    <w:p>
      <w:pPr>
        <w:spacing w:before="138"/>
        <w:ind w:left="382" w:right="0" w:firstLine="0"/>
        <w:jc w:val="left"/>
        <w:rPr>
          <w:sz w:val="16"/>
        </w:rPr>
      </w:pPr>
      <w:r>
        <w:rPr>
          <w:sz w:val="16"/>
        </w:rPr>
        <w:t>中美联泰大都会人寿保险有限公司（以下简称“我们”）</w:t>
      </w:r>
    </w:p>
    <w:p>
      <w:pPr>
        <w:pStyle w:val="Heading2"/>
        <w:spacing w:before="24"/>
      </w:pPr>
      <w:r>
        <w:rPr/>
        <w:br w:type="column"/>
      </w:r>
      <w:r>
        <w:rPr/>
        <w:t>中美联泰大都会[2011]疾病保险 196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6"/>
        </w:rPr>
      </w:pPr>
    </w:p>
    <w:p>
      <w:pPr>
        <w:spacing w:before="0"/>
        <w:ind w:left="295" w:right="383" w:firstLine="0"/>
        <w:jc w:val="center"/>
        <w:rPr>
          <w:sz w:val="20"/>
        </w:rPr>
      </w:pPr>
      <w:r>
        <w:rPr/>
        <w:drawing>
          <wp:anchor distT="0" distB="0" distL="0" distR="0" allowOverlap="1" layoutInCell="1" locked="0" behindDoc="1" simplePos="0" relativeHeight="268418015">
            <wp:simplePos x="0" y="0"/>
            <wp:positionH relativeFrom="page">
              <wp:posOffset>5380036</wp:posOffset>
            </wp:positionH>
            <wp:positionV relativeFrom="paragraph">
              <wp:posOffset>-697424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40" w:bottom="940" w:left="880" w:right="720"/>
          <w:cols w:num="2" w:equalWidth="0">
            <w:col w:w="5639" w:space="452"/>
            <w:col w:w="4219"/>
          </w:cols>
        </w:sectPr>
      </w:pPr>
    </w:p>
    <w:p>
      <w:pPr>
        <w:pStyle w:val="BodyText"/>
        <w:spacing w:before="7"/>
        <w:ind w:left="0"/>
        <w:rPr>
          <w:sz w:val="4"/>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7"/>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7"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0"/>
        <w:ind w:left="1756" w:right="1772"/>
        <w:jc w:val="center"/>
      </w:pPr>
      <w:r>
        <w:rPr/>
        <w:t>您应当特别注意的事项</w:t>
      </w:r>
    </w:p>
    <w:p>
      <w:pPr>
        <w:pStyle w:val="BodyText"/>
        <w:spacing w:before="6"/>
        <w:ind w:left="0"/>
        <w:rPr>
          <w:b/>
          <w:sz w:val="19"/>
        </w:rPr>
      </w:pPr>
    </w:p>
    <w:p>
      <w:pPr>
        <w:spacing w:line="357"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29"/>
        <w:ind w:left="539"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761"/>
        <w:gridCol w:w="906"/>
        <w:gridCol w:w="492"/>
        <w:gridCol w:w="1192"/>
        <w:gridCol w:w="2573"/>
      </w:tblGrid>
      <w:tr>
        <w:trPr>
          <w:trHeight w:val="436" w:hRule="atLeast"/>
        </w:trPr>
        <w:tc>
          <w:tcPr>
            <w:tcW w:w="3758" w:type="dxa"/>
            <w:gridSpan w:val="2"/>
          </w:tcPr>
          <w:p>
            <w:pPr>
              <w:pStyle w:val="TableParagraph"/>
              <w:ind w:left="0"/>
              <w:rPr>
                <w:rFonts w:ascii="Times New Roman"/>
                <w:sz w:val="20"/>
              </w:rPr>
            </w:pPr>
          </w:p>
        </w:tc>
        <w:tc>
          <w:tcPr>
            <w:tcW w:w="906" w:type="dxa"/>
          </w:tcPr>
          <w:p>
            <w:pPr>
              <w:pStyle w:val="TableParagraph"/>
              <w:spacing w:line="281" w:lineRule="exact"/>
              <w:ind w:left="554"/>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5" w:type="dxa"/>
            <w:gridSpan w:val="2"/>
          </w:tcPr>
          <w:p>
            <w:pPr>
              <w:pStyle w:val="TableParagraph"/>
              <w:ind w:left="0"/>
              <w:rPr>
                <w:rFonts w:ascii="Times New Roman"/>
                <w:sz w:val="20"/>
              </w:rPr>
            </w:pPr>
          </w:p>
        </w:tc>
      </w:tr>
      <w:tr>
        <w:trPr>
          <w:trHeight w:val="466" w:hRule="atLeast"/>
        </w:trPr>
        <w:tc>
          <w:tcPr>
            <w:tcW w:w="997"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313"/>
              <w:rPr>
                <w:sz w:val="21"/>
              </w:rPr>
            </w:pPr>
            <w:hyperlink w:history="true" w:anchor="_bookmark0">
              <w:r>
                <w:rPr>
                  <w:sz w:val="21"/>
                </w:rPr>
                <w:t>附加保险合同的构成</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before="92"/>
              <w:ind w:left="140"/>
              <w:rPr>
                <w:sz w:val="21"/>
              </w:rPr>
            </w:pPr>
            <w:hyperlink w:history="true" w:anchor="_bookmark7">
              <w:r>
                <w:rPr>
                  <w:sz w:val="21"/>
                </w:rPr>
                <w:t>第八条</w:t>
              </w:r>
            </w:hyperlink>
          </w:p>
        </w:tc>
        <w:tc>
          <w:tcPr>
            <w:tcW w:w="2573" w:type="dxa"/>
          </w:tcPr>
          <w:p>
            <w:pPr>
              <w:pStyle w:val="TableParagraph"/>
              <w:spacing w:before="92"/>
              <w:ind w:left="208"/>
              <w:rPr>
                <w:sz w:val="21"/>
              </w:rPr>
            </w:pPr>
            <w:hyperlink w:history="true" w:anchor="_bookmark7">
              <w:r>
                <w:rPr>
                  <w:sz w:val="21"/>
                </w:rPr>
                <w:t>受益人</w:t>
              </w:r>
            </w:hyperlink>
          </w:p>
        </w:tc>
      </w:tr>
      <w:tr>
        <w:trPr>
          <w:trHeight w:val="410" w:hRule="atLeast"/>
        </w:trPr>
        <w:tc>
          <w:tcPr>
            <w:tcW w:w="997"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313"/>
              <w:rPr>
                <w:sz w:val="21"/>
              </w:rPr>
            </w:pPr>
            <w:hyperlink w:history="true" w:anchor="_bookmark1">
              <w:r>
                <w:rPr>
                  <w:sz w:val="21"/>
                </w:rPr>
                <w:t>保险合同成立与生效</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before="36"/>
              <w:ind w:left="140"/>
              <w:rPr>
                <w:sz w:val="21"/>
              </w:rPr>
            </w:pPr>
            <w:hyperlink w:history="true" w:anchor="_bookmark8">
              <w:r>
                <w:rPr>
                  <w:sz w:val="21"/>
                </w:rPr>
                <w:t>第九条</w:t>
              </w:r>
            </w:hyperlink>
          </w:p>
        </w:tc>
        <w:tc>
          <w:tcPr>
            <w:tcW w:w="2573" w:type="dxa"/>
          </w:tcPr>
          <w:p>
            <w:pPr>
              <w:pStyle w:val="TableParagraph"/>
              <w:spacing w:before="36"/>
              <w:ind w:left="208"/>
              <w:rPr>
                <w:sz w:val="21"/>
              </w:rPr>
            </w:pPr>
            <w:hyperlink w:history="true" w:anchor="_bookmark8">
              <w:r>
                <w:rPr>
                  <w:sz w:val="21"/>
                </w:rPr>
                <w:t>保险金申请</w:t>
              </w:r>
            </w:hyperlink>
          </w:p>
        </w:tc>
      </w:tr>
      <w:tr>
        <w:trPr>
          <w:trHeight w:val="409" w:hRule="atLeast"/>
        </w:trPr>
        <w:tc>
          <w:tcPr>
            <w:tcW w:w="997"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313"/>
              <w:rPr>
                <w:sz w:val="21"/>
              </w:rPr>
            </w:pPr>
            <w:hyperlink w:history="true" w:anchor="_bookmark2">
              <w:r>
                <w:rPr>
                  <w:sz w:val="21"/>
                </w:rPr>
                <w:t>承保范围</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before="36"/>
              <w:ind w:left="140"/>
              <w:rPr>
                <w:sz w:val="21"/>
              </w:rPr>
            </w:pPr>
            <w:hyperlink w:history="true" w:anchor="_bookmark9">
              <w:r>
                <w:rPr>
                  <w:sz w:val="21"/>
                </w:rPr>
                <w:t>第十条</w:t>
              </w:r>
            </w:hyperlink>
          </w:p>
        </w:tc>
        <w:tc>
          <w:tcPr>
            <w:tcW w:w="2573" w:type="dxa"/>
          </w:tcPr>
          <w:p>
            <w:pPr>
              <w:pStyle w:val="TableParagraph"/>
              <w:spacing w:before="36"/>
              <w:ind w:left="208"/>
              <w:rPr>
                <w:sz w:val="21"/>
              </w:rPr>
            </w:pPr>
            <w:hyperlink w:history="true" w:anchor="_bookmark9">
              <w:r>
                <w:rPr>
                  <w:sz w:val="21"/>
                </w:rPr>
                <w:t>诉讼时效</w:t>
              </w:r>
            </w:hyperlink>
          </w:p>
        </w:tc>
      </w:tr>
      <w:tr>
        <w:trPr>
          <w:trHeight w:val="409" w:hRule="atLeast"/>
        </w:trPr>
        <w:tc>
          <w:tcPr>
            <w:tcW w:w="997"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313"/>
              <w:rPr>
                <w:sz w:val="21"/>
              </w:rPr>
            </w:pPr>
            <w:hyperlink w:history="true" w:anchor="_bookmark3">
              <w:r>
                <w:rPr>
                  <w:sz w:val="21"/>
                </w:rPr>
                <w:t>保险责任</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before="34"/>
              <w:ind w:left="140"/>
              <w:rPr>
                <w:sz w:val="21"/>
              </w:rPr>
            </w:pPr>
            <w:hyperlink w:history="true" w:anchor="_bookmark10">
              <w:r>
                <w:rPr>
                  <w:sz w:val="21"/>
                </w:rPr>
                <w:t>第十一条</w:t>
              </w:r>
            </w:hyperlink>
          </w:p>
        </w:tc>
        <w:tc>
          <w:tcPr>
            <w:tcW w:w="2573" w:type="dxa"/>
          </w:tcPr>
          <w:p>
            <w:pPr>
              <w:pStyle w:val="TableParagraph"/>
              <w:spacing w:before="34"/>
              <w:ind w:left="208"/>
              <w:rPr>
                <w:sz w:val="21"/>
              </w:rPr>
            </w:pPr>
            <w:hyperlink w:history="true" w:anchor="_bookmark10">
              <w:r>
                <w:rPr>
                  <w:sz w:val="21"/>
                </w:rPr>
                <w:t>合同终止</w:t>
              </w:r>
            </w:hyperlink>
          </w:p>
        </w:tc>
      </w:tr>
      <w:tr>
        <w:trPr>
          <w:trHeight w:val="410" w:hRule="atLeast"/>
        </w:trPr>
        <w:tc>
          <w:tcPr>
            <w:tcW w:w="997"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313"/>
              <w:rPr>
                <w:sz w:val="21"/>
              </w:rPr>
            </w:pPr>
            <w:hyperlink w:history="true" w:anchor="_bookmark4">
              <w:r>
                <w:rPr>
                  <w:sz w:val="21"/>
                </w:rPr>
                <w:t>责任免除</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before="36"/>
              <w:ind w:left="140"/>
              <w:rPr>
                <w:sz w:val="21"/>
              </w:rPr>
            </w:pPr>
            <w:hyperlink w:history="true" w:anchor="_bookmark11">
              <w:r>
                <w:rPr>
                  <w:sz w:val="21"/>
                </w:rPr>
                <w:t>第十二条</w:t>
              </w:r>
            </w:hyperlink>
          </w:p>
        </w:tc>
        <w:tc>
          <w:tcPr>
            <w:tcW w:w="2573" w:type="dxa"/>
          </w:tcPr>
          <w:p>
            <w:pPr>
              <w:pStyle w:val="TableParagraph"/>
              <w:spacing w:before="36"/>
              <w:ind w:left="208"/>
              <w:rPr>
                <w:sz w:val="21"/>
              </w:rPr>
            </w:pPr>
            <w:hyperlink w:history="true" w:anchor="_bookmark11">
              <w:r>
                <w:rPr>
                  <w:sz w:val="21"/>
                </w:rPr>
                <w:t>您解除合同的手续及风险</w:t>
              </w:r>
            </w:hyperlink>
          </w:p>
        </w:tc>
      </w:tr>
      <w:tr>
        <w:trPr>
          <w:trHeight w:val="409" w:hRule="atLeast"/>
        </w:trPr>
        <w:tc>
          <w:tcPr>
            <w:tcW w:w="997"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313"/>
              <w:rPr>
                <w:sz w:val="21"/>
              </w:rPr>
            </w:pPr>
            <w:hyperlink w:history="true" w:anchor="_bookmark5">
              <w:r>
                <w:rPr>
                  <w:sz w:val="21"/>
                </w:rPr>
                <w:t>保险期间</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before="36"/>
              <w:ind w:left="140"/>
              <w:rPr>
                <w:sz w:val="21"/>
              </w:rPr>
            </w:pPr>
            <w:hyperlink w:history="true" w:anchor="_bookmark12">
              <w:r>
                <w:rPr>
                  <w:sz w:val="21"/>
                </w:rPr>
                <w:t>第十三条</w:t>
              </w:r>
            </w:hyperlink>
          </w:p>
        </w:tc>
        <w:tc>
          <w:tcPr>
            <w:tcW w:w="2573" w:type="dxa"/>
          </w:tcPr>
          <w:p>
            <w:pPr>
              <w:pStyle w:val="TableParagraph"/>
              <w:spacing w:before="36"/>
              <w:ind w:left="208"/>
              <w:rPr>
                <w:sz w:val="21"/>
              </w:rPr>
            </w:pPr>
            <w:hyperlink w:history="true" w:anchor="_bookmark12">
              <w:r>
                <w:rPr>
                  <w:sz w:val="21"/>
                </w:rPr>
                <w:t>重大疾病的释义</w:t>
              </w:r>
            </w:hyperlink>
          </w:p>
        </w:tc>
      </w:tr>
      <w:tr>
        <w:trPr>
          <w:trHeight w:val="309" w:hRule="atLeast"/>
        </w:trPr>
        <w:tc>
          <w:tcPr>
            <w:tcW w:w="997" w:type="dxa"/>
          </w:tcPr>
          <w:p>
            <w:pPr>
              <w:pStyle w:val="TableParagraph"/>
              <w:spacing w:line="255" w:lineRule="exact" w:before="34"/>
              <w:ind w:left="50"/>
              <w:rPr>
                <w:sz w:val="21"/>
              </w:rPr>
            </w:pPr>
            <w:hyperlink w:history="true" w:anchor="_bookmark6">
              <w:r>
                <w:rPr>
                  <w:sz w:val="21"/>
                </w:rPr>
                <w:t>第七条</w:t>
              </w:r>
            </w:hyperlink>
          </w:p>
        </w:tc>
        <w:tc>
          <w:tcPr>
            <w:tcW w:w="2761" w:type="dxa"/>
          </w:tcPr>
          <w:p>
            <w:pPr>
              <w:pStyle w:val="TableParagraph"/>
              <w:spacing w:line="255" w:lineRule="exact" w:before="34"/>
              <w:ind w:left="313"/>
              <w:rPr>
                <w:sz w:val="21"/>
              </w:rPr>
            </w:pPr>
            <w:hyperlink w:history="true" w:anchor="_bookmark6">
              <w:r>
                <w:rPr>
                  <w:sz w:val="21"/>
                </w:rPr>
                <w:t>保险费率的调整</w:t>
              </w:r>
            </w:hyperlink>
          </w:p>
        </w:tc>
        <w:tc>
          <w:tcPr>
            <w:tcW w:w="906" w:type="dxa"/>
          </w:tcPr>
          <w:p>
            <w:pPr>
              <w:pStyle w:val="TableParagraph"/>
              <w:ind w:left="0"/>
              <w:rPr>
                <w:rFonts w:ascii="Times New Roman"/>
                <w:sz w:val="20"/>
              </w:rPr>
            </w:pPr>
          </w:p>
        </w:tc>
        <w:tc>
          <w:tcPr>
            <w:tcW w:w="492" w:type="dxa"/>
          </w:tcPr>
          <w:p>
            <w:pPr>
              <w:pStyle w:val="TableParagraph"/>
              <w:ind w:left="0"/>
              <w:rPr>
                <w:rFonts w:ascii="Times New Roman"/>
                <w:sz w:val="20"/>
              </w:rPr>
            </w:pPr>
          </w:p>
        </w:tc>
        <w:tc>
          <w:tcPr>
            <w:tcW w:w="1192" w:type="dxa"/>
          </w:tcPr>
          <w:p>
            <w:pPr>
              <w:pStyle w:val="TableParagraph"/>
              <w:spacing w:line="255" w:lineRule="exact" w:before="34"/>
              <w:ind w:left="140"/>
              <w:rPr>
                <w:sz w:val="21"/>
              </w:rPr>
            </w:pPr>
            <w:hyperlink w:history="true" w:anchor="_bookmark13">
              <w:r>
                <w:rPr>
                  <w:sz w:val="21"/>
                </w:rPr>
                <w:t>第十四条</w:t>
              </w:r>
            </w:hyperlink>
          </w:p>
        </w:tc>
        <w:tc>
          <w:tcPr>
            <w:tcW w:w="2573" w:type="dxa"/>
          </w:tcPr>
          <w:p>
            <w:pPr>
              <w:pStyle w:val="TableParagraph"/>
              <w:spacing w:line="255" w:lineRule="exact" w:before="34"/>
              <w:ind w:left="208"/>
              <w:rPr>
                <w:sz w:val="21"/>
              </w:rPr>
            </w:pPr>
            <w:hyperlink w:history="true" w:anchor="_bookmark13">
              <w:r>
                <w:rPr>
                  <w:sz w:val="21"/>
                </w:rPr>
                <w:t>释义</w:t>
              </w:r>
            </w:hyperlink>
          </w:p>
        </w:tc>
      </w:tr>
    </w:tbl>
    <w:p>
      <w:pPr>
        <w:spacing w:after="0" w:line="255" w:lineRule="exact"/>
        <w:rPr>
          <w:sz w:val="21"/>
        </w:rPr>
        <w:sectPr>
          <w:type w:val="continuous"/>
          <w:pgSz w:w="11910" w:h="16840"/>
          <w:pgMar w:top="84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50" w:lineRule="auto" w:before="139" w:after="0"/>
        <w:ind w:left="1188" w:right="165" w:hanging="650"/>
        <w:jc w:val="both"/>
        <w:rPr>
          <w:sz w:val="18"/>
        </w:rPr>
      </w:pPr>
      <w:r>
        <w:rPr>
          <w:sz w:val="18"/>
        </w:rPr>
        <w:t>本《附加精选第二次重大疾病保险（A</w:t>
      </w:r>
      <w:r>
        <w:rPr>
          <w:spacing w:val="-4"/>
          <w:sz w:val="18"/>
        </w:rPr>
        <w:t> 款</w:t>
      </w:r>
      <w:r>
        <w:rPr>
          <w:sz w:val="18"/>
        </w:rPr>
        <w:t>）》合同（以下简称“本附加合同”）必须附加于我们提供选择的人身保险合同（以下简称“主合同”），并且该主合同已附加《中美联泰大都会人寿保险有限公司附加精选提前给付长期重大疾病保险（A</w:t>
      </w:r>
      <w:r>
        <w:rPr>
          <w:spacing w:val="-4"/>
          <w:sz w:val="18"/>
        </w:rPr>
        <w:t> 款</w:t>
      </w:r>
      <w:r>
        <w:rPr>
          <w:sz w:val="18"/>
        </w:rPr>
        <w:t>）》合同。如投保人（以下简称“您”）申请投保本附加合同，经我们审核同意后，可订立本附加合同。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7"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0"/>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41"/>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60</w:t>
      </w:r>
      <w:r>
        <w:rPr>
          <w:rFonts w:ascii="Arial" w:eastAsia="Arial"/>
          <w:spacing w:val="-10"/>
        </w:rPr>
        <w:t> </w:t>
      </w:r>
      <w:r>
        <w:rPr>
          <w:spacing w:val="-1"/>
        </w:rPr>
        <w:t>周岁的人士</w:t>
      </w:r>
      <w:r>
        <w:rPr/>
        <w:t>（被保险人）投保本附加合同。</w:t>
      </w:r>
    </w:p>
    <w:p>
      <w:pPr>
        <w:pStyle w:val="Heading1"/>
        <w:spacing w:before="102"/>
      </w:pPr>
      <w:bookmarkStart w:name="_bookmark3" w:id="4"/>
      <w:bookmarkEnd w:id="4"/>
      <w:r>
        <w:rPr>
          <w:b w:val="0"/>
        </w:rPr>
      </w:r>
      <w:r>
        <w:rPr/>
        <w:t>第四条 保险责任</w:t>
      </w:r>
    </w:p>
    <w:p>
      <w:pPr>
        <w:pStyle w:val="ListParagraph"/>
        <w:numPr>
          <w:ilvl w:val="1"/>
          <w:numId w:val="3"/>
        </w:numPr>
        <w:tabs>
          <w:tab w:pos="1193" w:val="left" w:leader="none"/>
          <w:tab w:pos="1194" w:val="left" w:leader="none"/>
        </w:tabs>
        <w:spacing w:line="240" w:lineRule="auto" w:before="141" w:after="0"/>
        <w:ind w:left="1193" w:right="0" w:hanging="636"/>
        <w:jc w:val="left"/>
        <w:rPr>
          <w:rFonts w:ascii="Arial" w:eastAsia="Arial"/>
          <w:sz w:val="18"/>
        </w:rPr>
      </w:pPr>
      <w:r>
        <w:rPr>
          <w:sz w:val="18"/>
        </w:rPr>
        <w:t>在本附加合同保险期间内，我们将承担以下保险责任：</w:t>
      </w:r>
    </w:p>
    <w:p>
      <w:pPr>
        <w:pStyle w:val="ListParagraph"/>
        <w:numPr>
          <w:ilvl w:val="2"/>
          <w:numId w:val="3"/>
        </w:numPr>
        <w:tabs>
          <w:tab w:pos="1812" w:val="left" w:leader="none"/>
          <w:tab w:pos="1813" w:val="left" w:leader="none"/>
        </w:tabs>
        <w:spacing w:line="240" w:lineRule="auto" w:before="106" w:after="0"/>
        <w:ind w:left="1812" w:right="0" w:hanging="624"/>
        <w:jc w:val="left"/>
        <w:rPr>
          <w:sz w:val="18"/>
        </w:rPr>
      </w:pPr>
      <w:r>
        <w:rPr>
          <w:sz w:val="18"/>
        </w:rPr>
        <w:t>重大疾病分组</w:t>
      </w:r>
    </w:p>
    <w:p>
      <w:pPr>
        <w:pStyle w:val="BodyText"/>
        <w:ind w:left="1188"/>
      </w:pPr>
      <w:r>
        <w:rPr>
          <w:w w:val="95"/>
        </w:rPr>
        <w:t>本附加合同所保障的四十五种</w:t>
      </w:r>
      <w:r>
        <w:rPr>
          <w:b/>
          <w:w w:val="95"/>
        </w:rPr>
        <w:t>重大疾病</w:t>
      </w:r>
      <w:r>
        <w:rPr>
          <w:w w:val="95"/>
        </w:rPr>
        <w:t>（见释义）分为以下三组：</w:t>
      </w:r>
    </w:p>
    <w:p>
      <w:pPr>
        <w:pStyle w:val="BodyText"/>
        <w:spacing w:before="0"/>
        <w:ind w:left="0"/>
        <w:rPr>
          <w:sz w:val="11"/>
        </w:r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9"/>
        <w:gridCol w:w="3117"/>
        <w:gridCol w:w="3261"/>
      </w:tblGrid>
      <w:tr>
        <w:trPr>
          <w:trHeight w:val="234" w:hRule="atLeast"/>
        </w:trPr>
        <w:tc>
          <w:tcPr>
            <w:tcW w:w="3259" w:type="dxa"/>
          </w:tcPr>
          <w:p>
            <w:pPr>
              <w:pStyle w:val="TableParagraph"/>
              <w:spacing w:line="208" w:lineRule="exact"/>
              <w:ind w:left="107"/>
              <w:rPr>
                <w:b/>
                <w:sz w:val="18"/>
              </w:rPr>
            </w:pPr>
            <w:r>
              <w:rPr>
                <w:b/>
                <w:w w:val="95"/>
                <w:sz w:val="18"/>
              </w:rPr>
              <w:t>第一组重大疾病</w:t>
            </w:r>
          </w:p>
        </w:tc>
        <w:tc>
          <w:tcPr>
            <w:tcW w:w="3117" w:type="dxa"/>
          </w:tcPr>
          <w:p>
            <w:pPr>
              <w:pStyle w:val="TableParagraph"/>
              <w:spacing w:line="208" w:lineRule="exact"/>
              <w:rPr>
                <w:b/>
                <w:sz w:val="18"/>
              </w:rPr>
            </w:pPr>
            <w:r>
              <w:rPr>
                <w:b/>
                <w:w w:val="95"/>
                <w:sz w:val="18"/>
              </w:rPr>
              <w:t>第二组重大疾病</w:t>
            </w:r>
          </w:p>
        </w:tc>
        <w:tc>
          <w:tcPr>
            <w:tcW w:w="3261" w:type="dxa"/>
          </w:tcPr>
          <w:p>
            <w:pPr>
              <w:pStyle w:val="TableParagraph"/>
              <w:spacing w:line="208" w:lineRule="exact"/>
              <w:rPr>
                <w:b/>
                <w:sz w:val="18"/>
              </w:rPr>
            </w:pPr>
            <w:r>
              <w:rPr>
                <w:b/>
                <w:w w:val="95"/>
                <w:sz w:val="18"/>
              </w:rPr>
              <w:t>第三组重大疾病</w:t>
            </w:r>
          </w:p>
        </w:tc>
      </w:tr>
      <w:tr>
        <w:trPr>
          <w:trHeight w:val="5147" w:hRule="atLeast"/>
        </w:trPr>
        <w:tc>
          <w:tcPr>
            <w:tcW w:w="3259" w:type="dxa"/>
          </w:tcPr>
          <w:p>
            <w:pPr>
              <w:pStyle w:val="TableParagraph"/>
              <w:spacing w:line="205" w:lineRule="exact"/>
              <w:ind w:left="107"/>
              <w:rPr>
                <w:sz w:val="18"/>
              </w:rPr>
            </w:pPr>
            <w:r>
              <w:rPr>
                <w:sz w:val="18"/>
              </w:rPr>
              <w:t>恶性肿瘤；</w:t>
            </w:r>
          </w:p>
          <w:p>
            <w:pPr>
              <w:pStyle w:val="TableParagraph"/>
              <w:spacing w:line="237" w:lineRule="auto" w:before="2"/>
              <w:ind w:left="107" w:right="439"/>
              <w:rPr>
                <w:sz w:val="18"/>
              </w:rPr>
            </w:pPr>
            <w:r>
              <w:rPr>
                <w:sz w:val="18"/>
              </w:rPr>
              <w:t>重大器官移植术或造血干细胞移植术；</w:t>
            </w:r>
          </w:p>
          <w:p>
            <w:pPr>
              <w:pStyle w:val="TableParagraph"/>
              <w:spacing w:line="237" w:lineRule="auto" w:before="2"/>
              <w:ind w:left="107" w:right="259"/>
              <w:rPr>
                <w:sz w:val="18"/>
              </w:rPr>
            </w:pPr>
            <w:r>
              <w:rPr>
                <w:sz w:val="18"/>
              </w:rPr>
              <w:t>终末期肾病（或称慢性肾功能衰竭尿毒症期）；</w:t>
            </w:r>
          </w:p>
          <w:p>
            <w:pPr>
              <w:pStyle w:val="TableParagraph"/>
              <w:spacing w:line="237" w:lineRule="auto" w:before="2"/>
              <w:ind w:left="107" w:right="979"/>
              <w:rPr>
                <w:sz w:val="18"/>
              </w:rPr>
            </w:pPr>
            <w:r>
              <w:rPr>
                <w:sz w:val="18"/>
              </w:rPr>
              <w:t>急性或亚急性重症肝炎； 慢性肝功能衰竭失代偿期； 重型再生障碍性贫血；</w:t>
            </w:r>
          </w:p>
          <w:p>
            <w:pPr>
              <w:pStyle w:val="TableParagraph"/>
              <w:ind w:left="107" w:right="259"/>
              <w:rPr>
                <w:sz w:val="18"/>
              </w:rPr>
            </w:pPr>
            <w:r>
              <w:rPr>
                <w:sz w:val="18"/>
              </w:rPr>
              <w:t>急诊和医疗服务导致的艾滋病病毒感染；</w:t>
            </w:r>
          </w:p>
          <w:p>
            <w:pPr>
              <w:pStyle w:val="TableParagraph"/>
              <w:ind w:left="107" w:right="1519"/>
              <w:rPr>
                <w:sz w:val="18"/>
              </w:rPr>
            </w:pPr>
            <w:r>
              <w:rPr>
                <w:sz w:val="18"/>
              </w:rPr>
              <w:t>慢性复发性胰腺炎； 系统性红斑狼疮；</w:t>
            </w:r>
          </w:p>
          <w:p>
            <w:pPr>
              <w:pStyle w:val="TableParagraph"/>
              <w:spacing w:line="233" w:lineRule="exact"/>
              <w:ind w:left="107"/>
              <w:rPr>
                <w:sz w:val="18"/>
              </w:rPr>
            </w:pPr>
            <w:r>
              <w:rPr>
                <w:sz w:val="18"/>
              </w:rPr>
              <w:t>由输血而感染艾滋病病毒 ；</w:t>
            </w:r>
          </w:p>
          <w:p>
            <w:pPr>
              <w:pStyle w:val="TableParagraph"/>
              <w:spacing w:line="223" w:lineRule="auto" w:before="17"/>
              <w:ind w:left="107" w:right="88"/>
              <w:rPr>
                <w:sz w:val="18"/>
              </w:rPr>
            </w:pPr>
            <w:r>
              <w:rPr>
                <w:sz w:val="18"/>
              </w:rPr>
              <w:t>严重的胰岛素依赖型糖尿病（</w:t>
            </w:r>
            <w:r>
              <w:rPr>
                <w:rFonts w:ascii="Times New Roman" w:eastAsia="Times New Roman"/>
                <w:sz w:val="18"/>
              </w:rPr>
              <w:t>1 </w:t>
            </w:r>
            <w:r>
              <w:rPr>
                <w:sz w:val="18"/>
              </w:rPr>
              <w:t>型糖尿病）；</w:t>
            </w:r>
          </w:p>
          <w:p>
            <w:pPr>
              <w:pStyle w:val="TableParagraph"/>
              <w:spacing w:line="234" w:lineRule="exact"/>
              <w:ind w:left="107"/>
              <w:rPr>
                <w:sz w:val="18"/>
              </w:rPr>
            </w:pPr>
            <w:r>
              <w:rPr>
                <w:sz w:val="18"/>
              </w:rPr>
              <w:t>严重溃疡性结肠炎；</w:t>
            </w:r>
          </w:p>
          <w:p>
            <w:pPr>
              <w:pStyle w:val="TableParagraph"/>
              <w:ind w:left="107" w:right="979"/>
              <w:rPr>
                <w:sz w:val="18"/>
              </w:rPr>
            </w:pPr>
            <w:r>
              <w:rPr>
                <w:sz w:val="18"/>
              </w:rPr>
              <w:t>慢性肾上腺皮质功能衰竭； 严重克隆病；</w:t>
            </w:r>
          </w:p>
          <w:p>
            <w:pPr>
              <w:pStyle w:val="TableParagraph"/>
              <w:spacing w:line="233" w:lineRule="exact" w:before="1"/>
              <w:ind w:left="107"/>
              <w:rPr>
                <w:sz w:val="18"/>
              </w:rPr>
            </w:pPr>
            <w:r>
              <w:rPr>
                <w:sz w:val="18"/>
              </w:rPr>
              <w:t>象皮病；</w:t>
            </w:r>
          </w:p>
          <w:p>
            <w:pPr>
              <w:pStyle w:val="TableParagraph"/>
              <w:spacing w:line="237" w:lineRule="auto" w:before="2"/>
              <w:ind w:left="107" w:right="1879"/>
              <w:jc w:val="both"/>
              <w:rPr>
                <w:sz w:val="18"/>
              </w:rPr>
            </w:pPr>
            <w:r>
              <w:rPr>
                <w:sz w:val="18"/>
              </w:rPr>
              <w:t>坏死性筋膜炎； 肾髓质囊性病； 系统性硬皮病；</w:t>
            </w:r>
          </w:p>
        </w:tc>
        <w:tc>
          <w:tcPr>
            <w:tcW w:w="3117" w:type="dxa"/>
          </w:tcPr>
          <w:p>
            <w:pPr>
              <w:pStyle w:val="TableParagraph"/>
              <w:spacing w:line="205" w:lineRule="exact"/>
              <w:rPr>
                <w:sz w:val="18"/>
              </w:rPr>
            </w:pPr>
            <w:r>
              <w:rPr>
                <w:sz w:val="18"/>
              </w:rPr>
              <w:t>良性脑肿瘤；</w:t>
            </w:r>
          </w:p>
          <w:p>
            <w:pPr>
              <w:pStyle w:val="TableParagraph"/>
              <w:spacing w:line="237" w:lineRule="auto" w:before="2"/>
              <w:ind w:right="656"/>
              <w:rPr>
                <w:sz w:val="18"/>
              </w:rPr>
            </w:pPr>
            <w:r>
              <w:rPr>
                <w:sz w:val="18"/>
              </w:rPr>
              <w:t>脑炎后遗症或脑膜炎后遗症； 双耳失聪；</w:t>
            </w:r>
          </w:p>
          <w:p>
            <w:pPr>
              <w:pStyle w:val="TableParagraph"/>
              <w:spacing w:line="234" w:lineRule="exact"/>
              <w:rPr>
                <w:sz w:val="18"/>
              </w:rPr>
            </w:pPr>
            <w:r>
              <w:rPr>
                <w:sz w:val="18"/>
              </w:rPr>
              <w:t>双目失明；</w:t>
            </w:r>
          </w:p>
          <w:p>
            <w:pPr>
              <w:pStyle w:val="TableParagraph"/>
              <w:ind w:right="1376"/>
              <w:rPr>
                <w:sz w:val="18"/>
              </w:rPr>
            </w:pPr>
            <w:r>
              <w:rPr>
                <w:sz w:val="18"/>
              </w:rPr>
              <w:t>严重阿尔茨海默病； 严重脑损伤；</w:t>
            </w:r>
          </w:p>
          <w:p>
            <w:pPr>
              <w:pStyle w:val="TableParagraph"/>
              <w:spacing w:line="233" w:lineRule="exact" w:before="1"/>
              <w:rPr>
                <w:sz w:val="18"/>
              </w:rPr>
            </w:pPr>
            <w:r>
              <w:rPr>
                <w:sz w:val="18"/>
              </w:rPr>
              <w:t>严重帕金森病；</w:t>
            </w:r>
          </w:p>
          <w:p>
            <w:pPr>
              <w:pStyle w:val="TableParagraph"/>
              <w:spacing w:line="237" w:lineRule="auto" w:before="2"/>
              <w:ind w:right="1376"/>
              <w:rPr>
                <w:sz w:val="18"/>
              </w:rPr>
            </w:pPr>
            <w:r>
              <w:rPr>
                <w:sz w:val="18"/>
              </w:rPr>
              <w:t>严重运动神经元病； 语言能力丧失；</w:t>
            </w:r>
          </w:p>
          <w:p>
            <w:pPr>
              <w:pStyle w:val="TableParagraph"/>
              <w:spacing w:line="237" w:lineRule="auto" w:before="2"/>
              <w:ind w:right="1736"/>
              <w:rPr>
                <w:sz w:val="18"/>
              </w:rPr>
            </w:pPr>
            <w:r>
              <w:rPr>
                <w:sz w:val="18"/>
              </w:rPr>
              <w:t>多发性硬化； 肌营养不良症；</w:t>
            </w:r>
          </w:p>
          <w:p>
            <w:pPr>
              <w:pStyle w:val="TableParagraph"/>
              <w:spacing w:line="237" w:lineRule="auto" w:before="2"/>
              <w:ind w:right="1556"/>
              <w:rPr>
                <w:sz w:val="18"/>
              </w:rPr>
            </w:pPr>
            <w:r>
              <w:rPr>
                <w:sz w:val="18"/>
              </w:rPr>
              <w:t>严重脊髓灰质炎； 植物人状态；</w:t>
            </w:r>
          </w:p>
          <w:p>
            <w:pPr>
              <w:pStyle w:val="TableParagraph"/>
              <w:spacing w:line="234" w:lineRule="exact"/>
              <w:rPr>
                <w:sz w:val="18"/>
              </w:rPr>
            </w:pPr>
            <w:r>
              <w:rPr>
                <w:sz w:val="18"/>
              </w:rPr>
              <w:t>瘫痪；</w:t>
            </w:r>
          </w:p>
          <w:p>
            <w:pPr>
              <w:pStyle w:val="TableParagraph"/>
              <w:spacing w:line="234" w:lineRule="exact"/>
              <w:rPr>
                <w:sz w:val="18"/>
              </w:rPr>
            </w:pPr>
            <w:r>
              <w:rPr>
                <w:sz w:val="18"/>
              </w:rPr>
              <w:t>重症肌无力；</w:t>
            </w:r>
          </w:p>
        </w:tc>
        <w:tc>
          <w:tcPr>
            <w:tcW w:w="3261" w:type="dxa"/>
          </w:tcPr>
          <w:p>
            <w:pPr>
              <w:pStyle w:val="TableParagraph"/>
              <w:spacing w:line="205" w:lineRule="exact"/>
              <w:rPr>
                <w:sz w:val="18"/>
              </w:rPr>
            </w:pPr>
            <w:r>
              <w:rPr>
                <w:sz w:val="18"/>
              </w:rPr>
              <w:t>急性心肌梗塞；</w:t>
            </w:r>
          </w:p>
          <w:p>
            <w:pPr>
              <w:pStyle w:val="TableParagraph"/>
              <w:spacing w:line="234" w:lineRule="exact"/>
              <w:rPr>
                <w:sz w:val="18"/>
              </w:rPr>
            </w:pPr>
            <w:r>
              <w:rPr>
                <w:sz w:val="18"/>
              </w:rPr>
              <w:t>脑中风后遗症；</w:t>
            </w:r>
          </w:p>
          <w:p>
            <w:pPr>
              <w:pStyle w:val="TableParagraph"/>
              <w:ind w:right="260"/>
              <w:rPr>
                <w:sz w:val="18"/>
              </w:rPr>
            </w:pPr>
            <w:r>
              <w:rPr>
                <w:sz w:val="18"/>
              </w:rPr>
              <w:t>冠状动脉搭桥术（或称冠状动脉旁路移植术）；</w:t>
            </w:r>
          </w:p>
          <w:p>
            <w:pPr>
              <w:pStyle w:val="TableParagraph"/>
              <w:spacing w:line="237" w:lineRule="auto" w:before="1"/>
              <w:ind w:right="1880"/>
              <w:jc w:val="both"/>
              <w:rPr>
                <w:sz w:val="18"/>
              </w:rPr>
            </w:pPr>
            <w:r>
              <w:rPr>
                <w:sz w:val="18"/>
              </w:rPr>
              <w:t>多个肢体缺失； 心脏瓣膜手术； 严重Ⅲ度烧伤；</w:t>
            </w:r>
          </w:p>
          <w:p>
            <w:pPr>
              <w:pStyle w:val="TableParagraph"/>
              <w:spacing w:line="237" w:lineRule="auto" w:before="2"/>
              <w:ind w:right="1160"/>
              <w:rPr>
                <w:sz w:val="18"/>
              </w:rPr>
            </w:pPr>
            <w:r>
              <w:rPr>
                <w:sz w:val="18"/>
              </w:rPr>
              <w:t>严重原发性肺动脉高压； 主动脉手术；</w:t>
            </w:r>
          </w:p>
          <w:p>
            <w:pPr>
              <w:pStyle w:val="TableParagraph"/>
              <w:spacing w:line="237" w:lineRule="auto" w:before="2"/>
              <w:ind w:right="1340"/>
              <w:rPr>
                <w:sz w:val="18"/>
              </w:rPr>
            </w:pPr>
            <w:r>
              <w:rPr>
                <w:sz w:val="18"/>
              </w:rPr>
              <w:t>严重类风湿性关节炎； 严重原发性心肌病；</w:t>
            </w:r>
          </w:p>
          <w:p>
            <w:pPr>
              <w:pStyle w:val="TableParagraph"/>
              <w:spacing w:line="223" w:lineRule="auto" w:before="17"/>
              <w:ind w:right="209"/>
              <w:rPr>
                <w:sz w:val="18"/>
              </w:rPr>
            </w:pPr>
            <w:r>
              <w:rPr>
                <w:sz w:val="18"/>
              </w:rPr>
              <w:t>严重慢性呼吸功能衰竭</w:t>
            </w:r>
            <w:r>
              <w:rPr>
                <w:rFonts w:ascii="Times New Roman" w:eastAsia="Times New Roman"/>
                <w:sz w:val="18"/>
              </w:rPr>
              <w:t>/</w:t>
            </w:r>
            <w:r>
              <w:rPr>
                <w:sz w:val="18"/>
              </w:rPr>
              <w:t>终末期肺病； 肺源性心脏病。</w:t>
            </w:r>
          </w:p>
        </w:tc>
      </w:tr>
    </w:tbl>
    <w:p>
      <w:pPr>
        <w:pStyle w:val="BodyText"/>
        <w:spacing w:before="1"/>
        <w:ind w:left="0"/>
        <w:rPr>
          <w:sz w:val="22"/>
        </w:rPr>
      </w:pPr>
    </w:p>
    <w:p>
      <w:pPr>
        <w:pStyle w:val="ListParagraph"/>
        <w:numPr>
          <w:ilvl w:val="2"/>
          <w:numId w:val="3"/>
        </w:numPr>
        <w:tabs>
          <w:tab w:pos="1552" w:val="left" w:leader="none"/>
        </w:tabs>
        <w:spacing w:line="240" w:lineRule="auto" w:before="0" w:after="0"/>
        <w:ind w:left="1551" w:right="0" w:hanging="480"/>
        <w:jc w:val="left"/>
        <w:rPr>
          <w:sz w:val="18"/>
        </w:rPr>
      </w:pPr>
      <w:r>
        <w:rPr>
          <w:sz w:val="18"/>
        </w:rPr>
        <w:t>第二次重大疾病保险金</w:t>
      </w:r>
    </w:p>
    <w:p>
      <w:pPr>
        <w:pStyle w:val="BodyText"/>
        <w:spacing w:line="352" w:lineRule="auto" w:before="104"/>
        <w:ind w:left="1529" w:right="161"/>
        <w:jc w:val="both"/>
      </w:pPr>
      <w:r>
        <w:rPr/>
        <w:t>在本附加合同保险期间内，若被保险因罹患《中美联泰大都会人寿保险有限公司附加精选提前给付长期重大疾病保险（</w:t>
      </w:r>
      <w:r>
        <w:rPr>
          <w:rFonts w:ascii="Arial" w:eastAsia="Arial"/>
        </w:rPr>
        <w:t>A </w:t>
      </w:r>
      <w:r>
        <w:rPr/>
        <w:t>款）》所定义的</w:t>
      </w:r>
      <w:r>
        <w:rPr>
          <w:b/>
        </w:rPr>
        <w:t>重大疾病</w:t>
      </w:r>
      <w:r>
        <w:rPr/>
        <w:t>（见释义）（以下简称首次重大疾病）并领取了重大疾病保险金，且自首次重大疾病确诊之日起三百六十五日后，首次发病并经</w:t>
      </w:r>
      <w:r>
        <w:rPr>
          <w:b/>
        </w:rPr>
        <w:t>专科医生</w:t>
      </w:r>
      <w:r>
        <w:rPr/>
        <w:t>（见释义）首次确诊患有首次重大疾病所属组别以外其他两组中的任何一种重大疾病，我们将按本附加合同所载的基本保险金额给付第二次重大疾病保险金，本附加合同终止。</w:t>
      </w:r>
    </w:p>
    <w:p>
      <w:pPr>
        <w:spacing w:after="0" w:line="352" w:lineRule="auto"/>
        <w:jc w:val="both"/>
        <w:sectPr>
          <w:headerReference w:type="default" r:id="rId7"/>
          <w:pgSz w:w="11910" w:h="16840"/>
          <w:pgMar w:header="672" w:footer="759" w:top="860" w:bottom="940" w:left="880" w:right="680"/>
        </w:sectPr>
      </w:pPr>
    </w:p>
    <w:p>
      <w:pPr>
        <w:pStyle w:val="BodyText"/>
        <w:spacing w:before="9"/>
        <w:ind w:left="0"/>
        <w:rPr>
          <w:sz w:val="13"/>
        </w:rPr>
      </w:pPr>
    </w:p>
    <w:p>
      <w:pPr>
        <w:pStyle w:val="ListParagraph"/>
        <w:numPr>
          <w:ilvl w:val="2"/>
          <w:numId w:val="3"/>
        </w:numPr>
        <w:tabs>
          <w:tab w:pos="1552" w:val="left" w:leader="none"/>
        </w:tabs>
        <w:spacing w:line="240" w:lineRule="auto" w:before="53" w:after="0"/>
        <w:ind w:left="1551" w:right="0" w:hanging="480"/>
        <w:jc w:val="left"/>
        <w:rPr>
          <w:sz w:val="18"/>
        </w:rPr>
      </w:pPr>
      <w:r>
        <w:rPr>
          <w:sz w:val="18"/>
        </w:rPr>
        <w:t>癌症转移保险金</w:t>
      </w:r>
    </w:p>
    <w:p>
      <w:pPr>
        <w:pStyle w:val="BodyText"/>
        <w:spacing w:line="350" w:lineRule="auto"/>
        <w:ind w:left="1529" w:right="107"/>
        <w:jc w:val="both"/>
      </w:pPr>
      <w:r>
        <w:rPr/>
        <w:t>在本附加合同保险期间内，若被保险人已因恶性肿瘤领取《中美联泰大都会人寿保险有限公司附加精选提前给付长期重大疾病保险（</w:t>
      </w:r>
      <w:r>
        <w:rPr>
          <w:rFonts w:ascii="Arial" w:eastAsia="Arial"/>
        </w:rPr>
        <w:t>A </w:t>
      </w:r>
      <w:r>
        <w:rPr/>
        <w:t>款）》中的重大疾病保险金，自该恶性肿瘤确诊且经过</w:t>
      </w:r>
      <w:r>
        <w:rPr>
          <w:b/>
        </w:rPr>
        <w:t>五年无癌症期</w:t>
      </w:r>
      <w:r>
        <w:rPr/>
        <w:t>（见释义）后， 若被保险人经专科医生确诊患有除首次确诊的恶性肿瘤之外的其他恶性肿瘤，或者首次确诊的恶性肿瘤转移或复发，我们将按本附加合同所载的基本保险金额给付癌症转移保险金，本附加合同终止。</w:t>
      </w:r>
    </w:p>
    <w:p>
      <w:pPr>
        <w:pStyle w:val="ListParagraph"/>
        <w:numPr>
          <w:ilvl w:val="2"/>
          <w:numId w:val="3"/>
        </w:numPr>
        <w:tabs>
          <w:tab w:pos="1552" w:val="left" w:leader="none"/>
        </w:tabs>
        <w:spacing w:line="240" w:lineRule="auto" w:before="34" w:after="0"/>
        <w:ind w:left="1551" w:right="0" w:hanging="480"/>
        <w:jc w:val="left"/>
        <w:rPr>
          <w:sz w:val="18"/>
        </w:rPr>
      </w:pPr>
      <w:r>
        <w:rPr>
          <w:sz w:val="18"/>
        </w:rPr>
        <w:t>关爱延续保险金</w:t>
      </w:r>
    </w:p>
    <w:p>
      <w:pPr>
        <w:pStyle w:val="BodyText"/>
        <w:spacing w:line="340" w:lineRule="auto"/>
        <w:ind w:left="1529" w:right="103"/>
        <w:jc w:val="both"/>
      </w:pPr>
      <w:r>
        <w:rPr/>
        <w:t>在本附加合同保险期间内，若被保险人身故，我们将按本附加合同所载的基本保险金额的 </w:t>
      </w:r>
      <w:r>
        <w:rPr>
          <w:rFonts w:ascii="Arial" w:eastAsia="Arial"/>
        </w:rPr>
        <w:t>10%</w:t>
      </w:r>
      <w:r>
        <w:rPr/>
        <w:t>给付关爱延续保险金，本附加合同终止。</w:t>
      </w:r>
    </w:p>
    <w:p>
      <w:pPr>
        <w:pStyle w:val="ListParagraph"/>
        <w:numPr>
          <w:ilvl w:val="2"/>
          <w:numId w:val="3"/>
        </w:numPr>
        <w:tabs>
          <w:tab w:pos="1552" w:val="left" w:leader="none"/>
        </w:tabs>
        <w:spacing w:line="240" w:lineRule="auto" w:before="41" w:after="0"/>
        <w:ind w:left="1551" w:right="0" w:hanging="480"/>
        <w:jc w:val="left"/>
        <w:rPr>
          <w:sz w:val="18"/>
        </w:rPr>
      </w:pPr>
      <w:r>
        <w:rPr>
          <w:sz w:val="18"/>
        </w:rPr>
        <w:t>保险费豁免</w:t>
      </w:r>
    </w:p>
    <w:p>
      <w:pPr>
        <w:pStyle w:val="BodyText"/>
        <w:ind w:left="1529"/>
      </w:pPr>
      <w:r>
        <w:rPr/>
        <w:t>在本附加合同保险期间内，若被保险人因</w:t>
      </w:r>
      <w:r>
        <w:rPr>
          <w:b/>
        </w:rPr>
        <w:t>意外伤害事故</w:t>
      </w:r>
      <w:r>
        <w:rPr/>
        <w:t>（见释义）或于</w:t>
      </w:r>
      <w:r>
        <w:rPr>
          <w:b/>
        </w:rPr>
        <w:t>等待期</w:t>
      </w:r>
      <w:r>
        <w:rPr/>
        <w:t>（见释义）后因疾病首次发生</w:t>
      </w:r>
    </w:p>
    <w:p>
      <w:pPr>
        <w:pStyle w:val="BodyText"/>
        <w:spacing w:line="348" w:lineRule="auto" w:before="116"/>
        <w:ind w:left="1529" w:right="109"/>
        <w:jc w:val="both"/>
      </w:pPr>
      <w:r>
        <w:rPr/>
        <w:t>《中美联泰大都会人寿保险有限公司附加精选提前给付长期重大疾病保险（</w:t>
      </w:r>
      <w:r>
        <w:rPr>
          <w:rFonts w:ascii="Arial" w:eastAsia="Arial"/>
        </w:rPr>
        <w:t>A </w:t>
      </w:r>
      <w:r>
        <w:rPr/>
        <w:t>款）》中的重大疾病，我们将根据本附加合同的约定豁免自被保险人确诊首次重大疾病之日起的下一缴费日开始的本附加合同的保险费。被豁免的保险费视为已交付，本附加合同继续有效。</w:t>
      </w:r>
    </w:p>
    <w:p>
      <w:pPr>
        <w:pStyle w:val="Heading3"/>
        <w:numPr>
          <w:ilvl w:val="1"/>
          <w:numId w:val="3"/>
        </w:numPr>
        <w:tabs>
          <w:tab w:pos="1102" w:val="left" w:leader="none"/>
          <w:tab w:pos="1103" w:val="left" w:leader="none"/>
        </w:tabs>
        <w:spacing w:line="240" w:lineRule="auto" w:before="35" w:after="0"/>
        <w:ind w:left="1102" w:right="0" w:hanging="545"/>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4"/>
        </w:numPr>
        <w:tabs>
          <w:tab w:pos="1047" w:val="left" w:leader="none"/>
          <w:tab w:pos="1048" w:val="left" w:leader="none"/>
        </w:tabs>
        <w:spacing w:line="240" w:lineRule="auto" w:before="138"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4"/>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4"/>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4"/>
        </w:numPr>
        <w:tabs>
          <w:tab w:pos="1672" w:val="left" w:leader="none"/>
        </w:tabs>
        <w:spacing w:line="240" w:lineRule="auto" w:before="107" w:after="0"/>
        <w:ind w:left="1671" w:right="0" w:hanging="567"/>
        <w:jc w:val="left"/>
        <w:rPr>
          <w:b/>
          <w:sz w:val="18"/>
        </w:rPr>
      </w:pPr>
      <w:r>
        <w:rPr>
          <w:b/>
          <w:w w:val="95"/>
          <w:sz w:val="18"/>
        </w:rPr>
        <w:t>核爆炸、核辐射或核污染；</w:t>
      </w:r>
    </w:p>
    <w:p>
      <w:pPr>
        <w:pStyle w:val="ListParagraph"/>
        <w:numPr>
          <w:ilvl w:val="2"/>
          <w:numId w:val="4"/>
        </w:numPr>
        <w:tabs>
          <w:tab w:pos="1672" w:val="left" w:leader="none"/>
        </w:tabs>
        <w:spacing w:line="340" w:lineRule="auto" w:before="107" w:after="0"/>
        <w:ind w:left="1671" w:right="103" w:hanging="567"/>
        <w:jc w:val="left"/>
        <w:rPr>
          <w:b/>
          <w:sz w:val="18"/>
        </w:rPr>
      </w:pPr>
      <w:r>
        <w:rPr>
          <w:b/>
          <w:spacing w:val="2"/>
          <w:sz w:val="18"/>
        </w:rPr>
        <w:t>被保险人感染艾滋病病毒或患艾滋病（见释义</w:t>
      </w:r>
      <w:r>
        <w:rPr>
          <w:b/>
          <w:spacing w:val="1"/>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4"/>
        </w:numPr>
        <w:tabs>
          <w:tab w:pos="1672" w:val="left" w:leader="none"/>
        </w:tabs>
        <w:spacing w:line="340" w:lineRule="auto" w:before="41"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4"/>
        </w:numPr>
        <w:tabs>
          <w:tab w:pos="1047" w:val="left" w:leader="none"/>
          <w:tab w:pos="1048" w:val="left" w:leader="none"/>
        </w:tabs>
        <w:spacing w:line="340" w:lineRule="auto" w:before="41"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4"/>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4" w:val="left" w:leader="none"/>
        </w:tabs>
        <w:spacing w:before="141"/>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5"/>
        </w:numPr>
        <w:tabs>
          <w:tab w:pos="1104" w:val="left" w:leader="none"/>
          <w:tab w:pos="1105" w:val="left" w:leader="none"/>
        </w:tabs>
        <w:spacing w:line="340" w:lineRule="auto" w:before="139"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5"/>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5"/>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spacing w:after="0"/>
        <w:sectPr>
          <w:pgSz w:w="11910" w:h="16840"/>
          <w:pgMar w:header="672" w:footer="759" w:top="860" w:bottom="940" w:left="880" w:right="740"/>
        </w:sectPr>
      </w:pPr>
    </w:p>
    <w:p>
      <w:pPr>
        <w:pStyle w:val="BodyText"/>
        <w:spacing w:before="12"/>
        <w:ind w:left="0"/>
        <w:rPr>
          <w:b/>
          <w:sz w:val="14"/>
        </w:rPr>
      </w:pPr>
    </w:p>
    <w:p>
      <w:pPr>
        <w:pStyle w:val="Heading2"/>
        <w:numPr>
          <w:ilvl w:val="1"/>
          <w:numId w:val="6"/>
        </w:numPr>
        <w:tabs>
          <w:tab w:pos="1243" w:val="left" w:leader="none"/>
          <w:tab w:pos="1245" w:val="left" w:leader="none"/>
        </w:tabs>
        <w:spacing w:line="343" w:lineRule="auto" w:before="38" w:after="0"/>
        <w:ind w:left="1244" w:right="103" w:hanging="682"/>
        <w:jc w:val="left"/>
        <w:rPr>
          <w:sz w:val="18"/>
        </w:rPr>
      </w:pPr>
      <w:r>
        <w:rPr>
          <w:sz w:val="18"/>
        </w:rPr>
        <w:t>除本附加合同另有约定外，</w:t>
      </w:r>
      <w:r>
        <w:rPr>
          <w:spacing w:val="0"/>
        </w:rPr>
        <w:t>第二次重大疾病保险金受益人和癌症转移保险金受益人为被保险人本人，关</w:t>
      </w:r>
      <w:r>
        <w:rPr>
          <w:w w:val="95"/>
        </w:rPr>
        <w:t>爱延续保险金受益人为主合同身故保险金受益人</w:t>
      </w:r>
      <w:r>
        <w:rPr>
          <w:w w:val="95"/>
          <w:sz w:val="18"/>
        </w:rPr>
        <w:t>。</w:t>
      </w:r>
    </w:p>
    <w:p>
      <w:pPr>
        <w:pStyle w:val="ListParagraph"/>
        <w:numPr>
          <w:ilvl w:val="1"/>
          <w:numId w:val="6"/>
        </w:numPr>
        <w:tabs>
          <w:tab w:pos="1243" w:val="left" w:leader="none"/>
          <w:tab w:pos="1244" w:val="left" w:leader="none"/>
        </w:tabs>
        <w:spacing w:line="240" w:lineRule="auto" w:before="45"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6"/>
        </w:numPr>
        <w:tabs>
          <w:tab w:pos="1243" w:val="left" w:leader="none"/>
          <w:tab w:pos="1244" w:val="left" w:leader="none"/>
        </w:tabs>
        <w:spacing w:line="240" w:lineRule="auto" w:before="107"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6"/>
        </w:numPr>
        <w:tabs>
          <w:tab w:pos="1243" w:val="left" w:leader="none"/>
          <w:tab w:pos="1244" w:val="left" w:leader="none"/>
        </w:tabs>
        <w:spacing w:line="340" w:lineRule="auto" w:before="107"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6"/>
        </w:numPr>
        <w:tabs>
          <w:tab w:pos="1243" w:val="left" w:leader="none"/>
          <w:tab w:pos="1244"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6"/>
        </w:numPr>
        <w:tabs>
          <w:tab w:pos="1243" w:val="left" w:leader="none"/>
          <w:tab w:pos="1244"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6"/>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6"/>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6"/>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6"/>
        </w:numPr>
        <w:tabs>
          <w:tab w:pos="1243" w:val="left" w:leader="none"/>
          <w:tab w:pos="1244"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6"/>
        </w:numPr>
        <w:tabs>
          <w:tab w:pos="1243" w:val="left" w:leader="none"/>
          <w:tab w:pos="1244"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7"/>
        </w:numPr>
        <w:tabs>
          <w:tab w:pos="1105" w:val="left" w:leader="none"/>
        </w:tabs>
        <w:spacing w:line="348" w:lineRule="auto" w:before="139" w:after="0"/>
        <w:ind w:left="1104" w:right="105" w:hanging="566"/>
        <w:jc w:val="both"/>
        <w:rPr>
          <w:sz w:val="18"/>
        </w:rPr>
      </w:pPr>
      <w:r>
        <w:rPr>
          <w:sz w:val="18"/>
        </w:rPr>
        <w:t>第二次重大疾病保险金的申请人为第二次重大疾病保险金受益人，关爱延续保险金的申请人为关爱延续保险金受益人，癌症转移保险金的申请人为癌症转移保险金受益人，在申请上述各项保险金时，申请人须填写保险金给付申请书，并提供下列证明和资料：</w:t>
      </w:r>
    </w:p>
    <w:p>
      <w:pPr>
        <w:pStyle w:val="ListParagraph"/>
        <w:numPr>
          <w:ilvl w:val="2"/>
          <w:numId w:val="7"/>
        </w:numPr>
        <w:tabs>
          <w:tab w:pos="1642" w:val="left" w:leader="none"/>
          <w:tab w:pos="1643" w:val="left" w:leader="none"/>
        </w:tabs>
        <w:spacing w:line="240" w:lineRule="auto" w:before="38" w:after="0"/>
        <w:ind w:left="1642" w:right="0" w:hanging="538"/>
        <w:jc w:val="left"/>
        <w:rPr>
          <w:sz w:val="18"/>
        </w:rPr>
      </w:pPr>
      <w:r>
        <w:rPr>
          <w:w w:val="95"/>
          <w:sz w:val="18"/>
        </w:rPr>
        <w:t>保险合同；</w:t>
      </w:r>
    </w:p>
    <w:p>
      <w:pPr>
        <w:pStyle w:val="ListParagraph"/>
        <w:numPr>
          <w:ilvl w:val="2"/>
          <w:numId w:val="7"/>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7"/>
        </w:numPr>
        <w:tabs>
          <w:tab w:pos="1671" w:val="left" w:leader="none"/>
          <w:tab w:pos="1672" w:val="left" w:leader="none"/>
        </w:tabs>
        <w:spacing w:line="240" w:lineRule="auto" w:before="106" w:after="0"/>
        <w:ind w:left="1671" w:right="0" w:hanging="567"/>
        <w:jc w:val="left"/>
        <w:rPr>
          <w:sz w:val="18"/>
        </w:rPr>
      </w:pPr>
      <w:r>
        <w:rPr>
          <w:w w:val="95"/>
          <w:sz w:val="18"/>
        </w:rPr>
        <w:t>专科医生出具的被保险人病理组织学检查、血液检查、及其他科学方法检验报告的疾病诊断证明书；</w:t>
      </w:r>
    </w:p>
    <w:p>
      <w:pPr>
        <w:pStyle w:val="ListParagraph"/>
        <w:numPr>
          <w:ilvl w:val="2"/>
          <w:numId w:val="7"/>
        </w:numPr>
        <w:tabs>
          <w:tab w:pos="1671" w:val="left" w:leader="none"/>
          <w:tab w:pos="1672" w:val="left" w:leader="none"/>
        </w:tabs>
        <w:spacing w:line="240" w:lineRule="auto" w:before="104"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7"/>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7"/>
        </w:numPr>
        <w:tabs>
          <w:tab w:pos="1104" w:val="left" w:leader="none"/>
          <w:tab w:pos="1105" w:val="left" w:leader="none"/>
        </w:tabs>
        <w:spacing w:line="340" w:lineRule="auto" w:before="106" w:after="0"/>
        <w:ind w:left="1104" w:right="106" w:hanging="566"/>
        <w:jc w:val="left"/>
        <w:rPr>
          <w:sz w:val="18"/>
        </w:rPr>
      </w:pPr>
      <w:r>
        <w:rPr>
          <w:sz w:val="18"/>
        </w:rPr>
        <w:t>保险费豁免的申请人为您、本附加合同的被保险人及受益人，在申请保险费豁免时，申请人须填写保险金给付申请书，并提供下列证明和资料：</w:t>
      </w:r>
    </w:p>
    <w:p>
      <w:pPr>
        <w:pStyle w:val="ListParagraph"/>
        <w:numPr>
          <w:ilvl w:val="2"/>
          <w:numId w:val="7"/>
        </w:numPr>
        <w:tabs>
          <w:tab w:pos="1551" w:val="left" w:leader="none"/>
          <w:tab w:pos="1552" w:val="left" w:leader="none"/>
        </w:tabs>
        <w:spacing w:line="240" w:lineRule="auto" w:before="41" w:after="0"/>
        <w:ind w:left="1551" w:right="0" w:hanging="447"/>
        <w:jc w:val="left"/>
        <w:rPr>
          <w:sz w:val="18"/>
        </w:rPr>
      </w:pPr>
      <w:r>
        <w:rPr>
          <w:w w:val="95"/>
          <w:sz w:val="18"/>
        </w:rPr>
        <w:t>保险合同；</w:t>
      </w:r>
    </w:p>
    <w:p>
      <w:pPr>
        <w:pStyle w:val="ListParagraph"/>
        <w:numPr>
          <w:ilvl w:val="2"/>
          <w:numId w:val="7"/>
        </w:numPr>
        <w:tabs>
          <w:tab w:pos="1551" w:val="left" w:leader="none"/>
          <w:tab w:pos="1552" w:val="left" w:leader="none"/>
        </w:tabs>
        <w:spacing w:line="240" w:lineRule="auto" w:before="106" w:after="0"/>
        <w:ind w:left="1551" w:right="0" w:hanging="447"/>
        <w:jc w:val="left"/>
        <w:rPr>
          <w:sz w:val="18"/>
        </w:rPr>
      </w:pPr>
      <w:r>
        <w:rPr>
          <w:w w:val="95"/>
          <w:sz w:val="18"/>
        </w:rPr>
        <w:t>申请人的有效身份证件；</w:t>
      </w:r>
    </w:p>
    <w:p>
      <w:pPr>
        <w:pStyle w:val="ListParagraph"/>
        <w:numPr>
          <w:ilvl w:val="2"/>
          <w:numId w:val="7"/>
        </w:numPr>
        <w:tabs>
          <w:tab w:pos="1551" w:val="left" w:leader="none"/>
          <w:tab w:pos="1552" w:val="left" w:leader="none"/>
        </w:tabs>
        <w:spacing w:line="240" w:lineRule="auto" w:before="106" w:after="0"/>
        <w:ind w:left="1551" w:right="0" w:hanging="447"/>
        <w:jc w:val="left"/>
        <w:rPr>
          <w:sz w:val="18"/>
        </w:rPr>
      </w:pPr>
      <w:r>
        <w:rPr>
          <w:w w:val="95"/>
          <w:sz w:val="18"/>
        </w:rPr>
        <w:t>专科医生出具的被保险人病理组织学检查、血液检查、及其他科学方法检验报告的疾病诊断证明书；</w:t>
      </w:r>
    </w:p>
    <w:p>
      <w:pPr>
        <w:pStyle w:val="ListParagraph"/>
        <w:numPr>
          <w:ilvl w:val="2"/>
          <w:numId w:val="7"/>
        </w:numPr>
        <w:tabs>
          <w:tab w:pos="1529" w:val="left" w:leader="none"/>
          <w:tab w:pos="1530" w:val="left" w:leader="none"/>
        </w:tabs>
        <w:spacing w:line="240" w:lineRule="auto" w:before="106" w:after="0"/>
        <w:ind w:left="1529" w:right="0" w:hanging="425"/>
        <w:jc w:val="left"/>
        <w:rPr>
          <w:sz w:val="18"/>
        </w:rPr>
      </w:pPr>
      <w:r>
        <w:rPr>
          <w:w w:val="95"/>
          <w:sz w:val="18"/>
        </w:rPr>
        <w:t>所能提供的与确认保险事故的性质、原因、伤害程度等有关的其他证明和资料；</w:t>
      </w:r>
    </w:p>
    <w:p>
      <w:pPr>
        <w:pStyle w:val="ListParagraph"/>
        <w:numPr>
          <w:ilvl w:val="2"/>
          <w:numId w:val="7"/>
        </w:numPr>
        <w:tabs>
          <w:tab w:pos="1529" w:val="left" w:leader="none"/>
          <w:tab w:pos="1530" w:val="left" w:leader="none"/>
        </w:tabs>
        <w:spacing w:line="240" w:lineRule="auto" w:before="106" w:after="0"/>
        <w:ind w:left="1529" w:right="0" w:hanging="425"/>
        <w:jc w:val="left"/>
        <w:rPr>
          <w:sz w:val="18"/>
        </w:rPr>
      </w:pPr>
      <w:r>
        <w:rPr>
          <w:w w:val="95"/>
          <w:sz w:val="18"/>
        </w:rPr>
        <w:t>申请人与被保险人的相关关系证明（如有需要）。</w:t>
      </w:r>
    </w:p>
    <w:p>
      <w:pPr>
        <w:pStyle w:val="ListParagraph"/>
        <w:numPr>
          <w:ilvl w:val="1"/>
          <w:numId w:val="7"/>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7"/>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7"/>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7"/>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39"/>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8"/>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pStyle w:val="ListParagraph"/>
        <w:numPr>
          <w:ilvl w:val="2"/>
          <w:numId w:val="8"/>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8"/>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8"/>
        </w:numPr>
        <w:tabs>
          <w:tab w:pos="1642" w:val="left" w:leader="none"/>
          <w:tab w:pos="1643" w:val="left" w:leader="none"/>
        </w:tabs>
        <w:spacing w:line="240" w:lineRule="auto" w:before="53" w:after="0"/>
        <w:ind w:left="1642" w:right="0" w:hanging="562"/>
        <w:jc w:val="left"/>
        <w:rPr>
          <w:sz w:val="18"/>
        </w:rPr>
      </w:pPr>
      <w:r>
        <w:rPr>
          <w:w w:val="95"/>
          <w:sz w:val="18"/>
        </w:rPr>
        <w:t>本附加合同期满；</w:t>
      </w:r>
    </w:p>
    <w:p>
      <w:pPr>
        <w:pStyle w:val="ListParagraph"/>
        <w:numPr>
          <w:ilvl w:val="2"/>
          <w:numId w:val="8"/>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spacing w:before="103"/>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9"/>
        </w:numPr>
        <w:tabs>
          <w:tab w:pos="1104" w:val="left" w:leader="none"/>
          <w:tab w:pos="1105" w:val="left" w:leader="none"/>
        </w:tabs>
        <w:spacing w:line="240" w:lineRule="auto" w:before="142" w:after="0"/>
        <w:ind w:left="1104" w:right="0" w:hanging="566"/>
        <w:jc w:val="left"/>
        <w:rPr>
          <w:sz w:val="18"/>
        </w:rPr>
      </w:pPr>
      <w:r>
        <w:rPr>
          <w:sz w:val="18"/>
        </w:rPr>
        <w:t>如您申请解除本附加合同，请填写解除合同申请书并向我们提供下列资料：</w:t>
      </w:r>
    </w:p>
    <w:p>
      <w:pPr>
        <w:pStyle w:val="ListParagraph"/>
        <w:numPr>
          <w:ilvl w:val="2"/>
          <w:numId w:val="9"/>
        </w:numPr>
        <w:tabs>
          <w:tab w:pos="1812" w:val="left" w:leader="none"/>
          <w:tab w:pos="1813" w:val="left" w:leader="none"/>
        </w:tabs>
        <w:spacing w:line="240" w:lineRule="auto" w:before="107" w:after="0"/>
        <w:ind w:left="1812" w:right="0" w:hanging="568"/>
        <w:jc w:val="left"/>
        <w:rPr>
          <w:sz w:val="18"/>
        </w:rPr>
      </w:pPr>
      <w:r>
        <w:rPr>
          <w:w w:val="95"/>
          <w:sz w:val="18"/>
        </w:rPr>
        <w:t>保险合同；</w:t>
      </w:r>
    </w:p>
    <w:p>
      <w:pPr>
        <w:pStyle w:val="ListParagraph"/>
        <w:numPr>
          <w:ilvl w:val="2"/>
          <w:numId w:val="9"/>
        </w:numPr>
        <w:tabs>
          <w:tab w:pos="1812" w:val="left" w:leader="none"/>
          <w:tab w:pos="1813" w:val="left" w:leader="none"/>
        </w:tabs>
        <w:spacing w:line="240" w:lineRule="auto" w:before="107" w:after="0"/>
        <w:ind w:left="1812" w:right="0" w:hanging="568"/>
        <w:jc w:val="left"/>
        <w:rPr>
          <w:sz w:val="18"/>
        </w:rPr>
      </w:pPr>
      <w:r>
        <w:rPr>
          <w:w w:val="95"/>
          <w:sz w:val="18"/>
        </w:rPr>
        <w:t>您的有效身份证件。</w:t>
      </w:r>
    </w:p>
    <w:p>
      <w:pPr>
        <w:pStyle w:val="ListParagraph"/>
        <w:numPr>
          <w:ilvl w:val="1"/>
          <w:numId w:val="9"/>
        </w:numPr>
        <w:tabs>
          <w:tab w:pos="1105" w:val="left" w:leader="none"/>
        </w:tabs>
        <w:spacing w:line="340" w:lineRule="auto" w:before="107"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9"/>
        </w:numPr>
        <w:tabs>
          <w:tab w:pos="1104" w:val="left" w:leader="none"/>
          <w:tab w:pos="1105" w:val="left" w:leader="none"/>
        </w:tabs>
        <w:spacing w:line="340" w:lineRule="auto" w:before="41"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9"/>
        </w:numPr>
        <w:tabs>
          <w:tab w:pos="1104" w:val="left" w:leader="none"/>
          <w:tab w:pos="1105" w:val="left" w:leader="none"/>
        </w:tabs>
        <w:spacing w:line="240" w:lineRule="auto" w:before="19" w:after="0"/>
        <w:ind w:left="1104" w:right="0" w:hanging="566"/>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BodyText"/>
        <w:spacing w:line="340" w:lineRule="auto" w:before="139"/>
        <w:ind w:left="562" w:right="87" w:firstLine="359"/>
      </w:pPr>
      <w:r>
        <w:rPr/>
        <w:t>以下定义的各项重大疾病中，</w:t>
      </w:r>
      <w:r>
        <w:rPr>
          <w:rFonts w:ascii="Arial" w:eastAsia="Arial"/>
        </w:rPr>
        <w:t>13.1 </w:t>
      </w:r>
      <w:r>
        <w:rPr/>
        <w:t>至 </w:t>
      </w:r>
      <w:r>
        <w:rPr>
          <w:rFonts w:ascii="Arial" w:eastAsia="Arial"/>
        </w:rPr>
        <w:t>13.24 </w:t>
      </w:r>
      <w:r>
        <w:rPr/>
        <w:t>为中国保险行业协会制定的《重大疾病保险的疾病定义使用规范》中所定义的疾病。</w:t>
      </w:r>
    </w:p>
    <w:p>
      <w:pPr>
        <w:pStyle w:val="ListParagraph"/>
        <w:numPr>
          <w:ilvl w:val="1"/>
          <w:numId w:val="10"/>
        </w:numPr>
        <w:tabs>
          <w:tab w:pos="1105" w:val="left" w:leader="none"/>
          <w:tab w:pos="1106" w:val="left" w:leader="none"/>
        </w:tabs>
        <w:spacing w:line="240" w:lineRule="auto" w:before="41" w:after="0"/>
        <w:ind w:left="1105" w:right="0" w:hanging="567"/>
        <w:jc w:val="left"/>
        <w:rPr>
          <w:sz w:val="18"/>
        </w:rPr>
      </w:pPr>
      <w:r>
        <w:rPr>
          <w:sz w:val="18"/>
        </w:rPr>
        <w:t>恶性肿瘤</w:t>
      </w:r>
    </w:p>
    <w:p>
      <w:pPr>
        <w:pStyle w:val="BodyText"/>
        <w:spacing w:line="360" w:lineRule="auto" w:before="10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4"/>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2"/>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2"/>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5"/>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0"/>
        </w:numPr>
        <w:tabs>
          <w:tab w:pos="1104" w:val="left" w:leader="none"/>
          <w:tab w:pos="1105" w:val="left" w:leader="none"/>
        </w:tabs>
        <w:spacing w:line="240" w:lineRule="auto" w:before="104" w:after="0"/>
        <w:ind w:left="1104" w:right="0" w:hanging="566"/>
        <w:jc w:val="left"/>
        <w:rPr>
          <w:sz w:val="18"/>
        </w:rPr>
      </w:pPr>
      <w:r>
        <w:rPr>
          <w:sz w:val="18"/>
        </w:rPr>
        <w:t>急性心肌梗塞</w:t>
      </w:r>
    </w:p>
    <w:p>
      <w:pPr>
        <w:pStyle w:val="BodyText"/>
        <w:spacing w:before="104"/>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1"/>
        <w:ind w:left="1052"/>
      </w:pPr>
      <w:r>
        <w:rPr/>
        <w:t>（</w:t>
      </w:r>
      <w:r>
        <w:rPr>
          <w:rFonts w:ascii="Arial" w:eastAsia="Arial"/>
        </w:rPr>
        <w:t>2</w:t>
      </w:r>
      <w:r>
        <w:rPr/>
        <w:t>）新近的心电图改变提示急性心肌梗塞；</w:t>
      </w:r>
    </w:p>
    <w:p>
      <w:pPr>
        <w:pStyle w:val="BodyText"/>
        <w:spacing w:before="104"/>
        <w:ind w:left="1052"/>
      </w:pPr>
      <w:r>
        <w:rPr/>
        <w:t>（</w:t>
      </w:r>
      <w:r>
        <w:rPr>
          <w:rFonts w:ascii="Arial" w:eastAsia="Arial"/>
        </w:rPr>
        <w:t>3</w:t>
      </w:r>
      <w:r>
        <w:rPr/>
        <w:t>）心肌酶或肌钙蛋白有诊断意义的升高，或呈符合急性心肌梗塞的动态性变化；</w:t>
      </w:r>
    </w:p>
    <w:p>
      <w:pPr>
        <w:pStyle w:val="BodyText"/>
        <w:spacing w:before="102"/>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0"/>
        </w:numPr>
        <w:tabs>
          <w:tab w:pos="1104" w:val="left" w:leader="none"/>
          <w:tab w:pos="1105" w:val="left" w:leader="none"/>
        </w:tabs>
        <w:spacing w:line="240" w:lineRule="auto" w:before="104" w:after="0"/>
        <w:ind w:left="1104" w:right="0" w:hanging="566"/>
        <w:jc w:val="left"/>
        <w:rPr>
          <w:sz w:val="18"/>
        </w:rPr>
      </w:pPr>
      <w:r>
        <w:rPr>
          <w:sz w:val="18"/>
        </w:rPr>
        <w:t>脑中风后遗症</w:t>
      </w:r>
    </w:p>
    <w:p>
      <w:pPr>
        <w:pStyle w:val="BodyText"/>
        <w:spacing w:line="357" w:lineRule="auto" w:before="104"/>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5"/>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0"/>
        </w:numPr>
        <w:tabs>
          <w:tab w:pos="1104" w:val="left" w:leader="none"/>
          <w:tab w:pos="1105" w:val="left" w:leader="none"/>
        </w:tabs>
        <w:spacing w:line="240" w:lineRule="auto" w:before="103" w:after="0"/>
        <w:ind w:left="1104" w:right="0" w:hanging="566"/>
        <w:jc w:val="left"/>
        <w:rPr>
          <w:sz w:val="18"/>
        </w:rPr>
      </w:pPr>
      <w:r>
        <w:rPr>
          <w:sz w:val="18"/>
        </w:rPr>
        <w:t>重大器官移植术或造血干细胞移植术</w:t>
      </w:r>
    </w:p>
    <w:p>
      <w:pPr>
        <w:pStyle w:val="BodyText"/>
        <w:spacing w:before="103"/>
        <w:ind w:left="951"/>
      </w:pPr>
      <w:r>
        <w:rPr/>
        <w:t>重大器官移植术，指因相应器官功能衰竭，已经实施了肾脏、肝脏、心脏或肺脏的异体移植手术。</w:t>
      </w:r>
    </w:p>
    <w:p>
      <w:pPr>
        <w:spacing w:after="0"/>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0"/>
        </w:numPr>
        <w:tabs>
          <w:tab w:pos="1104" w:val="left" w:leader="none"/>
          <w:tab w:pos="1105" w:val="left" w:leader="none"/>
        </w:tabs>
        <w:spacing w:line="240" w:lineRule="auto" w:before="26" w:after="0"/>
        <w:ind w:left="1104" w:right="0" w:hanging="566"/>
        <w:jc w:val="left"/>
        <w:rPr>
          <w:sz w:val="18"/>
        </w:rPr>
      </w:pPr>
      <w:r>
        <w:rPr>
          <w:sz w:val="18"/>
        </w:rPr>
        <w:t>冠状动脉搭桥术（或称冠状动脉旁路移植术）</w:t>
      </w:r>
    </w:p>
    <w:p>
      <w:pPr>
        <w:pStyle w:val="BodyText"/>
        <w:spacing w:before="103"/>
        <w:ind w:left="951"/>
        <w:jc w:val="both"/>
      </w:pPr>
      <w:r>
        <w:rPr/>
        <w:t>指为治疗严重的冠心病，实际实施了开胸进行的冠状动脉血管旁路移植的手术。</w:t>
      </w:r>
    </w:p>
    <w:p>
      <w:pPr>
        <w:pStyle w:val="Heading3"/>
        <w:spacing w:before="114"/>
        <w:ind w:left="951"/>
        <w:jc w:val="both"/>
      </w:pPr>
      <w:r>
        <w:rPr>
          <w:w w:val="95"/>
        </w:rPr>
        <w:t>冠状动脉支架植入术、心导管球囊扩张术、激光射频技术及其它非开胸的介入手术、腔镜手术不在保障范围内。</w:t>
      </w:r>
    </w:p>
    <w:p>
      <w:pPr>
        <w:pStyle w:val="ListParagraph"/>
        <w:numPr>
          <w:ilvl w:val="1"/>
          <w:numId w:val="10"/>
        </w:numPr>
        <w:tabs>
          <w:tab w:pos="1104" w:val="left" w:leader="none"/>
          <w:tab w:pos="1105" w:val="left" w:leader="none"/>
        </w:tabs>
        <w:spacing w:line="240" w:lineRule="auto" w:before="117" w:after="0"/>
        <w:ind w:left="1104" w:right="0" w:hanging="566"/>
        <w:jc w:val="left"/>
        <w:rPr>
          <w:sz w:val="18"/>
        </w:rPr>
      </w:pPr>
      <w:r>
        <w:rPr>
          <w:sz w:val="18"/>
        </w:rPr>
        <w:t>终末期肾病（或称慢性肾功能衰竭尿毒症期）</w:t>
      </w:r>
    </w:p>
    <w:p>
      <w:pPr>
        <w:pStyle w:val="BodyText"/>
        <w:spacing w:line="338" w:lineRule="auto" w:before="104"/>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0"/>
        </w:numPr>
        <w:tabs>
          <w:tab w:pos="1072" w:val="left" w:leader="none"/>
        </w:tabs>
        <w:spacing w:line="240" w:lineRule="auto" w:before="45" w:after="0"/>
        <w:ind w:left="1071" w:right="0" w:hanging="533"/>
        <w:jc w:val="left"/>
        <w:rPr>
          <w:sz w:val="18"/>
        </w:rPr>
      </w:pPr>
      <w:r>
        <w:rPr>
          <w:sz w:val="18"/>
        </w:rPr>
        <w:t>多个肢体缺失</w:t>
      </w:r>
    </w:p>
    <w:p>
      <w:pPr>
        <w:pStyle w:val="BodyText"/>
        <w:ind w:left="951"/>
      </w:pPr>
      <w:r>
        <w:rPr/>
        <w:t>指因疾病或意外伤害导致两个或两个以上肢体自腕关节或踝关节近端（靠近躯干端）以上完全性断离。</w:t>
      </w:r>
    </w:p>
    <w:p>
      <w:pPr>
        <w:pStyle w:val="ListParagraph"/>
        <w:numPr>
          <w:ilvl w:val="1"/>
          <w:numId w:val="10"/>
        </w:numPr>
        <w:tabs>
          <w:tab w:pos="1104"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pPr>
      <w:r>
        <w:rPr>
          <w:w w:val="95"/>
        </w:rPr>
        <w:t>（</w:t>
      </w:r>
      <w:r>
        <w:rPr>
          <w:rFonts w:ascii="Arial" w:eastAsia="Arial"/>
          <w:w w:val="95"/>
        </w:rPr>
        <w:t>4</w:t>
      </w:r>
      <w:r>
        <w:rPr>
          <w:w w:val="95"/>
        </w:rPr>
        <w:t>）肝功能指标进行性恶化。</w:t>
      </w:r>
    </w:p>
    <w:p>
      <w:pPr>
        <w:pStyle w:val="ListParagraph"/>
        <w:numPr>
          <w:ilvl w:val="1"/>
          <w:numId w:val="10"/>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before="104"/>
        <w:ind w:left="951"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pPr>
      <w:r>
        <w:rPr>
          <w:w w:val="95"/>
        </w:rPr>
        <w:t>（</w:t>
      </w:r>
      <w:r>
        <w:rPr>
          <w:rFonts w:ascii="Arial" w:eastAsia="Arial"/>
          <w:w w:val="95"/>
        </w:rPr>
        <w:t>1</w:t>
      </w:r>
      <w:r>
        <w:rPr>
          <w:w w:val="95"/>
        </w:rPr>
        <w:t>）实际实施了开颅进行的脑肿瘤完全切除或部分切除的手术；</w:t>
      </w:r>
    </w:p>
    <w:p>
      <w:pPr>
        <w:pStyle w:val="BodyText"/>
        <w:spacing w:before="102"/>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0"/>
        </w:numPr>
        <w:tabs>
          <w:tab w:pos="1105" w:val="left" w:leader="none"/>
        </w:tabs>
        <w:spacing w:line="240" w:lineRule="auto" w:before="116" w:after="0"/>
        <w:ind w:left="1104" w:right="0" w:hanging="566"/>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6"/>
        <w:ind w:left="1071"/>
      </w:pPr>
      <w:r>
        <w:rPr>
          <w:w w:val="95"/>
        </w:rPr>
        <w:t>（</w:t>
      </w:r>
      <w:r>
        <w:rPr>
          <w:rFonts w:ascii="Arial" w:eastAsia="Arial"/>
          <w:w w:val="95"/>
        </w:rPr>
        <w:t>1</w:t>
      </w:r>
      <w:r>
        <w:rPr>
          <w:w w:val="95"/>
        </w:rPr>
        <w:t>）持续性黄疸；</w:t>
      </w:r>
    </w:p>
    <w:p>
      <w:pPr>
        <w:pStyle w:val="BodyText"/>
        <w:spacing w:before="101"/>
        <w:ind w:left="1071"/>
      </w:pPr>
      <w:r>
        <w:rPr>
          <w:w w:val="95"/>
        </w:rPr>
        <w:t>（</w:t>
      </w:r>
      <w:r>
        <w:rPr>
          <w:rFonts w:ascii="Arial" w:eastAsia="Arial"/>
          <w:w w:val="95"/>
        </w:rPr>
        <w:t>2</w:t>
      </w:r>
      <w:r>
        <w:rPr>
          <w:w w:val="95"/>
        </w:rPr>
        <w:t>）腹水；</w:t>
      </w:r>
    </w:p>
    <w:p>
      <w:pPr>
        <w:pStyle w:val="BodyText"/>
        <w:spacing w:before="101"/>
        <w:ind w:left="1071"/>
      </w:pPr>
      <w:r>
        <w:rPr>
          <w:w w:val="95"/>
        </w:rPr>
        <w:t>（</w:t>
      </w:r>
      <w:r>
        <w:rPr>
          <w:rFonts w:ascii="Arial" w:eastAsia="Arial"/>
          <w:w w:val="95"/>
        </w:rPr>
        <w:t>3</w:t>
      </w:r>
      <w:r>
        <w:rPr>
          <w:w w:val="95"/>
        </w:rPr>
        <w:t>）肝性脑病；</w:t>
      </w:r>
    </w:p>
    <w:p>
      <w:pPr>
        <w:spacing w:line="340"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0"/>
        </w:numPr>
        <w:tabs>
          <w:tab w:pos="1105" w:val="left" w:leader="none"/>
        </w:tabs>
        <w:spacing w:line="240" w:lineRule="auto" w:before="41" w:after="0"/>
        <w:ind w:left="1104" w:right="0" w:hanging="566"/>
        <w:jc w:val="left"/>
        <w:rPr>
          <w:sz w:val="18"/>
        </w:rPr>
      </w:pPr>
      <w:r>
        <w:rPr>
          <w:sz w:val="18"/>
        </w:rPr>
        <w:t>脑炎后遗症或脑膜炎后遗症</w:t>
      </w:r>
    </w:p>
    <w:p>
      <w:pPr>
        <w:pStyle w:val="BodyText"/>
        <w:spacing w:line="338" w:lineRule="auto" w:before="104"/>
        <w:ind w:right="183"/>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0"/>
        </w:numPr>
        <w:tabs>
          <w:tab w:pos="1529" w:val="left" w:leader="none"/>
          <w:tab w:pos="1530" w:val="left" w:leader="none"/>
        </w:tabs>
        <w:spacing w:line="240" w:lineRule="auto" w:before="40" w:after="0"/>
        <w:ind w:left="1529" w:right="0" w:hanging="425"/>
        <w:jc w:val="left"/>
        <w:rPr>
          <w:sz w:val="18"/>
        </w:rPr>
      </w:pPr>
      <w:r>
        <w:rPr>
          <w:w w:val="95"/>
          <w:sz w:val="18"/>
        </w:rPr>
        <w:t>一肢或一肢以上肢体机能完全丧失；</w:t>
      </w:r>
    </w:p>
    <w:p>
      <w:pPr>
        <w:pStyle w:val="ListParagraph"/>
        <w:numPr>
          <w:ilvl w:val="2"/>
          <w:numId w:val="10"/>
        </w:numPr>
        <w:tabs>
          <w:tab w:pos="1529" w:val="left" w:leader="none"/>
          <w:tab w:pos="1530" w:val="left" w:leader="none"/>
        </w:tabs>
        <w:spacing w:line="240" w:lineRule="auto" w:before="101" w:after="0"/>
        <w:ind w:left="1529" w:right="0" w:hanging="425"/>
        <w:jc w:val="left"/>
        <w:rPr>
          <w:sz w:val="18"/>
        </w:rPr>
      </w:pPr>
      <w:r>
        <w:rPr>
          <w:w w:val="95"/>
          <w:sz w:val="18"/>
        </w:rPr>
        <w:t>语言能力或咀嚼吞咽能力完全丧失；</w:t>
      </w:r>
    </w:p>
    <w:p>
      <w:pPr>
        <w:pStyle w:val="ListParagraph"/>
        <w:numPr>
          <w:ilvl w:val="2"/>
          <w:numId w:val="10"/>
        </w:numPr>
        <w:tabs>
          <w:tab w:pos="1529" w:val="left" w:leader="none"/>
          <w:tab w:pos="1530" w:val="left" w:leader="none"/>
        </w:tabs>
        <w:spacing w:line="240" w:lineRule="auto" w:before="104" w:after="0"/>
        <w:ind w:left="1529" w:right="0" w:hanging="425"/>
        <w:jc w:val="left"/>
        <w:rPr>
          <w:sz w:val="18"/>
        </w:rPr>
      </w:pPr>
      <w:r>
        <w:rPr>
          <w:w w:val="95"/>
          <w:sz w:val="18"/>
        </w:rPr>
        <w:t>自主生活能力完全丧失，无法独立完成六项基本日常生活活动。</w:t>
      </w:r>
    </w:p>
    <w:p>
      <w:pPr>
        <w:pStyle w:val="ListParagraph"/>
        <w:numPr>
          <w:ilvl w:val="1"/>
          <w:numId w:val="10"/>
        </w:numPr>
        <w:tabs>
          <w:tab w:pos="1105" w:val="left" w:leader="none"/>
        </w:tabs>
        <w:spacing w:line="240" w:lineRule="auto" w:before="104" w:after="0"/>
        <w:ind w:left="1104" w:right="0" w:hanging="566"/>
        <w:jc w:val="left"/>
        <w:rPr>
          <w:sz w:val="18"/>
        </w:rPr>
      </w:pPr>
      <w:r>
        <w:rPr>
          <w:sz w:val="18"/>
        </w:rPr>
        <w:t>双耳失聪</w:t>
      </w:r>
    </w:p>
    <w:p>
      <w:pPr>
        <w:pStyle w:val="BodyText"/>
        <w:spacing w:before="104"/>
        <w:ind w:left="951"/>
        <w:jc w:val="both"/>
      </w:pPr>
      <w:r>
        <w:rPr/>
        <w:t>指因疾病或意外伤害导致双耳听力</w:t>
      </w:r>
      <w:r>
        <w:rPr>
          <w:b/>
        </w:rPr>
        <w:t>永久不可逆（见释义）</w:t>
      </w:r>
      <w:r>
        <w:rPr/>
        <w:t>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2"/>
        <w:ind w:left="95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0"/>
        </w:numPr>
        <w:tabs>
          <w:tab w:pos="1105" w:val="left" w:leader="none"/>
        </w:tabs>
        <w:spacing w:line="240" w:lineRule="auto" w:before="104" w:after="0"/>
        <w:ind w:left="1104" w:right="0" w:hanging="566"/>
        <w:jc w:val="left"/>
        <w:rPr>
          <w:sz w:val="18"/>
        </w:rPr>
      </w:pPr>
      <w:r>
        <w:rPr>
          <w:sz w:val="18"/>
        </w:rPr>
        <w:t>双目失明</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ind w:left="951"/>
      </w:pPr>
      <w:r>
        <w:rPr/>
        <w:t>指因疾病或意外伤害导致双眼视力永久不可逆性丧失，双眼中较好眼须满足下列至少一项条件：</w:t>
      </w:r>
    </w:p>
    <w:p>
      <w:pPr>
        <w:pStyle w:val="BodyText"/>
        <w:spacing w:before="116"/>
        <w:ind w:left="1102"/>
      </w:pPr>
      <w:r>
        <w:rPr>
          <w:w w:val="95"/>
        </w:rPr>
        <w:t>（</w:t>
      </w:r>
      <w:r>
        <w:rPr>
          <w:rFonts w:ascii="Arial" w:eastAsia="Arial"/>
          <w:w w:val="95"/>
        </w:rPr>
        <w:t>1</w:t>
      </w:r>
      <w:r>
        <w:rPr>
          <w:w w:val="95"/>
        </w:rPr>
        <w:t>）眼球缺失或摘除；</w:t>
      </w:r>
    </w:p>
    <w:p>
      <w:pPr>
        <w:pStyle w:val="BodyText"/>
        <w:spacing w:before="101"/>
        <w:ind w:left="1102"/>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102"/>
      </w:pPr>
      <w:r>
        <w:rPr/>
        <w:t>（</w:t>
      </w:r>
      <w:r>
        <w:rPr>
          <w:rFonts w:ascii="Arial" w:eastAsia="Arial"/>
        </w:rPr>
        <w:t>3</w:t>
      </w:r>
      <w:r>
        <w:rPr/>
        <w:t>）视野半径小于 </w:t>
      </w:r>
      <w:r>
        <w:rPr>
          <w:rFonts w:ascii="Arial" w:eastAsia="Arial"/>
        </w:rPr>
        <w:t>5 </w:t>
      </w:r>
      <w:r>
        <w:rPr/>
        <w:t>度。</w:t>
      </w:r>
    </w:p>
    <w:p>
      <w:pPr>
        <w:pStyle w:val="ListParagraph"/>
        <w:numPr>
          <w:ilvl w:val="1"/>
          <w:numId w:val="10"/>
        </w:numPr>
        <w:tabs>
          <w:tab w:pos="1105" w:val="left" w:leader="none"/>
        </w:tabs>
        <w:spacing w:line="240" w:lineRule="auto" w:before="103" w:after="0"/>
        <w:ind w:left="1104" w:right="0" w:hanging="566"/>
        <w:jc w:val="left"/>
        <w:rPr>
          <w:sz w:val="18"/>
        </w:rPr>
      </w:pPr>
      <w:r>
        <w:rPr>
          <w:sz w:val="18"/>
        </w:rPr>
        <w:t>瘫痪</w:t>
      </w:r>
    </w:p>
    <w:p>
      <w:pPr>
        <w:pStyle w:val="BodyText"/>
        <w:spacing w:before="103"/>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3"/>
      </w:pPr>
      <w:r>
        <w:rPr/>
        <w:t>外伤害发生 </w:t>
      </w:r>
      <w:r>
        <w:rPr>
          <w:rFonts w:ascii="Arial" w:eastAsia="Arial"/>
        </w:rPr>
        <w:t>180 </w:t>
      </w:r>
      <w:r>
        <w:rPr/>
        <w:t>日后，每肢三大关节中的两大关节仍然完全僵硬，或不能随意识活动。</w:t>
      </w:r>
    </w:p>
    <w:p>
      <w:pPr>
        <w:pStyle w:val="ListParagraph"/>
        <w:numPr>
          <w:ilvl w:val="1"/>
          <w:numId w:val="10"/>
        </w:numPr>
        <w:tabs>
          <w:tab w:pos="1105" w:val="left" w:leader="none"/>
        </w:tabs>
        <w:spacing w:line="240" w:lineRule="auto" w:before="103" w:after="0"/>
        <w:ind w:left="1104" w:right="0" w:hanging="566"/>
        <w:jc w:val="left"/>
        <w:rPr>
          <w:sz w:val="18"/>
        </w:rPr>
      </w:pPr>
      <w:r>
        <w:rPr>
          <w:sz w:val="18"/>
        </w:rPr>
        <w:t>心脏瓣膜手术</w:t>
      </w:r>
    </w:p>
    <w:p>
      <w:pPr>
        <w:pStyle w:val="BodyText"/>
        <w:spacing w:before="103"/>
      </w:pPr>
      <w:r>
        <w:rPr/>
        <w:t>指为治疗心脏瓣膜疾病，实际实施了开胸进行的心脏瓣膜置换或修复的手术。</w:t>
      </w:r>
    </w:p>
    <w:p>
      <w:pPr>
        <w:pStyle w:val="ListParagraph"/>
        <w:numPr>
          <w:ilvl w:val="1"/>
          <w:numId w:val="10"/>
        </w:numPr>
        <w:tabs>
          <w:tab w:pos="1105" w:val="left" w:leader="none"/>
        </w:tabs>
        <w:spacing w:line="240" w:lineRule="auto" w:before="116" w:after="0"/>
        <w:ind w:left="1104" w:right="0" w:hanging="566"/>
        <w:jc w:val="left"/>
        <w:rPr>
          <w:sz w:val="18"/>
        </w:rPr>
      </w:pPr>
      <w:r>
        <w:rPr>
          <w:sz w:val="18"/>
        </w:rPr>
        <w:t>严重阿尔茨海默病</w:t>
      </w:r>
    </w:p>
    <w:p>
      <w:pPr>
        <w:pStyle w:val="BodyText"/>
        <w:spacing w:line="357" w:lineRule="auto" w:before="104"/>
        <w:ind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40" w:lineRule="auto" w:before="3"/>
        <w:ind w:left="831" w:right="285" w:hanging="1"/>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38"/>
        <w:ind w:left="831"/>
      </w:pPr>
      <w:r>
        <w:rPr/>
        <w:t>我们仅承担被保险人在 </w:t>
      </w:r>
      <w:r>
        <w:rPr>
          <w:rFonts w:ascii="Arial" w:eastAsia="Arial"/>
        </w:rPr>
        <w:t>65 </w:t>
      </w:r>
      <w:r>
        <w:rPr/>
        <w:t>周岁之前的保障责任。</w:t>
      </w:r>
    </w:p>
    <w:p>
      <w:pPr>
        <w:pStyle w:val="ListParagraph"/>
        <w:numPr>
          <w:ilvl w:val="1"/>
          <w:numId w:val="10"/>
        </w:numPr>
        <w:tabs>
          <w:tab w:pos="1105" w:val="left" w:leader="none"/>
        </w:tabs>
        <w:spacing w:line="240" w:lineRule="auto" w:before="104" w:after="0"/>
        <w:ind w:left="1104" w:right="0" w:hanging="566"/>
        <w:jc w:val="left"/>
        <w:rPr>
          <w:sz w:val="18"/>
        </w:rPr>
      </w:pPr>
      <w:r>
        <w:rPr>
          <w:sz w:val="18"/>
        </w:rPr>
        <w:t>严重脑损伤</w:t>
      </w:r>
    </w:p>
    <w:p>
      <w:pPr>
        <w:pStyle w:val="BodyText"/>
        <w:spacing w:line="340" w:lineRule="auto" w:before="104"/>
        <w:ind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8"/>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1"/>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0"/>
        </w:numPr>
        <w:tabs>
          <w:tab w:pos="1105" w:val="left" w:leader="none"/>
        </w:tabs>
        <w:spacing w:line="240" w:lineRule="auto" w:before="106" w:after="0"/>
        <w:ind w:left="1104" w:right="0" w:hanging="566"/>
        <w:jc w:val="left"/>
        <w:rPr>
          <w:sz w:val="18"/>
        </w:rPr>
      </w:pPr>
      <w:r>
        <w:rPr>
          <w:sz w:val="18"/>
        </w:rPr>
        <w:t>严重帕金森病</w:t>
      </w:r>
    </w:p>
    <w:p>
      <w:pPr>
        <w:pStyle w:val="BodyText"/>
        <w:spacing w:before="102"/>
      </w:pPr>
      <w:r>
        <w:rPr/>
        <w:t>是一种中枢神经系统的退行性疾病，临床表现为震颤麻痹、共济失调等。须满足下列全部条件：</w:t>
      </w:r>
    </w:p>
    <w:p>
      <w:pPr>
        <w:pStyle w:val="BodyText"/>
        <w:spacing w:before="117"/>
        <w:ind w:left="1011"/>
      </w:pPr>
      <w:r>
        <w:rPr>
          <w:w w:val="95"/>
        </w:rPr>
        <w:t>（</w:t>
      </w:r>
      <w:r>
        <w:rPr>
          <w:rFonts w:ascii="Arial" w:eastAsia="Arial"/>
          <w:w w:val="95"/>
        </w:rPr>
        <w:t>1</w:t>
      </w:r>
      <w:r>
        <w:rPr>
          <w:w w:val="95"/>
        </w:rPr>
        <w:t>）药物治疗无法控制病情；</w:t>
      </w:r>
    </w:p>
    <w:p>
      <w:pPr>
        <w:spacing w:line="338"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1"/>
        <w:ind w:left="831"/>
      </w:pPr>
      <w:r>
        <w:rPr/>
        <w:t>我们仅承担被保险人在 </w:t>
      </w:r>
      <w:r>
        <w:rPr>
          <w:rFonts w:ascii="Arial" w:eastAsia="Arial"/>
        </w:rPr>
        <w:t>65 </w:t>
      </w:r>
      <w:r>
        <w:rPr/>
        <w:t>周岁之前的保障责任。</w:t>
      </w:r>
    </w:p>
    <w:p>
      <w:pPr>
        <w:pStyle w:val="ListParagraph"/>
        <w:numPr>
          <w:ilvl w:val="1"/>
          <w:numId w:val="10"/>
        </w:numPr>
        <w:tabs>
          <w:tab w:pos="1105" w:val="left" w:leader="none"/>
        </w:tabs>
        <w:spacing w:line="240" w:lineRule="auto" w:before="106" w:after="0"/>
        <w:ind w:left="1104" w:right="0" w:hanging="566"/>
        <w:jc w:val="left"/>
        <w:rPr>
          <w:sz w:val="18"/>
        </w:rPr>
      </w:pPr>
      <w:r>
        <w:rPr>
          <w:sz w:val="18"/>
        </w:rPr>
        <w:t>严重Ⅲ度烧伤</w:t>
      </w:r>
    </w:p>
    <w:p>
      <w:pPr>
        <w:pStyle w:val="BodyText"/>
        <w:spacing w:before="103"/>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0"/>
        </w:numPr>
        <w:tabs>
          <w:tab w:pos="1105" w:val="left" w:leader="none"/>
        </w:tabs>
        <w:spacing w:line="240" w:lineRule="auto" w:before="103" w:after="0"/>
        <w:ind w:left="1104" w:right="0" w:hanging="566"/>
        <w:jc w:val="left"/>
        <w:rPr>
          <w:sz w:val="18"/>
        </w:rPr>
      </w:pPr>
      <w:r>
        <w:rPr>
          <w:sz w:val="18"/>
        </w:rPr>
        <w:t>严重原发性肺动脉高压</w:t>
      </w:r>
    </w:p>
    <w:p>
      <w:pPr>
        <w:pStyle w:val="BodyText"/>
        <w:spacing w:line="357" w:lineRule="auto" w:before="103"/>
        <w:ind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0"/>
        </w:numPr>
        <w:tabs>
          <w:tab w:pos="1243" w:val="left" w:leader="none"/>
          <w:tab w:pos="1244" w:val="left" w:leader="none"/>
        </w:tabs>
        <w:spacing w:line="240" w:lineRule="auto" w:before="5" w:after="0"/>
        <w:ind w:left="1243" w:right="0" w:hanging="705"/>
        <w:jc w:val="left"/>
        <w:rPr>
          <w:sz w:val="18"/>
        </w:rPr>
      </w:pPr>
      <w:r>
        <w:rPr>
          <w:sz w:val="18"/>
        </w:rPr>
        <w:t>严重运动神经元病</w:t>
      </w:r>
    </w:p>
    <w:p>
      <w:pPr>
        <w:pStyle w:val="BodyText"/>
        <w:spacing w:line="357" w:lineRule="auto"/>
        <w:ind w:left="830"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0"/>
        </w:numPr>
        <w:tabs>
          <w:tab w:pos="1243" w:val="left" w:leader="none"/>
          <w:tab w:pos="1244" w:val="left" w:leader="none"/>
        </w:tabs>
        <w:spacing w:line="240" w:lineRule="auto" w:before="30" w:after="0"/>
        <w:ind w:left="1243" w:right="0" w:hanging="705"/>
        <w:jc w:val="left"/>
        <w:rPr>
          <w:sz w:val="18"/>
        </w:rPr>
      </w:pPr>
      <w:r>
        <w:rPr>
          <w:sz w:val="18"/>
        </w:rPr>
        <w:t>语言能力丧失</w:t>
      </w:r>
    </w:p>
    <w:p>
      <w:pPr>
        <w:pStyle w:val="BodyText"/>
        <w:spacing w:line="338" w:lineRule="auto" w:before="103"/>
        <w:ind w:left="830"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2"/>
        <w:ind w:left="831"/>
      </w:pPr>
      <w:r>
        <w:rPr>
          <w:w w:val="95"/>
        </w:rPr>
        <w:t>精神心理因素所致的语言能力丧失不在保障范围内。</w:t>
      </w:r>
    </w:p>
    <w:p>
      <w:pPr>
        <w:spacing w:after="0"/>
        <w:sectPr>
          <w:pgSz w:w="11910" w:h="16840"/>
          <w:pgMar w:header="672" w:footer="759" w:top="860" w:bottom="940" w:left="880" w:right="740"/>
        </w:sectPr>
      </w:pPr>
    </w:p>
    <w:p>
      <w:pPr>
        <w:pStyle w:val="BodyText"/>
        <w:spacing w:before="9"/>
        <w:ind w:left="0"/>
        <w:rPr>
          <w:b/>
          <w:sz w:val="13"/>
        </w:rPr>
      </w:pPr>
    </w:p>
    <w:p>
      <w:pPr>
        <w:pStyle w:val="ListParagraph"/>
        <w:numPr>
          <w:ilvl w:val="1"/>
          <w:numId w:val="10"/>
        </w:numPr>
        <w:tabs>
          <w:tab w:pos="1105" w:val="left" w:leader="none"/>
        </w:tabs>
        <w:spacing w:line="240" w:lineRule="auto" w:before="53" w:after="0"/>
        <w:ind w:left="1104" w:right="0" w:hanging="566"/>
        <w:jc w:val="left"/>
        <w:rPr>
          <w:sz w:val="18"/>
        </w:rPr>
      </w:pPr>
      <w:r>
        <w:rPr>
          <w:sz w:val="18"/>
        </w:rPr>
        <w:t>重型再生障碍性贫血</w:t>
      </w:r>
    </w:p>
    <w:p>
      <w:pPr>
        <w:pStyle w:val="BodyText"/>
        <w:spacing w:before="103"/>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2"/>
        <w:ind w:left="1011"/>
      </w:pPr>
      <w:r>
        <w:rPr>
          <w:w w:val="95"/>
        </w:rPr>
        <w:t>（</w:t>
      </w:r>
      <w:r>
        <w:rPr>
          <w:rFonts w:ascii="Arial" w:eastAsia="Arial"/>
          <w:w w:val="95"/>
        </w:rPr>
        <w:t>2</w:t>
      </w:r>
      <w:r>
        <w:rPr>
          <w:w w:val="95"/>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4"/>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0"/>
        </w:numPr>
        <w:tabs>
          <w:tab w:pos="1105" w:val="left" w:leader="none"/>
        </w:tabs>
        <w:spacing w:line="240" w:lineRule="auto" w:before="104" w:after="0"/>
        <w:ind w:left="1104" w:right="0" w:hanging="566"/>
        <w:jc w:val="left"/>
        <w:rPr>
          <w:sz w:val="18"/>
        </w:rPr>
      </w:pPr>
      <w:r>
        <w:rPr>
          <w:sz w:val="18"/>
        </w:rPr>
        <w:t>主动脉手术</w:t>
      </w:r>
    </w:p>
    <w:p>
      <w:pPr>
        <w:pStyle w:val="BodyText"/>
        <w:spacing w:line="357" w:lineRule="auto" w:before="104"/>
        <w:ind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9"/>
        <w:ind w:left="831"/>
      </w:pPr>
      <w:r>
        <w:rPr>
          <w:w w:val="95"/>
        </w:rPr>
        <w:t>动脉内血管成形术不在保障范围内。</w:t>
      </w:r>
    </w:p>
    <w:p>
      <w:pPr>
        <w:pStyle w:val="ListParagraph"/>
        <w:numPr>
          <w:ilvl w:val="1"/>
          <w:numId w:val="10"/>
        </w:numPr>
        <w:tabs>
          <w:tab w:pos="1105" w:val="left" w:leader="none"/>
        </w:tabs>
        <w:spacing w:line="240" w:lineRule="auto" w:before="117" w:after="0"/>
        <w:ind w:left="1104" w:right="0" w:hanging="566"/>
        <w:jc w:val="left"/>
        <w:rPr>
          <w:sz w:val="18"/>
        </w:rPr>
      </w:pPr>
      <w:r>
        <w:rPr>
          <w:sz w:val="18"/>
        </w:rPr>
        <w:t>多发性硬化</w:t>
      </w:r>
    </w:p>
    <w:p>
      <w:pPr>
        <w:pStyle w:val="BodyText"/>
        <w:spacing w:line="348" w:lineRule="auto" w:before="104"/>
        <w:ind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0"/>
        </w:numPr>
        <w:tabs>
          <w:tab w:pos="1105" w:val="left" w:leader="none"/>
        </w:tabs>
        <w:spacing w:line="240" w:lineRule="auto" w:before="106" w:after="0"/>
        <w:ind w:left="1104" w:right="0" w:hanging="566"/>
        <w:jc w:val="left"/>
        <w:rPr>
          <w:sz w:val="18"/>
        </w:rPr>
      </w:pPr>
      <w:r>
        <w:rPr>
          <w:sz w:val="18"/>
        </w:rPr>
        <w:t>肌营养不良症</w:t>
      </w:r>
    </w:p>
    <w:p>
      <w:pPr>
        <w:pStyle w:val="BodyText"/>
        <w:spacing w:line="357" w:lineRule="auto" w:before="104"/>
        <w:ind w:right="275"/>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w w:val="95"/>
        </w:rPr>
        <w:t>（</w:t>
      </w:r>
      <w:r>
        <w:rPr>
          <w:rFonts w:ascii="Arial" w:eastAsia="Arial"/>
          <w:w w:val="95"/>
        </w:rPr>
        <w:t>1</w:t>
      </w:r>
      <w:r>
        <w:rPr>
          <w:w w:val="95"/>
        </w:rPr>
        <w:t>）家族史中有其他成员患相同疾病；</w:t>
      </w:r>
    </w:p>
    <w:p>
      <w:pPr>
        <w:pStyle w:val="BodyText"/>
        <w:spacing w:before="102"/>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4"/>
        <w:ind w:left="1011"/>
      </w:pPr>
      <w:r>
        <w:rPr>
          <w:w w:val="95"/>
        </w:rPr>
        <w:t>（</w:t>
      </w:r>
      <w:r>
        <w:rPr>
          <w:rFonts w:ascii="Arial" w:eastAsia="Arial"/>
          <w:w w:val="95"/>
        </w:rPr>
        <w:t>3</w:t>
      </w:r>
      <w:r>
        <w:rPr>
          <w:w w:val="95"/>
        </w:rPr>
        <w:t>）典型的肌电图；</w:t>
      </w:r>
    </w:p>
    <w:p>
      <w:pPr>
        <w:pStyle w:val="BodyText"/>
        <w:spacing w:before="101"/>
        <w:ind w:left="1011"/>
      </w:pPr>
      <w:r>
        <w:rPr>
          <w:w w:val="95"/>
        </w:rPr>
        <w:t>（</w:t>
      </w:r>
      <w:r>
        <w:rPr>
          <w:rFonts w:ascii="Arial" w:eastAsia="Arial"/>
          <w:w w:val="95"/>
        </w:rPr>
        <w:t>4</w:t>
      </w:r>
      <w:r>
        <w:rPr>
          <w:w w:val="95"/>
        </w:rPr>
        <w:t>）临床推测必须有肌肉或组织检查加以证实。</w:t>
      </w:r>
    </w:p>
    <w:p>
      <w:pPr>
        <w:pStyle w:val="ListParagraph"/>
        <w:numPr>
          <w:ilvl w:val="1"/>
          <w:numId w:val="10"/>
        </w:numPr>
        <w:tabs>
          <w:tab w:pos="1243" w:val="left" w:leader="none"/>
          <w:tab w:pos="1244" w:val="left" w:leader="none"/>
        </w:tabs>
        <w:spacing w:line="240" w:lineRule="auto" w:before="104" w:after="0"/>
        <w:ind w:left="1244" w:right="0" w:hanging="706"/>
        <w:jc w:val="left"/>
        <w:rPr>
          <w:sz w:val="18"/>
        </w:rPr>
      </w:pPr>
      <w:r>
        <w:rPr>
          <w:sz w:val="18"/>
        </w:rPr>
        <w:t>急诊和医疗服务导致的艾滋病病毒感染</w:t>
      </w:r>
    </w:p>
    <w:p>
      <w:pPr>
        <w:pStyle w:val="BodyText"/>
        <w:spacing w:line="357" w:lineRule="auto" w:before="104"/>
        <w:ind w:right="455"/>
      </w:pPr>
      <w:r>
        <w:rPr/>
        <w:t>在本附加险保单签发日、合同签署日或复效日（取其最晚者）之后，被保险人在从事正常职业生活中感染艾滋病病毒，并且证实满足以下所有条件者：</w:t>
      </w:r>
    </w:p>
    <w:p>
      <w:pPr>
        <w:pStyle w:val="BodyText"/>
        <w:spacing w:before="28"/>
        <w:ind w:left="1011"/>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1"/>
        <w:ind w:left="1011"/>
      </w:pPr>
      <w:r>
        <w:rPr>
          <w:w w:val="95"/>
        </w:rPr>
        <w:t>（</w:t>
      </w:r>
      <w:r>
        <w:rPr>
          <w:rFonts w:ascii="Arial" w:eastAsia="Arial"/>
          <w:w w:val="95"/>
        </w:rPr>
        <w:t>2</w:t>
      </w:r>
      <w:r>
        <w:rPr>
          <w:w w:val="95"/>
        </w:rPr>
        <w:t>）导致意外事故的明确的艾滋病病毒感染的液体的证据；</w:t>
      </w:r>
    </w:p>
    <w:p>
      <w:pPr>
        <w:pStyle w:val="BodyText"/>
        <w:spacing w:line="338" w:lineRule="auto" w:before="101"/>
        <w:ind w:right="254" w:firstLine="180"/>
      </w:pPr>
      <w:r>
        <w:rPr/>
        <w:t>（</w:t>
      </w:r>
      <w:r>
        <w:rPr>
          <w:rFonts w:ascii="Arial" w:eastAsia="Arial"/>
        </w:rPr>
        <w:t>3</w:t>
      </w:r>
      <w:r>
        <w:rPr/>
        <w:t>）</w:t>
      </w:r>
      <w:r>
        <w:rPr>
          <w:spacing w:val="-4"/>
        </w:rPr>
        <w:t>在书面报告意外发生后的 </w:t>
      </w:r>
      <w:r>
        <w:rPr>
          <w:rFonts w:ascii="Arial" w:eastAsia="Arial"/>
        </w:rPr>
        <w:t>180 </w:t>
      </w:r>
      <w:r>
        <w:rPr/>
        <w:t>天内（</w:t>
      </w:r>
      <w:r>
        <w:rPr>
          <w:spacing w:val="-16"/>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包括一个意外事故发生后 </w:t>
      </w:r>
      <w:r>
        <w:rPr>
          <w:rFonts w:ascii="Arial" w:eastAsia="Arial"/>
        </w:rPr>
        <w:t>5 </w:t>
      </w:r>
      <w:r>
        <w:rPr>
          <w:spacing w:val="-2"/>
        </w:rPr>
        <w:t>天内</w:t>
      </w:r>
      <w:r>
        <w:rPr/>
        <w:t>（</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20"/>
        <w:ind w:left="831"/>
      </w:pPr>
      <w:r>
        <w:rPr>
          <w:w w:val="95"/>
        </w:rPr>
        <w:t>由其他途径感染的艾滋病病毒，包括性行为和静脉注射毒品，不在保障范围内。</w:t>
      </w:r>
    </w:p>
    <w:p>
      <w:pPr>
        <w:pStyle w:val="BodyText"/>
        <w:spacing w:before="114"/>
      </w:pPr>
      <w:r>
        <w:rPr/>
        <w:t>意外事故后 </w:t>
      </w:r>
      <w:r>
        <w:rPr>
          <w:rFonts w:ascii="Arial" w:eastAsia="Arial"/>
        </w:rPr>
        <w:t>12 </w:t>
      </w:r>
      <w:r>
        <w:rPr/>
        <w:t>个月内需要进行进一步的血液检查以确认存在艾滋病病毒抗体的存在。</w:t>
      </w:r>
    </w:p>
    <w:p>
      <w:pPr>
        <w:pStyle w:val="BodyText"/>
        <w:spacing w:line="357" w:lineRule="auto" w:before="102"/>
        <w:ind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0"/>
        </w:numPr>
        <w:tabs>
          <w:tab w:pos="1105" w:val="left" w:leader="none"/>
        </w:tabs>
        <w:spacing w:line="240" w:lineRule="auto" w:before="31" w:after="0"/>
        <w:ind w:left="1104" w:right="0" w:hanging="566"/>
        <w:jc w:val="left"/>
        <w:rPr>
          <w:sz w:val="18"/>
        </w:rPr>
      </w:pPr>
      <w:r>
        <w:rPr>
          <w:sz w:val="18"/>
        </w:rPr>
        <w:t>慢性复发性胰腺炎</w:t>
      </w:r>
    </w:p>
    <w:p>
      <w:pPr>
        <w:pStyle w:val="BodyText"/>
        <w:spacing w:line="348" w:lineRule="auto" w:before="101"/>
        <w:ind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0"/>
        </w:numPr>
        <w:tabs>
          <w:tab w:pos="1105" w:val="left" w:leader="none"/>
        </w:tabs>
        <w:spacing w:line="240" w:lineRule="auto" w:before="117" w:after="0"/>
        <w:ind w:left="1104" w:right="0" w:hanging="566"/>
        <w:jc w:val="left"/>
        <w:rPr>
          <w:sz w:val="18"/>
        </w:rPr>
      </w:pPr>
      <w:r>
        <w:rPr>
          <w:sz w:val="18"/>
        </w:rPr>
        <w:t>系统性红斑狼疮</w:t>
      </w:r>
    </w:p>
    <w:p>
      <w:pPr>
        <w:pStyle w:val="BodyText"/>
        <w:spacing w:before="104"/>
      </w:pPr>
      <w:r>
        <w:rPr/>
        <w:t>限于被保险人因系统性红斑狼疮并发狼疮性肾炎并引起肾功能损害或中枢神经系统病变符合下列定义的：</w:t>
      </w:r>
    </w:p>
    <w:p>
      <w:pPr>
        <w:spacing w:after="0"/>
        <w:sectPr>
          <w:pgSz w:w="11910" w:h="16840"/>
          <w:pgMar w:header="672" w:footer="759" w:top="860" w:bottom="940" w:left="880" w:right="740"/>
        </w:sectPr>
      </w:pPr>
    </w:p>
    <w:p>
      <w:pPr>
        <w:pStyle w:val="BodyText"/>
        <w:spacing w:before="9"/>
        <w:ind w:left="0"/>
        <w:rPr>
          <w:sz w:val="13"/>
        </w:rPr>
      </w:pPr>
    </w:p>
    <w:p>
      <w:pPr>
        <w:pStyle w:val="BodyText"/>
        <w:spacing w:line="340" w:lineRule="auto" w:before="53"/>
        <w:ind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8"/>
      </w:pPr>
      <w:r>
        <w:rPr/>
        <w:t>世界卫生组织（</w:t>
      </w:r>
      <w:r>
        <w:rPr>
          <w:rFonts w:ascii="Arial" w:eastAsia="Arial"/>
        </w:rPr>
        <w:t>WHO</w:t>
      </w:r>
      <w:r>
        <w:rPr/>
        <w:t>）对狼疮性肾炎的分类标准：</w:t>
      </w:r>
    </w:p>
    <w:p>
      <w:pPr>
        <w:pStyle w:val="ListParagraph"/>
        <w:numPr>
          <w:ilvl w:val="0"/>
          <w:numId w:val="11"/>
        </w:numPr>
        <w:tabs>
          <w:tab w:pos="1292"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1"/>
        </w:numPr>
        <w:tabs>
          <w:tab w:pos="1333" w:val="left" w:leader="none"/>
        </w:tabs>
        <w:spacing w:line="240" w:lineRule="auto" w:before="101"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1"/>
        </w:numPr>
        <w:tabs>
          <w:tab w:pos="1384" w:val="left" w:leader="none"/>
        </w:tabs>
        <w:spacing w:line="240" w:lineRule="auto" w:before="103"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1"/>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1"/>
        </w:numPr>
        <w:tabs>
          <w:tab w:pos="1352" w:val="left" w:leader="none"/>
        </w:tabs>
        <w:spacing w:line="240" w:lineRule="auto" w:before="101" w:after="0"/>
        <w:ind w:left="1351" w:right="0" w:hanging="160"/>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1"/>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3"/>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0"/>
        </w:numPr>
        <w:tabs>
          <w:tab w:pos="1105" w:val="left" w:leader="none"/>
        </w:tabs>
        <w:spacing w:line="240" w:lineRule="auto" w:before="28" w:after="0"/>
        <w:ind w:left="1104" w:right="0" w:hanging="566"/>
        <w:jc w:val="left"/>
        <w:rPr>
          <w:sz w:val="18"/>
        </w:rPr>
      </w:pPr>
      <w:r>
        <w:rPr>
          <w:sz w:val="18"/>
        </w:rPr>
        <w:t>植物人状态</w:t>
      </w:r>
    </w:p>
    <w:p>
      <w:pPr>
        <w:pStyle w:val="BodyText"/>
        <w:spacing w:line="357" w:lineRule="auto" w:before="104"/>
        <w:ind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0"/>
        </w:numPr>
        <w:tabs>
          <w:tab w:pos="1243" w:val="left" w:leader="none"/>
          <w:tab w:pos="1244" w:val="left" w:leader="none"/>
        </w:tabs>
        <w:spacing w:line="240" w:lineRule="auto" w:before="29" w:after="0"/>
        <w:ind w:left="1244" w:right="0" w:hanging="706"/>
        <w:jc w:val="left"/>
        <w:rPr>
          <w:sz w:val="18"/>
        </w:rPr>
      </w:pPr>
      <w:r>
        <w:rPr>
          <w:sz w:val="18"/>
        </w:rPr>
        <w:t>严重原发性心肌病</w:t>
      </w:r>
    </w:p>
    <w:p>
      <w:pPr>
        <w:pStyle w:val="BodyText"/>
        <w:spacing w:line="345" w:lineRule="auto" w:before="104"/>
        <w:ind w:left="830" w:right="177"/>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6"/>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0"/>
        </w:numPr>
        <w:tabs>
          <w:tab w:pos="1243" w:val="left" w:leader="none"/>
          <w:tab w:pos="1244" w:val="left" w:leader="none"/>
        </w:tabs>
        <w:spacing w:line="240" w:lineRule="auto" w:before="40" w:after="0"/>
        <w:ind w:left="1244" w:right="0" w:hanging="706"/>
        <w:jc w:val="left"/>
        <w:rPr>
          <w:sz w:val="18"/>
        </w:rPr>
      </w:pPr>
      <w:r>
        <w:rPr>
          <w:sz w:val="18"/>
        </w:rPr>
        <w:t>严重的类风湿关节炎</w:t>
      </w:r>
    </w:p>
    <w:p>
      <w:pPr>
        <w:pStyle w:val="BodyText"/>
        <w:spacing w:before="104"/>
      </w:pPr>
      <w:r>
        <w:rPr/>
        <w:t>严重的类风湿关节炎需符合下列各项：</w:t>
      </w:r>
    </w:p>
    <w:p>
      <w:pPr>
        <w:pStyle w:val="ListParagraph"/>
        <w:numPr>
          <w:ilvl w:val="0"/>
          <w:numId w:val="12"/>
        </w:numPr>
        <w:tabs>
          <w:tab w:pos="1388" w:val="left" w:leader="none"/>
        </w:tabs>
        <w:spacing w:line="340" w:lineRule="auto" w:before="116" w:after="0"/>
        <w:ind w:left="1388" w:right="258" w:hanging="569"/>
        <w:jc w:val="left"/>
        <w:rPr>
          <w:sz w:val="18"/>
        </w:rPr>
      </w:pPr>
      <w:r>
        <w:rPr>
          <w:sz w:val="18"/>
        </w:rPr>
        <w:t>关节变形性病变累及三组或以上所列关节：指间关节（所有指间关节计为一组）、腕关节、肘关节、膝关节、髋关节、踝关节、椎间关节（所有椎间关节计为一组）；</w:t>
      </w:r>
    </w:p>
    <w:p>
      <w:pPr>
        <w:pStyle w:val="ListParagraph"/>
        <w:numPr>
          <w:ilvl w:val="0"/>
          <w:numId w:val="12"/>
        </w:numPr>
        <w:tabs>
          <w:tab w:pos="1388" w:val="left" w:leader="none"/>
        </w:tabs>
        <w:spacing w:line="340" w:lineRule="auto" w:before="41" w:after="0"/>
        <w:ind w:left="1388" w:right="278" w:hanging="569"/>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光片显示有典型的类风湿改变（关节间隙狭窄，关节软骨下囊性破坏，关节半脱位，关节融合，关节纤维性强直或骨性强直）；</w:t>
      </w:r>
    </w:p>
    <w:p>
      <w:pPr>
        <w:pStyle w:val="ListParagraph"/>
        <w:numPr>
          <w:ilvl w:val="0"/>
          <w:numId w:val="12"/>
        </w:numPr>
        <w:tabs>
          <w:tab w:pos="1388" w:val="left" w:leader="none"/>
        </w:tabs>
        <w:spacing w:line="240" w:lineRule="auto" w:before="41" w:after="0"/>
        <w:ind w:left="1388" w:right="0" w:hanging="569"/>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0"/>
        </w:numPr>
        <w:tabs>
          <w:tab w:pos="1243" w:val="left" w:leader="none"/>
          <w:tab w:pos="1244" w:val="left" w:leader="none"/>
        </w:tabs>
        <w:spacing w:line="240" w:lineRule="auto" w:before="106" w:after="0"/>
        <w:ind w:left="1244" w:right="0" w:hanging="706"/>
        <w:jc w:val="left"/>
        <w:rPr>
          <w:sz w:val="18"/>
        </w:rPr>
      </w:pPr>
      <w:r>
        <w:rPr>
          <w:sz w:val="18"/>
        </w:rPr>
        <w:t>由输血而感染艾滋病病毒</w:t>
      </w:r>
    </w:p>
    <w:p>
      <w:pPr>
        <w:pStyle w:val="BodyText"/>
        <w:spacing w:before="104"/>
      </w:pPr>
      <w:r>
        <w:rPr/>
        <w:t>指被保险人感染艾滋病病毒，并须满足下列全部条件：</w:t>
      </w:r>
    </w:p>
    <w:p>
      <w:pPr>
        <w:pStyle w:val="ListParagraph"/>
        <w:numPr>
          <w:ilvl w:val="0"/>
          <w:numId w:val="13"/>
        </w:numPr>
        <w:tabs>
          <w:tab w:pos="1388" w:val="left" w:leader="none"/>
        </w:tabs>
        <w:spacing w:line="340" w:lineRule="auto" w:before="117" w:after="0"/>
        <w:ind w:left="1388" w:right="258" w:hanging="569"/>
        <w:jc w:val="left"/>
        <w:rPr>
          <w:sz w:val="18"/>
        </w:rPr>
      </w:pPr>
      <w:r>
        <w:rPr>
          <w:sz w:val="18"/>
        </w:rPr>
        <w:t>在本附加合同生效日或最后复效日（取其最晚者）之后，被保险人因治疗必需而接受输血，并且因输血而感染艾滋病病毒；</w:t>
      </w:r>
    </w:p>
    <w:p>
      <w:pPr>
        <w:pStyle w:val="ListParagraph"/>
        <w:numPr>
          <w:ilvl w:val="0"/>
          <w:numId w:val="13"/>
        </w:numPr>
        <w:tabs>
          <w:tab w:pos="1388" w:val="left" w:leader="none"/>
        </w:tabs>
        <w:spacing w:line="240" w:lineRule="auto" w:before="41" w:after="0"/>
        <w:ind w:left="1388" w:right="0" w:hanging="569"/>
        <w:jc w:val="left"/>
        <w:rPr>
          <w:sz w:val="18"/>
        </w:rPr>
      </w:pPr>
      <w:r>
        <w:rPr>
          <w:sz w:val="18"/>
        </w:rPr>
        <w:t>提供输血治疗的输血中心或医院出具该项输血感染属医疗责任事故的报告，或者法院终审判决为医疗责任；</w:t>
      </w:r>
    </w:p>
    <w:p>
      <w:pPr>
        <w:pStyle w:val="ListParagraph"/>
        <w:numPr>
          <w:ilvl w:val="0"/>
          <w:numId w:val="13"/>
        </w:numPr>
        <w:tabs>
          <w:tab w:pos="1388" w:val="left" w:leader="none"/>
        </w:tabs>
        <w:spacing w:line="240" w:lineRule="auto" w:before="106" w:after="0"/>
        <w:ind w:left="1388" w:right="0" w:hanging="569"/>
        <w:jc w:val="left"/>
        <w:rPr>
          <w:sz w:val="18"/>
        </w:rPr>
      </w:pPr>
      <w:r>
        <w:rPr>
          <w:sz w:val="18"/>
        </w:rPr>
        <w:t>提供输血治疗的输血中心或医院必须拥有合法经营执照；</w:t>
      </w:r>
    </w:p>
    <w:p>
      <w:pPr>
        <w:pStyle w:val="ListParagraph"/>
        <w:numPr>
          <w:ilvl w:val="0"/>
          <w:numId w:val="13"/>
        </w:numPr>
        <w:tabs>
          <w:tab w:pos="1388" w:val="left" w:leader="none"/>
        </w:tabs>
        <w:spacing w:line="240" w:lineRule="auto" w:before="106" w:after="0"/>
        <w:ind w:left="1388" w:right="0" w:hanging="569"/>
        <w:jc w:val="left"/>
        <w:rPr>
          <w:sz w:val="18"/>
        </w:rPr>
      </w:pPr>
      <w:r>
        <w:rPr>
          <w:sz w:val="18"/>
        </w:rPr>
        <w:t>受感染的被保险人不是血友病患者。</w:t>
      </w:r>
    </w:p>
    <w:p>
      <w:pPr>
        <w:pStyle w:val="Heading3"/>
        <w:ind w:left="831"/>
      </w:pPr>
      <w:r>
        <w:rPr>
          <w:w w:val="95"/>
        </w:rPr>
        <w:t>任何因其他传播方式（包括：性传播或静脉注射毒品）导致感染艾滋病病毒不在保障范围内。</w:t>
      </w:r>
    </w:p>
    <w:p>
      <w:pPr>
        <w:pStyle w:val="ListParagraph"/>
        <w:numPr>
          <w:ilvl w:val="1"/>
          <w:numId w:val="10"/>
        </w:numPr>
        <w:tabs>
          <w:tab w:pos="1243" w:val="left" w:leader="none"/>
          <w:tab w:pos="1244" w:val="left" w:leader="none"/>
        </w:tabs>
        <w:spacing w:line="240" w:lineRule="auto" w:before="119" w:after="0"/>
        <w:ind w:left="1244" w:right="0" w:hanging="706"/>
        <w:jc w:val="left"/>
        <w:rPr>
          <w:sz w:val="18"/>
        </w:rPr>
      </w:pPr>
      <w:r>
        <w:rPr>
          <w:sz w:val="18"/>
        </w:rPr>
        <w:t>严重脊髓灰质炎</w:t>
      </w:r>
    </w:p>
    <w:p>
      <w:pPr>
        <w:spacing w:line="350" w:lineRule="auto" w:before="106"/>
        <w:ind w:left="831" w:right="268"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0"/>
        </w:numPr>
        <w:tabs>
          <w:tab w:pos="1243" w:val="left" w:leader="none"/>
          <w:tab w:pos="1244" w:val="left" w:leader="none"/>
        </w:tabs>
        <w:spacing w:line="240" w:lineRule="auto" w:before="36" w:after="0"/>
        <w:ind w:left="1244" w:right="0" w:hanging="706"/>
        <w:jc w:val="left"/>
        <w:rPr>
          <w:sz w:val="18"/>
        </w:rPr>
      </w:pPr>
      <w:r>
        <w:rPr>
          <w:sz w:val="18"/>
        </w:rPr>
        <w:t>严重的胰岛素依赖型糖尿病（</w:t>
      </w:r>
      <w:r>
        <w:rPr>
          <w:rFonts w:ascii="Arial" w:eastAsia="Arial"/>
          <w:sz w:val="18"/>
        </w:rPr>
        <w:t>1</w:t>
      </w:r>
      <w:r>
        <w:rPr>
          <w:rFonts w:ascii="Arial" w:eastAsia="Arial"/>
          <w:spacing w:val="-10"/>
          <w:sz w:val="18"/>
        </w:rPr>
        <w:t> </w:t>
      </w:r>
      <w:r>
        <w:rPr>
          <w:sz w:val="18"/>
        </w:rPr>
        <w:t>型糖尿病）</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right="275"/>
      </w:pPr>
      <w:r>
        <w:rPr/>
        <w:t>胰岛素依赖型糖尿病是由于胰岛素分泌绝对不足而引起以血浆葡萄糖水平增高为特征的代谢内分泌疾病，需持续利用外源性胰岛素治疗。必须明确诊断为胰岛素依赖型糖尿病（</w:t>
      </w:r>
      <w:r>
        <w:rPr>
          <w:rFonts w:ascii="Arial" w:eastAsia="Arial"/>
        </w:rPr>
        <w:t>1 </w:t>
      </w:r>
      <w:r>
        <w:rPr/>
        <w:t>型糖尿病）并满足下列至少一个条件：</w:t>
      </w:r>
    </w:p>
    <w:p>
      <w:pPr>
        <w:pStyle w:val="ListParagraph"/>
        <w:numPr>
          <w:ilvl w:val="2"/>
          <w:numId w:val="10"/>
        </w:numPr>
        <w:tabs>
          <w:tab w:pos="1389" w:val="left" w:leader="none"/>
        </w:tabs>
        <w:spacing w:line="240" w:lineRule="auto" w:before="3" w:after="0"/>
        <w:ind w:left="1388" w:right="0" w:hanging="569"/>
        <w:jc w:val="both"/>
        <w:rPr>
          <w:sz w:val="18"/>
        </w:rPr>
      </w:pPr>
      <w:r>
        <w:rPr>
          <w:w w:val="95"/>
          <w:sz w:val="18"/>
        </w:rPr>
        <w:t>出现增殖性糖尿病视网膜病变；</w:t>
      </w:r>
    </w:p>
    <w:p>
      <w:pPr>
        <w:pStyle w:val="ListParagraph"/>
        <w:numPr>
          <w:ilvl w:val="2"/>
          <w:numId w:val="10"/>
        </w:numPr>
        <w:tabs>
          <w:tab w:pos="1389" w:val="left" w:leader="none"/>
        </w:tabs>
        <w:spacing w:line="240" w:lineRule="auto" w:before="106" w:after="0"/>
        <w:ind w:left="1388" w:right="0" w:hanging="569"/>
        <w:jc w:val="both"/>
        <w:rPr>
          <w:sz w:val="18"/>
        </w:rPr>
      </w:pPr>
      <w:r>
        <w:rPr>
          <w:spacing w:val="-1"/>
          <w:w w:val="95"/>
          <w:sz w:val="18"/>
        </w:rPr>
        <w:t>糖尿病肾病，且尿蛋白</w:t>
      </w:r>
      <w:r>
        <w:rPr>
          <w:rFonts w:ascii="Arial" w:eastAsia="Arial"/>
          <w:w w:val="95"/>
          <w:sz w:val="18"/>
        </w:rPr>
        <w:t>&gt;0.5g/24h</w:t>
      </w:r>
      <w:r>
        <w:rPr>
          <w:w w:val="95"/>
          <w:sz w:val="18"/>
        </w:rPr>
        <w:t>；</w:t>
      </w:r>
    </w:p>
    <w:p>
      <w:pPr>
        <w:pStyle w:val="ListParagraph"/>
        <w:numPr>
          <w:ilvl w:val="2"/>
          <w:numId w:val="10"/>
        </w:numPr>
        <w:tabs>
          <w:tab w:pos="1389" w:val="left" w:leader="none"/>
        </w:tabs>
        <w:spacing w:line="240" w:lineRule="auto" w:before="106" w:after="0"/>
        <w:ind w:left="1388" w:right="0" w:hanging="569"/>
        <w:jc w:val="both"/>
        <w:rPr>
          <w:sz w:val="18"/>
        </w:rPr>
      </w:pPr>
      <w:r>
        <w:rPr>
          <w:w w:val="95"/>
          <w:sz w:val="18"/>
        </w:rPr>
        <w:t>因糖尿病足趾坏疽进行足趾或下肢截断术。</w:t>
      </w:r>
    </w:p>
    <w:p>
      <w:pPr>
        <w:pStyle w:val="ListParagraph"/>
        <w:numPr>
          <w:ilvl w:val="1"/>
          <w:numId w:val="10"/>
        </w:numPr>
        <w:tabs>
          <w:tab w:pos="1244" w:val="left" w:leader="none"/>
          <w:tab w:pos="1245" w:val="left" w:leader="none"/>
        </w:tabs>
        <w:spacing w:line="240" w:lineRule="auto" w:before="106" w:after="0"/>
        <w:ind w:left="1244" w:right="0" w:hanging="706"/>
        <w:jc w:val="left"/>
        <w:rPr>
          <w:sz w:val="18"/>
        </w:rPr>
      </w:pPr>
      <w:r>
        <w:rPr>
          <w:sz w:val="18"/>
        </w:rPr>
        <w:t>严重溃疡性结肠炎</w:t>
      </w:r>
    </w:p>
    <w:p>
      <w:pPr>
        <w:pStyle w:val="BodyText"/>
        <w:spacing w:line="360" w:lineRule="auto" w:before="104"/>
        <w:ind w:right="275"/>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0"/>
        </w:numPr>
        <w:tabs>
          <w:tab w:pos="1244" w:val="left" w:leader="none"/>
          <w:tab w:pos="1245" w:val="left" w:leader="none"/>
        </w:tabs>
        <w:spacing w:line="240" w:lineRule="auto" w:before="27" w:after="0"/>
        <w:ind w:left="1244" w:right="0" w:hanging="706"/>
        <w:jc w:val="left"/>
        <w:rPr>
          <w:sz w:val="18"/>
        </w:rPr>
      </w:pPr>
      <w:r>
        <w:rPr>
          <w:sz w:val="18"/>
        </w:rPr>
        <w:t>重症肌无力</w:t>
      </w:r>
    </w:p>
    <w:p>
      <w:pPr>
        <w:pStyle w:val="BodyText"/>
        <w:spacing w:line="357" w:lineRule="auto"/>
        <w:ind w:right="275"/>
        <w:jc w:val="both"/>
      </w:pPr>
      <w:r>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before="28"/>
      </w:pPr>
      <w:r>
        <w:rPr/>
        <w:t>经药物、胸腺手术治疗一年以上无法控制病情，丧失正常工作能力；</w:t>
      </w:r>
    </w:p>
    <w:p>
      <w:pPr>
        <w:pStyle w:val="BodyText"/>
        <w:spacing w:line="360" w:lineRule="auto" w:before="119"/>
        <w:ind w:right="275"/>
      </w:pPr>
      <w:r>
        <w:rPr/>
        <w:t>出现眼睑下垂，或延髓肌受累引起的构音困难、进食呛咳，或由于肌无力累及延髓肌、呼吸肌而致机体呼吸功能不正常的危急状态即肌无力危象；</w:t>
      </w:r>
    </w:p>
    <w:p>
      <w:pPr>
        <w:pStyle w:val="BodyText"/>
        <w:spacing w:before="27"/>
      </w:pPr>
      <w:r>
        <w:rPr/>
        <w:t>症状缓解、复发及恶化交替出现，临床接受新斯的明等抗胆碱酯酶药物治疗的病史。</w:t>
      </w:r>
    </w:p>
    <w:p>
      <w:pPr>
        <w:pStyle w:val="ListParagraph"/>
        <w:numPr>
          <w:ilvl w:val="1"/>
          <w:numId w:val="10"/>
        </w:numPr>
        <w:tabs>
          <w:tab w:pos="1244" w:val="left" w:leader="none"/>
          <w:tab w:pos="1245" w:val="left" w:leader="none"/>
        </w:tabs>
        <w:spacing w:line="240" w:lineRule="auto" w:before="119" w:after="0"/>
        <w:ind w:left="1244" w:right="0" w:hanging="706"/>
        <w:jc w:val="left"/>
        <w:rPr>
          <w:sz w:val="18"/>
        </w:rPr>
      </w:pPr>
      <w:r>
        <w:rPr>
          <w:sz w:val="18"/>
        </w:rPr>
        <w:t>严重慢性呼吸功能衰竭</w:t>
      </w:r>
      <w:r>
        <w:rPr>
          <w:rFonts w:ascii="Times New Roman" w:eastAsia="Times New Roman"/>
          <w:sz w:val="18"/>
        </w:rPr>
        <w:t>/</w:t>
      </w:r>
      <w:r>
        <w:rPr>
          <w:sz w:val="18"/>
        </w:rPr>
        <w:t>终末期肺病</w:t>
      </w:r>
    </w:p>
    <w:p>
      <w:pPr>
        <w:pStyle w:val="BodyText"/>
        <w:spacing w:line="360" w:lineRule="auto" w:before="105"/>
        <w:ind w:right="275"/>
      </w:pPr>
      <w:r>
        <w:rPr/>
        <w:t>指患有慢性呼吸系统疾病或其它导致呼吸功能障碍的慢性疾病而出现永久不可逆性的慢性呼吸衰竭，并须满足下列全部条件：</w:t>
      </w:r>
    </w:p>
    <w:p>
      <w:pPr>
        <w:pStyle w:val="ListParagraph"/>
        <w:numPr>
          <w:ilvl w:val="0"/>
          <w:numId w:val="14"/>
        </w:numPr>
        <w:tabs>
          <w:tab w:pos="1389" w:val="left" w:leader="none"/>
        </w:tabs>
        <w:spacing w:line="240" w:lineRule="auto" w:before="26" w:after="0"/>
        <w:ind w:left="1388" w:right="0" w:hanging="569"/>
        <w:jc w:val="both"/>
        <w:rPr>
          <w:sz w:val="18"/>
        </w:rPr>
      </w:pPr>
      <w:r>
        <w:rPr>
          <w:sz w:val="18"/>
        </w:rPr>
        <w:t>休息时出现呼吸困难；</w:t>
      </w:r>
    </w:p>
    <w:p>
      <w:pPr>
        <w:pStyle w:val="ListParagraph"/>
        <w:numPr>
          <w:ilvl w:val="0"/>
          <w:numId w:val="14"/>
        </w:numPr>
        <w:tabs>
          <w:tab w:pos="1439" w:val="left" w:leader="none"/>
        </w:tabs>
        <w:spacing w:line="240" w:lineRule="auto" w:before="105" w:after="0"/>
        <w:ind w:left="1438" w:right="0" w:hanging="619"/>
        <w:jc w:val="both"/>
        <w:rPr>
          <w:sz w:val="18"/>
        </w:rPr>
      </w:pPr>
      <w:r>
        <w:rPr>
          <w:spacing w:val="-7"/>
          <w:position w:val="2"/>
          <w:sz w:val="18"/>
        </w:rPr>
        <w:t>动脉氧分压 </w:t>
      </w:r>
      <w:r>
        <w:rPr>
          <w:position w:val="2"/>
          <w:sz w:val="18"/>
        </w:rPr>
        <w:t>（</w:t>
      </w:r>
      <w:r>
        <w:rPr>
          <w:rFonts w:ascii="Arial" w:eastAsia="Arial"/>
          <w:position w:val="2"/>
          <w:sz w:val="18"/>
        </w:rPr>
        <w:t>PaO</w:t>
      </w:r>
      <w:r>
        <w:rPr>
          <w:rFonts w:ascii="Arial" w:eastAsia="Arial"/>
          <w:position w:val="2"/>
          <w:sz w:val="18"/>
          <w:vertAlign w:val="subscript"/>
        </w:rPr>
        <w:t>2</w:t>
      </w:r>
      <w:r>
        <w:rPr>
          <w:rFonts w:ascii="Arial" w:eastAsia="Arial"/>
          <w:spacing w:val="-8"/>
          <w:position w:val="2"/>
          <w:sz w:val="18"/>
          <w:vertAlign w:val="baseline"/>
        </w:rPr>
        <w:t> </w:t>
      </w:r>
      <w:r>
        <w:rPr>
          <w:position w:val="2"/>
          <w:sz w:val="18"/>
          <w:vertAlign w:val="baseline"/>
        </w:rPr>
        <w:t>）</w:t>
      </w:r>
      <w:r>
        <w:rPr>
          <w:rFonts w:ascii="Arial" w:eastAsia="Arial"/>
          <w:position w:val="2"/>
          <w:sz w:val="18"/>
          <w:vertAlign w:val="baseline"/>
        </w:rPr>
        <w:t>&lt; 50mmHg</w:t>
      </w:r>
      <w:r>
        <w:rPr>
          <w:position w:val="2"/>
          <w:sz w:val="18"/>
          <w:vertAlign w:val="baseline"/>
        </w:rPr>
        <w:t>；</w:t>
      </w:r>
    </w:p>
    <w:p>
      <w:pPr>
        <w:pStyle w:val="ListParagraph"/>
        <w:numPr>
          <w:ilvl w:val="0"/>
          <w:numId w:val="14"/>
        </w:numPr>
        <w:tabs>
          <w:tab w:pos="1439" w:val="left" w:leader="none"/>
        </w:tabs>
        <w:spacing w:line="240" w:lineRule="auto" w:before="86" w:after="0"/>
        <w:ind w:left="1438" w:right="0" w:hanging="619"/>
        <w:jc w:val="both"/>
        <w:rPr>
          <w:sz w:val="18"/>
        </w:rPr>
      </w:pPr>
      <w:r>
        <w:rPr>
          <w:spacing w:val="-5"/>
          <w:position w:val="2"/>
          <w:sz w:val="18"/>
        </w:rPr>
        <w:t>动脉血氧饱和度 </w:t>
      </w:r>
      <w:r>
        <w:rPr>
          <w:position w:val="2"/>
          <w:sz w:val="18"/>
        </w:rPr>
        <w:t>（</w:t>
      </w:r>
      <w:r>
        <w:rPr>
          <w:rFonts w:ascii="Arial" w:eastAsia="Arial"/>
          <w:position w:val="2"/>
          <w:sz w:val="18"/>
        </w:rPr>
        <w:t>SaO</w:t>
      </w:r>
      <w:r>
        <w:rPr>
          <w:rFonts w:ascii="Arial" w:eastAsia="Arial"/>
          <w:position w:val="2"/>
          <w:sz w:val="18"/>
          <w:vertAlign w:val="subscript"/>
        </w:rPr>
        <w:t>2</w:t>
      </w:r>
      <w:r>
        <w:rPr>
          <w:rFonts w:ascii="Arial" w:eastAsia="Arial"/>
          <w:spacing w:val="-7"/>
          <w:position w:val="2"/>
          <w:sz w:val="18"/>
          <w:vertAlign w:val="baseline"/>
        </w:rPr>
        <w:t> </w:t>
      </w:r>
      <w:r>
        <w:rPr>
          <w:position w:val="2"/>
          <w:sz w:val="18"/>
          <w:vertAlign w:val="baseline"/>
        </w:rPr>
        <w:t>）</w:t>
      </w:r>
      <w:r>
        <w:rPr>
          <w:rFonts w:ascii="Arial" w:eastAsia="Arial"/>
          <w:position w:val="2"/>
          <w:sz w:val="18"/>
          <w:vertAlign w:val="baseline"/>
        </w:rPr>
        <w:t>&lt; 80</w:t>
      </w:r>
      <w:r>
        <w:rPr>
          <w:position w:val="2"/>
          <w:sz w:val="18"/>
          <w:vertAlign w:val="baseline"/>
        </w:rPr>
        <w:t>％；</w:t>
      </w:r>
    </w:p>
    <w:p>
      <w:pPr>
        <w:pStyle w:val="ListParagraph"/>
        <w:numPr>
          <w:ilvl w:val="0"/>
          <w:numId w:val="14"/>
        </w:numPr>
        <w:tabs>
          <w:tab w:pos="1388" w:val="left" w:leader="none"/>
        </w:tabs>
        <w:spacing w:line="240" w:lineRule="auto" w:before="87" w:after="0"/>
        <w:ind w:left="1387" w:right="0" w:hanging="568"/>
        <w:jc w:val="both"/>
        <w:rPr>
          <w:sz w:val="18"/>
        </w:rPr>
      </w:pPr>
      <w:r>
        <w:rPr>
          <w:sz w:val="18"/>
        </w:rPr>
        <w:t>因缺氧必须接受持续的输氧治疗。</w:t>
      </w:r>
    </w:p>
    <w:p>
      <w:pPr>
        <w:pStyle w:val="ListParagraph"/>
        <w:numPr>
          <w:ilvl w:val="1"/>
          <w:numId w:val="10"/>
        </w:numPr>
        <w:tabs>
          <w:tab w:pos="1243" w:val="left" w:leader="none"/>
          <w:tab w:pos="1244" w:val="left" w:leader="none"/>
        </w:tabs>
        <w:spacing w:line="240" w:lineRule="auto" w:before="106" w:after="0"/>
        <w:ind w:left="1243" w:right="0" w:hanging="705"/>
        <w:jc w:val="left"/>
        <w:rPr>
          <w:sz w:val="18"/>
        </w:rPr>
      </w:pPr>
      <w:r>
        <w:rPr>
          <w:sz w:val="18"/>
        </w:rPr>
        <w:t>慢性肾上腺皮质功能衰竭</w:t>
      </w:r>
    </w:p>
    <w:p>
      <w:pPr>
        <w:pStyle w:val="BodyText"/>
        <w:spacing w:line="360" w:lineRule="auto"/>
        <w:ind w:right="275"/>
      </w:pPr>
      <w:r>
        <w:rPr/>
        <w:t>因为自身免疫功能紊乱，使肾上腺组织逐渐受损，而需要长期接受糖皮质激素及肾上腺皮质激素替代疗法。该病必须经内分泌专科医生确诊，并有以下报告作为证据：</w:t>
      </w:r>
    </w:p>
    <w:p>
      <w:pPr>
        <w:pStyle w:val="ListParagraph"/>
        <w:numPr>
          <w:ilvl w:val="2"/>
          <w:numId w:val="10"/>
        </w:numPr>
        <w:tabs>
          <w:tab w:pos="1153" w:val="left" w:leader="none"/>
        </w:tabs>
        <w:spacing w:line="240" w:lineRule="auto" w:before="26" w:after="0"/>
        <w:ind w:left="1152" w:right="0" w:hanging="321"/>
        <w:jc w:val="both"/>
        <w:rPr>
          <w:sz w:val="18"/>
        </w:rPr>
      </w:pPr>
      <w:r>
        <w:rPr>
          <w:spacing w:val="-1"/>
          <w:w w:val="95"/>
          <w:sz w:val="18"/>
        </w:rPr>
        <w:t>促肾上腺皮质激素</w:t>
      </w:r>
      <w:r>
        <w:rPr>
          <w:rFonts w:ascii="Arial" w:eastAsia="Arial"/>
          <w:w w:val="95"/>
          <w:sz w:val="18"/>
        </w:rPr>
        <w:t>(ACTH)</w:t>
      </w:r>
      <w:r>
        <w:rPr>
          <w:w w:val="95"/>
          <w:sz w:val="18"/>
        </w:rPr>
        <w:t>刺激试验；</w:t>
      </w:r>
    </w:p>
    <w:p>
      <w:pPr>
        <w:pStyle w:val="ListParagraph"/>
        <w:numPr>
          <w:ilvl w:val="2"/>
          <w:numId w:val="10"/>
        </w:numPr>
        <w:tabs>
          <w:tab w:pos="1154" w:val="left" w:leader="none"/>
        </w:tabs>
        <w:spacing w:line="240" w:lineRule="auto" w:before="106" w:after="0"/>
        <w:ind w:left="1153" w:right="0" w:hanging="322"/>
        <w:jc w:val="both"/>
        <w:rPr>
          <w:sz w:val="18"/>
        </w:rPr>
      </w:pPr>
      <w:r>
        <w:rPr>
          <w:w w:val="95"/>
          <w:sz w:val="18"/>
        </w:rPr>
        <w:t>胰岛素血糖减少测试；</w:t>
      </w:r>
    </w:p>
    <w:p>
      <w:pPr>
        <w:pStyle w:val="ListParagraph"/>
        <w:numPr>
          <w:ilvl w:val="2"/>
          <w:numId w:val="10"/>
        </w:numPr>
        <w:tabs>
          <w:tab w:pos="1154" w:val="left" w:leader="none"/>
        </w:tabs>
        <w:spacing w:line="240" w:lineRule="auto" w:before="106" w:after="0"/>
        <w:ind w:left="1153" w:right="0" w:hanging="322"/>
        <w:jc w:val="both"/>
        <w:rPr>
          <w:sz w:val="18"/>
        </w:rPr>
      </w:pPr>
      <w:r>
        <w:rPr>
          <w:spacing w:val="-1"/>
          <w:w w:val="95"/>
          <w:sz w:val="18"/>
        </w:rPr>
        <w:t>血浆促肾上腺皮质激素</w:t>
      </w:r>
      <w:r>
        <w:rPr>
          <w:rFonts w:ascii="Arial" w:eastAsia="Arial"/>
          <w:w w:val="95"/>
          <w:sz w:val="18"/>
        </w:rPr>
        <w:t>(ACTH)</w:t>
      </w:r>
      <w:r>
        <w:rPr>
          <w:w w:val="95"/>
          <w:sz w:val="18"/>
        </w:rPr>
        <w:t>水平测定；</w:t>
      </w:r>
    </w:p>
    <w:p>
      <w:pPr>
        <w:pStyle w:val="ListParagraph"/>
        <w:numPr>
          <w:ilvl w:val="2"/>
          <w:numId w:val="10"/>
        </w:numPr>
        <w:tabs>
          <w:tab w:pos="1154" w:val="left" w:leader="none"/>
        </w:tabs>
        <w:spacing w:line="240" w:lineRule="auto" w:before="106" w:after="0"/>
        <w:ind w:left="1153" w:right="0" w:hanging="322"/>
        <w:jc w:val="both"/>
        <w:rPr>
          <w:sz w:val="18"/>
        </w:rPr>
      </w:pPr>
      <w:r>
        <w:rPr>
          <w:spacing w:val="-1"/>
          <w:w w:val="95"/>
          <w:sz w:val="18"/>
        </w:rPr>
        <w:t>血浆肾素活性</w:t>
      </w:r>
      <w:r>
        <w:rPr>
          <w:rFonts w:ascii="Arial" w:eastAsia="Arial"/>
          <w:w w:val="95"/>
          <w:sz w:val="18"/>
        </w:rPr>
        <w:t>(PRA)</w:t>
      </w:r>
      <w:r>
        <w:rPr>
          <w:w w:val="95"/>
          <w:sz w:val="18"/>
        </w:rPr>
        <w:t>测定</w:t>
      </w:r>
    </w:p>
    <w:p>
      <w:pPr>
        <w:pStyle w:val="BodyText"/>
        <w:ind w:left="807"/>
        <w:jc w:val="both"/>
      </w:pPr>
      <w:r>
        <w:rPr/>
        <w:t>慢性肾上腺皮质功能衰竭只对由自身免疫功能紊乱引起的承担保险责任，其他原因引起的除外。</w:t>
      </w:r>
    </w:p>
    <w:p>
      <w:pPr>
        <w:pStyle w:val="ListParagraph"/>
        <w:numPr>
          <w:ilvl w:val="1"/>
          <w:numId w:val="10"/>
        </w:numPr>
        <w:tabs>
          <w:tab w:pos="1244" w:val="left" w:leader="none"/>
          <w:tab w:pos="1245" w:val="left" w:leader="none"/>
        </w:tabs>
        <w:spacing w:line="240" w:lineRule="auto" w:before="119" w:after="0"/>
        <w:ind w:left="1244" w:right="0" w:hanging="706"/>
        <w:jc w:val="left"/>
        <w:rPr>
          <w:sz w:val="18"/>
        </w:rPr>
      </w:pPr>
      <w:r>
        <w:rPr>
          <w:sz w:val="18"/>
        </w:rPr>
        <w:t>严重克隆病</w:t>
      </w:r>
    </w:p>
    <w:p>
      <w:pPr>
        <w:pStyle w:val="BodyText"/>
        <w:spacing w:line="360" w:lineRule="auto" w:before="107"/>
        <w:ind w:right="275"/>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0"/>
        </w:numPr>
        <w:tabs>
          <w:tab w:pos="1244" w:val="left" w:leader="none"/>
          <w:tab w:pos="1245" w:val="left" w:leader="none"/>
        </w:tabs>
        <w:spacing w:line="240" w:lineRule="auto" w:before="27" w:after="0"/>
        <w:ind w:left="1244" w:right="0" w:hanging="706"/>
        <w:jc w:val="left"/>
        <w:rPr>
          <w:sz w:val="18"/>
        </w:rPr>
      </w:pPr>
      <w:r>
        <w:rPr>
          <w:sz w:val="18"/>
        </w:rPr>
        <w:t>象皮病</w:t>
      </w:r>
    </w:p>
    <w:p>
      <w:pPr>
        <w:pStyle w:val="BodyText"/>
        <w:spacing w:line="360" w:lineRule="auto"/>
        <w:ind w:right="275"/>
      </w:pPr>
      <w:r>
        <w:rPr/>
        <w:t>指末期丝虫病，按国际淋巴学会分级为三度淋巴液肿，其临床表现为肢体非凹陷性水肿伴畸形增大、硬皮症和疣状增生。此病症须经专科医生根据临床表现和微丝蚴的化验结果确诊。</w:t>
      </w:r>
    </w:p>
    <w:p>
      <w:pPr>
        <w:pStyle w:val="ListParagraph"/>
        <w:numPr>
          <w:ilvl w:val="1"/>
          <w:numId w:val="10"/>
        </w:numPr>
        <w:tabs>
          <w:tab w:pos="1244" w:val="left" w:leader="none"/>
          <w:tab w:pos="1245" w:val="left" w:leader="none"/>
        </w:tabs>
        <w:spacing w:line="240" w:lineRule="auto" w:before="26" w:after="0"/>
        <w:ind w:left="1244" w:right="0" w:hanging="706"/>
        <w:jc w:val="left"/>
        <w:rPr>
          <w:sz w:val="18"/>
        </w:rPr>
      </w:pPr>
      <w:r>
        <w:rPr>
          <w:sz w:val="18"/>
        </w:rPr>
        <w:t>坏死性筋膜炎</w:t>
      </w:r>
    </w:p>
    <w:p>
      <w:pPr>
        <w:pStyle w:val="BodyText"/>
        <w:jc w:val="both"/>
      </w:pPr>
      <w:r>
        <w:rPr/>
        <w:t>坏死性筋膜炎的诊断须同时符合下列要求：</w:t>
      </w:r>
    </w:p>
    <w:p>
      <w:pPr>
        <w:pStyle w:val="BodyText"/>
        <w:spacing w:before="119"/>
        <w:jc w:val="both"/>
      </w:pPr>
      <w:r>
        <w:rPr>
          <w:w w:val="95"/>
        </w:rPr>
        <w:t>（</w:t>
      </w:r>
      <w:r>
        <w:rPr>
          <w:rFonts w:ascii="Arial" w:eastAsia="Arial"/>
          <w:w w:val="95"/>
        </w:rPr>
        <w:t>1</w:t>
      </w:r>
      <w:r>
        <w:rPr>
          <w:w w:val="95"/>
        </w:rPr>
        <w:t>）符合坏死性筋膜炎的一般临床表现；</w:t>
      </w:r>
    </w:p>
    <w:p>
      <w:pPr>
        <w:spacing w:after="0"/>
        <w:jc w:val="both"/>
        <w:sectPr>
          <w:pgSz w:w="11910" w:h="16840"/>
          <w:pgMar w:header="672" w:footer="759" w:top="860" w:bottom="940" w:left="880" w:right="740"/>
        </w:sectPr>
      </w:pPr>
    </w:p>
    <w:p>
      <w:pPr>
        <w:pStyle w:val="BodyText"/>
        <w:spacing w:before="9"/>
        <w:ind w:left="0"/>
        <w:rPr>
          <w:sz w:val="13"/>
        </w:rPr>
      </w:pPr>
    </w:p>
    <w:p>
      <w:pPr>
        <w:pStyle w:val="BodyText"/>
        <w:spacing w:before="53"/>
      </w:pPr>
      <w:r>
        <w:rPr>
          <w:w w:val="95"/>
        </w:rPr>
        <w:t>（</w:t>
      </w:r>
      <w:r>
        <w:rPr>
          <w:rFonts w:ascii="Arial" w:eastAsia="Arial"/>
          <w:w w:val="95"/>
        </w:rPr>
        <w:t>2</w:t>
      </w:r>
      <w:r>
        <w:rPr>
          <w:w w:val="95"/>
        </w:rPr>
        <w:t>）细菌培养检出致病菌；</w:t>
      </w:r>
    </w:p>
    <w:p>
      <w:pPr>
        <w:pStyle w:val="BodyText"/>
      </w:pPr>
      <w:r>
        <w:rPr>
          <w:w w:val="95"/>
        </w:rPr>
        <w:t>（</w:t>
      </w:r>
      <w:r>
        <w:rPr>
          <w:rFonts w:ascii="Arial" w:eastAsia="Arial"/>
          <w:w w:val="95"/>
        </w:rPr>
        <w:t>3</w:t>
      </w:r>
      <w:r>
        <w:rPr>
          <w:w w:val="95"/>
        </w:rPr>
        <w:t>）出现广泛性肌肉及组织坏死，并确实实施了坏死组织和筋膜以及肌肉的切除手术。清创术不属于保险责任范围。</w:t>
      </w:r>
    </w:p>
    <w:p>
      <w:pPr>
        <w:pStyle w:val="ListParagraph"/>
        <w:numPr>
          <w:ilvl w:val="1"/>
          <w:numId w:val="10"/>
        </w:numPr>
        <w:tabs>
          <w:tab w:pos="1243" w:val="left" w:leader="none"/>
          <w:tab w:pos="1244" w:val="left" w:leader="none"/>
        </w:tabs>
        <w:spacing w:line="240" w:lineRule="auto" w:before="104" w:after="0"/>
        <w:ind w:left="1243" w:right="0" w:hanging="705"/>
        <w:jc w:val="left"/>
        <w:rPr>
          <w:sz w:val="18"/>
        </w:rPr>
      </w:pPr>
      <w:r>
        <w:rPr>
          <w:sz w:val="18"/>
        </w:rPr>
        <w:t>肾髓质囊性病</w:t>
      </w:r>
    </w:p>
    <w:p>
      <w:pPr>
        <w:pStyle w:val="BodyText"/>
        <w:ind w:left="898"/>
      </w:pPr>
      <w:r>
        <w:rPr/>
        <w:t>肾髓质囊性病的诊断必须同时符合下列要求：</w:t>
      </w:r>
    </w:p>
    <w:p>
      <w:pPr>
        <w:pStyle w:val="BodyText"/>
        <w:spacing w:before="119"/>
        <w:ind w:left="922"/>
      </w:pPr>
      <w:r>
        <w:rPr>
          <w:w w:val="95"/>
        </w:rPr>
        <w:t>（</w:t>
      </w:r>
      <w:r>
        <w:rPr>
          <w:rFonts w:ascii="Arial" w:eastAsia="Arial"/>
          <w:w w:val="95"/>
        </w:rPr>
        <w:t>1</w:t>
      </w:r>
      <w:r>
        <w:rPr>
          <w:w w:val="95"/>
        </w:rPr>
        <w:t>）肾髓质有囊肿、肾小管萎缩及间质纤维化等病理改变；</w:t>
      </w:r>
    </w:p>
    <w:p>
      <w:pPr>
        <w:pStyle w:val="BodyText"/>
        <w:ind w:left="922"/>
      </w:pPr>
      <w:r>
        <w:rPr>
          <w:w w:val="95"/>
        </w:rPr>
        <w:t>（</w:t>
      </w:r>
      <w:r>
        <w:rPr>
          <w:rFonts w:ascii="Arial" w:eastAsia="Arial"/>
          <w:w w:val="95"/>
        </w:rPr>
        <w:t>2</w:t>
      </w:r>
      <w:r>
        <w:rPr>
          <w:w w:val="95"/>
        </w:rPr>
        <w:t>）贫血、多尿及肾功能衰竭等临床表现；</w:t>
      </w:r>
    </w:p>
    <w:p>
      <w:pPr>
        <w:pStyle w:val="BodyText"/>
        <w:ind w:left="922"/>
      </w:pPr>
      <w:r>
        <w:rPr/>
        <w:t>（</w:t>
      </w:r>
      <w:r>
        <w:rPr>
          <w:rFonts w:ascii="Arial" w:eastAsia="Arial"/>
        </w:rPr>
        <w:t>3</w:t>
      </w:r>
      <w:r>
        <w:rPr/>
        <w:t>）诊断须由肾组织活检确定 。</w:t>
      </w:r>
    </w:p>
    <w:p>
      <w:pPr>
        <w:pStyle w:val="ListParagraph"/>
        <w:numPr>
          <w:ilvl w:val="1"/>
          <w:numId w:val="10"/>
        </w:numPr>
        <w:tabs>
          <w:tab w:pos="1243" w:val="left" w:leader="none"/>
          <w:tab w:pos="1244" w:val="left" w:leader="none"/>
        </w:tabs>
        <w:spacing w:line="240" w:lineRule="auto" w:before="106" w:after="0"/>
        <w:ind w:left="1243" w:right="0" w:hanging="705"/>
        <w:jc w:val="left"/>
        <w:rPr>
          <w:sz w:val="18"/>
        </w:rPr>
      </w:pPr>
      <w:r>
        <w:rPr>
          <w:sz w:val="18"/>
        </w:rPr>
        <w:t>系统性硬皮病</w:t>
      </w:r>
    </w:p>
    <w:p>
      <w:pPr>
        <w:pStyle w:val="BodyText"/>
        <w:spacing w:line="360" w:lineRule="auto"/>
        <w:ind w:right="275"/>
      </w:pPr>
      <w:r>
        <w:rPr/>
        <w:t>指一种以局限性或弥漫性皮肤增厚和皮肤、血管、内脏器官异常纤维化为特征的结缔组织病。本病须经专科医师明确诊断，并须满足下列至少一项条件：</w:t>
      </w:r>
    </w:p>
    <w:p>
      <w:pPr>
        <w:pStyle w:val="BodyText"/>
        <w:spacing w:before="27"/>
      </w:pPr>
      <w:r>
        <w:rPr>
          <w:w w:val="95"/>
        </w:rPr>
        <w:t>（</w:t>
      </w:r>
      <w:r>
        <w:rPr>
          <w:rFonts w:ascii="Arial" w:eastAsia="Arial"/>
          <w:w w:val="95"/>
        </w:rPr>
        <w:t>1</w:t>
      </w:r>
      <w:r>
        <w:rPr>
          <w:w w:val="95"/>
        </w:rPr>
        <w:t>）肺脏：肺部病变进而发展为肺间质纤维化和肺动脉高压；</w:t>
      </w:r>
    </w:p>
    <w:p>
      <w:pPr>
        <w:pStyle w:val="BodyText"/>
      </w:pPr>
      <w:r>
        <w:rPr/>
        <w:t>（</w:t>
      </w:r>
      <w:r>
        <w:rPr>
          <w:rFonts w:ascii="Arial" w:eastAsia="Arial"/>
        </w:rPr>
        <w:t>2</w:t>
      </w:r>
      <w:r>
        <w:rPr/>
        <w:t>）心脏：心功能受损达到美国纽约心脏病学会心功能状态分级 </w:t>
      </w:r>
      <w:r>
        <w:rPr>
          <w:rFonts w:ascii="Arial" w:eastAsia="Arial"/>
        </w:rPr>
        <w:t>IV </w:t>
      </w:r>
      <w:r>
        <w:rPr/>
        <w:t>级；</w:t>
      </w:r>
    </w:p>
    <w:p>
      <w:pPr>
        <w:pStyle w:val="BodyText"/>
        <w:spacing w:line="343" w:lineRule="auto"/>
        <w:ind w:right="3954"/>
      </w:pPr>
      <w:r>
        <w:rPr/>
        <w:t>（</w:t>
      </w:r>
      <w:r>
        <w:rPr>
          <w:rFonts w:ascii="Arial" w:eastAsia="Arial"/>
        </w:rPr>
        <w:t>3</w:t>
      </w:r>
      <w:r>
        <w:rPr/>
        <w:t>）肾脏：肾脏受损导致双肾功能慢性不可逆衰竭，达到尿毒症期。下列疾病不在本险种保障范围内：</w:t>
      </w:r>
    </w:p>
    <w:p>
      <w:pPr>
        <w:pStyle w:val="BodyText"/>
        <w:spacing w:before="42"/>
      </w:pPr>
      <w:r>
        <w:rPr>
          <w:w w:val="95"/>
        </w:rPr>
        <w:t>（</w:t>
      </w:r>
      <w:r>
        <w:rPr>
          <w:rFonts w:ascii="Arial" w:eastAsia="Arial"/>
          <w:w w:val="95"/>
        </w:rPr>
        <w:t>1</w:t>
      </w:r>
      <w:r>
        <w:rPr>
          <w:w w:val="95"/>
        </w:rPr>
        <w:t>）局部性硬皮病（如：带状硬皮病、硬斑病）；</w:t>
      </w:r>
    </w:p>
    <w:p>
      <w:pPr>
        <w:pStyle w:val="BodyText"/>
      </w:pPr>
      <w:r>
        <w:rPr>
          <w:w w:val="95"/>
        </w:rPr>
        <w:t>（</w:t>
      </w:r>
      <w:r>
        <w:rPr>
          <w:rFonts w:ascii="Arial" w:eastAsia="Arial"/>
          <w:w w:val="95"/>
        </w:rPr>
        <w:t>2</w:t>
      </w:r>
      <w:r>
        <w:rPr>
          <w:w w:val="95"/>
        </w:rPr>
        <w:t>）嗜酸性粒细胞性筋膜炎；</w:t>
      </w:r>
    </w:p>
    <w:p>
      <w:pPr>
        <w:pStyle w:val="BodyText"/>
      </w:pPr>
      <w:r>
        <w:rPr/>
        <w:t>（</w:t>
      </w:r>
      <w:r>
        <w:rPr>
          <w:rFonts w:ascii="Arial" w:eastAsia="Arial"/>
        </w:rPr>
        <w:t>3</w:t>
      </w:r>
      <w:r>
        <w:rPr/>
        <w:t>）</w:t>
      </w:r>
      <w:r>
        <w:rPr>
          <w:rFonts w:ascii="Arial" w:eastAsia="Arial"/>
        </w:rPr>
        <w:t>CREST </w:t>
      </w:r>
      <w:r>
        <w:rPr/>
        <w:t>综合征。</w:t>
      </w:r>
    </w:p>
    <w:p>
      <w:pPr>
        <w:pStyle w:val="ListParagraph"/>
        <w:numPr>
          <w:ilvl w:val="1"/>
          <w:numId w:val="10"/>
        </w:numPr>
        <w:tabs>
          <w:tab w:pos="1243" w:val="left" w:leader="none"/>
          <w:tab w:pos="1244" w:val="left" w:leader="none"/>
        </w:tabs>
        <w:spacing w:line="240" w:lineRule="auto" w:before="106" w:after="0"/>
        <w:ind w:left="1243" w:right="0" w:hanging="705"/>
        <w:jc w:val="left"/>
        <w:rPr>
          <w:sz w:val="18"/>
        </w:rPr>
      </w:pPr>
      <w:r>
        <w:rPr>
          <w:sz w:val="18"/>
        </w:rPr>
        <w:t>肺源性心脏病</w:t>
      </w:r>
    </w:p>
    <w:p>
      <w:pPr>
        <w:pStyle w:val="BodyText"/>
        <w:spacing w:line="360" w:lineRule="auto" w:before="103"/>
        <w:ind w:right="275"/>
      </w:pPr>
      <w:r>
        <w:rPr/>
        <w:t>指被保人因慢性肺部疾病导致慢性心功能损害造成永久不可逆性的心功能衰竭。心功能衰竭程度达到纽约心脏病学会的心功能分级标准之心功能 </w:t>
      </w:r>
      <w:r>
        <w:rPr>
          <w:rFonts w:ascii="Arial" w:eastAsia="Arial"/>
        </w:rPr>
        <w:t>IV </w:t>
      </w:r>
      <w:r>
        <w:rPr/>
        <w:t>级。被保险人永久不可逆性的体力活动能力受限，不能从事任何体力活动。</w:t>
      </w:r>
    </w:p>
    <w:p>
      <w:pPr>
        <w:pStyle w:val="Heading1"/>
        <w:tabs>
          <w:tab w:pos="1623" w:val="left" w:leader="none"/>
        </w:tabs>
        <w:spacing w:before="5"/>
      </w:pPr>
      <w:bookmarkStart w:name="_bookmark13" w:id="14"/>
      <w:bookmarkEnd w:id="14"/>
      <w:r>
        <w:rPr>
          <w:b w:val="0"/>
        </w:rPr>
      </w:r>
      <w:r>
        <w:rPr/>
        <w:t>第十</w:t>
      </w:r>
      <w:r>
        <w:rPr>
          <w:spacing w:val="-3"/>
        </w:rPr>
        <w:t>四</w:t>
      </w:r>
      <w:r>
        <w:rPr/>
        <w:t>条</w:t>
        <w:tab/>
        <w:t>释义</w:t>
      </w:r>
    </w:p>
    <w:p>
      <w:pPr>
        <w:pStyle w:val="ListParagraph"/>
        <w:numPr>
          <w:ilvl w:val="1"/>
          <w:numId w:val="15"/>
        </w:numPr>
        <w:tabs>
          <w:tab w:pos="1263" w:val="left" w:leader="none"/>
          <w:tab w:pos="1264" w:val="left" w:leader="none"/>
        </w:tabs>
        <w:spacing w:line="240" w:lineRule="auto" w:before="139" w:after="0"/>
        <w:ind w:left="1263" w:right="0" w:hanging="725"/>
        <w:jc w:val="left"/>
        <w:rPr>
          <w:sz w:val="18"/>
        </w:rPr>
      </w:pPr>
      <w:r>
        <w:rPr>
          <w:sz w:val="18"/>
        </w:rPr>
        <w:t>重大疾病：指本附加合同第十三条所约定的疾病、疾病状态或手术。</w:t>
      </w:r>
    </w:p>
    <w:p>
      <w:pPr>
        <w:pStyle w:val="ListParagraph"/>
        <w:numPr>
          <w:ilvl w:val="1"/>
          <w:numId w:val="15"/>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ind w:left="1243"/>
      </w:pPr>
      <w:r>
        <w:rPr/>
        <w:t>（1）具有有效的中华人民共和国《医师资格证书》；</w:t>
      </w:r>
    </w:p>
    <w:p>
      <w:pPr>
        <w:pStyle w:val="BodyText"/>
        <w:spacing w:before="119"/>
        <w:ind w:left="1243"/>
      </w:pPr>
      <w:r>
        <w:rPr/>
        <w:t>（2）具有有效的中华人民共和国《医师执业证书》，并按期到相关部门登记注册；</w:t>
      </w:r>
    </w:p>
    <w:p>
      <w:pPr>
        <w:pStyle w:val="BodyText"/>
        <w:spacing w:before="119"/>
        <w:ind w:left="1243"/>
      </w:pPr>
      <w:r>
        <w:rPr/>
        <w:t>（3）具有有效的中华人民共和国主治医师或主治医师以上职称的《医师职称证书》；</w:t>
      </w:r>
    </w:p>
    <w:p>
      <w:pPr>
        <w:pStyle w:val="BodyText"/>
        <w:spacing w:before="119"/>
        <w:ind w:left="1263"/>
      </w:pPr>
      <w:r>
        <w:rPr>
          <w:w w:val="95"/>
        </w:rPr>
        <w:t>（</w:t>
      </w:r>
      <w:r>
        <w:rPr>
          <w:rFonts w:ascii="Arial" w:eastAsia="Arial"/>
          <w:w w:val="95"/>
        </w:rPr>
        <w:t>4</w:t>
      </w:r>
      <w:r>
        <w:rPr>
          <w:w w:val="95"/>
        </w:rPr>
        <w:t>）在二级或二级以上医院的相应科室从事临床工作三年以上。</w:t>
      </w:r>
    </w:p>
    <w:p>
      <w:pPr>
        <w:pStyle w:val="ListParagraph"/>
        <w:numPr>
          <w:ilvl w:val="1"/>
          <w:numId w:val="15"/>
        </w:numPr>
        <w:tabs>
          <w:tab w:pos="1263" w:val="left" w:leader="none"/>
          <w:tab w:pos="1264" w:val="left" w:leader="none"/>
        </w:tabs>
        <w:spacing w:line="240" w:lineRule="auto" w:before="104" w:after="0"/>
        <w:ind w:left="1263" w:right="0" w:hanging="72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5"/>
        </w:numPr>
        <w:tabs>
          <w:tab w:pos="1264" w:val="left" w:leader="none"/>
        </w:tabs>
        <w:spacing w:line="350" w:lineRule="auto" w:before="107" w:after="0"/>
        <w:ind w:left="1263" w:right="103" w:hanging="72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z w:val="18"/>
        </w:rPr>
        <w:t>原发性感染</w:t>
      </w:r>
      <w:r>
        <w:rPr>
          <w:sz w:val="18"/>
        </w:rPr>
        <w:t>（见释义）、细菌性食物中毒、猝死等。</w:t>
      </w:r>
    </w:p>
    <w:p>
      <w:pPr>
        <w:pStyle w:val="ListParagraph"/>
        <w:numPr>
          <w:ilvl w:val="1"/>
          <w:numId w:val="15"/>
        </w:numPr>
        <w:tabs>
          <w:tab w:pos="1264" w:val="left" w:leader="none"/>
        </w:tabs>
        <w:spacing w:line="350" w:lineRule="auto" w:before="34" w:after="0"/>
        <w:ind w:left="1263" w:right="103" w:hanging="725"/>
        <w:jc w:val="both"/>
        <w:rPr>
          <w:sz w:val="18"/>
        </w:rPr>
      </w:pPr>
      <w:r>
        <w:rPr>
          <w:sz w:val="18"/>
        </w:rPr>
        <w:t>五年无癌症期：指由被保险人之主诊专科医生证明被保险人于过去整个五年期内并没有任何癌症症状。没有任何</w:t>
      </w:r>
      <w:r>
        <w:rPr>
          <w:spacing w:val="2"/>
          <w:sz w:val="18"/>
        </w:rPr>
        <w:t>癌症症状必须以临床、放射学、组织学、实验室检验报告及于当时可提供的所有其他有关检验方法的证据作证</w:t>
      </w:r>
      <w:r>
        <w:rPr>
          <w:sz w:val="18"/>
        </w:rPr>
        <w:t>明。“五年无癌症期”是由癌症疗程完全结束日起开始计算。癌症疗程包括任何手术、化疗、电疗、免疫疗法、单克隆抗体疗法或其他由被保险人的主诊专科医生指定的惯常癌症疗法。</w:t>
      </w:r>
    </w:p>
    <w:p>
      <w:pPr>
        <w:pStyle w:val="ListParagraph"/>
        <w:numPr>
          <w:ilvl w:val="1"/>
          <w:numId w:val="15"/>
        </w:numPr>
        <w:tabs>
          <w:tab w:pos="1263" w:val="left" w:leader="none"/>
          <w:tab w:pos="1264" w:val="left" w:leader="none"/>
        </w:tabs>
        <w:spacing w:line="240" w:lineRule="auto" w:before="34"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5"/>
        </w:numPr>
        <w:tabs>
          <w:tab w:pos="1264" w:val="left" w:leader="none"/>
        </w:tabs>
        <w:spacing w:line="350" w:lineRule="auto" w:before="107"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5"/>
        </w:numPr>
        <w:tabs>
          <w:tab w:pos="1263" w:val="left" w:leader="none"/>
          <w:tab w:pos="1264" w:val="left" w:leader="none"/>
        </w:tabs>
        <w:spacing w:line="340" w:lineRule="auto" w:before="34"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spacing w:after="0" w:line="3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5"/>
        </w:numPr>
        <w:tabs>
          <w:tab w:pos="1263" w:val="left" w:leader="none"/>
          <w:tab w:pos="1264" w:val="left" w:leader="none"/>
        </w:tabs>
        <w:spacing w:line="240" w:lineRule="auto" w:before="53" w:after="0"/>
        <w:ind w:left="1264" w:right="0" w:hanging="706"/>
        <w:jc w:val="left"/>
        <w:rPr>
          <w:sz w:val="18"/>
        </w:rPr>
      </w:pPr>
      <w:r>
        <w:rPr>
          <w:sz w:val="18"/>
        </w:rPr>
        <w:t>无合法有效驾驶证驾驶：是指下列情形之一：</w:t>
      </w:r>
    </w:p>
    <w:p>
      <w:pPr>
        <w:pStyle w:val="BodyText"/>
        <w:spacing w:before="103"/>
        <w:ind w:left="1263"/>
      </w:pPr>
      <w:r>
        <w:rPr/>
        <w:t>（1）没有取得驾驶资格；</w:t>
      </w:r>
    </w:p>
    <w:p>
      <w:pPr>
        <w:pStyle w:val="BodyText"/>
        <w:spacing w:before="114"/>
        <w:ind w:left="1263"/>
      </w:pPr>
      <w:r>
        <w:rPr/>
        <w:t>（2）驾驶与驾驶证准驾车型不相符合的车辆；</w:t>
      </w:r>
    </w:p>
    <w:p>
      <w:pPr>
        <w:pStyle w:val="BodyText"/>
        <w:spacing w:before="114"/>
        <w:ind w:left="1263"/>
      </w:pPr>
      <w:r>
        <w:rPr/>
        <w:t>（3）持审验不合格的驾驶证驾驶；</w:t>
      </w:r>
    </w:p>
    <w:p>
      <w:pPr>
        <w:pStyle w:val="BodyText"/>
        <w:spacing w:before="114"/>
        <w:ind w:left="1263"/>
      </w:pPr>
      <w:r>
        <w:rPr/>
        <w:t>（4）持学习驾驶证学习驾车时，无教练员随车指导，或不按指定时间、路线学习驾车。</w:t>
      </w:r>
    </w:p>
    <w:p>
      <w:pPr>
        <w:pStyle w:val="ListParagraph"/>
        <w:numPr>
          <w:ilvl w:val="1"/>
          <w:numId w:val="15"/>
        </w:numPr>
        <w:tabs>
          <w:tab w:pos="1263" w:val="left" w:leader="none"/>
          <w:tab w:pos="1264" w:val="left" w:leader="none"/>
        </w:tabs>
        <w:spacing w:line="240" w:lineRule="auto" w:before="119" w:after="0"/>
        <w:ind w:left="1264" w:right="0" w:hanging="706"/>
        <w:jc w:val="left"/>
        <w:rPr>
          <w:sz w:val="18"/>
        </w:rPr>
      </w:pPr>
      <w:r>
        <w:rPr>
          <w:sz w:val="18"/>
        </w:rPr>
        <w:t>无有效行驶证：是指下列情形之一：</w:t>
      </w:r>
    </w:p>
    <w:p>
      <w:pPr>
        <w:pStyle w:val="BodyText"/>
        <w:spacing w:before="104"/>
        <w:ind w:left="1263"/>
      </w:pPr>
      <w:r>
        <w:rPr/>
        <w:t>（1）没有机动车行驶证或已被依法注销登记；</w:t>
      </w:r>
    </w:p>
    <w:p>
      <w:pPr>
        <w:pStyle w:val="BodyText"/>
        <w:spacing w:before="115"/>
        <w:ind w:left="1263"/>
      </w:pPr>
      <w:r>
        <w:rPr/>
        <w:t>（2）未依法按时进行或通过机动车安全技术检验。</w:t>
      </w:r>
    </w:p>
    <w:p>
      <w:pPr>
        <w:pStyle w:val="ListParagraph"/>
        <w:numPr>
          <w:ilvl w:val="1"/>
          <w:numId w:val="15"/>
        </w:numPr>
        <w:tabs>
          <w:tab w:pos="1283" w:val="left" w:leader="none"/>
          <w:tab w:pos="1284" w:val="left" w:leader="none"/>
        </w:tabs>
        <w:spacing w:line="340" w:lineRule="auto" w:before="117" w:after="0"/>
        <w:ind w:left="1264" w:right="54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5"/>
        </w:numPr>
        <w:tabs>
          <w:tab w:pos="1284" w:val="left" w:leader="none"/>
        </w:tabs>
        <w:spacing w:line="340" w:lineRule="auto" w:before="41" w:after="0"/>
        <w:ind w:left="1264" w:right="54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5"/>
        </w:numPr>
        <w:tabs>
          <w:tab w:pos="1283" w:val="left" w:leader="none"/>
          <w:tab w:pos="1284" w:val="left" w:leader="none"/>
        </w:tabs>
        <w:spacing w:line="340" w:lineRule="auto" w:before="43" w:after="0"/>
        <w:ind w:left="1264" w:right="54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5"/>
        </w:numPr>
        <w:tabs>
          <w:tab w:pos="1283" w:val="left" w:leader="none"/>
          <w:tab w:pos="1284" w:val="left" w:leader="none"/>
        </w:tabs>
        <w:spacing w:line="340" w:lineRule="auto" w:before="41" w:after="0"/>
        <w:ind w:left="1264" w:right="54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5"/>
        </w:numPr>
        <w:tabs>
          <w:tab w:pos="1283" w:val="left" w:leader="none"/>
          <w:tab w:pos="1284" w:val="left" w:leader="none"/>
        </w:tabs>
        <w:spacing w:line="340" w:lineRule="auto" w:before="20" w:after="0"/>
        <w:ind w:left="1264" w:right="54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5"/>
        </w:numPr>
        <w:tabs>
          <w:tab w:pos="1263" w:val="left" w:leader="none"/>
          <w:tab w:pos="1264" w:val="left" w:leader="none"/>
        </w:tabs>
        <w:spacing w:line="240" w:lineRule="auto" w:before="41" w:after="0"/>
        <w:ind w:left="1264" w:right="0" w:hanging="706"/>
        <w:jc w:val="left"/>
        <w:rPr>
          <w:sz w:val="18"/>
        </w:rPr>
      </w:pPr>
      <w:r>
        <w:rPr>
          <w:sz w:val="18"/>
        </w:rPr>
        <w:t>犹豫期：是指您在书面签收保险合同之日起的十日内（含第十日）。</w:t>
      </w:r>
    </w:p>
    <w:p>
      <w:pPr>
        <w:pStyle w:val="ListParagraph"/>
        <w:numPr>
          <w:ilvl w:val="1"/>
          <w:numId w:val="15"/>
        </w:numPr>
        <w:tabs>
          <w:tab w:pos="1283" w:val="left" w:leader="none"/>
          <w:tab w:pos="1284" w:val="left" w:leader="none"/>
        </w:tabs>
        <w:spacing w:line="340" w:lineRule="auto" w:before="106"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5"/>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ind w:left="1263"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left="1263" w:right="548"/>
      </w:pPr>
      <w:r>
        <w:rPr/>
        <w:t>咀嚼吞咽能力完全丧失，指因牙齿以外的原因导致器质障碍或机能障碍，以致不能作咀嚼吞咽运动，除流质食物外不能摄取或吞咽的状态。</w:t>
      </w:r>
    </w:p>
    <w:p>
      <w:pPr>
        <w:pStyle w:val="ListParagraph"/>
        <w:numPr>
          <w:ilvl w:val="1"/>
          <w:numId w:val="15"/>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5"/>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5"/>
        </w:numPr>
        <w:tabs>
          <w:tab w:pos="1283" w:val="left" w:leader="none"/>
          <w:tab w:pos="1284" w:val="left" w:leader="none"/>
        </w:tabs>
        <w:spacing w:line="240" w:lineRule="auto" w:before="106"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5"/>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600842pt" to="575.159999pt,12.600842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7464" type="#_x0000_t202" filled="false" stroked="false">
          <v:textbox inset="0,0,0,0">
            <w:txbxContent>
              <w:p>
                <w:pPr>
                  <w:spacing w:before="15"/>
                  <w:ind w:left="20" w:right="0" w:firstLine="0"/>
                  <w:jc w:val="left"/>
                  <w:rPr>
                    <w:rFonts w:ascii="Arial"/>
                    <w:sz w:val="16"/>
                  </w:rPr>
                </w:pPr>
                <w:r>
                  <w:rPr>
                    <w:rFonts w:ascii="Arial"/>
                    <w:sz w:val="16"/>
                  </w:rPr>
                  <w:t>ACI12-A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744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63" w:hanging="725"/>
        <w:jc w:val="left"/>
      </w:pPr>
      <w:rPr>
        <w:rFonts w:hint="default" w:ascii="Arial" w:hAnsi="Arial" w:eastAsia="Arial" w:cs="Arial"/>
        <w:w w:val="99"/>
        <w:sz w:val="18"/>
        <w:szCs w:val="18"/>
      </w:rPr>
    </w:lvl>
    <w:lvl w:ilvl="2">
      <w:start w:val="0"/>
      <w:numFmt w:val="bullet"/>
      <w:lvlText w:val="•"/>
      <w:lvlJc w:val="left"/>
      <w:pPr>
        <w:ind w:left="3065" w:hanging="725"/>
      </w:pPr>
      <w:rPr>
        <w:rFonts w:hint="default"/>
      </w:rPr>
    </w:lvl>
    <w:lvl w:ilvl="3">
      <w:start w:val="0"/>
      <w:numFmt w:val="bullet"/>
      <w:lvlText w:val="•"/>
      <w:lvlJc w:val="left"/>
      <w:pPr>
        <w:ind w:left="3968" w:hanging="725"/>
      </w:pPr>
      <w:rPr>
        <w:rFonts w:hint="default"/>
      </w:rPr>
    </w:lvl>
    <w:lvl w:ilvl="4">
      <w:start w:val="0"/>
      <w:numFmt w:val="bullet"/>
      <w:lvlText w:val="•"/>
      <w:lvlJc w:val="left"/>
      <w:pPr>
        <w:ind w:left="4871" w:hanging="725"/>
      </w:pPr>
      <w:rPr>
        <w:rFonts w:hint="default"/>
      </w:rPr>
    </w:lvl>
    <w:lvl w:ilvl="5">
      <w:start w:val="0"/>
      <w:numFmt w:val="bullet"/>
      <w:lvlText w:val="•"/>
      <w:lvlJc w:val="left"/>
      <w:pPr>
        <w:ind w:left="5774" w:hanging="725"/>
      </w:pPr>
      <w:rPr>
        <w:rFonts w:hint="default"/>
      </w:rPr>
    </w:lvl>
    <w:lvl w:ilvl="6">
      <w:start w:val="0"/>
      <w:numFmt w:val="bullet"/>
      <w:lvlText w:val="•"/>
      <w:lvlJc w:val="left"/>
      <w:pPr>
        <w:ind w:left="6677" w:hanging="725"/>
      </w:pPr>
      <w:rPr>
        <w:rFonts w:hint="default"/>
      </w:rPr>
    </w:lvl>
    <w:lvl w:ilvl="7">
      <w:start w:val="0"/>
      <w:numFmt w:val="bullet"/>
      <w:lvlText w:val="•"/>
      <w:lvlJc w:val="left"/>
      <w:pPr>
        <w:ind w:left="7580" w:hanging="725"/>
      </w:pPr>
      <w:rPr>
        <w:rFonts w:hint="default"/>
      </w:rPr>
    </w:lvl>
    <w:lvl w:ilvl="8">
      <w:start w:val="0"/>
      <w:numFmt w:val="bullet"/>
      <w:lvlText w:val="•"/>
      <w:lvlJc w:val="left"/>
      <w:pPr>
        <w:ind w:left="8483" w:hanging="725"/>
      </w:pPr>
      <w:rPr>
        <w:rFonts w:hint="default"/>
      </w:rPr>
    </w:lvl>
  </w:abstractNum>
  <w:abstractNum w:abstractNumId="13">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2">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1">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0">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9">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29" w:hanging="425"/>
        <w:jc w:val="left"/>
      </w:pPr>
      <w:rPr>
        <w:rFonts w:hint="default" w:ascii="Arial" w:hAnsi="Arial" w:eastAsia="Arial" w:cs="Arial"/>
        <w:w w:val="99"/>
        <w:sz w:val="18"/>
        <w:szCs w:val="18"/>
      </w:rPr>
    </w:lvl>
    <w:lvl w:ilvl="3">
      <w:start w:val="0"/>
      <w:numFmt w:val="bullet"/>
      <w:lvlText w:val="•"/>
      <w:lvlJc w:val="left"/>
      <w:pPr>
        <w:ind w:left="1520" w:hanging="425"/>
      </w:pPr>
      <w:rPr>
        <w:rFonts w:hint="default"/>
      </w:rPr>
    </w:lvl>
    <w:lvl w:ilvl="4">
      <w:start w:val="0"/>
      <w:numFmt w:val="bullet"/>
      <w:lvlText w:val="•"/>
      <w:lvlJc w:val="left"/>
      <w:pPr>
        <w:ind w:left="2772" w:hanging="425"/>
      </w:pPr>
      <w:rPr>
        <w:rFonts w:hint="default"/>
      </w:rPr>
    </w:lvl>
    <w:lvl w:ilvl="5">
      <w:start w:val="0"/>
      <w:numFmt w:val="bullet"/>
      <w:lvlText w:val="•"/>
      <w:lvlJc w:val="left"/>
      <w:pPr>
        <w:ind w:left="4025" w:hanging="425"/>
      </w:pPr>
      <w:rPr>
        <w:rFonts w:hint="default"/>
      </w:rPr>
    </w:lvl>
    <w:lvl w:ilvl="6">
      <w:start w:val="0"/>
      <w:numFmt w:val="bullet"/>
      <w:lvlText w:val="•"/>
      <w:lvlJc w:val="left"/>
      <w:pPr>
        <w:ind w:left="5278" w:hanging="425"/>
      </w:pPr>
      <w:rPr>
        <w:rFonts w:hint="default"/>
      </w:rPr>
    </w:lvl>
    <w:lvl w:ilvl="7">
      <w:start w:val="0"/>
      <w:numFmt w:val="bullet"/>
      <w:lvlText w:val="•"/>
      <w:lvlJc w:val="left"/>
      <w:pPr>
        <w:ind w:left="6530" w:hanging="425"/>
      </w:pPr>
      <w:rPr>
        <w:rFonts w:hint="default"/>
      </w:rPr>
    </w:lvl>
    <w:lvl w:ilvl="8">
      <w:start w:val="0"/>
      <w:numFmt w:val="bullet"/>
      <w:lvlText w:val="•"/>
      <w:lvlJc w:val="left"/>
      <w:pPr>
        <w:ind w:left="7783" w:hanging="425"/>
      </w:pPr>
      <w:rPr>
        <w:rFonts w:hint="default"/>
      </w:rPr>
    </w:lvl>
  </w:abstractNum>
  <w:abstractNum w:abstractNumId="8">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6">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21" w:hanging="538"/>
      </w:pPr>
      <w:rPr>
        <w:rFonts w:hint="default"/>
      </w:rPr>
    </w:lvl>
    <w:lvl w:ilvl="4">
      <w:start w:val="0"/>
      <w:numFmt w:val="bullet"/>
      <w:lvlText w:val="•"/>
      <w:lvlJc w:val="left"/>
      <w:pPr>
        <w:ind w:left="3802" w:hanging="538"/>
      </w:pPr>
      <w:rPr>
        <w:rFonts w:hint="default"/>
      </w:rPr>
    </w:lvl>
    <w:lvl w:ilvl="5">
      <w:start w:val="0"/>
      <w:numFmt w:val="bullet"/>
      <w:lvlText w:val="•"/>
      <w:lvlJc w:val="left"/>
      <w:pPr>
        <w:ind w:left="4883" w:hanging="538"/>
      </w:pPr>
      <w:rPr>
        <w:rFonts w:hint="default"/>
      </w:rPr>
    </w:lvl>
    <w:lvl w:ilvl="6">
      <w:start w:val="0"/>
      <w:numFmt w:val="bullet"/>
      <w:lvlText w:val="•"/>
      <w:lvlJc w:val="left"/>
      <w:pPr>
        <w:ind w:left="5964" w:hanging="538"/>
      </w:pPr>
      <w:rPr>
        <w:rFonts w:hint="default"/>
      </w:rPr>
    </w:lvl>
    <w:lvl w:ilvl="7">
      <w:start w:val="0"/>
      <w:numFmt w:val="bullet"/>
      <w:lvlText w:val="•"/>
      <w:lvlJc w:val="left"/>
      <w:pPr>
        <w:ind w:left="7045" w:hanging="538"/>
      </w:pPr>
      <w:rPr>
        <w:rFonts w:hint="default"/>
      </w:rPr>
    </w:lvl>
    <w:lvl w:ilvl="8">
      <w:start w:val="0"/>
      <w:numFmt w:val="bullet"/>
      <w:lvlText w:val="•"/>
      <w:lvlJc w:val="left"/>
      <w:pPr>
        <w:ind w:left="8126" w:hanging="538"/>
      </w:pPr>
      <w:rPr>
        <w:rFonts w:hint="default"/>
      </w:rPr>
    </w:lvl>
  </w:abstractNum>
  <w:abstractNum w:abstractNumId="5">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spacing w:val="-1"/>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4">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3">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2">
    <w:multiLevelType w:val="hybridMultilevel"/>
    <w:lvl w:ilvl="0">
      <w:start w:val="4"/>
      <w:numFmt w:val="decimal"/>
      <w:lvlText w:val="%1"/>
      <w:lvlJc w:val="left"/>
      <w:pPr>
        <w:ind w:left="1193" w:hanging="637"/>
        <w:jc w:val="left"/>
      </w:pPr>
      <w:rPr>
        <w:rFonts w:hint="default"/>
      </w:rPr>
    </w:lvl>
    <w:lvl w:ilvl="1">
      <w:start w:val="1"/>
      <w:numFmt w:val="decimal"/>
      <w:lvlText w:val="%1.%2"/>
      <w:lvlJc w:val="left"/>
      <w:pPr>
        <w:ind w:left="1193" w:hanging="637"/>
        <w:jc w:val="left"/>
      </w:pPr>
      <w:rPr>
        <w:rFonts w:hint="default"/>
        <w:w w:val="99"/>
      </w:rPr>
    </w:lvl>
    <w:lvl w:ilvl="2">
      <w:start w:val="1"/>
      <w:numFmt w:val="decimal"/>
      <w:lvlText w:val="%1.%2.%3"/>
      <w:lvlJc w:val="left"/>
      <w:pPr>
        <w:ind w:left="1812" w:hanging="625"/>
        <w:jc w:val="right"/>
      </w:pPr>
      <w:rPr>
        <w:rFonts w:hint="default" w:ascii="Arial" w:hAnsi="Arial" w:eastAsia="Arial" w:cs="Arial"/>
        <w:w w:val="99"/>
        <w:sz w:val="18"/>
        <w:szCs w:val="18"/>
      </w:rPr>
    </w:lvl>
    <w:lvl w:ilvl="3">
      <w:start w:val="0"/>
      <w:numFmt w:val="bullet"/>
      <w:lvlText w:val="•"/>
      <w:lvlJc w:val="left"/>
      <w:pPr>
        <w:ind w:left="3715" w:hanging="625"/>
      </w:pPr>
      <w:rPr>
        <w:rFonts w:hint="default"/>
      </w:rPr>
    </w:lvl>
    <w:lvl w:ilvl="4">
      <w:start w:val="0"/>
      <w:numFmt w:val="bullet"/>
      <w:lvlText w:val="•"/>
      <w:lvlJc w:val="left"/>
      <w:pPr>
        <w:ind w:left="4662" w:hanging="625"/>
      </w:pPr>
      <w:rPr>
        <w:rFonts w:hint="default"/>
      </w:rPr>
    </w:lvl>
    <w:lvl w:ilvl="5">
      <w:start w:val="0"/>
      <w:numFmt w:val="bullet"/>
      <w:lvlText w:val="•"/>
      <w:lvlJc w:val="left"/>
      <w:pPr>
        <w:ind w:left="5610" w:hanging="625"/>
      </w:pPr>
      <w:rPr>
        <w:rFonts w:hint="default"/>
      </w:rPr>
    </w:lvl>
    <w:lvl w:ilvl="6">
      <w:start w:val="0"/>
      <w:numFmt w:val="bullet"/>
      <w:lvlText w:val="•"/>
      <w:lvlJc w:val="left"/>
      <w:pPr>
        <w:ind w:left="6558" w:hanging="625"/>
      </w:pPr>
      <w:rPr>
        <w:rFonts w:hint="default"/>
      </w:rPr>
    </w:lvl>
    <w:lvl w:ilvl="7">
      <w:start w:val="0"/>
      <w:numFmt w:val="bullet"/>
      <w:lvlText w:val="•"/>
      <w:lvlJc w:val="left"/>
      <w:pPr>
        <w:ind w:left="7505" w:hanging="625"/>
      </w:pPr>
      <w:rPr>
        <w:rFonts w:hint="default"/>
      </w:rPr>
    </w:lvl>
    <w:lvl w:ilvl="8">
      <w:start w:val="0"/>
      <w:numFmt w:val="bullet"/>
      <w:lvlText w:val="•"/>
      <w:lvlJc w:val="left"/>
      <w:pPr>
        <w:ind w:left="8453" w:hanging="625"/>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831"/>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38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4" w:hanging="566"/>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2018-10-19T22:01:34Z</dcterms:created>
  <dcterms:modified xsi:type="dcterms:W3CDTF">2018-10-19T22:01:34Z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