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Default Extension="jpeg" ContentType="image/jpeg"/>
  <Default Extension="png" ContentType="image/png"/>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ind w:left="4379" w:right="4234"/>
        <w:jc w:val="center"/>
      </w:pPr>
      <w:r>
        <w:rPr/>
        <w:pict>
          <v:group style="position:absolute;margin-left:45.959999pt;margin-top:95.659981pt;width:497.9pt;height:664.2pt;mso-position-horizontal-relative:page;mso-position-vertical-relative:page;z-index:-15232" coordorigin="919,1913" coordsize="9958,13284">
            <v:shape style="position:absolute;left:919;top:1913;width:29;height:32" coordorigin="919,1913" coordsize="29,32" path="m948,1932l938,1932,938,1942,938,1944,948,1944,948,1942,948,1932m948,1913l929,1913,919,1913,919,1923,919,1944,929,1944,929,1923,948,1923,948,1913e" filled="true" fillcolor="#000000" stroked="false">
              <v:path arrowok="t"/>
              <v:fill type="solid"/>
            </v:shape>
            <v:line style="position:absolute" from="948,1918" to="10848,1918" stroked="true" strokeweight=".48pt" strokecolor="#000000">
              <v:stroke dashstyle="solid"/>
            </v:line>
            <v:line style="position:absolute" from="948,1937" to="10848,1937" stroked="true" strokeweight=".48pt" strokecolor="#000000">
              <v:stroke dashstyle="solid"/>
            </v:line>
            <v:shape style="position:absolute;left:10848;top:1913;width:29;height:32" coordorigin="10848,1913" coordsize="29,32" path="m10858,1932l10848,1932,10848,1942,10848,1944,10858,1944,10858,1942,10858,1932m10877,1913l10867,1913,10848,1913,10848,1923,10867,1923,10867,1944,10877,1944,10877,1923,10877,1913e" filled="true" fillcolor="#000000" stroked="false">
              <v:path arrowok="t"/>
              <v:fill type="solid"/>
            </v:shape>
            <v:line style="position:absolute" from="943,1944" to="943,15178" stroked="true" strokeweight=".48pt" strokecolor="#000000">
              <v:stroke dashstyle="solid"/>
            </v:line>
            <v:line style="position:absolute" from="924,1944" to="924,15197" stroked="true" strokeweight=".48pt" strokecolor="#000000">
              <v:stroke dashstyle="solid"/>
            </v:line>
            <v:rect style="position:absolute;left:919;top:15187;width:29;height:10" filled="true" fillcolor="#000000" stroked="false">
              <v:fill type="solid"/>
            </v:rect>
            <v:line style="position:absolute" from="948,15192" to="10848,15192" stroked="true" strokeweight=".48004pt" strokecolor="#000000">
              <v:stroke dashstyle="solid"/>
            </v:line>
            <v:line style="position:absolute" from="948,15173" to="10848,15173" stroked="true" strokeweight=".47998pt" strokecolor="#000000">
              <v:stroke dashstyle="solid"/>
            </v:line>
            <v:line style="position:absolute" from="10872,1944" to="10872,15197" stroked="true" strokeweight=".48004pt" strokecolor="#000000">
              <v:stroke dashstyle="solid"/>
            </v:line>
            <v:line style="position:absolute" from="10853,1944" to="10853,15178" stroked="true" strokeweight=".47998pt" strokecolor="#000000">
              <v:stroke dashstyle="solid"/>
            </v:line>
            <v:rect style="position:absolute;left:10848;top:15187;width:29;height:10" filled="true" fillcolor="#000000" stroked="false">
              <v:fill type="solid"/>
            </v:rect>
            <w10:wrap type="none"/>
          </v:group>
        </w:pict>
      </w:r>
      <w:r>
        <w:rPr/>
        <w:t>阅  读  指 引</w:t>
      </w:r>
      <w:r>
        <w:rPr>
          <w:w w:val="168"/>
        </w:rPr>
        <w:t> </w:t>
      </w:r>
    </w:p>
    <w:p>
      <w:pPr>
        <w:pStyle w:val="BodyText"/>
        <w:spacing w:before="8"/>
        <w:rPr>
          <w:rFonts w:ascii="微软雅黑"/>
          <w:b/>
          <w:sz w:val="15"/>
        </w:rPr>
      </w:pPr>
    </w:p>
    <w:p>
      <w:pPr>
        <w:pStyle w:val="Heading2"/>
        <w:numPr>
          <w:ilvl w:val="0"/>
          <w:numId w:val="1"/>
        </w:numPr>
        <w:tabs>
          <w:tab w:pos="661" w:val="left" w:leader="none"/>
          <w:tab w:pos="663" w:val="left" w:leader="none"/>
        </w:tabs>
        <w:spacing w:line="240" w:lineRule="auto" w:before="0" w:after="0"/>
        <w:ind w:left="662" w:right="0" w:hanging="421"/>
        <w:jc w:val="left"/>
        <w:rPr>
          <w:rFonts w:ascii="Microsoft JhengHei" w:eastAsia="Microsoft JhengHei" w:hint="eastAsia"/>
        </w:rPr>
      </w:pPr>
      <w:r>
        <w:rPr>
          <w:rFonts w:ascii="Microsoft JhengHei" w:eastAsia="Microsoft JhengHei" w:hint="eastAsia"/>
          <w:spacing w:val="-3"/>
        </w:rPr>
        <w:t>招商仁和安康团体重大疾病保险产品提供重大疾病保障</w:t>
      </w:r>
    </w:p>
    <w:p>
      <w:pPr>
        <w:pStyle w:val="ListParagraph"/>
        <w:numPr>
          <w:ilvl w:val="0"/>
          <w:numId w:val="1"/>
        </w:numPr>
        <w:tabs>
          <w:tab w:pos="661" w:val="left" w:leader="none"/>
          <w:tab w:pos="663" w:val="left" w:leader="none"/>
        </w:tabs>
        <w:spacing w:line="363" w:lineRule="exact" w:before="119" w:after="0"/>
        <w:ind w:left="662" w:right="0" w:hanging="421"/>
        <w:jc w:val="left"/>
        <w:rPr>
          <w:b/>
          <w:sz w:val="21"/>
        </w:rPr>
      </w:pPr>
      <w:r>
        <w:rPr>
          <w:b/>
          <w:spacing w:val="-3"/>
          <w:sz w:val="21"/>
        </w:rPr>
        <w:t>为了帮助您更好地了解产品，我们先介绍几个保险条款中常用的术语</w:t>
      </w:r>
    </w:p>
    <w:p>
      <w:pPr>
        <w:spacing w:line="360" w:lineRule="exact" w:before="0"/>
        <w:ind w:left="770" w:right="0" w:firstLine="0"/>
        <w:jc w:val="left"/>
        <w:rPr>
          <w:sz w:val="21"/>
        </w:rPr>
      </w:pPr>
      <w:r>
        <w:rPr>
          <w:rFonts w:ascii="Microsoft JhengHei" w:hAnsi="Microsoft JhengHei" w:eastAsia="Microsoft JhengHei" w:hint="eastAsia"/>
          <w:b/>
          <w:sz w:val="21"/>
        </w:rPr>
        <w:t>☆     投保人</w:t>
      </w:r>
      <w:r>
        <w:rPr>
          <w:sz w:val="21"/>
        </w:rPr>
        <w:t>是指与保险公司订立保险合同，并按照合同约定负有支付保险费义务的人。</w:t>
      </w:r>
    </w:p>
    <w:p>
      <w:pPr>
        <w:spacing w:line="360" w:lineRule="exact" w:before="0"/>
        <w:ind w:left="770" w:right="0" w:firstLine="0"/>
        <w:jc w:val="left"/>
        <w:rPr>
          <w:sz w:val="21"/>
        </w:rPr>
      </w:pPr>
      <w:r>
        <w:rPr>
          <w:rFonts w:ascii="Microsoft JhengHei" w:hAnsi="Microsoft JhengHei" w:eastAsia="Microsoft JhengHei" w:hint="eastAsia"/>
          <w:b/>
          <w:sz w:val="21"/>
        </w:rPr>
        <w:t>☆     被保险人</w:t>
      </w:r>
      <w:r>
        <w:rPr>
          <w:sz w:val="21"/>
        </w:rPr>
        <w:t>是指其人身受保险合同保障的人。</w:t>
      </w:r>
    </w:p>
    <w:p>
      <w:pPr>
        <w:spacing w:line="360" w:lineRule="exact" w:before="0"/>
        <w:ind w:left="770" w:right="0" w:firstLine="0"/>
        <w:jc w:val="left"/>
        <w:rPr>
          <w:sz w:val="21"/>
        </w:rPr>
      </w:pPr>
      <w:r>
        <w:rPr>
          <w:rFonts w:ascii="Microsoft JhengHei" w:hAnsi="Microsoft JhengHei" w:eastAsia="Microsoft JhengHei" w:hint="eastAsia"/>
          <w:b/>
          <w:sz w:val="21"/>
        </w:rPr>
        <w:t>☆     受益人</w:t>
      </w:r>
      <w:r>
        <w:rPr>
          <w:sz w:val="21"/>
        </w:rPr>
        <w:t>是指人身保险合同中，由被保险人或者投保人指定的，享有保险金请求权的人。</w:t>
      </w:r>
    </w:p>
    <w:p>
      <w:pPr>
        <w:spacing w:line="363" w:lineRule="exact" w:before="0"/>
        <w:ind w:left="770" w:right="0" w:firstLine="0"/>
        <w:jc w:val="left"/>
        <w:rPr>
          <w:sz w:val="21"/>
        </w:rPr>
      </w:pPr>
      <w:r>
        <w:rPr>
          <w:rFonts w:ascii="Microsoft JhengHei" w:hAnsi="Microsoft JhengHei" w:eastAsia="Microsoft JhengHei" w:hint="eastAsia"/>
          <w:b/>
          <w:w w:val="105"/>
          <w:sz w:val="21"/>
        </w:rPr>
        <w:t>☆  保险人</w:t>
      </w:r>
      <w:r>
        <w:rPr>
          <w:w w:val="105"/>
          <w:sz w:val="21"/>
        </w:rPr>
        <w:t>是指保险公司。</w:t>
      </w:r>
    </w:p>
    <w:p>
      <w:pPr>
        <w:pStyle w:val="Heading2"/>
        <w:numPr>
          <w:ilvl w:val="0"/>
          <w:numId w:val="1"/>
        </w:numPr>
        <w:tabs>
          <w:tab w:pos="661" w:val="left" w:leader="none"/>
          <w:tab w:pos="663" w:val="left" w:leader="none"/>
        </w:tabs>
        <w:spacing w:line="240" w:lineRule="auto" w:before="117" w:after="0"/>
        <w:ind w:left="662" w:right="0" w:hanging="421"/>
        <w:jc w:val="left"/>
        <w:rPr>
          <w:rFonts w:ascii="Microsoft JhengHei" w:eastAsia="Microsoft JhengHei" w:hint="eastAsia"/>
        </w:rPr>
      </w:pPr>
      <w:r>
        <w:rPr>
          <w:rFonts w:ascii="Microsoft JhengHei" w:eastAsia="Microsoft JhengHei" w:hint="eastAsia"/>
        </w:rPr>
        <w:t>您享有的重要权益</w:t>
      </w:r>
    </w:p>
    <w:p>
      <w:pPr>
        <w:pStyle w:val="BodyText"/>
        <w:spacing w:before="64"/>
        <w:ind w:left="767"/>
      </w:pPr>
      <w:r>
        <w:rPr/>
        <w:t>被保险人享有的保险保障......................................................第六条</w:t>
      </w:r>
    </w:p>
    <w:p>
      <w:pPr>
        <w:pStyle w:val="BodyText"/>
        <w:spacing w:before="85"/>
        <w:ind w:left="767"/>
      </w:pPr>
      <w:r>
        <w:rPr/>
        <w:t>您有解除保险合同的权利....................................................第十八条</w:t>
      </w:r>
    </w:p>
    <w:p>
      <w:pPr>
        <w:pStyle w:val="Heading2"/>
        <w:numPr>
          <w:ilvl w:val="0"/>
          <w:numId w:val="1"/>
        </w:numPr>
        <w:tabs>
          <w:tab w:pos="661" w:val="left" w:leader="none"/>
          <w:tab w:pos="663" w:val="left" w:leader="none"/>
        </w:tabs>
        <w:spacing w:line="240" w:lineRule="auto" w:before="141" w:after="0"/>
        <w:ind w:left="662" w:right="0" w:hanging="421"/>
        <w:jc w:val="left"/>
        <w:rPr>
          <w:rFonts w:ascii="Microsoft JhengHei" w:eastAsia="Microsoft JhengHei" w:hint="eastAsia"/>
        </w:rPr>
      </w:pPr>
      <w:r>
        <w:rPr>
          <w:rFonts w:ascii="Microsoft JhengHei" w:eastAsia="Microsoft JhengHei" w:hint="eastAsia"/>
          <w:spacing w:val="-2"/>
        </w:rPr>
        <w:t>您还应当特别注意的事项</w:t>
      </w:r>
    </w:p>
    <w:p>
      <w:pPr>
        <w:pStyle w:val="BodyText"/>
        <w:spacing w:before="63"/>
        <w:ind w:left="767"/>
      </w:pPr>
      <w:r>
        <w:rPr>
          <w:shd w:fill="D9D9D9" w:color="auto" w:val="clear"/>
        </w:rPr>
        <w:t>在责任免除的情况下，我们不承担保险责任.......................................第七条</w:t>
      </w:r>
    </w:p>
    <w:p>
      <w:pPr>
        <w:pStyle w:val="BodyText"/>
        <w:spacing w:line="314" w:lineRule="auto" w:before="84"/>
        <w:ind w:left="767" w:right="753"/>
      </w:pPr>
      <w:r>
        <w:rPr>
          <w:spacing w:val="-7"/>
        </w:rPr>
        <w:t>解除保险合同会给您造成一定的损失，请您慎重决策.............................第十八条</w:t>
      </w:r>
      <w:r>
        <w:rPr>
          <w:spacing w:val="-10"/>
          <w:shd w:fill="D9D9D9" w:color="auto" w:val="clear"/>
        </w:rPr>
        <w:t>请您特别注意“重大疾病的定义”..............................................第二十条</w:t>
      </w:r>
    </w:p>
    <w:p>
      <w:pPr>
        <w:pStyle w:val="BodyText"/>
        <w:spacing w:before="19"/>
        <w:ind w:left="767"/>
      </w:pPr>
      <w:r>
        <w:rPr/>
        <w:t>请您特别注意一些重要术语的释义............................................每页脚注</w:t>
      </w:r>
    </w:p>
    <w:p>
      <w:pPr>
        <w:pStyle w:val="Heading2"/>
        <w:numPr>
          <w:ilvl w:val="0"/>
          <w:numId w:val="1"/>
        </w:numPr>
        <w:tabs>
          <w:tab w:pos="661" w:val="left" w:leader="none"/>
          <w:tab w:pos="663" w:val="left" w:leader="none"/>
        </w:tabs>
        <w:spacing w:line="240" w:lineRule="auto" w:before="140" w:after="0"/>
        <w:ind w:left="662" w:right="0" w:hanging="421"/>
        <w:jc w:val="left"/>
        <w:rPr>
          <w:rFonts w:ascii="Microsoft JhengHei" w:eastAsia="Microsoft JhengHei" w:hint="eastAsia"/>
        </w:rPr>
      </w:pPr>
      <w:r>
        <w:rPr>
          <w:rFonts w:ascii="Microsoft JhengHei" w:eastAsia="Microsoft JhengHei" w:hint="eastAsia"/>
          <w:spacing w:val="-2"/>
        </w:rPr>
        <w:t>以下为本产品的条款目录</w:t>
      </w:r>
    </w:p>
    <w:p>
      <w:pPr>
        <w:pStyle w:val="BodyText"/>
        <w:spacing w:before="17"/>
        <w:rPr>
          <w:rFonts w:ascii="Microsoft JhengHei"/>
          <w:b/>
          <w:sz w:val="18"/>
        </w:rPr>
      </w:pPr>
    </w:p>
    <w:tbl>
      <w:tblPr>
        <w:tblW w:w="0" w:type="auto"/>
        <w:jc w:val="left"/>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26"/>
        <w:gridCol w:w="3673"/>
      </w:tblGrid>
      <w:tr>
        <w:trPr>
          <w:trHeight w:val="318" w:hRule="atLeast"/>
        </w:trPr>
        <w:tc>
          <w:tcPr>
            <w:tcW w:w="4326" w:type="dxa"/>
            <w:tcBorders>
              <w:right w:val="single" w:sz="2" w:space="0" w:color="000000"/>
            </w:tcBorders>
          </w:tcPr>
          <w:p>
            <w:pPr>
              <w:pStyle w:val="TableParagraph"/>
              <w:tabs>
                <w:tab w:pos="1044" w:val="left" w:leader="none"/>
              </w:tabs>
              <w:spacing w:line="277" w:lineRule="exact"/>
              <w:ind w:left="200"/>
              <w:rPr>
                <w:rFonts w:ascii="Microsoft JhengHei" w:eastAsia="Microsoft JhengHei" w:hint="eastAsia"/>
                <w:b/>
                <w:sz w:val="21"/>
              </w:rPr>
            </w:pPr>
            <w:r>
              <w:rPr>
                <w:rFonts w:ascii="Microsoft JhengHei" w:eastAsia="Microsoft JhengHei" w:hint="eastAsia"/>
                <w:b/>
                <w:sz w:val="21"/>
              </w:rPr>
              <w:t>第一章</w:t>
              <w:tab/>
              <w:t>您与我们</w:t>
            </w:r>
            <w:r>
              <w:rPr>
                <w:rFonts w:ascii="Microsoft JhengHei" w:eastAsia="Microsoft JhengHei" w:hint="eastAsia"/>
                <w:b/>
                <w:spacing w:val="-3"/>
                <w:sz w:val="21"/>
              </w:rPr>
              <w:t>订</w:t>
            </w:r>
            <w:r>
              <w:rPr>
                <w:rFonts w:ascii="Microsoft JhengHei" w:eastAsia="Microsoft JhengHei" w:hint="eastAsia"/>
                <w:b/>
                <w:sz w:val="21"/>
              </w:rPr>
              <w:t>立</w:t>
            </w:r>
            <w:r>
              <w:rPr>
                <w:rFonts w:ascii="Microsoft JhengHei" w:eastAsia="Microsoft JhengHei" w:hint="eastAsia"/>
                <w:b/>
                <w:spacing w:val="-3"/>
                <w:sz w:val="21"/>
              </w:rPr>
              <w:t>的</w:t>
            </w:r>
            <w:r>
              <w:rPr>
                <w:rFonts w:ascii="Microsoft JhengHei" w:eastAsia="Microsoft JhengHei" w:hint="eastAsia"/>
                <w:b/>
                <w:sz w:val="21"/>
              </w:rPr>
              <w:t>合同</w:t>
            </w:r>
          </w:p>
        </w:tc>
        <w:tc>
          <w:tcPr>
            <w:tcW w:w="3673" w:type="dxa"/>
            <w:tcBorders>
              <w:left w:val="single" w:sz="2" w:space="0" w:color="000000"/>
            </w:tcBorders>
          </w:tcPr>
          <w:p>
            <w:pPr>
              <w:pStyle w:val="TableParagraph"/>
              <w:tabs>
                <w:tab w:pos="842" w:val="left" w:leader="none"/>
              </w:tabs>
              <w:spacing w:line="253" w:lineRule="exact"/>
              <w:ind w:left="0" w:right="197"/>
              <w:jc w:val="right"/>
              <w:rPr>
                <w:sz w:val="21"/>
              </w:rPr>
            </w:pPr>
            <w:r>
              <w:rPr>
                <w:sz w:val="21"/>
              </w:rPr>
              <w:t>第十条</w:t>
              <w:tab/>
            </w:r>
            <w:r>
              <w:rPr>
                <w:spacing w:val="-3"/>
                <w:sz w:val="21"/>
              </w:rPr>
              <w:t>我</w:t>
            </w:r>
            <w:r>
              <w:rPr>
                <w:sz w:val="21"/>
              </w:rPr>
              <w:t>们</w:t>
            </w:r>
            <w:r>
              <w:rPr>
                <w:spacing w:val="-3"/>
                <w:sz w:val="21"/>
              </w:rPr>
              <w:t>合</w:t>
            </w:r>
            <w:r>
              <w:rPr>
                <w:sz w:val="21"/>
              </w:rPr>
              <w:t>同</w:t>
            </w:r>
            <w:r>
              <w:rPr>
                <w:spacing w:val="-3"/>
                <w:sz w:val="21"/>
              </w:rPr>
              <w:t>解</w:t>
            </w:r>
            <w:r>
              <w:rPr>
                <w:sz w:val="21"/>
              </w:rPr>
              <w:t>除</w:t>
            </w:r>
            <w:r>
              <w:rPr>
                <w:spacing w:val="-3"/>
                <w:sz w:val="21"/>
              </w:rPr>
              <w:t>权</w:t>
            </w:r>
            <w:r>
              <w:rPr>
                <w:sz w:val="21"/>
              </w:rPr>
              <w:t>的限制</w:t>
            </w:r>
          </w:p>
        </w:tc>
      </w:tr>
      <w:tr>
        <w:trPr>
          <w:trHeight w:val="340" w:hRule="atLeast"/>
        </w:trPr>
        <w:tc>
          <w:tcPr>
            <w:tcW w:w="4326" w:type="dxa"/>
            <w:tcBorders>
              <w:right w:val="single" w:sz="2" w:space="0" w:color="000000"/>
            </w:tcBorders>
          </w:tcPr>
          <w:p>
            <w:pPr>
              <w:pStyle w:val="TableParagraph"/>
              <w:tabs>
                <w:tab w:pos="1462" w:val="left" w:leader="none"/>
              </w:tabs>
              <w:spacing w:before="1"/>
              <w:ind w:left="619"/>
              <w:rPr>
                <w:sz w:val="21"/>
              </w:rPr>
            </w:pPr>
            <w:r>
              <w:rPr>
                <w:sz w:val="21"/>
              </w:rPr>
              <w:t>第一条</w:t>
              <w:tab/>
            </w:r>
            <w:r>
              <w:rPr>
                <w:spacing w:val="-3"/>
                <w:sz w:val="21"/>
              </w:rPr>
              <w:t>保</w:t>
            </w:r>
            <w:r>
              <w:rPr>
                <w:sz w:val="21"/>
              </w:rPr>
              <w:t>险</w:t>
            </w:r>
            <w:r>
              <w:rPr>
                <w:spacing w:val="-3"/>
                <w:sz w:val="21"/>
              </w:rPr>
              <w:t>合</w:t>
            </w:r>
            <w:r>
              <w:rPr>
                <w:sz w:val="21"/>
              </w:rPr>
              <w:t>同</w:t>
            </w:r>
            <w:r>
              <w:rPr>
                <w:spacing w:val="-3"/>
                <w:sz w:val="21"/>
              </w:rPr>
              <w:t>的</w:t>
            </w:r>
            <w:r>
              <w:rPr>
                <w:sz w:val="21"/>
              </w:rPr>
              <w:t>构成</w:t>
            </w:r>
          </w:p>
        </w:tc>
        <w:tc>
          <w:tcPr>
            <w:tcW w:w="3673" w:type="dxa"/>
            <w:tcBorders>
              <w:left w:val="single" w:sz="2" w:space="0" w:color="000000"/>
            </w:tcBorders>
          </w:tcPr>
          <w:p>
            <w:pPr>
              <w:pStyle w:val="TableParagraph"/>
              <w:tabs>
                <w:tab w:pos="1051" w:val="left" w:leader="none"/>
              </w:tabs>
              <w:spacing w:before="1"/>
              <w:ind w:left="0" w:right="197"/>
              <w:jc w:val="right"/>
              <w:rPr>
                <w:sz w:val="21"/>
              </w:rPr>
            </w:pPr>
            <w:r>
              <w:rPr>
                <w:sz w:val="21"/>
              </w:rPr>
              <w:t>第十</w:t>
            </w:r>
            <w:r>
              <w:rPr>
                <w:spacing w:val="-3"/>
                <w:sz w:val="21"/>
              </w:rPr>
              <w:t>一</w:t>
            </w:r>
            <w:r>
              <w:rPr>
                <w:sz w:val="21"/>
              </w:rPr>
              <w:t>条</w:t>
              <w:tab/>
              <w:t>受</w:t>
            </w:r>
            <w:r>
              <w:rPr>
                <w:spacing w:val="-3"/>
                <w:sz w:val="21"/>
              </w:rPr>
              <w:t>益</w:t>
            </w:r>
            <w:r>
              <w:rPr>
                <w:sz w:val="21"/>
              </w:rPr>
              <w:t>人</w:t>
            </w:r>
            <w:r>
              <w:rPr>
                <w:spacing w:val="-3"/>
                <w:sz w:val="21"/>
              </w:rPr>
              <w:t>的</w:t>
            </w:r>
            <w:r>
              <w:rPr>
                <w:sz w:val="21"/>
              </w:rPr>
              <w:t>指</w:t>
            </w:r>
            <w:r>
              <w:rPr>
                <w:spacing w:val="-3"/>
                <w:sz w:val="21"/>
              </w:rPr>
              <w:t>定</w:t>
            </w:r>
            <w:r>
              <w:rPr>
                <w:sz w:val="21"/>
              </w:rPr>
              <w:t>和变更</w:t>
            </w:r>
          </w:p>
        </w:tc>
      </w:tr>
      <w:tr>
        <w:trPr>
          <w:trHeight w:val="339" w:hRule="atLeast"/>
        </w:trPr>
        <w:tc>
          <w:tcPr>
            <w:tcW w:w="4326" w:type="dxa"/>
            <w:tcBorders>
              <w:right w:val="single" w:sz="2" w:space="0" w:color="000000"/>
            </w:tcBorders>
          </w:tcPr>
          <w:p>
            <w:pPr>
              <w:pStyle w:val="TableParagraph"/>
              <w:tabs>
                <w:tab w:pos="1462" w:val="left" w:leader="none"/>
              </w:tabs>
              <w:spacing w:before="1"/>
              <w:ind w:left="622"/>
              <w:rPr>
                <w:sz w:val="21"/>
              </w:rPr>
            </w:pPr>
            <w:r>
              <w:rPr>
                <w:spacing w:val="-3"/>
                <w:sz w:val="21"/>
              </w:rPr>
              <w:t>第</w:t>
            </w:r>
            <w:r>
              <w:rPr>
                <w:sz w:val="21"/>
              </w:rPr>
              <w:t>二条</w:t>
              <w:tab/>
            </w:r>
            <w:r>
              <w:rPr>
                <w:spacing w:val="-3"/>
                <w:sz w:val="21"/>
              </w:rPr>
              <w:t>投</w:t>
            </w:r>
            <w:r>
              <w:rPr>
                <w:sz w:val="21"/>
              </w:rPr>
              <w:t>保</w:t>
            </w:r>
            <w:r>
              <w:rPr>
                <w:spacing w:val="-3"/>
                <w:sz w:val="21"/>
              </w:rPr>
              <w:t>范</w:t>
            </w:r>
            <w:r>
              <w:rPr>
                <w:sz w:val="21"/>
              </w:rPr>
              <w:t>围</w:t>
            </w:r>
          </w:p>
        </w:tc>
        <w:tc>
          <w:tcPr>
            <w:tcW w:w="3673" w:type="dxa"/>
            <w:tcBorders>
              <w:left w:val="single" w:sz="2" w:space="0" w:color="000000"/>
            </w:tcBorders>
          </w:tcPr>
          <w:p>
            <w:pPr>
              <w:pStyle w:val="TableParagraph"/>
              <w:tabs>
                <w:tab w:pos="1577" w:val="left" w:leader="none"/>
              </w:tabs>
              <w:spacing w:before="1"/>
              <w:rPr>
                <w:sz w:val="21"/>
              </w:rPr>
            </w:pPr>
            <w:r>
              <w:rPr>
                <w:sz w:val="21"/>
              </w:rPr>
              <w:t>第十</w:t>
            </w:r>
            <w:r>
              <w:rPr>
                <w:spacing w:val="-3"/>
                <w:sz w:val="21"/>
              </w:rPr>
              <w:t>二</w:t>
            </w:r>
            <w:r>
              <w:rPr>
                <w:sz w:val="21"/>
              </w:rPr>
              <w:t>条</w:t>
              <w:tab/>
              <w:t>保</w:t>
            </w:r>
            <w:r>
              <w:rPr>
                <w:spacing w:val="-3"/>
                <w:sz w:val="21"/>
              </w:rPr>
              <w:t>险</w:t>
            </w:r>
            <w:r>
              <w:rPr>
                <w:sz w:val="21"/>
              </w:rPr>
              <w:t>事</w:t>
            </w:r>
            <w:r>
              <w:rPr>
                <w:spacing w:val="-3"/>
                <w:sz w:val="21"/>
              </w:rPr>
              <w:t>故</w:t>
            </w:r>
            <w:r>
              <w:rPr>
                <w:sz w:val="21"/>
              </w:rPr>
              <w:t>的</w:t>
            </w:r>
            <w:r>
              <w:rPr>
                <w:spacing w:val="-3"/>
                <w:sz w:val="21"/>
              </w:rPr>
              <w:t>通</w:t>
            </w:r>
            <w:r>
              <w:rPr>
                <w:sz w:val="21"/>
              </w:rPr>
              <w:t>知</w:t>
            </w:r>
          </w:p>
        </w:tc>
      </w:tr>
      <w:tr>
        <w:trPr>
          <w:trHeight w:val="339" w:hRule="atLeast"/>
        </w:trPr>
        <w:tc>
          <w:tcPr>
            <w:tcW w:w="4326" w:type="dxa"/>
            <w:tcBorders>
              <w:right w:val="single" w:sz="2" w:space="0" w:color="000000"/>
            </w:tcBorders>
          </w:tcPr>
          <w:p>
            <w:pPr>
              <w:pStyle w:val="TableParagraph"/>
              <w:tabs>
                <w:tab w:pos="1462" w:val="left" w:leader="none"/>
              </w:tabs>
              <w:ind w:left="622"/>
              <w:rPr>
                <w:sz w:val="21"/>
              </w:rPr>
            </w:pPr>
            <w:r>
              <w:rPr>
                <w:spacing w:val="-3"/>
                <w:sz w:val="21"/>
              </w:rPr>
              <w:t>第</w:t>
            </w:r>
            <w:r>
              <w:rPr>
                <w:sz w:val="21"/>
              </w:rPr>
              <w:t>三条</w:t>
              <w:tab/>
            </w:r>
            <w:r>
              <w:rPr>
                <w:spacing w:val="-3"/>
                <w:sz w:val="21"/>
              </w:rPr>
              <w:t>保</w:t>
            </w:r>
            <w:r>
              <w:rPr>
                <w:sz w:val="21"/>
              </w:rPr>
              <w:t>险</w:t>
            </w:r>
            <w:r>
              <w:rPr>
                <w:spacing w:val="-3"/>
                <w:sz w:val="21"/>
              </w:rPr>
              <w:t>合</w:t>
            </w:r>
            <w:r>
              <w:rPr>
                <w:sz w:val="21"/>
              </w:rPr>
              <w:t>同</w:t>
            </w:r>
            <w:r>
              <w:rPr>
                <w:spacing w:val="-3"/>
                <w:sz w:val="21"/>
              </w:rPr>
              <w:t>成</w:t>
            </w:r>
            <w:r>
              <w:rPr>
                <w:sz w:val="21"/>
              </w:rPr>
              <w:t>立与</w:t>
            </w:r>
            <w:r>
              <w:rPr>
                <w:spacing w:val="-3"/>
                <w:sz w:val="21"/>
              </w:rPr>
              <w:t>生</w:t>
            </w:r>
            <w:r>
              <w:rPr>
                <w:sz w:val="21"/>
              </w:rPr>
              <w:t>效</w:t>
            </w:r>
          </w:p>
        </w:tc>
        <w:tc>
          <w:tcPr>
            <w:tcW w:w="3673" w:type="dxa"/>
            <w:tcBorders>
              <w:left w:val="single" w:sz="2" w:space="0" w:color="000000"/>
            </w:tcBorders>
          </w:tcPr>
          <w:p>
            <w:pPr>
              <w:pStyle w:val="TableParagraph"/>
              <w:tabs>
                <w:tab w:pos="1577" w:val="left" w:leader="none"/>
              </w:tabs>
              <w:rPr>
                <w:sz w:val="21"/>
              </w:rPr>
            </w:pPr>
            <w:r>
              <w:rPr>
                <w:sz w:val="21"/>
              </w:rPr>
              <w:t>第十</w:t>
            </w:r>
            <w:r>
              <w:rPr>
                <w:spacing w:val="-3"/>
                <w:sz w:val="21"/>
              </w:rPr>
              <w:t>三</w:t>
            </w:r>
            <w:r>
              <w:rPr>
                <w:sz w:val="21"/>
              </w:rPr>
              <w:t>条</w:t>
              <w:tab/>
              <w:t>保</w:t>
            </w:r>
            <w:r>
              <w:rPr>
                <w:spacing w:val="-3"/>
                <w:sz w:val="21"/>
              </w:rPr>
              <w:t>险</w:t>
            </w:r>
            <w:r>
              <w:rPr>
                <w:sz w:val="21"/>
              </w:rPr>
              <w:t>金</w:t>
            </w:r>
            <w:r>
              <w:rPr>
                <w:spacing w:val="-3"/>
                <w:sz w:val="21"/>
              </w:rPr>
              <w:t>的</w:t>
            </w:r>
            <w:r>
              <w:rPr>
                <w:sz w:val="21"/>
              </w:rPr>
              <w:t>申请</w:t>
            </w:r>
          </w:p>
        </w:tc>
      </w:tr>
      <w:tr>
        <w:trPr>
          <w:trHeight w:val="340" w:hRule="atLeast"/>
        </w:trPr>
        <w:tc>
          <w:tcPr>
            <w:tcW w:w="4326" w:type="dxa"/>
            <w:tcBorders>
              <w:right w:val="single" w:sz="2" w:space="0" w:color="000000"/>
            </w:tcBorders>
          </w:tcPr>
          <w:p>
            <w:pPr>
              <w:pStyle w:val="TableParagraph"/>
              <w:tabs>
                <w:tab w:pos="1462" w:val="left" w:leader="none"/>
              </w:tabs>
              <w:spacing w:before="1"/>
              <w:ind w:left="619"/>
              <w:rPr>
                <w:sz w:val="21"/>
              </w:rPr>
            </w:pPr>
            <w:r>
              <w:rPr>
                <w:sz w:val="21"/>
              </w:rPr>
              <w:t>第四条</w:t>
              <w:tab/>
            </w:r>
            <w:r>
              <w:rPr>
                <w:spacing w:val="-3"/>
                <w:sz w:val="21"/>
              </w:rPr>
              <w:t>保</w:t>
            </w:r>
            <w:r>
              <w:rPr>
                <w:sz w:val="21"/>
              </w:rPr>
              <w:t>险</w:t>
            </w:r>
            <w:r>
              <w:rPr>
                <w:spacing w:val="-3"/>
                <w:sz w:val="21"/>
              </w:rPr>
              <w:t>期</w:t>
            </w:r>
            <w:r>
              <w:rPr>
                <w:sz w:val="21"/>
              </w:rPr>
              <w:t>间</w:t>
            </w:r>
          </w:p>
        </w:tc>
        <w:tc>
          <w:tcPr>
            <w:tcW w:w="3673" w:type="dxa"/>
            <w:tcBorders>
              <w:left w:val="single" w:sz="2" w:space="0" w:color="000000"/>
            </w:tcBorders>
          </w:tcPr>
          <w:p>
            <w:pPr>
              <w:pStyle w:val="TableParagraph"/>
              <w:tabs>
                <w:tab w:pos="950" w:val="left" w:leader="none"/>
              </w:tabs>
              <w:spacing w:line="300" w:lineRule="exact"/>
              <w:ind w:left="106"/>
              <w:rPr>
                <w:rFonts w:ascii="Microsoft JhengHei" w:eastAsia="Microsoft JhengHei" w:hint="eastAsia"/>
                <w:b/>
                <w:sz w:val="21"/>
              </w:rPr>
            </w:pPr>
            <w:r>
              <w:rPr>
                <w:rFonts w:ascii="Microsoft JhengHei" w:eastAsia="Microsoft JhengHei" w:hint="eastAsia"/>
                <w:b/>
                <w:sz w:val="21"/>
              </w:rPr>
              <w:t>第五章</w:t>
              <w:tab/>
              <w:t>一般约定</w:t>
            </w:r>
          </w:p>
        </w:tc>
      </w:tr>
      <w:tr>
        <w:trPr>
          <w:trHeight w:val="339" w:hRule="atLeast"/>
        </w:trPr>
        <w:tc>
          <w:tcPr>
            <w:tcW w:w="4326" w:type="dxa"/>
            <w:tcBorders>
              <w:right w:val="single" w:sz="2" w:space="0" w:color="000000"/>
            </w:tcBorders>
          </w:tcPr>
          <w:p>
            <w:pPr>
              <w:pStyle w:val="TableParagraph"/>
              <w:tabs>
                <w:tab w:pos="1462" w:val="left" w:leader="none"/>
              </w:tabs>
              <w:spacing w:before="1"/>
              <w:ind w:left="619"/>
              <w:rPr>
                <w:sz w:val="21"/>
              </w:rPr>
            </w:pPr>
            <w:r>
              <w:rPr>
                <w:sz w:val="21"/>
              </w:rPr>
              <w:t>第五条</w:t>
              <w:tab/>
            </w:r>
            <w:r>
              <w:rPr>
                <w:spacing w:val="-3"/>
                <w:sz w:val="21"/>
              </w:rPr>
              <w:t>续保</w:t>
            </w:r>
          </w:p>
        </w:tc>
        <w:tc>
          <w:tcPr>
            <w:tcW w:w="3673" w:type="dxa"/>
            <w:tcBorders>
              <w:left w:val="single" w:sz="2" w:space="0" w:color="000000"/>
            </w:tcBorders>
          </w:tcPr>
          <w:p>
            <w:pPr>
              <w:pStyle w:val="TableParagraph"/>
              <w:tabs>
                <w:tab w:pos="1586" w:val="left" w:leader="none"/>
              </w:tabs>
              <w:spacing w:before="1"/>
              <w:ind w:left="535"/>
              <w:rPr>
                <w:sz w:val="21"/>
              </w:rPr>
            </w:pPr>
            <w:r>
              <w:rPr>
                <w:sz w:val="21"/>
              </w:rPr>
              <w:t>第十</w:t>
            </w:r>
            <w:r>
              <w:rPr>
                <w:spacing w:val="-3"/>
                <w:sz w:val="21"/>
              </w:rPr>
              <w:t>四</w:t>
            </w:r>
            <w:r>
              <w:rPr>
                <w:sz w:val="21"/>
              </w:rPr>
              <w:t>条</w:t>
              <w:tab/>
              <w:t>被</w:t>
            </w:r>
            <w:r>
              <w:rPr>
                <w:spacing w:val="-3"/>
                <w:sz w:val="21"/>
              </w:rPr>
              <w:t>保</w:t>
            </w:r>
            <w:r>
              <w:rPr>
                <w:sz w:val="21"/>
              </w:rPr>
              <w:t>险</w:t>
            </w:r>
            <w:r>
              <w:rPr>
                <w:spacing w:val="-3"/>
                <w:sz w:val="21"/>
              </w:rPr>
              <w:t>人</w:t>
            </w:r>
            <w:r>
              <w:rPr>
                <w:sz w:val="21"/>
              </w:rPr>
              <w:t>的</w:t>
            </w:r>
            <w:r>
              <w:rPr>
                <w:spacing w:val="-3"/>
                <w:sz w:val="21"/>
              </w:rPr>
              <w:t>变</w:t>
            </w:r>
            <w:r>
              <w:rPr>
                <w:sz w:val="21"/>
              </w:rPr>
              <w:t>动</w:t>
            </w:r>
          </w:p>
        </w:tc>
      </w:tr>
      <w:tr>
        <w:trPr>
          <w:trHeight w:val="339" w:hRule="atLeast"/>
        </w:trPr>
        <w:tc>
          <w:tcPr>
            <w:tcW w:w="4326" w:type="dxa"/>
            <w:tcBorders>
              <w:right w:val="single" w:sz="2" w:space="0" w:color="000000"/>
            </w:tcBorders>
          </w:tcPr>
          <w:p>
            <w:pPr>
              <w:pStyle w:val="TableParagraph"/>
              <w:tabs>
                <w:tab w:pos="1044" w:val="left" w:leader="none"/>
              </w:tabs>
              <w:spacing w:line="299" w:lineRule="exact"/>
              <w:ind w:left="200"/>
              <w:rPr>
                <w:rFonts w:ascii="Microsoft JhengHei" w:eastAsia="Microsoft JhengHei" w:hint="eastAsia"/>
                <w:b/>
                <w:sz w:val="21"/>
              </w:rPr>
            </w:pPr>
            <w:r>
              <w:rPr>
                <w:rFonts w:ascii="Microsoft JhengHei" w:eastAsia="Microsoft JhengHei" w:hint="eastAsia"/>
                <w:b/>
                <w:sz w:val="21"/>
              </w:rPr>
              <w:t>第二章</w:t>
              <w:tab/>
              <w:t>保险合同</w:t>
            </w:r>
            <w:r>
              <w:rPr>
                <w:rFonts w:ascii="Microsoft JhengHei" w:eastAsia="Microsoft JhengHei" w:hint="eastAsia"/>
                <w:b/>
                <w:spacing w:val="-3"/>
                <w:sz w:val="21"/>
              </w:rPr>
              <w:t>提</w:t>
            </w:r>
            <w:r>
              <w:rPr>
                <w:rFonts w:ascii="Microsoft JhengHei" w:eastAsia="Microsoft JhengHei" w:hint="eastAsia"/>
                <w:b/>
                <w:sz w:val="21"/>
              </w:rPr>
              <w:t>供</w:t>
            </w:r>
            <w:r>
              <w:rPr>
                <w:rFonts w:ascii="Microsoft JhengHei" w:eastAsia="Microsoft JhengHei" w:hint="eastAsia"/>
                <w:b/>
                <w:spacing w:val="-3"/>
                <w:sz w:val="21"/>
              </w:rPr>
              <w:t>的</w:t>
            </w:r>
            <w:r>
              <w:rPr>
                <w:rFonts w:ascii="Microsoft JhengHei" w:eastAsia="Microsoft JhengHei" w:hint="eastAsia"/>
                <w:b/>
                <w:sz w:val="21"/>
              </w:rPr>
              <w:t>保障</w:t>
            </w:r>
          </w:p>
        </w:tc>
        <w:tc>
          <w:tcPr>
            <w:tcW w:w="3673" w:type="dxa"/>
            <w:tcBorders>
              <w:left w:val="single" w:sz="2" w:space="0" w:color="000000"/>
            </w:tcBorders>
          </w:tcPr>
          <w:p>
            <w:pPr>
              <w:pStyle w:val="TableParagraph"/>
              <w:tabs>
                <w:tab w:pos="1051" w:val="left" w:leader="none"/>
              </w:tabs>
              <w:ind w:left="0" w:right="197"/>
              <w:jc w:val="right"/>
              <w:rPr>
                <w:sz w:val="21"/>
              </w:rPr>
            </w:pPr>
            <w:r>
              <w:rPr>
                <w:sz w:val="21"/>
              </w:rPr>
              <w:t>第十</w:t>
            </w:r>
            <w:r>
              <w:rPr>
                <w:spacing w:val="-3"/>
                <w:sz w:val="21"/>
              </w:rPr>
              <w:t>五</w:t>
            </w:r>
            <w:r>
              <w:rPr>
                <w:sz w:val="21"/>
              </w:rPr>
              <w:t>条</w:t>
              <w:tab/>
              <w:t>年</w:t>
            </w:r>
            <w:r>
              <w:rPr>
                <w:spacing w:val="-3"/>
                <w:sz w:val="21"/>
              </w:rPr>
              <w:t>龄</w:t>
            </w:r>
            <w:r>
              <w:rPr>
                <w:sz w:val="21"/>
              </w:rPr>
              <w:t>确</w:t>
            </w:r>
            <w:r>
              <w:rPr>
                <w:spacing w:val="-3"/>
                <w:sz w:val="21"/>
              </w:rPr>
              <w:t>定</w:t>
            </w:r>
            <w:r>
              <w:rPr>
                <w:sz w:val="21"/>
              </w:rPr>
              <w:t>与</w:t>
            </w:r>
            <w:r>
              <w:rPr>
                <w:spacing w:val="-3"/>
                <w:sz w:val="21"/>
              </w:rPr>
              <w:t>错</w:t>
            </w:r>
            <w:r>
              <w:rPr>
                <w:sz w:val="21"/>
              </w:rPr>
              <w:t>误处理</w:t>
            </w:r>
          </w:p>
        </w:tc>
      </w:tr>
      <w:tr>
        <w:trPr>
          <w:trHeight w:val="340" w:hRule="atLeast"/>
        </w:trPr>
        <w:tc>
          <w:tcPr>
            <w:tcW w:w="4326" w:type="dxa"/>
            <w:tcBorders>
              <w:right w:val="single" w:sz="2" w:space="0" w:color="000000"/>
            </w:tcBorders>
          </w:tcPr>
          <w:p>
            <w:pPr>
              <w:pStyle w:val="TableParagraph"/>
              <w:tabs>
                <w:tab w:pos="1462" w:val="left" w:leader="none"/>
              </w:tabs>
              <w:spacing w:before="1"/>
              <w:ind w:left="619"/>
              <w:rPr>
                <w:sz w:val="21"/>
              </w:rPr>
            </w:pPr>
            <w:r>
              <w:rPr>
                <w:sz w:val="21"/>
              </w:rPr>
              <w:t>第六条</w:t>
              <w:tab/>
            </w:r>
            <w:r>
              <w:rPr>
                <w:spacing w:val="-3"/>
                <w:sz w:val="21"/>
              </w:rPr>
              <w:t>保</w:t>
            </w:r>
            <w:r>
              <w:rPr>
                <w:sz w:val="21"/>
              </w:rPr>
              <w:t>险</w:t>
            </w:r>
            <w:r>
              <w:rPr>
                <w:spacing w:val="-3"/>
                <w:sz w:val="21"/>
              </w:rPr>
              <w:t>责</w:t>
            </w:r>
            <w:r>
              <w:rPr>
                <w:sz w:val="21"/>
              </w:rPr>
              <w:t>任</w:t>
            </w:r>
          </w:p>
        </w:tc>
        <w:tc>
          <w:tcPr>
            <w:tcW w:w="3673" w:type="dxa"/>
            <w:tcBorders>
              <w:left w:val="single" w:sz="2" w:space="0" w:color="000000"/>
            </w:tcBorders>
          </w:tcPr>
          <w:p>
            <w:pPr>
              <w:pStyle w:val="TableParagraph"/>
              <w:tabs>
                <w:tab w:pos="1577" w:val="left" w:leader="none"/>
              </w:tabs>
              <w:spacing w:before="1"/>
              <w:rPr>
                <w:sz w:val="21"/>
              </w:rPr>
            </w:pPr>
            <w:r>
              <w:rPr>
                <w:sz w:val="21"/>
              </w:rPr>
              <w:t>第十</w:t>
            </w:r>
            <w:r>
              <w:rPr>
                <w:spacing w:val="-3"/>
                <w:sz w:val="21"/>
              </w:rPr>
              <w:t>六</w:t>
            </w:r>
            <w:r>
              <w:rPr>
                <w:sz w:val="21"/>
              </w:rPr>
              <w:t>条</w:t>
              <w:tab/>
              <w:t>合</w:t>
            </w:r>
            <w:r>
              <w:rPr>
                <w:spacing w:val="-3"/>
                <w:sz w:val="21"/>
              </w:rPr>
              <w:t>同</w:t>
            </w:r>
            <w:r>
              <w:rPr>
                <w:sz w:val="21"/>
              </w:rPr>
              <w:t>内</w:t>
            </w:r>
            <w:r>
              <w:rPr>
                <w:spacing w:val="-3"/>
                <w:sz w:val="21"/>
              </w:rPr>
              <w:t>容</w:t>
            </w:r>
            <w:r>
              <w:rPr>
                <w:sz w:val="21"/>
              </w:rPr>
              <w:t>的</w:t>
            </w:r>
            <w:r>
              <w:rPr>
                <w:spacing w:val="-3"/>
                <w:sz w:val="21"/>
              </w:rPr>
              <w:t>变</w:t>
            </w:r>
            <w:r>
              <w:rPr>
                <w:sz w:val="21"/>
              </w:rPr>
              <w:t>更</w:t>
            </w:r>
          </w:p>
        </w:tc>
      </w:tr>
      <w:tr>
        <w:trPr>
          <w:trHeight w:val="339" w:hRule="atLeast"/>
        </w:trPr>
        <w:tc>
          <w:tcPr>
            <w:tcW w:w="4326" w:type="dxa"/>
            <w:tcBorders>
              <w:right w:val="single" w:sz="2" w:space="0" w:color="000000"/>
            </w:tcBorders>
          </w:tcPr>
          <w:p>
            <w:pPr>
              <w:pStyle w:val="TableParagraph"/>
              <w:tabs>
                <w:tab w:pos="1462" w:val="left" w:leader="none"/>
              </w:tabs>
              <w:spacing w:before="1"/>
              <w:ind w:left="619"/>
              <w:rPr>
                <w:sz w:val="21"/>
              </w:rPr>
            </w:pPr>
            <w:r>
              <w:rPr>
                <w:sz w:val="21"/>
              </w:rPr>
              <w:t>第七条</w:t>
              <w:tab/>
            </w:r>
            <w:r>
              <w:rPr>
                <w:spacing w:val="-3"/>
                <w:sz w:val="21"/>
              </w:rPr>
              <w:t>责</w:t>
            </w:r>
            <w:r>
              <w:rPr>
                <w:sz w:val="21"/>
              </w:rPr>
              <w:t>任</w:t>
            </w:r>
            <w:r>
              <w:rPr>
                <w:spacing w:val="-3"/>
                <w:sz w:val="21"/>
              </w:rPr>
              <w:t>免</w:t>
            </w:r>
            <w:r>
              <w:rPr>
                <w:sz w:val="21"/>
              </w:rPr>
              <w:t>除</w:t>
            </w:r>
          </w:p>
        </w:tc>
        <w:tc>
          <w:tcPr>
            <w:tcW w:w="3673" w:type="dxa"/>
            <w:tcBorders>
              <w:left w:val="single" w:sz="2" w:space="0" w:color="000000"/>
            </w:tcBorders>
          </w:tcPr>
          <w:p>
            <w:pPr>
              <w:pStyle w:val="TableParagraph"/>
              <w:tabs>
                <w:tab w:pos="1577" w:val="left" w:leader="none"/>
              </w:tabs>
              <w:spacing w:before="1"/>
              <w:rPr>
                <w:sz w:val="21"/>
              </w:rPr>
            </w:pPr>
            <w:r>
              <w:rPr>
                <w:sz w:val="21"/>
              </w:rPr>
              <w:t>第十</w:t>
            </w:r>
            <w:r>
              <w:rPr>
                <w:spacing w:val="-3"/>
                <w:sz w:val="21"/>
              </w:rPr>
              <w:t>七</w:t>
            </w:r>
            <w:r>
              <w:rPr>
                <w:sz w:val="21"/>
              </w:rPr>
              <w:t>条</w:t>
              <w:tab/>
            </w:r>
            <w:r>
              <w:rPr>
                <w:spacing w:val="-1"/>
                <w:sz w:val="21"/>
              </w:rPr>
              <w:t>联</w:t>
            </w:r>
            <w:r>
              <w:rPr>
                <w:spacing w:val="-3"/>
                <w:sz w:val="21"/>
              </w:rPr>
              <w:t>系</w:t>
            </w:r>
            <w:r>
              <w:rPr>
                <w:spacing w:val="-1"/>
                <w:sz w:val="21"/>
              </w:rPr>
              <w:t>方</w:t>
            </w:r>
            <w:r>
              <w:rPr>
                <w:sz w:val="21"/>
              </w:rPr>
              <w:t>式的</w:t>
            </w:r>
            <w:r>
              <w:rPr>
                <w:spacing w:val="-3"/>
                <w:sz w:val="21"/>
              </w:rPr>
              <w:t>变</w:t>
            </w:r>
            <w:r>
              <w:rPr>
                <w:sz w:val="21"/>
              </w:rPr>
              <w:t>更</w:t>
            </w:r>
          </w:p>
        </w:tc>
      </w:tr>
      <w:tr>
        <w:trPr>
          <w:trHeight w:val="339" w:hRule="atLeast"/>
        </w:trPr>
        <w:tc>
          <w:tcPr>
            <w:tcW w:w="4326" w:type="dxa"/>
            <w:tcBorders>
              <w:right w:val="single" w:sz="2" w:space="0" w:color="000000"/>
            </w:tcBorders>
          </w:tcPr>
          <w:p>
            <w:pPr>
              <w:pStyle w:val="TableParagraph"/>
              <w:tabs>
                <w:tab w:pos="1044" w:val="left" w:leader="none"/>
              </w:tabs>
              <w:spacing w:line="299" w:lineRule="exact"/>
              <w:ind w:left="200"/>
              <w:rPr>
                <w:rFonts w:ascii="Microsoft JhengHei" w:eastAsia="Microsoft JhengHei" w:hint="eastAsia"/>
                <w:b/>
                <w:sz w:val="21"/>
              </w:rPr>
            </w:pPr>
            <w:r>
              <w:rPr>
                <w:rFonts w:ascii="Microsoft JhengHei" w:eastAsia="Microsoft JhengHei" w:hint="eastAsia"/>
                <w:b/>
                <w:sz w:val="21"/>
              </w:rPr>
              <w:t>第三章</w:t>
              <w:tab/>
              <w:t>您的权利</w:t>
            </w:r>
            <w:r>
              <w:rPr>
                <w:rFonts w:ascii="Microsoft JhengHei" w:eastAsia="Microsoft JhengHei" w:hint="eastAsia"/>
                <w:b/>
                <w:spacing w:val="-3"/>
                <w:sz w:val="21"/>
              </w:rPr>
              <w:t>和</w:t>
            </w:r>
            <w:r>
              <w:rPr>
                <w:rFonts w:ascii="Microsoft JhengHei" w:eastAsia="Microsoft JhengHei" w:hint="eastAsia"/>
                <w:b/>
                <w:sz w:val="21"/>
              </w:rPr>
              <w:t>义务</w:t>
            </w:r>
          </w:p>
        </w:tc>
        <w:tc>
          <w:tcPr>
            <w:tcW w:w="3673" w:type="dxa"/>
            <w:tcBorders>
              <w:left w:val="single" w:sz="2" w:space="0" w:color="000000"/>
            </w:tcBorders>
          </w:tcPr>
          <w:p>
            <w:pPr>
              <w:pStyle w:val="TableParagraph"/>
              <w:tabs>
                <w:tab w:pos="1577" w:val="left" w:leader="none"/>
              </w:tabs>
              <w:rPr>
                <w:sz w:val="21"/>
              </w:rPr>
            </w:pPr>
            <w:r>
              <w:rPr>
                <w:sz w:val="21"/>
              </w:rPr>
              <w:t>第十</w:t>
            </w:r>
            <w:r>
              <w:rPr>
                <w:spacing w:val="-3"/>
                <w:sz w:val="21"/>
              </w:rPr>
              <w:t>八</w:t>
            </w:r>
            <w:r>
              <w:rPr>
                <w:sz w:val="21"/>
              </w:rPr>
              <w:t>条</w:t>
              <w:tab/>
              <w:t>您</w:t>
            </w:r>
            <w:r>
              <w:rPr>
                <w:spacing w:val="-3"/>
                <w:sz w:val="21"/>
              </w:rPr>
              <w:t>解</w:t>
            </w:r>
            <w:r>
              <w:rPr>
                <w:sz w:val="21"/>
              </w:rPr>
              <w:t>除</w:t>
            </w:r>
            <w:r>
              <w:rPr>
                <w:spacing w:val="-3"/>
                <w:sz w:val="21"/>
              </w:rPr>
              <w:t>合</w:t>
            </w:r>
            <w:r>
              <w:rPr>
                <w:sz w:val="21"/>
              </w:rPr>
              <w:t>同</w:t>
            </w:r>
            <w:r>
              <w:rPr>
                <w:spacing w:val="-3"/>
                <w:sz w:val="21"/>
              </w:rPr>
              <w:t>的</w:t>
            </w:r>
            <w:r>
              <w:rPr>
                <w:sz w:val="21"/>
              </w:rPr>
              <w:t>手续</w:t>
            </w:r>
          </w:p>
        </w:tc>
      </w:tr>
      <w:tr>
        <w:trPr>
          <w:trHeight w:val="341" w:hRule="atLeast"/>
        </w:trPr>
        <w:tc>
          <w:tcPr>
            <w:tcW w:w="4326" w:type="dxa"/>
            <w:tcBorders>
              <w:right w:val="single" w:sz="2" w:space="0" w:color="000000"/>
            </w:tcBorders>
          </w:tcPr>
          <w:p>
            <w:pPr>
              <w:pStyle w:val="TableParagraph"/>
              <w:tabs>
                <w:tab w:pos="1462" w:val="left" w:leader="none"/>
              </w:tabs>
              <w:spacing w:before="1"/>
              <w:ind w:left="619"/>
              <w:rPr>
                <w:sz w:val="21"/>
              </w:rPr>
            </w:pPr>
            <w:r>
              <w:rPr>
                <w:sz w:val="21"/>
              </w:rPr>
              <w:t>第八条</w:t>
              <w:tab/>
            </w:r>
            <w:r>
              <w:rPr>
                <w:spacing w:val="-3"/>
                <w:sz w:val="21"/>
              </w:rPr>
              <w:t>基</w:t>
            </w:r>
            <w:r>
              <w:rPr>
                <w:sz w:val="21"/>
              </w:rPr>
              <w:t>本</w:t>
            </w:r>
            <w:r>
              <w:rPr>
                <w:spacing w:val="-3"/>
                <w:sz w:val="21"/>
              </w:rPr>
              <w:t>保</w:t>
            </w:r>
            <w:r>
              <w:rPr>
                <w:sz w:val="21"/>
              </w:rPr>
              <w:t>险</w:t>
            </w:r>
            <w:r>
              <w:rPr>
                <w:spacing w:val="-3"/>
                <w:sz w:val="21"/>
              </w:rPr>
              <w:t>金</w:t>
            </w:r>
            <w:r>
              <w:rPr>
                <w:sz w:val="21"/>
              </w:rPr>
              <w:t>额</w:t>
            </w:r>
            <w:r>
              <w:rPr>
                <w:spacing w:val="-3"/>
                <w:sz w:val="21"/>
              </w:rPr>
              <w:t>和</w:t>
            </w:r>
            <w:r>
              <w:rPr>
                <w:sz w:val="21"/>
              </w:rPr>
              <w:t>保险费</w:t>
            </w:r>
          </w:p>
        </w:tc>
        <w:tc>
          <w:tcPr>
            <w:tcW w:w="3673" w:type="dxa"/>
            <w:tcBorders>
              <w:left w:val="single" w:sz="2" w:space="0" w:color="000000"/>
            </w:tcBorders>
          </w:tcPr>
          <w:p>
            <w:pPr>
              <w:pStyle w:val="TableParagraph"/>
              <w:tabs>
                <w:tab w:pos="1577" w:val="left" w:leader="none"/>
              </w:tabs>
              <w:spacing w:before="1"/>
              <w:rPr>
                <w:sz w:val="21"/>
              </w:rPr>
            </w:pPr>
            <w:r>
              <w:rPr>
                <w:sz w:val="21"/>
              </w:rPr>
              <w:t>第十</w:t>
            </w:r>
            <w:r>
              <w:rPr>
                <w:spacing w:val="-3"/>
                <w:sz w:val="21"/>
              </w:rPr>
              <w:t>九</w:t>
            </w:r>
            <w:r>
              <w:rPr>
                <w:sz w:val="21"/>
              </w:rPr>
              <w:t>条</w:t>
              <w:tab/>
              <w:t>争</w:t>
            </w:r>
            <w:r>
              <w:rPr>
                <w:spacing w:val="-3"/>
                <w:sz w:val="21"/>
              </w:rPr>
              <w:t>议</w:t>
            </w:r>
            <w:r>
              <w:rPr>
                <w:sz w:val="21"/>
              </w:rPr>
              <w:t>处理</w:t>
            </w:r>
          </w:p>
        </w:tc>
      </w:tr>
      <w:tr>
        <w:trPr>
          <w:trHeight w:val="339" w:hRule="atLeast"/>
        </w:trPr>
        <w:tc>
          <w:tcPr>
            <w:tcW w:w="4326" w:type="dxa"/>
            <w:tcBorders>
              <w:right w:val="single" w:sz="2" w:space="0" w:color="000000"/>
            </w:tcBorders>
          </w:tcPr>
          <w:p>
            <w:pPr>
              <w:pStyle w:val="TableParagraph"/>
              <w:tabs>
                <w:tab w:pos="1044" w:val="left" w:leader="none"/>
              </w:tabs>
              <w:spacing w:line="300" w:lineRule="exact"/>
              <w:ind w:left="200"/>
              <w:rPr>
                <w:rFonts w:ascii="Microsoft JhengHei" w:eastAsia="Microsoft JhengHei" w:hint="eastAsia"/>
                <w:b/>
                <w:sz w:val="21"/>
              </w:rPr>
            </w:pPr>
            <w:r>
              <w:rPr>
                <w:rFonts w:ascii="Microsoft JhengHei" w:eastAsia="Microsoft JhengHei" w:hint="eastAsia"/>
                <w:b/>
                <w:sz w:val="21"/>
              </w:rPr>
              <w:t>第四章</w:t>
              <w:tab/>
              <w:t>保险金的</w:t>
            </w:r>
            <w:r>
              <w:rPr>
                <w:rFonts w:ascii="Microsoft JhengHei" w:eastAsia="Microsoft JhengHei" w:hint="eastAsia"/>
                <w:b/>
                <w:spacing w:val="-3"/>
                <w:sz w:val="21"/>
              </w:rPr>
              <w:t>申</w:t>
            </w:r>
            <w:r>
              <w:rPr>
                <w:rFonts w:ascii="Microsoft JhengHei" w:eastAsia="Microsoft JhengHei" w:hint="eastAsia"/>
                <w:b/>
                <w:sz w:val="21"/>
              </w:rPr>
              <w:t>请</w:t>
            </w:r>
          </w:p>
        </w:tc>
        <w:tc>
          <w:tcPr>
            <w:tcW w:w="3673" w:type="dxa"/>
            <w:tcBorders>
              <w:left w:val="single" w:sz="2" w:space="0" w:color="000000"/>
            </w:tcBorders>
          </w:tcPr>
          <w:p>
            <w:pPr>
              <w:pStyle w:val="TableParagraph"/>
              <w:tabs>
                <w:tab w:pos="1577" w:val="left" w:leader="none"/>
              </w:tabs>
              <w:spacing w:before="1"/>
              <w:rPr>
                <w:sz w:val="21"/>
              </w:rPr>
            </w:pPr>
            <w:r>
              <w:rPr>
                <w:sz w:val="21"/>
              </w:rPr>
              <w:t>第二</w:t>
            </w:r>
            <w:r>
              <w:rPr>
                <w:spacing w:val="-3"/>
                <w:sz w:val="21"/>
              </w:rPr>
              <w:t>十</w:t>
            </w:r>
            <w:r>
              <w:rPr>
                <w:sz w:val="21"/>
              </w:rPr>
              <w:t>条</w:t>
              <w:tab/>
            </w:r>
            <w:r>
              <w:rPr>
                <w:spacing w:val="-1"/>
                <w:sz w:val="21"/>
              </w:rPr>
              <w:t>重</w:t>
            </w:r>
            <w:r>
              <w:rPr>
                <w:spacing w:val="-3"/>
                <w:sz w:val="21"/>
              </w:rPr>
              <w:t>大</w:t>
            </w:r>
            <w:r>
              <w:rPr>
                <w:spacing w:val="-1"/>
                <w:sz w:val="21"/>
              </w:rPr>
              <w:t>疾</w:t>
            </w:r>
            <w:r>
              <w:rPr>
                <w:sz w:val="21"/>
              </w:rPr>
              <w:t>病的</w:t>
            </w:r>
            <w:r>
              <w:rPr>
                <w:spacing w:val="-3"/>
                <w:sz w:val="21"/>
              </w:rPr>
              <w:t>定</w:t>
            </w:r>
            <w:r>
              <w:rPr>
                <w:sz w:val="21"/>
              </w:rPr>
              <w:t>义</w:t>
            </w:r>
          </w:p>
        </w:tc>
      </w:tr>
      <w:tr>
        <w:trPr>
          <w:trHeight w:val="703" w:hRule="atLeast"/>
        </w:trPr>
        <w:tc>
          <w:tcPr>
            <w:tcW w:w="4326" w:type="dxa"/>
            <w:tcBorders>
              <w:right w:val="single" w:sz="2" w:space="0" w:color="000000"/>
            </w:tcBorders>
          </w:tcPr>
          <w:p>
            <w:pPr>
              <w:pStyle w:val="TableParagraph"/>
              <w:tabs>
                <w:tab w:pos="1462" w:val="left" w:leader="none"/>
              </w:tabs>
              <w:ind w:left="619"/>
              <w:rPr>
                <w:sz w:val="21"/>
              </w:rPr>
            </w:pPr>
            <w:r>
              <w:rPr>
                <w:sz w:val="21"/>
              </w:rPr>
              <w:t>第九条</w:t>
              <w:tab/>
            </w:r>
            <w:r>
              <w:rPr>
                <w:spacing w:val="-3"/>
                <w:sz w:val="21"/>
              </w:rPr>
              <w:t>明</w:t>
            </w:r>
            <w:r>
              <w:rPr>
                <w:sz w:val="21"/>
              </w:rPr>
              <w:t>确</w:t>
            </w:r>
            <w:r>
              <w:rPr>
                <w:spacing w:val="-3"/>
                <w:sz w:val="21"/>
              </w:rPr>
              <w:t>说</w:t>
            </w:r>
            <w:r>
              <w:rPr>
                <w:sz w:val="21"/>
              </w:rPr>
              <w:t>明</w:t>
            </w:r>
            <w:r>
              <w:rPr>
                <w:spacing w:val="-3"/>
                <w:sz w:val="21"/>
              </w:rPr>
              <w:t>与</w:t>
            </w:r>
            <w:r>
              <w:rPr>
                <w:sz w:val="21"/>
              </w:rPr>
              <w:t>如</w:t>
            </w:r>
            <w:r>
              <w:rPr>
                <w:spacing w:val="-3"/>
                <w:sz w:val="21"/>
              </w:rPr>
              <w:t>实</w:t>
            </w:r>
            <w:r>
              <w:rPr>
                <w:sz w:val="21"/>
              </w:rPr>
              <w:t>告知</w:t>
            </w:r>
          </w:p>
        </w:tc>
        <w:tc>
          <w:tcPr>
            <w:tcW w:w="3673" w:type="dxa"/>
            <w:tcBorders>
              <w:left w:val="single" w:sz="2" w:space="0" w:color="000000"/>
            </w:tcBorders>
          </w:tcPr>
          <w:p>
            <w:pPr>
              <w:pStyle w:val="TableParagraph"/>
              <w:ind w:left="0"/>
              <w:rPr>
                <w:rFonts w:ascii="Times New Roman"/>
                <w:sz w:val="20"/>
              </w:rPr>
            </w:pPr>
          </w:p>
        </w:tc>
      </w:tr>
    </w:tbl>
    <w:p>
      <w:pPr>
        <w:spacing w:after="0"/>
        <w:rPr>
          <w:rFonts w:ascii="Times New Roman"/>
          <w:sz w:val="20"/>
        </w:rPr>
        <w:sectPr>
          <w:footerReference w:type="default" r:id="rId5"/>
          <w:type w:val="continuous"/>
          <w:pgSz w:w="11910" w:h="16840"/>
          <w:pgMar w:footer="742" w:top="1360" w:bottom="940" w:left="800" w:right="920"/>
        </w:sectPr>
      </w:pPr>
    </w:p>
    <w:p>
      <w:pPr>
        <w:pStyle w:val="BodyText"/>
        <w:spacing w:before="3"/>
        <w:rPr>
          <w:rFonts w:ascii="Microsoft JhengHei"/>
          <w:b/>
          <w:sz w:val="16"/>
        </w:rPr>
      </w:pPr>
    </w:p>
    <w:p>
      <w:pPr>
        <w:pStyle w:val="BodyText"/>
        <w:ind w:left="117"/>
        <w:rPr>
          <w:rFonts w:ascii="Microsoft JhengHei"/>
          <w:sz w:val="20"/>
        </w:rPr>
      </w:pPr>
      <w:r>
        <w:rPr>
          <w:rFonts w:ascii="Microsoft JhengHei"/>
          <w:sz w:val="20"/>
        </w:rPr>
        <w:drawing>
          <wp:inline distT="0" distB="0" distL="0" distR="0">
            <wp:extent cx="1840200" cy="477774"/>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1840200" cy="477774"/>
                    </a:xfrm>
                    <a:prstGeom prst="rect">
                      <a:avLst/>
                    </a:prstGeom>
                  </pic:spPr>
                </pic:pic>
              </a:graphicData>
            </a:graphic>
          </wp:inline>
        </w:drawing>
      </w:r>
      <w:r>
        <w:rPr>
          <w:rFonts w:ascii="Microsoft JhengHei"/>
          <w:sz w:val="20"/>
        </w:rPr>
      </w:r>
    </w:p>
    <w:p>
      <w:pPr>
        <w:pStyle w:val="BodyText"/>
        <w:spacing w:before="11"/>
        <w:rPr>
          <w:rFonts w:ascii="Microsoft JhengHei"/>
          <w:b/>
          <w:sz w:val="12"/>
        </w:rPr>
      </w:pPr>
      <w:r>
        <w:rPr/>
        <w:drawing>
          <wp:anchor distT="0" distB="0" distL="0" distR="0" allowOverlap="1" layoutInCell="1" locked="0" behindDoc="0" simplePos="0" relativeHeight="1048">
            <wp:simplePos x="0" y="0"/>
            <wp:positionH relativeFrom="page">
              <wp:posOffset>2031492</wp:posOffset>
            </wp:positionH>
            <wp:positionV relativeFrom="paragraph">
              <wp:posOffset>164972</wp:posOffset>
            </wp:positionV>
            <wp:extent cx="3848944" cy="382143"/>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3848944" cy="382143"/>
                    </a:xfrm>
                    <a:prstGeom prst="rect">
                      <a:avLst/>
                    </a:prstGeom>
                  </pic:spPr>
                </pic:pic>
              </a:graphicData>
            </a:graphic>
          </wp:anchor>
        </w:drawing>
      </w:r>
    </w:p>
    <w:p>
      <w:pPr>
        <w:pStyle w:val="BodyText"/>
        <w:rPr>
          <w:rFonts w:ascii="Microsoft JhengHei"/>
          <w:b/>
          <w:sz w:val="12"/>
        </w:rPr>
      </w:pPr>
    </w:p>
    <w:p>
      <w:pPr>
        <w:pStyle w:val="Heading1"/>
        <w:spacing w:line="415" w:lineRule="exact"/>
        <w:rPr>
          <w:sz w:val="21"/>
        </w:rPr>
      </w:pPr>
      <w:r>
        <w:rPr/>
        <w:pict>
          <v:group style="position:absolute;margin-left:431.279999pt;margin-top:12.736809pt;width:110.3pt;height:94.1pt;mso-position-horizontal-relative:page;mso-position-vertical-relative:paragraph;z-index:1144" coordorigin="8626,255" coordsize="2206,1882">
            <v:shape style="position:absolute;left:8625;top:254;width:2206;height:682" type="#_x0000_t75" stroked="false">
              <v:imagedata r:id="rId10" o:title=""/>
            </v:shape>
            <v:shape style="position:absolute;left:9117;top:991;width:1140;height:1138" type="#_x0000_t75" stroked="false">
              <v:imagedata r:id="rId11" o:title=""/>
            </v:shape>
            <v:shape style="position:absolute;left:9117;top:1003;width:1133;height:1133" type="#_x0000_t75" stroked="false">
              <v:imagedata r:id="rId12" o:title=""/>
            </v:shape>
            <v:shape style="position:absolute;left:8625;top:254;width:2206;height:1882" type="#_x0000_t202" filled="false" stroked="false">
              <v:textbox inset="0,0,0,0">
                <w:txbxContent>
                  <w:p>
                    <w:pPr>
                      <w:spacing w:line="273" w:lineRule="auto" w:before="0"/>
                      <w:ind w:left="369" w:right="360" w:firstLine="0"/>
                      <w:jc w:val="left"/>
                      <w:rPr>
                        <w:sz w:val="21"/>
                      </w:rPr>
                    </w:pPr>
                    <w:r>
                      <w:rPr>
                        <w:spacing w:val="-2"/>
                        <w:sz w:val="21"/>
                      </w:rPr>
                      <w:t>招商仁和[</w:t>
                    </w:r>
                    <w:r>
                      <w:rPr>
                        <w:sz w:val="21"/>
                      </w:rPr>
                      <w:t>2017] </w:t>
                    </w:r>
                    <w:r>
                      <w:rPr>
                        <w:spacing w:val="-11"/>
                        <w:sz w:val="21"/>
                      </w:rPr>
                      <w:t>疾病保险 </w:t>
                    </w:r>
                    <w:r>
                      <w:rPr>
                        <w:sz w:val="21"/>
                      </w:rPr>
                      <w:t>010</w:t>
                    </w:r>
                    <w:r>
                      <w:rPr>
                        <w:spacing w:val="-26"/>
                        <w:sz w:val="21"/>
                      </w:rPr>
                      <w:t> 号</w:t>
                    </w:r>
                  </w:p>
                </w:txbxContent>
              </v:textbox>
              <w10:wrap type="none"/>
            </v:shape>
            <w10:wrap type="none"/>
          </v:group>
        </w:pict>
      </w:r>
      <w:r>
        <w:rPr/>
        <w:t>招商仁和安康团体重大疾病保险条款</w:t>
      </w:r>
      <w:r>
        <w:rPr>
          <w:w w:val="168"/>
          <w:sz w:val="21"/>
        </w:rPr>
        <w:t> </w:t>
      </w:r>
    </w:p>
    <w:p>
      <w:pPr>
        <w:pStyle w:val="BodyText"/>
        <w:spacing w:before="11"/>
        <w:rPr>
          <w:rFonts w:ascii="微软雅黑"/>
          <w:b/>
          <w:sz w:val="28"/>
        </w:rPr>
      </w:pPr>
    </w:p>
    <w:p>
      <w:pPr>
        <w:pStyle w:val="Heading2"/>
        <w:spacing w:line="337" w:lineRule="exact"/>
        <w:ind w:left="598"/>
      </w:pPr>
      <w:r>
        <w:rPr/>
        <w:t>本保险条款的每一部分都关乎您的切身利益，请务必逐条仔细阅读。</w:t>
      </w:r>
    </w:p>
    <w:p>
      <w:pPr>
        <w:pStyle w:val="BodyText"/>
        <w:spacing w:before="74"/>
        <w:ind w:left="538"/>
      </w:pPr>
      <w:r>
        <w:rPr>
          <w:spacing w:val="-17"/>
          <w:w w:val="100"/>
        </w:rPr>
        <w:t>在本条款中，“您”均指投保人，“我们”均指招商局仁和人寿保险股</w:t>
      </w:r>
      <w:r>
        <w:rPr>
          <w:w w:val="100"/>
        </w:rPr>
        <w:t> </w:t>
      </w:r>
    </w:p>
    <w:p>
      <w:pPr>
        <w:pStyle w:val="BodyText"/>
        <w:spacing w:before="100"/>
        <w:ind w:left="118"/>
      </w:pPr>
      <w:r>
        <w:rPr/>
        <w:t>份有限公司。 </w:t>
      </w:r>
    </w:p>
    <w:p>
      <w:pPr>
        <w:pStyle w:val="BodyText"/>
        <w:spacing w:before="6"/>
        <w:rPr>
          <w:sz w:val="18"/>
        </w:rPr>
      </w:pPr>
      <w:r>
        <w:rPr/>
        <w:pict>
          <v:group style="position:absolute;margin-left:421.559998pt;margin-top:14.071982pt;width:126pt;height:13.35pt;mso-position-horizontal-relative:page;mso-position-vertical-relative:paragraph;z-index:1096;mso-wrap-distance-left:0;mso-wrap-distance-right:0" coordorigin="8431,281" coordsize="2520,267">
            <v:shape style="position:absolute;left:8431;top:281;width:2520;height:267" type="#_x0000_t75" stroked="false">
              <v:imagedata r:id="rId13" o:title=""/>
            </v:shape>
            <v:shape style="position:absolute;left:8431;top:281;width:2520;height:267" type="#_x0000_t202" filled="false" stroked="false">
              <v:textbox inset="0,0,0,0">
                <w:txbxContent>
                  <w:p>
                    <w:pPr>
                      <w:spacing w:line="263" w:lineRule="exact" w:before="0"/>
                      <w:ind w:left="143" w:right="0" w:firstLine="0"/>
                      <w:jc w:val="left"/>
                      <w:rPr>
                        <w:sz w:val="21"/>
                      </w:rPr>
                    </w:pPr>
                    <w:r>
                      <w:rPr>
                        <w:sz w:val="21"/>
                      </w:rPr>
                      <w:t>请扫描以查询验证条款</w:t>
                    </w:r>
                  </w:p>
                </w:txbxContent>
              </v:textbox>
              <w10:wrap type="none"/>
            </v:shape>
            <w10:wrap type="topAndBottom"/>
          </v:group>
        </w:pict>
      </w:r>
    </w:p>
    <w:p>
      <w:pPr>
        <w:pStyle w:val="BodyText"/>
        <w:spacing w:before="4"/>
        <w:rPr>
          <w:sz w:val="18"/>
        </w:rPr>
      </w:pPr>
    </w:p>
    <w:p>
      <w:pPr>
        <w:pStyle w:val="Heading2"/>
        <w:tabs>
          <w:tab w:pos="842" w:val="left" w:leader="none"/>
        </w:tabs>
        <w:spacing w:line="337" w:lineRule="exact"/>
        <w:ind w:left="0" w:right="285"/>
        <w:jc w:val="center"/>
      </w:pPr>
      <w:r>
        <w:rPr/>
        <w:t>第一章</w:t>
        <w:tab/>
        <w:t>您与我们订立</w:t>
      </w:r>
      <w:r>
        <w:rPr>
          <w:spacing w:val="-3"/>
        </w:rPr>
        <w:t>的</w:t>
      </w:r>
      <w:r>
        <w:rPr/>
        <w:t>合同</w:t>
      </w:r>
    </w:p>
    <w:p>
      <w:pPr>
        <w:pStyle w:val="BodyText"/>
        <w:spacing w:before="11"/>
        <w:rPr>
          <w:rFonts w:ascii="微软雅黑"/>
          <w:b/>
          <w:sz w:val="15"/>
        </w:rPr>
      </w:pPr>
    </w:p>
    <w:p>
      <w:pPr>
        <w:spacing w:line="337" w:lineRule="exact" w:before="0"/>
        <w:ind w:left="118" w:right="0" w:firstLine="0"/>
        <w:jc w:val="left"/>
        <w:rPr>
          <w:rFonts w:ascii="微软雅黑" w:eastAsia="微软雅黑" w:hint="eastAsia"/>
          <w:b/>
          <w:sz w:val="21"/>
        </w:rPr>
      </w:pPr>
      <w:r>
        <w:rPr>
          <w:rFonts w:ascii="微软雅黑" w:eastAsia="微软雅黑" w:hint="eastAsia"/>
          <w:b/>
          <w:sz w:val="21"/>
        </w:rPr>
        <w:t>第一条   保险合同的构成</w:t>
      </w:r>
    </w:p>
    <w:p>
      <w:pPr>
        <w:pStyle w:val="BodyText"/>
        <w:spacing w:line="273" w:lineRule="auto" w:before="167"/>
        <w:ind w:left="118" w:right="396" w:firstLine="419"/>
        <w:jc w:val="both"/>
      </w:pPr>
      <w:r>
        <w:rPr>
          <w:spacing w:val="-5"/>
        </w:rPr>
        <w:t>招商仁和安康团体重大疾病保险合同</w:t>
      </w:r>
      <w:r>
        <w:rPr/>
        <w:t>（</w:t>
      </w:r>
      <w:r>
        <w:rPr>
          <w:spacing w:val="-13"/>
        </w:rPr>
        <w:t>以下简称“本合同”</w:t>
      </w:r>
      <w:r>
        <w:rPr>
          <w:spacing w:val="-64"/>
        </w:rPr>
        <w:t>）</w:t>
      </w:r>
      <w:r>
        <w:rPr>
          <w:spacing w:val="-3"/>
        </w:rPr>
        <w:t>由保险单或其他书面保险凭证及所附招商仁和安康团体重大疾病保险条款</w:t>
      </w:r>
      <w:r>
        <w:rPr/>
        <w:t>（</w:t>
      </w:r>
      <w:r>
        <w:rPr>
          <w:spacing w:val="-13"/>
        </w:rPr>
        <w:t>以下简称“本条款”</w:t>
      </w:r>
      <w:r>
        <w:rPr>
          <w:spacing w:val="-105"/>
        </w:rPr>
        <w:t>）</w:t>
      </w:r>
      <w:r>
        <w:rPr>
          <w:spacing w:val="-1"/>
        </w:rPr>
        <w:t>、投保单、与本合同有关的其他</w:t>
      </w:r>
      <w:r>
        <w:rPr>
          <w:spacing w:val="-3"/>
        </w:rPr>
        <w:t>投保文件、声明、批注、附贴批单及其他书面协议构成。</w:t>
      </w:r>
    </w:p>
    <w:p>
      <w:pPr>
        <w:pStyle w:val="BodyText"/>
        <w:spacing w:before="8"/>
        <w:rPr>
          <w:sz w:val="19"/>
        </w:rPr>
      </w:pPr>
    </w:p>
    <w:p>
      <w:pPr>
        <w:pStyle w:val="Heading2"/>
      </w:pPr>
      <w:r>
        <w:rPr/>
        <w:t>第二条   投保范围</w:t>
      </w:r>
    </w:p>
    <w:p>
      <w:pPr>
        <w:pStyle w:val="BodyText"/>
        <w:spacing w:before="167"/>
        <w:ind w:left="538"/>
      </w:pPr>
      <w:r>
        <w:rPr/>
        <w:t>特定团体成员可以作为被保险人，由您向我们投保本保险。 </w:t>
      </w:r>
    </w:p>
    <w:p>
      <w:pPr>
        <w:pStyle w:val="BodyText"/>
        <w:spacing w:before="11"/>
      </w:pPr>
    </w:p>
    <w:p>
      <w:pPr>
        <w:pStyle w:val="Heading2"/>
      </w:pPr>
      <w:r>
        <w:rPr/>
        <w:t>第三条   保险合同成立与生效</w:t>
      </w:r>
    </w:p>
    <w:p>
      <w:pPr>
        <w:pStyle w:val="BodyText"/>
        <w:spacing w:before="167"/>
        <w:ind w:left="538"/>
      </w:pPr>
      <w:r>
        <w:rPr/>
        <w:t>您提出保险申请、我们同意承保，本合同成立。</w:t>
      </w:r>
    </w:p>
    <w:p>
      <w:pPr>
        <w:pStyle w:val="BodyText"/>
        <w:spacing w:before="9"/>
        <w:rPr>
          <w:sz w:val="14"/>
        </w:rPr>
      </w:pPr>
    </w:p>
    <w:p>
      <w:pPr>
        <w:pStyle w:val="BodyText"/>
        <w:spacing w:line="408" w:lineRule="auto"/>
        <w:ind w:left="538" w:right="398"/>
      </w:pPr>
      <w:r>
        <w:rPr>
          <w:spacing w:val="-10"/>
        </w:rPr>
        <w:t>本合同自我们收取保险费并签发保险单开始生效，合同的成立日、生效日均载明于保险单上。</w:t>
      </w:r>
      <w:r>
        <w:rPr>
          <w:spacing w:val="-5"/>
        </w:rPr>
        <w:t>我们自本合同生效时开始承担保险责任。</w:t>
      </w:r>
    </w:p>
    <w:p>
      <w:pPr>
        <w:pStyle w:val="Heading2"/>
        <w:spacing w:before="139"/>
      </w:pPr>
      <w:r>
        <w:rPr/>
        <w:t>第四条   保险期间</w:t>
      </w:r>
    </w:p>
    <w:p>
      <w:pPr>
        <w:pStyle w:val="BodyText"/>
        <w:spacing w:before="12"/>
        <w:rPr>
          <w:rFonts w:ascii="微软雅黑"/>
          <w:b/>
          <w:sz w:val="18"/>
        </w:rPr>
      </w:pPr>
    </w:p>
    <w:p>
      <w:pPr>
        <w:pStyle w:val="BodyText"/>
        <w:spacing w:line="273" w:lineRule="auto"/>
        <w:ind w:left="118" w:right="396" w:firstLine="419"/>
        <w:jc w:val="both"/>
      </w:pPr>
      <w:r>
        <w:rPr/>
        <w:t>本合同的保险期间为一年，自本合同生效日起至期满日二十四时止，由您与我们在投保时协商确定，并在保险单上载明。</w:t>
      </w:r>
    </w:p>
    <w:p>
      <w:pPr>
        <w:pStyle w:val="BodyText"/>
        <w:spacing w:before="8"/>
        <w:rPr>
          <w:sz w:val="19"/>
        </w:rPr>
      </w:pPr>
    </w:p>
    <w:p>
      <w:pPr>
        <w:pStyle w:val="Heading2"/>
      </w:pPr>
      <w:r>
        <w:rPr/>
        <w:t>第五条   续保</w:t>
      </w:r>
    </w:p>
    <w:p>
      <w:pPr>
        <w:pStyle w:val="BodyText"/>
        <w:spacing w:line="273" w:lineRule="auto" w:before="167"/>
        <w:ind w:left="118" w:right="396" w:firstLine="419"/>
        <w:jc w:val="both"/>
      </w:pPr>
      <w:r>
        <w:rPr/>
        <w:t>您在保险期间届满前可以提出继续投保的书面申请，经我们同意后，由您于保险期间届满前按续保当时被保险人的风险性质重新厘定的费率交付保险费，新续保合同自本合同期满日次日零时起延续有效。</w:t>
      </w:r>
    </w:p>
    <w:p>
      <w:pPr>
        <w:pStyle w:val="BodyText"/>
        <w:rPr>
          <w:sz w:val="20"/>
        </w:rPr>
      </w:pPr>
    </w:p>
    <w:p>
      <w:pPr>
        <w:pStyle w:val="Heading2"/>
        <w:tabs>
          <w:tab w:pos="842" w:val="left" w:leader="none"/>
        </w:tabs>
        <w:spacing w:before="156"/>
        <w:ind w:left="0" w:right="286"/>
        <w:jc w:val="center"/>
      </w:pPr>
      <w:r>
        <w:rPr/>
        <w:t>第二章</w:t>
        <w:tab/>
        <w:t>保险合同提供</w:t>
      </w:r>
      <w:r>
        <w:rPr>
          <w:spacing w:val="-3"/>
        </w:rPr>
        <w:t>的</w:t>
      </w:r>
      <w:r>
        <w:rPr/>
        <w:t>保障</w:t>
      </w:r>
    </w:p>
    <w:p>
      <w:pPr>
        <w:spacing w:after="0"/>
        <w:jc w:val="center"/>
        <w:sectPr>
          <w:headerReference w:type="default" r:id="rId6"/>
          <w:footerReference w:type="default" r:id="rId7"/>
          <w:pgSz w:w="11910" w:h="16840"/>
          <w:pgMar w:header="857" w:footer="857" w:top="1040" w:bottom="1040" w:left="1680" w:right="840"/>
          <w:pgNumType w:start="2"/>
        </w:sectPr>
      </w:pPr>
    </w:p>
    <w:p>
      <w:pPr>
        <w:pStyle w:val="BodyText"/>
        <w:spacing w:before="3"/>
        <w:rPr>
          <w:rFonts w:ascii="微软雅黑"/>
          <w:b/>
          <w:sz w:val="8"/>
        </w:rPr>
      </w:pPr>
    </w:p>
    <w:p>
      <w:pPr>
        <w:spacing w:line="337" w:lineRule="exact" w:before="0"/>
        <w:ind w:left="138" w:right="0" w:firstLine="0"/>
        <w:jc w:val="left"/>
        <w:rPr>
          <w:rFonts w:ascii="微软雅黑" w:eastAsia="微软雅黑" w:hint="eastAsia"/>
          <w:b/>
          <w:sz w:val="21"/>
        </w:rPr>
      </w:pPr>
      <w:r>
        <w:rPr>
          <w:rFonts w:ascii="微软雅黑" w:eastAsia="微软雅黑" w:hint="eastAsia"/>
          <w:b/>
          <w:sz w:val="21"/>
        </w:rPr>
        <w:t>第六条   保险责任</w:t>
      </w:r>
    </w:p>
    <w:p>
      <w:pPr>
        <w:pStyle w:val="BodyText"/>
        <w:spacing w:line="408" w:lineRule="auto" w:before="168"/>
        <w:ind w:left="558" w:right="3620"/>
      </w:pPr>
      <w:r>
        <w:rPr/>
        <w:t>在本合同有效期内，我们依照下列约定承担保险责任： 一、等待期</w:t>
      </w:r>
    </w:p>
    <w:p>
      <w:pPr>
        <w:pStyle w:val="BodyText"/>
        <w:spacing w:line="312" w:lineRule="exact" w:before="41"/>
        <w:ind w:left="138" w:right="113" w:firstLine="419"/>
        <w:jc w:val="both"/>
      </w:pPr>
      <w:r>
        <w:rPr/>
        <w:t>您为被保险人首次投保本保险或非</w:t>
      </w:r>
      <w:r>
        <w:rPr>
          <w:rFonts w:ascii="微软雅黑" w:hAnsi="微软雅黑" w:eastAsia="微软雅黑" w:hint="eastAsia"/>
          <w:b/>
        </w:rPr>
        <w:t>连续投保</w:t>
      </w:r>
      <w:r>
        <w:rPr>
          <w:rFonts w:ascii="Calibri" w:hAnsi="Calibri" w:eastAsia="Calibri"/>
          <w:b/>
          <w:position w:val="7"/>
          <w:sz w:val="14"/>
        </w:rPr>
        <w:t>1</w:t>
      </w:r>
      <w:r>
        <w:rPr/>
        <w:t>本保险时，被保险人因非</w:t>
      </w:r>
      <w:r>
        <w:rPr>
          <w:rFonts w:ascii="微软雅黑" w:hAnsi="微软雅黑" w:eastAsia="微软雅黑" w:hint="eastAsia"/>
          <w:b/>
        </w:rPr>
        <w:t>意外伤害事故</w:t>
      </w:r>
      <w:r>
        <w:rPr>
          <w:rFonts w:ascii="Calibri" w:hAnsi="Calibri" w:eastAsia="Calibri"/>
          <w:b/>
          <w:position w:val="7"/>
          <w:sz w:val="14"/>
        </w:rPr>
        <w:t>2</w:t>
      </w:r>
      <w:r>
        <w:rPr/>
        <w:t>被确认 </w:t>
      </w:r>
      <w:r>
        <w:rPr>
          <w:spacing w:val="-2"/>
        </w:rPr>
        <w:t>首次患本合同定义的重大疾病，自本合同生效日起三十日</w:t>
      </w:r>
      <w:r>
        <w:rPr/>
        <w:t>（含第三十日）</w:t>
      </w:r>
      <w:r>
        <w:rPr>
          <w:spacing w:val="-2"/>
        </w:rPr>
        <w:t>为等待期；若为本合同</w:t>
      </w:r>
      <w:r>
        <w:rPr>
          <w:spacing w:val="-10"/>
        </w:rPr>
        <w:t>生效后新增被保险人，则前述“三十日”自我们对该新增被保险人承担保险责任之日起开始计算。</w:t>
      </w:r>
    </w:p>
    <w:p>
      <w:pPr>
        <w:pStyle w:val="BodyText"/>
        <w:spacing w:line="273" w:lineRule="auto" w:before="159"/>
        <w:ind w:left="138" w:right="216" w:firstLine="419"/>
        <w:jc w:val="both"/>
      </w:pPr>
      <w:r>
        <w:rPr/>
        <w:t>若被保险人于等待期内因非意外伤害事故被确认首次患本合同定义的重大疾病，我们不承担保险责任，并无息退还您为该被保险人所交的保险费，我们对该被保险人保险责任终止。</w:t>
      </w:r>
    </w:p>
    <w:p>
      <w:pPr>
        <w:pStyle w:val="BodyText"/>
        <w:spacing w:before="163"/>
        <w:ind w:left="558"/>
      </w:pPr>
      <w:r>
        <w:rPr/>
        <w:t>二、重大疾病保险金</w:t>
      </w:r>
    </w:p>
    <w:p>
      <w:pPr>
        <w:pStyle w:val="BodyText"/>
        <w:spacing w:before="10"/>
        <w:rPr>
          <w:sz w:val="14"/>
        </w:rPr>
      </w:pPr>
    </w:p>
    <w:p>
      <w:pPr>
        <w:pStyle w:val="BodyText"/>
        <w:spacing w:line="273" w:lineRule="auto"/>
        <w:ind w:left="138" w:right="216" w:firstLine="419"/>
        <w:jc w:val="both"/>
      </w:pPr>
      <w:r>
        <w:rPr/>
        <w:t>若被保险人因意外伤害事故，或于等待期后因非意外伤害事故，被确认首次患本合同定义的重大疾病，我们将按本合同该被保险人对应的基本保险金额给付重大疾病保险金，本合同对该被保险人的保险责任终止。</w:t>
      </w:r>
    </w:p>
    <w:p>
      <w:pPr>
        <w:pStyle w:val="BodyText"/>
        <w:spacing w:before="8"/>
        <w:rPr>
          <w:sz w:val="19"/>
        </w:rPr>
      </w:pPr>
    </w:p>
    <w:p>
      <w:pPr>
        <w:pStyle w:val="Heading2"/>
        <w:ind w:left="138"/>
      </w:pPr>
      <w:r>
        <w:rPr/>
        <w:t>第七条   责任免除</w:t>
      </w:r>
    </w:p>
    <w:p>
      <w:pPr>
        <w:pStyle w:val="BodyText"/>
        <w:spacing w:before="10"/>
        <w:rPr>
          <w:rFonts w:ascii="微软雅黑"/>
          <w:b/>
          <w:sz w:val="7"/>
        </w:rPr>
      </w:pPr>
    </w:p>
    <w:p>
      <w:pPr>
        <w:pStyle w:val="BodyText"/>
        <w:spacing w:line="326" w:lineRule="auto" w:before="36"/>
        <w:ind w:left="558" w:right="1309"/>
      </w:pPr>
      <w:r>
        <w:rPr>
          <w:shd w:fill="D9D9D9" w:color="auto" w:val="clear"/>
        </w:rPr>
        <w:t>因下列情形之一导致被保险人发生重大疾病的，我们不承担给付保险金的责任： 一、投保人对被保险人的故意杀害、故意伤害；</w:t>
      </w:r>
    </w:p>
    <w:p>
      <w:pPr>
        <w:pStyle w:val="BodyText"/>
        <w:spacing w:before="21"/>
        <w:ind w:left="558"/>
      </w:pPr>
      <w:r>
        <w:rPr/>
        <w:pict>
          <v:shape style="position:absolute;margin-left:108.379997pt;margin-top:16.313683pt;width:397.05pt;height:42.5pt;mso-position-horizontal-relative:page;mso-position-vertical-relative:paragraph;z-index:12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32"/>
                    <w:gridCol w:w="4357"/>
                  </w:tblGrid>
                  <w:tr>
                    <w:trPr>
                      <w:trHeight w:val="254" w:hRule="atLeast"/>
                    </w:trPr>
                    <w:tc>
                      <w:tcPr>
                        <w:tcW w:w="3432" w:type="dxa"/>
                        <w:tcBorders>
                          <w:top w:val="single" w:sz="48" w:space="0" w:color="FFFFFF"/>
                          <w:bottom w:val="single" w:sz="48" w:space="0" w:color="FFFFFF"/>
                        </w:tcBorders>
                        <w:shd w:val="clear" w:color="auto" w:fill="D9D9D9"/>
                      </w:tcPr>
                      <w:p>
                        <w:pPr>
                          <w:pStyle w:val="TableParagraph"/>
                          <w:spacing w:line="234" w:lineRule="exact"/>
                          <w:ind w:left="50" w:right="-58"/>
                          <w:rPr>
                            <w:sz w:val="21"/>
                          </w:rPr>
                        </w:pPr>
                        <w:r>
                          <w:rPr>
                            <w:spacing w:val="-3"/>
                            <w:sz w:val="21"/>
                          </w:rPr>
                          <w:t>三、被保险人主动吸食或注射</w:t>
                        </w:r>
                        <w:r>
                          <w:rPr>
                            <w:rFonts w:ascii="微软雅黑" w:eastAsia="微软雅黑" w:hint="eastAsia"/>
                            <w:b/>
                            <w:sz w:val="21"/>
                          </w:rPr>
                          <w:t>毒品</w:t>
                        </w:r>
                        <w:r>
                          <w:rPr>
                            <w:rFonts w:ascii="Calibri" w:eastAsia="Calibri"/>
                            <w:b/>
                            <w:position w:val="7"/>
                            <w:sz w:val="14"/>
                          </w:rPr>
                          <w:t>3</w:t>
                        </w:r>
                        <w:r>
                          <w:rPr>
                            <w:sz w:val="21"/>
                          </w:rPr>
                          <w:t>；</w:t>
                        </w:r>
                      </w:p>
                    </w:tc>
                    <w:tc>
                      <w:tcPr>
                        <w:tcW w:w="4357" w:type="dxa"/>
                        <w:tcBorders>
                          <w:top w:val="single" w:sz="48" w:space="0" w:color="FFFFFF"/>
                          <w:bottom w:val="single" w:sz="48" w:space="0" w:color="FFFFFF"/>
                        </w:tcBorders>
                      </w:tcPr>
                      <w:p>
                        <w:pPr>
                          <w:pStyle w:val="TableParagraph"/>
                          <w:ind w:left="0"/>
                          <w:rPr>
                            <w:rFonts w:ascii="Times New Roman"/>
                            <w:sz w:val="18"/>
                          </w:rPr>
                        </w:pPr>
                      </w:p>
                    </w:tc>
                  </w:tr>
                  <w:tr>
                    <w:trPr>
                      <w:trHeight w:val="254" w:hRule="atLeast"/>
                    </w:trPr>
                    <w:tc>
                      <w:tcPr>
                        <w:tcW w:w="7789" w:type="dxa"/>
                        <w:gridSpan w:val="2"/>
                        <w:tcBorders>
                          <w:top w:val="single" w:sz="48" w:space="0" w:color="FFFFFF"/>
                          <w:bottom w:val="single" w:sz="48" w:space="0" w:color="FFFFFF"/>
                        </w:tcBorders>
                        <w:shd w:val="clear" w:color="auto" w:fill="D9D9D9"/>
                      </w:tcPr>
                      <w:p>
                        <w:pPr>
                          <w:pStyle w:val="TableParagraph"/>
                          <w:spacing w:line="235" w:lineRule="exact"/>
                          <w:ind w:left="50" w:right="-58"/>
                          <w:rPr>
                            <w:sz w:val="21"/>
                          </w:rPr>
                        </w:pPr>
                        <w:r>
                          <w:rPr>
                            <w:spacing w:val="-3"/>
                            <w:sz w:val="21"/>
                          </w:rPr>
                          <w:t>四、被保险人</w:t>
                        </w:r>
                        <w:r>
                          <w:rPr>
                            <w:rFonts w:ascii="微软雅黑" w:eastAsia="微软雅黑" w:hint="eastAsia"/>
                            <w:b/>
                            <w:spacing w:val="-1"/>
                            <w:sz w:val="21"/>
                          </w:rPr>
                          <w:t>酒后驾驶</w:t>
                        </w:r>
                        <w:r>
                          <w:rPr>
                            <w:rFonts w:ascii="Calibri" w:eastAsia="Calibri"/>
                            <w:b/>
                            <w:position w:val="7"/>
                            <w:sz w:val="14"/>
                          </w:rPr>
                          <w:t>4</w:t>
                        </w:r>
                        <w:r>
                          <w:rPr>
                            <w:sz w:val="21"/>
                          </w:rPr>
                          <w:t>，</w:t>
                        </w:r>
                        <w:r>
                          <w:rPr>
                            <w:rFonts w:ascii="微软雅黑" w:eastAsia="微软雅黑" w:hint="eastAsia"/>
                            <w:b/>
                            <w:spacing w:val="-2"/>
                            <w:sz w:val="21"/>
                          </w:rPr>
                          <w:t>无合法有效驾驶证驾驶</w:t>
                        </w:r>
                        <w:r>
                          <w:rPr>
                            <w:rFonts w:ascii="Calibri" w:eastAsia="Calibri"/>
                            <w:b/>
                            <w:position w:val="7"/>
                            <w:sz w:val="14"/>
                          </w:rPr>
                          <w:t>5</w:t>
                        </w:r>
                        <w:r>
                          <w:rPr>
                            <w:spacing w:val="-1"/>
                            <w:sz w:val="21"/>
                          </w:rPr>
                          <w:t>，或驾驶</w:t>
                        </w:r>
                        <w:r>
                          <w:rPr>
                            <w:rFonts w:ascii="微软雅黑" w:eastAsia="微软雅黑" w:hint="eastAsia"/>
                            <w:b/>
                            <w:sz w:val="21"/>
                          </w:rPr>
                          <w:t>无有效行驶证</w:t>
                        </w:r>
                        <w:r>
                          <w:rPr>
                            <w:rFonts w:ascii="Calibri" w:eastAsia="Calibri"/>
                            <w:b/>
                            <w:position w:val="7"/>
                            <w:sz w:val="14"/>
                          </w:rPr>
                          <w:t>6</w:t>
                        </w:r>
                        <w:r>
                          <w:rPr>
                            <w:spacing w:val="-2"/>
                            <w:sz w:val="21"/>
                          </w:rPr>
                          <w:t>的机动车；</w:t>
                        </w:r>
                      </w:p>
                    </w:tc>
                  </w:tr>
                </w:tbl>
                <w:p>
                  <w:pPr>
                    <w:pStyle w:val="BodyText"/>
                  </w:pPr>
                </w:p>
              </w:txbxContent>
            </v:textbox>
            <w10:wrap type="none"/>
          </v:shape>
        </w:pict>
      </w:r>
      <w:r>
        <w:rPr>
          <w:shd w:fill="D9D9D9" w:color="auto" w:val="clear"/>
        </w:rPr>
        <w:t>二、被保险人故意自伤、犯罪或者抗拒依法采取的刑事强制措施；</w:t>
      </w:r>
    </w:p>
    <w:p>
      <w:pPr>
        <w:pStyle w:val="BodyText"/>
        <w:rPr>
          <w:sz w:val="20"/>
        </w:rPr>
      </w:pPr>
    </w:p>
    <w:p>
      <w:pPr>
        <w:pStyle w:val="BodyText"/>
        <w:rPr>
          <w:sz w:val="20"/>
        </w:rPr>
      </w:pPr>
    </w:p>
    <w:p>
      <w:pPr>
        <w:pStyle w:val="BodyText"/>
        <w:spacing w:before="11"/>
        <w:rPr>
          <w:sz w:val="24"/>
        </w:rPr>
      </w:pPr>
    </w:p>
    <w:p>
      <w:pPr>
        <w:pStyle w:val="BodyText"/>
        <w:spacing w:line="326" w:lineRule="auto"/>
        <w:ind w:left="558" w:right="4881"/>
      </w:pPr>
      <w:r>
        <w:rPr/>
        <w:pict>
          <v:shape style="position:absolute;margin-left:110.900002pt;margin-top:38.90366pt;width:422.3pt;height:13.7pt;mso-position-horizontal-relative:page;mso-position-vertical-relative:paragraph;z-index:1168;mso-wrap-distance-left:0;mso-wrap-distance-right:0" type="#_x0000_t202" filled="true" fillcolor="#d9d9d9" stroked="false">
            <v:textbox inset="0,0,0,0">
              <w:txbxContent>
                <w:p>
                  <w:pPr>
                    <w:spacing w:line="269" w:lineRule="exact" w:before="0"/>
                    <w:ind w:left="0" w:right="0" w:firstLine="0"/>
                    <w:jc w:val="left"/>
                    <w:rPr>
                      <w:rFonts w:ascii="Times New Roman" w:eastAsia="Times New Roman"/>
                      <w:sz w:val="21"/>
                    </w:rPr>
                  </w:pPr>
                  <w:r>
                    <w:rPr>
                      <w:spacing w:val="-15"/>
                      <w:w w:val="100"/>
                      <w:sz w:val="21"/>
                    </w:rPr>
                    <w:t>七、被保险人感染</w:t>
                  </w:r>
                  <w:r>
                    <w:rPr>
                      <w:rFonts w:ascii="微软雅黑" w:eastAsia="微软雅黑" w:hint="eastAsia"/>
                      <w:b/>
                      <w:spacing w:val="-1"/>
                      <w:w w:val="100"/>
                      <w:sz w:val="21"/>
                    </w:rPr>
                    <w:t>艾滋病病毒</w:t>
                  </w:r>
                  <w:r>
                    <w:rPr>
                      <w:rFonts w:ascii="Calibri" w:eastAsia="Calibri"/>
                      <w:b/>
                      <w:spacing w:val="-1"/>
                      <w:w w:val="99"/>
                      <w:position w:val="7"/>
                      <w:sz w:val="14"/>
                    </w:rPr>
                    <w:t>7</w:t>
                  </w:r>
                  <w:r>
                    <w:rPr>
                      <w:spacing w:val="-2"/>
                      <w:w w:val="100"/>
                      <w:sz w:val="21"/>
                    </w:rPr>
                    <w:t>或患</w:t>
                  </w:r>
                  <w:r>
                    <w:rPr>
                      <w:rFonts w:ascii="微软雅黑" w:eastAsia="微软雅黑" w:hint="eastAsia"/>
                      <w:b/>
                      <w:spacing w:val="-1"/>
                      <w:w w:val="100"/>
                      <w:sz w:val="21"/>
                    </w:rPr>
                    <w:t>艾滋病</w:t>
                  </w:r>
                  <w:r>
                    <w:rPr>
                      <w:rFonts w:ascii="Calibri" w:eastAsia="Calibri"/>
                      <w:b/>
                      <w:spacing w:val="-1"/>
                      <w:w w:val="99"/>
                      <w:position w:val="7"/>
                      <w:sz w:val="14"/>
                    </w:rPr>
                    <w:t>8</w:t>
                  </w:r>
                  <w:r>
                    <w:rPr>
                      <w:spacing w:val="-14"/>
                      <w:w w:val="100"/>
                      <w:sz w:val="21"/>
                    </w:rPr>
                    <w:t>，因职业关系导致的</w:t>
                  </w:r>
                  <w:r>
                    <w:rPr>
                      <w:spacing w:val="-53"/>
                      <w:sz w:val="21"/>
                    </w:rPr>
                    <w:t> </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w w:val="100"/>
                      <w:sz w:val="21"/>
                    </w:rPr>
                    <w:t>V</w:t>
                  </w:r>
                  <w:r>
                    <w:rPr>
                      <w:rFonts w:ascii="Times New Roman" w:eastAsia="Times New Roman"/>
                      <w:spacing w:val="-1"/>
                      <w:sz w:val="21"/>
                    </w:rPr>
                    <w:t> </w:t>
                  </w:r>
                  <w:r>
                    <w:rPr>
                      <w:spacing w:val="-3"/>
                      <w:w w:val="100"/>
                      <w:sz w:val="21"/>
                    </w:rPr>
                    <w:t>感染和经输血导致的</w:t>
                  </w:r>
                  <w:r>
                    <w:rPr>
                      <w:spacing w:val="-53"/>
                      <w:sz w:val="21"/>
                    </w:rPr>
                    <w:t> </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w w:val="100"/>
                      <w:sz w:val="21"/>
                    </w:rPr>
                    <w:t>V</w:t>
                  </w:r>
                </w:p>
              </w:txbxContent>
            </v:textbox>
            <v:fill type="solid"/>
            <w10:wrap type="topAndBottom"/>
          </v:shape>
        </w:pict>
      </w:r>
      <w:r>
        <w:rPr/>
        <w:pict>
          <v:line style="position:absolute;mso-position-horizontal-relative:page;mso-position-vertical-relative:paragraph;z-index:1192;mso-wrap-distance-left:0;mso-wrap-distance-right:0" from="89.903999pt,65.903656pt" to="233.923999pt,65.903656pt" stroked="true" strokeweight=".72pt" strokecolor="#000000">
            <v:stroke dashstyle="solid"/>
            <w10:wrap type="topAndBottom"/>
          </v:line>
        </w:pict>
      </w:r>
      <w:r>
        <w:rPr>
          <w:shd w:fill="D9D9D9" w:color="auto" w:val="clear"/>
        </w:rPr>
        <w:t>五、战争、军事冲突、暴乱或武装叛乱； 六、核爆炸、核辐射或核污染；</w:t>
      </w:r>
    </w:p>
    <w:p>
      <w:pPr>
        <w:pStyle w:val="BodyText"/>
        <w:spacing w:before="8"/>
        <w:rPr>
          <w:sz w:val="15"/>
        </w:rPr>
      </w:pPr>
    </w:p>
    <w:p>
      <w:pPr>
        <w:spacing w:line="283" w:lineRule="exact" w:before="0"/>
        <w:ind w:left="102" w:right="0" w:firstLine="0"/>
        <w:jc w:val="left"/>
        <w:rPr>
          <w:sz w:val="18"/>
        </w:rPr>
      </w:pPr>
      <w:r>
        <w:rPr>
          <w:rFonts w:ascii="Calibri" w:eastAsia="Calibri"/>
          <w:b/>
          <w:position w:val="5"/>
          <w:sz w:val="12"/>
        </w:rPr>
        <w:t>1   </w:t>
      </w:r>
      <w:r>
        <w:rPr>
          <w:rFonts w:ascii="微软雅黑" w:eastAsia="微软雅黑" w:hint="eastAsia"/>
          <w:b/>
          <w:sz w:val="18"/>
        </w:rPr>
        <w:t>连续投保</w:t>
      </w:r>
      <w:r>
        <w:rPr>
          <w:sz w:val="18"/>
        </w:rPr>
        <w:t>：指投保人为同一被保险人投保同一保险，且同时满足下列全部条件：</w:t>
      </w:r>
    </w:p>
    <w:p>
      <w:pPr>
        <w:spacing w:line="233" w:lineRule="exact" w:before="0"/>
        <w:ind w:left="277" w:right="0" w:firstLine="0"/>
        <w:jc w:val="left"/>
        <w:rPr>
          <w:sz w:val="18"/>
        </w:rPr>
      </w:pPr>
      <w:r>
        <w:rPr>
          <w:spacing w:val="-1"/>
          <w:sz w:val="18"/>
        </w:rPr>
        <w:t>（</w:t>
      </w:r>
      <w:r>
        <w:rPr>
          <w:rFonts w:ascii="Calibri" w:eastAsia="Calibri"/>
          <w:spacing w:val="-1"/>
          <w:sz w:val="18"/>
        </w:rPr>
        <w:t>1</w:t>
      </w:r>
      <w:r>
        <w:rPr>
          <w:sz w:val="18"/>
        </w:rPr>
        <w:t>）本次保险单上载明的生效日为前一次保险单期满日起七日内（不含期满日当日</w:t>
      </w:r>
      <w:r>
        <w:rPr>
          <w:spacing w:val="-91"/>
          <w:sz w:val="18"/>
        </w:rPr>
        <w:t>）</w:t>
      </w:r>
      <w:r>
        <w:rPr>
          <w:sz w:val="18"/>
        </w:rPr>
        <w:t>；</w:t>
      </w:r>
    </w:p>
    <w:p>
      <w:pPr>
        <w:spacing w:line="207" w:lineRule="exact" w:before="0"/>
        <w:ind w:left="277" w:right="0" w:firstLine="0"/>
        <w:jc w:val="left"/>
        <w:rPr>
          <w:sz w:val="18"/>
        </w:rPr>
      </w:pPr>
      <w:r>
        <w:rPr>
          <w:sz w:val="18"/>
        </w:rPr>
        <w:t>（</w:t>
      </w:r>
      <w:r>
        <w:rPr>
          <w:rFonts w:ascii="Calibri" w:eastAsia="Calibri"/>
          <w:sz w:val="18"/>
        </w:rPr>
        <w:t>2</w:t>
      </w:r>
      <w:r>
        <w:rPr>
          <w:sz w:val="18"/>
        </w:rPr>
        <w:t>）本次保险单上载明的保险责任和责任相应的基本保险金额与前一次保险单一致。</w:t>
      </w:r>
    </w:p>
    <w:p>
      <w:pPr>
        <w:spacing w:line="216" w:lineRule="auto" w:before="0"/>
        <w:ind w:left="279" w:right="278" w:hanging="178"/>
        <w:jc w:val="left"/>
        <w:rPr>
          <w:sz w:val="18"/>
        </w:rPr>
      </w:pPr>
      <w:r>
        <w:rPr>
          <w:rFonts w:ascii="Calibri" w:eastAsia="Calibri"/>
          <w:b/>
          <w:position w:val="5"/>
          <w:sz w:val="12"/>
        </w:rPr>
        <w:t>2 </w:t>
      </w:r>
      <w:r>
        <w:rPr>
          <w:rFonts w:ascii="微软雅黑" w:eastAsia="微软雅黑" w:hint="eastAsia"/>
          <w:b/>
          <w:sz w:val="18"/>
        </w:rPr>
        <w:t>意外伤害事故</w:t>
      </w:r>
      <w:r>
        <w:rPr>
          <w:sz w:val="18"/>
        </w:rPr>
        <w:t>：指遭受外来的、突发的、非本意的、非疾病的使身体受到伤害的客观事件。</w:t>
      </w:r>
      <w:r>
        <w:rPr>
          <w:sz w:val="18"/>
          <w:shd w:fill="D9D9D9" w:color="auto" w:val="clear"/>
        </w:rPr>
        <w:t>猝死不属于意外伤害</w:t>
      </w:r>
      <w:r>
        <w:rPr>
          <w:sz w:val="18"/>
        </w:rPr>
        <w:t>。猝死指表面健康的人因潜在疾病、机能障碍或者其他原因在出现症状后 24 小时内发生的非暴力性突然死</w:t>
      </w:r>
    </w:p>
    <w:p>
      <w:pPr>
        <w:spacing w:line="205" w:lineRule="exact" w:before="7"/>
        <w:ind w:left="279" w:right="0" w:firstLine="0"/>
        <w:jc w:val="left"/>
        <w:rPr>
          <w:sz w:val="18"/>
        </w:rPr>
      </w:pPr>
      <w:r>
        <w:rPr>
          <w:sz w:val="18"/>
        </w:rPr>
        <w:t>亡。猝死的认定以医院的诊断和公安部门的鉴定为准。</w:t>
      </w:r>
    </w:p>
    <w:p>
      <w:pPr>
        <w:spacing w:line="272" w:lineRule="exact" w:before="0"/>
        <w:ind w:left="138" w:right="0" w:firstLine="0"/>
        <w:jc w:val="left"/>
        <w:rPr>
          <w:sz w:val="18"/>
        </w:rPr>
      </w:pPr>
      <w:r>
        <w:rPr>
          <w:rFonts w:ascii="Calibri" w:eastAsia="Calibri"/>
          <w:b/>
          <w:position w:val="5"/>
          <w:sz w:val="12"/>
        </w:rPr>
        <w:t>3</w:t>
      </w:r>
      <w:r>
        <w:rPr>
          <w:rFonts w:ascii="Calibri" w:eastAsia="Calibri"/>
          <w:b/>
          <w:spacing w:val="2"/>
          <w:position w:val="5"/>
          <w:sz w:val="12"/>
        </w:rPr>
        <w:t>   </w:t>
      </w:r>
      <w:r>
        <w:rPr>
          <w:rFonts w:ascii="微软雅黑" w:eastAsia="微软雅黑" w:hint="eastAsia"/>
          <w:b/>
          <w:sz w:val="18"/>
        </w:rPr>
        <w:t>毒品</w:t>
      </w:r>
      <w:r>
        <w:rPr>
          <w:spacing w:val="-1"/>
          <w:sz w:val="18"/>
        </w:rPr>
        <w:t>：指《中华人民共和国刑法》规定的鸦片、海洛因、甲基苯丙胺</w:t>
      </w:r>
      <w:r>
        <w:rPr>
          <w:sz w:val="18"/>
        </w:rPr>
        <w:t>（冰毒</w:t>
      </w:r>
      <w:r>
        <w:rPr>
          <w:spacing w:val="-92"/>
          <w:sz w:val="18"/>
        </w:rPr>
        <w:t>）</w:t>
      </w:r>
      <w:r>
        <w:rPr>
          <w:sz w:val="18"/>
        </w:rPr>
        <w:t>、吗啡、大麻、可卡因以及国家</w:t>
      </w:r>
    </w:p>
    <w:p>
      <w:pPr>
        <w:spacing w:line="237" w:lineRule="auto" w:before="0"/>
        <w:ind w:left="279" w:right="303" w:firstLine="0"/>
        <w:jc w:val="left"/>
        <w:rPr>
          <w:sz w:val="18"/>
        </w:rPr>
      </w:pPr>
      <w:r>
        <w:rPr>
          <w:sz w:val="18"/>
        </w:rPr>
        <w:t>规定管制的其他能够使人形成瘾癖的麻醉药品和精神药品，但不包括由医生开具并遵医嘱使用的用于治疗疾病但含有毒品成分的处方药品。</w:t>
      </w:r>
    </w:p>
    <w:p>
      <w:pPr>
        <w:spacing w:line="244" w:lineRule="exact" w:before="8"/>
        <w:ind w:left="138" w:right="0" w:firstLine="0"/>
        <w:jc w:val="left"/>
        <w:rPr>
          <w:sz w:val="18"/>
        </w:rPr>
      </w:pPr>
      <w:r>
        <w:rPr>
          <w:rFonts w:ascii="Calibri" w:eastAsia="Calibri"/>
          <w:b/>
          <w:position w:val="5"/>
          <w:sz w:val="12"/>
        </w:rPr>
        <w:t>4</w:t>
      </w:r>
      <w:r>
        <w:rPr>
          <w:rFonts w:ascii="Calibri" w:eastAsia="Calibri"/>
          <w:b/>
          <w:sz w:val="12"/>
        </w:rPr>
        <w:t>   </w:t>
      </w:r>
      <w:r>
        <w:rPr>
          <w:rFonts w:ascii="微软雅黑" w:eastAsia="微软雅黑" w:hint="eastAsia"/>
          <w:b/>
          <w:sz w:val="18"/>
        </w:rPr>
        <w:t>酒后驾驶</w:t>
      </w:r>
      <w:r>
        <w:rPr>
          <w:sz w:val="18"/>
        </w:rPr>
        <w:t>：指经检测或鉴定，发生事故时车辆驾驶人员每百毫升血液中的酒精含量达到或超过一定的标准，公</w:t>
      </w:r>
    </w:p>
    <w:p>
      <w:pPr>
        <w:spacing w:line="196" w:lineRule="exact" w:before="0"/>
        <w:ind w:left="279" w:right="0" w:firstLine="0"/>
        <w:jc w:val="left"/>
        <w:rPr>
          <w:sz w:val="18"/>
        </w:rPr>
      </w:pPr>
      <w:r>
        <w:rPr>
          <w:sz w:val="18"/>
        </w:rPr>
        <w:t>安机关交通管理部门依据《中华人民共和国道路交通安全法》的规定认定为饮酒后驾驶或醉酒后驾驶。</w:t>
      </w:r>
    </w:p>
    <w:p>
      <w:pPr>
        <w:spacing w:line="270" w:lineRule="exact" w:before="0"/>
        <w:ind w:left="138" w:right="0" w:firstLine="0"/>
        <w:jc w:val="left"/>
        <w:rPr>
          <w:sz w:val="18"/>
        </w:rPr>
      </w:pPr>
      <w:r>
        <w:rPr>
          <w:rFonts w:ascii="Calibri" w:eastAsia="Calibri"/>
          <w:b/>
          <w:position w:val="5"/>
          <w:sz w:val="12"/>
        </w:rPr>
        <w:t>5</w:t>
      </w:r>
      <w:r>
        <w:rPr>
          <w:rFonts w:ascii="Calibri" w:eastAsia="Calibri"/>
          <w:b/>
          <w:sz w:val="12"/>
        </w:rPr>
        <w:t>   </w:t>
      </w:r>
      <w:r>
        <w:rPr>
          <w:rFonts w:ascii="微软雅黑" w:eastAsia="微软雅黑" w:hint="eastAsia"/>
          <w:b/>
          <w:sz w:val="18"/>
        </w:rPr>
        <w:t>无合法有效驾驶证驾驶</w:t>
      </w:r>
      <w:r>
        <w:rPr>
          <w:sz w:val="18"/>
        </w:rPr>
        <w:t>：指下列情形之一 </w:t>
      </w:r>
    </w:p>
    <w:p>
      <w:pPr>
        <w:spacing w:line="222" w:lineRule="exact" w:before="0"/>
        <w:ind w:left="279" w:right="0" w:firstLine="0"/>
        <w:jc w:val="left"/>
        <w:rPr>
          <w:sz w:val="18"/>
        </w:rPr>
      </w:pPr>
      <w:r>
        <w:rPr>
          <w:sz w:val="18"/>
        </w:rPr>
        <w:t>（1）没有取得驾驶资格； </w:t>
      </w:r>
    </w:p>
    <w:p>
      <w:pPr>
        <w:spacing w:line="234" w:lineRule="exact" w:before="0"/>
        <w:ind w:left="279" w:right="0" w:firstLine="0"/>
        <w:jc w:val="left"/>
        <w:rPr>
          <w:sz w:val="18"/>
        </w:rPr>
      </w:pPr>
      <w:r>
        <w:rPr>
          <w:sz w:val="18"/>
        </w:rPr>
        <w:t>（2）驾驶与驾驶证准驾车型不相符合的车辆； </w:t>
      </w:r>
    </w:p>
    <w:p>
      <w:pPr>
        <w:spacing w:line="234" w:lineRule="exact" w:before="0"/>
        <w:ind w:left="279" w:right="0" w:firstLine="0"/>
        <w:jc w:val="left"/>
        <w:rPr>
          <w:sz w:val="18"/>
        </w:rPr>
      </w:pPr>
      <w:r>
        <w:rPr>
          <w:sz w:val="18"/>
        </w:rPr>
        <w:t>（3）持审验不合格的驾驶证驾驶； </w:t>
      </w:r>
    </w:p>
    <w:p>
      <w:pPr>
        <w:spacing w:line="206" w:lineRule="exact" w:before="0"/>
        <w:ind w:left="279" w:right="0" w:firstLine="0"/>
        <w:jc w:val="left"/>
        <w:rPr>
          <w:sz w:val="18"/>
        </w:rPr>
      </w:pPr>
      <w:r>
        <w:rPr>
          <w:sz w:val="18"/>
        </w:rPr>
        <w:t>（4）持学习驾驶证学习驾车时，无教练员随车指导，或不按指定时间、路线学习驾车。</w:t>
      </w:r>
    </w:p>
    <w:p>
      <w:pPr>
        <w:spacing w:line="270" w:lineRule="exact" w:before="0"/>
        <w:ind w:left="138" w:right="0" w:firstLine="0"/>
        <w:jc w:val="left"/>
        <w:rPr>
          <w:sz w:val="18"/>
        </w:rPr>
      </w:pPr>
      <w:r>
        <w:rPr>
          <w:rFonts w:ascii="Calibri" w:eastAsia="Calibri"/>
          <w:b/>
          <w:position w:val="5"/>
          <w:sz w:val="12"/>
        </w:rPr>
        <w:t>6</w:t>
      </w:r>
      <w:r>
        <w:rPr>
          <w:rFonts w:ascii="Calibri" w:eastAsia="Calibri"/>
          <w:b/>
          <w:sz w:val="12"/>
        </w:rPr>
        <w:t>   </w:t>
      </w:r>
      <w:r>
        <w:rPr>
          <w:rFonts w:ascii="微软雅黑" w:eastAsia="微软雅黑" w:hint="eastAsia"/>
          <w:b/>
          <w:sz w:val="18"/>
        </w:rPr>
        <w:t>无有效行驶证</w:t>
      </w:r>
      <w:r>
        <w:rPr>
          <w:sz w:val="18"/>
        </w:rPr>
        <w:t>：指下列情形之一 </w:t>
      </w:r>
    </w:p>
    <w:p>
      <w:pPr>
        <w:spacing w:line="223" w:lineRule="exact" w:before="0"/>
        <w:ind w:left="279" w:right="0" w:firstLine="0"/>
        <w:jc w:val="left"/>
        <w:rPr>
          <w:sz w:val="18"/>
        </w:rPr>
      </w:pPr>
      <w:r>
        <w:rPr>
          <w:sz w:val="18"/>
        </w:rPr>
        <w:t>（1）未取得行驶证； </w:t>
      </w:r>
    </w:p>
    <w:p>
      <w:pPr>
        <w:spacing w:line="234" w:lineRule="exact" w:before="0"/>
        <w:ind w:left="279" w:right="0" w:firstLine="0"/>
        <w:jc w:val="left"/>
        <w:rPr>
          <w:sz w:val="18"/>
        </w:rPr>
      </w:pPr>
      <w:r>
        <w:rPr>
          <w:sz w:val="18"/>
        </w:rPr>
        <w:t>（2）机动车被依法注销登记的；  </w:t>
      </w:r>
    </w:p>
    <w:p>
      <w:pPr>
        <w:spacing w:line="206" w:lineRule="exact" w:before="0"/>
        <w:ind w:left="279" w:right="0" w:firstLine="0"/>
        <w:jc w:val="left"/>
        <w:rPr>
          <w:sz w:val="18"/>
        </w:rPr>
      </w:pPr>
      <w:r>
        <w:rPr>
          <w:sz w:val="18"/>
        </w:rPr>
        <w:t>（3）未依法按时进行或通过机动车安全技术检验。 </w:t>
      </w:r>
    </w:p>
    <w:p>
      <w:pPr>
        <w:spacing w:line="218" w:lineRule="auto" w:before="0"/>
        <w:ind w:left="279" w:right="337" w:hanging="142"/>
        <w:jc w:val="left"/>
        <w:rPr>
          <w:sz w:val="18"/>
        </w:rPr>
      </w:pPr>
      <w:r>
        <w:rPr>
          <w:rFonts w:ascii="Calibri" w:eastAsia="Calibri"/>
          <w:b/>
          <w:position w:val="5"/>
          <w:sz w:val="12"/>
        </w:rPr>
        <w:t>7</w:t>
      </w:r>
      <w:r>
        <w:rPr>
          <w:rFonts w:ascii="Calibri" w:eastAsia="Calibri"/>
          <w:b/>
          <w:sz w:val="12"/>
        </w:rPr>
        <w:t> </w:t>
      </w:r>
      <w:r>
        <w:rPr>
          <w:rFonts w:ascii="微软雅黑" w:eastAsia="微软雅黑" w:hint="eastAsia"/>
          <w:b/>
          <w:sz w:val="18"/>
        </w:rPr>
        <w:t>艾滋病病毒</w:t>
      </w:r>
      <w:r>
        <w:rPr>
          <w:sz w:val="18"/>
        </w:rPr>
        <w:t>：指人类免疫缺陷病毒，英文缩写为 HIV。若在被保险人的血液或其他样本中检测到艾滋病病毒或其抗体呈阳性，没有出现临床症状或体征的，为感染艾滋病病毒。</w:t>
      </w:r>
    </w:p>
    <w:p>
      <w:pPr>
        <w:spacing w:line="245" w:lineRule="exact" w:before="0"/>
        <w:ind w:left="138" w:right="0" w:firstLine="0"/>
        <w:jc w:val="left"/>
        <w:rPr>
          <w:sz w:val="18"/>
        </w:rPr>
      </w:pPr>
      <w:r>
        <w:rPr>
          <w:rFonts w:ascii="Calibri" w:eastAsia="Calibri"/>
          <w:b/>
          <w:position w:val="5"/>
          <w:sz w:val="12"/>
        </w:rPr>
        <w:t>8   </w:t>
      </w:r>
      <w:r>
        <w:rPr>
          <w:rFonts w:ascii="微软雅黑" w:eastAsia="微软雅黑" w:hint="eastAsia"/>
          <w:b/>
          <w:sz w:val="18"/>
        </w:rPr>
        <w:t>艾滋病</w:t>
      </w:r>
      <w:r>
        <w:rPr>
          <w:sz w:val="18"/>
        </w:rPr>
        <w:t>：指人类免疫缺陷病毒引起的获得性免疫缺陷综合症，英文缩写为 </w:t>
      </w:r>
      <w:r>
        <w:rPr>
          <w:rFonts w:ascii="Calibri" w:eastAsia="Calibri"/>
          <w:sz w:val="18"/>
        </w:rPr>
        <w:t>AIDS</w:t>
      </w:r>
      <w:r>
        <w:rPr>
          <w:sz w:val="18"/>
        </w:rPr>
        <w:t>。若在被保险人的血液或其他样</w:t>
      </w:r>
    </w:p>
    <w:p>
      <w:pPr>
        <w:spacing w:line="223" w:lineRule="exact" w:before="0"/>
        <w:ind w:left="279" w:right="0" w:firstLine="0"/>
        <w:jc w:val="left"/>
        <w:rPr>
          <w:sz w:val="18"/>
        </w:rPr>
      </w:pPr>
      <w:r>
        <w:rPr>
          <w:sz w:val="18"/>
        </w:rPr>
        <w:t>本中检测到艾滋病病毒或其抗体呈阳性，并同时出现了明显临床症状或体征的，为患艾滋病。</w:t>
      </w:r>
    </w:p>
    <w:p>
      <w:pPr>
        <w:spacing w:after="0" w:line="223" w:lineRule="exact"/>
        <w:jc w:val="left"/>
        <w:rPr>
          <w:sz w:val="18"/>
        </w:rPr>
        <w:sectPr>
          <w:pgSz w:w="11910" w:h="16840"/>
          <w:pgMar w:header="857" w:footer="857" w:top="1040" w:bottom="1040" w:left="1660" w:right="1020"/>
        </w:sectPr>
      </w:pPr>
    </w:p>
    <w:p>
      <w:pPr>
        <w:pStyle w:val="BodyText"/>
        <w:spacing w:before="11"/>
        <w:rPr>
          <w:sz w:val="10"/>
        </w:rPr>
      </w:pPr>
    </w:p>
    <w:p>
      <w:pPr>
        <w:pStyle w:val="BodyText"/>
        <w:spacing w:before="36"/>
        <w:ind w:left="118"/>
      </w:pPr>
      <w:r>
        <w:rPr>
          <w:shd w:fill="D9D9D9" w:color="auto" w:val="clear"/>
        </w:rPr>
        <w:t>感染的除外；</w:t>
      </w:r>
    </w:p>
    <w:p>
      <w:pPr>
        <w:pStyle w:val="BodyText"/>
        <w:rPr>
          <w:sz w:val="8"/>
        </w:rPr>
      </w:pPr>
      <w:r>
        <w:rPr/>
        <w:pict>
          <v:shape style="position:absolute;margin-left:110.900002pt;margin-top:6.445713pt;width:252.8pt;height:13.7pt;mso-position-horizontal-relative:page;mso-position-vertical-relative:paragraph;z-index:1240;mso-wrap-distance-left:0;mso-wrap-distance-right:0" type="#_x0000_t202" filled="true" fillcolor="#d9d9d9" stroked="false">
            <v:textbox inset="0,0,0,0">
              <w:txbxContent>
                <w:p>
                  <w:pPr>
                    <w:spacing w:line="269" w:lineRule="exact" w:before="0"/>
                    <w:ind w:left="0" w:right="-15" w:firstLine="0"/>
                    <w:jc w:val="left"/>
                    <w:rPr>
                      <w:sz w:val="21"/>
                    </w:rPr>
                  </w:pPr>
                  <w:r>
                    <w:rPr>
                      <w:spacing w:val="-2"/>
                      <w:sz w:val="21"/>
                    </w:rPr>
                    <w:t>八、</w:t>
                  </w:r>
                  <w:r>
                    <w:rPr>
                      <w:rFonts w:ascii="微软雅黑" w:eastAsia="微软雅黑" w:hint="eastAsia"/>
                      <w:b/>
                      <w:spacing w:val="-1"/>
                      <w:sz w:val="21"/>
                    </w:rPr>
                    <w:t>遗传性疾病</w:t>
                  </w:r>
                  <w:r>
                    <w:rPr>
                      <w:rFonts w:ascii="Calibri" w:eastAsia="Calibri"/>
                      <w:b/>
                      <w:position w:val="7"/>
                      <w:sz w:val="14"/>
                    </w:rPr>
                    <w:t>9</w:t>
                  </w:r>
                  <w:r>
                    <w:rPr>
                      <w:sz w:val="21"/>
                    </w:rPr>
                    <w:t>，</w:t>
                  </w:r>
                  <w:r>
                    <w:rPr>
                      <w:rFonts w:ascii="微软雅黑" w:eastAsia="微软雅黑" w:hint="eastAsia"/>
                      <w:b/>
                      <w:spacing w:val="-3"/>
                      <w:sz w:val="21"/>
                    </w:rPr>
                    <w:t>先天性畸形、变形或染色体异常</w:t>
                  </w:r>
                  <w:r>
                    <w:rPr>
                      <w:rFonts w:ascii="Calibri" w:eastAsia="Calibri"/>
                      <w:b/>
                      <w:position w:val="7"/>
                      <w:sz w:val="14"/>
                    </w:rPr>
                    <w:t>10</w:t>
                  </w:r>
                  <w:r>
                    <w:rPr>
                      <w:sz w:val="21"/>
                    </w:rPr>
                    <w:t>。</w:t>
                  </w:r>
                </w:p>
              </w:txbxContent>
            </v:textbox>
            <v:fill type="solid"/>
            <w10:wrap type="topAndBottom"/>
          </v:shape>
        </w:pict>
      </w:r>
    </w:p>
    <w:p>
      <w:pPr>
        <w:pStyle w:val="BodyText"/>
        <w:rPr>
          <w:sz w:val="20"/>
        </w:rPr>
      </w:pPr>
    </w:p>
    <w:p>
      <w:pPr>
        <w:pStyle w:val="Heading2"/>
        <w:tabs>
          <w:tab w:pos="842" w:val="left" w:leader="none"/>
        </w:tabs>
        <w:spacing w:before="142"/>
        <w:ind w:left="0" w:right="3"/>
        <w:jc w:val="center"/>
      </w:pPr>
      <w:r>
        <w:rPr/>
        <w:t>第三章</w:t>
        <w:tab/>
        <w:t>您的权利和义务</w:t>
      </w:r>
    </w:p>
    <w:p>
      <w:pPr>
        <w:pStyle w:val="BodyText"/>
        <w:spacing w:before="8"/>
        <w:rPr>
          <w:rFonts w:ascii="微软雅黑"/>
          <w:b/>
          <w:sz w:val="15"/>
        </w:rPr>
      </w:pPr>
    </w:p>
    <w:p>
      <w:pPr>
        <w:spacing w:line="337" w:lineRule="exact" w:before="0"/>
        <w:ind w:left="118" w:right="0" w:firstLine="0"/>
        <w:jc w:val="left"/>
        <w:rPr>
          <w:rFonts w:ascii="微软雅黑" w:eastAsia="微软雅黑" w:hint="eastAsia"/>
          <w:b/>
          <w:sz w:val="21"/>
        </w:rPr>
      </w:pPr>
      <w:r>
        <w:rPr>
          <w:rFonts w:ascii="微软雅黑" w:eastAsia="微软雅黑" w:hint="eastAsia"/>
          <w:b/>
          <w:sz w:val="21"/>
        </w:rPr>
        <w:t>第八条   基本保险金额和保险费</w:t>
      </w:r>
    </w:p>
    <w:p>
      <w:pPr>
        <w:pStyle w:val="BodyText"/>
        <w:spacing w:line="408" w:lineRule="auto" w:before="167"/>
        <w:ind w:left="538" w:right="789"/>
      </w:pPr>
      <w:r>
        <w:rPr/>
        <w:t>本合同的每一被保险人的基本保险金额和保险费由您和我们约定并载明于保险单上。本合同的保险费由您在投保时一次性支付。</w:t>
      </w:r>
    </w:p>
    <w:p>
      <w:pPr>
        <w:pStyle w:val="BodyText"/>
        <w:spacing w:before="12"/>
        <w:rPr>
          <w:sz w:val="22"/>
        </w:rPr>
      </w:pPr>
    </w:p>
    <w:p>
      <w:pPr>
        <w:pStyle w:val="Heading2"/>
        <w:tabs>
          <w:tab w:pos="842" w:val="left" w:leader="none"/>
        </w:tabs>
        <w:ind w:left="0" w:right="3"/>
        <w:jc w:val="center"/>
      </w:pPr>
      <w:r>
        <w:rPr/>
        <w:t>第四章</w:t>
        <w:tab/>
        <w:t>保险金的申请</w:t>
      </w:r>
    </w:p>
    <w:p>
      <w:pPr>
        <w:pStyle w:val="BodyText"/>
        <w:spacing w:before="2"/>
        <w:rPr>
          <w:rFonts w:ascii="微软雅黑"/>
          <w:b/>
          <w:sz w:val="14"/>
        </w:rPr>
      </w:pPr>
    </w:p>
    <w:p>
      <w:pPr>
        <w:spacing w:before="0"/>
        <w:ind w:left="118" w:right="0" w:firstLine="0"/>
        <w:jc w:val="left"/>
        <w:rPr>
          <w:rFonts w:ascii="微软雅黑" w:eastAsia="微软雅黑" w:hint="eastAsia"/>
          <w:b/>
          <w:sz w:val="21"/>
        </w:rPr>
      </w:pPr>
      <w:r>
        <w:rPr>
          <w:rFonts w:ascii="微软雅黑" w:eastAsia="微软雅黑" w:hint="eastAsia"/>
          <w:b/>
          <w:sz w:val="21"/>
        </w:rPr>
        <w:t>第九条   明确说明与如实告知</w:t>
      </w:r>
    </w:p>
    <w:p>
      <w:pPr>
        <w:pStyle w:val="BodyText"/>
        <w:spacing w:before="167"/>
        <w:ind w:left="538"/>
      </w:pPr>
      <w:r>
        <w:rPr/>
        <w:t>订立本合同时，我们应向您说明本合同的内容。</w:t>
      </w:r>
    </w:p>
    <w:p>
      <w:pPr>
        <w:pStyle w:val="BodyText"/>
        <w:spacing w:before="9"/>
        <w:rPr>
          <w:sz w:val="14"/>
        </w:rPr>
      </w:pPr>
    </w:p>
    <w:p>
      <w:pPr>
        <w:pStyle w:val="BodyText"/>
        <w:spacing w:line="273" w:lineRule="auto"/>
        <w:ind w:left="118" w:right="117" w:firstLine="419"/>
        <w:jc w:val="both"/>
      </w:pPr>
      <w:r>
        <w:rPr/>
        <w:t>对保险条款中免除我们责任的条款，我们在订立合同时应当在投保单、保险单或者其他保险凭证上作出足以引起您注意的提示，并对该条款的内容以书面或者口头形式向您作出明确说明， 未作提示或者明确说明的，该条款不产生效力。</w:t>
      </w:r>
    </w:p>
    <w:p>
      <w:pPr>
        <w:pStyle w:val="BodyText"/>
        <w:spacing w:before="163"/>
        <w:ind w:left="538"/>
      </w:pPr>
      <w:r>
        <w:rPr/>
        <w:t>我们就您和被保险人的有关情况提出询问，您应当如实告知。</w:t>
      </w:r>
    </w:p>
    <w:p>
      <w:pPr>
        <w:pStyle w:val="BodyText"/>
        <w:spacing w:before="12"/>
        <w:rPr>
          <w:sz w:val="11"/>
        </w:rPr>
      </w:pPr>
    </w:p>
    <w:p>
      <w:pPr>
        <w:pStyle w:val="BodyText"/>
        <w:spacing w:line="273" w:lineRule="auto" w:before="37"/>
        <w:ind w:left="118" w:right="116" w:firstLine="419"/>
      </w:pPr>
      <w:r>
        <w:rPr>
          <w:shd w:fill="D9D9D9" w:color="auto" w:val="clear"/>
        </w:rPr>
        <w:t>如果您故意或者因重大过失未履行前款规定的如实告知义务，足以影响我们决定是否同意承保或者提高保险费率的，我们有权解除本合同或取消该被保险人的保险资格。</w:t>
      </w:r>
    </w:p>
    <w:p>
      <w:pPr>
        <w:pStyle w:val="BodyText"/>
        <w:spacing w:before="9"/>
        <w:rPr>
          <w:sz w:val="9"/>
        </w:rPr>
      </w:pPr>
    </w:p>
    <w:p>
      <w:pPr>
        <w:pStyle w:val="BodyText"/>
        <w:spacing w:line="273" w:lineRule="auto" w:before="37"/>
        <w:ind w:left="118" w:right="116" w:firstLine="419"/>
      </w:pPr>
      <w:r>
        <w:rPr>
          <w:shd w:fill="D9D9D9" w:color="auto" w:val="clear"/>
        </w:rPr>
        <w:t>如果您故意不履行如实告知义务，对于解除本合同或取消该被保险人的保险资格前发生的保</w:t>
      </w:r>
      <w:r>
        <w:rPr>
          <w:spacing w:val="-212"/>
          <w:shd w:fill="D9D9D9" w:color="auto" w:val="clear"/>
        </w:rPr>
        <w:t>险</w:t>
      </w:r>
      <w:r>
        <w:rPr>
          <w:spacing w:val="-3"/>
          <w:shd w:fill="D9D9D9" w:color="auto" w:val="clear"/>
        </w:rPr>
        <w:t>事故，我们不承担给付保险金的责任，并不退还保险费。</w:t>
      </w:r>
    </w:p>
    <w:p>
      <w:pPr>
        <w:pStyle w:val="BodyText"/>
        <w:spacing w:before="9"/>
        <w:rPr>
          <w:sz w:val="9"/>
        </w:rPr>
      </w:pPr>
    </w:p>
    <w:p>
      <w:pPr>
        <w:pStyle w:val="BodyText"/>
        <w:spacing w:line="273" w:lineRule="auto" w:before="37"/>
        <w:ind w:left="118" w:right="116" w:firstLine="419"/>
        <w:jc w:val="both"/>
      </w:pPr>
      <w:r>
        <w:rPr>
          <w:shd w:fill="D9D9D9" w:color="auto" w:val="clear"/>
        </w:rPr>
        <w:t>如果您因重大过失未履行如实告知义务，对保险事故的发生有严重影响的，对于解除本合同</w:t>
      </w:r>
      <w:r>
        <w:rPr>
          <w:spacing w:val="-1"/>
          <w:shd w:fill="D9D9D9" w:color="auto" w:val="clear"/>
        </w:rPr>
        <w:t>或取消该被保险人的保险</w:t>
      </w:r>
      <w:r>
        <w:rPr>
          <w:spacing w:val="-212"/>
          <w:shd w:fill="D9D9D9" w:color="auto" w:val="clear"/>
        </w:rPr>
        <w:t>资</w:t>
      </w:r>
      <w:r>
        <w:rPr>
          <w:spacing w:val="-2"/>
          <w:shd w:fill="D9D9D9" w:color="auto" w:val="clear"/>
        </w:rPr>
        <w:t>格前发生的保险事故，我们不承担给付保险金的责任，但应当无息退还保险费。</w:t>
      </w:r>
    </w:p>
    <w:p>
      <w:pPr>
        <w:pStyle w:val="BodyText"/>
        <w:spacing w:line="273" w:lineRule="auto" w:before="164"/>
        <w:ind w:left="118" w:right="116" w:firstLine="419"/>
        <w:jc w:val="both"/>
      </w:pPr>
      <w:r>
        <w:rPr/>
        <w:t>我们在合同订立时已经知道您未如实告知的情况的，我们不得解除合同或取消该被保险人的保险资格；发生保险事故的，我们承担给付保险金的责任。</w:t>
      </w:r>
    </w:p>
    <w:p>
      <w:pPr>
        <w:pStyle w:val="BodyText"/>
        <w:spacing w:before="8"/>
        <w:rPr>
          <w:sz w:val="19"/>
        </w:rPr>
      </w:pPr>
    </w:p>
    <w:p>
      <w:pPr>
        <w:pStyle w:val="Heading2"/>
        <w:spacing w:before="1"/>
      </w:pPr>
      <w:r>
        <w:rPr/>
        <w:t>第十条   我们合同解除权的限制</w:t>
      </w:r>
    </w:p>
    <w:p>
      <w:pPr>
        <w:pStyle w:val="BodyText"/>
        <w:spacing w:line="273" w:lineRule="auto" w:before="168"/>
        <w:ind w:left="118" w:right="118" w:firstLine="419"/>
        <w:jc w:val="both"/>
      </w:pPr>
      <w:r>
        <w:rPr>
          <w:spacing w:val="-12"/>
        </w:rPr>
        <w:t>本合同第九条规定的合同解除权，自我们知道有解除事由之日起，超过三十日不行使而消灭。</w:t>
      </w:r>
      <w:r>
        <w:rPr>
          <w:spacing w:val="-11"/>
        </w:rPr>
        <w:t>自本合同成立之日起连续续保超过两年的，我们不得根据本合同第九条规定解除合同；发生保险</w:t>
      </w:r>
      <w:r>
        <w:rPr>
          <w:spacing w:val="-3"/>
        </w:rPr>
        <w:t>事故的，我们承担给付保险金的责任。</w:t>
      </w:r>
    </w:p>
    <w:p>
      <w:pPr>
        <w:pStyle w:val="BodyText"/>
        <w:spacing w:before="8"/>
        <w:rPr>
          <w:sz w:val="19"/>
        </w:rPr>
      </w:pPr>
    </w:p>
    <w:p>
      <w:pPr>
        <w:pStyle w:val="Heading2"/>
        <w:tabs>
          <w:tab w:pos="1377" w:val="left" w:leader="none"/>
        </w:tabs>
      </w:pPr>
      <w:r>
        <w:rPr/>
        <w:t>第十一</w:t>
      </w:r>
      <w:r>
        <w:rPr>
          <w:spacing w:val="-3"/>
        </w:rPr>
        <w:t>条</w:t>
        <w:tab/>
      </w:r>
      <w:r>
        <w:rPr/>
        <w:t>受益人的指定和变更</w:t>
      </w:r>
    </w:p>
    <w:p>
      <w:pPr>
        <w:pStyle w:val="BodyText"/>
        <w:spacing w:before="167"/>
        <w:ind w:left="538"/>
      </w:pPr>
      <w:r>
        <w:rPr/>
        <w:t>除另有约定外，本合同重大疾病保险金的受益人为被保险人本人。 </w:t>
      </w:r>
    </w:p>
    <w:p>
      <w:pPr>
        <w:pStyle w:val="BodyText"/>
        <w:spacing w:before="9"/>
        <w:rPr>
          <w:sz w:val="14"/>
        </w:rPr>
      </w:pPr>
    </w:p>
    <w:p>
      <w:pPr>
        <w:pStyle w:val="BodyText"/>
        <w:ind w:left="538"/>
      </w:pPr>
      <w:r>
        <w:rPr/>
        <w:t>您为与您有劳动关系的劳动者投保本保险的，不得指定被保险人及其近亲属以外的人为受益</w:t>
      </w:r>
    </w:p>
    <w:p>
      <w:pPr>
        <w:pStyle w:val="BodyText"/>
        <w:spacing w:before="8"/>
        <w:rPr>
          <w:sz w:val="12"/>
        </w:rPr>
      </w:pPr>
      <w:r>
        <w:rPr/>
        <w:pict>
          <v:line style="position:absolute;mso-position-horizontal-relative:page;mso-position-vertical-relative:paragraph;z-index:1264;mso-wrap-distance-left:0;mso-wrap-distance-right:0" from="89.903999pt,10.624193pt" to="233.923999pt,10.624193pt" stroked="true" strokeweight=".71997pt" strokecolor="#000000">
            <v:stroke dashstyle="solid"/>
            <w10:wrap type="topAndBottom"/>
          </v:line>
        </w:pict>
      </w:r>
    </w:p>
    <w:p>
      <w:pPr>
        <w:spacing w:line="218" w:lineRule="auto" w:before="12"/>
        <w:ind w:left="259" w:right="191" w:hanging="142"/>
        <w:jc w:val="left"/>
        <w:rPr>
          <w:sz w:val="18"/>
        </w:rPr>
      </w:pPr>
      <w:r>
        <w:rPr>
          <w:rFonts w:ascii="Calibri" w:eastAsia="Calibri"/>
          <w:b/>
          <w:position w:val="5"/>
          <w:sz w:val="12"/>
        </w:rPr>
        <w:t>9 </w:t>
      </w:r>
      <w:r>
        <w:rPr>
          <w:rFonts w:ascii="微软雅黑" w:eastAsia="微软雅黑" w:hint="eastAsia"/>
          <w:b/>
          <w:sz w:val="18"/>
        </w:rPr>
        <w:t>遗传性疾病</w:t>
      </w:r>
      <w:r>
        <w:rPr>
          <w:sz w:val="18"/>
        </w:rPr>
        <w:t>：指生殖细胞或受精卵的遗传物质（染色体和基因）发生突变或畸变所引起的疾病，通常具有由亲代传至后代的垂直传递的特征。</w:t>
      </w:r>
    </w:p>
    <w:p>
      <w:pPr>
        <w:spacing w:line="245" w:lineRule="exact" w:before="0"/>
        <w:ind w:left="118" w:right="0" w:firstLine="0"/>
        <w:jc w:val="left"/>
        <w:rPr>
          <w:sz w:val="18"/>
        </w:rPr>
      </w:pPr>
      <w:r>
        <w:rPr>
          <w:rFonts w:ascii="Calibri" w:eastAsia="Calibri"/>
          <w:b/>
          <w:position w:val="5"/>
          <w:sz w:val="12"/>
        </w:rPr>
        <w:t>10   </w:t>
      </w:r>
      <w:r>
        <w:rPr>
          <w:rFonts w:ascii="微软雅黑" w:eastAsia="微软雅黑" w:hint="eastAsia"/>
          <w:b/>
          <w:sz w:val="18"/>
        </w:rPr>
        <w:t>先天性畸形、变形或染色体异常</w:t>
      </w:r>
      <w:r>
        <w:rPr>
          <w:sz w:val="18"/>
        </w:rPr>
        <w:t>：指被保险人出生时就具有的畸形、变形或染色体异常。先天性畸形、变形或</w:t>
      </w:r>
    </w:p>
    <w:p>
      <w:pPr>
        <w:spacing w:line="246" w:lineRule="exact" w:before="0"/>
        <w:ind w:left="259" w:right="0" w:firstLine="0"/>
        <w:jc w:val="left"/>
        <w:rPr>
          <w:sz w:val="18"/>
        </w:rPr>
      </w:pPr>
      <w:r>
        <w:rPr>
          <w:sz w:val="18"/>
        </w:rPr>
        <w:t>染色体异常依照世界卫生组织《疾病和有关健康问题的国际统计分类》（</w:t>
      </w:r>
      <w:r>
        <w:rPr>
          <w:rFonts w:ascii="Calibri" w:eastAsia="Calibri"/>
          <w:sz w:val="18"/>
        </w:rPr>
        <w:t>ICD-10</w:t>
      </w:r>
      <w:r>
        <w:rPr>
          <w:sz w:val="18"/>
        </w:rPr>
        <w:t>）确定。</w:t>
      </w:r>
    </w:p>
    <w:p>
      <w:pPr>
        <w:spacing w:after="0" w:line="246" w:lineRule="exact"/>
        <w:jc w:val="left"/>
        <w:rPr>
          <w:sz w:val="18"/>
        </w:rPr>
        <w:sectPr>
          <w:footerReference w:type="default" r:id="rId14"/>
          <w:pgSz w:w="11910" w:h="16840"/>
          <w:pgMar w:footer="857" w:header="857" w:top="1040" w:bottom="1040" w:left="1680" w:right="1120"/>
          <w:pgNumType w:start="4"/>
        </w:sectPr>
      </w:pPr>
    </w:p>
    <w:p>
      <w:pPr>
        <w:pStyle w:val="BodyText"/>
        <w:spacing w:before="11"/>
        <w:rPr>
          <w:sz w:val="10"/>
        </w:rPr>
      </w:pPr>
    </w:p>
    <w:p>
      <w:pPr>
        <w:pStyle w:val="BodyText"/>
        <w:spacing w:before="36"/>
        <w:ind w:left="118"/>
      </w:pPr>
      <w:r>
        <w:rPr/>
        <w:t>人。 </w:t>
      </w:r>
    </w:p>
    <w:p>
      <w:pPr>
        <w:pStyle w:val="BodyText"/>
        <w:spacing w:before="10"/>
        <w:rPr>
          <w:sz w:val="14"/>
        </w:rPr>
      </w:pPr>
    </w:p>
    <w:p>
      <w:pPr>
        <w:pStyle w:val="BodyText"/>
        <w:spacing w:line="273" w:lineRule="auto"/>
        <w:ind w:left="118" w:right="218" w:firstLine="419"/>
      </w:pPr>
      <w:r>
        <w:rPr/>
        <w:t>受益人为多人时，可以确定受益顺序和受益份额；如果没有确定份额，各受益人按照相等份额享有受益权。 </w:t>
      </w:r>
    </w:p>
    <w:p>
      <w:pPr>
        <w:pStyle w:val="BodyText"/>
        <w:spacing w:before="163"/>
        <w:ind w:left="538"/>
      </w:pPr>
      <w:r>
        <w:rPr/>
        <w:t>被保险人为无民事行为能力人或限制民事行为能力人的，可以由其监护人指定受益人。</w:t>
      </w:r>
    </w:p>
    <w:p>
      <w:pPr>
        <w:pStyle w:val="BodyText"/>
        <w:spacing w:before="9"/>
        <w:rPr>
          <w:sz w:val="14"/>
        </w:rPr>
      </w:pPr>
    </w:p>
    <w:p>
      <w:pPr>
        <w:pStyle w:val="BodyText"/>
        <w:spacing w:line="273" w:lineRule="auto"/>
        <w:ind w:left="118" w:right="217" w:firstLine="419"/>
      </w:pPr>
      <w:r>
        <w:rPr/>
        <w:t>您或者被保险人可以变更受益人并书面通知我们。我们收到变更受益人的书面通知后，在保险单或其他保险凭证上批注或附贴批单。 </w:t>
      </w:r>
    </w:p>
    <w:p>
      <w:pPr>
        <w:pStyle w:val="BodyText"/>
        <w:spacing w:before="163"/>
        <w:ind w:left="538"/>
      </w:pPr>
      <w:r>
        <w:rPr/>
        <w:t>您在指定和变更受益人时，必须经过被保险人书面同意。 </w:t>
      </w:r>
    </w:p>
    <w:p>
      <w:pPr>
        <w:pStyle w:val="BodyText"/>
        <w:spacing w:before="12"/>
        <w:rPr>
          <w:sz w:val="11"/>
        </w:rPr>
      </w:pPr>
    </w:p>
    <w:p>
      <w:pPr>
        <w:pStyle w:val="BodyText"/>
        <w:spacing w:line="273" w:lineRule="auto" w:before="36"/>
        <w:ind w:left="118" w:right="218" w:firstLine="419"/>
      </w:pPr>
      <w:r>
        <w:rPr>
          <w:shd w:fill="D9D9D9" w:color="auto" w:val="clear"/>
        </w:rPr>
        <w:t>受益人故意造成被保险人死亡、伤残、疾病的，或者故意杀害被保险人未遂的，该受益人丧失受益权。</w:t>
      </w:r>
    </w:p>
    <w:p>
      <w:pPr>
        <w:pStyle w:val="BodyText"/>
        <w:spacing w:before="8"/>
        <w:rPr>
          <w:sz w:val="19"/>
        </w:rPr>
      </w:pPr>
    </w:p>
    <w:p>
      <w:pPr>
        <w:pStyle w:val="Heading2"/>
        <w:tabs>
          <w:tab w:pos="1377" w:val="left" w:leader="none"/>
        </w:tabs>
      </w:pPr>
      <w:r>
        <w:rPr/>
        <w:t>第十二</w:t>
      </w:r>
      <w:r>
        <w:rPr>
          <w:spacing w:val="-3"/>
        </w:rPr>
        <w:t>条</w:t>
        <w:tab/>
      </w:r>
      <w:r>
        <w:rPr/>
        <w:t>保险事故的通知</w:t>
      </w:r>
    </w:p>
    <w:p>
      <w:pPr>
        <w:pStyle w:val="BodyText"/>
        <w:spacing w:before="167"/>
        <w:ind w:left="538"/>
      </w:pPr>
      <w:r>
        <w:rPr/>
        <w:t>您或受益人知道保险事故后应当在十日内通知本公司。</w:t>
      </w:r>
    </w:p>
    <w:p>
      <w:pPr>
        <w:pStyle w:val="BodyText"/>
        <w:spacing w:before="12"/>
        <w:rPr>
          <w:sz w:val="11"/>
        </w:rPr>
      </w:pPr>
    </w:p>
    <w:p>
      <w:pPr>
        <w:pStyle w:val="BodyText"/>
        <w:spacing w:line="273" w:lineRule="auto" w:before="37"/>
        <w:ind w:left="118" w:right="111" w:firstLine="419"/>
      </w:pPr>
      <w:r>
        <w:rPr>
          <w:shd w:fill="D9D9D9" w:color="auto" w:val="clear"/>
        </w:rPr>
        <w:t>如果您或受益人故意或者因重大过失未及时通知，致使保险事故的性质、原因、损失程度等</w:t>
      </w:r>
      <w:r>
        <w:rPr>
          <w:spacing w:val="-111"/>
          <w:shd w:fill="D9D9D9" w:color="auto" w:val="clear"/>
        </w:rPr>
        <w:t>难</w:t>
      </w:r>
      <w:r>
        <w:rPr>
          <w:spacing w:val="-2"/>
          <w:shd w:fill="D9D9D9" w:color="auto" w:val="clear"/>
        </w:rPr>
        <w:t>以确定的，我们对无法确定的部分，不承担给付保险金的责任</w:t>
      </w:r>
      <w:r>
        <w:rPr>
          <w:spacing w:val="-1"/>
        </w:rPr>
        <w:t>，但我们通过其他途径已经及时知</w:t>
      </w:r>
      <w:r>
        <w:rPr>
          <w:spacing w:val="-5"/>
        </w:rPr>
        <w:t>道或者应当及时知道保险事故发生或者虽未及时通知但不影响我们确定保险事故的性质、原因、损</w:t>
      </w:r>
      <w:r>
        <w:rPr>
          <w:spacing w:val="-3"/>
        </w:rPr>
        <w:t>失程度的除外。</w:t>
      </w:r>
    </w:p>
    <w:p>
      <w:pPr>
        <w:pStyle w:val="BodyText"/>
        <w:spacing w:before="8"/>
        <w:rPr>
          <w:sz w:val="19"/>
        </w:rPr>
      </w:pPr>
    </w:p>
    <w:p>
      <w:pPr>
        <w:pStyle w:val="Heading2"/>
        <w:tabs>
          <w:tab w:pos="1377" w:val="left" w:leader="none"/>
        </w:tabs>
      </w:pPr>
      <w:r>
        <w:rPr/>
        <w:t>第十三</w:t>
      </w:r>
      <w:r>
        <w:rPr>
          <w:spacing w:val="-3"/>
        </w:rPr>
        <w:t>条</w:t>
        <w:tab/>
      </w:r>
      <w:r>
        <w:rPr/>
        <w:t>保险金的申请</w:t>
      </w:r>
    </w:p>
    <w:p>
      <w:pPr>
        <w:pStyle w:val="BodyText"/>
        <w:spacing w:before="167"/>
        <w:ind w:left="538"/>
      </w:pPr>
      <w:r>
        <w:rPr/>
        <w:t>一、重大疾病保险金给付的申请</w:t>
      </w:r>
    </w:p>
    <w:p>
      <w:pPr>
        <w:pStyle w:val="BodyText"/>
        <w:spacing w:before="9"/>
        <w:rPr>
          <w:sz w:val="14"/>
        </w:rPr>
      </w:pPr>
    </w:p>
    <w:p>
      <w:pPr>
        <w:pStyle w:val="BodyText"/>
        <w:ind w:left="538"/>
      </w:pPr>
      <w:r>
        <w:rPr/>
        <w:t>在申请重大疾病保险金时，受益人须填写保险金给付申请书，并提供下列证明和资料：</w:t>
      </w:r>
    </w:p>
    <w:p>
      <w:pPr>
        <w:pStyle w:val="BodyText"/>
        <w:spacing w:before="36"/>
        <w:ind w:left="538"/>
      </w:pPr>
      <w:r>
        <w:rPr/>
        <w:t>（一）投保人证明及被保险人的个人保险凭证；</w:t>
      </w:r>
    </w:p>
    <w:p>
      <w:pPr>
        <w:pStyle w:val="BodyText"/>
        <w:spacing w:before="36"/>
        <w:ind w:left="538"/>
      </w:pPr>
      <w:r>
        <w:rPr/>
        <w:t>（二）被保险人的有效身份证件；</w:t>
      </w:r>
    </w:p>
    <w:p>
      <w:pPr>
        <w:pStyle w:val="BodyText"/>
        <w:spacing w:line="273" w:lineRule="auto" w:before="36"/>
        <w:ind w:left="118" w:right="216" w:firstLine="419"/>
      </w:pPr>
      <w:r>
        <w:rPr/>
        <w:t>（三）由本公司认可的医院出具的可证明被保险人患本合同所定义的重大疾病的诊断证明书和诊断所患疾病必需的检查报告；</w:t>
      </w:r>
    </w:p>
    <w:p>
      <w:pPr>
        <w:pStyle w:val="BodyText"/>
        <w:spacing w:before="7"/>
        <w:ind w:left="538"/>
      </w:pPr>
      <w:r>
        <w:rPr/>
        <w:t>（四）受益人所能提供的与确认保险事故的性质、原因等相关的其他证明、资料。</w:t>
      </w:r>
    </w:p>
    <w:p>
      <w:pPr>
        <w:pStyle w:val="BodyText"/>
        <w:spacing w:before="9"/>
        <w:rPr>
          <w:sz w:val="14"/>
        </w:rPr>
      </w:pPr>
    </w:p>
    <w:p>
      <w:pPr>
        <w:pStyle w:val="BodyText"/>
        <w:spacing w:line="408" w:lineRule="auto" w:before="1"/>
        <w:ind w:left="538" w:right="219"/>
      </w:pPr>
      <w:r>
        <w:rPr>
          <w:spacing w:val="-3"/>
        </w:rPr>
        <w:t>受益人提交的证明和资料不完整的，我们将及时一次性通知需补充提供的有关证明和资料。</w:t>
      </w:r>
      <w:r>
        <w:rPr>
          <w:spacing w:val="-15"/>
        </w:rPr>
        <w:t>二、我们在收到保险金给付申请书及合同约定的证明和资料后，将在五个工作日内作出核定；</w:t>
      </w:r>
    </w:p>
    <w:p>
      <w:pPr>
        <w:pStyle w:val="BodyText"/>
        <w:spacing w:line="165" w:lineRule="exact"/>
        <w:ind w:left="118"/>
      </w:pPr>
      <w:r>
        <w:rPr/>
        <w:t>情形复杂的，在三十日内作出核定。对属于保险责任的，我们在与受益人达成给付保险金的协议</w:t>
      </w:r>
    </w:p>
    <w:p>
      <w:pPr>
        <w:pStyle w:val="BodyText"/>
        <w:spacing w:before="37"/>
        <w:ind w:left="118"/>
      </w:pPr>
      <w:r>
        <w:rPr/>
        <w:t>后十日内，履行给付保险金义务。</w:t>
      </w:r>
    </w:p>
    <w:p>
      <w:pPr>
        <w:pStyle w:val="BodyText"/>
        <w:spacing w:before="9"/>
        <w:rPr>
          <w:sz w:val="14"/>
        </w:rPr>
      </w:pPr>
    </w:p>
    <w:p>
      <w:pPr>
        <w:pStyle w:val="BodyText"/>
        <w:spacing w:line="273" w:lineRule="auto"/>
        <w:ind w:left="118" w:right="218" w:firstLine="419"/>
        <w:jc w:val="both"/>
      </w:pPr>
      <w:r>
        <w:rPr/>
        <w:t>若我们在收到保险金给付申请书及上述有关证明和资料后第三十日后仍未做出核定，除支付保险金外，我们将从第三十一日起按超过天数赔偿受益人因此受到的利息损失。利息按照我们确定的利率按单利计算，且保证该利率不低于中国人民银行公布的同期金融机构人民币活期存款基准利率。若我们要求您、被保险人或者受益人补充提供有关证明和资料的，则上述的三十日不包括补充提供有关证明和资料的期间。</w:t>
      </w:r>
    </w:p>
    <w:p>
      <w:pPr>
        <w:pStyle w:val="BodyText"/>
        <w:spacing w:line="273" w:lineRule="auto" w:before="163"/>
        <w:ind w:left="118" w:right="217" w:firstLine="419"/>
      </w:pPr>
      <w:r>
        <w:rPr/>
        <w:t>对不属于保险责任的，我们自作出核定之日起三日内向受益人发出拒绝给付保险金通知书并说明理由。</w:t>
      </w:r>
    </w:p>
    <w:p>
      <w:pPr>
        <w:pStyle w:val="BodyText"/>
        <w:spacing w:line="273" w:lineRule="auto" w:before="163"/>
        <w:ind w:left="118" w:right="216" w:firstLine="419"/>
        <w:jc w:val="both"/>
      </w:pPr>
      <w:r>
        <w:rPr/>
        <w:t>我们在收到保险金给付申请书及有关证明和资料之日起六十日内，对给付保险金的数额不能确定的，根据已有证明和资料可以确定的数额先予支付；我们最终确定给付保险金的数额后，将支付相应的差额。</w:t>
      </w:r>
    </w:p>
    <w:p>
      <w:pPr>
        <w:spacing w:after="0" w:line="273" w:lineRule="auto"/>
        <w:jc w:val="both"/>
        <w:sectPr>
          <w:pgSz w:w="11910" w:h="16840"/>
          <w:pgMar w:header="857" w:footer="857" w:top="1040" w:bottom="1040" w:left="1680" w:right="1020"/>
        </w:sectPr>
      </w:pPr>
    </w:p>
    <w:p>
      <w:pPr>
        <w:pStyle w:val="BodyText"/>
        <w:spacing w:before="11"/>
        <w:rPr>
          <w:sz w:val="10"/>
        </w:rPr>
      </w:pPr>
    </w:p>
    <w:p>
      <w:pPr>
        <w:pStyle w:val="BodyText"/>
        <w:spacing w:line="273" w:lineRule="auto" w:before="36"/>
        <w:ind w:left="118" w:right="117" w:firstLine="419"/>
      </w:pPr>
      <w:r>
        <w:rPr/>
        <w:t>三、受益人向我们请求给付保险金的诉讼时效期间为两年，自其知道或者应当知道保险事故发生之日起计算。</w:t>
      </w:r>
    </w:p>
    <w:p>
      <w:pPr>
        <w:pStyle w:val="BodyText"/>
        <w:rPr>
          <w:sz w:val="20"/>
        </w:rPr>
      </w:pPr>
    </w:p>
    <w:p>
      <w:pPr>
        <w:pStyle w:val="Heading2"/>
        <w:tabs>
          <w:tab w:pos="842" w:val="left" w:leader="none"/>
        </w:tabs>
        <w:spacing w:before="156"/>
        <w:ind w:left="0" w:right="3"/>
        <w:jc w:val="center"/>
      </w:pPr>
      <w:r>
        <w:rPr/>
        <w:t>第五章</w:t>
        <w:tab/>
        <w:t>一般约定</w:t>
      </w:r>
    </w:p>
    <w:p>
      <w:pPr>
        <w:pStyle w:val="BodyText"/>
        <w:spacing w:before="2"/>
        <w:rPr>
          <w:rFonts w:ascii="微软雅黑"/>
          <w:b/>
          <w:sz w:val="14"/>
        </w:rPr>
      </w:pPr>
    </w:p>
    <w:p>
      <w:pPr>
        <w:tabs>
          <w:tab w:pos="1377" w:val="left" w:leader="none"/>
        </w:tabs>
        <w:spacing w:before="0"/>
        <w:ind w:left="118" w:right="0" w:firstLine="0"/>
        <w:jc w:val="left"/>
        <w:rPr>
          <w:rFonts w:ascii="微软雅黑" w:eastAsia="微软雅黑" w:hint="eastAsia"/>
          <w:b/>
          <w:sz w:val="21"/>
        </w:rPr>
      </w:pPr>
      <w:r>
        <w:rPr>
          <w:rFonts w:ascii="微软雅黑" w:eastAsia="微软雅黑" w:hint="eastAsia"/>
          <w:b/>
          <w:sz w:val="21"/>
        </w:rPr>
        <w:t>第十四</w:t>
      </w:r>
      <w:r>
        <w:rPr>
          <w:rFonts w:ascii="微软雅黑" w:eastAsia="微软雅黑" w:hint="eastAsia"/>
          <w:b/>
          <w:spacing w:val="-3"/>
          <w:sz w:val="21"/>
        </w:rPr>
        <w:t>条</w:t>
        <w:tab/>
      </w:r>
      <w:r>
        <w:rPr>
          <w:rFonts w:ascii="微软雅黑" w:eastAsia="微软雅黑" w:hint="eastAsia"/>
          <w:b/>
          <w:sz w:val="21"/>
        </w:rPr>
        <w:t>被保险人的变动</w:t>
      </w:r>
    </w:p>
    <w:p>
      <w:pPr>
        <w:pStyle w:val="BodyText"/>
        <w:spacing w:line="273" w:lineRule="auto" w:before="167"/>
        <w:ind w:left="118" w:right="116" w:firstLine="419"/>
      </w:pPr>
      <w:r>
        <w:rPr/>
        <w:t>一、您因在职人员变动或其他原因需要增加被保险人的，应以书面形式或我们认可的其他形式通知我们，我们在审核同意并收取保险费后开始承担保险责任。</w:t>
      </w:r>
    </w:p>
    <w:p>
      <w:pPr>
        <w:pStyle w:val="BodyText"/>
        <w:spacing w:line="273" w:lineRule="auto" w:before="163"/>
        <w:ind w:left="118" w:right="116" w:firstLine="419"/>
      </w:pPr>
      <w:r>
        <w:rPr/>
        <w:t>二、您因被保险人离职或其他原因需要减少被保险人的，应以书面形式或我们认可的其他形式通知我们，同时应提交下列证明和资料：</w:t>
      </w:r>
    </w:p>
    <w:p>
      <w:pPr>
        <w:pStyle w:val="BodyText"/>
        <w:spacing w:line="260" w:lineRule="exact"/>
        <w:ind w:left="538"/>
      </w:pPr>
      <w:r>
        <w:rPr/>
        <w:t>（一）保险合同原件或其他保险凭证； </w:t>
      </w:r>
    </w:p>
    <w:p>
      <w:pPr>
        <w:pStyle w:val="BodyText"/>
        <w:spacing w:line="272" w:lineRule="exact"/>
        <w:ind w:left="538"/>
      </w:pPr>
      <w:r>
        <w:rPr/>
        <w:t>（二）减少被保险人申请书； </w:t>
      </w:r>
    </w:p>
    <w:p>
      <w:pPr>
        <w:pStyle w:val="BodyText"/>
        <w:spacing w:line="272" w:lineRule="exact"/>
        <w:ind w:left="538"/>
      </w:pPr>
      <w:r>
        <w:rPr/>
        <w:t>（三）该被保险人的有效身份证件； </w:t>
      </w:r>
    </w:p>
    <w:p>
      <w:pPr>
        <w:pStyle w:val="BodyText"/>
        <w:spacing w:line="273" w:lineRule="exact"/>
        <w:ind w:left="538"/>
      </w:pPr>
      <w:r>
        <w:rPr/>
        <w:t>（四）您提供的书面的已通知被保险人退保事宜的有效证明。 </w:t>
      </w:r>
    </w:p>
    <w:p>
      <w:pPr>
        <w:pStyle w:val="BodyText"/>
        <w:spacing w:line="312" w:lineRule="exact" w:before="169"/>
        <w:ind w:left="118" w:right="116" w:firstLine="419"/>
        <w:jc w:val="both"/>
      </w:pPr>
      <w:r>
        <w:rPr/>
        <w:t>本合同对该被保险人所承担的保险责任自收到通知之日二十四时起终止。如您要求的退保日</w:t>
      </w:r>
      <w:r>
        <w:rPr>
          <w:spacing w:val="-3"/>
        </w:rPr>
        <w:t>期在通知到达日之后，则本合同对该被保险人所承担的保险责任自该退保日二十四时起终止。若该被保险人在本合同保险期间内未发生理赔，我们将向您退还本合同该被保险人对应的</w:t>
      </w:r>
      <w:r>
        <w:rPr>
          <w:rFonts w:ascii="微软雅黑" w:eastAsia="微软雅黑" w:hint="eastAsia"/>
          <w:b/>
        </w:rPr>
        <w:t>未满期净保险费</w:t>
      </w:r>
      <w:r>
        <w:rPr>
          <w:rFonts w:ascii="微软雅黑" w:eastAsia="微软雅黑" w:hint="eastAsia"/>
          <w:b/>
          <w:spacing w:val="-12"/>
          <w:position w:val="11"/>
          <w:sz w:val="11"/>
        </w:rPr>
        <w:t>11</w:t>
      </w:r>
      <w:r>
        <w:rPr>
          <w:spacing w:val="-12"/>
        </w:rPr>
        <w:t>；</w:t>
      </w:r>
      <w:r>
        <w:rPr>
          <w:spacing w:val="-5"/>
          <w:shd w:fill="D9D9D9" w:color="auto" w:val="clear"/>
        </w:rPr>
        <w:t>若该被保险人在本合同保险期间内曾发生理赔，我们将不退还本合同该被保险人对应的未满</w:t>
      </w:r>
      <w:r>
        <w:rPr>
          <w:spacing w:val="-43"/>
          <w:shd w:fill="D9D9D9" w:color="auto" w:val="clear"/>
        </w:rPr>
        <w:t>期净保险费</w:t>
      </w:r>
      <w:r>
        <w:rPr/>
        <w:t>。</w:t>
      </w:r>
    </w:p>
    <w:p>
      <w:pPr>
        <w:pStyle w:val="BodyText"/>
        <w:spacing w:before="5"/>
        <w:rPr>
          <w:sz w:val="19"/>
        </w:rPr>
      </w:pPr>
    </w:p>
    <w:p>
      <w:pPr>
        <w:pStyle w:val="Heading2"/>
        <w:tabs>
          <w:tab w:pos="1377" w:val="left" w:leader="none"/>
        </w:tabs>
      </w:pPr>
      <w:r>
        <w:rPr/>
        <w:t>第十五</w:t>
      </w:r>
      <w:r>
        <w:rPr>
          <w:spacing w:val="-3"/>
        </w:rPr>
        <w:t>条</w:t>
        <w:tab/>
      </w:r>
      <w:r>
        <w:rPr/>
        <w:t>年龄确定与错误处理</w:t>
      </w:r>
    </w:p>
    <w:p>
      <w:pPr>
        <w:pStyle w:val="BodyText"/>
        <w:spacing w:before="105"/>
        <w:ind w:left="538"/>
      </w:pPr>
      <w:r>
        <w:rPr/>
        <w:t>一、被保险人的投保年龄以法定证件登记的</w:t>
      </w:r>
      <w:r>
        <w:rPr>
          <w:rFonts w:ascii="微软雅黑" w:eastAsia="微软雅黑" w:hint="eastAsia"/>
          <w:b/>
        </w:rPr>
        <w:t>周岁</w:t>
      </w:r>
      <w:r>
        <w:rPr>
          <w:rFonts w:ascii="Calibri" w:eastAsia="Calibri"/>
          <w:b/>
          <w:position w:val="7"/>
          <w:sz w:val="14"/>
        </w:rPr>
        <w:t>12</w:t>
      </w:r>
      <w:r>
        <w:rPr/>
        <w:t>计算，且须符合我们当时的投保规定。</w:t>
      </w:r>
    </w:p>
    <w:p>
      <w:pPr>
        <w:pStyle w:val="BodyText"/>
        <w:spacing w:line="273" w:lineRule="auto" w:before="167"/>
        <w:ind w:left="118" w:right="118" w:firstLine="419"/>
      </w:pPr>
      <w:r>
        <w:rPr/>
        <w:t>二、您在申请投保时，应将与有效身份证件相符的被保险人的出生日期在投保单上填明，如果发生错误按照下列方式办理：</w:t>
      </w:r>
    </w:p>
    <w:p>
      <w:pPr>
        <w:pStyle w:val="BodyText"/>
        <w:spacing w:before="9"/>
        <w:rPr>
          <w:sz w:val="9"/>
        </w:rPr>
      </w:pPr>
    </w:p>
    <w:p>
      <w:pPr>
        <w:pStyle w:val="BodyText"/>
        <w:spacing w:line="273" w:lineRule="auto" w:before="36"/>
        <w:ind w:left="118" w:right="116" w:firstLine="419"/>
        <w:jc w:val="both"/>
      </w:pPr>
      <w:r>
        <w:rPr/>
        <w:t>（一）</w:t>
      </w:r>
      <w:r>
        <w:rPr>
          <w:shd w:fill="D9D9D9" w:color="auto" w:val="clear"/>
        </w:rPr>
        <w:t>您申报的被保险人年龄不真实，并且其真实年龄不符合我们投保规定的，我们有权解除合同或取消该</w:t>
      </w:r>
      <w:r>
        <w:rPr>
          <w:spacing w:val="-212"/>
          <w:shd w:fill="D9D9D9" w:color="auto" w:val="clear"/>
        </w:rPr>
        <w:t>被</w:t>
      </w:r>
      <w:r>
        <w:rPr>
          <w:spacing w:val="-3"/>
          <w:shd w:fill="D9D9D9" w:color="auto" w:val="clear"/>
        </w:rPr>
        <w:t>保险人的保险资格，并向您退还本合同或该被保险人对应的未满期净保险费。</w:t>
      </w:r>
      <w:r>
        <w:rPr/>
        <w:t>我</w:t>
      </w:r>
      <w:r>
        <w:rPr>
          <w:spacing w:val="-3"/>
        </w:rPr>
        <w:t>们行使合同解除权适用第十条“我们合同解除权的限制”的规定。</w:t>
      </w:r>
    </w:p>
    <w:p>
      <w:pPr>
        <w:pStyle w:val="BodyText"/>
        <w:spacing w:before="9"/>
        <w:rPr>
          <w:sz w:val="9"/>
        </w:rPr>
      </w:pPr>
    </w:p>
    <w:p>
      <w:pPr>
        <w:pStyle w:val="BodyText"/>
        <w:spacing w:line="273" w:lineRule="auto" w:before="36"/>
        <w:ind w:left="118" w:right="116" w:firstLine="419"/>
        <w:jc w:val="both"/>
      </w:pPr>
      <w:r>
        <w:rPr/>
        <w:t>（二）</w:t>
      </w:r>
      <w:r>
        <w:rPr>
          <w:shd w:fill="D9D9D9" w:color="auto" w:val="clear"/>
        </w:rPr>
        <w:t>您申报的被保险人年龄不真实，致使您实付保险费少于应付保险费的，我们有权更正</w:t>
      </w:r>
      <w:r>
        <w:rPr>
          <w:spacing w:val="-3"/>
          <w:shd w:fill="D9D9D9" w:color="auto" w:val="clear"/>
        </w:rPr>
        <w:t>并要求您补交保险费。若已经发生保险事故，在给付保险金时按实付保险费和应付保险费的比例</w:t>
      </w:r>
      <w:r>
        <w:rPr>
          <w:spacing w:val="-210"/>
          <w:shd w:fill="D9D9D9" w:color="auto" w:val="clear"/>
        </w:rPr>
        <w:t>给</w:t>
      </w:r>
      <w:r>
        <w:rPr>
          <w:shd w:fill="D9D9D9" w:color="auto" w:val="clear"/>
        </w:rPr>
        <w:t>付。</w:t>
      </w:r>
    </w:p>
    <w:p>
      <w:pPr>
        <w:pStyle w:val="BodyText"/>
        <w:spacing w:line="273" w:lineRule="auto" w:before="164"/>
        <w:ind w:left="118" w:right="116" w:firstLine="419"/>
        <w:jc w:val="both"/>
      </w:pPr>
      <w:r>
        <w:rPr/>
        <w:t>（三）您申报的被保险人年龄不真实，致使您实付保险费多于应付保险费的，我们会将多收的保险费无息退还给您。</w:t>
      </w:r>
    </w:p>
    <w:p>
      <w:pPr>
        <w:tabs>
          <w:tab w:pos="1377" w:val="left" w:leader="none"/>
        </w:tabs>
        <w:spacing w:line="489" w:lineRule="auto" w:before="163"/>
        <w:ind w:left="118" w:right="998" w:firstLine="419"/>
        <w:jc w:val="left"/>
        <w:rPr>
          <w:rFonts w:ascii="微软雅黑" w:eastAsia="微软雅黑" w:hint="eastAsia"/>
          <w:b/>
          <w:sz w:val="21"/>
        </w:rPr>
      </w:pPr>
      <w:r>
        <w:rPr>
          <w:sz w:val="21"/>
        </w:rPr>
        <w:t>我们</w:t>
      </w:r>
      <w:r>
        <w:rPr>
          <w:spacing w:val="-3"/>
          <w:sz w:val="21"/>
        </w:rPr>
        <w:t>在</w:t>
      </w:r>
      <w:r>
        <w:rPr>
          <w:sz w:val="21"/>
        </w:rPr>
        <w:t>收</w:t>
      </w:r>
      <w:r>
        <w:rPr>
          <w:spacing w:val="-3"/>
          <w:sz w:val="21"/>
        </w:rPr>
        <w:t>到</w:t>
      </w:r>
      <w:r>
        <w:rPr>
          <w:sz w:val="21"/>
        </w:rPr>
        <w:t>保</w:t>
      </w:r>
      <w:r>
        <w:rPr>
          <w:spacing w:val="-3"/>
          <w:sz w:val="21"/>
        </w:rPr>
        <w:t>险</w:t>
      </w:r>
      <w:r>
        <w:rPr>
          <w:sz w:val="21"/>
        </w:rPr>
        <w:t>金</w:t>
      </w:r>
      <w:r>
        <w:rPr>
          <w:spacing w:val="-3"/>
          <w:sz w:val="21"/>
        </w:rPr>
        <w:t>给</w:t>
      </w:r>
      <w:r>
        <w:rPr>
          <w:sz w:val="21"/>
        </w:rPr>
        <w:t>付</w:t>
      </w:r>
      <w:r>
        <w:rPr>
          <w:spacing w:val="-3"/>
          <w:sz w:val="21"/>
        </w:rPr>
        <w:t>申</w:t>
      </w:r>
      <w:r>
        <w:rPr>
          <w:sz w:val="21"/>
        </w:rPr>
        <w:t>请书</w:t>
      </w:r>
      <w:r>
        <w:rPr>
          <w:spacing w:val="-3"/>
          <w:sz w:val="21"/>
        </w:rPr>
        <w:t>时</w:t>
      </w:r>
      <w:r>
        <w:rPr>
          <w:sz w:val="21"/>
        </w:rPr>
        <w:t>，</w:t>
      </w:r>
      <w:r>
        <w:rPr>
          <w:spacing w:val="-3"/>
          <w:sz w:val="21"/>
        </w:rPr>
        <w:t>有</w:t>
      </w:r>
      <w:r>
        <w:rPr>
          <w:sz w:val="21"/>
        </w:rPr>
        <w:t>权</w:t>
      </w:r>
      <w:r>
        <w:rPr>
          <w:spacing w:val="-3"/>
          <w:sz w:val="21"/>
        </w:rPr>
        <w:t>要</w:t>
      </w:r>
      <w:r>
        <w:rPr>
          <w:sz w:val="21"/>
        </w:rPr>
        <w:t>求</w:t>
      </w:r>
      <w:r>
        <w:rPr>
          <w:spacing w:val="-3"/>
          <w:sz w:val="21"/>
        </w:rPr>
        <w:t>申</w:t>
      </w:r>
      <w:r>
        <w:rPr>
          <w:sz w:val="21"/>
        </w:rPr>
        <w:t>请</w:t>
      </w:r>
      <w:r>
        <w:rPr>
          <w:spacing w:val="-3"/>
          <w:sz w:val="21"/>
        </w:rPr>
        <w:t>人</w:t>
      </w:r>
      <w:r>
        <w:rPr>
          <w:sz w:val="21"/>
        </w:rPr>
        <w:t>出具</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z w:val="21"/>
        </w:rPr>
        <w:t>证</w:t>
      </w:r>
      <w:r>
        <w:rPr>
          <w:spacing w:val="-3"/>
          <w:sz w:val="21"/>
        </w:rPr>
        <w:t>明</w:t>
      </w:r>
      <w:r>
        <w:rPr>
          <w:sz w:val="21"/>
        </w:rPr>
        <w:t>文件。</w:t>
      </w:r>
      <w:r>
        <w:rPr>
          <w:rFonts w:ascii="微软雅黑" w:eastAsia="微软雅黑" w:hint="eastAsia"/>
          <w:b/>
          <w:sz w:val="21"/>
        </w:rPr>
        <w:t>第十六</w:t>
      </w:r>
      <w:r>
        <w:rPr>
          <w:rFonts w:ascii="微软雅黑" w:eastAsia="微软雅黑" w:hint="eastAsia"/>
          <w:b/>
          <w:spacing w:val="-3"/>
          <w:sz w:val="21"/>
        </w:rPr>
        <w:t>条</w:t>
        <w:tab/>
      </w:r>
      <w:r>
        <w:rPr>
          <w:rFonts w:ascii="微软雅黑" w:eastAsia="微软雅黑" w:hint="eastAsia"/>
          <w:b/>
          <w:sz w:val="21"/>
        </w:rPr>
        <w:t>合同内容的变更</w:t>
      </w:r>
    </w:p>
    <w:p>
      <w:pPr>
        <w:pStyle w:val="BodyText"/>
        <w:spacing w:before="11"/>
        <w:rPr>
          <w:rFonts w:ascii="微软雅黑"/>
          <w:b/>
          <w:sz w:val="12"/>
        </w:rPr>
      </w:pPr>
      <w:r>
        <w:rPr/>
        <w:pict>
          <v:line style="position:absolute;mso-position-horizontal-relative:page;mso-position-vertical-relative:paragraph;z-index:1288;mso-wrap-distance-left:0;mso-wrap-distance-right:0" from="89.903999pt,13.284263pt" to="233.923999pt,13.284263pt" stroked="true" strokeweight=".72003pt" strokecolor="#000000">
            <v:stroke dashstyle="solid"/>
            <w10:wrap type="topAndBottom"/>
          </v:line>
        </w:pict>
      </w:r>
    </w:p>
    <w:p>
      <w:pPr>
        <w:spacing w:line="225" w:lineRule="auto" w:before="3"/>
        <w:ind w:left="118" w:right="126" w:firstLine="0"/>
        <w:jc w:val="left"/>
        <w:rPr>
          <w:sz w:val="18"/>
        </w:rPr>
      </w:pPr>
      <w:r>
        <w:rPr>
          <w:rFonts w:ascii="Calibri" w:hAnsi="Calibri" w:eastAsia="Calibri"/>
          <w:b/>
          <w:position w:val="5"/>
          <w:sz w:val="12"/>
        </w:rPr>
        <w:t>11 </w:t>
      </w:r>
      <w:r>
        <w:rPr>
          <w:rFonts w:ascii="微软雅黑" w:hAnsi="微软雅黑" w:eastAsia="微软雅黑" w:hint="eastAsia"/>
          <w:b/>
          <w:sz w:val="18"/>
        </w:rPr>
        <w:t>未满期净保险费</w:t>
      </w:r>
      <w:r>
        <w:rPr>
          <w:spacing w:val="-1"/>
          <w:sz w:val="18"/>
        </w:rPr>
        <w:t>：若首次投保或非连续投保时，其计算公式为“保险费</w:t>
      </w:r>
      <w:r>
        <w:rPr>
          <w:sz w:val="18"/>
        </w:rPr>
        <w:t>×（1-25%）×（1-保单经过日数/保险期间的日数</w:t>
      </w:r>
      <w:r>
        <w:rPr>
          <w:spacing w:val="-92"/>
          <w:sz w:val="18"/>
        </w:rPr>
        <w:t>）”</w:t>
      </w:r>
      <w:r>
        <w:rPr>
          <w:spacing w:val="-6"/>
          <w:sz w:val="18"/>
        </w:rPr>
        <w:t>，经过日数不足 </w:t>
      </w:r>
      <w:r>
        <w:rPr>
          <w:sz w:val="18"/>
        </w:rPr>
        <w:t>1</w:t>
      </w:r>
      <w:r>
        <w:rPr>
          <w:spacing w:val="-19"/>
          <w:sz w:val="18"/>
        </w:rPr>
        <w:t> 日的按 </w:t>
      </w:r>
      <w:r>
        <w:rPr>
          <w:sz w:val="18"/>
        </w:rPr>
        <w:t>1</w:t>
      </w:r>
      <w:r>
        <w:rPr>
          <w:spacing w:val="-7"/>
          <w:sz w:val="18"/>
        </w:rPr>
        <w:t> 日计算。若连续投保时，其计算公式为“保险费</w:t>
      </w:r>
      <w:r>
        <w:rPr>
          <w:sz w:val="18"/>
        </w:rPr>
        <w:t>×（</w:t>
      </w:r>
      <w:r>
        <w:rPr>
          <w:spacing w:val="0"/>
          <w:sz w:val="18"/>
        </w:rPr>
        <w:t>1-</w:t>
      </w:r>
      <w:r>
        <w:rPr>
          <w:spacing w:val="-2"/>
          <w:sz w:val="18"/>
        </w:rPr>
        <w:t>2</w:t>
      </w:r>
      <w:r>
        <w:rPr>
          <w:spacing w:val="0"/>
          <w:sz w:val="18"/>
        </w:rPr>
        <w:t>2%</w:t>
      </w:r>
      <w:r>
        <w:rPr>
          <w:sz w:val="18"/>
        </w:rPr>
        <w:t>）×</w:t>
      </w:r>
      <w:r>
        <w:rPr>
          <w:spacing w:val="-3"/>
          <w:sz w:val="18"/>
        </w:rPr>
        <w:t>（</w:t>
      </w:r>
      <w:r>
        <w:rPr>
          <w:spacing w:val="0"/>
          <w:sz w:val="18"/>
        </w:rPr>
        <w:t>1-</w:t>
      </w:r>
      <w:r>
        <w:rPr>
          <w:sz w:val="18"/>
        </w:rPr>
        <w:t>保</w:t>
      </w:r>
      <w:r>
        <w:rPr>
          <w:spacing w:val="-1"/>
          <w:sz w:val="18"/>
        </w:rPr>
        <w:t>单经过日数</w:t>
      </w:r>
      <w:r>
        <w:rPr>
          <w:spacing w:val="0"/>
          <w:sz w:val="18"/>
        </w:rPr>
        <w:t>/</w:t>
      </w:r>
      <w:r>
        <w:rPr>
          <w:sz w:val="18"/>
        </w:rPr>
        <w:t>保险期间的日数</w:t>
      </w:r>
      <w:r>
        <w:rPr>
          <w:spacing w:val="-92"/>
          <w:sz w:val="18"/>
        </w:rPr>
        <w:t>）</w:t>
      </w:r>
      <w:r>
        <w:rPr>
          <w:spacing w:val="-17"/>
          <w:sz w:val="18"/>
        </w:rPr>
        <w:t>”，经过日数不足 </w:t>
      </w:r>
      <w:r>
        <w:rPr>
          <w:sz w:val="18"/>
        </w:rPr>
        <w:t>1</w:t>
      </w:r>
      <w:r>
        <w:rPr>
          <w:spacing w:val="-19"/>
          <w:sz w:val="18"/>
        </w:rPr>
        <w:t> 日的按 </w:t>
      </w:r>
      <w:r>
        <w:rPr>
          <w:sz w:val="18"/>
        </w:rPr>
        <w:t>1</w:t>
      </w:r>
      <w:r>
        <w:rPr>
          <w:spacing w:val="-10"/>
          <w:sz w:val="18"/>
        </w:rPr>
        <w:t> 日计算。</w:t>
      </w:r>
    </w:p>
    <w:p>
      <w:pPr>
        <w:spacing w:line="244" w:lineRule="exact" w:before="0"/>
        <w:ind w:left="118" w:right="0" w:firstLine="0"/>
        <w:jc w:val="left"/>
        <w:rPr>
          <w:sz w:val="18"/>
        </w:rPr>
      </w:pPr>
      <w:r>
        <w:rPr>
          <w:rFonts w:ascii="Calibri" w:eastAsia="Calibri"/>
          <w:b/>
          <w:position w:val="5"/>
          <w:sz w:val="12"/>
        </w:rPr>
        <w:t>12   </w:t>
      </w:r>
      <w:r>
        <w:rPr>
          <w:rFonts w:ascii="微软雅黑" w:eastAsia="微软雅黑" w:hint="eastAsia"/>
          <w:b/>
          <w:sz w:val="18"/>
        </w:rPr>
        <w:t>周岁</w:t>
      </w:r>
      <w:r>
        <w:rPr>
          <w:sz w:val="18"/>
        </w:rPr>
        <w:t>：指以法定身份证明文件中记载的出生日期为计算基础计算的年龄，自出生之日起为零周岁，每经过一年</w:t>
      </w:r>
    </w:p>
    <w:p>
      <w:pPr>
        <w:spacing w:line="235" w:lineRule="exact" w:before="0"/>
        <w:ind w:left="259" w:right="0" w:firstLine="0"/>
        <w:jc w:val="left"/>
        <w:rPr>
          <w:sz w:val="18"/>
        </w:rPr>
      </w:pPr>
      <w:r>
        <w:rPr>
          <w:spacing w:val="-3"/>
          <w:sz w:val="18"/>
        </w:rPr>
        <w:t>增加一岁，不足一年的不计。例如，出生日期为 </w:t>
      </w:r>
      <w:r>
        <w:rPr>
          <w:rFonts w:ascii="Calibri" w:eastAsia="Calibri"/>
          <w:sz w:val="18"/>
        </w:rPr>
        <w:t>2010 </w:t>
      </w:r>
      <w:r>
        <w:rPr>
          <w:spacing w:val="-23"/>
          <w:sz w:val="18"/>
        </w:rPr>
        <w:t>年 </w:t>
      </w:r>
      <w:r>
        <w:rPr>
          <w:rFonts w:ascii="Calibri" w:eastAsia="Calibri"/>
          <w:sz w:val="18"/>
        </w:rPr>
        <w:t>10 </w:t>
      </w:r>
      <w:r>
        <w:rPr>
          <w:spacing w:val="-23"/>
          <w:sz w:val="18"/>
        </w:rPr>
        <w:t>月 </w:t>
      </w:r>
      <w:r>
        <w:rPr>
          <w:rFonts w:ascii="Calibri" w:eastAsia="Calibri"/>
          <w:sz w:val="18"/>
        </w:rPr>
        <w:t>1 </w:t>
      </w:r>
      <w:r>
        <w:rPr>
          <w:sz w:val="18"/>
        </w:rPr>
        <w:t>日，</w:t>
      </w:r>
      <w:r>
        <w:rPr>
          <w:rFonts w:ascii="Calibri" w:eastAsia="Calibri"/>
          <w:sz w:val="18"/>
        </w:rPr>
        <w:t>2010 </w:t>
      </w:r>
      <w:r>
        <w:rPr>
          <w:spacing w:val="-23"/>
          <w:sz w:val="18"/>
        </w:rPr>
        <w:t>年 </w:t>
      </w:r>
      <w:r>
        <w:rPr>
          <w:rFonts w:ascii="Calibri" w:eastAsia="Calibri"/>
          <w:sz w:val="18"/>
        </w:rPr>
        <w:t>10 </w:t>
      </w:r>
      <w:r>
        <w:rPr>
          <w:spacing w:val="-24"/>
          <w:sz w:val="18"/>
        </w:rPr>
        <w:t>月 </w:t>
      </w:r>
      <w:r>
        <w:rPr>
          <w:rFonts w:ascii="Calibri" w:eastAsia="Calibri"/>
          <w:sz w:val="18"/>
        </w:rPr>
        <w:t>1 </w:t>
      </w:r>
      <w:r>
        <w:rPr>
          <w:spacing w:val="-16"/>
          <w:sz w:val="18"/>
        </w:rPr>
        <w:t>日至 </w:t>
      </w:r>
      <w:r>
        <w:rPr>
          <w:rFonts w:ascii="Calibri" w:eastAsia="Calibri"/>
          <w:sz w:val="18"/>
        </w:rPr>
        <w:t>2011 </w:t>
      </w:r>
      <w:r>
        <w:rPr>
          <w:spacing w:val="-23"/>
          <w:sz w:val="18"/>
        </w:rPr>
        <w:t>年 </w:t>
      </w:r>
      <w:r>
        <w:rPr>
          <w:rFonts w:ascii="Calibri" w:eastAsia="Calibri"/>
          <w:sz w:val="18"/>
        </w:rPr>
        <w:t>9 </w:t>
      </w:r>
      <w:r>
        <w:rPr>
          <w:spacing w:val="-23"/>
          <w:sz w:val="18"/>
        </w:rPr>
        <w:t>月 </w:t>
      </w:r>
      <w:r>
        <w:rPr>
          <w:rFonts w:ascii="Calibri" w:eastAsia="Calibri"/>
          <w:sz w:val="18"/>
        </w:rPr>
        <w:t>30 </w:t>
      </w:r>
      <w:r>
        <w:rPr>
          <w:sz w:val="18"/>
        </w:rPr>
        <w:t>日期</w:t>
      </w:r>
    </w:p>
    <w:p>
      <w:pPr>
        <w:spacing w:line="246" w:lineRule="exact" w:before="0"/>
        <w:ind w:left="259" w:right="0" w:firstLine="0"/>
        <w:jc w:val="left"/>
        <w:rPr>
          <w:sz w:val="18"/>
        </w:rPr>
      </w:pPr>
      <w:r>
        <w:rPr>
          <w:sz w:val="18"/>
        </w:rPr>
        <w:t>间为 </w:t>
      </w:r>
      <w:r>
        <w:rPr>
          <w:rFonts w:ascii="Calibri" w:eastAsia="Calibri"/>
          <w:sz w:val="18"/>
        </w:rPr>
        <w:t>0 </w:t>
      </w:r>
      <w:r>
        <w:rPr>
          <w:sz w:val="18"/>
        </w:rPr>
        <w:t>周岁，</w:t>
      </w:r>
      <w:r>
        <w:rPr>
          <w:rFonts w:ascii="Calibri" w:eastAsia="Calibri"/>
          <w:sz w:val="18"/>
        </w:rPr>
        <w:t>2011 </w:t>
      </w:r>
      <w:r>
        <w:rPr>
          <w:sz w:val="18"/>
        </w:rPr>
        <w:t>年 </w:t>
      </w:r>
      <w:r>
        <w:rPr>
          <w:rFonts w:ascii="Calibri" w:eastAsia="Calibri"/>
          <w:sz w:val="18"/>
        </w:rPr>
        <w:t>10 </w:t>
      </w:r>
      <w:r>
        <w:rPr>
          <w:sz w:val="18"/>
        </w:rPr>
        <w:t>月 </w:t>
      </w:r>
      <w:r>
        <w:rPr>
          <w:rFonts w:ascii="Calibri" w:eastAsia="Calibri"/>
          <w:sz w:val="18"/>
        </w:rPr>
        <w:t>1 </w:t>
      </w:r>
      <w:r>
        <w:rPr>
          <w:sz w:val="18"/>
        </w:rPr>
        <w:t>日至 </w:t>
      </w:r>
      <w:r>
        <w:rPr>
          <w:rFonts w:ascii="Calibri" w:eastAsia="Calibri"/>
          <w:sz w:val="18"/>
        </w:rPr>
        <w:t>2012 </w:t>
      </w:r>
      <w:r>
        <w:rPr>
          <w:sz w:val="18"/>
        </w:rPr>
        <w:t>年 </w:t>
      </w:r>
      <w:r>
        <w:rPr>
          <w:rFonts w:ascii="Calibri" w:eastAsia="Calibri"/>
          <w:sz w:val="18"/>
        </w:rPr>
        <w:t>9 </w:t>
      </w:r>
      <w:r>
        <w:rPr>
          <w:sz w:val="18"/>
        </w:rPr>
        <w:t>月 </w:t>
      </w:r>
      <w:r>
        <w:rPr>
          <w:rFonts w:ascii="Calibri" w:eastAsia="Calibri"/>
          <w:sz w:val="18"/>
        </w:rPr>
        <w:t>30 </w:t>
      </w:r>
      <w:r>
        <w:rPr>
          <w:sz w:val="18"/>
        </w:rPr>
        <w:t>日期间为 </w:t>
      </w:r>
      <w:r>
        <w:rPr>
          <w:rFonts w:ascii="Calibri" w:eastAsia="Calibri"/>
          <w:sz w:val="18"/>
        </w:rPr>
        <w:t>1 </w:t>
      </w:r>
      <w:r>
        <w:rPr>
          <w:sz w:val="18"/>
        </w:rPr>
        <w:t>周岁，依此类推。</w:t>
      </w:r>
    </w:p>
    <w:p>
      <w:pPr>
        <w:spacing w:after="0" w:line="246" w:lineRule="exact"/>
        <w:jc w:val="left"/>
        <w:rPr>
          <w:sz w:val="18"/>
        </w:rPr>
        <w:sectPr>
          <w:pgSz w:w="11910" w:h="16840"/>
          <w:pgMar w:header="857" w:footer="857" w:top="1040" w:bottom="1040" w:left="1680" w:right="1120"/>
        </w:sectPr>
      </w:pPr>
    </w:p>
    <w:p>
      <w:pPr>
        <w:pStyle w:val="BodyText"/>
        <w:spacing w:before="11"/>
        <w:rPr>
          <w:sz w:val="10"/>
        </w:rPr>
      </w:pPr>
    </w:p>
    <w:p>
      <w:pPr>
        <w:pStyle w:val="BodyText"/>
        <w:spacing w:line="273" w:lineRule="auto" w:before="36"/>
        <w:ind w:left="118" w:right="116" w:firstLine="419"/>
        <w:jc w:val="both"/>
      </w:pPr>
      <w:r>
        <w:rPr/>
        <w:t>除本合同另有约定外，经您和我们协商同意后，可变更本合同的有关内容，并由我们签发批单后生效。但本合同内容的变更不得违反法律法规及保险监督管理机构相关规定。</w:t>
      </w:r>
    </w:p>
    <w:p>
      <w:pPr>
        <w:pStyle w:val="BodyText"/>
        <w:spacing w:before="8"/>
        <w:rPr>
          <w:sz w:val="19"/>
        </w:rPr>
      </w:pPr>
    </w:p>
    <w:p>
      <w:pPr>
        <w:pStyle w:val="Heading2"/>
        <w:tabs>
          <w:tab w:pos="1377" w:val="left" w:leader="none"/>
        </w:tabs>
      </w:pPr>
      <w:r>
        <w:rPr/>
        <w:t>第十七</w:t>
      </w:r>
      <w:r>
        <w:rPr>
          <w:spacing w:val="-3"/>
        </w:rPr>
        <w:t>条</w:t>
        <w:tab/>
      </w:r>
      <w:r>
        <w:rPr/>
        <w:t>联系方式的变更</w:t>
      </w:r>
    </w:p>
    <w:p>
      <w:pPr>
        <w:pStyle w:val="BodyText"/>
        <w:spacing w:line="273" w:lineRule="auto" w:before="167"/>
        <w:ind w:left="118" w:right="116" w:firstLine="419"/>
        <w:jc w:val="both"/>
      </w:pPr>
      <w:r>
        <w:rPr/>
        <w:t>您或被保险人的通讯地址、电话等联系方式变更时，应及时以书面形式通知我们。您或被保险人不作上述通知的，我们将按投保单或批单上所载的您或被保险人的最后通讯地址、电话等联系方式发送通知，并均视为已送达给您或被保险人。</w:t>
      </w:r>
    </w:p>
    <w:p>
      <w:pPr>
        <w:pStyle w:val="BodyText"/>
        <w:spacing w:before="8"/>
        <w:rPr>
          <w:sz w:val="19"/>
        </w:rPr>
      </w:pPr>
    </w:p>
    <w:p>
      <w:pPr>
        <w:pStyle w:val="Heading2"/>
        <w:tabs>
          <w:tab w:pos="1377" w:val="left" w:leader="none"/>
        </w:tabs>
      </w:pPr>
      <w:r>
        <w:rPr/>
        <w:t>第十八</w:t>
      </w:r>
      <w:r>
        <w:rPr>
          <w:spacing w:val="-3"/>
        </w:rPr>
        <w:t>条</w:t>
        <w:tab/>
      </w:r>
      <w:r>
        <w:rPr/>
        <w:t>您解除合同的手续</w:t>
      </w:r>
    </w:p>
    <w:p>
      <w:pPr>
        <w:pStyle w:val="BodyText"/>
        <w:spacing w:before="10"/>
        <w:rPr>
          <w:rFonts w:ascii="微软雅黑"/>
          <w:b/>
          <w:sz w:val="7"/>
        </w:rPr>
      </w:pPr>
    </w:p>
    <w:p>
      <w:pPr>
        <w:pStyle w:val="BodyText"/>
        <w:spacing w:line="273" w:lineRule="auto" w:before="36"/>
        <w:ind w:left="118" w:right="116" w:firstLine="419"/>
        <w:jc w:val="both"/>
      </w:pPr>
      <w:r>
        <w:rPr/>
        <w:t>本合同生效后，您可以以书面形式通知我们解除本合同。</w:t>
      </w:r>
      <w:r>
        <w:rPr>
          <w:shd w:fill="D9D9D9" w:color="auto" w:val="clear"/>
        </w:rPr>
        <w:t>但已发生任何保险金给付或已发生</w:t>
      </w:r>
      <w:r>
        <w:rPr>
          <w:spacing w:val="-2"/>
          <w:shd w:fill="D9D9D9" w:color="auto" w:val="clear"/>
        </w:rPr>
        <w:t>本合同约定的保险事故但尚未给付保险金的，您不得要求解除本合同。</w:t>
      </w:r>
      <w:r>
        <w:rPr/>
        <w:t>要</w:t>
      </w:r>
      <w:r>
        <w:rPr>
          <w:spacing w:val="-212"/>
        </w:rPr>
        <w:t>求</w:t>
      </w:r>
      <w:r>
        <w:rPr/>
        <w:t>解除本合同时，您应提</w:t>
      </w:r>
      <w:r>
        <w:rPr>
          <w:spacing w:val="-3"/>
        </w:rPr>
        <w:t>供下列文件和资料：</w:t>
      </w:r>
    </w:p>
    <w:p>
      <w:pPr>
        <w:pStyle w:val="BodyText"/>
        <w:spacing w:before="7"/>
        <w:ind w:left="538"/>
      </w:pPr>
      <w:r>
        <w:rPr/>
        <w:t>一、解除合同申请书；</w:t>
      </w:r>
    </w:p>
    <w:p>
      <w:pPr>
        <w:pStyle w:val="BodyText"/>
        <w:spacing w:before="37"/>
        <w:ind w:left="538"/>
      </w:pPr>
      <w:r>
        <w:rPr/>
        <w:t>二、保险合同原件或其他保险凭证；</w:t>
      </w:r>
    </w:p>
    <w:p>
      <w:pPr>
        <w:pStyle w:val="BodyText"/>
        <w:spacing w:before="37"/>
        <w:ind w:left="538"/>
      </w:pPr>
      <w:r>
        <w:rPr/>
        <w:t>三、您提供的书面的已通知被保险人退保事宜的有效证明。</w:t>
      </w:r>
    </w:p>
    <w:p>
      <w:pPr>
        <w:pStyle w:val="BodyText"/>
        <w:spacing w:before="9"/>
        <w:rPr>
          <w:sz w:val="14"/>
        </w:rPr>
      </w:pPr>
    </w:p>
    <w:p>
      <w:pPr>
        <w:pStyle w:val="BodyText"/>
        <w:spacing w:line="273" w:lineRule="auto"/>
        <w:ind w:left="118" w:right="117" w:firstLine="419"/>
        <w:jc w:val="both"/>
      </w:pPr>
      <w:r>
        <w:rPr/>
        <w:t>自我们收到解除合同申请书时起，本合同终止。我们自收到上述证明文件和资料之日起三十日内向您退还本合同的未满期净保险费。</w:t>
      </w:r>
    </w:p>
    <w:p>
      <w:pPr>
        <w:pStyle w:val="BodyText"/>
        <w:spacing w:before="7"/>
        <w:rPr>
          <w:sz w:val="19"/>
        </w:rPr>
      </w:pPr>
    </w:p>
    <w:p>
      <w:pPr>
        <w:pStyle w:val="Heading2"/>
        <w:tabs>
          <w:tab w:pos="1377" w:val="left" w:leader="none"/>
        </w:tabs>
        <w:spacing w:before="1"/>
      </w:pPr>
      <w:r>
        <w:rPr/>
        <w:t>第十九</w:t>
      </w:r>
      <w:r>
        <w:rPr>
          <w:spacing w:val="-3"/>
        </w:rPr>
        <w:t>条</w:t>
        <w:tab/>
      </w:r>
      <w:r>
        <w:rPr/>
        <w:t>争议处理</w:t>
      </w:r>
    </w:p>
    <w:p>
      <w:pPr>
        <w:pStyle w:val="BodyText"/>
        <w:spacing w:line="273" w:lineRule="auto" w:before="168"/>
        <w:ind w:left="118" w:right="119" w:firstLine="419"/>
        <w:jc w:val="both"/>
      </w:pPr>
      <w:r>
        <w:rPr>
          <w:spacing w:val="-13"/>
        </w:rPr>
        <w:t>因履行本合同发生的争议，合同双方不能通过协商解决的，可以达成仲裁协议通过仲裁解决， </w:t>
      </w:r>
      <w:r>
        <w:rPr>
          <w:spacing w:val="-6"/>
        </w:rPr>
        <w:t>或者依法向人民法院提起诉讼。</w:t>
      </w:r>
    </w:p>
    <w:p>
      <w:pPr>
        <w:pStyle w:val="BodyText"/>
        <w:spacing w:before="8"/>
        <w:rPr>
          <w:sz w:val="19"/>
        </w:rPr>
      </w:pPr>
    </w:p>
    <w:p>
      <w:pPr>
        <w:pStyle w:val="Heading2"/>
        <w:tabs>
          <w:tab w:pos="1377" w:val="left" w:leader="none"/>
        </w:tabs>
        <w:spacing w:before="1"/>
      </w:pPr>
      <w:r>
        <w:rPr/>
        <w:t>第二十</w:t>
      </w:r>
      <w:r>
        <w:rPr>
          <w:spacing w:val="-3"/>
        </w:rPr>
        <w:t>条</w:t>
        <w:tab/>
      </w:r>
      <w:r>
        <w:rPr/>
        <w:t>重大疾病的定义</w:t>
      </w:r>
    </w:p>
    <w:p>
      <w:pPr>
        <w:pStyle w:val="BodyText"/>
        <w:spacing w:line="273" w:lineRule="auto" w:before="168"/>
        <w:ind w:left="118" w:right="116" w:firstLine="419"/>
        <w:jc w:val="both"/>
      </w:pPr>
      <w:r>
        <w:rPr/>
        <w:t>本合同所指重大疾病，是被保险人发生符合以下定义所述条件的疾病、疾病状态或手术，共三十种，其中第一种至第二十五种为中国保险行业协会制定的《重大疾病保险的疾病定义使用规范》中列明的疾病，其余为本公司增加的疾病。重大疾病的名称及定义如下：</w:t>
      </w:r>
    </w:p>
    <w:p>
      <w:pPr>
        <w:pStyle w:val="BodyText"/>
        <w:spacing w:before="164"/>
        <w:ind w:left="538"/>
      </w:pPr>
      <w:r>
        <w:rPr/>
        <w:t>一、恶性肿瘤</w:t>
      </w:r>
    </w:p>
    <w:p>
      <w:pPr>
        <w:pStyle w:val="BodyText"/>
        <w:spacing w:before="10"/>
        <w:rPr>
          <w:sz w:val="14"/>
        </w:rPr>
      </w:pPr>
    </w:p>
    <w:p>
      <w:pPr>
        <w:pStyle w:val="BodyText"/>
        <w:spacing w:line="273" w:lineRule="auto"/>
        <w:ind w:left="118" w:right="157" w:firstLine="419"/>
        <w:jc w:val="both"/>
      </w:pPr>
      <w:r>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的恶性肿瘤范畴。 </w:t>
      </w:r>
    </w:p>
    <w:p>
      <w:pPr>
        <w:pStyle w:val="BodyText"/>
        <w:spacing w:before="10"/>
        <w:rPr>
          <w:sz w:val="9"/>
        </w:rPr>
      </w:pPr>
    </w:p>
    <w:p>
      <w:pPr>
        <w:pStyle w:val="BodyText"/>
        <w:spacing w:before="36"/>
        <w:ind w:left="538"/>
      </w:pPr>
      <w:r>
        <w:rPr/>
        <w:pict>
          <v:group style="position:absolute;margin-left:110.900002pt;margin-top:18.983677pt;width:68.9pt;height:13.7pt;mso-position-horizontal-relative:page;mso-position-vertical-relative:paragraph;z-index:1336;mso-wrap-distance-left:0;mso-wrap-distance-right:0" coordorigin="2218,380" coordsize="1378,274">
            <v:rect style="position:absolute;left:2218;top:379;width:1272;height:274" filled="true" fillcolor="#d9d9d9" stroked="false">
              <v:fill type="solid"/>
            </v:rect>
            <v:shape style="position:absolute;left:2218;top:379;width:1378;height:274" type="#_x0000_t202" filled="false" stroked="false">
              <v:textbox inset="0,0,0,0">
                <w:txbxContent>
                  <w:p>
                    <w:pPr>
                      <w:spacing w:line="269" w:lineRule="exact" w:before="0"/>
                      <w:ind w:left="0" w:right="0" w:firstLine="0"/>
                      <w:jc w:val="left"/>
                      <w:rPr>
                        <w:sz w:val="21"/>
                      </w:rPr>
                    </w:pPr>
                    <w:r>
                      <w:rPr>
                        <w:w w:val="95"/>
                        <w:sz w:val="21"/>
                      </w:rPr>
                      <w:t>1．</w:t>
                    </w:r>
                    <w:r>
                      <w:rPr>
                        <w:rFonts w:ascii="微软雅黑" w:eastAsia="微软雅黑" w:hint="eastAsia"/>
                        <w:b/>
                        <w:w w:val="95"/>
                        <w:sz w:val="21"/>
                      </w:rPr>
                      <w:t>原位癌</w:t>
                    </w:r>
                    <w:r>
                      <w:rPr>
                        <w:rFonts w:ascii="微软雅黑" w:eastAsia="微软雅黑" w:hint="eastAsia"/>
                        <w:b/>
                        <w:w w:val="95"/>
                        <w:position w:val="11"/>
                        <w:sz w:val="11"/>
                      </w:rPr>
                      <w:t>13</w:t>
                    </w:r>
                    <w:r>
                      <w:rPr>
                        <w:w w:val="95"/>
                        <w:sz w:val="21"/>
                      </w:rPr>
                      <w:t>； </w:t>
                    </w:r>
                  </w:p>
                </w:txbxContent>
              </v:textbox>
              <w10:wrap type="none"/>
            </v:shape>
            <w10:wrap type="topAndBottom"/>
          </v:group>
        </w:pict>
      </w:r>
      <w:r>
        <w:rPr>
          <w:shd w:fill="D9D9D9" w:color="auto" w:val="clear"/>
        </w:rPr>
        <w:t>下列疾病不在保障范围内：</w:t>
      </w:r>
      <w:r>
        <w:rPr/>
        <w:t> </w:t>
      </w:r>
    </w:p>
    <w:p>
      <w:pPr>
        <w:pStyle w:val="BodyText"/>
        <w:spacing w:line="253" w:lineRule="exact"/>
        <w:ind w:left="538"/>
      </w:pPr>
      <w:r>
        <w:rPr>
          <w:shd w:fill="D9D9D9" w:color="auto" w:val="clear"/>
        </w:rPr>
        <w:t>2．相当于Binet分期方案A期程度的慢性淋巴细胞白血病；</w:t>
      </w:r>
      <w:r>
        <w:rPr/>
        <w:t> </w:t>
      </w:r>
    </w:p>
    <w:p>
      <w:pPr>
        <w:pStyle w:val="BodyText"/>
        <w:spacing w:before="37"/>
        <w:ind w:left="538"/>
      </w:pPr>
      <w:r>
        <w:rPr>
          <w:shd w:fill="D9D9D9" w:color="auto" w:val="clear"/>
        </w:rPr>
        <w:t>3．相当于Ann Arbor分期方案I期程度的何杰金氏病；</w:t>
      </w:r>
      <w:r>
        <w:rPr/>
        <w:t> </w:t>
      </w:r>
    </w:p>
    <w:p>
      <w:pPr>
        <w:pStyle w:val="BodyText"/>
        <w:spacing w:before="37"/>
        <w:ind w:left="538"/>
      </w:pPr>
      <w:r>
        <w:rPr>
          <w:w w:val="100"/>
          <w:shd w:fill="D9D9D9" w:color="auto" w:val="clear"/>
        </w:rPr>
        <w:t>4．</w:t>
      </w:r>
      <w:r>
        <w:rPr>
          <w:spacing w:val="-3"/>
          <w:w w:val="100"/>
          <w:shd w:fill="D9D9D9" w:color="auto" w:val="clear"/>
        </w:rPr>
        <w:t>皮肤癌</w:t>
      </w:r>
      <w:r>
        <w:rPr>
          <w:w w:val="100"/>
          <w:shd w:fill="D9D9D9" w:color="auto" w:val="clear"/>
        </w:rPr>
        <w:t>（</w:t>
      </w:r>
      <w:r>
        <w:rPr>
          <w:spacing w:val="-3"/>
          <w:w w:val="100"/>
          <w:shd w:fill="D9D9D9" w:color="auto" w:val="clear"/>
        </w:rPr>
        <w:t>不包括恶性黑色素瘤及已发生转移的皮肤癌</w:t>
      </w:r>
      <w:r>
        <w:rPr>
          <w:spacing w:val="-108"/>
          <w:w w:val="100"/>
          <w:shd w:fill="D9D9D9" w:color="auto" w:val="clear"/>
        </w:rPr>
        <w:t>）</w:t>
      </w:r>
      <w:r>
        <w:rPr>
          <w:spacing w:val="-3"/>
          <w:w w:val="100"/>
          <w:shd w:fill="D9D9D9" w:color="auto" w:val="clear"/>
        </w:rPr>
        <w:t>；</w:t>
      </w:r>
      <w:r>
        <w:rPr>
          <w:w w:val="100"/>
        </w:rPr>
        <w:t> </w:t>
      </w:r>
    </w:p>
    <w:p>
      <w:pPr>
        <w:pStyle w:val="BodyText"/>
        <w:spacing w:before="36"/>
        <w:ind w:left="538"/>
      </w:pPr>
      <w:r>
        <w:rPr>
          <w:position w:val="2"/>
          <w:shd w:fill="D9D9D9" w:color="auto" w:val="clear"/>
        </w:rPr>
        <w:t>5．TNM分期为T</w:t>
      </w:r>
      <w:r>
        <w:rPr>
          <w:rFonts w:ascii="Calibri" w:eastAsia="Calibri"/>
          <w:sz w:val="14"/>
        </w:rPr>
        <w:t>1</w:t>
      </w:r>
      <w:r>
        <w:rPr>
          <w:position w:val="2"/>
          <w:shd w:fill="D9D9D9" w:color="auto" w:val="clear"/>
        </w:rPr>
        <w:t>N</w:t>
      </w:r>
      <w:r>
        <w:rPr>
          <w:rFonts w:ascii="Calibri" w:eastAsia="Calibri"/>
          <w:sz w:val="14"/>
        </w:rPr>
        <w:t>0</w:t>
      </w:r>
      <w:r>
        <w:rPr>
          <w:position w:val="2"/>
          <w:shd w:fill="D9D9D9" w:color="auto" w:val="clear"/>
        </w:rPr>
        <w:t>M</w:t>
      </w:r>
      <w:r>
        <w:rPr>
          <w:rFonts w:ascii="Calibri" w:eastAsia="Calibri"/>
          <w:sz w:val="14"/>
        </w:rPr>
        <w:t>0</w:t>
      </w:r>
      <w:r>
        <w:rPr>
          <w:position w:val="2"/>
          <w:shd w:fill="D9D9D9" w:color="auto" w:val="clear"/>
        </w:rPr>
        <w:t>期或更轻分期的前列腺癌；</w:t>
      </w:r>
      <w:r>
        <w:rPr>
          <w:position w:val="2"/>
        </w:rPr>
        <w:t> </w:t>
      </w:r>
    </w:p>
    <w:p>
      <w:pPr>
        <w:pStyle w:val="BodyText"/>
        <w:spacing w:line="408" w:lineRule="auto" w:before="9"/>
        <w:ind w:left="538" w:right="3734"/>
      </w:pPr>
      <w:r>
        <w:rPr>
          <w:shd w:fill="D9D9D9" w:color="auto" w:val="clear"/>
        </w:rPr>
        <w:t>6．感染艾滋病病毒或患艾滋病期间所患恶性肿瘤。</w:t>
      </w:r>
      <w:r>
        <w:rPr/>
        <w:t>二、急性心肌梗塞</w:t>
      </w:r>
    </w:p>
    <w:p>
      <w:pPr>
        <w:pStyle w:val="BodyText"/>
        <w:spacing w:before="45"/>
        <w:ind w:left="118"/>
      </w:pPr>
      <w:r>
        <w:rPr/>
        <w:t>指因冠状动脉阻塞导致的相应区域供血不足造成部分心肌坏死。须满足下列至少三项条件： </w:t>
      </w:r>
    </w:p>
    <w:p>
      <w:pPr>
        <w:pStyle w:val="BodyText"/>
        <w:spacing w:before="3"/>
      </w:pPr>
      <w:r>
        <w:rPr/>
        <w:pict>
          <v:line style="position:absolute;mso-position-horizontal-relative:page;mso-position-vertical-relative:paragraph;z-index:1360;mso-wrap-distance-left:0;mso-wrap-distance-right:0" from="89.903999pt,16.278358pt" to="233.923999pt,16.278358pt" stroked="true" strokeweight=".72003pt" strokecolor="#000000">
            <v:stroke dashstyle="solid"/>
            <w10:wrap type="topAndBottom"/>
          </v:line>
        </w:pict>
      </w:r>
    </w:p>
    <w:p>
      <w:pPr>
        <w:spacing w:line="296" w:lineRule="exact" w:before="0"/>
        <w:ind w:left="118" w:right="0" w:firstLine="0"/>
        <w:jc w:val="left"/>
        <w:rPr>
          <w:sz w:val="18"/>
        </w:rPr>
      </w:pPr>
      <w:r>
        <w:rPr>
          <w:rFonts w:ascii="Calibri" w:eastAsia="Calibri"/>
          <w:b/>
          <w:position w:val="5"/>
          <w:sz w:val="12"/>
        </w:rPr>
        <w:t>13   </w:t>
      </w:r>
      <w:r>
        <w:rPr>
          <w:rFonts w:ascii="微软雅黑" w:eastAsia="微软雅黑" w:hint="eastAsia"/>
          <w:b/>
          <w:sz w:val="18"/>
        </w:rPr>
        <w:t>原位癌</w:t>
      </w:r>
      <w:r>
        <w:rPr>
          <w:sz w:val="18"/>
        </w:rPr>
        <w:t>：指恶性细胞局限于上皮内尚未穿破基底膜浸润周围正常组织的癌细胞新生物。</w:t>
      </w:r>
    </w:p>
    <w:p>
      <w:pPr>
        <w:spacing w:after="0" w:line="296" w:lineRule="exact"/>
        <w:jc w:val="left"/>
        <w:rPr>
          <w:sz w:val="18"/>
        </w:rPr>
        <w:sectPr>
          <w:pgSz w:w="11910" w:h="16840"/>
          <w:pgMar w:header="857" w:footer="857" w:top="1040" w:bottom="1040" w:left="1680" w:right="1120"/>
        </w:sectPr>
      </w:pPr>
    </w:p>
    <w:p>
      <w:pPr>
        <w:pStyle w:val="BodyText"/>
        <w:spacing w:before="11"/>
        <w:rPr>
          <w:sz w:val="10"/>
        </w:rPr>
      </w:pPr>
    </w:p>
    <w:p>
      <w:pPr>
        <w:pStyle w:val="BodyText"/>
        <w:spacing w:before="36"/>
        <w:ind w:left="538"/>
      </w:pPr>
      <w:r>
        <w:rPr/>
        <w:t>1.典型临床表现，例如急性胸痛等； </w:t>
      </w:r>
    </w:p>
    <w:p>
      <w:pPr>
        <w:pStyle w:val="BodyText"/>
        <w:spacing w:before="37"/>
        <w:ind w:left="538"/>
      </w:pPr>
      <w:r>
        <w:rPr/>
        <w:t>2.新近的心电图改变提示急性心肌梗塞； </w:t>
      </w:r>
    </w:p>
    <w:p>
      <w:pPr>
        <w:pStyle w:val="BodyText"/>
        <w:spacing w:before="37"/>
        <w:ind w:left="538"/>
      </w:pPr>
      <w:r>
        <w:rPr/>
        <w:t>3.心肌酶或肌钙蛋白有诊断意义的升高，或呈符合急性心肌梗塞的动态性变化； </w:t>
      </w:r>
    </w:p>
    <w:p>
      <w:pPr>
        <w:pStyle w:val="BodyText"/>
        <w:spacing w:line="408" w:lineRule="auto" w:before="37"/>
        <w:ind w:left="538" w:right="1631"/>
      </w:pPr>
      <w:r>
        <w:rPr/>
        <w:t>4.发病90天后，经检查证实左心室功能降低，如左心室射血分数低于50%。三、脑中风后遗症</w:t>
      </w:r>
    </w:p>
    <w:p>
      <w:pPr>
        <w:pStyle w:val="BodyText"/>
        <w:spacing w:line="273" w:lineRule="auto" w:before="46"/>
        <w:ind w:left="118" w:right="122"/>
      </w:pPr>
      <w:r>
        <w:rPr/>
        <w:t>指因脑血管的突发病变引起脑血管出血、栓塞或梗塞，并导致神经系统永久性的功能障碍。神经系统永久性的功能障碍，指疾病确诊180天后，仍遗留下列一种或一种以上障碍： </w:t>
      </w:r>
    </w:p>
    <w:p>
      <w:pPr>
        <w:spacing w:line="283" w:lineRule="exact" w:before="0"/>
        <w:ind w:left="542" w:right="0" w:firstLine="0"/>
        <w:jc w:val="left"/>
        <w:rPr>
          <w:sz w:val="21"/>
        </w:rPr>
      </w:pPr>
      <w:r>
        <w:rPr>
          <w:w w:val="95"/>
          <w:sz w:val="21"/>
        </w:rPr>
        <w:t>1．一肢或一肢以上</w:t>
      </w:r>
      <w:r>
        <w:rPr>
          <w:rFonts w:ascii="微软雅黑" w:eastAsia="微软雅黑" w:hint="eastAsia"/>
          <w:b/>
          <w:w w:val="95"/>
          <w:sz w:val="21"/>
        </w:rPr>
        <w:t>肢体机能完全丧失</w:t>
      </w:r>
      <w:r>
        <w:rPr>
          <w:rFonts w:ascii="微软雅黑" w:eastAsia="微软雅黑" w:hint="eastAsia"/>
          <w:b/>
          <w:w w:val="95"/>
          <w:position w:val="11"/>
          <w:sz w:val="11"/>
        </w:rPr>
        <w:t>14</w:t>
      </w:r>
      <w:r>
        <w:rPr>
          <w:w w:val="95"/>
          <w:sz w:val="21"/>
        </w:rPr>
        <w:t>； </w:t>
      </w:r>
    </w:p>
    <w:p>
      <w:pPr>
        <w:spacing w:line="312" w:lineRule="exact" w:before="0"/>
        <w:ind w:left="542" w:right="0" w:firstLine="0"/>
        <w:jc w:val="left"/>
        <w:rPr>
          <w:sz w:val="21"/>
        </w:rPr>
      </w:pPr>
      <w:r>
        <w:rPr>
          <w:w w:val="95"/>
          <w:sz w:val="21"/>
        </w:rPr>
        <w:t>2．</w:t>
      </w:r>
      <w:r>
        <w:rPr>
          <w:rFonts w:ascii="微软雅黑" w:eastAsia="微软雅黑" w:hint="eastAsia"/>
          <w:b/>
          <w:w w:val="95"/>
          <w:sz w:val="21"/>
        </w:rPr>
        <w:t>语言能力或咀嚼吞咽能力完全丧失</w:t>
      </w:r>
      <w:r>
        <w:rPr>
          <w:rFonts w:ascii="微软雅黑" w:eastAsia="微软雅黑" w:hint="eastAsia"/>
          <w:b/>
          <w:w w:val="95"/>
          <w:position w:val="11"/>
          <w:sz w:val="11"/>
        </w:rPr>
        <w:t>15</w:t>
      </w:r>
      <w:r>
        <w:rPr>
          <w:w w:val="95"/>
          <w:sz w:val="21"/>
        </w:rPr>
        <w:t>； </w:t>
      </w:r>
    </w:p>
    <w:p>
      <w:pPr>
        <w:spacing w:line="337" w:lineRule="exact" w:before="0"/>
        <w:ind w:left="542" w:right="0" w:firstLine="0"/>
        <w:jc w:val="left"/>
        <w:rPr>
          <w:sz w:val="21"/>
        </w:rPr>
      </w:pPr>
      <w:r>
        <w:rPr>
          <w:sz w:val="21"/>
        </w:rPr>
        <w:t>3．自主生活能力完全丧失，无法独立完成</w:t>
      </w:r>
      <w:r>
        <w:rPr>
          <w:rFonts w:ascii="微软雅黑" w:eastAsia="微软雅黑" w:hint="eastAsia"/>
          <w:b/>
          <w:sz w:val="21"/>
        </w:rPr>
        <w:t>六项基本日常生活活动</w:t>
      </w:r>
      <w:r>
        <w:rPr>
          <w:rFonts w:ascii="微软雅黑" w:eastAsia="微软雅黑" w:hint="eastAsia"/>
          <w:b/>
          <w:position w:val="11"/>
          <w:sz w:val="11"/>
        </w:rPr>
        <w:t>16</w:t>
      </w:r>
      <w:r>
        <w:rPr>
          <w:sz w:val="21"/>
        </w:rPr>
        <w:t>中的三项或三项以上。 </w:t>
      </w:r>
    </w:p>
    <w:p>
      <w:pPr>
        <w:pStyle w:val="BodyText"/>
        <w:spacing w:before="168"/>
        <w:ind w:left="538"/>
      </w:pPr>
      <w:r>
        <w:rPr/>
        <w:t>四、重大器官移植术或造血干细胞移植术</w:t>
      </w:r>
    </w:p>
    <w:p>
      <w:pPr>
        <w:pStyle w:val="BodyText"/>
        <w:spacing w:before="9"/>
        <w:rPr>
          <w:sz w:val="14"/>
        </w:rPr>
      </w:pPr>
    </w:p>
    <w:p>
      <w:pPr>
        <w:pStyle w:val="BodyText"/>
        <w:spacing w:line="273" w:lineRule="auto"/>
        <w:ind w:left="118" w:right="118" w:firstLine="419"/>
      </w:pPr>
      <w:r>
        <w:rPr/>
        <w:t>重大器官移植术，指因相应器官功能衰竭，已经实施了肾脏、肝脏、心脏或肺脏的异体移植手术。 </w:t>
      </w:r>
    </w:p>
    <w:p>
      <w:pPr>
        <w:pStyle w:val="BodyText"/>
        <w:spacing w:line="273" w:lineRule="auto" w:before="163"/>
        <w:ind w:left="118" w:right="118" w:firstLine="419"/>
      </w:pPr>
      <w:r>
        <w:rPr/>
        <w:t>造血干细胞移植术，指因造血功能损害或造血系统恶性肿瘤，已经实施了造血干细胞（包括骨髓造血干细胞、外周血造血干细胞和脐血造血干细胞）的异体移植手术。 </w:t>
      </w:r>
    </w:p>
    <w:p>
      <w:pPr>
        <w:pStyle w:val="BodyText"/>
        <w:spacing w:before="163"/>
        <w:ind w:left="538"/>
      </w:pPr>
      <w:r>
        <w:rPr/>
        <w:t>五、冠状动脉搭桥术（或称冠状动脉旁路移植术）</w:t>
      </w:r>
    </w:p>
    <w:p>
      <w:pPr>
        <w:pStyle w:val="BodyText"/>
        <w:spacing w:before="9"/>
        <w:rPr>
          <w:sz w:val="14"/>
        </w:rPr>
      </w:pPr>
    </w:p>
    <w:p>
      <w:pPr>
        <w:pStyle w:val="BodyText"/>
        <w:ind w:left="538"/>
      </w:pPr>
      <w:r>
        <w:rPr/>
        <w:t>指为治疗严重的冠心病，实际实施了开胸进行的冠状动脉血管旁路移植的手术。 </w:t>
      </w:r>
    </w:p>
    <w:p>
      <w:pPr>
        <w:pStyle w:val="BodyText"/>
        <w:spacing w:before="12"/>
        <w:rPr>
          <w:sz w:val="11"/>
        </w:rPr>
      </w:pPr>
    </w:p>
    <w:p>
      <w:pPr>
        <w:pStyle w:val="BodyText"/>
        <w:spacing w:line="273" w:lineRule="auto" w:before="37"/>
        <w:ind w:left="118" w:right="118" w:firstLine="419"/>
      </w:pPr>
      <w:r>
        <w:rPr>
          <w:shd w:fill="D9D9D9" w:color="auto" w:val="clear"/>
        </w:rPr>
        <w:t>冠状动脉支架植入术、心导管球囊扩张术、激光射频技术及其他非开胸的介入手术、腔镜手</w:t>
      </w:r>
      <w:r>
        <w:rPr>
          <w:spacing w:val="-1"/>
          <w:shd w:fill="D9D9D9" w:color="auto" w:val="clear"/>
        </w:rPr>
        <w:t>术不在保</w:t>
      </w:r>
      <w:r>
        <w:rPr>
          <w:spacing w:val="-212"/>
          <w:shd w:fill="D9D9D9" w:color="auto" w:val="clear"/>
        </w:rPr>
        <w:t>障</w:t>
      </w:r>
      <w:r>
        <w:rPr>
          <w:spacing w:val="-3"/>
          <w:shd w:fill="D9D9D9" w:color="auto" w:val="clear"/>
        </w:rPr>
        <w:t>范围内。</w:t>
      </w:r>
      <w:r>
        <w:rPr/>
        <w:t> </w:t>
      </w:r>
    </w:p>
    <w:p>
      <w:pPr>
        <w:pStyle w:val="BodyText"/>
        <w:spacing w:before="164"/>
        <w:ind w:left="538"/>
      </w:pPr>
      <w:r>
        <w:rPr/>
        <w:t>六、终末期肾病（或称慢性肾功能衰竭尿毒症期）</w:t>
      </w:r>
    </w:p>
    <w:p>
      <w:pPr>
        <w:pStyle w:val="BodyText"/>
        <w:spacing w:before="10"/>
        <w:rPr>
          <w:sz w:val="14"/>
        </w:rPr>
      </w:pPr>
    </w:p>
    <w:p>
      <w:pPr>
        <w:pStyle w:val="BodyText"/>
        <w:spacing w:line="273" w:lineRule="auto"/>
        <w:ind w:left="118" w:right="116" w:firstLine="419"/>
      </w:pPr>
      <w:r>
        <w:rPr/>
        <w:t>指双肾功能慢性不可逆性衰竭，达到尿毒症期，经诊断后已经进行了至少90天的规律性透析治疗或实施了肾脏移植手术。 </w:t>
      </w:r>
    </w:p>
    <w:p>
      <w:pPr>
        <w:pStyle w:val="BodyText"/>
        <w:spacing w:before="163"/>
        <w:ind w:left="538"/>
      </w:pPr>
      <w:r>
        <w:rPr/>
        <w:t>七、多个肢体缺失</w:t>
      </w:r>
    </w:p>
    <w:p>
      <w:pPr>
        <w:pStyle w:val="BodyText"/>
        <w:spacing w:before="9"/>
        <w:rPr>
          <w:sz w:val="14"/>
        </w:rPr>
      </w:pPr>
    </w:p>
    <w:p>
      <w:pPr>
        <w:pStyle w:val="BodyText"/>
        <w:spacing w:line="273" w:lineRule="auto"/>
        <w:ind w:left="118" w:right="118" w:firstLine="419"/>
      </w:pPr>
      <w:r>
        <w:rPr/>
        <w:t>指因疾病或意外伤害导致两个或两个以上肢体自腕关节或踝关节近端（靠近躯干端）以上完全性断离。 </w:t>
      </w:r>
    </w:p>
    <w:p>
      <w:pPr>
        <w:pStyle w:val="BodyText"/>
        <w:spacing w:before="163"/>
        <w:ind w:left="538"/>
      </w:pPr>
      <w:r>
        <w:rPr/>
        <w:t>八、急性或亚急性重症肝炎</w:t>
      </w:r>
    </w:p>
    <w:p>
      <w:pPr>
        <w:pStyle w:val="BodyText"/>
        <w:spacing w:before="10"/>
        <w:rPr>
          <w:sz w:val="14"/>
        </w:rPr>
      </w:pPr>
    </w:p>
    <w:p>
      <w:pPr>
        <w:pStyle w:val="BodyText"/>
        <w:spacing w:line="273" w:lineRule="auto"/>
        <w:ind w:left="118" w:right="118" w:firstLine="419"/>
      </w:pPr>
      <w:r>
        <w:rPr/>
        <w:t>指因肝炎病毒感染引起肝脏组织弥漫性坏死，导致急性肝功能衰竭，且经血清学或病毒学检查证实，并须满足下列全部条件： </w:t>
      </w:r>
    </w:p>
    <w:p>
      <w:pPr>
        <w:pStyle w:val="BodyText"/>
        <w:spacing w:before="7"/>
        <w:rPr>
          <w:sz w:val="19"/>
        </w:rPr>
      </w:pPr>
      <w:r>
        <w:rPr/>
        <w:pict>
          <v:line style="position:absolute;mso-position-horizontal-relative:page;mso-position-vertical-relative:paragraph;z-index:1384;mso-wrap-distance-left:0;mso-wrap-distance-right:0" from="89.903999pt,15.167451pt" to="233.923999pt,15.167451pt" stroked="true" strokeweight=".71997pt" strokecolor="#000000">
            <v:stroke dashstyle="solid"/>
            <w10:wrap type="topAndBottom"/>
          </v:line>
        </w:pict>
      </w:r>
    </w:p>
    <w:p>
      <w:pPr>
        <w:spacing w:line="283" w:lineRule="exact" w:before="0"/>
        <w:ind w:left="118" w:right="0" w:firstLine="0"/>
        <w:jc w:val="left"/>
        <w:rPr>
          <w:sz w:val="18"/>
        </w:rPr>
      </w:pPr>
      <w:r>
        <w:rPr>
          <w:rFonts w:ascii="Calibri" w:eastAsia="Calibri"/>
          <w:b/>
          <w:position w:val="5"/>
          <w:sz w:val="12"/>
        </w:rPr>
        <w:t>14</w:t>
      </w:r>
      <w:r>
        <w:rPr>
          <w:rFonts w:ascii="Calibri" w:eastAsia="Calibri"/>
          <w:b/>
          <w:sz w:val="12"/>
        </w:rPr>
        <w:t>   </w:t>
      </w:r>
      <w:r>
        <w:rPr>
          <w:rFonts w:ascii="微软雅黑" w:eastAsia="微软雅黑" w:hint="eastAsia"/>
          <w:b/>
          <w:sz w:val="18"/>
        </w:rPr>
        <w:t>肢体机能完全丧失</w:t>
      </w:r>
      <w:r>
        <w:rPr>
          <w:sz w:val="18"/>
        </w:rPr>
        <w:t>：指肢体的三大关节中的两大关节僵硬，或不能随意识活动。肢体是指包括肩关节的整个上</w:t>
      </w:r>
    </w:p>
    <w:p>
      <w:pPr>
        <w:spacing w:line="195" w:lineRule="exact" w:before="0"/>
        <w:ind w:left="259" w:right="0" w:firstLine="0"/>
        <w:jc w:val="left"/>
        <w:rPr>
          <w:sz w:val="18"/>
        </w:rPr>
      </w:pPr>
      <w:r>
        <w:rPr>
          <w:sz w:val="18"/>
        </w:rPr>
        <w:t>肢或包括髋关节的整个下肢。</w:t>
      </w:r>
    </w:p>
    <w:p>
      <w:pPr>
        <w:spacing w:line="272" w:lineRule="exact" w:before="0"/>
        <w:ind w:left="118" w:right="0" w:firstLine="0"/>
        <w:jc w:val="left"/>
        <w:rPr>
          <w:sz w:val="18"/>
        </w:rPr>
      </w:pPr>
      <w:r>
        <w:rPr>
          <w:rFonts w:ascii="Calibri" w:eastAsia="Calibri"/>
          <w:b/>
          <w:position w:val="5"/>
          <w:sz w:val="12"/>
        </w:rPr>
        <w:t>15</w:t>
      </w:r>
      <w:r>
        <w:rPr>
          <w:rFonts w:ascii="Calibri" w:eastAsia="Calibri"/>
          <w:b/>
          <w:sz w:val="12"/>
        </w:rPr>
        <w:t>   </w:t>
      </w:r>
      <w:r>
        <w:rPr>
          <w:rFonts w:ascii="微软雅黑" w:eastAsia="微软雅黑" w:hint="eastAsia"/>
          <w:b/>
          <w:sz w:val="18"/>
        </w:rPr>
        <w:t>语言能力或咀嚼吞咽能力完全丧失</w:t>
      </w:r>
      <w:r>
        <w:rPr>
          <w:sz w:val="18"/>
        </w:rPr>
        <w:t>：语言能力完全丧失，指无法发出四种语音（包括口唇音、齿舌音、口盖</w:t>
      </w:r>
    </w:p>
    <w:p>
      <w:pPr>
        <w:spacing w:line="237" w:lineRule="auto" w:before="0"/>
        <w:ind w:left="257" w:right="207" w:firstLine="0"/>
        <w:jc w:val="left"/>
        <w:rPr>
          <w:sz w:val="18"/>
        </w:rPr>
      </w:pPr>
      <w:r>
        <w:rPr>
          <w:sz w:val="18"/>
        </w:rPr>
        <w:t>音和喉头音）中的任何三种、或声带全部切除，或因大脑语言中枢受伤害而患失语症。咀嚼吞咽能力完全丧 失，指因牙齿以外的原因导致器质障碍或机能障碍，以致不能作咀嚼吞咽运动，除流质食物外不能摄取或吞咽</w:t>
      </w:r>
      <w:r>
        <w:rPr>
          <w:spacing w:val="-1"/>
          <w:sz w:val="18"/>
        </w:rPr>
        <w:t>的状态。 </w:t>
      </w:r>
    </w:p>
    <w:p>
      <w:pPr>
        <w:spacing w:line="244" w:lineRule="exact" w:before="8"/>
        <w:ind w:left="118" w:right="0" w:firstLine="0"/>
        <w:jc w:val="left"/>
        <w:rPr>
          <w:sz w:val="18"/>
        </w:rPr>
      </w:pPr>
      <w:r>
        <w:rPr>
          <w:rFonts w:ascii="Calibri" w:eastAsia="Calibri"/>
          <w:b/>
          <w:position w:val="5"/>
          <w:sz w:val="12"/>
        </w:rPr>
        <w:t>16</w:t>
      </w:r>
      <w:r>
        <w:rPr>
          <w:rFonts w:ascii="Calibri" w:eastAsia="Calibri"/>
          <w:b/>
          <w:sz w:val="12"/>
        </w:rPr>
        <w:t>   </w:t>
      </w:r>
      <w:r>
        <w:rPr>
          <w:rFonts w:ascii="微软雅黑" w:eastAsia="微软雅黑" w:hint="eastAsia"/>
          <w:b/>
          <w:sz w:val="18"/>
        </w:rPr>
        <w:t>六项基本日常生活活动</w:t>
      </w:r>
      <w:r>
        <w:rPr>
          <w:sz w:val="18"/>
        </w:rPr>
        <w:t>：指以下情况 </w:t>
      </w:r>
    </w:p>
    <w:p>
      <w:pPr>
        <w:spacing w:line="223" w:lineRule="exact" w:before="0"/>
        <w:ind w:left="259" w:right="0" w:firstLine="0"/>
        <w:jc w:val="left"/>
        <w:rPr>
          <w:sz w:val="18"/>
        </w:rPr>
      </w:pPr>
      <w:r>
        <w:rPr>
          <w:sz w:val="18"/>
        </w:rPr>
        <w:t>（1）穿衣：自己能够穿衣及脱衣； </w:t>
      </w:r>
    </w:p>
    <w:p>
      <w:pPr>
        <w:spacing w:line="233" w:lineRule="exact" w:before="0"/>
        <w:ind w:left="259" w:right="0" w:firstLine="0"/>
        <w:jc w:val="left"/>
        <w:rPr>
          <w:sz w:val="18"/>
        </w:rPr>
      </w:pPr>
      <w:r>
        <w:rPr>
          <w:sz w:val="18"/>
        </w:rPr>
        <w:t>（2）移动：自己从一个房间到另一个房间； </w:t>
      </w:r>
    </w:p>
    <w:p>
      <w:pPr>
        <w:spacing w:line="233" w:lineRule="exact" w:before="0"/>
        <w:ind w:left="259" w:right="0" w:firstLine="0"/>
        <w:jc w:val="left"/>
        <w:rPr>
          <w:sz w:val="18"/>
        </w:rPr>
      </w:pPr>
      <w:r>
        <w:rPr>
          <w:sz w:val="18"/>
        </w:rPr>
        <w:t>（3）行动：自己上下床或上下轮椅； </w:t>
      </w:r>
    </w:p>
    <w:p>
      <w:pPr>
        <w:spacing w:line="234" w:lineRule="exact" w:before="0"/>
        <w:ind w:left="259" w:right="0" w:firstLine="0"/>
        <w:jc w:val="left"/>
        <w:rPr>
          <w:sz w:val="18"/>
        </w:rPr>
      </w:pPr>
      <w:r>
        <w:rPr>
          <w:sz w:val="18"/>
        </w:rPr>
        <w:t>（4）如厕：自己控制进行大小便； </w:t>
      </w:r>
    </w:p>
    <w:p>
      <w:pPr>
        <w:spacing w:line="234" w:lineRule="exact" w:before="0"/>
        <w:ind w:left="259" w:right="0" w:firstLine="0"/>
        <w:jc w:val="left"/>
        <w:rPr>
          <w:sz w:val="18"/>
        </w:rPr>
      </w:pPr>
      <w:r>
        <w:rPr>
          <w:sz w:val="18"/>
        </w:rPr>
        <w:t>（5）进食：自己从已准备好的碗或碟中取食物放入口中； </w:t>
      </w:r>
    </w:p>
    <w:p>
      <w:pPr>
        <w:spacing w:line="234" w:lineRule="exact" w:before="0"/>
        <w:ind w:left="259" w:right="0" w:firstLine="0"/>
        <w:jc w:val="left"/>
        <w:rPr>
          <w:sz w:val="18"/>
        </w:rPr>
      </w:pPr>
      <w:r>
        <w:rPr>
          <w:sz w:val="18"/>
        </w:rPr>
        <w:t>（6）洗澡：自己进行淋浴或盆浴。 </w:t>
      </w:r>
    </w:p>
    <w:p>
      <w:pPr>
        <w:spacing w:after="0" w:line="234" w:lineRule="exact"/>
        <w:jc w:val="left"/>
        <w:rPr>
          <w:sz w:val="18"/>
        </w:rPr>
        <w:sectPr>
          <w:pgSz w:w="11910" w:h="16840"/>
          <w:pgMar w:header="857" w:footer="857" w:top="1040" w:bottom="1040" w:left="1680" w:right="1120"/>
        </w:sectPr>
      </w:pPr>
    </w:p>
    <w:p>
      <w:pPr>
        <w:pStyle w:val="BodyText"/>
        <w:spacing w:before="11"/>
        <w:rPr>
          <w:sz w:val="10"/>
        </w:rPr>
      </w:pPr>
    </w:p>
    <w:p>
      <w:pPr>
        <w:pStyle w:val="BodyText"/>
        <w:spacing w:before="36"/>
        <w:ind w:left="538"/>
      </w:pPr>
      <w:r>
        <w:rPr/>
        <w:t>1．重度黄疸或黄疸迅速加重； </w:t>
      </w:r>
    </w:p>
    <w:p>
      <w:pPr>
        <w:pStyle w:val="BodyText"/>
        <w:spacing w:before="37"/>
        <w:ind w:left="538"/>
      </w:pPr>
      <w:r>
        <w:rPr/>
        <w:t>2．肝性脑病； </w:t>
      </w:r>
    </w:p>
    <w:p>
      <w:pPr>
        <w:pStyle w:val="BodyText"/>
        <w:spacing w:before="37"/>
        <w:ind w:left="538"/>
      </w:pPr>
      <w:r>
        <w:rPr/>
        <w:t>3．B超或其他影像学检查显示肝脏体积急速萎缩； </w:t>
      </w:r>
    </w:p>
    <w:p>
      <w:pPr>
        <w:pStyle w:val="BodyText"/>
        <w:spacing w:line="408" w:lineRule="auto" w:before="37"/>
        <w:ind w:left="538" w:right="5874"/>
      </w:pPr>
      <w:r>
        <w:rPr/>
        <w:t>4．肝功能指标进行性恶化。九、良性脑肿瘤</w:t>
      </w:r>
    </w:p>
    <w:p>
      <w:pPr>
        <w:pStyle w:val="BodyText"/>
        <w:spacing w:line="273" w:lineRule="auto" w:before="46"/>
        <w:ind w:left="118" w:right="158" w:firstLine="419"/>
        <w:jc w:val="both"/>
      </w:pPr>
      <w:r>
        <w:rPr/>
        <w:t>指脑的良性肿瘤，已经引起颅内压增高，临床表现为视神经乳头水肿、精神症状、癫痫及运</w:t>
      </w:r>
      <w:r>
        <w:rPr>
          <w:spacing w:val="-10"/>
          <w:w w:val="100"/>
        </w:rPr>
        <w:t>动感觉障碍等，并危及生命。须由头颅断层扫描</w:t>
      </w:r>
      <w:r>
        <w:rPr>
          <w:w w:val="100"/>
        </w:rPr>
        <w:t>（</w:t>
      </w:r>
      <w:r>
        <w:rPr>
          <w:spacing w:val="-3"/>
          <w:w w:val="100"/>
        </w:rPr>
        <w:t>C</w:t>
      </w:r>
      <w:r>
        <w:rPr>
          <w:w w:val="100"/>
        </w:rPr>
        <w:t>T</w:t>
      </w:r>
      <w:r>
        <w:rPr>
          <w:spacing w:val="-106"/>
          <w:w w:val="100"/>
        </w:rPr>
        <w:t>）</w:t>
      </w:r>
      <w:r>
        <w:rPr>
          <w:spacing w:val="-11"/>
          <w:w w:val="100"/>
        </w:rPr>
        <w:t>、核磁共振检查</w:t>
      </w:r>
      <w:r>
        <w:rPr>
          <w:w w:val="100"/>
        </w:rPr>
        <w:t>（M</w:t>
      </w:r>
      <w:r>
        <w:rPr>
          <w:spacing w:val="-3"/>
          <w:w w:val="100"/>
        </w:rPr>
        <w:t>R</w:t>
      </w:r>
      <w:r>
        <w:rPr>
          <w:spacing w:val="-1"/>
          <w:w w:val="100"/>
        </w:rPr>
        <w:t>I</w:t>
      </w:r>
      <w:r>
        <w:rPr>
          <w:spacing w:val="-32"/>
          <w:w w:val="100"/>
        </w:rPr>
        <w:t>）</w:t>
      </w:r>
      <w:r>
        <w:rPr>
          <w:spacing w:val="-3"/>
          <w:w w:val="100"/>
        </w:rPr>
        <w:t>或正电子发射断层扫</w:t>
      </w:r>
      <w:r>
        <w:rPr>
          <w:spacing w:val="-1"/>
        </w:rPr>
        <w:t>描（PET）</w:t>
      </w:r>
      <w:r>
        <w:rPr>
          <w:spacing w:val="-3"/>
        </w:rPr>
        <w:t>等影像学检查证实，并须满足下列至少一项条件：</w:t>
      </w:r>
      <w:r>
        <w:rPr/>
        <w:t> </w:t>
      </w:r>
    </w:p>
    <w:p>
      <w:pPr>
        <w:pStyle w:val="BodyText"/>
        <w:spacing w:before="8"/>
        <w:ind w:left="538"/>
      </w:pPr>
      <w:r>
        <w:rPr/>
        <w:t>1．实际实施了开颅进行的脑肿瘤完全切除或部分切除的手术； </w:t>
      </w:r>
    </w:p>
    <w:p>
      <w:pPr>
        <w:pStyle w:val="BodyText"/>
        <w:spacing w:before="37"/>
        <w:ind w:left="538"/>
      </w:pPr>
      <w:r>
        <w:rPr/>
        <w:t>2．实际实施了对脑肿瘤进行的放射治疗。 </w:t>
      </w:r>
    </w:p>
    <w:p>
      <w:pPr>
        <w:pStyle w:val="BodyText"/>
        <w:rPr>
          <w:sz w:val="12"/>
        </w:rPr>
      </w:pPr>
    </w:p>
    <w:p>
      <w:pPr>
        <w:pStyle w:val="BodyText"/>
        <w:spacing w:line="408" w:lineRule="auto" w:before="36"/>
        <w:ind w:left="538" w:right="3666"/>
      </w:pPr>
      <w:r>
        <w:rPr>
          <w:shd w:fill="D9D9D9" w:color="auto" w:val="clear"/>
        </w:rPr>
        <w:t>脑垂体瘤、脑囊肿、脑血管性疾病不在保障范围内。</w:t>
      </w:r>
      <w:r>
        <w:rPr/>
        <w:t>十、慢性肝功能衰竭失代偿期</w:t>
      </w:r>
    </w:p>
    <w:p>
      <w:pPr>
        <w:pStyle w:val="BodyText"/>
        <w:spacing w:before="45"/>
        <w:ind w:left="538"/>
      </w:pPr>
      <w:r>
        <w:rPr/>
        <w:t>指因慢性肝脏疾病导致肝功能衰竭。须满足下列全部条件： </w:t>
      </w:r>
    </w:p>
    <w:p>
      <w:pPr>
        <w:pStyle w:val="BodyText"/>
        <w:spacing w:before="36"/>
        <w:ind w:left="538"/>
      </w:pPr>
      <w:r>
        <w:rPr/>
        <w:t>1．持续性黄疸； </w:t>
      </w:r>
    </w:p>
    <w:p>
      <w:pPr>
        <w:pStyle w:val="BodyText"/>
        <w:spacing w:before="36"/>
        <w:ind w:left="538"/>
      </w:pPr>
      <w:r>
        <w:rPr/>
        <w:t>2．腹水； </w:t>
      </w:r>
    </w:p>
    <w:p>
      <w:pPr>
        <w:pStyle w:val="BodyText"/>
        <w:spacing w:before="36"/>
        <w:ind w:left="538"/>
      </w:pPr>
      <w:r>
        <w:rPr/>
        <w:t>3．肝性脑病； </w:t>
      </w:r>
    </w:p>
    <w:p>
      <w:pPr>
        <w:pStyle w:val="BodyText"/>
        <w:spacing w:before="36"/>
        <w:ind w:left="538"/>
      </w:pPr>
      <w:r>
        <w:rPr/>
        <w:t>4．充血性脾肿大伴脾功能亢进或食管胃底静脉曲张。 </w:t>
      </w:r>
    </w:p>
    <w:p>
      <w:pPr>
        <w:pStyle w:val="BodyText"/>
        <w:spacing w:before="12"/>
        <w:rPr>
          <w:sz w:val="11"/>
        </w:rPr>
      </w:pPr>
    </w:p>
    <w:p>
      <w:pPr>
        <w:pStyle w:val="BodyText"/>
        <w:spacing w:line="408" w:lineRule="auto" w:before="36"/>
        <w:ind w:left="538" w:right="3457"/>
      </w:pPr>
      <w:r>
        <w:rPr>
          <w:shd w:fill="D9D9D9" w:color="auto" w:val="clear"/>
        </w:rPr>
        <w:t>因酗酒或药物滥用导致的肝功能衰竭不在保障范围内。</w:t>
      </w:r>
      <w:r>
        <w:rPr/>
        <w:t>十一、脑炎后遗症或脑膜炎后遗症</w:t>
      </w:r>
    </w:p>
    <w:p>
      <w:pPr>
        <w:pStyle w:val="BodyText"/>
        <w:spacing w:line="273" w:lineRule="auto" w:before="46"/>
        <w:ind w:left="118" w:right="158" w:firstLine="419"/>
      </w:pPr>
      <w:r>
        <w:rPr/>
        <w:t>指因患脑炎或脑膜炎导致的神经系统永久性的功能障碍。神经系统永久性的功能障碍，指疾病确诊180天后，仍遗留下列一种或一种以上障碍： </w:t>
      </w:r>
    </w:p>
    <w:p>
      <w:pPr>
        <w:pStyle w:val="BodyText"/>
        <w:spacing w:before="7"/>
        <w:ind w:left="538"/>
      </w:pPr>
      <w:r>
        <w:rPr/>
        <w:t>1．一肢或一肢以上肢体机能完全丧失； </w:t>
      </w:r>
    </w:p>
    <w:p>
      <w:pPr>
        <w:pStyle w:val="BodyText"/>
        <w:spacing w:before="36"/>
        <w:ind w:left="538"/>
      </w:pPr>
      <w:r>
        <w:rPr/>
        <w:t>2．语言能力或咀嚼吞咽能力完全丧失； </w:t>
      </w:r>
    </w:p>
    <w:p>
      <w:pPr>
        <w:pStyle w:val="BodyText"/>
        <w:spacing w:line="408" w:lineRule="auto" w:before="36"/>
        <w:ind w:left="538" w:right="411"/>
      </w:pPr>
      <w:r>
        <w:rPr/>
        <w:t>3．</w:t>
      </w:r>
      <w:r>
        <w:rPr>
          <w:spacing w:val="-3"/>
        </w:rPr>
        <w:t>自主生活能力完全丧失，无法独立完成六项基本日常生活活动中的三项或三项以上。十二、深度昏迷</w:t>
      </w:r>
    </w:p>
    <w:p>
      <w:pPr>
        <w:pStyle w:val="BodyText"/>
        <w:spacing w:line="273" w:lineRule="auto" w:before="45"/>
        <w:ind w:left="118" w:right="159" w:firstLine="419"/>
        <w:jc w:val="both"/>
      </w:pPr>
      <w:r>
        <w:rPr/>
        <w:t>指因疾病或意外伤害导致意识丧失,对外界刺激和体内需求均无反应,昏迷程度按照格拉斯哥昏迷分级（Glasgow coma scale）结果为5分或5分以下，且已经持续使用呼吸机及其他生命维持系统96小时以上。 </w:t>
      </w:r>
    </w:p>
    <w:p>
      <w:pPr>
        <w:pStyle w:val="BodyText"/>
        <w:spacing w:before="9"/>
        <w:rPr>
          <w:sz w:val="9"/>
        </w:rPr>
      </w:pPr>
    </w:p>
    <w:p>
      <w:pPr>
        <w:pStyle w:val="BodyText"/>
        <w:spacing w:line="408" w:lineRule="auto" w:before="37"/>
        <w:ind w:left="538" w:right="3666"/>
      </w:pPr>
      <w:r>
        <w:rPr>
          <w:shd w:fill="D9D9D9" w:color="auto" w:val="clear"/>
        </w:rPr>
        <w:t>因酗酒或药物滥用导致的深度昏迷不在保障范围内。</w:t>
      </w:r>
      <w:r>
        <w:rPr/>
        <w:t>十三、双耳失聪——三周岁后发生始理赔</w:t>
      </w:r>
    </w:p>
    <w:p>
      <w:pPr>
        <w:pStyle w:val="BodyText"/>
        <w:spacing w:line="312" w:lineRule="exact" w:before="41"/>
        <w:ind w:left="118" w:right="99" w:firstLine="419"/>
      </w:pPr>
      <w:r>
        <w:rPr/>
        <w:t>指因疾病或意外伤害导致双耳听力</w:t>
      </w:r>
      <w:r>
        <w:rPr>
          <w:rFonts w:ascii="微软雅黑" w:eastAsia="微软雅黑" w:hint="eastAsia"/>
          <w:b/>
        </w:rPr>
        <w:t>永久不可逆</w:t>
      </w:r>
      <w:r>
        <w:rPr>
          <w:rFonts w:ascii="微软雅黑" w:eastAsia="微软雅黑" w:hint="eastAsia"/>
          <w:b/>
          <w:position w:val="11"/>
          <w:sz w:val="11"/>
        </w:rPr>
        <w:t>17</w:t>
      </w:r>
      <w:r>
        <w:rPr/>
        <w:t>性丧失，在500赫兹、1000赫兹和2000赫兹语音频率下，平均听阈大于90分贝，且经纯音听力测试、声导抗检测或听觉诱发电位检测等证实。 </w:t>
      </w:r>
    </w:p>
    <w:p>
      <w:pPr>
        <w:pStyle w:val="BodyText"/>
        <w:spacing w:before="5"/>
        <w:rPr>
          <w:sz w:val="9"/>
        </w:rPr>
      </w:pPr>
    </w:p>
    <w:p>
      <w:pPr>
        <w:pStyle w:val="BodyText"/>
        <w:spacing w:line="408" w:lineRule="auto" w:before="36"/>
        <w:ind w:left="538" w:right="2196"/>
      </w:pPr>
      <w:r>
        <w:rPr>
          <w:shd w:fill="D9D9D9" w:color="auto" w:val="clear"/>
        </w:rPr>
        <w:t>在被保险人零至三周岁期间内，被保险人双耳失聪不在保障范围内。</w:t>
      </w:r>
      <w:r>
        <w:rPr/>
        <w:t>十四、双目失明——三周岁后发生始理赔</w:t>
      </w:r>
    </w:p>
    <w:p>
      <w:pPr>
        <w:pStyle w:val="BodyText"/>
        <w:spacing w:line="273" w:lineRule="auto" w:before="45"/>
        <w:ind w:left="118" w:right="158" w:firstLine="419"/>
      </w:pPr>
      <w:r>
        <w:rPr/>
        <w:t>指因疾病或意外伤害导致双眼视力永久不可逆性丧失，双眼中较好眼须满足下列至少一项条件： </w:t>
      </w:r>
    </w:p>
    <w:p>
      <w:pPr>
        <w:pStyle w:val="BodyText"/>
        <w:rPr>
          <w:sz w:val="19"/>
        </w:rPr>
      </w:pPr>
      <w:r>
        <w:rPr/>
        <w:pict>
          <v:line style="position:absolute;mso-position-horizontal-relative:page;mso-position-vertical-relative:paragraph;z-index:1408;mso-wrap-distance-left:0;mso-wrap-distance-right:0" from="89.903999pt,14.816313pt" to="233.923999pt,14.816313pt" stroked="true" strokeweight=".72003pt" strokecolor="#000000">
            <v:stroke dashstyle="solid"/>
            <w10:wrap type="topAndBottom"/>
          </v:line>
        </w:pict>
      </w:r>
    </w:p>
    <w:p>
      <w:pPr>
        <w:spacing w:line="296" w:lineRule="exact" w:before="0"/>
        <w:ind w:left="118" w:right="0" w:firstLine="0"/>
        <w:jc w:val="left"/>
        <w:rPr>
          <w:sz w:val="18"/>
        </w:rPr>
      </w:pPr>
      <w:r>
        <w:rPr>
          <w:rFonts w:ascii="Calibri" w:eastAsia="Calibri"/>
          <w:b/>
          <w:position w:val="5"/>
          <w:sz w:val="12"/>
        </w:rPr>
        <w:t>17</w:t>
      </w:r>
      <w:r>
        <w:rPr>
          <w:rFonts w:ascii="Calibri" w:eastAsia="Calibri"/>
          <w:b/>
          <w:sz w:val="12"/>
        </w:rPr>
        <w:t>   </w:t>
      </w:r>
      <w:r>
        <w:rPr>
          <w:rFonts w:ascii="微软雅黑" w:eastAsia="微软雅黑" w:hint="eastAsia"/>
          <w:b/>
          <w:sz w:val="18"/>
        </w:rPr>
        <w:t>永久不可逆</w:t>
      </w:r>
      <w:r>
        <w:rPr>
          <w:sz w:val="18"/>
        </w:rPr>
        <w:t>：指自疾病确诊或意外伤害发生之日起，经过积极治疗 180 天后，仍无法通过现有医疗手段恢复。</w:t>
      </w:r>
    </w:p>
    <w:p>
      <w:pPr>
        <w:spacing w:after="0" w:line="296" w:lineRule="exact"/>
        <w:jc w:val="left"/>
        <w:rPr>
          <w:sz w:val="18"/>
        </w:rPr>
        <w:sectPr>
          <w:pgSz w:w="11910" w:h="16840"/>
          <w:pgMar w:header="857" w:footer="857" w:top="1040" w:bottom="1040" w:left="1680" w:right="1080"/>
        </w:sectPr>
      </w:pPr>
    </w:p>
    <w:p>
      <w:pPr>
        <w:pStyle w:val="BodyText"/>
        <w:spacing w:before="11"/>
        <w:rPr>
          <w:sz w:val="10"/>
        </w:rPr>
      </w:pPr>
    </w:p>
    <w:p>
      <w:pPr>
        <w:pStyle w:val="BodyText"/>
        <w:spacing w:before="36"/>
        <w:ind w:left="538"/>
      </w:pPr>
      <w:r>
        <w:rPr/>
        <w:t>1．眼球缺失或摘除； </w:t>
      </w:r>
    </w:p>
    <w:p>
      <w:pPr>
        <w:pStyle w:val="BodyText"/>
        <w:spacing w:before="37"/>
        <w:ind w:left="538"/>
      </w:pPr>
      <w:r>
        <w:rPr>
          <w:w w:val="100"/>
        </w:rPr>
        <w:t>2．</w:t>
      </w:r>
      <w:r>
        <w:rPr>
          <w:spacing w:val="-3"/>
          <w:w w:val="100"/>
        </w:rPr>
        <w:t>矫正视力低于</w:t>
      </w:r>
      <w:r>
        <w:rPr>
          <w:w w:val="100"/>
        </w:rPr>
        <w:t>0.</w:t>
      </w:r>
      <w:r>
        <w:rPr>
          <w:spacing w:val="-3"/>
          <w:w w:val="100"/>
        </w:rPr>
        <w:t>0</w:t>
      </w:r>
      <w:r>
        <w:rPr>
          <w:spacing w:val="-1"/>
          <w:w w:val="100"/>
        </w:rPr>
        <w:t>2</w:t>
      </w:r>
      <w:r>
        <w:rPr>
          <w:spacing w:val="-3"/>
          <w:w w:val="100"/>
        </w:rPr>
        <w:t>（采用国际标准视力表，如果使用其他视力表应进行换算</w:t>
      </w:r>
      <w:r>
        <w:rPr>
          <w:spacing w:val="-106"/>
          <w:w w:val="100"/>
        </w:rPr>
        <w:t>）</w:t>
      </w:r>
      <w:r>
        <w:rPr>
          <w:spacing w:val="-3"/>
          <w:w w:val="100"/>
        </w:rPr>
        <w:t>；</w:t>
      </w:r>
      <w:r>
        <w:rPr>
          <w:w w:val="100"/>
        </w:rPr>
        <w:t> </w:t>
      </w:r>
    </w:p>
    <w:p>
      <w:pPr>
        <w:pStyle w:val="BodyText"/>
        <w:spacing w:before="37"/>
        <w:ind w:left="538"/>
      </w:pPr>
      <w:r>
        <w:rPr/>
        <w:t>3．视野半径小于5度。 </w:t>
      </w:r>
    </w:p>
    <w:p>
      <w:pPr>
        <w:pStyle w:val="BodyText"/>
        <w:spacing w:before="13"/>
        <w:rPr>
          <w:sz w:val="11"/>
        </w:rPr>
      </w:pPr>
    </w:p>
    <w:p>
      <w:pPr>
        <w:pStyle w:val="BodyText"/>
        <w:spacing w:line="408" w:lineRule="auto" w:before="36"/>
        <w:ind w:left="538" w:right="2156"/>
      </w:pPr>
      <w:r>
        <w:rPr>
          <w:shd w:fill="D9D9D9" w:color="auto" w:val="clear"/>
        </w:rPr>
        <w:t>在被保险人零至三周岁期间内，被保险人双目失明不在保障范围内。</w:t>
      </w:r>
      <w:r>
        <w:rPr/>
        <w:t>十五、瘫痪</w:t>
      </w:r>
    </w:p>
    <w:p>
      <w:pPr>
        <w:pStyle w:val="BodyText"/>
        <w:spacing w:line="273" w:lineRule="auto" w:before="46"/>
        <w:ind w:left="118" w:right="118" w:firstLine="419"/>
        <w:jc w:val="both"/>
      </w:pPr>
      <w:r>
        <w:rPr/>
        <w:t>指因疾病或意外伤害导致两肢或两肢以上肢体机能永久完全丧失。肢体机能永久完全丧失， 指疾病确诊180天后或意外伤害发生180天后，每肢三大关节中的两大关节仍然完全僵硬，或不能随意识活动。 </w:t>
      </w:r>
    </w:p>
    <w:p>
      <w:pPr>
        <w:pStyle w:val="BodyText"/>
        <w:spacing w:before="164"/>
        <w:ind w:left="538"/>
      </w:pPr>
      <w:r>
        <w:rPr/>
        <w:t>十六、心脏瓣膜手术</w:t>
      </w:r>
    </w:p>
    <w:p>
      <w:pPr>
        <w:pStyle w:val="BodyText"/>
        <w:spacing w:before="10"/>
        <w:rPr>
          <w:sz w:val="14"/>
        </w:rPr>
      </w:pPr>
    </w:p>
    <w:p>
      <w:pPr>
        <w:pStyle w:val="BodyText"/>
        <w:spacing w:line="408" w:lineRule="auto"/>
        <w:ind w:left="538" w:right="1314"/>
      </w:pPr>
      <w:r>
        <w:rPr>
          <w:spacing w:val="-3"/>
        </w:rPr>
        <w:t>指为治疗心脏瓣膜疾病，实际实施了开胸进行的心脏瓣膜置换或修复的手术。十七、严重阿尔茨海默病</w:t>
      </w:r>
    </w:p>
    <w:p>
      <w:pPr>
        <w:pStyle w:val="BodyText"/>
        <w:spacing w:line="273" w:lineRule="auto" w:before="45"/>
        <w:ind w:left="118" w:right="119" w:firstLine="419"/>
        <w:jc w:val="both"/>
      </w:pPr>
      <w:r>
        <w:rPr>
          <w:spacing w:val="-15"/>
        </w:rPr>
        <w:t>指因大脑进行性、不可逆性改变导致智能严重衰退或丧失，临床表现为明显的认知能力障碍、</w:t>
      </w:r>
      <w:r>
        <w:rPr>
          <w:spacing w:val="-10"/>
          <w:w w:val="100"/>
        </w:rPr>
        <w:t>行为异常和社交能力减退，其日常生活必须持续受到他人监护。须由头颅断层扫描</w:t>
      </w:r>
      <w:r>
        <w:rPr>
          <w:w w:val="100"/>
        </w:rPr>
        <w:t>（CT</w:t>
      </w:r>
      <w:r>
        <w:rPr>
          <w:spacing w:val="-106"/>
          <w:w w:val="100"/>
        </w:rPr>
        <w:t>）</w:t>
      </w:r>
      <w:r>
        <w:rPr>
          <w:spacing w:val="-6"/>
          <w:w w:val="100"/>
        </w:rPr>
        <w:t>、核磁共</w:t>
      </w:r>
      <w:r>
        <w:rPr>
          <w:spacing w:val="-15"/>
        </w:rPr>
        <w:t>振检查</w:t>
      </w:r>
      <w:r>
        <w:rPr>
          <w:spacing w:val="-7"/>
        </w:rPr>
        <w:t>（MRI）</w:t>
      </w:r>
      <w:r>
        <w:rPr>
          <w:spacing w:val="-6"/>
        </w:rPr>
        <w:t>或正电子发射断层扫描</w:t>
      </w:r>
      <w:r>
        <w:rPr>
          <w:spacing w:val="-7"/>
        </w:rPr>
        <w:t>（PET）</w:t>
      </w:r>
      <w:r>
        <w:rPr>
          <w:spacing w:val="-8"/>
        </w:rPr>
        <w:t>等影像学检查证实，且自主生活能力完全丧失，无法</w:t>
      </w:r>
      <w:r>
        <w:rPr>
          <w:spacing w:val="-3"/>
        </w:rPr>
        <w:t>独立完成六项基本日常生活活动中的三项或三项以上。</w:t>
      </w:r>
      <w:r>
        <w:rPr/>
        <w:t> </w:t>
      </w:r>
    </w:p>
    <w:p>
      <w:pPr>
        <w:pStyle w:val="BodyText"/>
        <w:spacing w:before="9"/>
        <w:rPr>
          <w:sz w:val="9"/>
        </w:rPr>
      </w:pPr>
    </w:p>
    <w:p>
      <w:pPr>
        <w:pStyle w:val="BodyText"/>
        <w:spacing w:line="408" w:lineRule="auto" w:before="36"/>
        <w:ind w:left="538" w:right="4677"/>
      </w:pPr>
      <w:r>
        <w:rPr>
          <w:shd w:fill="D9D9D9" w:color="auto" w:val="clear"/>
        </w:rPr>
        <w:t>神经官能症和精神疾病不在保障范围内。</w:t>
      </w:r>
      <w:r>
        <w:rPr/>
        <w:t>十八、严重脑损伤</w:t>
      </w:r>
    </w:p>
    <w:p>
      <w:pPr>
        <w:pStyle w:val="BodyText"/>
        <w:spacing w:line="273" w:lineRule="auto" w:before="46"/>
        <w:ind w:left="118" w:right="118" w:firstLine="419"/>
        <w:jc w:val="both"/>
      </w:pPr>
      <w:r>
        <w:rPr/>
        <w:t>指因头部遭受机械性外力，引起脑重要部位损伤，导致神经系统永久性的功能障碍。须由头</w:t>
      </w:r>
      <w:r>
        <w:rPr>
          <w:spacing w:val="-4"/>
          <w:w w:val="100"/>
        </w:rPr>
        <w:t>颅断层扫描</w:t>
      </w:r>
      <w:r>
        <w:rPr>
          <w:spacing w:val="-1"/>
          <w:w w:val="100"/>
        </w:rPr>
        <w:t>（</w:t>
      </w:r>
      <w:r>
        <w:rPr>
          <w:w w:val="100"/>
        </w:rPr>
        <w:t>CT</w:t>
      </w:r>
      <w:r>
        <w:rPr>
          <w:spacing w:val="-108"/>
          <w:w w:val="100"/>
        </w:rPr>
        <w:t>）</w:t>
      </w:r>
      <w:r>
        <w:rPr>
          <w:spacing w:val="-6"/>
          <w:w w:val="100"/>
        </w:rPr>
        <w:t>、核磁共振检查</w:t>
      </w:r>
      <w:r>
        <w:rPr>
          <w:w w:val="100"/>
        </w:rPr>
        <w:t>（MR</w:t>
      </w:r>
      <w:r>
        <w:rPr>
          <w:spacing w:val="-3"/>
          <w:w w:val="100"/>
        </w:rPr>
        <w:t>I</w:t>
      </w:r>
      <w:r>
        <w:rPr>
          <w:spacing w:val="-10"/>
          <w:w w:val="100"/>
        </w:rPr>
        <w:t>）</w:t>
      </w:r>
      <w:r>
        <w:rPr>
          <w:spacing w:val="-4"/>
          <w:w w:val="100"/>
        </w:rPr>
        <w:t>或正电子发射断层扫描</w:t>
      </w:r>
      <w:r>
        <w:rPr>
          <w:w w:val="100"/>
        </w:rPr>
        <w:t>（PE</w:t>
      </w:r>
      <w:r>
        <w:rPr>
          <w:spacing w:val="-3"/>
          <w:w w:val="100"/>
        </w:rPr>
        <w:t>T</w:t>
      </w:r>
      <w:r>
        <w:rPr>
          <w:spacing w:val="-10"/>
          <w:w w:val="100"/>
        </w:rPr>
        <w:t>）</w:t>
      </w:r>
      <w:r>
        <w:rPr>
          <w:spacing w:val="-4"/>
          <w:w w:val="100"/>
        </w:rPr>
        <w:t>等影像学检查证实。神经</w:t>
      </w:r>
      <w:r>
        <w:rPr>
          <w:spacing w:val="-3"/>
        </w:rPr>
        <w:t>系统永久性的功能障碍，指脑损伤</w:t>
      </w:r>
      <w:r>
        <w:rPr/>
        <w:t>180</w:t>
      </w:r>
      <w:r>
        <w:rPr>
          <w:spacing w:val="-3"/>
        </w:rPr>
        <w:t>天后，仍遗留下列一种或一种以上障碍： </w:t>
      </w:r>
    </w:p>
    <w:p>
      <w:pPr>
        <w:pStyle w:val="BodyText"/>
        <w:spacing w:before="7"/>
        <w:ind w:left="538"/>
      </w:pPr>
      <w:r>
        <w:rPr/>
        <w:t>1．一肢或一肢以上肢体机能完全丧失； </w:t>
      </w:r>
    </w:p>
    <w:p>
      <w:pPr>
        <w:pStyle w:val="BodyText"/>
        <w:spacing w:before="36"/>
        <w:ind w:left="538"/>
      </w:pPr>
      <w:r>
        <w:rPr/>
        <w:t>2．语言能力或咀嚼吞咽能力完全丧失； </w:t>
      </w:r>
    </w:p>
    <w:p>
      <w:pPr>
        <w:pStyle w:val="BodyText"/>
        <w:spacing w:line="408" w:lineRule="auto" w:before="36"/>
        <w:ind w:left="538" w:right="371"/>
      </w:pPr>
      <w:r>
        <w:rPr/>
        <w:t>3．</w:t>
      </w:r>
      <w:r>
        <w:rPr>
          <w:spacing w:val="-3"/>
        </w:rPr>
        <w:t>自主生活能力完全丧失，无法独立完成六项基本日常生活活动中的三项或三项以上。十九、严重帕金森病</w:t>
      </w:r>
    </w:p>
    <w:p>
      <w:pPr>
        <w:pStyle w:val="BodyText"/>
        <w:spacing w:line="273" w:lineRule="auto" w:before="45"/>
        <w:ind w:left="118" w:right="118" w:firstLine="419"/>
      </w:pPr>
      <w:r>
        <w:rPr/>
        <w:t>是一种中枢神经系统的退行性疾病，临床表现为震颤麻痹、共济失调等。须满足下列全部条件： </w:t>
      </w:r>
    </w:p>
    <w:p>
      <w:pPr>
        <w:pStyle w:val="BodyText"/>
        <w:spacing w:before="7"/>
        <w:ind w:left="538"/>
      </w:pPr>
      <w:r>
        <w:rPr/>
        <w:t>1．药物治疗无法控制病情； </w:t>
      </w:r>
    </w:p>
    <w:p>
      <w:pPr>
        <w:pStyle w:val="BodyText"/>
        <w:spacing w:before="37"/>
        <w:ind w:left="538"/>
      </w:pPr>
      <w:r>
        <w:rPr/>
        <w:t>2．自主生活能力完全丧失，无法独立完成六项基本日常生活活动中的三项或三项以上。 </w:t>
      </w:r>
    </w:p>
    <w:p>
      <w:pPr>
        <w:pStyle w:val="BodyText"/>
        <w:spacing w:before="12"/>
        <w:rPr>
          <w:sz w:val="11"/>
        </w:rPr>
      </w:pPr>
    </w:p>
    <w:p>
      <w:pPr>
        <w:pStyle w:val="BodyText"/>
        <w:spacing w:line="408" w:lineRule="auto" w:before="36"/>
        <w:ind w:left="538" w:right="4889"/>
      </w:pPr>
      <w:r>
        <w:rPr>
          <w:shd w:fill="D9D9D9" w:color="auto" w:val="clear"/>
        </w:rPr>
        <w:t>继发性帕金森综合征不在保障范围内。</w:t>
      </w:r>
      <w:r>
        <w:rPr/>
        <w:t>二十、严重Ⅲ度烧伤</w:t>
      </w:r>
    </w:p>
    <w:p>
      <w:pPr>
        <w:pStyle w:val="BodyText"/>
        <w:spacing w:before="45"/>
        <w:ind w:left="538"/>
      </w:pPr>
      <w:r>
        <w:rPr/>
        <w:t>指烧伤程度为Ⅲ度，且Ⅲ度烧伤的面积达到全身体表面积的20％或20％以上。体表面积根据</w:t>
      </w:r>
    </w:p>
    <w:p>
      <w:pPr>
        <w:pStyle w:val="BodyText"/>
        <w:spacing w:before="36"/>
        <w:ind w:left="118"/>
      </w:pPr>
      <w:r>
        <w:rPr/>
        <w:t>《中国新九分法》计算。 </w:t>
      </w:r>
    </w:p>
    <w:p>
      <w:pPr>
        <w:pStyle w:val="BodyText"/>
        <w:spacing w:before="9"/>
        <w:rPr>
          <w:sz w:val="14"/>
        </w:rPr>
      </w:pPr>
    </w:p>
    <w:p>
      <w:pPr>
        <w:pStyle w:val="BodyText"/>
        <w:ind w:left="538"/>
      </w:pPr>
      <w:r>
        <w:rPr/>
        <w:t>二十一、严重原发性肺动脉高压</w:t>
      </w:r>
    </w:p>
    <w:p>
      <w:pPr>
        <w:pStyle w:val="BodyText"/>
        <w:spacing w:before="9"/>
        <w:rPr>
          <w:sz w:val="14"/>
        </w:rPr>
      </w:pPr>
    </w:p>
    <w:p>
      <w:pPr>
        <w:pStyle w:val="BodyText"/>
        <w:spacing w:line="273" w:lineRule="auto"/>
        <w:ind w:left="118" w:right="118" w:firstLine="419"/>
        <w:jc w:val="both"/>
      </w:pPr>
      <w:r>
        <w:rPr/>
        <w:t>指不明原因的肺动脉压力持续性增高，进行性发展而导致的慢性疾病，已经造成永久不可逆性的体力活动能力受限，达到美国纽约心脏病学会心功能状态分级Ⅳ级，且静息状态下肺动脉平均压超过30mmHg。 </w:t>
      </w:r>
    </w:p>
    <w:p>
      <w:pPr>
        <w:pStyle w:val="BodyText"/>
        <w:spacing w:before="163"/>
        <w:ind w:left="538"/>
      </w:pPr>
      <w:r>
        <w:rPr/>
        <w:t>二十二、严重运动神经元病</w:t>
      </w:r>
    </w:p>
    <w:p>
      <w:pPr>
        <w:spacing w:after="0"/>
        <w:sectPr>
          <w:pgSz w:w="11910" w:h="16840"/>
          <w:pgMar w:header="857" w:footer="857" w:top="1040" w:bottom="1040" w:left="1680" w:right="1120"/>
        </w:sectPr>
      </w:pPr>
    </w:p>
    <w:p>
      <w:pPr>
        <w:pStyle w:val="BodyText"/>
        <w:spacing w:before="11"/>
        <w:rPr>
          <w:sz w:val="10"/>
        </w:rPr>
      </w:pPr>
    </w:p>
    <w:p>
      <w:pPr>
        <w:pStyle w:val="BodyText"/>
        <w:spacing w:line="273" w:lineRule="auto" w:before="36"/>
        <w:ind w:left="118" w:right="118" w:firstLine="41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 </w:t>
      </w:r>
    </w:p>
    <w:p>
      <w:pPr>
        <w:pStyle w:val="BodyText"/>
        <w:spacing w:before="163"/>
        <w:ind w:left="538"/>
      </w:pPr>
      <w:r>
        <w:rPr/>
        <w:t>二十三、语言能力丧失—三周岁后发生始理赔</w:t>
      </w:r>
    </w:p>
    <w:p>
      <w:pPr>
        <w:pStyle w:val="BodyText"/>
        <w:spacing w:before="9"/>
        <w:rPr>
          <w:sz w:val="14"/>
        </w:rPr>
      </w:pPr>
    </w:p>
    <w:p>
      <w:pPr>
        <w:pStyle w:val="BodyText"/>
        <w:spacing w:line="273" w:lineRule="auto"/>
        <w:ind w:left="118" w:right="116" w:firstLine="419"/>
        <w:jc w:val="both"/>
      </w:pPr>
      <w:r>
        <w:rPr/>
        <w:t>指因疾病或意外伤害导致完全丧失语言能力，经过积极治疗至少12个月（声带完全切除不受</w:t>
      </w:r>
      <w:r>
        <w:rPr>
          <w:spacing w:val="-2"/>
          <w:w w:val="100"/>
        </w:rPr>
        <w:t>此时间限制</w:t>
      </w:r>
      <w:r>
        <w:rPr>
          <w:spacing w:val="-106"/>
          <w:w w:val="100"/>
        </w:rPr>
        <w:t>）</w:t>
      </w:r>
      <w:r>
        <w:rPr>
          <w:spacing w:val="-3"/>
          <w:w w:val="100"/>
        </w:rPr>
        <w:t>，仍无法通过现有医疗手段恢复。</w:t>
      </w:r>
      <w:r>
        <w:rPr>
          <w:w w:val="100"/>
        </w:rPr>
        <w:t> </w:t>
      </w:r>
    </w:p>
    <w:p>
      <w:pPr>
        <w:pStyle w:val="BodyText"/>
        <w:spacing w:before="9"/>
        <w:rPr>
          <w:sz w:val="9"/>
        </w:rPr>
      </w:pPr>
    </w:p>
    <w:p>
      <w:pPr>
        <w:pStyle w:val="BodyText"/>
        <w:spacing w:before="36"/>
        <w:ind w:left="538"/>
      </w:pPr>
      <w:r>
        <w:rPr>
          <w:shd w:fill="D9D9D9" w:color="auto" w:val="clear"/>
        </w:rPr>
        <w:t>精神心理因素所致的语言能力丧失不在保障范围内。</w:t>
      </w:r>
      <w:r>
        <w:rPr/>
        <w:t> </w:t>
      </w:r>
    </w:p>
    <w:p>
      <w:pPr>
        <w:pStyle w:val="BodyText"/>
        <w:spacing w:before="12"/>
        <w:rPr>
          <w:sz w:val="11"/>
        </w:rPr>
      </w:pPr>
    </w:p>
    <w:p>
      <w:pPr>
        <w:pStyle w:val="BodyText"/>
        <w:spacing w:line="408" w:lineRule="auto" w:before="36"/>
        <w:ind w:left="538" w:right="1736"/>
      </w:pPr>
      <w:r>
        <w:rPr>
          <w:spacing w:val="-3"/>
          <w:shd w:fill="D9D9D9" w:color="auto" w:val="clear"/>
        </w:rPr>
        <w:t>在被保险人零至三周岁期间内，被保险人语言能力丧失不在保障范围内。</w:t>
      </w:r>
      <w:r>
        <w:rPr>
          <w:spacing w:val="-3"/>
        </w:rPr>
        <w:t>二十四、重型再生障碍性贫血</w:t>
      </w:r>
    </w:p>
    <w:p>
      <w:pPr>
        <w:pStyle w:val="BodyText"/>
        <w:spacing w:line="273" w:lineRule="auto" w:before="46"/>
        <w:ind w:left="118" w:right="118" w:firstLine="419"/>
      </w:pPr>
      <w:r>
        <w:rPr/>
        <w:t>指因骨髓造血功能慢性持续性衰竭导致的贫血、中性粒细胞减少及血小板减少。须满足下列全部条件： </w:t>
      </w:r>
    </w:p>
    <w:p>
      <w:pPr>
        <w:pStyle w:val="BodyText"/>
        <w:spacing w:before="7"/>
        <w:ind w:left="538"/>
      </w:pPr>
      <w:r>
        <w:rPr/>
        <w:t>1．骨髓穿刺检查或骨髓活检结果支持诊断； </w:t>
      </w:r>
    </w:p>
    <w:p>
      <w:pPr>
        <w:pStyle w:val="BodyText"/>
        <w:spacing w:before="36"/>
        <w:ind w:left="538"/>
      </w:pPr>
      <w:r>
        <w:rPr/>
        <w:t>2．外周血象须具备以下三项条件： </w:t>
      </w:r>
    </w:p>
    <w:p>
      <w:pPr>
        <w:pStyle w:val="BodyText"/>
        <w:spacing w:before="36"/>
        <w:ind w:left="542"/>
      </w:pPr>
      <w:r>
        <w:rPr/>
        <w:t>（1）中性粒细胞绝对值≤0.5×10</w:t>
      </w:r>
      <w:r>
        <w:rPr>
          <w:rFonts w:ascii="Calibri" w:hAnsi="Calibri" w:eastAsia="Calibri"/>
          <w:position w:val="7"/>
          <w:sz w:val="14"/>
        </w:rPr>
        <w:t>9</w:t>
      </w:r>
      <w:r>
        <w:rPr/>
        <w:t>/L； </w:t>
      </w:r>
    </w:p>
    <w:p>
      <w:pPr>
        <w:pStyle w:val="BodyText"/>
        <w:spacing w:before="36"/>
        <w:ind w:left="542"/>
      </w:pPr>
      <w:r>
        <w:rPr/>
        <w:t>（2）网织红细胞＜1%； </w:t>
      </w:r>
    </w:p>
    <w:p>
      <w:pPr>
        <w:pStyle w:val="BodyText"/>
        <w:spacing w:line="403" w:lineRule="auto" w:before="36"/>
        <w:ind w:left="538" w:right="5340" w:firstLine="4"/>
      </w:pPr>
      <w:r>
        <w:rPr/>
        <w:t>（3）血小板绝对值≤20×10</w:t>
      </w:r>
      <w:r>
        <w:rPr>
          <w:rFonts w:ascii="Calibri" w:hAnsi="Calibri" w:eastAsia="Calibri"/>
          <w:position w:val="7"/>
          <w:sz w:val="14"/>
        </w:rPr>
        <w:t>9</w:t>
      </w:r>
      <w:r>
        <w:rPr/>
        <w:t>/L。二十五、主动脉手术</w:t>
      </w:r>
    </w:p>
    <w:p>
      <w:pPr>
        <w:pStyle w:val="BodyText"/>
        <w:spacing w:line="273" w:lineRule="auto" w:before="49"/>
        <w:ind w:left="118" w:right="118" w:firstLine="419"/>
      </w:pPr>
      <w:r>
        <w:rPr/>
        <w:t>指为治疗主动脉疾病，实际实施了开胸或开腹进行的切除、置换、修补病损主动脉血管的手术。主动脉指胸主动脉和腹主动脉，不包括胸主动脉和腹主动脉的分支血管。 </w:t>
      </w:r>
    </w:p>
    <w:p>
      <w:pPr>
        <w:pStyle w:val="BodyText"/>
        <w:spacing w:before="9"/>
        <w:rPr>
          <w:sz w:val="9"/>
        </w:rPr>
      </w:pPr>
    </w:p>
    <w:p>
      <w:pPr>
        <w:pStyle w:val="BodyText"/>
        <w:spacing w:line="408" w:lineRule="auto" w:before="36"/>
        <w:ind w:left="538" w:right="5201"/>
      </w:pPr>
      <w:r>
        <w:rPr>
          <w:shd w:fill="D9D9D9" w:color="auto" w:val="clear"/>
        </w:rPr>
        <w:t>动脉内血管成形术不在保障范围内。</w:t>
      </w:r>
      <w:r>
        <w:rPr/>
        <w:t>二十六、脑动脉瘤开颅手术</w:t>
      </w:r>
    </w:p>
    <w:p>
      <w:pPr>
        <w:pStyle w:val="BodyText"/>
        <w:spacing w:before="45"/>
        <w:ind w:left="538"/>
      </w:pPr>
      <w:r>
        <w:rPr/>
        <w:t>指为治疗脑动脉瘤，实际实施了开颅进行的夹闭、修复或切除病变脑动脉血管的手术。</w:t>
      </w:r>
    </w:p>
    <w:p>
      <w:pPr>
        <w:pStyle w:val="BodyText"/>
        <w:spacing w:before="12"/>
        <w:rPr>
          <w:sz w:val="11"/>
        </w:rPr>
      </w:pPr>
    </w:p>
    <w:p>
      <w:pPr>
        <w:pStyle w:val="BodyText"/>
        <w:spacing w:line="408" w:lineRule="auto" w:before="36"/>
        <w:ind w:left="538" w:right="5201"/>
      </w:pPr>
      <w:r>
        <w:rPr>
          <w:shd w:fill="D9D9D9" w:color="auto" w:val="clear"/>
        </w:rPr>
        <w:t>导管及血管内手术不在保障范围内。</w:t>
      </w:r>
      <w:r>
        <w:rPr/>
        <w:t>二十七、严重多发性硬化症</w:t>
      </w:r>
    </w:p>
    <w:p>
      <w:pPr>
        <w:pStyle w:val="BodyText"/>
        <w:spacing w:line="264" w:lineRule="auto" w:before="45"/>
        <w:ind w:left="118" w:right="117" w:firstLine="419"/>
        <w:jc w:val="both"/>
      </w:pPr>
      <w:r>
        <w:rPr/>
        <w:t>指因中枢神经系统脱髓鞘疾病，导致不可逆的运动或感觉功能障碍，临床表现为视力受损、</w:t>
      </w:r>
      <w:r>
        <w:rPr>
          <w:spacing w:val="-3"/>
        </w:rPr>
        <w:t>截瘫、平衡失调、构音障碍、大小便机能失调等症状。不可逆指运动或感觉功能障碍初次诊断后</w:t>
      </w:r>
      <w:r>
        <w:rPr>
          <w:spacing w:val="-3"/>
          <w:w w:val="100"/>
        </w:rPr>
        <w:t>需持续</w:t>
      </w:r>
      <w:r>
        <w:rPr>
          <w:rFonts w:ascii="Calibri" w:eastAsia="Calibri"/>
          <w:spacing w:val="-2"/>
          <w:w w:val="100"/>
        </w:rPr>
        <w:t>1</w:t>
      </w:r>
      <w:r>
        <w:rPr>
          <w:rFonts w:ascii="Calibri" w:eastAsia="Calibri"/>
          <w:w w:val="100"/>
        </w:rPr>
        <w:t>8</w:t>
      </w:r>
      <w:r>
        <w:rPr>
          <w:rFonts w:ascii="Calibri" w:eastAsia="Calibri"/>
          <w:spacing w:val="-2"/>
          <w:w w:val="100"/>
        </w:rPr>
        <w:t>0</w:t>
      </w:r>
      <w:r>
        <w:rPr>
          <w:spacing w:val="-5"/>
          <w:w w:val="100"/>
        </w:rPr>
        <w:t>天以上。须由断层扫描</w:t>
      </w:r>
      <w:r>
        <w:rPr>
          <w:spacing w:val="-1"/>
          <w:w w:val="100"/>
        </w:rPr>
        <w:t>（</w:t>
      </w:r>
      <w:r>
        <w:rPr>
          <w:rFonts w:ascii="Calibri" w:eastAsia="Calibri"/>
          <w:w w:val="100"/>
        </w:rPr>
        <w:t>CT</w:t>
      </w:r>
      <w:r>
        <w:rPr>
          <w:spacing w:val="-106"/>
          <w:w w:val="100"/>
        </w:rPr>
        <w:t>）</w:t>
      </w:r>
      <w:r>
        <w:rPr>
          <w:spacing w:val="-5"/>
          <w:w w:val="100"/>
        </w:rPr>
        <w:t>、核磁共振检查</w:t>
      </w:r>
      <w:r>
        <w:rPr>
          <w:w w:val="100"/>
        </w:rPr>
        <w:t>（</w:t>
      </w:r>
      <w:r>
        <w:rPr>
          <w:rFonts w:ascii="Calibri" w:eastAsia="Calibri"/>
          <w:w w:val="100"/>
        </w:rPr>
        <w:t>M</w:t>
      </w:r>
      <w:r>
        <w:rPr>
          <w:rFonts w:ascii="Calibri" w:eastAsia="Calibri"/>
          <w:spacing w:val="-5"/>
          <w:w w:val="100"/>
        </w:rPr>
        <w:t>R</w:t>
      </w:r>
      <w:r>
        <w:rPr>
          <w:rFonts w:ascii="Calibri" w:eastAsia="Calibri"/>
          <w:w w:val="100"/>
        </w:rPr>
        <w:t>T</w:t>
      </w:r>
      <w:r>
        <w:rPr>
          <w:spacing w:val="-8"/>
          <w:w w:val="100"/>
        </w:rPr>
        <w:t>）</w:t>
      </w:r>
      <w:r>
        <w:rPr>
          <w:spacing w:val="-4"/>
          <w:w w:val="100"/>
        </w:rPr>
        <w:t>或正电子发射断层扫描</w:t>
      </w:r>
      <w:r>
        <w:rPr>
          <w:w w:val="100"/>
        </w:rPr>
        <w:t>（</w:t>
      </w:r>
      <w:r>
        <w:rPr>
          <w:rFonts w:ascii="Calibri" w:eastAsia="Calibri"/>
          <w:spacing w:val="-2"/>
          <w:w w:val="100"/>
        </w:rPr>
        <w:t>P</w:t>
      </w:r>
      <w:r>
        <w:rPr>
          <w:rFonts w:ascii="Calibri" w:eastAsia="Calibri"/>
          <w:spacing w:val="-3"/>
          <w:w w:val="100"/>
        </w:rPr>
        <w:t>E</w:t>
      </w:r>
      <w:r>
        <w:rPr>
          <w:rFonts w:ascii="Calibri" w:eastAsia="Calibri"/>
          <w:w w:val="100"/>
        </w:rPr>
        <w:t>T</w:t>
      </w:r>
      <w:r>
        <w:rPr>
          <w:spacing w:val="-8"/>
          <w:w w:val="100"/>
        </w:rPr>
        <w:t>）</w:t>
      </w:r>
      <w:r>
        <w:rPr>
          <w:w w:val="100"/>
        </w:rPr>
        <w:t>等</w:t>
      </w:r>
      <w:r>
        <w:rPr>
          <w:spacing w:val="-3"/>
        </w:rPr>
        <w:t>影像学检查证实，且须满足下列全部条件：</w:t>
      </w:r>
    </w:p>
    <w:p>
      <w:pPr>
        <w:pStyle w:val="BodyText"/>
        <w:spacing w:line="273" w:lineRule="exact" w:before="150"/>
        <w:ind w:left="542"/>
      </w:pPr>
      <w:r>
        <w:rPr/>
        <w:t>1．明确出现因视神经、脑干或脊髓损伤等导致的上述临床症状；</w:t>
      </w:r>
    </w:p>
    <w:p>
      <w:pPr>
        <w:pStyle w:val="BodyText"/>
        <w:spacing w:line="272" w:lineRule="exact"/>
        <w:ind w:left="542"/>
      </w:pPr>
      <w:r>
        <w:rPr/>
        <w:t>2．散在的、多样性的神经损伤；</w:t>
      </w:r>
    </w:p>
    <w:p>
      <w:pPr>
        <w:pStyle w:val="BodyText"/>
        <w:spacing w:line="391" w:lineRule="auto"/>
        <w:ind w:left="538" w:right="3201" w:firstLine="4"/>
      </w:pPr>
      <w:r>
        <w:rPr/>
        <w:t>3．上述临床症状反复发作、恶化及神经损伤的病史记录。二十八、严重系统性红斑狼疮性肾病</w:t>
      </w:r>
    </w:p>
    <w:p>
      <w:pPr>
        <w:pStyle w:val="BodyText"/>
        <w:spacing w:line="273" w:lineRule="auto" w:before="61"/>
        <w:ind w:left="118" w:right="116" w:firstLine="419"/>
        <w:jc w:val="both"/>
      </w:pPr>
      <w:r>
        <w:rPr/>
        <w:t>系统性红斑狼疮是累及多系统、多器官的具有多种自身抗体的免疫性疾病。系统性红斑狼疮性肾病，又称为狼疮性肾炎，是系统性红斑狼疮累及肾脏，造成肾功能损伤。须经肾脏病理检查或临床确诊，并符合下列</w:t>
      </w:r>
      <w:r>
        <w:rPr>
          <w:rFonts w:ascii="Calibri" w:hAnsi="Calibri" w:eastAsia="Calibri"/>
        </w:rPr>
        <w:t>WHO</w:t>
      </w:r>
      <w:r>
        <w:rPr/>
        <w:t>诊断标准定义的Ⅲ型至Ⅴ型狼疮性肾炎。</w:t>
      </w:r>
    </w:p>
    <w:p>
      <w:pPr>
        <w:pStyle w:val="BodyText"/>
        <w:spacing w:before="130"/>
        <w:ind w:left="538"/>
      </w:pPr>
      <w:r>
        <w:rPr/>
        <w:t>世界卫生组织（</w:t>
      </w:r>
      <w:r>
        <w:rPr>
          <w:rFonts w:ascii="Calibri" w:eastAsia="Calibri"/>
        </w:rPr>
        <w:t>WHO</w:t>
      </w:r>
      <w:r>
        <w:rPr/>
        <w:t>）狼疮性肾炎分型：</w:t>
      </w:r>
    </w:p>
    <w:p>
      <w:pPr>
        <w:pStyle w:val="BodyText"/>
        <w:spacing w:before="10"/>
        <w:ind w:left="538"/>
      </w:pPr>
      <w:r>
        <w:rPr/>
        <w:t>Ⅰ型（微小病变型）镜下阴性，尿液正常</w:t>
      </w:r>
    </w:p>
    <w:p>
      <w:pPr>
        <w:spacing w:after="0"/>
        <w:sectPr>
          <w:pgSz w:w="11910" w:h="16840"/>
          <w:pgMar w:header="857" w:footer="857" w:top="1040" w:bottom="1040" w:left="1680" w:right="1120"/>
        </w:sectPr>
      </w:pPr>
    </w:p>
    <w:p>
      <w:pPr>
        <w:pStyle w:val="BodyText"/>
        <w:spacing w:before="11"/>
        <w:rPr>
          <w:sz w:val="10"/>
        </w:rPr>
      </w:pPr>
    </w:p>
    <w:p>
      <w:pPr>
        <w:pStyle w:val="BodyText"/>
        <w:spacing w:before="36"/>
        <w:ind w:left="538"/>
      </w:pPr>
      <w:r>
        <w:rPr/>
        <w:t>Ⅱ型（系膜病变型）中度蛋白尿，偶有尿沉渣改变</w:t>
      </w:r>
    </w:p>
    <w:p>
      <w:pPr>
        <w:pStyle w:val="BodyText"/>
        <w:spacing w:before="37"/>
        <w:ind w:left="538"/>
      </w:pPr>
      <w:r>
        <w:rPr/>
        <w:t>Ⅲ型（局灶及节段增生型）蛋白尿，尿沉渣改变</w:t>
      </w:r>
    </w:p>
    <w:p>
      <w:pPr>
        <w:pStyle w:val="BodyText"/>
        <w:spacing w:before="37"/>
        <w:ind w:left="538"/>
      </w:pPr>
      <w:r>
        <w:rPr/>
        <w:t>Ⅳ型（弥漫增生型）急性肾炎伴有尿沉渣改变及</w:t>
      </w:r>
      <w:r>
        <w:rPr>
          <w:rFonts w:ascii="Calibri" w:hAnsi="Calibri" w:eastAsia="Calibri"/>
        </w:rPr>
        <w:t>/</w:t>
      </w:r>
      <w:r>
        <w:rPr/>
        <w:t>或肾病综合征</w:t>
      </w:r>
    </w:p>
    <w:p>
      <w:pPr>
        <w:pStyle w:val="BodyText"/>
        <w:spacing w:before="10"/>
        <w:ind w:left="538"/>
      </w:pPr>
      <w:r>
        <w:rPr/>
        <w:t>Ⅴ型（膜型）肾病综合征或重度蛋白尿</w:t>
      </w:r>
    </w:p>
    <w:p>
      <w:pPr>
        <w:pStyle w:val="BodyText"/>
        <w:spacing w:before="12"/>
        <w:rPr>
          <w:sz w:val="11"/>
        </w:rPr>
      </w:pPr>
    </w:p>
    <w:p>
      <w:pPr>
        <w:pStyle w:val="BodyText"/>
        <w:spacing w:line="273" w:lineRule="auto" w:before="37"/>
        <w:ind w:left="118" w:right="117" w:firstLine="419"/>
      </w:pPr>
      <w:r>
        <w:rPr>
          <w:shd w:fill="D9D9D9" w:color="auto" w:val="clear"/>
        </w:rPr>
        <w:t>其他类型的红斑性狼疮，如盘状狼疮，仅累及血液及关节等其他系统的系统性红斑狼疮不在保障范围内。</w:t>
      </w:r>
    </w:p>
    <w:p>
      <w:pPr>
        <w:pStyle w:val="BodyText"/>
        <w:spacing w:before="164"/>
        <w:ind w:left="538"/>
      </w:pPr>
      <w:r>
        <w:rPr/>
        <w:t>二十九、严重重症肌无力</w:t>
      </w:r>
    </w:p>
    <w:p>
      <w:pPr>
        <w:pStyle w:val="BodyText"/>
        <w:spacing w:before="10"/>
        <w:rPr>
          <w:sz w:val="14"/>
        </w:rPr>
      </w:pPr>
    </w:p>
    <w:p>
      <w:pPr>
        <w:pStyle w:val="BodyText"/>
        <w:spacing w:line="273" w:lineRule="auto"/>
        <w:ind w:left="118" w:right="117" w:firstLine="419"/>
        <w:jc w:val="both"/>
      </w:pPr>
      <w:r>
        <w:rPr/>
        <w:t>指一种神经与肌肉接头部位传递障碍的自身免疫性疾病，临床特征是局部或全身横纹肌于活动时易于疲劳无力，颅神经眼外肌最易累及，也可涉及呼吸肌、下肢近端肌群以至全身肌肉。须满足下列全部条件：</w:t>
      </w:r>
    </w:p>
    <w:p>
      <w:pPr>
        <w:pStyle w:val="BodyText"/>
        <w:spacing w:before="164"/>
        <w:ind w:left="538"/>
      </w:pPr>
      <w:r>
        <w:rPr/>
        <w:t>1．经药物或胸腺手术治疗一年及以上无法控制病情，丧失正常工作能力；</w:t>
      </w:r>
    </w:p>
    <w:p>
      <w:pPr>
        <w:pStyle w:val="BodyText"/>
        <w:spacing w:line="273" w:lineRule="auto" w:before="37"/>
        <w:ind w:left="118" w:right="121" w:firstLine="419"/>
      </w:pPr>
      <w:r>
        <w:rPr>
          <w:spacing w:val="-6"/>
        </w:rPr>
        <w:t>2</w:t>
      </w:r>
      <w:r>
        <w:rPr>
          <w:spacing w:val="-9"/>
        </w:rPr>
        <w:t>．出现眼睑下垂，或延髓及受累引起的构音困难、进食呛咳，或由于肌无力累及延髓肌、呼</w:t>
      </w:r>
      <w:r>
        <w:rPr>
          <w:spacing w:val="-3"/>
        </w:rPr>
        <w:t>吸肌而致机体呼吸功能不正常的危急状态即肌无力危象；</w:t>
      </w:r>
    </w:p>
    <w:p>
      <w:pPr>
        <w:pStyle w:val="BodyText"/>
        <w:spacing w:line="408" w:lineRule="auto" w:before="8"/>
        <w:ind w:left="538" w:right="265"/>
      </w:pPr>
      <w:r>
        <w:rPr/>
        <w:t>3．症状缓解、复发及恶化的交替出现，临床接受新斯的明等抗胆碱酯酶药物治疗的病史。三十、终末期肺病</w:t>
      </w:r>
    </w:p>
    <w:p>
      <w:pPr>
        <w:pStyle w:val="BodyText"/>
        <w:spacing w:before="46"/>
        <w:ind w:left="538"/>
      </w:pPr>
      <w:r>
        <w:rPr/>
        <w:t>指慢性呼吸功能衰竭，须满足下列全部条件：</w:t>
      </w:r>
    </w:p>
    <w:p>
      <w:pPr>
        <w:pStyle w:val="BodyText"/>
        <w:spacing w:before="12"/>
        <w:rPr>
          <w:sz w:val="11"/>
        </w:rPr>
      </w:pPr>
    </w:p>
    <w:p>
      <w:pPr>
        <w:pStyle w:val="BodyText"/>
        <w:spacing w:before="37"/>
        <w:ind w:left="538"/>
      </w:pPr>
      <w:r>
        <w:rPr/>
        <w:t>1．肺功能测试其</w:t>
      </w:r>
      <w:r>
        <w:rPr>
          <w:rFonts w:ascii="Calibri" w:eastAsia="Calibri"/>
        </w:rPr>
        <w:t>FEV1</w:t>
      </w:r>
      <w:r>
        <w:rPr/>
        <w:t>持续低于</w:t>
      </w:r>
      <w:r>
        <w:rPr>
          <w:rFonts w:ascii="Calibri" w:eastAsia="Calibri"/>
        </w:rPr>
        <w:t>0.75</w:t>
      </w:r>
      <w:r>
        <w:rPr/>
        <w:t>升；</w:t>
      </w:r>
    </w:p>
    <w:p>
      <w:pPr>
        <w:pStyle w:val="BodyText"/>
        <w:spacing w:before="10"/>
        <w:ind w:left="538"/>
      </w:pPr>
      <w:r>
        <w:rPr/>
        <w:t>2．病人缺氧必须广泛而持续地进行输氧治疗；</w:t>
      </w:r>
    </w:p>
    <w:p>
      <w:pPr>
        <w:pStyle w:val="BodyText"/>
        <w:spacing w:line="276" w:lineRule="exact" w:before="37"/>
        <w:ind w:left="538"/>
      </w:pPr>
      <w:r>
        <w:rPr/>
        <w:t>3．动脉血气分析氧分压低于</w:t>
      </w:r>
      <w:r>
        <w:rPr>
          <w:rFonts w:ascii="Calibri" w:eastAsia="Calibri"/>
        </w:rPr>
        <w:t>55mmHg</w:t>
      </w:r>
      <w:r>
        <w:rPr/>
        <w:t>。</w:t>
      </w:r>
    </w:p>
    <w:p>
      <w:pPr>
        <w:pStyle w:val="Heading2"/>
        <w:spacing w:line="338" w:lineRule="exact"/>
        <w:ind w:left="0" w:right="119"/>
        <w:jc w:val="right"/>
        <w:rPr>
          <w:rFonts w:ascii="Calibri" w:eastAsia="Calibri"/>
        </w:rPr>
      </w:pPr>
      <w:r>
        <w:rPr>
          <w:rFonts w:ascii="Calibri" w:eastAsia="Calibri"/>
        </w:rPr>
        <w:t>&lt;</w:t>
      </w:r>
      <w:r>
        <w:rPr/>
        <w:t>本页内容结束</w:t>
      </w:r>
      <w:r>
        <w:rPr>
          <w:rFonts w:ascii="Calibri" w:eastAsia="Calibri"/>
        </w:rPr>
        <w:t>&gt;</w:t>
      </w:r>
    </w:p>
    <w:sectPr>
      <w:pgSz w:w="11910" w:h="16840"/>
      <w:pgMar w:header="857" w:footer="857" w:top="1040" w:bottom="1040" w:left="168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Microsoft JhengHei">
    <w:altName w:val="Microsoft JhengHei"/>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4.489990pt;margin-top:793.825623pt;width:65.1pt;height:11pt;mso-position-horizontal-relative:page;mso-position-vertical-relative:page;z-index:-15232" type="#_x0000_t202" filled="false" stroked="false">
          <v:textbox inset="0,0,0,0">
            <w:txbxContent>
              <w:p>
                <w:pPr>
                  <w:spacing w:line="200" w:lineRule="exact" w:before="0"/>
                  <w:ind w:left="20" w:right="0" w:firstLine="0"/>
                  <w:jc w:val="left"/>
                  <w:rPr>
                    <w:sz w:val="18"/>
                  </w:rPr>
                </w:pPr>
                <w:r>
                  <w:rPr>
                    <w:spacing w:val="-23"/>
                    <w:sz w:val="18"/>
                  </w:rPr>
                  <w:t>第 </w:t>
                </w:r>
                <w:r>
                  <w:rPr>
                    <w:sz w:val="18"/>
                  </w:rPr>
                  <w:t>1</w:t>
                </w:r>
                <w:r>
                  <w:rPr>
                    <w:spacing w:val="-23"/>
                    <w:sz w:val="18"/>
                  </w:rPr>
                  <w:t> 页共 </w:t>
                </w:r>
                <w:r>
                  <w:rPr>
                    <w:sz w:val="18"/>
                  </w:rPr>
                  <w:t>12</w:t>
                </w:r>
                <w:r>
                  <w:rPr>
                    <w:spacing w:val="-24"/>
                    <w:sz w:val="18"/>
                  </w:rPr>
                  <w:t> 页</w:t>
                </w:r>
                <w:r>
                  <w:rPr>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4.450012pt;margin-top:788.065613pt;width:78.55pt;height:11pt;mso-position-horizontal-relative:page;mso-position-vertical-relative:page;z-index:-15184"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2</w:t>
                </w:r>
                <w:r>
                  <w:rPr/>
                  <w:fldChar w:fldCharType="end"/>
                </w:r>
                <w:r>
                  <w:rPr>
                    <w:sz w:val="18"/>
                  </w:rPr>
                  <w:t> 页 共 12 页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72.170013pt;margin-top:788.065613pt;width:83.1pt;height:11pt;mso-position-horizontal-relative:page;mso-position-vertical-relative:page;z-index:-15160"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 共 12 页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1.910004pt;margin-top:42.865608pt;width:6.5pt;height:11pt;mso-position-horizontal-relative:page;mso-position-vertical-relative:page;z-index:-15208" type="#_x0000_t202" filled="false" stroked="false">
          <v:textbox inset="0,0,0,0">
            <w:txbxContent>
              <w:p>
                <w:pPr>
                  <w:spacing w:line="200" w:lineRule="exact" w:before="0"/>
                  <w:ind w:left="20" w:right="0" w:firstLine="0"/>
                  <w:jc w:val="left"/>
                  <w:rPr>
                    <w:sz w:val="18"/>
                  </w:rPr>
                </w:pPr>
                <w:r>
                  <w:rPr>
                    <w:sz w:val="18"/>
                  </w:rPr>
                  <w:t>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662" w:hanging="421"/>
      </w:pPr>
      <w:rPr>
        <w:rFonts w:hint="default" w:ascii="Wingdings" w:hAnsi="Wingdings" w:eastAsia="Wingdings" w:cs="Wingdings"/>
        <w:w w:val="100"/>
        <w:sz w:val="21"/>
        <w:szCs w:val="21"/>
      </w:rPr>
    </w:lvl>
    <w:lvl w:ilvl="1">
      <w:start w:val="0"/>
      <w:numFmt w:val="bullet"/>
      <w:lvlText w:val="•"/>
      <w:lvlJc w:val="left"/>
      <w:pPr>
        <w:ind w:left="1612" w:hanging="421"/>
      </w:pPr>
      <w:rPr>
        <w:rFonts w:hint="default"/>
      </w:rPr>
    </w:lvl>
    <w:lvl w:ilvl="2">
      <w:start w:val="0"/>
      <w:numFmt w:val="bullet"/>
      <w:lvlText w:val="•"/>
      <w:lvlJc w:val="left"/>
      <w:pPr>
        <w:ind w:left="2565" w:hanging="421"/>
      </w:pPr>
      <w:rPr>
        <w:rFonts w:hint="default"/>
      </w:rPr>
    </w:lvl>
    <w:lvl w:ilvl="3">
      <w:start w:val="0"/>
      <w:numFmt w:val="bullet"/>
      <w:lvlText w:val="•"/>
      <w:lvlJc w:val="left"/>
      <w:pPr>
        <w:ind w:left="3517" w:hanging="421"/>
      </w:pPr>
      <w:rPr>
        <w:rFonts w:hint="default"/>
      </w:rPr>
    </w:lvl>
    <w:lvl w:ilvl="4">
      <w:start w:val="0"/>
      <w:numFmt w:val="bullet"/>
      <w:lvlText w:val="•"/>
      <w:lvlJc w:val="left"/>
      <w:pPr>
        <w:ind w:left="4470" w:hanging="421"/>
      </w:pPr>
      <w:rPr>
        <w:rFonts w:hint="default"/>
      </w:rPr>
    </w:lvl>
    <w:lvl w:ilvl="5">
      <w:start w:val="0"/>
      <w:numFmt w:val="bullet"/>
      <w:lvlText w:val="•"/>
      <w:lvlJc w:val="left"/>
      <w:pPr>
        <w:ind w:left="5423" w:hanging="421"/>
      </w:pPr>
      <w:rPr>
        <w:rFonts w:hint="default"/>
      </w:rPr>
    </w:lvl>
    <w:lvl w:ilvl="6">
      <w:start w:val="0"/>
      <w:numFmt w:val="bullet"/>
      <w:lvlText w:val="•"/>
      <w:lvlJc w:val="left"/>
      <w:pPr>
        <w:ind w:left="6375" w:hanging="421"/>
      </w:pPr>
      <w:rPr>
        <w:rFonts w:hint="default"/>
      </w:rPr>
    </w:lvl>
    <w:lvl w:ilvl="7">
      <w:start w:val="0"/>
      <w:numFmt w:val="bullet"/>
      <w:lvlText w:val="•"/>
      <w:lvlJc w:val="left"/>
      <w:pPr>
        <w:ind w:left="7328" w:hanging="421"/>
      </w:pPr>
      <w:rPr>
        <w:rFonts w:hint="default"/>
      </w:rPr>
    </w:lvl>
    <w:lvl w:ilvl="8">
      <w:start w:val="0"/>
      <w:numFmt w:val="bullet"/>
      <w:lvlText w:val="•"/>
      <w:lvlJc w:val="left"/>
      <w:pPr>
        <w:ind w:left="8281" w:hanging="42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397" w:lineRule="exact"/>
      <w:ind w:left="2300"/>
      <w:outlineLvl w:val="1"/>
    </w:pPr>
    <w:rPr>
      <w:rFonts w:ascii="微软雅黑" w:hAnsi="微软雅黑" w:eastAsia="微软雅黑" w:cs="微软雅黑"/>
      <w:b/>
      <w:bCs/>
      <w:sz w:val="28"/>
      <w:szCs w:val="28"/>
    </w:rPr>
  </w:style>
  <w:style w:styleId="Heading2" w:type="paragraph">
    <w:name w:val="Heading 2"/>
    <w:basedOn w:val="Normal"/>
    <w:uiPriority w:val="1"/>
    <w:qFormat/>
    <w:pPr>
      <w:ind w:left="118"/>
      <w:outlineLvl w:val="2"/>
    </w:pPr>
    <w:rPr>
      <w:rFonts w:ascii="微软雅黑" w:hAnsi="微软雅黑" w:eastAsia="微软雅黑" w:cs="微软雅黑"/>
      <w:b/>
      <w:bCs/>
      <w:sz w:val="21"/>
      <w:szCs w:val="21"/>
    </w:rPr>
  </w:style>
  <w:style w:styleId="ListParagraph" w:type="paragraph">
    <w:name w:val="List Paragraph"/>
    <w:basedOn w:val="Normal"/>
    <w:uiPriority w:val="1"/>
    <w:qFormat/>
    <w:pPr>
      <w:ind w:left="662" w:hanging="421"/>
    </w:pPr>
    <w:rPr>
      <w:rFonts w:ascii="Microsoft JhengHei" w:hAnsi="Microsoft JhengHei" w:eastAsia="Microsoft JhengHei" w:cs="Microsoft JhengHei"/>
    </w:rPr>
  </w:style>
  <w:style w:styleId="TableParagraph" w:type="paragraph">
    <w:name w:val="Table Paragraph"/>
    <w:basedOn w:val="Normal"/>
    <w:uiPriority w:val="1"/>
    <w:qFormat/>
    <w:pPr>
      <w:ind w:left="52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3.xm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殷小霞</dc:creator>
  <dcterms:created xsi:type="dcterms:W3CDTF">2018-10-19T22:04:37Z</dcterms:created>
  <dcterms:modified xsi:type="dcterms:W3CDTF">2018-10-19T22:04:37Z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2017-08-15T00:00:00Z</vt:filetime>
  </property>
  <property fmtid="{D5CDD505-2E9C-101B-9397-08002B2CF9AE}" pid="3" name="Creator">
    <vt:lpwstr>Microsoft® Word 2013</vt:lpwstr>
  </property>
  <property fmtid="{D5CDD505-2E9C-101B-9397-08002B2CF9AE}" pid="4" name="LastSaved">
    <vt:filetime>2018-10-19T00:00:00Z</vt:filetime>
  </property>
</Properties>
</file>