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6"/>
        <w:rPr>
          <w:rFonts w:ascii="Times New Roman"/>
          <w:sz w:val="15"/>
        </w:rPr>
      </w:pPr>
    </w:p>
    <w:p>
      <w:pPr>
        <w:pStyle w:val="BodyText"/>
        <w:ind w:left="1894"/>
        <w:rPr>
          <w:rFonts w:ascii="Times New Roman"/>
          <w:sz w:val="20"/>
        </w:rPr>
      </w:pPr>
      <w:r>
        <w:rPr>
          <w:rFonts w:ascii="Times New Roman"/>
          <w:sz w:val="20"/>
        </w:rPr>
        <w:drawing>
          <wp:inline distT="0" distB="0" distL="0" distR="0">
            <wp:extent cx="2554262" cy="397764"/>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2554262" cy="397764"/>
                    </a:xfrm>
                    <a:prstGeom prst="rect">
                      <a:avLst/>
                    </a:prstGeom>
                  </pic:spPr>
                </pic:pic>
              </a:graphicData>
            </a:graphic>
          </wp:inline>
        </w:drawing>
      </w:r>
      <w:r>
        <w:rPr>
          <w:rFonts w:ascii="Times New Roman"/>
          <w:sz w:val="20"/>
        </w:rPr>
      </w:r>
    </w:p>
    <w:p>
      <w:pPr>
        <w:pStyle w:val="BodyText"/>
        <w:spacing w:before="6"/>
        <w:rPr>
          <w:rFonts w:ascii="Times New Roman"/>
          <w:sz w:val="13"/>
        </w:rPr>
      </w:pPr>
    </w:p>
    <w:p>
      <w:pPr>
        <w:spacing w:line="506" w:lineRule="exact" w:before="0"/>
        <w:ind w:left="1640" w:right="0" w:firstLine="0"/>
        <w:jc w:val="left"/>
        <w:rPr>
          <w:rFonts w:ascii="微软雅黑" w:eastAsia="微软雅黑" w:hint="eastAsia"/>
          <w:b/>
          <w:sz w:val="32"/>
        </w:rPr>
      </w:pPr>
      <w:r>
        <w:rPr/>
        <w:drawing>
          <wp:anchor distT="0" distB="0" distL="0" distR="0" allowOverlap="1" layoutInCell="1" locked="0" behindDoc="0" simplePos="0" relativeHeight="1072">
            <wp:simplePos x="0" y="0"/>
            <wp:positionH relativeFrom="page">
              <wp:posOffset>5186679</wp:posOffset>
            </wp:positionH>
            <wp:positionV relativeFrom="paragraph">
              <wp:posOffset>-766119</wp:posOffset>
            </wp:positionV>
            <wp:extent cx="1955164" cy="119507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955164" cy="1195070"/>
                    </a:xfrm>
                    <a:prstGeom prst="rect">
                      <a:avLst/>
                    </a:prstGeom>
                  </pic:spPr>
                </pic:pic>
              </a:graphicData>
            </a:graphic>
          </wp:anchor>
        </w:drawing>
      </w:r>
      <w:r>
        <w:rPr>
          <w:rFonts w:ascii="微软雅黑" w:eastAsia="微软雅黑" w:hint="eastAsia"/>
          <w:b/>
          <w:sz w:val="32"/>
        </w:rPr>
        <w:t>百年康泰终身重大疾病保险条款</w:t>
      </w:r>
    </w:p>
    <w:p>
      <w:pPr>
        <w:pStyle w:val="BodyText"/>
        <w:rPr>
          <w:rFonts w:ascii="微软雅黑"/>
          <w:b/>
          <w:sz w:val="20"/>
        </w:rPr>
      </w:pPr>
    </w:p>
    <w:p>
      <w:pPr>
        <w:pStyle w:val="BodyText"/>
        <w:spacing w:before="3"/>
        <w:rPr>
          <w:rFonts w:ascii="微软雅黑"/>
          <w:b/>
          <w:sz w:val="17"/>
        </w:rPr>
      </w:pPr>
      <w:r>
        <w:rPr/>
        <w:pict>
          <v:line style="position:absolute;mso-position-horizontal-relative:page;mso-position-vertical-relative:paragraph;z-index:0;mso-wrap-distance-left:0;mso-wrap-distance-right:0" from="66.650002pt,17.20138pt" to="528.650002pt,17.20138pt" stroked="true" strokeweight=".75pt" strokecolor="#000000">
            <v:stroke dashstyle="solid"/>
            <w10:wrap type="topAndBottom"/>
          </v:line>
        </w:pict>
      </w:r>
      <w:r>
        <w:rPr/>
        <w:pict>
          <v:shape style="position:absolute;margin-left:231.5pt;margin-top:29.421379pt;width:131.25pt;height:39pt;mso-position-horizontal-relative:page;mso-position-vertical-relative:paragraph;z-index:1048;mso-wrap-distance-left:0;mso-wrap-distance-right:0" type="#_x0000_t202" filled="false" stroked="true" strokeweight="1pt" strokecolor="#000000">
            <v:textbox inset="0,0,0,0">
              <w:txbxContent>
                <w:p>
                  <w:pPr>
                    <w:spacing w:before="44"/>
                    <w:ind w:left="422" w:right="0" w:firstLine="0"/>
                    <w:jc w:val="left"/>
                    <w:rPr>
                      <w:rFonts w:ascii="微软雅黑" w:eastAsia="微软雅黑" w:hint="eastAsia"/>
                      <w:b/>
                      <w:sz w:val="32"/>
                    </w:rPr>
                  </w:pPr>
                  <w:r>
                    <w:rPr>
                      <w:rFonts w:ascii="微软雅黑" w:eastAsia="微软雅黑" w:hint="eastAsia"/>
                      <w:b/>
                      <w:sz w:val="32"/>
                    </w:rPr>
                    <w:t>阅  读  指 引</w:t>
                  </w:r>
                </w:p>
              </w:txbxContent>
            </v:textbox>
            <v:stroke linestyle="thinThin" dashstyle="solid"/>
            <w10:wrap type="topAndBottom"/>
          </v:shape>
        </w:pict>
      </w:r>
    </w:p>
    <w:p>
      <w:pPr>
        <w:pStyle w:val="BodyText"/>
        <w:spacing w:before="2"/>
        <w:rPr>
          <w:rFonts w:ascii="微软雅黑"/>
          <w:b/>
          <w:sz w:val="9"/>
        </w:rPr>
      </w:pPr>
    </w:p>
    <w:p>
      <w:pPr>
        <w:pStyle w:val="BodyText"/>
        <w:rPr>
          <w:rFonts w:ascii="微软雅黑"/>
          <w:b/>
          <w:sz w:val="20"/>
        </w:rPr>
      </w:pPr>
    </w:p>
    <w:p>
      <w:pPr>
        <w:pStyle w:val="BodyText"/>
        <w:spacing w:before="3"/>
        <w:rPr>
          <w:rFonts w:ascii="微软雅黑"/>
          <w:b/>
          <w:sz w:val="27"/>
        </w:rPr>
      </w:pPr>
    </w:p>
    <w:p>
      <w:pPr>
        <w:pStyle w:val="BodyText"/>
        <w:spacing w:before="36"/>
        <w:ind w:left="1918"/>
      </w:pPr>
      <w:r>
        <w:rPr/>
        <w:t>本阅读指引有助于您理解条款，对本合同内容的解释以条款为准。</w:t>
      </w:r>
    </w:p>
    <w:p>
      <w:pPr>
        <w:pStyle w:val="BodyText"/>
        <w:rPr>
          <w:sz w:val="20"/>
        </w:rPr>
      </w:pPr>
    </w:p>
    <w:p>
      <w:pPr>
        <w:pStyle w:val="BodyText"/>
        <w:rPr>
          <w:sz w:val="20"/>
        </w:rPr>
      </w:pPr>
    </w:p>
    <w:p>
      <w:pPr>
        <w:pStyle w:val="BodyText"/>
        <w:rPr>
          <w:sz w:val="20"/>
        </w:rPr>
      </w:pPr>
    </w:p>
    <w:p>
      <w:pPr>
        <w:pStyle w:val="BodyText"/>
        <w:spacing w:before="4"/>
        <w:rPr>
          <w:sz w:val="14"/>
        </w:rPr>
      </w:pPr>
    </w:p>
    <w:p>
      <w:pPr>
        <w:tabs>
          <w:tab w:pos="973" w:val="left" w:leader="none"/>
        </w:tabs>
        <w:spacing w:before="0"/>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z w:val="21"/>
        </w:rPr>
        <w:t>您拥有的重要权益</w:t>
      </w:r>
    </w:p>
    <w:p>
      <w:pPr>
        <w:pStyle w:val="BodyText"/>
        <w:spacing w:before="7"/>
        <w:rPr>
          <w:b/>
          <w:sz w:val="25"/>
        </w:rPr>
      </w:pPr>
    </w:p>
    <w:p>
      <w:pPr>
        <w:pStyle w:val="ListParagraph"/>
        <w:numPr>
          <w:ilvl w:val="0"/>
          <w:numId w:val="1"/>
        </w:numPr>
        <w:tabs>
          <w:tab w:pos="973" w:val="left" w:leader="none"/>
          <w:tab w:pos="974" w:val="left" w:leader="none"/>
        </w:tabs>
        <w:spacing w:line="240" w:lineRule="auto" w:before="0" w:after="0"/>
        <w:ind w:left="973" w:right="0" w:hanging="413"/>
        <w:jc w:val="left"/>
        <w:rPr>
          <w:sz w:val="21"/>
        </w:rPr>
      </w:pPr>
      <w:r>
        <w:rPr>
          <w:spacing w:val="-3"/>
          <w:sz w:val="21"/>
        </w:rPr>
        <w:t>签收本合同之日起</w:t>
      </w:r>
      <w:r>
        <w:rPr>
          <w:sz w:val="21"/>
        </w:rPr>
        <w:t>15日</w:t>
      </w:r>
      <w:r>
        <w:rPr>
          <w:spacing w:val="-3"/>
          <w:sz w:val="21"/>
        </w:rPr>
        <w:t>（</w:t>
      </w:r>
      <w:r>
        <w:rPr>
          <w:spacing w:val="-1"/>
          <w:sz w:val="21"/>
        </w:rPr>
        <w:t>即犹豫期</w:t>
      </w:r>
      <w:r>
        <w:rPr>
          <w:spacing w:val="-3"/>
          <w:sz w:val="21"/>
        </w:rPr>
        <w:t>）内您可以要求解除合同并退还已交的保险费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被保险人享受本合同提供的保障</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2"/>
          <w:sz w:val="21"/>
        </w:rPr>
        <w:t>您有退保的权利</w:t>
      </w:r>
    </w:p>
    <w:p>
      <w:pPr>
        <w:pStyle w:val="BodyText"/>
        <w:rPr>
          <w:sz w:val="22"/>
        </w:rPr>
      </w:pPr>
    </w:p>
    <w:p>
      <w:pPr>
        <w:pStyle w:val="BodyText"/>
        <w:rPr>
          <w:sz w:val="22"/>
        </w:rPr>
      </w:pPr>
    </w:p>
    <w:p>
      <w:pPr>
        <w:pStyle w:val="BodyText"/>
        <w:spacing w:before="3"/>
        <w:rPr>
          <w:sz w:val="29"/>
        </w:rPr>
      </w:pPr>
    </w:p>
    <w:p>
      <w:pPr>
        <w:tabs>
          <w:tab w:pos="973" w:val="left" w:leader="none"/>
        </w:tabs>
        <w:spacing w:before="0"/>
        <w:ind w:left="560" w:right="0" w:firstLine="0"/>
        <w:jc w:val="left"/>
        <w:rPr>
          <w:b/>
          <w:sz w:val="21"/>
        </w:rPr>
      </w:pPr>
      <w:r>
        <w:rPr>
          <w:rFonts w:ascii="Wingdings" w:hAnsi="Wingdings" w:eastAsia="Wingdings"/>
          <w:sz w:val="21"/>
        </w:rPr>
        <w:t></w:t>
      </w:r>
      <w:r>
        <w:rPr>
          <w:rFonts w:ascii="Times New Roman" w:hAnsi="Times New Roman" w:eastAsia="Times New Roman"/>
          <w:sz w:val="21"/>
        </w:rPr>
        <w:tab/>
      </w:r>
      <w:r>
        <w:rPr>
          <w:b/>
          <w:spacing w:val="-1"/>
          <w:sz w:val="21"/>
        </w:rPr>
        <w:t>您应当特别注意的事项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请您认真阅读免除我们责任的条款</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被保险人应到我们认可的医院就诊</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您应当按时交纳保险费</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您有如实告知的义务</w:t>
      </w:r>
    </w:p>
    <w:p>
      <w:pPr>
        <w:pStyle w:val="ListParagraph"/>
        <w:numPr>
          <w:ilvl w:val="0"/>
          <w:numId w:val="1"/>
        </w:numPr>
        <w:tabs>
          <w:tab w:pos="973" w:val="left" w:leader="none"/>
          <w:tab w:pos="974" w:val="left" w:leader="none"/>
        </w:tabs>
        <w:spacing w:line="240" w:lineRule="auto" w:before="22" w:after="0"/>
        <w:ind w:left="973" w:right="0" w:hanging="413"/>
        <w:jc w:val="left"/>
        <w:rPr>
          <w:sz w:val="21"/>
        </w:rPr>
      </w:pPr>
      <w:r>
        <w:rPr>
          <w:spacing w:val="-3"/>
          <w:sz w:val="21"/>
        </w:rPr>
        <w:t>我们对一些重要术语进行了解释，并作了显著标识，请您注意</w:t>
      </w:r>
    </w:p>
    <w:p>
      <w:pPr>
        <w:pStyle w:val="BodyText"/>
        <w:rPr>
          <w:sz w:val="22"/>
        </w:rPr>
      </w:pPr>
    </w:p>
    <w:p>
      <w:pPr>
        <w:pStyle w:val="BodyText"/>
        <w:spacing w:before="5"/>
        <w:rPr>
          <w:sz w:val="27"/>
        </w:rPr>
      </w:pPr>
    </w:p>
    <w:p>
      <w:pPr>
        <w:spacing w:before="0"/>
        <w:ind w:left="697" w:right="0" w:firstLine="0"/>
        <w:jc w:val="left"/>
        <w:rPr>
          <w:sz w:val="21"/>
        </w:rPr>
      </w:pPr>
      <w:r>
        <w:rPr>
          <w:b/>
          <w:sz w:val="21"/>
        </w:rPr>
        <w:t>条款是保险合同的重要内容，为充分保障您的权益，请您仔细阅读本条款</w:t>
      </w:r>
      <w:r>
        <w:rPr>
          <w:sz w:val="21"/>
        </w:rPr>
        <w:t>。</w:t>
      </w:r>
    </w:p>
    <w:p>
      <w:pPr>
        <w:spacing w:after="0"/>
        <w:jc w:val="left"/>
        <w:rPr>
          <w:sz w:val="21"/>
        </w:rPr>
        <w:sectPr>
          <w:headerReference w:type="default" r:id="rId5"/>
          <w:footerReference w:type="default" r:id="rId6"/>
          <w:type w:val="continuous"/>
          <w:pgSz w:w="11910" w:h="16840"/>
          <w:pgMar w:header="566" w:footer="664" w:top="1000" w:bottom="860" w:left="1000" w:right="540"/>
          <w:pgNumType w:start="1"/>
        </w:sectPr>
      </w:pPr>
    </w:p>
    <w:p>
      <w:pPr>
        <w:pStyle w:val="BodyText"/>
        <w:spacing w:before="8"/>
        <w:rPr>
          <w:sz w:val="26"/>
        </w:rPr>
      </w:pPr>
    </w:p>
    <w:p>
      <w:pPr>
        <w:spacing w:before="45"/>
        <w:ind w:left="777" w:right="0" w:firstLine="0"/>
        <w:jc w:val="left"/>
        <w:rPr>
          <w:b/>
          <w:sz w:val="21"/>
        </w:rPr>
      </w:pPr>
      <w:r>
        <w:rPr>
          <w:rFonts w:ascii="Wingdings" w:hAnsi="Wingdings" w:eastAsia="Wingdings"/>
          <w:sz w:val="21"/>
        </w:rPr>
        <w:t></w:t>
      </w:r>
      <w:r>
        <w:rPr>
          <w:rFonts w:ascii="Times New Roman" w:hAnsi="Times New Roman" w:eastAsia="Times New Roman"/>
          <w:sz w:val="21"/>
        </w:rPr>
        <w:t> </w:t>
      </w:r>
      <w:r>
        <w:rPr>
          <w:b/>
          <w:sz w:val="21"/>
        </w:rPr>
        <w:t>条款目录</w:t>
      </w:r>
    </w:p>
    <w:p>
      <w:pPr>
        <w:pStyle w:val="BodyText"/>
        <w:spacing w:before="2"/>
        <w:rPr>
          <w:b/>
          <w:sz w:val="9"/>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135"/>
        <w:gridCol w:w="3270"/>
        <w:gridCol w:w="3370"/>
      </w:tblGrid>
      <w:tr>
        <w:trPr>
          <w:trHeight w:val="8594" w:hRule="atLeast"/>
        </w:trPr>
        <w:tc>
          <w:tcPr>
            <w:tcW w:w="3135" w:type="dxa"/>
          </w:tcPr>
          <w:p>
            <w:pPr>
              <w:pStyle w:val="TableParagraph"/>
              <w:spacing w:before="60"/>
              <w:ind w:left="152"/>
              <w:rPr>
                <w:b/>
                <w:sz w:val="21"/>
              </w:rPr>
            </w:pPr>
            <w:r>
              <w:rPr>
                <w:b/>
                <w:sz w:val="21"/>
              </w:rPr>
              <w:t>1． 您与我们订立的合同</w:t>
            </w:r>
          </w:p>
          <w:p>
            <w:pPr>
              <w:pStyle w:val="TableParagraph"/>
              <w:numPr>
                <w:ilvl w:val="1"/>
                <w:numId w:val="2"/>
              </w:numPr>
              <w:tabs>
                <w:tab w:pos="920" w:val="left" w:leader="none"/>
              </w:tabs>
              <w:spacing w:line="240" w:lineRule="auto" w:before="36" w:after="0"/>
              <w:ind w:left="919" w:right="0" w:hanging="406"/>
              <w:jc w:val="left"/>
              <w:rPr>
                <w:sz w:val="21"/>
              </w:rPr>
            </w:pPr>
            <w:r>
              <w:rPr>
                <w:spacing w:val="-1"/>
                <w:sz w:val="21"/>
              </w:rPr>
              <w:t>合同构成</w:t>
            </w:r>
          </w:p>
          <w:p>
            <w:pPr>
              <w:pStyle w:val="TableParagraph"/>
              <w:numPr>
                <w:ilvl w:val="1"/>
                <w:numId w:val="2"/>
              </w:numPr>
              <w:tabs>
                <w:tab w:pos="920" w:val="left" w:leader="none"/>
              </w:tabs>
              <w:spacing w:line="240" w:lineRule="auto" w:before="36" w:after="0"/>
              <w:ind w:left="919" w:right="0" w:hanging="406"/>
              <w:jc w:val="left"/>
              <w:rPr>
                <w:sz w:val="21"/>
              </w:rPr>
            </w:pPr>
            <w:r>
              <w:rPr>
                <w:spacing w:val="-3"/>
                <w:sz w:val="21"/>
              </w:rPr>
              <w:t>合同成立与生效</w:t>
            </w:r>
          </w:p>
          <w:p>
            <w:pPr>
              <w:pStyle w:val="TableParagraph"/>
              <w:numPr>
                <w:ilvl w:val="1"/>
                <w:numId w:val="2"/>
              </w:numPr>
              <w:tabs>
                <w:tab w:pos="920" w:val="left" w:leader="none"/>
              </w:tabs>
              <w:spacing w:line="240" w:lineRule="auto" w:before="36" w:after="0"/>
              <w:ind w:left="919" w:right="0" w:hanging="406"/>
              <w:jc w:val="left"/>
              <w:rPr>
                <w:sz w:val="21"/>
              </w:rPr>
            </w:pPr>
            <w:r>
              <w:rPr>
                <w:spacing w:val="-1"/>
                <w:sz w:val="21"/>
              </w:rPr>
              <w:t>投保年龄</w:t>
            </w:r>
          </w:p>
          <w:p>
            <w:pPr>
              <w:pStyle w:val="TableParagraph"/>
              <w:numPr>
                <w:ilvl w:val="1"/>
                <w:numId w:val="2"/>
              </w:numPr>
              <w:tabs>
                <w:tab w:pos="920" w:val="left" w:leader="none"/>
              </w:tabs>
              <w:spacing w:line="240" w:lineRule="auto" w:before="36" w:after="0"/>
              <w:ind w:left="919" w:right="0" w:hanging="406"/>
              <w:jc w:val="left"/>
              <w:rPr>
                <w:sz w:val="21"/>
              </w:rPr>
            </w:pPr>
            <w:r>
              <w:rPr>
                <w:sz w:val="21"/>
              </w:rPr>
              <w:t>犹豫期</w:t>
            </w:r>
          </w:p>
          <w:p>
            <w:pPr>
              <w:pStyle w:val="TableParagraph"/>
              <w:spacing w:before="36"/>
              <w:ind w:left="152"/>
              <w:rPr>
                <w:b/>
                <w:sz w:val="21"/>
              </w:rPr>
            </w:pPr>
            <w:r>
              <w:rPr>
                <w:b/>
                <w:sz w:val="21"/>
              </w:rPr>
              <w:t>2． 我们提供的保障</w:t>
            </w:r>
          </w:p>
          <w:p>
            <w:pPr>
              <w:pStyle w:val="TableParagraph"/>
              <w:numPr>
                <w:ilvl w:val="1"/>
                <w:numId w:val="3"/>
              </w:numPr>
              <w:tabs>
                <w:tab w:pos="936" w:val="left" w:leader="none"/>
              </w:tabs>
              <w:spacing w:line="240" w:lineRule="auto" w:before="36" w:after="0"/>
              <w:ind w:left="933" w:right="0" w:hanging="420"/>
              <w:jc w:val="left"/>
              <w:rPr>
                <w:sz w:val="21"/>
              </w:rPr>
            </w:pPr>
            <w:r>
              <w:rPr>
                <w:spacing w:val="-3"/>
                <w:sz w:val="21"/>
              </w:rPr>
              <w:t>基本保额</w:t>
            </w:r>
          </w:p>
          <w:p>
            <w:pPr>
              <w:pStyle w:val="TableParagraph"/>
              <w:numPr>
                <w:ilvl w:val="1"/>
                <w:numId w:val="3"/>
              </w:numPr>
              <w:tabs>
                <w:tab w:pos="936" w:val="left" w:leader="none"/>
              </w:tabs>
              <w:spacing w:line="273" w:lineRule="auto" w:before="36" w:after="0"/>
              <w:ind w:left="933" w:right="290" w:hanging="420"/>
              <w:jc w:val="left"/>
              <w:rPr>
                <w:sz w:val="21"/>
              </w:rPr>
            </w:pPr>
            <w:r>
              <w:rPr>
                <w:spacing w:val="-3"/>
                <w:sz w:val="21"/>
              </w:rPr>
              <w:t>未成年人身故保险金限制</w:t>
            </w:r>
          </w:p>
          <w:p>
            <w:pPr>
              <w:pStyle w:val="TableParagraph"/>
              <w:numPr>
                <w:ilvl w:val="1"/>
                <w:numId w:val="3"/>
              </w:numPr>
              <w:tabs>
                <w:tab w:pos="936" w:val="left" w:leader="none"/>
              </w:tabs>
              <w:spacing w:line="240" w:lineRule="auto" w:before="7" w:after="0"/>
              <w:ind w:left="933" w:right="0" w:hanging="420"/>
              <w:jc w:val="left"/>
              <w:rPr>
                <w:sz w:val="21"/>
              </w:rPr>
            </w:pPr>
            <w:r>
              <w:rPr>
                <w:spacing w:val="-3"/>
                <w:sz w:val="21"/>
              </w:rPr>
              <w:t>保险期间</w:t>
            </w:r>
          </w:p>
          <w:p>
            <w:pPr>
              <w:pStyle w:val="TableParagraph"/>
              <w:numPr>
                <w:ilvl w:val="1"/>
                <w:numId w:val="3"/>
              </w:numPr>
              <w:tabs>
                <w:tab w:pos="936" w:val="left" w:leader="none"/>
              </w:tabs>
              <w:spacing w:line="240" w:lineRule="auto" w:before="37" w:after="0"/>
              <w:ind w:left="933" w:right="0" w:hanging="420"/>
              <w:jc w:val="left"/>
              <w:rPr>
                <w:sz w:val="21"/>
              </w:rPr>
            </w:pPr>
            <w:r>
              <w:rPr>
                <w:spacing w:val="-3"/>
                <w:sz w:val="21"/>
              </w:rPr>
              <w:t>保险责任</w:t>
            </w:r>
          </w:p>
          <w:p>
            <w:pPr>
              <w:pStyle w:val="TableParagraph"/>
              <w:numPr>
                <w:ilvl w:val="1"/>
                <w:numId w:val="3"/>
              </w:numPr>
              <w:tabs>
                <w:tab w:pos="936" w:val="left" w:leader="none"/>
              </w:tabs>
              <w:spacing w:line="240" w:lineRule="auto" w:before="37" w:after="0"/>
              <w:ind w:left="933" w:right="0" w:hanging="420"/>
              <w:jc w:val="left"/>
              <w:rPr>
                <w:sz w:val="21"/>
              </w:rPr>
            </w:pPr>
            <w:r>
              <w:rPr>
                <w:spacing w:val="-3"/>
                <w:sz w:val="21"/>
              </w:rPr>
              <w:t>责任免除</w:t>
            </w:r>
          </w:p>
          <w:p>
            <w:pPr>
              <w:pStyle w:val="TableParagraph"/>
              <w:numPr>
                <w:ilvl w:val="0"/>
                <w:numId w:val="4"/>
              </w:numPr>
              <w:tabs>
                <w:tab w:pos="471" w:val="left" w:leader="none"/>
              </w:tabs>
              <w:spacing w:line="240" w:lineRule="auto" w:before="37" w:after="0"/>
              <w:ind w:left="470" w:right="0" w:hanging="317"/>
              <w:jc w:val="left"/>
              <w:rPr>
                <w:b/>
                <w:sz w:val="21"/>
              </w:rPr>
            </w:pPr>
            <w:r>
              <w:rPr>
                <w:b/>
                <w:sz w:val="21"/>
              </w:rPr>
              <w:t>重大疾病</w:t>
            </w:r>
          </w:p>
          <w:p>
            <w:pPr>
              <w:pStyle w:val="TableParagraph"/>
              <w:numPr>
                <w:ilvl w:val="1"/>
                <w:numId w:val="4"/>
              </w:numPr>
              <w:tabs>
                <w:tab w:pos="936" w:val="left" w:leader="none"/>
              </w:tabs>
              <w:spacing w:line="240" w:lineRule="auto" w:before="36" w:after="0"/>
              <w:ind w:left="935" w:right="0" w:hanging="422"/>
              <w:jc w:val="left"/>
              <w:rPr>
                <w:sz w:val="21"/>
              </w:rPr>
            </w:pPr>
            <w:r>
              <w:rPr>
                <w:spacing w:val="-3"/>
                <w:sz w:val="21"/>
              </w:rPr>
              <w:t>重大疾病范围</w:t>
            </w:r>
          </w:p>
          <w:p>
            <w:pPr>
              <w:pStyle w:val="TableParagraph"/>
              <w:numPr>
                <w:ilvl w:val="1"/>
                <w:numId w:val="4"/>
              </w:numPr>
              <w:tabs>
                <w:tab w:pos="936" w:val="left" w:leader="none"/>
              </w:tabs>
              <w:spacing w:line="240" w:lineRule="auto" w:before="36" w:after="0"/>
              <w:ind w:left="935" w:right="0" w:hanging="422"/>
              <w:jc w:val="left"/>
              <w:rPr>
                <w:sz w:val="21"/>
              </w:rPr>
            </w:pPr>
            <w:r>
              <w:rPr>
                <w:spacing w:val="-3"/>
                <w:sz w:val="21"/>
              </w:rPr>
              <w:t>重大疾病定义</w:t>
            </w:r>
          </w:p>
          <w:p>
            <w:pPr>
              <w:pStyle w:val="TableParagraph"/>
              <w:numPr>
                <w:ilvl w:val="0"/>
                <w:numId w:val="4"/>
              </w:numPr>
              <w:tabs>
                <w:tab w:pos="471" w:val="left" w:leader="none"/>
              </w:tabs>
              <w:spacing w:line="240" w:lineRule="auto" w:before="36" w:after="0"/>
              <w:ind w:left="470" w:right="0" w:hanging="317"/>
              <w:jc w:val="left"/>
              <w:rPr>
                <w:b/>
                <w:sz w:val="21"/>
              </w:rPr>
            </w:pPr>
            <w:r>
              <w:rPr>
                <w:b/>
                <w:sz w:val="21"/>
              </w:rPr>
              <w:t>特定疾病</w:t>
            </w:r>
          </w:p>
          <w:p>
            <w:pPr>
              <w:pStyle w:val="TableParagraph"/>
              <w:numPr>
                <w:ilvl w:val="1"/>
                <w:numId w:val="4"/>
              </w:numPr>
              <w:tabs>
                <w:tab w:pos="936" w:val="left" w:leader="none"/>
              </w:tabs>
              <w:spacing w:line="273" w:lineRule="auto" w:before="36" w:after="0"/>
              <w:ind w:left="153" w:right="921" w:firstLine="360"/>
              <w:jc w:val="left"/>
              <w:rPr>
                <w:b/>
                <w:sz w:val="21"/>
              </w:rPr>
            </w:pPr>
            <w:r>
              <w:rPr>
                <w:spacing w:val="-3"/>
                <w:sz w:val="21"/>
              </w:rPr>
              <w:t>特定疾病定义</w:t>
            </w:r>
            <w:r>
              <w:rPr>
                <w:b/>
                <w:spacing w:val="-3"/>
                <w:sz w:val="21"/>
              </w:rPr>
              <w:t>5．保险金的申请</w:t>
            </w:r>
          </w:p>
          <w:p>
            <w:pPr>
              <w:pStyle w:val="TableParagraph"/>
              <w:numPr>
                <w:ilvl w:val="1"/>
                <w:numId w:val="5"/>
              </w:numPr>
              <w:tabs>
                <w:tab w:pos="936" w:val="left" w:leader="none"/>
              </w:tabs>
              <w:spacing w:line="240" w:lineRule="auto" w:before="7" w:after="0"/>
              <w:ind w:left="933" w:right="0" w:hanging="420"/>
              <w:jc w:val="left"/>
              <w:rPr>
                <w:sz w:val="21"/>
              </w:rPr>
            </w:pPr>
            <w:r>
              <w:rPr>
                <w:spacing w:val="-2"/>
                <w:sz w:val="21"/>
              </w:rPr>
              <w:t>受益人</w:t>
            </w:r>
          </w:p>
          <w:p>
            <w:pPr>
              <w:pStyle w:val="TableParagraph"/>
              <w:numPr>
                <w:ilvl w:val="1"/>
                <w:numId w:val="5"/>
              </w:numPr>
              <w:tabs>
                <w:tab w:pos="936" w:val="left" w:leader="none"/>
              </w:tabs>
              <w:spacing w:line="240" w:lineRule="auto" w:before="37" w:after="0"/>
              <w:ind w:left="933" w:right="0" w:hanging="420"/>
              <w:jc w:val="left"/>
              <w:rPr>
                <w:sz w:val="21"/>
              </w:rPr>
            </w:pPr>
            <w:r>
              <w:rPr>
                <w:spacing w:val="-3"/>
                <w:sz w:val="21"/>
              </w:rPr>
              <w:t>保险事故通知</w:t>
            </w:r>
          </w:p>
          <w:p>
            <w:pPr>
              <w:pStyle w:val="TableParagraph"/>
              <w:numPr>
                <w:ilvl w:val="1"/>
                <w:numId w:val="5"/>
              </w:numPr>
              <w:tabs>
                <w:tab w:pos="936" w:val="left" w:leader="none"/>
              </w:tabs>
              <w:spacing w:line="240" w:lineRule="auto" w:before="37" w:after="0"/>
              <w:ind w:left="933" w:right="0" w:hanging="420"/>
              <w:jc w:val="left"/>
              <w:rPr>
                <w:sz w:val="21"/>
              </w:rPr>
            </w:pPr>
            <w:r>
              <w:rPr>
                <w:spacing w:val="-3"/>
                <w:sz w:val="21"/>
              </w:rPr>
              <w:t>保险金申请</w:t>
            </w:r>
          </w:p>
          <w:p>
            <w:pPr>
              <w:pStyle w:val="TableParagraph"/>
              <w:numPr>
                <w:ilvl w:val="1"/>
                <w:numId w:val="5"/>
              </w:numPr>
              <w:tabs>
                <w:tab w:pos="936" w:val="left" w:leader="none"/>
              </w:tabs>
              <w:spacing w:line="273" w:lineRule="auto" w:before="37" w:after="0"/>
              <w:ind w:left="933" w:right="290" w:hanging="420"/>
              <w:jc w:val="left"/>
              <w:rPr>
                <w:sz w:val="21"/>
              </w:rPr>
            </w:pPr>
            <w:r>
              <w:rPr>
                <w:spacing w:val="-3"/>
                <w:sz w:val="21"/>
              </w:rPr>
              <w:t>委托他人代为申请保险金</w:t>
            </w:r>
          </w:p>
          <w:p>
            <w:pPr>
              <w:pStyle w:val="TableParagraph"/>
              <w:numPr>
                <w:ilvl w:val="1"/>
                <w:numId w:val="5"/>
              </w:numPr>
              <w:tabs>
                <w:tab w:pos="936" w:val="left" w:leader="none"/>
              </w:tabs>
              <w:spacing w:line="240" w:lineRule="auto" w:before="8" w:after="0"/>
              <w:ind w:left="933" w:right="0" w:hanging="420"/>
              <w:jc w:val="left"/>
              <w:rPr>
                <w:sz w:val="21"/>
              </w:rPr>
            </w:pPr>
            <w:r>
              <w:rPr>
                <w:spacing w:val="-3"/>
                <w:sz w:val="21"/>
              </w:rPr>
              <w:t>提供补充材料</w:t>
            </w:r>
          </w:p>
          <w:p>
            <w:pPr>
              <w:pStyle w:val="TableParagraph"/>
              <w:numPr>
                <w:ilvl w:val="1"/>
                <w:numId w:val="5"/>
              </w:numPr>
              <w:tabs>
                <w:tab w:pos="936" w:val="left" w:leader="none"/>
              </w:tabs>
              <w:spacing w:line="240" w:lineRule="auto" w:before="37" w:after="0"/>
              <w:ind w:left="933" w:right="0" w:hanging="420"/>
              <w:jc w:val="left"/>
              <w:rPr>
                <w:sz w:val="21"/>
              </w:rPr>
            </w:pPr>
            <w:r>
              <w:rPr>
                <w:spacing w:val="-3"/>
                <w:sz w:val="21"/>
              </w:rPr>
              <w:t>保险金给付</w:t>
            </w:r>
          </w:p>
          <w:p>
            <w:pPr>
              <w:pStyle w:val="TableParagraph"/>
              <w:numPr>
                <w:ilvl w:val="1"/>
                <w:numId w:val="5"/>
              </w:numPr>
              <w:tabs>
                <w:tab w:pos="936" w:val="left" w:leader="none"/>
              </w:tabs>
              <w:spacing w:line="240" w:lineRule="auto" w:before="36" w:after="0"/>
              <w:ind w:left="933" w:right="0" w:hanging="420"/>
              <w:jc w:val="left"/>
              <w:rPr>
                <w:sz w:val="21"/>
              </w:rPr>
            </w:pPr>
            <w:r>
              <w:rPr>
                <w:spacing w:val="-3"/>
                <w:sz w:val="21"/>
              </w:rPr>
              <w:t>法院宣告死亡的处理</w:t>
            </w:r>
          </w:p>
          <w:p>
            <w:pPr>
              <w:pStyle w:val="TableParagraph"/>
              <w:numPr>
                <w:ilvl w:val="1"/>
                <w:numId w:val="5"/>
              </w:numPr>
              <w:tabs>
                <w:tab w:pos="936" w:val="left" w:leader="none"/>
              </w:tabs>
              <w:spacing w:line="240" w:lineRule="auto" w:before="36" w:after="0"/>
              <w:ind w:left="933" w:right="0" w:hanging="420"/>
              <w:jc w:val="left"/>
              <w:rPr>
                <w:sz w:val="21"/>
              </w:rPr>
            </w:pPr>
            <w:r>
              <w:rPr>
                <w:spacing w:val="-3"/>
                <w:sz w:val="21"/>
              </w:rPr>
              <w:t>诉讼时效</w:t>
            </w:r>
          </w:p>
        </w:tc>
        <w:tc>
          <w:tcPr>
            <w:tcW w:w="3270" w:type="dxa"/>
          </w:tcPr>
          <w:p>
            <w:pPr>
              <w:pStyle w:val="TableParagraph"/>
              <w:spacing w:before="60"/>
              <w:ind w:left="153"/>
              <w:rPr>
                <w:b/>
                <w:sz w:val="21"/>
              </w:rPr>
            </w:pPr>
            <w:r>
              <w:rPr>
                <w:b/>
                <w:sz w:val="21"/>
              </w:rPr>
              <w:t>6．保险费的交纳</w:t>
            </w:r>
          </w:p>
          <w:p>
            <w:pPr>
              <w:pStyle w:val="TableParagraph"/>
              <w:numPr>
                <w:ilvl w:val="1"/>
                <w:numId w:val="6"/>
              </w:numPr>
              <w:tabs>
                <w:tab w:pos="936" w:val="left" w:leader="none"/>
              </w:tabs>
              <w:spacing w:line="240" w:lineRule="auto" w:before="36" w:after="0"/>
              <w:ind w:left="153" w:right="0" w:firstLine="360"/>
              <w:jc w:val="left"/>
              <w:rPr>
                <w:sz w:val="21"/>
              </w:rPr>
            </w:pPr>
            <w:r>
              <w:rPr>
                <w:spacing w:val="-3"/>
                <w:sz w:val="21"/>
              </w:rPr>
              <w:t>保险费的交纳</w:t>
            </w:r>
          </w:p>
          <w:p>
            <w:pPr>
              <w:pStyle w:val="TableParagraph"/>
              <w:numPr>
                <w:ilvl w:val="1"/>
                <w:numId w:val="6"/>
              </w:numPr>
              <w:tabs>
                <w:tab w:pos="936" w:val="left" w:leader="none"/>
              </w:tabs>
              <w:spacing w:line="273" w:lineRule="auto" w:before="36" w:after="0"/>
              <w:ind w:left="153" w:right="1515" w:firstLine="360"/>
              <w:jc w:val="left"/>
              <w:rPr>
                <w:b/>
                <w:sz w:val="21"/>
              </w:rPr>
            </w:pPr>
            <w:r>
              <w:rPr>
                <w:spacing w:val="-2"/>
                <w:sz w:val="21"/>
              </w:rPr>
              <w:t>宽限期</w:t>
            </w:r>
            <w:r>
              <w:rPr>
                <w:b/>
                <w:spacing w:val="-2"/>
                <w:sz w:val="21"/>
              </w:rPr>
              <w:t>7．现金价值权益</w:t>
            </w:r>
          </w:p>
          <w:p>
            <w:pPr>
              <w:pStyle w:val="TableParagraph"/>
              <w:numPr>
                <w:ilvl w:val="1"/>
                <w:numId w:val="7"/>
              </w:numPr>
              <w:tabs>
                <w:tab w:pos="936" w:val="left" w:leader="none"/>
              </w:tabs>
              <w:spacing w:line="240" w:lineRule="auto" w:before="7" w:after="0"/>
              <w:ind w:left="935" w:right="0" w:hanging="422"/>
              <w:jc w:val="left"/>
              <w:rPr>
                <w:sz w:val="21"/>
              </w:rPr>
            </w:pPr>
            <w:r>
              <w:rPr>
                <w:spacing w:val="-3"/>
                <w:sz w:val="21"/>
              </w:rPr>
              <w:t>现金价值</w:t>
            </w:r>
          </w:p>
          <w:p>
            <w:pPr>
              <w:pStyle w:val="TableParagraph"/>
              <w:numPr>
                <w:ilvl w:val="1"/>
                <w:numId w:val="7"/>
              </w:numPr>
              <w:tabs>
                <w:tab w:pos="936" w:val="left" w:leader="none"/>
              </w:tabs>
              <w:spacing w:line="240" w:lineRule="auto" w:before="37" w:after="0"/>
              <w:ind w:left="935" w:right="0" w:hanging="422"/>
              <w:jc w:val="left"/>
              <w:rPr>
                <w:sz w:val="21"/>
              </w:rPr>
            </w:pPr>
            <w:r>
              <w:rPr>
                <w:spacing w:val="-3"/>
                <w:sz w:val="21"/>
              </w:rPr>
              <w:t>保单贷款</w:t>
            </w:r>
          </w:p>
          <w:p>
            <w:pPr>
              <w:pStyle w:val="TableParagraph"/>
              <w:numPr>
                <w:ilvl w:val="1"/>
                <w:numId w:val="7"/>
              </w:numPr>
              <w:tabs>
                <w:tab w:pos="936" w:val="left" w:leader="none"/>
              </w:tabs>
              <w:spacing w:line="240" w:lineRule="auto" w:before="37" w:after="0"/>
              <w:ind w:left="935" w:right="0" w:hanging="422"/>
              <w:jc w:val="left"/>
              <w:rPr>
                <w:sz w:val="21"/>
              </w:rPr>
            </w:pPr>
            <w:r>
              <w:rPr>
                <w:spacing w:val="-3"/>
                <w:sz w:val="21"/>
              </w:rPr>
              <w:t>保费自动垫交</w:t>
            </w:r>
          </w:p>
          <w:p>
            <w:pPr>
              <w:pStyle w:val="TableParagraph"/>
              <w:numPr>
                <w:ilvl w:val="1"/>
                <w:numId w:val="7"/>
              </w:numPr>
              <w:tabs>
                <w:tab w:pos="936" w:val="left" w:leader="none"/>
              </w:tabs>
              <w:spacing w:line="240" w:lineRule="auto" w:before="37" w:after="0"/>
              <w:ind w:left="935" w:right="0" w:hanging="422"/>
              <w:jc w:val="left"/>
              <w:rPr>
                <w:sz w:val="21"/>
              </w:rPr>
            </w:pPr>
            <w:r>
              <w:rPr>
                <w:spacing w:val="-3"/>
                <w:sz w:val="21"/>
              </w:rPr>
              <w:t>减额交清</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合同效力中止与恢复</w:t>
            </w:r>
          </w:p>
          <w:p>
            <w:pPr>
              <w:pStyle w:val="TableParagraph"/>
              <w:numPr>
                <w:ilvl w:val="1"/>
                <w:numId w:val="8"/>
              </w:numPr>
              <w:tabs>
                <w:tab w:pos="936" w:val="left" w:leader="none"/>
              </w:tabs>
              <w:spacing w:line="240" w:lineRule="auto" w:before="37" w:after="0"/>
              <w:ind w:left="935" w:right="0" w:hanging="422"/>
              <w:jc w:val="left"/>
              <w:rPr>
                <w:sz w:val="21"/>
              </w:rPr>
            </w:pPr>
            <w:r>
              <w:rPr>
                <w:spacing w:val="-3"/>
                <w:sz w:val="21"/>
              </w:rPr>
              <w:t>效力中止</w:t>
            </w:r>
          </w:p>
          <w:p>
            <w:pPr>
              <w:pStyle w:val="TableParagraph"/>
              <w:numPr>
                <w:ilvl w:val="1"/>
                <w:numId w:val="8"/>
              </w:numPr>
              <w:tabs>
                <w:tab w:pos="936" w:val="left" w:leader="none"/>
              </w:tabs>
              <w:spacing w:line="240" w:lineRule="auto" w:before="37" w:after="0"/>
              <w:ind w:left="935" w:right="0" w:hanging="422"/>
              <w:jc w:val="left"/>
              <w:rPr>
                <w:sz w:val="21"/>
              </w:rPr>
            </w:pPr>
            <w:r>
              <w:rPr>
                <w:spacing w:val="-3"/>
                <w:sz w:val="21"/>
              </w:rPr>
              <w:t>效力恢复</w:t>
            </w:r>
          </w:p>
          <w:p>
            <w:pPr>
              <w:pStyle w:val="TableParagraph"/>
              <w:numPr>
                <w:ilvl w:val="0"/>
                <w:numId w:val="8"/>
              </w:numPr>
              <w:tabs>
                <w:tab w:pos="471" w:val="left" w:leader="none"/>
              </w:tabs>
              <w:spacing w:line="240" w:lineRule="auto" w:before="37" w:after="0"/>
              <w:ind w:left="470" w:right="0" w:hanging="317"/>
              <w:jc w:val="left"/>
              <w:rPr>
                <w:b/>
                <w:sz w:val="21"/>
              </w:rPr>
            </w:pPr>
            <w:r>
              <w:rPr>
                <w:b/>
                <w:sz w:val="21"/>
              </w:rPr>
              <w:t>犹豫期后的合同解除</w:t>
            </w:r>
          </w:p>
          <w:p>
            <w:pPr>
              <w:pStyle w:val="TableParagraph"/>
              <w:numPr>
                <w:ilvl w:val="1"/>
                <w:numId w:val="8"/>
              </w:numPr>
              <w:tabs>
                <w:tab w:pos="936" w:val="left" w:leader="none"/>
              </w:tabs>
              <w:spacing w:line="240" w:lineRule="auto" w:before="37" w:after="0"/>
              <w:ind w:left="935" w:right="0" w:hanging="422"/>
              <w:jc w:val="left"/>
              <w:rPr>
                <w:sz w:val="21"/>
              </w:rPr>
            </w:pPr>
            <w:r>
              <w:rPr>
                <w:spacing w:val="-3"/>
                <w:sz w:val="21"/>
              </w:rPr>
              <w:t>您解除合同的手续</w:t>
            </w:r>
          </w:p>
          <w:p>
            <w:pPr>
              <w:pStyle w:val="TableParagraph"/>
              <w:spacing w:before="36"/>
              <w:ind w:left="153"/>
              <w:rPr>
                <w:b/>
                <w:sz w:val="21"/>
              </w:rPr>
            </w:pPr>
            <w:r>
              <w:rPr>
                <w:b/>
                <w:sz w:val="21"/>
              </w:rPr>
              <w:t>10．明确说明与如实告知</w:t>
            </w:r>
          </w:p>
          <w:p>
            <w:pPr>
              <w:pStyle w:val="TableParagraph"/>
              <w:numPr>
                <w:ilvl w:val="1"/>
                <w:numId w:val="9"/>
              </w:numPr>
              <w:tabs>
                <w:tab w:pos="1039" w:val="left" w:leader="none"/>
              </w:tabs>
              <w:spacing w:line="240" w:lineRule="auto" w:before="36" w:after="0"/>
              <w:ind w:left="1036" w:right="0" w:hanging="523"/>
              <w:jc w:val="left"/>
              <w:rPr>
                <w:sz w:val="21"/>
              </w:rPr>
            </w:pPr>
            <w:r>
              <w:rPr>
                <w:spacing w:val="-3"/>
                <w:sz w:val="21"/>
              </w:rPr>
              <w:t>明确说明与如实告知</w:t>
            </w:r>
          </w:p>
          <w:p>
            <w:pPr>
              <w:pStyle w:val="TableParagraph"/>
              <w:numPr>
                <w:ilvl w:val="1"/>
                <w:numId w:val="9"/>
              </w:numPr>
              <w:tabs>
                <w:tab w:pos="1039" w:val="left" w:leader="none"/>
              </w:tabs>
              <w:spacing w:line="273" w:lineRule="auto" w:before="36" w:after="0"/>
              <w:ind w:left="1036" w:right="322" w:hanging="523"/>
              <w:jc w:val="left"/>
              <w:rPr>
                <w:sz w:val="21"/>
              </w:rPr>
            </w:pPr>
            <w:r>
              <w:rPr>
                <w:spacing w:val="-3"/>
                <w:sz w:val="21"/>
              </w:rPr>
              <w:t>本公司合同解除权的限制</w:t>
            </w:r>
          </w:p>
          <w:p>
            <w:pPr>
              <w:pStyle w:val="TableParagraph"/>
              <w:spacing w:before="7"/>
              <w:ind w:left="153"/>
              <w:rPr>
                <w:b/>
                <w:sz w:val="21"/>
              </w:rPr>
            </w:pPr>
            <w:r>
              <w:rPr>
                <w:b/>
                <w:sz w:val="21"/>
              </w:rPr>
              <w:t>11．其他需要关注的事项</w:t>
            </w:r>
          </w:p>
          <w:p>
            <w:pPr>
              <w:pStyle w:val="TableParagraph"/>
              <w:numPr>
                <w:ilvl w:val="1"/>
                <w:numId w:val="10"/>
              </w:numPr>
              <w:tabs>
                <w:tab w:pos="1039" w:val="left" w:leader="none"/>
              </w:tabs>
              <w:spacing w:line="240" w:lineRule="auto" w:before="37" w:after="0"/>
              <w:ind w:left="1039" w:right="0" w:hanging="526"/>
              <w:jc w:val="left"/>
              <w:rPr>
                <w:sz w:val="21"/>
              </w:rPr>
            </w:pPr>
            <w:r>
              <w:rPr>
                <w:spacing w:val="-2"/>
                <w:sz w:val="21"/>
              </w:rPr>
              <w:t>年龄错误</w:t>
            </w:r>
          </w:p>
          <w:p>
            <w:pPr>
              <w:pStyle w:val="TableParagraph"/>
              <w:numPr>
                <w:ilvl w:val="1"/>
                <w:numId w:val="10"/>
              </w:numPr>
              <w:tabs>
                <w:tab w:pos="1039" w:val="left" w:leader="none"/>
              </w:tabs>
              <w:spacing w:line="240" w:lineRule="auto" w:before="37" w:after="0"/>
              <w:ind w:left="1039" w:right="0" w:hanging="526"/>
              <w:jc w:val="left"/>
              <w:rPr>
                <w:sz w:val="21"/>
              </w:rPr>
            </w:pPr>
            <w:r>
              <w:rPr>
                <w:spacing w:val="-3"/>
                <w:sz w:val="21"/>
              </w:rPr>
              <w:t>合同效力终止</w:t>
            </w:r>
          </w:p>
          <w:p>
            <w:pPr>
              <w:pStyle w:val="TableParagraph"/>
              <w:numPr>
                <w:ilvl w:val="0"/>
                <w:numId w:val="11"/>
              </w:numPr>
              <w:tabs>
                <w:tab w:pos="576" w:val="left" w:leader="none"/>
              </w:tabs>
              <w:spacing w:line="240" w:lineRule="auto" w:before="37" w:after="0"/>
              <w:ind w:left="575" w:right="0" w:hanging="422"/>
              <w:jc w:val="left"/>
              <w:rPr>
                <w:b/>
                <w:sz w:val="21"/>
              </w:rPr>
            </w:pPr>
            <w:r>
              <w:rPr>
                <w:b/>
                <w:sz w:val="21"/>
              </w:rPr>
              <w:t>释义</w:t>
            </w:r>
          </w:p>
          <w:p>
            <w:pPr>
              <w:pStyle w:val="TableParagraph"/>
              <w:numPr>
                <w:ilvl w:val="1"/>
                <w:numId w:val="11"/>
              </w:numPr>
              <w:tabs>
                <w:tab w:pos="1039" w:val="left" w:leader="none"/>
              </w:tabs>
              <w:spacing w:line="240" w:lineRule="auto" w:before="37" w:after="0"/>
              <w:ind w:left="1039" w:right="0" w:hanging="526"/>
              <w:jc w:val="left"/>
              <w:rPr>
                <w:sz w:val="21"/>
              </w:rPr>
            </w:pPr>
            <w:r>
              <w:rPr>
                <w:spacing w:val="-2"/>
                <w:sz w:val="21"/>
              </w:rPr>
              <w:t>保单年度</w:t>
            </w:r>
          </w:p>
          <w:p>
            <w:pPr>
              <w:pStyle w:val="TableParagraph"/>
              <w:numPr>
                <w:ilvl w:val="1"/>
                <w:numId w:val="11"/>
              </w:numPr>
              <w:tabs>
                <w:tab w:pos="1039" w:val="left" w:leader="none"/>
              </w:tabs>
              <w:spacing w:line="240" w:lineRule="auto" w:before="37" w:after="0"/>
              <w:ind w:left="1039" w:right="0" w:hanging="526"/>
              <w:jc w:val="left"/>
              <w:rPr>
                <w:sz w:val="21"/>
              </w:rPr>
            </w:pPr>
            <w:r>
              <w:rPr>
                <w:sz w:val="21"/>
              </w:rPr>
              <w:t>周岁</w:t>
            </w:r>
          </w:p>
          <w:p>
            <w:pPr>
              <w:pStyle w:val="TableParagraph"/>
              <w:numPr>
                <w:ilvl w:val="1"/>
                <w:numId w:val="11"/>
              </w:numPr>
              <w:tabs>
                <w:tab w:pos="1039" w:val="left" w:leader="none"/>
              </w:tabs>
              <w:spacing w:line="240" w:lineRule="auto" w:before="37" w:after="0"/>
              <w:ind w:left="1039" w:right="0" w:hanging="526"/>
              <w:jc w:val="left"/>
              <w:rPr>
                <w:sz w:val="21"/>
              </w:rPr>
            </w:pPr>
            <w:r>
              <w:rPr>
                <w:spacing w:val="-2"/>
                <w:sz w:val="21"/>
              </w:rPr>
              <w:t>高度残疾</w:t>
            </w:r>
          </w:p>
          <w:p>
            <w:pPr>
              <w:pStyle w:val="TableParagraph"/>
              <w:numPr>
                <w:ilvl w:val="1"/>
                <w:numId w:val="11"/>
              </w:numPr>
              <w:tabs>
                <w:tab w:pos="1039" w:val="left" w:leader="none"/>
              </w:tabs>
              <w:spacing w:line="240" w:lineRule="auto" w:before="37" w:after="0"/>
              <w:ind w:left="1039" w:right="0" w:hanging="526"/>
              <w:jc w:val="left"/>
              <w:rPr>
                <w:sz w:val="21"/>
              </w:rPr>
            </w:pPr>
            <w:r>
              <w:rPr>
                <w:spacing w:val="-3"/>
                <w:sz w:val="21"/>
              </w:rPr>
              <w:t>我们认可的医院</w:t>
            </w:r>
          </w:p>
          <w:p>
            <w:pPr>
              <w:pStyle w:val="TableParagraph"/>
              <w:numPr>
                <w:ilvl w:val="1"/>
                <w:numId w:val="11"/>
              </w:numPr>
              <w:tabs>
                <w:tab w:pos="1039" w:val="left" w:leader="none"/>
              </w:tabs>
              <w:spacing w:line="240" w:lineRule="auto" w:before="37" w:after="0"/>
              <w:ind w:left="1039" w:right="0" w:hanging="526"/>
              <w:jc w:val="left"/>
              <w:rPr>
                <w:sz w:val="21"/>
              </w:rPr>
            </w:pPr>
            <w:r>
              <w:rPr>
                <w:sz w:val="21"/>
              </w:rPr>
              <w:t>以后</w:t>
            </w:r>
          </w:p>
          <w:p>
            <w:pPr>
              <w:pStyle w:val="TableParagraph"/>
              <w:numPr>
                <w:ilvl w:val="1"/>
                <w:numId w:val="11"/>
              </w:numPr>
              <w:tabs>
                <w:tab w:pos="1039" w:val="left" w:leader="none"/>
              </w:tabs>
              <w:spacing w:line="240" w:lineRule="auto" w:before="37" w:after="0"/>
              <w:ind w:left="1039" w:right="0" w:hanging="526"/>
              <w:jc w:val="left"/>
              <w:rPr>
                <w:sz w:val="21"/>
              </w:rPr>
            </w:pPr>
            <w:r>
              <w:rPr>
                <w:spacing w:val="-3"/>
                <w:sz w:val="21"/>
              </w:rPr>
              <w:t>保单周年日</w:t>
            </w:r>
          </w:p>
        </w:tc>
        <w:tc>
          <w:tcPr>
            <w:tcW w:w="3370" w:type="dxa"/>
          </w:tcPr>
          <w:p>
            <w:pPr>
              <w:pStyle w:val="TableParagraph"/>
              <w:numPr>
                <w:ilvl w:val="1"/>
                <w:numId w:val="12"/>
              </w:numPr>
              <w:tabs>
                <w:tab w:pos="890" w:val="left" w:leader="none"/>
              </w:tabs>
              <w:spacing w:line="240" w:lineRule="auto" w:before="60" w:after="0"/>
              <w:ind w:left="1002" w:right="0" w:hanging="639"/>
              <w:jc w:val="left"/>
              <w:rPr>
                <w:sz w:val="21"/>
              </w:rPr>
            </w:pPr>
            <w:r>
              <w:rPr>
                <w:spacing w:val="-2"/>
                <w:sz w:val="21"/>
              </w:rPr>
              <w:t>意外伤害</w:t>
            </w:r>
          </w:p>
          <w:p>
            <w:pPr>
              <w:pStyle w:val="TableParagraph"/>
              <w:numPr>
                <w:ilvl w:val="1"/>
                <w:numId w:val="12"/>
              </w:numPr>
              <w:tabs>
                <w:tab w:pos="890" w:val="left" w:leader="none"/>
              </w:tabs>
              <w:spacing w:line="240" w:lineRule="auto" w:before="36" w:after="0"/>
              <w:ind w:left="1002" w:right="0" w:hanging="639"/>
              <w:jc w:val="left"/>
              <w:rPr>
                <w:sz w:val="21"/>
              </w:rPr>
            </w:pPr>
            <w:r>
              <w:rPr>
                <w:sz w:val="21"/>
              </w:rPr>
              <w:t>毒品</w:t>
            </w:r>
          </w:p>
          <w:p>
            <w:pPr>
              <w:pStyle w:val="TableParagraph"/>
              <w:numPr>
                <w:ilvl w:val="1"/>
                <w:numId w:val="12"/>
              </w:numPr>
              <w:tabs>
                <w:tab w:pos="890" w:val="left" w:leader="none"/>
              </w:tabs>
              <w:spacing w:line="240" w:lineRule="auto" w:before="36" w:after="0"/>
              <w:ind w:left="1002" w:right="0" w:hanging="639"/>
              <w:jc w:val="left"/>
              <w:rPr>
                <w:sz w:val="21"/>
              </w:rPr>
            </w:pPr>
            <w:r>
              <w:rPr>
                <w:spacing w:val="-2"/>
                <w:sz w:val="21"/>
              </w:rPr>
              <w:t>管制药品</w:t>
            </w:r>
          </w:p>
          <w:p>
            <w:pPr>
              <w:pStyle w:val="TableParagraph"/>
              <w:numPr>
                <w:ilvl w:val="1"/>
                <w:numId w:val="12"/>
              </w:numPr>
              <w:tabs>
                <w:tab w:pos="995" w:val="left" w:leader="none"/>
              </w:tabs>
              <w:spacing w:line="240" w:lineRule="auto" w:before="36" w:after="0"/>
              <w:ind w:left="995" w:right="0" w:hanging="632"/>
              <w:jc w:val="left"/>
              <w:rPr>
                <w:sz w:val="21"/>
              </w:rPr>
            </w:pPr>
            <w:r>
              <w:rPr>
                <w:spacing w:val="-2"/>
                <w:sz w:val="21"/>
              </w:rPr>
              <w:t>酒后驾驶</w:t>
            </w:r>
          </w:p>
          <w:p>
            <w:pPr>
              <w:pStyle w:val="TableParagraph"/>
              <w:numPr>
                <w:ilvl w:val="1"/>
                <w:numId w:val="12"/>
              </w:numPr>
              <w:tabs>
                <w:tab w:pos="993" w:val="left" w:leader="none"/>
              </w:tabs>
              <w:spacing w:line="240" w:lineRule="auto" w:before="36" w:after="0"/>
              <w:ind w:left="992" w:right="0" w:hanging="631"/>
              <w:jc w:val="left"/>
              <w:rPr>
                <w:sz w:val="21"/>
              </w:rPr>
            </w:pPr>
            <w:r>
              <w:rPr>
                <w:spacing w:val="-3"/>
                <w:sz w:val="21"/>
              </w:rPr>
              <w:t>无合法有效驾驶证驾驶</w:t>
            </w:r>
          </w:p>
          <w:p>
            <w:pPr>
              <w:pStyle w:val="TableParagraph"/>
              <w:numPr>
                <w:ilvl w:val="1"/>
                <w:numId w:val="12"/>
              </w:numPr>
              <w:tabs>
                <w:tab w:pos="995" w:val="left" w:leader="none"/>
              </w:tabs>
              <w:spacing w:line="240" w:lineRule="auto" w:before="36" w:after="0"/>
              <w:ind w:left="995" w:right="0" w:hanging="632"/>
              <w:jc w:val="left"/>
              <w:rPr>
                <w:sz w:val="21"/>
              </w:rPr>
            </w:pPr>
            <w:r>
              <w:rPr>
                <w:spacing w:val="-3"/>
                <w:sz w:val="21"/>
              </w:rPr>
              <w:t>无有效行驶证</w:t>
            </w:r>
          </w:p>
          <w:p>
            <w:pPr>
              <w:pStyle w:val="TableParagraph"/>
              <w:numPr>
                <w:ilvl w:val="1"/>
                <w:numId w:val="12"/>
              </w:numPr>
              <w:tabs>
                <w:tab w:pos="995" w:val="left" w:leader="none"/>
              </w:tabs>
              <w:spacing w:line="240" w:lineRule="auto" w:before="36" w:after="0"/>
              <w:ind w:left="995" w:right="0" w:hanging="632"/>
              <w:jc w:val="left"/>
              <w:rPr>
                <w:sz w:val="21"/>
              </w:rPr>
            </w:pPr>
            <w:r>
              <w:rPr>
                <w:spacing w:val="-2"/>
                <w:sz w:val="21"/>
              </w:rPr>
              <w:t>机动车</w:t>
            </w:r>
          </w:p>
          <w:p>
            <w:pPr>
              <w:pStyle w:val="TableParagraph"/>
              <w:numPr>
                <w:ilvl w:val="1"/>
                <w:numId w:val="12"/>
              </w:numPr>
              <w:tabs>
                <w:tab w:pos="1005" w:val="left" w:leader="none"/>
              </w:tabs>
              <w:spacing w:line="273" w:lineRule="auto" w:before="36" w:after="0"/>
              <w:ind w:left="1002" w:right="118" w:hanging="643"/>
              <w:jc w:val="left"/>
              <w:rPr>
                <w:sz w:val="21"/>
              </w:rPr>
            </w:pPr>
            <w:r>
              <w:rPr>
                <w:spacing w:val="10"/>
                <w:sz w:val="21"/>
              </w:rPr>
              <w:t>感染艾滋病病毒或患艾</w:t>
            </w:r>
            <w:r>
              <w:rPr>
                <w:sz w:val="21"/>
              </w:rPr>
              <w:t>滋病</w:t>
            </w:r>
          </w:p>
          <w:p>
            <w:pPr>
              <w:pStyle w:val="TableParagraph"/>
              <w:numPr>
                <w:ilvl w:val="1"/>
                <w:numId w:val="12"/>
              </w:numPr>
              <w:tabs>
                <w:tab w:pos="995" w:val="left" w:leader="none"/>
              </w:tabs>
              <w:spacing w:line="240" w:lineRule="auto" w:before="7" w:after="0"/>
              <w:ind w:left="995" w:right="0" w:hanging="632"/>
              <w:jc w:val="left"/>
              <w:rPr>
                <w:sz w:val="21"/>
              </w:rPr>
            </w:pPr>
            <w:r>
              <w:rPr>
                <w:spacing w:val="-3"/>
                <w:sz w:val="21"/>
              </w:rPr>
              <w:t>遗传性疾病</w:t>
            </w:r>
          </w:p>
          <w:p>
            <w:pPr>
              <w:pStyle w:val="TableParagraph"/>
              <w:numPr>
                <w:ilvl w:val="1"/>
                <w:numId w:val="12"/>
              </w:numPr>
              <w:tabs>
                <w:tab w:pos="998" w:val="left" w:leader="none"/>
              </w:tabs>
              <w:spacing w:line="268" w:lineRule="auto" w:before="31" w:after="0"/>
              <w:ind w:left="992" w:right="130" w:hanging="629"/>
              <w:jc w:val="left"/>
              <w:rPr>
                <w:sz w:val="21"/>
              </w:rPr>
            </w:pPr>
            <w:r>
              <w:rPr>
                <w:spacing w:val="-15"/>
                <w:position w:val="1"/>
                <w:sz w:val="21"/>
              </w:rPr>
              <w:t>先天性畸形、变</w:t>
            </w:r>
            <w:r>
              <w:rPr>
                <w:sz w:val="21"/>
              </w:rPr>
              <w:t>形或染色体异常</w:t>
            </w:r>
          </w:p>
          <w:p>
            <w:pPr>
              <w:pStyle w:val="TableParagraph"/>
              <w:numPr>
                <w:ilvl w:val="1"/>
                <w:numId w:val="12"/>
              </w:numPr>
              <w:tabs>
                <w:tab w:pos="995" w:val="left" w:leader="none"/>
              </w:tabs>
              <w:spacing w:line="240" w:lineRule="auto" w:before="12" w:after="0"/>
              <w:ind w:left="995" w:right="0" w:hanging="632"/>
              <w:jc w:val="left"/>
              <w:rPr>
                <w:sz w:val="21"/>
              </w:rPr>
            </w:pPr>
            <w:r>
              <w:rPr>
                <w:spacing w:val="-2"/>
                <w:sz w:val="21"/>
              </w:rPr>
              <w:t>现金价值</w:t>
            </w:r>
          </w:p>
          <w:p>
            <w:pPr>
              <w:pStyle w:val="TableParagraph"/>
              <w:numPr>
                <w:ilvl w:val="1"/>
                <w:numId w:val="12"/>
              </w:numPr>
              <w:tabs>
                <w:tab w:pos="995" w:val="left" w:leader="none"/>
              </w:tabs>
              <w:spacing w:line="240" w:lineRule="auto" w:before="37" w:after="0"/>
              <w:ind w:left="995" w:right="0" w:hanging="632"/>
              <w:jc w:val="left"/>
              <w:rPr>
                <w:sz w:val="21"/>
              </w:rPr>
            </w:pPr>
            <w:r>
              <w:rPr>
                <w:spacing w:val="-2"/>
                <w:sz w:val="21"/>
              </w:rPr>
              <w:t>专科医生</w:t>
            </w:r>
          </w:p>
          <w:p>
            <w:pPr>
              <w:pStyle w:val="TableParagraph"/>
              <w:numPr>
                <w:ilvl w:val="1"/>
                <w:numId w:val="12"/>
              </w:numPr>
              <w:tabs>
                <w:tab w:pos="995" w:val="left" w:leader="none"/>
              </w:tabs>
              <w:spacing w:line="240" w:lineRule="auto" w:before="37" w:after="0"/>
              <w:ind w:left="995" w:right="0" w:hanging="632"/>
              <w:jc w:val="left"/>
              <w:rPr>
                <w:sz w:val="21"/>
              </w:rPr>
            </w:pPr>
            <w:r>
              <w:rPr>
                <w:spacing w:val="-3"/>
                <w:sz w:val="21"/>
              </w:rPr>
              <w:t>肢体机能完全丧失</w:t>
            </w:r>
          </w:p>
          <w:p>
            <w:pPr>
              <w:pStyle w:val="TableParagraph"/>
              <w:numPr>
                <w:ilvl w:val="1"/>
                <w:numId w:val="12"/>
              </w:numPr>
              <w:tabs>
                <w:tab w:pos="995" w:val="left" w:leader="none"/>
              </w:tabs>
              <w:spacing w:line="273" w:lineRule="auto" w:before="37" w:after="0"/>
              <w:ind w:left="992" w:right="255" w:hanging="629"/>
              <w:jc w:val="left"/>
              <w:rPr>
                <w:sz w:val="21"/>
              </w:rPr>
            </w:pPr>
            <w:r>
              <w:rPr>
                <w:spacing w:val="-3"/>
                <w:sz w:val="21"/>
              </w:rPr>
              <w:t>语言能力或咀嚼吞咽能力完全丧失</w:t>
            </w:r>
          </w:p>
          <w:p>
            <w:pPr>
              <w:pStyle w:val="TableParagraph"/>
              <w:numPr>
                <w:ilvl w:val="1"/>
                <w:numId w:val="12"/>
              </w:numPr>
              <w:tabs>
                <w:tab w:pos="995" w:val="left" w:leader="none"/>
              </w:tabs>
              <w:spacing w:line="240" w:lineRule="auto" w:before="2" w:after="0"/>
              <w:ind w:left="995" w:right="0" w:hanging="632"/>
              <w:jc w:val="left"/>
              <w:rPr>
                <w:sz w:val="21"/>
              </w:rPr>
            </w:pPr>
            <w:r>
              <w:rPr>
                <w:spacing w:val="-20"/>
                <w:position w:val="1"/>
                <w:sz w:val="21"/>
              </w:rPr>
              <w:t>六项基本日常生活活动</w:t>
            </w:r>
          </w:p>
          <w:p>
            <w:pPr>
              <w:pStyle w:val="TableParagraph"/>
              <w:numPr>
                <w:ilvl w:val="1"/>
                <w:numId w:val="12"/>
              </w:numPr>
              <w:tabs>
                <w:tab w:pos="995" w:val="left" w:leader="none"/>
              </w:tabs>
              <w:spacing w:line="240" w:lineRule="auto" w:before="27" w:after="0"/>
              <w:ind w:left="995" w:right="0" w:hanging="632"/>
              <w:jc w:val="left"/>
              <w:rPr>
                <w:sz w:val="21"/>
              </w:rPr>
            </w:pPr>
            <w:r>
              <w:rPr>
                <w:position w:val="1"/>
                <w:sz w:val="21"/>
              </w:rPr>
              <w:t>永久不可逆</w:t>
            </w:r>
          </w:p>
          <w:p>
            <w:pPr>
              <w:pStyle w:val="TableParagraph"/>
              <w:numPr>
                <w:ilvl w:val="1"/>
                <w:numId w:val="12"/>
              </w:numPr>
              <w:tabs>
                <w:tab w:pos="995" w:val="left" w:leader="none"/>
              </w:tabs>
              <w:spacing w:line="240" w:lineRule="auto" w:before="32" w:after="0"/>
              <w:ind w:left="995" w:right="0" w:hanging="632"/>
              <w:jc w:val="left"/>
              <w:rPr>
                <w:sz w:val="21"/>
              </w:rPr>
            </w:pPr>
            <w:r>
              <w:rPr>
                <w:spacing w:val="-3"/>
                <w:sz w:val="21"/>
              </w:rPr>
              <w:t>保险事故</w:t>
            </w:r>
          </w:p>
          <w:p>
            <w:pPr>
              <w:pStyle w:val="TableParagraph"/>
              <w:numPr>
                <w:ilvl w:val="1"/>
                <w:numId w:val="12"/>
              </w:numPr>
              <w:tabs>
                <w:tab w:pos="995" w:val="left" w:leader="none"/>
              </w:tabs>
              <w:spacing w:line="240" w:lineRule="auto" w:before="36" w:after="0"/>
              <w:ind w:left="995" w:right="0" w:hanging="632"/>
              <w:jc w:val="left"/>
              <w:rPr>
                <w:sz w:val="21"/>
              </w:rPr>
            </w:pPr>
            <w:r>
              <w:rPr>
                <w:spacing w:val="-3"/>
                <w:sz w:val="21"/>
              </w:rPr>
              <w:t>不可抗力</w:t>
            </w:r>
          </w:p>
          <w:p>
            <w:pPr>
              <w:pStyle w:val="TableParagraph"/>
              <w:numPr>
                <w:ilvl w:val="1"/>
                <w:numId w:val="12"/>
              </w:numPr>
              <w:tabs>
                <w:tab w:pos="995" w:val="left" w:leader="none"/>
              </w:tabs>
              <w:spacing w:line="240" w:lineRule="auto" w:before="36" w:after="0"/>
              <w:ind w:left="995" w:right="0" w:hanging="632"/>
              <w:jc w:val="left"/>
              <w:rPr>
                <w:sz w:val="21"/>
              </w:rPr>
            </w:pPr>
            <w:r>
              <w:rPr>
                <w:spacing w:val="-2"/>
                <w:sz w:val="21"/>
              </w:rPr>
              <w:t>申请人</w:t>
            </w:r>
          </w:p>
          <w:p>
            <w:pPr>
              <w:pStyle w:val="TableParagraph"/>
              <w:numPr>
                <w:ilvl w:val="1"/>
                <w:numId w:val="12"/>
              </w:numPr>
              <w:tabs>
                <w:tab w:pos="995" w:val="left" w:leader="none"/>
              </w:tabs>
              <w:spacing w:line="240" w:lineRule="auto" w:before="36" w:after="0"/>
              <w:ind w:left="995" w:right="0" w:hanging="632"/>
              <w:jc w:val="left"/>
              <w:rPr>
                <w:sz w:val="21"/>
              </w:rPr>
            </w:pPr>
            <w:r>
              <w:rPr>
                <w:spacing w:val="-3"/>
                <w:sz w:val="21"/>
              </w:rPr>
              <w:t>法定有效身份证明</w:t>
            </w:r>
          </w:p>
          <w:p>
            <w:pPr>
              <w:pStyle w:val="TableParagraph"/>
              <w:numPr>
                <w:ilvl w:val="1"/>
                <w:numId w:val="12"/>
              </w:numPr>
              <w:tabs>
                <w:tab w:pos="995" w:val="left" w:leader="none"/>
              </w:tabs>
              <w:spacing w:line="240" w:lineRule="auto" w:before="36" w:after="0"/>
              <w:ind w:left="995" w:right="0" w:hanging="632"/>
              <w:jc w:val="left"/>
              <w:rPr>
                <w:sz w:val="21"/>
              </w:rPr>
            </w:pPr>
            <w:r>
              <w:rPr>
                <w:spacing w:val="-3"/>
                <w:sz w:val="21"/>
              </w:rPr>
              <w:t>保险费约定支付日</w:t>
            </w:r>
          </w:p>
          <w:p>
            <w:pPr>
              <w:pStyle w:val="TableParagraph"/>
              <w:numPr>
                <w:ilvl w:val="1"/>
                <w:numId w:val="12"/>
              </w:numPr>
              <w:tabs>
                <w:tab w:pos="995" w:val="left" w:leader="none"/>
              </w:tabs>
              <w:spacing w:line="240" w:lineRule="auto" w:before="37" w:after="0"/>
              <w:ind w:left="995" w:right="0" w:hanging="632"/>
              <w:jc w:val="left"/>
              <w:rPr>
                <w:sz w:val="21"/>
              </w:rPr>
            </w:pPr>
            <w:r>
              <w:rPr>
                <w:spacing w:val="-3"/>
                <w:sz w:val="21"/>
              </w:rPr>
              <w:t>现金价值净额</w:t>
            </w:r>
          </w:p>
          <w:p>
            <w:pPr>
              <w:pStyle w:val="TableParagraph"/>
              <w:numPr>
                <w:ilvl w:val="1"/>
                <w:numId w:val="12"/>
              </w:numPr>
              <w:tabs>
                <w:tab w:pos="995" w:val="left" w:leader="none"/>
              </w:tabs>
              <w:spacing w:line="240" w:lineRule="auto" w:before="37" w:after="0"/>
              <w:ind w:left="995" w:right="0" w:hanging="632"/>
              <w:jc w:val="left"/>
              <w:rPr>
                <w:sz w:val="21"/>
              </w:rPr>
            </w:pPr>
            <w:r>
              <w:rPr>
                <w:spacing w:val="-3"/>
                <w:sz w:val="21"/>
              </w:rPr>
              <w:t>本合同约定利率</w:t>
            </w:r>
          </w:p>
        </w:tc>
      </w:tr>
    </w:tbl>
    <w:p>
      <w:pPr>
        <w:pStyle w:val="BodyText"/>
        <w:spacing w:line="273" w:lineRule="auto" w:before="16"/>
        <w:ind w:left="212" w:right="348"/>
      </w:pPr>
      <w:r>
        <w:rPr>
          <w:spacing w:val="-11"/>
        </w:rPr>
        <w:t>在本条款中，“您”指投保人，“我们”、“本公司”均指百年人寿保险股份有限公司，“本合同” </w:t>
      </w:r>
      <w:r>
        <w:rPr/>
        <w:t>（以</w:t>
      </w:r>
      <w:r>
        <w:rPr>
          <w:spacing w:val="-3"/>
        </w:rPr>
        <w:t>下简称本合同）指您与我们之间订立的“百年康泰终身重大疾病保险合同”。</w:t>
      </w:r>
    </w:p>
    <w:p>
      <w:pPr>
        <w:pStyle w:val="BodyText"/>
        <w:spacing w:before="3"/>
        <w:rPr>
          <w:sz w:val="27"/>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6"/>
        <w:gridCol w:w="1912"/>
        <w:gridCol w:w="7342"/>
      </w:tblGrid>
      <w:tr>
        <w:trPr>
          <w:trHeight w:val="401" w:hRule="atLeast"/>
        </w:trPr>
        <w:tc>
          <w:tcPr>
            <w:tcW w:w="726" w:type="dxa"/>
            <w:tcBorders>
              <w:bottom w:val="single" w:sz="6" w:space="0" w:color="000000"/>
            </w:tcBorders>
          </w:tcPr>
          <w:p>
            <w:pPr>
              <w:pStyle w:val="TableParagraph"/>
              <w:spacing w:line="322" w:lineRule="exact"/>
              <w:ind w:left="97"/>
              <w:rPr>
                <w:b/>
                <w:sz w:val="28"/>
              </w:rPr>
            </w:pPr>
            <w:r>
              <w:rPr>
                <w:b/>
                <w:w w:val="99"/>
                <w:sz w:val="28"/>
              </w:rPr>
              <w:t>⒈</w:t>
            </w:r>
          </w:p>
        </w:tc>
        <w:tc>
          <w:tcPr>
            <w:tcW w:w="9254" w:type="dxa"/>
            <w:gridSpan w:val="2"/>
            <w:tcBorders>
              <w:bottom w:val="single" w:sz="6" w:space="0" w:color="000000"/>
            </w:tcBorders>
          </w:tcPr>
          <w:p>
            <w:pPr>
              <w:pStyle w:val="TableParagraph"/>
              <w:spacing w:line="240" w:lineRule="exact"/>
              <w:ind w:left="310"/>
              <w:rPr>
                <w:b/>
                <w:sz w:val="24"/>
              </w:rPr>
            </w:pPr>
            <w:r>
              <w:rPr>
                <w:b/>
                <w:sz w:val="24"/>
              </w:rPr>
              <w:t>您与我们订立的合同</w:t>
            </w:r>
          </w:p>
        </w:tc>
      </w:tr>
      <w:tr>
        <w:trPr>
          <w:trHeight w:val="2127" w:hRule="atLeast"/>
        </w:trPr>
        <w:tc>
          <w:tcPr>
            <w:tcW w:w="726" w:type="dxa"/>
            <w:tcBorders>
              <w:top w:val="single" w:sz="6" w:space="0" w:color="000000"/>
            </w:tcBorders>
          </w:tcPr>
          <w:p>
            <w:pPr>
              <w:pStyle w:val="TableParagraph"/>
              <w:spacing w:before="151"/>
              <w:ind w:left="97"/>
              <w:rPr>
                <w:b/>
                <w:sz w:val="21"/>
              </w:rPr>
            </w:pPr>
            <w:r>
              <w:rPr>
                <w:b/>
                <w:sz w:val="21"/>
              </w:rPr>
              <w:t>1.1</w:t>
            </w:r>
          </w:p>
        </w:tc>
        <w:tc>
          <w:tcPr>
            <w:tcW w:w="1912" w:type="dxa"/>
            <w:tcBorders>
              <w:top w:val="single" w:sz="6" w:space="0" w:color="000000"/>
            </w:tcBorders>
          </w:tcPr>
          <w:p>
            <w:pPr>
              <w:pStyle w:val="TableParagraph"/>
              <w:spacing w:before="151"/>
              <w:ind w:left="310"/>
              <w:rPr>
                <w:b/>
                <w:sz w:val="21"/>
              </w:rPr>
            </w:pPr>
            <w:r>
              <w:rPr>
                <w:b/>
                <w:sz w:val="21"/>
              </w:rPr>
              <w:t>合同构成</w:t>
            </w:r>
          </w:p>
        </w:tc>
        <w:tc>
          <w:tcPr>
            <w:tcW w:w="7342" w:type="dxa"/>
            <w:tcBorders>
              <w:top w:val="single" w:sz="6" w:space="0" w:color="000000"/>
            </w:tcBorders>
          </w:tcPr>
          <w:p>
            <w:pPr>
              <w:pStyle w:val="TableParagraph"/>
              <w:spacing w:line="273" w:lineRule="auto" w:before="151"/>
              <w:ind w:left="121" w:right="71"/>
              <w:jc w:val="both"/>
              <w:rPr>
                <w:sz w:val="21"/>
              </w:rPr>
            </w:pPr>
            <w:r>
              <w:rPr>
                <w:sz w:val="21"/>
              </w:rPr>
              <w:t>本合同是您与我们约定保险权利义务关系的协议，包括本保险条款、保险单或其他保险凭证、投保书副本、与本合同有关的投保文件、合法有效的声明、批注、批单及其他您与我们共同认可的书面协议。</w:t>
            </w:r>
          </w:p>
          <w:p>
            <w:pPr>
              <w:pStyle w:val="TableParagraph"/>
              <w:spacing w:line="273" w:lineRule="auto" w:before="7"/>
              <w:ind w:left="121" w:right="72"/>
              <w:jc w:val="both"/>
              <w:rPr>
                <w:sz w:val="21"/>
              </w:rPr>
            </w:pPr>
            <w:r>
              <w:rPr>
                <w:sz w:val="21"/>
              </w:rPr>
              <w:t>若上述构成本合同的文件正本需留我们存档，则其复印件或电子影像印刷件亦视为本合同的构成部分，其效力与正本相同；若复印件或电子影像印刷件的内容与正本不同时，则以正本为准。</w:t>
            </w:r>
          </w:p>
        </w:tc>
      </w:tr>
      <w:tr>
        <w:trPr>
          <w:trHeight w:val="1287" w:hRule="atLeast"/>
        </w:trPr>
        <w:tc>
          <w:tcPr>
            <w:tcW w:w="726" w:type="dxa"/>
          </w:tcPr>
          <w:p>
            <w:pPr>
              <w:pStyle w:val="TableParagraph"/>
              <w:spacing w:before="76"/>
              <w:ind w:left="97"/>
              <w:rPr>
                <w:b/>
                <w:sz w:val="21"/>
              </w:rPr>
            </w:pPr>
            <w:r>
              <w:rPr>
                <w:b/>
                <w:sz w:val="21"/>
              </w:rPr>
              <w:t>1.2</w:t>
            </w:r>
          </w:p>
        </w:tc>
        <w:tc>
          <w:tcPr>
            <w:tcW w:w="1912" w:type="dxa"/>
          </w:tcPr>
          <w:p>
            <w:pPr>
              <w:pStyle w:val="TableParagraph"/>
              <w:spacing w:before="76"/>
              <w:ind w:left="310"/>
              <w:rPr>
                <w:b/>
                <w:sz w:val="21"/>
              </w:rPr>
            </w:pPr>
            <w:r>
              <w:rPr>
                <w:b/>
                <w:sz w:val="21"/>
              </w:rPr>
              <w:t>合同成立与生效</w:t>
            </w:r>
          </w:p>
        </w:tc>
        <w:tc>
          <w:tcPr>
            <w:tcW w:w="7342" w:type="dxa"/>
          </w:tcPr>
          <w:p>
            <w:pPr>
              <w:pStyle w:val="TableParagraph"/>
              <w:spacing w:line="273" w:lineRule="auto" w:before="76"/>
              <w:ind w:left="121" w:right="8"/>
              <w:rPr>
                <w:sz w:val="21"/>
              </w:rPr>
            </w:pPr>
            <w:r>
              <w:rPr>
                <w:sz w:val="21"/>
              </w:rPr>
              <w:t>您提出保险申请、我们同意承保，本合同成立。我们同意承保是指您交付首期保险费，我们核保通过并签发保险单。</w:t>
            </w:r>
          </w:p>
          <w:p>
            <w:pPr>
              <w:pStyle w:val="TableParagraph"/>
              <w:spacing w:line="312" w:lineRule="exact" w:before="2"/>
              <w:ind w:left="121" w:right="8"/>
              <w:rPr>
                <w:sz w:val="21"/>
              </w:rPr>
            </w:pPr>
            <w:r>
              <w:rPr>
                <w:sz w:val="21"/>
              </w:rPr>
              <w:t>合同生效日期在保险单上载明。我们承担的保险责任从载于保险单上的生效日零时开始。本合同的</w:t>
            </w:r>
            <w:r>
              <w:rPr>
                <w:b/>
                <w:sz w:val="21"/>
              </w:rPr>
              <w:t>保单年度</w:t>
            </w:r>
            <w:r>
              <w:rPr>
                <w:b/>
                <w:position w:val="11"/>
                <w:sz w:val="11"/>
              </w:rPr>
              <w:t>［12.1］</w:t>
            </w:r>
            <w:r>
              <w:rPr>
                <w:sz w:val="21"/>
              </w:rPr>
              <w:t>以生效日起算。</w:t>
            </w:r>
          </w:p>
        </w:tc>
      </w:tr>
    </w:tbl>
    <w:p>
      <w:pPr>
        <w:spacing w:after="0" w:line="312" w:lineRule="exact"/>
        <w:rPr>
          <w:sz w:val="21"/>
        </w:rPr>
        <w:sectPr>
          <w:pgSz w:w="11910" w:h="16840"/>
          <w:pgMar w:header="566" w:footer="664" w:top="1000" w:bottom="860" w:left="920" w:right="780"/>
        </w:sectPr>
      </w:pPr>
    </w:p>
    <w:p>
      <w:pPr>
        <w:pStyle w:val="BodyText"/>
        <w:rPr>
          <w:rFonts w:ascii="Times New Roman"/>
          <w:sz w:val="20"/>
        </w:rPr>
      </w:pPr>
      <w:r>
        <w:rPr/>
        <w:drawing>
          <wp:anchor distT="0" distB="0" distL="0" distR="0" allowOverlap="1" layoutInCell="1" locked="0" behindDoc="1" simplePos="0" relativeHeight="268390511">
            <wp:simplePos x="0" y="0"/>
            <wp:positionH relativeFrom="page">
              <wp:posOffset>5467525</wp:posOffset>
            </wp:positionH>
            <wp:positionV relativeFrom="page">
              <wp:posOffset>9388296</wp:posOffset>
            </wp:positionV>
            <wp:extent cx="62864" cy="9429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2864" cy="94297"/>
                    </a:xfrm>
                    <a:prstGeom prst="rect">
                      <a:avLst/>
                    </a:prstGeom>
                  </pic:spPr>
                </pic:pic>
              </a:graphicData>
            </a:graphic>
          </wp:anchor>
        </w:drawing>
      </w:r>
    </w:p>
    <w:p>
      <w:pPr>
        <w:pStyle w:val="BodyText"/>
        <w:spacing w:before="5"/>
        <w:rPr>
          <w:rFonts w:ascii="Times New Roman"/>
          <w:sz w:val="18"/>
        </w:rPr>
      </w:pPr>
    </w:p>
    <w:tbl>
      <w:tblPr>
        <w:tblW w:w="0" w:type="auto"/>
        <w:jc w:val="left"/>
        <w:tblInd w:w="1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4"/>
        <w:gridCol w:w="1806"/>
        <w:gridCol w:w="7442"/>
      </w:tblGrid>
      <w:tr>
        <w:trPr>
          <w:trHeight w:val="999" w:hRule="atLeast"/>
        </w:trPr>
        <w:tc>
          <w:tcPr>
            <w:tcW w:w="734" w:type="dxa"/>
          </w:tcPr>
          <w:p>
            <w:pPr>
              <w:pStyle w:val="TableParagraph"/>
              <w:spacing w:line="235" w:lineRule="exact"/>
              <w:ind w:left="0"/>
              <w:rPr>
                <w:b/>
                <w:sz w:val="21"/>
              </w:rPr>
            </w:pPr>
            <w:r>
              <w:rPr>
                <w:b/>
                <w:sz w:val="21"/>
              </w:rPr>
              <w:t>1.3</w:t>
            </w:r>
          </w:p>
        </w:tc>
        <w:tc>
          <w:tcPr>
            <w:tcW w:w="1806" w:type="dxa"/>
          </w:tcPr>
          <w:p>
            <w:pPr>
              <w:pStyle w:val="TableParagraph"/>
              <w:spacing w:line="235" w:lineRule="exact"/>
              <w:ind w:left="204"/>
              <w:rPr>
                <w:b/>
                <w:sz w:val="21"/>
              </w:rPr>
            </w:pPr>
            <w:r>
              <w:rPr>
                <w:b/>
                <w:sz w:val="21"/>
              </w:rPr>
              <w:t>投保年龄</w:t>
            </w:r>
          </w:p>
        </w:tc>
        <w:tc>
          <w:tcPr>
            <w:tcW w:w="7442" w:type="dxa"/>
          </w:tcPr>
          <w:p>
            <w:pPr>
              <w:pStyle w:val="TableParagraph"/>
              <w:spacing w:line="235" w:lineRule="exact"/>
              <w:rPr>
                <w:sz w:val="21"/>
              </w:rPr>
            </w:pPr>
            <w:r>
              <w:rPr>
                <w:sz w:val="21"/>
              </w:rPr>
              <w:t>指您投保时被保险人的年龄，投保年龄以</w:t>
            </w:r>
            <w:r>
              <w:rPr>
                <w:b/>
                <w:sz w:val="21"/>
              </w:rPr>
              <w:t>周岁</w:t>
            </w:r>
            <w:r>
              <w:rPr>
                <w:b/>
                <w:position w:val="11"/>
                <w:sz w:val="11"/>
              </w:rPr>
              <w:t>［12.2］</w:t>
            </w:r>
            <w:r>
              <w:rPr>
                <w:sz w:val="21"/>
              </w:rPr>
              <w:t>计算，本合同接受的投保年</w:t>
            </w:r>
          </w:p>
          <w:p>
            <w:pPr>
              <w:pStyle w:val="TableParagraph"/>
              <w:spacing w:line="273" w:lineRule="auto" w:before="37"/>
              <w:ind w:right="173"/>
              <w:rPr>
                <w:sz w:val="21"/>
              </w:rPr>
            </w:pPr>
            <w:r>
              <w:rPr>
                <w:spacing w:val="-16"/>
                <w:sz w:val="21"/>
              </w:rPr>
              <w:t>龄为 </w:t>
            </w:r>
            <w:r>
              <w:rPr>
                <w:sz w:val="21"/>
              </w:rPr>
              <w:t>0</w:t>
            </w:r>
            <w:r>
              <w:rPr>
                <w:spacing w:val="-22"/>
                <w:sz w:val="21"/>
              </w:rPr>
              <w:t> 周岁至 </w:t>
            </w:r>
            <w:r>
              <w:rPr>
                <w:sz w:val="21"/>
              </w:rPr>
              <w:t>60</w:t>
            </w:r>
            <w:r>
              <w:rPr>
                <w:spacing w:val="-13"/>
                <w:sz w:val="21"/>
              </w:rPr>
              <w:t> 周岁，投保时被保险人为 </w:t>
            </w:r>
            <w:r>
              <w:rPr>
                <w:sz w:val="21"/>
              </w:rPr>
              <w:t>0</w:t>
            </w:r>
            <w:r>
              <w:rPr>
                <w:spacing w:val="-12"/>
                <w:sz w:val="21"/>
              </w:rPr>
              <w:t> 周岁的，应当为出生满 </w:t>
            </w:r>
            <w:r>
              <w:rPr>
                <w:sz w:val="21"/>
              </w:rPr>
              <w:t>28</w:t>
            </w:r>
            <w:r>
              <w:rPr>
                <w:spacing w:val="-15"/>
                <w:sz w:val="21"/>
              </w:rPr>
              <w:t> 日且已</w:t>
            </w:r>
            <w:r>
              <w:rPr>
                <w:spacing w:val="-7"/>
                <w:sz w:val="21"/>
              </w:rPr>
              <w:t>健康出院的婴儿。</w:t>
            </w:r>
          </w:p>
        </w:tc>
      </w:tr>
      <w:tr>
        <w:trPr>
          <w:trHeight w:val="1792" w:hRule="atLeast"/>
        </w:trPr>
        <w:tc>
          <w:tcPr>
            <w:tcW w:w="734" w:type="dxa"/>
          </w:tcPr>
          <w:p>
            <w:pPr>
              <w:pStyle w:val="TableParagraph"/>
              <w:spacing w:before="76"/>
              <w:ind w:left="0"/>
              <w:rPr>
                <w:b/>
                <w:sz w:val="21"/>
              </w:rPr>
            </w:pPr>
            <w:r>
              <w:rPr>
                <w:b/>
                <w:sz w:val="21"/>
              </w:rPr>
              <w:t>1.4</w:t>
            </w:r>
          </w:p>
        </w:tc>
        <w:tc>
          <w:tcPr>
            <w:tcW w:w="1806" w:type="dxa"/>
          </w:tcPr>
          <w:p>
            <w:pPr>
              <w:pStyle w:val="TableParagraph"/>
              <w:spacing w:before="76"/>
              <w:ind w:left="204"/>
              <w:rPr>
                <w:b/>
                <w:sz w:val="21"/>
              </w:rPr>
            </w:pPr>
            <w:r>
              <w:rPr>
                <w:b/>
                <w:sz w:val="21"/>
              </w:rPr>
              <w:t>犹豫期</w:t>
            </w:r>
          </w:p>
        </w:tc>
        <w:tc>
          <w:tcPr>
            <w:tcW w:w="7442" w:type="dxa"/>
          </w:tcPr>
          <w:p>
            <w:pPr>
              <w:pStyle w:val="TableParagraph"/>
              <w:spacing w:line="273" w:lineRule="auto" w:before="76"/>
              <w:ind w:right="42"/>
              <w:rPr>
                <w:rFonts w:ascii="黑体" w:eastAsia="黑体" w:hint="eastAsia"/>
                <w:b/>
                <w:sz w:val="21"/>
              </w:rPr>
            </w:pPr>
            <w:r>
              <w:rPr>
                <w:rFonts w:ascii="黑体" w:eastAsia="黑体" w:hint="eastAsia"/>
                <w:b/>
                <w:spacing w:val="-6"/>
                <w:sz w:val="21"/>
              </w:rPr>
              <w:t>自您签收本合同之日起享有 </w:t>
            </w:r>
            <w:r>
              <w:rPr>
                <w:rFonts w:ascii="黑体" w:eastAsia="黑体" w:hint="eastAsia"/>
                <w:b/>
                <w:sz w:val="21"/>
              </w:rPr>
              <w:t>15</w:t>
            </w:r>
            <w:r>
              <w:rPr>
                <w:rFonts w:ascii="黑体" w:eastAsia="黑体" w:hint="eastAsia"/>
                <w:b/>
                <w:spacing w:val="-8"/>
                <w:sz w:val="21"/>
              </w:rPr>
              <w:t> 日的犹豫期。在此期间，请您认真审视本合同。如果您确定本合同与您的需求不相符，您可以书面提出解除本合同申请，您应将本合同、保险费发票原件以及您所能提供的其他与解除合同有关的材料提交</w:t>
            </w:r>
            <w:r>
              <w:rPr>
                <w:rFonts w:ascii="黑体" w:eastAsia="黑体" w:hint="eastAsia"/>
                <w:b/>
                <w:spacing w:val="-3"/>
                <w:sz w:val="21"/>
              </w:rPr>
              <w:t>给我们。自您书面申请解除合同之日起，本合同正式解除，我们自本合同</w:t>
            </w:r>
            <w:r>
              <w:rPr>
                <w:rFonts w:ascii="黑体" w:eastAsia="黑体" w:hint="eastAsia"/>
                <w:b/>
                <w:sz w:val="21"/>
              </w:rPr>
              <w:t>Th效</w:t>
            </w:r>
            <w:r>
              <w:rPr>
                <w:rFonts w:ascii="黑体" w:eastAsia="黑体" w:hint="eastAsia"/>
                <w:b/>
                <w:spacing w:val="-3"/>
                <w:sz w:val="21"/>
              </w:rPr>
              <w:t>之日起自始不承担保险责任，但无息退还您所交纳的保险费。</w:t>
            </w:r>
          </w:p>
        </w:tc>
      </w:tr>
      <w:tr>
        <w:trPr>
          <w:trHeight w:val="594" w:hRule="atLeast"/>
        </w:trPr>
        <w:tc>
          <w:tcPr>
            <w:tcW w:w="734" w:type="dxa"/>
            <w:tcBorders>
              <w:bottom w:val="single" w:sz="6" w:space="0" w:color="000000"/>
            </w:tcBorders>
          </w:tcPr>
          <w:p>
            <w:pPr>
              <w:pStyle w:val="TableParagraph"/>
              <w:spacing w:before="122"/>
              <w:ind w:left="0"/>
              <w:rPr>
                <w:b/>
                <w:sz w:val="28"/>
              </w:rPr>
            </w:pPr>
            <w:r>
              <w:rPr>
                <w:b/>
                <w:w w:val="99"/>
                <w:sz w:val="28"/>
              </w:rPr>
              <w:t>⒉</w:t>
            </w:r>
          </w:p>
        </w:tc>
        <w:tc>
          <w:tcPr>
            <w:tcW w:w="9248" w:type="dxa"/>
            <w:gridSpan w:val="2"/>
            <w:tcBorders>
              <w:bottom w:val="single" w:sz="6" w:space="0" w:color="000000"/>
            </w:tcBorders>
          </w:tcPr>
          <w:p>
            <w:pPr>
              <w:pStyle w:val="TableParagraph"/>
              <w:spacing w:before="118"/>
              <w:ind w:left="204"/>
              <w:rPr>
                <w:b/>
                <w:sz w:val="24"/>
              </w:rPr>
            </w:pPr>
            <w:r>
              <w:rPr>
                <w:b/>
                <w:w w:val="95"/>
                <w:sz w:val="24"/>
              </w:rPr>
              <w:t>我们提供的保障</w:t>
            </w:r>
          </w:p>
        </w:tc>
      </w:tr>
      <w:tr>
        <w:trPr>
          <w:trHeight w:val="566" w:hRule="atLeast"/>
        </w:trPr>
        <w:tc>
          <w:tcPr>
            <w:tcW w:w="734" w:type="dxa"/>
            <w:tcBorders>
              <w:top w:val="single" w:sz="6" w:space="0" w:color="000000"/>
            </w:tcBorders>
          </w:tcPr>
          <w:p>
            <w:pPr>
              <w:pStyle w:val="TableParagraph"/>
              <w:spacing w:before="151"/>
              <w:ind w:left="0"/>
              <w:rPr>
                <w:b/>
                <w:sz w:val="21"/>
              </w:rPr>
            </w:pPr>
            <w:r>
              <w:rPr>
                <w:b/>
                <w:sz w:val="21"/>
              </w:rPr>
              <w:t>2.1</w:t>
            </w:r>
          </w:p>
        </w:tc>
        <w:tc>
          <w:tcPr>
            <w:tcW w:w="1806" w:type="dxa"/>
            <w:tcBorders>
              <w:top w:val="single" w:sz="6" w:space="0" w:color="000000"/>
            </w:tcBorders>
          </w:tcPr>
          <w:p>
            <w:pPr>
              <w:pStyle w:val="TableParagraph"/>
              <w:spacing w:before="151"/>
              <w:ind w:left="204"/>
              <w:rPr>
                <w:b/>
                <w:sz w:val="21"/>
              </w:rPr>
            </w:pPr>
            <w:r>
              <w:rPr>
                <w:b/>
                <w:sz w:val="21"/>
              </w:rPr>
              <w:t>基本保额</w:t>
            </w:r>
          </w:p>
        </w:tc>
        <w:tc>
          <w:tcPr>
            <w:tcW w:w="7442" w:type="dxa"/>
            <w:tcBorders>
              <w:top w:val="single" w:sz="6" w:space="0" w:color="000000"/>
            </w:tcBorders>
          </w:tcPr>
          <w:p>
            <w:pPr>
              <w:pStyle w:val="TableParagraph"/>
              <w:spacing w:before="151"/>
              <w:rPr>
                <w:sz w:val="21"/>
              </w:rPr>
            </w:pPr>
            <w:r>
              <w:rPr>
                <w:sz w:val="21"/>
              </w:rPr>
              <w:t>本合同的基本保额由您与我们约定并在保险单上载明。</w:t>
            </w:r>
          </w:p>
        </w:tc>
      </w:tr>
      <w:tr>
        <w:trPr>
          <w:trHeight w:val="798" w:hRule="atLeast"/>
        </w:trPr>
        <w:tc>
          <w:tcPr>
            <w:tcW w:w="734" w:type="dxa"/>
          </w:tcPr>
          <w:p>
            <w:pPr>
              <w:pStyle w:val="TableParagraph"/>
              <w:spacing w:before="77"/>
              <w:ind w:left="0"/>
              <w:rPr>
                <w:b/>
                <w:sz w:val="21"/>
              </w:rPr>
            </w:pPr>
            <w:r>
              <w:rPr>
                <w:b/>
                <w:sz w:val="21"/>
              </w:rPr>
              <w:t>2.2</w:t>
            </w:r>
          </w:p>
        </w:tc>
        <w:tc>
          <w:tcPr>
            <w:tcW w:w="1806" w:type="dxa"/>
          </w:tcPr>
          <w:p>
            <w:pPr>
              <w:pStyle w:val="TableParagraph"/>
              <w:spacing w:line="273" w:lineRule="auto" w:before="77"/>
              <w:ind w:left="204" w:right="120"/>
              <w:rPr>
                <w:b/>
                <w:sz w:val="21"/>
              </w:rPr>
            </w:pPr>
            <w:r>
              <w:rPr>
                <w:b/>
                <w:sz w:val="21"/>
              </w:rPr>
              <w:t>未成年人身故保险金限制</w:t>
            </w:r>
          </w:p>
        </w:tc>
        <w:tc>
          <w:tcPr>
            <w:tcW w:w="7442" w:type="dxa"/>
          </w:tcPr>
          <w:p>
            <w:pPr>
              <w:pStyle w:val="TableParagraph"/>
              <w:spacing w:before="77"/>
              <w:rPr>
                <w:sz w:val="21"/>
              </w:rPr>
            </w:pPr>
            <w:r>
              <w:rPr>
                <w:sz w:val="21"/>
              </w:rPr>
              <w:t>若被保险人为未成年人，身故保险金总和不超过保险监管机构规定的限额。</w:t>
            </w:r>
          </w:p>
        </w:tc>
      </w:tr>
      <w:tr>
        <w:trPr>
          <w:trHeight w:val="509" w:hRule="atLeast"/>
        </w:trPr>
        <w:tc>
          <w:tcPr>
            <w:tcW w:w="734" w:type="dxa"/>
          </w:tcPr>
          <w:p>
            <w:pPr>
              <w:pStyle w:val="TableParagraph"/>
              <w:spacing w:before="94"/>
              <w:ind w:left="0"/>
              <w:rPr>
                <w:b/>
                <w:sz w:val="21"/>
              </w:rPr>
            </w:pPr>
            <w:r>
              <w:rPr>
                <w:b/>
                <w:sz w:val="21"/>
              </w:rPr>
              <w:t>2.3</w:t>
            </w:r>
          </w:p>
        </w:tc>
        <w:tc>
          <w:tcPr>
            <w:tcW w:w="1806" w:type="dxa"/>
          </w:tcPr>
          <w:p>
            <w:pPr>
              <w:pStyle w:val="TableParagraph"/>
              <w:spacing w:before="94"/>
              <w:ind w:left="204"/>
              <w:rPr>
                <w:b/>
                <w:sz w:val="21"/>
              </w:rPr>
            </w:pPr>
            <w:r>
              <w:rPr>
                <w:b/>
                <w:sz w:val="21"/>
              </w:rPr>
              <w:t>保险期间</w:t>
            </w:r>
          </w:p>
        </w:tc>
        <w:tc>
          <w:tcPr>
            <w:tcW w:w="7442" w:type="dxa"/>
          </w:tcPr>
          <w:p>
            <w:pPr>
              <w:pStyle w:val="TableParagraph"/>
              <w:spacing w:before="94"/>
              <w:rPr>
                <w:sz w:val="21"/>
              </w:rPr>
            </w:pPr>
            <w:r>
              <w:rPr>
                <w:sz w:val="21"/>
              </w:rPr>
              <w:t>本合同的保险期间自本合同生效日起至被保险人身故或</w:t>
            </w:r>
            <w:r>
              <w:rPr>
                <w:b/>
                <w:sz w:val="21"/>
              </w:rPr>
              <w:t>高度残疾</w:t>
            </w:r>
            <w:r>
              <w:rPr>
                <w:b/>
                <w:position w:val="11"/>
                <w:sz w:val="11"/>
              </w:rPr>
              <w:t>［12.3］</w:t>
            </w:r>
            <w:r>
              <w:rPr>
                <w:sz w:val="21"/>
              </w:rPr>
              <w:t>时止。</w:t>
            </w:r>
          </w:p>
        </w:tc>
      </w:tr>
      <w:tr>
        <w:trPr>
          <w:trHeight w:val="507" w:hRule="atLeast"/>
        </w:trPr>
        <w:tc>
          <w:tcPr>
            <w:tcW w:w="734" w:type="dxa"/>
          </w:tcPr>
          <w:p>
            <w:pPr>
              <w:pStyle w:val="TableParagraph"/>
              <w:spacing w:before="76"/>
              <w:ind w:left="0"/>
              <w:rPr>
                <w:b/>
                <w:sz w:val="21"/>
              </w:rPr>
            </w:pPr>
            <w:r>
              <w:rPr>
                <w:b/>
                <w:sz w:val="21"/>
              </w:rPr>
              <w:t>2.4</w:t>
            </w:r>
          </w:p>
        </w:tc>
        <w:tc>
          <w:tcPr>
            <w:tcW w:w="1806" w:type="dxa"/>
          </w:tcPr>
          <w:p>
            <w:pPr>
              <w:pStyle w:val="TableParagraph"/>
              <w:spacing w:before="76"/>
              <w:ind w:left="204"/>
              <w:rPr>
                <w:b/>
                <w:sz w:val="21"/>
              </w:rPr>
            </w:pPr>
            <w:r>
              <w:rPr>
                <w:b/>
                <w:sz w:val="21"/>
              </w:rPr>
              <w:t>保险责任</w:t>
            </w:r>
          </w:p>
        </w:tc>
        <w:tc>
          <w:tcPr>
            <w:tcW w:w="7442" w:type="dxa"/>
          </w:tcPr>
          <w:p>
            <w:pPr>
              <w:pStyle w:val="TableParagraph"/>
              <w:spacing w:before="76"/>
              <w:rPr>
                <w:sz w:val="21"/>
              </w:rPr>
            </w:pPr>
            <w:r>
              <w:rPr>
                <w:sz w:val="21"/>
              </w:rPr>
              <w:t>在本合同有效期间内，我们承担下列保险责任：</w:t>
            </w:r>
          </w:p>
        </w:tc>
      </w:tr>
      <w:tr>
        <w:trPr>
          <w:trHeight w:val="5812" w:hRule="atLeast"/>
        </w:trPr>
        <w:tc>
          <w:tcPr>
            <w:tcW w:w="734" w:type="dxa"/>
          </w:tcPr>
          <w:p>
            <w:pPr>
              <w:pStyle w:val="TableParagraph"/>
              <w:spacing w:before="92"/>
              <w:ind w:left="0"/>
              <w:rPr>
                <w:b/>
                <w:sz w:val="21"/>
              </w:rPr>
            </w:pPr>
            <w:r>
              <w:rPr>
                <w:b/>
                <w:sz w:val="21"/>
              </w:rPr>
              <w:t>2.4.1</w:t>
            </w:r>
          </w:p>
        </w:tc>
        <w:tc>
          <w:tcPr>
            <w:tcW w:w="1806" w:type="dxa"/>
          </w:tcPr>
          <w:p>
            <w:pPr>
              <w:pStyle w:val="TableParagraph"/>
              <w:spacing w:before="92"/>
              <w:ind w:left="204"/>
              <w:rPr>
                <w:b/>
                <w:sz w:val="21"/>
              </w:rPr>
            </w:pPr>
            <w:r>
              <w:rPr>
                <w:b/>
                <w:sz w:val="21"/>
              </w:rPr>
              <w:t>重大疾病保险金</w:t>
            </w:r>
          </w:p>
        </w:tc>
        <w:tc>
          <w:tcPr>
            <w:tcW w:w="7442" w:type="dxa"/>
          </w:tcPr>
          <w:p>
            <w:pPr>
              <w:pStyle w:val="TableParagraph"/>
              <w:spacing w:before="92"/>
              <w:rPr>
                <w:rFonts w:ascii="黑体" w:eastAsia="黑体" w:hint="eastAsia"/>
                <w:b/>
                <w:sz w:val="21"/>
              </w:rPr>
            </w:pPr>
            <w:r>
              <w:rPr>
                <w:rFonts w:ascii="黑体" w:eastAsia="黑体" w:hint="eastAsia"/>
                <w:b/>
                <w:sz w:val="21"/>
              </w:rPr>
              <w:t>（1）自本合同Th效（或最后复效）之日起90日内，被保险人经我们认可的医院</w:t>
            </w:r>
          </w:p>
          <w:p>
            <w:pPr>
              <w:pStyle w:val="TableParagraph"/>
              <w:spacing w:before="37"/>
              <w:rPr>
                <w:rFonts w:ascii="黑体" w:eastAsia="黑体" w:hint="eastAsia"/>
                <w:b/>
                <w:sz w:val="21"/>
              </w:rPr>
            </w:pPr>
            <w:r>
              <w:rPr>
                <w:rFonts w:ascii="黑体" w:eastAsia="黑体" w:hint="eastAsia"/>
                <w:b/>
                <w:position w:val="11"/>
                <w:sz w:val="11"/>
              </w:rPr>
              <w:t>［12.4］</w:t>
            </w:r>
            <w:r>
              <w:rPr>
                <w:rFonts w:ascii="黑体" w:eastAsia="黑体" w:hint="eastAsia"/>
                <w:b/>
                <w:sz w:val="21"/>
              </w:rPr>
              <w:t>确诊初次患上一种或多种本合同所约定的重大疾病，经我们查核属实确在</w:t>
            </w:r>
          </w:p>
          <w:p>
            <w:pPr>
              <w:pStyle w:val="TableParagraph"/>
              <w:spacing w:before="37"/>
              <w:rPr>
                <w:rFonts w:ascii="黑体" w:eastAsia="黑体" w:hint="eastAsia"/>
                <w:b/>
                <w:sz w:val="21"/>
              </w:rPr>
            </w:pPr>
            <w:r>
              <w:rPr>
                <w:rFonts w:ascii="黑体" w:eastAsia="黑体" w:hint="eastAsia"/>
                <w:b/>
                <w:sz w:val="21"/>
              </w:rPr>
              <w:t>本合同责任范围内，我们将无息返还所交保险费，本合同效力终止。</w:t>
            </w:r>
          </w:p>
          <w:p>
            <w:pPr>
              <w:pStyle w:val="TableParagraph"/>
              <w:spacing w:line="273" w:lineRule="auto" w:before="37"/>
              <w:ind w:right="55"/>
              <w:rPr>
                <w:rFonts w:ascii="黑体" w:eastAsia="黑体" w:hint="eastAsia"/>
                <w:b/>
                <w:sz w:val="21"/>
              </w:rPr>
            </w:pPr>
            <w:r>
              <w:rPr>
                <w:rFonts w:ascii="黑体" w:eastAsia="黑体" w:hint="eastAsia"/>
                <w:b/>
                <w:w w:val="100"/>
                <w:sz w:val="21"/>
              </w:rPr>
              <w:t>（</w:t>
            </w:r>
            <w:r>
              <w:rPr>
                <w:rFonts w:ascii="黑体" w:eastAsia="黑体" w:hint="eastAsia"/>
                <w:b/>
                <w:w w:val="99"/>
                <w:sz w:val="21"/>
              </w:rPr>
              <w:t>2</w:t>
            </w:r>
            <w:r>
              <w:rPr>
                <w:rFonts w:ascii="黑体" w:eastAsia="黑体" w:hint="eastAsia"/>
                <w:b/>
                <w:spacing w:val="-60"/>
                <w:w w:val="100"/>
                <w:sz w:val="21"/>
              </w:rPr>
              <w:t>）</w:t>
            </w:r>
            <w:r>
              <w:rPr>
                <w:rFonts w:ascii="黑体" w:eastAsia="黑体" w:hint="eastAsia"/>
                <w:b/>
                <w:w w:val="100"/>
                <w:sz w:val="21"/>
              </w:rPr>
              <w:t>自本合同Th</w:t>
            </w:r>
            <w:r>
              <w:rPr>
                <w:rFonts w:ascii="黑体" w:eastAsia="黑体" w:hint="eastAsia"/>
                <w:b/>
                <w:spacing w:val="-60"/>
                <w:w w:val="100"/>
                <w:sz w:val="21"/>
              </w:rPr>
              <w:t>效</w:t>
            </w:r>
            <w:r>
              <w:rPr>
                <w:rFonts w:ascii="黑体" w:eastAsia="黑体" w:hint="eastAsia"/>
                <w:b/>
                <w:w w:val="100"/>
                <w:sz w:val="21"/>
              </w:rPr>
              <w:t>（</w:t>
            </w:r>
            <w:r>
              <w:rPr>
                <w:rFonts w:ascii="黑体" w:eastAsia="黑体" w:hint="eastAsia"/>
                <w:b/>
                <w:spacing w:val="-2"/>
                <w:w w:val="100"/>
                <w:sz w:val="21"/>
              </w:rPr>
              <w:t>或最后复效</w:t>
            </w:r>
            <w:r>
              <w:rPr>
                <w:rFonts w:ascii="黑体" w:eastAsia="黑体" w:hint="eastAsia"/>
                <w:b/>
                <w:spacing w:val="-60"/>
                <w:w w:val="100"/>
                <w:sz w:val="21"/>
              </w:rPr>
              <w:t>）</w:t>
            </w:r>
            <w:r>
              <w:rPr>
                <w:rFonts w:ascii="黑体" w:eastAsia="黑体" w:hint="eastAsia"/>
                <w:b/>
                <w:w w:val="100"/>
                <w:sz w:val="21"/>
              </w:rPr>
              <w:t>之日起</w:t>
            </w:r>
            <w:r>
              <w:rPr>
                <w:rFonts w:ascii="黑体" w:eastAsia="黑体" w:hint="eastAsia"/>
                <w:b/>
                <w:w w:val="99"/>
                <w:sz w:val="21"/>
              </w:rPr>
              <w:t>90</w:t>
            </w:r>
            <w:r>
              <w:rPr>
                <w:rFonts w:ascii="黑体" w:eastAsia="黑体" w:hint="eastAsia"/>
                <w:b/>
                <w:spacing w:val="-4"/>
                <w:w w:val="100"/>
                <w:sz w:val="21"/>
              </w:rPr>
              <w:t>日以后</w:t>
            </w:r>
            <w:r>
              <w:rPr>
                <w:rFonts w:ascii="黑体" w:eastAsia="黑体" w:hint="eastAsia"/>
                <w:b/>
                <w:w w:val="99"/>
                <w:position w:val="11"/>
                <w:sz w:val="11"/>
              </w:rPr>
              <w:t>［</w:t>
            </w:r>
            <w:r>
              <w:rPr>
                <w:rFonts w:ascii="黑体" w:eastAsia="黑体" w:hint="eastAsia"/>
                <w:b/>
                <w:spacing w:val="-3"/>
                <w:w w:val="99"/>
                <w:position w:val="11"/>
                <w:sz w:val="11"/>
              </w:rPr>
              <w:t>1</w:t>
            </w:r>
            <w:r>
              <w:rPr>
                <w:rFonts w:ascii="黑体" w:eastAsia="黑体" w:hint="eastAsia"/>
                <w:b/>
                <w:w w:val="99"/>
                <w:position w:val="11"/>
                <w:sz w:val="11"/>
              </w:rPr>
              <w:t>2.5</w:t>
            </w:r>
            <w:r>
              <w:rPr>
                <w:rFonts w:ascii="黑体" w:eastAsia="黑体" w:hint="eastAsia"/>
                <w:b/>
                <w:spacing w:val="-8"/>
                <w:w w:val="99"/>
                <w:position w:val="11"/>
                <w:sz w:val="11"/>
              </w:rPr>
              <w:t>］</w:t>
            </w:r>
            <w:r>
              <w:rPr>
                <w:rFonts w:ascii="黑体" w:eastAsia="黑体" w:hint="eastAsia"/>
                <w:b/>
                <w:spacing w:val="-10"/>
                <w:w w:val="100"/>
                <w:sz w:val="21"/>
              </w:rPr>
              <w:t>，第一个保单周年日</w:t>
            </w:r>
            <w:r>
              <w:rPr>
                <w:rFonts w:ascii="黑体" w:eastAsia="黑体" w:hint="eastAsia"/>
                <w:b/>
                <w:w w:val="99"/>
                <w:position w:val="11"/>
                <w:sz w:val="11"/>
              </w:rPr>
              <w:t>［</w:t>
            </w:r>
            <w:r>
              <w:rPr>
                <w:rFonts w:ascii="黑体" w:eastAsia="黑体" w:hint="eastAsia"/>
                <w:b/>
                <w:w w:val="99"/>
                <w:position w:val="11"/>
                <w:sz w:val="11"/>
              </w:rPr>
              <w:t>12.6</w:t>
            </w:r>
            <w:r>
              <w:rPr>
                <w:rFonts w:ascii="黑体" w:eastAsia="黑体" w:hint="eastAsia"/>
                <w:b/>
                <w:w w:val="99"/>
                <w:position w:val="11"/>
                <w:sz w:val="11"/>
              </w:rPr>
              <w:t>］</w:t>
            </w:r>
            <w:r>
              <w:rPr>
                <w:rFonts w:ascii="黑体" w:eastAsia="黑体" w:hint="eastAsia"/>
                <w:b/>
                <w:spacing w:val="-3"/>
                <w:sz w:val="21"/>
              </w:rPr>
              <w:t>以前，被保险人经我们认可的医院确诊初次患上一种或多种本合同所约定的重大疾病，经我们查核属实确在本合同责任范围内，我们按本合同基本保额给付重大疾病保险金，本合同效力终止。</w:t>
            </w:r>
          </w:p>
          <w:p>
            <w:pPr>
              <w:pStyle w:val="TableParagraph"/>
              <w:spacing w:line="273" w:lineRule="auto" w:before="8"/>
              <w:ind w:right="44"/>
              <w:rPr>
                <w:rFonts w:ascii="黑体" w:eastAsia="黑体" w:hint="eastAsia"/>
                <w:b/>
                <w:sz w:val="21"/>
              </w:rPr>
            </w:pPr>
            <w:r>
              <w:rPr>
                <w:rFonts w:ascii="黑体" w:eastAsia="黑体" w:hint="eastAsia"/>
                <w:b/>
                <w:sz w:val="21"/>
              </w:rPr>
              <w:t>（3）自本合同Th效（</w:t>
            </w:r>
            <w:r>
              <w:rPr>
                <w:rFonts w:ascii="黑体" w:eastAsia="黑体" w:hint="eastAsia"/>
                <w:b/>
                <w:spacing w:val="-2"/>
                <w:sz w:val="21"/>
              </w:rPr>
              <w:t>或最后复效</w:t>
            </w:r>
            <w:r>
              <w:rPr>
                <w:rFonts w:ascii="黑体" w:eastAsia="黑体" w:hint="eastAsia"/>
                <w:b/>
                <w:sz w:val="21"/>
              </w:rPr>
              <w:t>）之日起90</w:t>
            </w:r>
            <w:r>
              <w:rPr>
                <w:rFonts w:ascii="黑体" w:eastAsia="黑体" w:hint="eastAsia"/>
                <w:b/>
                <w:spacing w:val="-3"/>
                <w:sz w:val="21"/>
              </w:rPr>
              <w:t>日以后，第一个保单周年日以后， 第二个保单周年日以前，被保险人经我们认可的医院确诊初次患上一种或多种本合同所约定的重大疾病，经我们查核属实确在本合同责任范围内，我们按本合同基本保额的2倍给付重大疾病保险金，本合同效力终止。</w:t>
            </w:r>
          </w:p>
          <w:p>
            <w:pPr>
              <w:pStyle w:val="TableParagraph"/>
              <w:spacing w:line="273" w:lineRule="auto" w:before="8"/>
              <w:ind w:right="41"/>
              <w:rPr>
                <w:rFonts w:ascii="黑体" w:eastAsia="黑体" w:hint="eastAsia"/>
                <w:b/>
                <w:sz w:val="21"/>
              </w:rPr>
            </w:pPr>
            <w:r>
              <w:rPr>
                <w:rFonts w:ascii="黑体" w:eastAsia="黑体" w:hint="eastAsia"/>
                <w:b/>
                <w:sz w:val="21"/>
              </w:rPr>
              <w:t>（4）自本合同Th效（或最后复效）之日起90日以后，第二个保单周年日以后， 被保险人经我们认可的医院确诊初次患上一种或多种本合同所约定的重大疾</w:t>
            </w:r>
          </w:p>
          <w:p>
            <w:pPr>
              <w:pStyle w:val="TableParagraph"/>
              <w:spacing w:line="273" w:lineRule="auto" w:before="8"/>
              <w:ind w:right="115"/>
              <w:rPr>
                <w:rFonts w:ascii="黑体" w:eastAsia="黑体" w:hint="eastAsia"/>
                <w:b/>
                <w:sz w:val="21"/>
              </w:rPr>
            </w:pPr>
            <w:r>
              <w:rPr>
                <w:rFonts w:ascii="黑体" w:eastAsia="黑体" w:hint="eastAsia"/>
                <w:b/>
                <w:spacing w:val="-8"/>
                <w:sz w:val="21"/>
              </w:rPr>
              <w:t>病，经我们查核属实确在本合同责任范围内，我们按本合同基本保额的</w:t>
            </w:r>
            <w:r>
              <w:rPr>
                <w:rFonts w:ascii="黑体" w:eastAsia="黑体" w:hint="eastAsia"/>
                <w:b/>
                <w:sz w:val="21"/>
              </w:rPr>
              <w:t>3</w:t>
            </w:r>
            <w:r>
              <w:rPr>
                <w:rFonts w:ascii="黑体" w:eastAsia="黑体" w:hint="eastAsia"/>
                <w:b/>
                <w:spacing w:val="-3"/>
                <w:sz w:val="21"/>
              </w:rPr>
              <w:t>倍给付</w:t>
            </w:r>
            <w:r>
              <w:rPr>
                <w:rFonts w:ascii="黑体" w:eastAsia="黑体" w:hint="eastAsia"/>
                <w:b/>
                <w:spacing w:val="-2"/>
                <w:sz w:val="21"/>
              </w:rPr>
              <w:t>重大疾病保险金，本合同效力终止。</w:t>
            </w:r>
          </w:p>
          <w:p>
            <w:pPr>
              <w:pStyle w:val="TableParagraph"/>
              <w:spacing w:line="273" w:lineRule="auto" w:before="8"/>
              <w:ind w:right="41"/>
              <w:rPr>
                <w:rFonts w:ascii="黑体" w:eastAsia="黑体" w:hint="eastAsia"/>
                <w:b/>
                <w:sz w:val="21"/>
              </w:rPr>
            </w:pPr>
            <w:r>
              <w:rPr>
                <w:rFonts w:ascii="黑体" w:eastAsia="黑体" w:hint="eastAsia"/>
                <w:b/>
                <w:sz w:val="21"/>
              </w:rPr>
              <w:t>（5）被保险人已经领取或我们应给付特定疾病保险金的，我们将扣除被保险人已经领取或我们应给付的特定疾病保险金后的余额给付重大疾病保险金。</w:t>
            </w:r>
          </w:p>
          <w:p>
            <w:pPr>
              <w:pStyle w:val="TableParagraph"/>
              <w:spacing w:before="8"/>
              <w:rPr>
                <w:rFonts w:ascii="黑体" w:eastAsia="黑体" w:hint="eastAsia"/>
                <w:b/>
                <w:sz w:val="21"/>
              </w:rPr>
            </w:pPr>
            <w:r>
              <w:rPr>
                <w:rFonts w:ascii="黑体" w:eastAsia="黑体" w:hint="eastAsia"/>
                <w:b/>
                <w:sz w:val="21"/>
              </w:rPr>
              <w:t>（6）若因意外伤害</w:t>
            </w:r>
            <w:r>
              <w:rPr>
                <w:rFonts w:ascii="黑体" w:eastAsia="黑体" w:hint="eastAsia"/>
                <w:b/>
                <w:position w:val="11"/>
                <w:sz w:val="11"/>
              </w:rPr>
              <w:t>［12.7］</w:t>
            </w:r>
            <w:r>
              <w:rPr>
                <w:rFonts w:ascii="黑体" w:eastAsia="黑体" w:hint="eastAsia"/>
                <w:b/>
                <w:sz w:val="21"/>
              </w:rPr>
              <w:t>导致上述情形，不受90日的时间限制。</w:t>
            </w:r>
          </w:p>
        </w:tc>
      </w:tr>
      <w:tr>
        <w:trPr>
          <w:trHeight w:val="2223" w:hRule="atLeast"/>
        </w:trPr>
        <w:tc>
          <w:tcPr>
            <w:tcW w:w="734" w:type="dxa"/>
          </w:tcPr>
          <w:p>
            <w:pPr>
              <w:pStyle w:val="TableParagraph"/>
              <w:spacing w:before="77"/>
              <w:ind w:left="0"/>
              <w:rPr>
                <w:b/>
                <w:sz w:val="21"/>
              </w:rPr>
            </w:pPr>
            <w:r>
              <w:rPr>
                <w:b/>
                <w:sz w:val="21"/>
              </w:rPr>
              <w:t>2.4.2</w:t>
            </w:r>
          </w:p>
        </w:tc>
        <w:tc>
          <w:tcPr>
            <w:tcW w:w="1806" w:type="dxa"/>
          </w:tcPr>
          <w:p>
            <w:pPr>
              <w:pStyle w:val="TableParagraph"/>
              <w:spacing w:before="77"/>
              <w:ind w:left="204"/>
              <w:rPr>
                <w:b/>
                <w:sz w:val="21"/>
              </w:rPr>
            </w:pPr>
            <w:r>
              <w:rPr>
                <w:b/>
                <w:sz w:val="21"/>
              </w:rPr>
              <w:t>特定疾病保险金</w:t>
            </w:r>
          </w:p>
        </w:tc>
        <w:tc>
          <w:tcPr>
            <w:tcW w:w="7442" w:type="dxa"/>
          </w:tcPr>
          <w:p>
            <w:pPr>
              <w:pStyle w:val="TableParagraph"/>
              <w:spacing w:line="273" w:lineRule="auto" w:before="77"/>
              <w:ind w:right="109"/>
              <w:jc w:val="both"/>
              <w:rPr>
                <w:rFonts w:ascii="黑体" w:eastAsia="黑体" w:hint="eastAsia"/>
                <w:b/>
                <w:sz w:val="21"/>
              </w:rPr>
            </w:pPr>
            <w:r>
              <w:rPr>
                <w:rFonts w:ascii="黑体" w:eastAsia="黑体" w:hint="eastAsia"/>
                <w:b/>
                <w:spacing w:val="-6"/>
                <w:sz w:val="21"/>
              </w:rPr>
              <w:t>（1）</w:t>
            </w:r>
            <w:r>
              <w:rPr>
                <w:rFonts w:ascii="黑体" w:eastAsia="黑体" w:hint="eastAsia"/>
                <w:b/>
                <w:sz w:val="21"/>
              </w:rPr>
              <w:t>自本合同Th</w:t>
            </w:r>
            <w:r>
              <w:rPr>
                <w:rFonts w:ascii="黑体" w:eastAsia="黑体" w:hint="eastAsia"/>
                <w:b/>
                <w:spacing w:val="-17"/>
                <w:sz w:val="21"/>
              </w:rPr>
              <w:t>效</w:t>
            </w:r>
            <w:r>
              <w:rPr>
                <w:rFonts w:ascii="黑体" w:eastAsia="黑体" w:hint="eastAsia"/>
                <w:b/>
                <w:sz w:val="21"/>
              </w:rPr>
              <w:t>（</w:t>
            </w:r>
            <w:r>
              <w:rPr>
                <w:rFonts w:ascii="黑体" w:eastAsia="黑体" w:hint="eastAsia"/>
                <w:b/>
                <w:spacing w:val="-2"/>
                <w:sz w:val="21"/>
              </w:rPr>
              <w:t>或最后复效</w:t>
            </w:r>
            <w:r>
              <w:rPr>
                <w:rFonts w:ascii="黑体" w:eastAsia="黑体" w:hint="eastAsia"/>
                <w:b/>
                <w:spacing w:val="-17"/>
                <w:sz w:val="21"/>
              </w:rPr>
              <w:t>）</w:t>
            </w:r>
            <w:r>
              <w:rPr>
                <w:rFonts w:ascii="黑体" w:eastAsia="黑体" w:hint="eastAsia"/>
                <w:b/>
                <w:sz w:val="21"/>
              </w:rPr>
              <w:t>之日起90</w:t>
            </w:r>
            <w:r>
              <w:rPr>
                <w:rFonts w:ascii="黑体" w:eastAsia="黑体" w:hint="eastAsia"/>
                <w:b/>
                <w:spacing w:val="-5"/>
                <w:sz w:val="21"/>
              </w:rPr>
              <w:t>日内，被保险人经我们认可的医院确诊初次患上一种或多种本合同所约定的特定疾病，我们不承担给付保险金的责任,本合同继续有效；</w:t>
            </w:r>
          </w:p>
          <w:p>
            <w:pPr>
              <w:pStyle w:val="TableParagraph"/>
              <w:spacing w:line="312" w:lineRule="exact" w:before="3"/>
              <w:ind w:right="109"/>
              <w:jc w:val="both"/>
              <w:rPr>
                <w:rFonts w:ascii="黑体" w:hAnsi="黑体" w:eastAsia="黑体" w:hint="eastAsia"/>
                <w:b/>
                <w:sz w:val="21"/>
              </w:rPr>
            </w:pPr>
            <w:r>
              <w:rPr>
                <w:rFonts w:ascii="黑体" w:hAnsi="黑体" w:eastAsia="黑体" w:hint="eastAsia"/>
                <w:b/>
                <w:spacing w:val="-6"/>
                <w:sz w:val="21"/>
              </w:rPr>
              <w:t>（2）</w:t>
            </w:r>
            <w:r>
              <w:rPr>
                <w:rFonts w:ascii="黑体" w:hAnsi="黑体" w:eastAsia="黑体" w:hint="eastAsia"/>
                <w:b/>
                <w:sz w:val="21"/>
              </w:rPr>
              <w:t>自本合同Th</w:t>
            </w:r>
            <w:r>
              <w:rPr>
                <w:rFonts w:ascii="黑体" w:hAnsi="黑体" w:eastAsia="黑体" w:hint="eastAsia"/>
                <w:b/>
                <w:spacing w:val="-17"/>
                <w:sz w:val="21"/>
              </w:rPr>
              <w:t>效</w:t>
            </w:r>
            <w:r>
              <w:rPr>
                <w:rFonts w:ascii="黑体" w:hAnsi="黑体" w:eastAsia="黑体" w:hint="eastAsia"/>
                <w:b/>
                <w:sz w:val="21"/>
              </w:rPr>
              <w:t>（</w:t>
            </w:r>
            <w:r>
              <w:rPr>
                <w:rFonts w:ascii="黑体" w:hAnsi="黑体" w:eastAsia="黑体" w:hint="eastAsia"/>
                <w:b/>
                <w:spacing w:val="-2"/>
                <w:sz w:val="21"/>
              </w:rPr>
              <w:t>或最后复效</w:t>
            </w:r>
            <w:r>
              <w:rPr>
                <w:rFonts w:ascii="黑体" w:hAnsi="黑体" w:eastAsia="黑体" w:hint="eastAsia"/>
                <w:b/>
                <w:spacing w:val="-17"/>
                <w:sz w:val="21"/>
              </w:rPr>
              <w:t>）</w:t>
            </w:r>
            <w:r>
              <w:rPr>
                <w:rFonts w:ascii="黑体" w:hAnsi="黑体" w:eastAsia="黑体" w:hint="eastAsia"/>
                <w:b/>
                <w:sz w:val="21"/>
              </w:rPr>
              <w:t>之日起90</w:t>
            </w:r>
            <w:r>
              <w:rPr>
                <w:rFonts w:ascii="黑体" w:hAnsi="黑体" w:eastAsia="黑体" w:hint="eastAsia"/>
                <w:b/>
                <w:spacing w:val="-4"/>
                <w:sz w:val="21"/>
              </w:rPr>
              <w:t>日以后，被保险人经我们认可的医院确诊初次患上一种或多种本合同所约定的特定疾病，经我们查核属实确在本</w:t>
            </w:r>
            <w:r>
              <w:rPr>
                <w:rFonts w:ascii="黑体" w:hAnsi="黑体" w:eastAsia="黑体" w:hint="eastAsia"/>
                <w:b/>
                <w:spacing w:val="-8"/>
                <w:sz w:val="21"/>
              </w:rPr>
              <w:t>合同责任范围内，我们按本合同重大疾病保险金的</w:t>
            </w:r>
            <w:r>
              <w:rPr>
                <w:rFonts w:ascii="黑体" w:hAnsi="黑体" w:eastAsia="黑体" w:hint="eastAsia"/>
                <w:b/>
                <w:sz w:val="21"/>
              </w:rPr>
              <w:t>20</w:t>
            </w:r>
            <w:r>
              <w:rPr>
                <w:rFonts w:ascii="黑体" w:hAnsi="黑体" w:eastAsia="黑体" w:hint="eastAsia"/>
                <w:b/>
                <w:spacing w:val="-14"/>
                <w:sz w:val="21"/>
              </w:rPr>
              <w:t>给付特定疾病保险金，但</w:t>
            </w:r>
            <w:r>
              <w:rPr>
                <w:rFonts w:ascii="黑体" w:hAnsi="黑体" w:eastAsia="黑体" w:hint="eastAsia"/>
                <w:b/>
                <w:spacing w:val="-2"/>
                <w:sz w:val="21"/>
              </w:rPr>
              <w:t>给付以一次为限，给付金额最高为人民币</w:t>
            </w:r>
            <w:r>
              <w:rPr>
                <w:rFonts w:ascii="黑体" w:hAnsi="黑体" w:eastAsia="黑体" w:hint="eastAsia"/>
                <w:b/>
                <w:sz w:val="21"/>
              </w:rPr>
              <w:t>10</w:t>
            </w:r>
            <w:r>
              <w:rPr>
                <w:rFonts w:ascii="黑体" w:hAnsi="黑体" w:eastAsia="黑体" w:hint="eastAsia"/>
                <w:b/>
                <w:spacing w:val="-1"/>
                <w:sz w:val="21"/>
              </w:rPr>
              <w:t>万元，本合同继续有效。</w:t>
            </w:r>
          </w:p>
        </w:tc>
      </w:tr>
    </w:tbl>
    <w:p>
      <w:pPr>
        <w:spacing w:after="0" w:line="312" w:lineRule="exact"/>
        <w:jc w:val="both"/>
        <w:rPr>
          <w:rFonts w:ascii="黑体" w:hAnsi="黑体" w:eastAsia="黑体" w:hint="eastAsia"/>
          <w:sz w:val="21"/>
        </w:rPr>
        <w:sectPr>
          <w:pgSz w:w="11910" w:h="16840"/>
          <w:pgMar w:header="566" w:footer="664" w:top="1000" w:bottom="860" w:left="100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06"/>
        <w:gridCol w:w="7424"/>
      </w:tblGrid>
      <w:tr>
        <w:trPr>
          <w:trHeight w:val="441" w:hRule="atLeast"/>
        </w:trPr>
        <w:tc>
          <w:tcPr>
            <w:tcW w:w="934" w:type="dxa"/>
          </w:tcPr>
          <w:p>
            <w:pPr>
              <w:pStyle w:val="TableParagraph"/>
              <w:ind w:left="0"/>
              <w:rPr>
                <w:rFonts w:ascii="Times New Roman"/>
                <w:sz w:val="20"/>
              </w:rPr>
            </w:pPr>
          </w:p>
        </w:tc>
        <w:tc>
          <w:tcPr>
            <w:tcW w:w="1806" w:type="dxa"/>
          </w:tcPr>
          <w:p>
            <w:pPr>
              <w:pStyle w:val="TableParagraph"/>
              <w:ind w:left="0"/>
              <w:rPr>
                <w:rFonts w:ascii="Times New Roman"/>
                <w:sz w:val="20"/>
              </w:rPr>
            </w:pPr>
          </w:p>
        </w:tc>
        <w:tc>
          <w:tcPr>
            <w:tcW w:w="7424" w:type="dxa"/>
          </w:tcPr>
          <w:p>
            <w:pPr>
              <w:pStyle w:val="TableParagraph"/>
              <w:spacing w:line="211" w:lineRule="exact"/>
              <w:rPr>
                <w:rFonts w:ascii="黑体" w:eastAsia="黑体" w:hint="eastAsia"/>
                <w:b/>
                <w:sz w:val="21"/>
              </w:rPr>
            </w:pPr>
            <w:r>
              <w:rPr>
                <w:rFonts w:ascii="黑体" w:eastAsia="黑体" w:hint="eastAsia"/>
                <w:b/>
                <w:sz w:val="21"/>
              </w:rPr>
              <w:t>（3）若因意外伤害导致上述情形，不受90日的时间限制。</w:t>
            </w:r>
          </w:p>
        </w:tc>
      </w:tr>
      <w:tr>
        <w:trPr>
          <w:trHeight w:val="1247" w:hRule="atLeast"/>
        </w:trPr>
        <w:tc>
          <w:tcPr>
            <w:tcW w:w="934" w:type="dxa"/>
          </w:tcPr>
          <w:p>
            <w:pPr>
              <w:pStyle w:val="TableParagraph"/>
              <w:spacing w:line="262" w:lineRule="exact"/>
              <w:ind w:left="200"/>
              <w:rPr>
                <w:b/>
                <w:sz w:val="21"/>
              </w:rPr>
            </w:pPr>
            <w:r>
              <w:rPr>
                <w:b/>
                <w:sz w:val="21"/>
              </w:rPr>
              <w:t>2.4.3</w:t>
            </w:r>
          </w:p>
        </w:tc>
        <w:tc>
          <w:tcPr>
            <w:tcW w:w="1806" w:type="dxa"/>
          </w:tcPr>
          <w:p>
            <w:pPr>
              <w:pStyle w:val="TableParagraph"/>
              <w:spacing w:line="262" w:lineRule="exact"/>
              <w:ind w:left="204"/>
              <w:rPr>
                <w:b/>
                <w:sz w:val="21"/>
              </w:rPr>
            </w:pPr>
            <w:r>
              <w:rPr>
                <w:b/>
                <w:sz w:val="21"/>
              </w:rPr>
              <w:t>高度残疾保险金</w:t>
            </w:r>
          </w:p>
        </w:tc>
        <w:tc>
          <w:tcPr>
            <w:tcW w:w="7424" w:type="dxa"/>
            <w:tcBorders>
              <w:right w:val="single" w:sz="4" w:space="0" w:color="FFFFFF"/>
            </w:tcBorders>
          </w:tcPr>
          <w:p>
            <w:pPr>
              <w:pStyle w:val="TableParagraph"/>
              <w:spacing w:line="273" w:lineRule="auto"/>
              <w:ind w:right="-29"/>
              <w:rPr>
                <w:rFonts w:ascii="黑体" w:eastAsia="黑体" w:hint="eastAsia"/>
                <w:b/>
                <w:sz w:val="21"/>
              </w:rPr>
            </w:pPr>
            <w:r>
              <w:rPr>
                <w:rFonts w:ascii="黑体" w:eastAsia="黑体" w:hint="eastAsia"/>
                <w:b/>
                <w:spacing w:val="-20"/>
                <w:sz w:val="21"/>
              </w:rPr>
              <w:t>（1）</w:t>
            </w:r>
            <w:r>
              <w:rPr>
                <w:rFonts w:ascii="黑体" w:eastAsia="黑体" w:hint="eastAsia"/>
                <w:b/>
                <w:spacing w:val="-1"/>
                <w:sz w:val="21"/>
              </w:rPr>
              <w:t>被保险人自本合同</w:t>
            </w:r>
            <w:r>
              <w:rPr>
                <w:rFonts w:ascii="黑体" w:eastAsia="黑体" w:hint="eastAsia"/>
                <w:b/>
                <w:sz w:val="21"/>
              </w:rPr>
              <w:t>Th</w:t>
            </w:r>
            <w:r>
              <w:rPr>
                <w:rFonts w:ascii="黑体" w:eastAsia="黑体" w:hint="eastAsia"/>
                <w:b/>
                <w:spacing w:val="-58"/>
                <w:sz w:val="21"/>
              </w:rPr>
              <w:t>效</w:t>
            </w:r>
            <w:r>
              <w:rPr>
                <w:rFonts w:ascii="黑体" w:eastAsia="黑体" w:hint="eastAsia"/>
                <w:b/>
                <w:sz w:val="21"/>
              </w:rPr>
              <w:t>（或最后复效</w:t>
            </w:r>
            <w:r>
              <w:rPr>
                <w:rFonts w:ascii="黑体" w:eastAsia="黑体" w:hint="eastAsia"/>
                <w:b/>
                <w:spacing w:val="-58"/>
                <w:sz w:val="21"/>
              </w:rPr>
              <w:t>）</w:t>
            </w:r>
            <w:r>
              <w:rPr>
                <w:rFonts w:ascii="黑体" w:eastAsia="黑体" w:hint="eastAsia"/>
                <w:b/>
                <w:spacing w:val="-2"/>
                <w:sz w:val="21"/>
              </w:rPr>
              <w:t>之日起</w:t>
            </w:r>
            <w:r>
              <w:rPr>
                <w:rFonts w:ascii="黑体" w:eastAsia="黑体" w:hint="eastAsia"/>
                <w:b/>
                <w:sz w:val="21"/>
              </w:rPr>
              <w:t>90</w:t>
            </w:r>
            <w:r>
              <w:rPr>
                <w:rFonts w:ascii="黑体" w:eastAsia="黑体" w:hint="eastAsia"/>
                <w:b/>
                <w:spacing w:val="-1"/>
                <w:sz w:val="21"/>
              </w:rPr>
              <w:t>日内因疾病导致高度残疾， </w:t>
            </w:r>
            <w:r>
              <w:rPr>
                <w:rFonts w:ascii="黑体" w:eastAsia="黑体" w:hint="eastAsia"/>
                <w:b/>
                <w:spacing w:val="-3"/>
                <w:sz w:val="21"/>
              </w:rPr>
              <w:t>我们无息返还所交保险费；被保险人因前述以外情形导致高度残疾，我们按本</w:t>
            </w:r>
            <w:r>
              <w:rPr>
                <w:rFonts w:ascii="黑体" w:eastAsia="黑体" w:hint="eastAsia"/>
                <w:b/>
                <w:sz w:val="21"/>
              </w:rPr>
              <w:t>合同基本保额的3</w:t>
            </w:r>
            <w:r>
              <w:rPr>
                <w:rFonts w:ascii="黑体" w:eastAsia="黑体" w:hint="eastAsia"/>
                <w:b/>
                <w:spacing w:val="-3"/>
                <w:sz w:val="21"/>
              </w:rPr>
              <w:t>倍给付高度残疾保险金，本合同效力终止。</w:t>
            </w:r>
          </w:p>
          <w:p>
            <w:pPr>
              <w:pStyle w:val="TableParagraph"/>
              <w:spacing w:before="20"/>
              <w:rPr>
                <w:rFonts w:ascii="黑体" w:eastAsia="黑体" w:hint="eastAsia"/>
                <w:b/>
                <w:sz w:val="21"/>
              </w:rPr>
            </w:pPr>
            <w:r>
              <w:rPr>
                <w:rFonts w:ascii="黑体" w:eastAsia="黑体" w:hint="eastAsia"/>
                <w:b/>
                <w:sz w:val="21"/>
              </w:rPr>
              <w:t>（2）若因意外伤害导致上述情形，不受90日的时间限制。</w:t>
            </w:r>
          </w:p>
        </w:tc>
      </w:tr>
      <w:tr>
        <w:trPr>
          <w:trHeight w:val="180" w:hRule="atLeast"/>
        </w:trPr>
        <w:tc>
          <w:tcPr>
            <w:tcW w:w="934" w:type="dxa"/>
          </w:tcPr>
          <w:p>
            <w:pPr>
              <w:pStyle w:val="TableParagraph"/>
              <w:ind w:left="0"/>
              <w:rPr>
                <w:rFonts w:ascii="Times New Roman"/>
                <w:sz w:val="12"/>
              </w:rPr>
            </w:pPr>
          </w:p>
        </w:tc>
        <w:tc>
          <w:tcPr>
            <w:tcW w:w="1806" w:type="dxa"/>
          </w:tcPr>
          <w:p>
            <w:pPr>
              <w:pStyle w:val="TableParagraph"/>
              <w:ind w:left="0"/>
              <w:rPr>
                <w:rFonts w:ascii="Times New Roman"/>
                <w:sz w:val="12"/>
              </w:rPr>
            </w:pPr>
          </w:p>
        </w:tc>
        <w:tc>
          <w:tcPr>
            <w:tcW w:w="7424" w:type="dxa"/>
          </w:tcPr>
          <w:p>
            <w:pPr>
              <w:pStyle w:val="TableParagraph"/>
              <w:ind w:left="0"/>
              <w:rPr>
                <w:rFonts w:ascii="Times New Roman"/>
                <w:sz w:val="12"/>
              </w:rPr>
            </w:pPr>
          </w:p>
        </w:tc>
      </w:tr>
      <w:tr>
        <w:trPr>
          <w:trHeight w:val="2184" w:hRule="atLeast"/>
        </w:trPr>
        <w:tc>
          <w:tcPr>
            <w:tcW w:w="934" w:type="dxa"/>
          </w:tcPr>
          <w:p>
            <w:pPr>
              <w:pStyle w:val="TableParagraph"/>
              <w:spacing w:line="262" w:lineRule="exact"/>
              <w:ind w:left="200"/>
              <w:rPr>
                <w:b/>
                <w:sz w:val="21"/>
              </w:rPr>
            </w:pPr>
            <w:r>
              <w:rPr>
                <w:b/>
                <w:sz w:val="21"/>
              </w:rPr>
              <w:t>2.4.4</w:t>
            </w:r>
          </w:p>
        </w:tc>
        <w:tc>
          <w:tcPr>
            <w:tcW w:w="1806" w:type="dxa"/>
          </w:tcPr>
          <w:p>
            <w:pPr>
              <w:pStyle w:val="TableParagraph"/>
              <w:spacing w:line="262" w:lineRule="exact"/>
              <w:ind w:left="204"/>
              <w:rPr>
                <w:b/>
                <w:sz w:val="21"/>
              </w:rPr>
            </w:pPr>
            <w:r>
              <w:rPr>
                <w:b/>
                <w:sz w:val="21"/>
              </w:rPr>
              <w:t>身故保险金</w:t>
            </w:r>
          </w:p>
        </w:tc>
        <w:tc>
          <w:tcPr>
            <w:tcW w:w="7424" w:type="dxa"/>
            <w:tcBorders>
              <w:right w:val="single" w:sz="4" w:space="0" w:color="FFFFFF"/>
            </w:tcBorders>
          </w:tcPr>
          <w:p>
            <w:pPr>
              <w:pStyle w:val="TableParagraph"/>
              <w:spacing w:line="273" w:lineRule="auto"/>
              <w:ind w:right="122"/>
              <w:rPr>
                <w:rFonts w:ascii="黑体" w:eastAsia="黑体" w:hint="eastAsia"/>
                <w:b/>
                <w:sz w:val="21"/>
              </w:rPr>
            </w:pPr>
            <w:r>
              <w:rPr>
                <w:rFonts w:ascii="黑体" w:eastAsia="黑体" w:hint="eastAsia"/>
                <w:b/>
                <w:sz w:val="21"/>
              </w:rPr>
              <w:t>（1）</w:t>
            </w:r>
            <w:r>
              <w:rPr>
                <w:rFonts w:ascii="黑体" w:eastAsia="黑体" w:hint="eastAsia"/>
                <w:b/>
                <w:spacing w:val="-1"/>
                <w:sz w:val="21"/>
              </w:rPr>
              <w:t>被保险人自本合同</w:t>
            </w:r>
            <w:r>
              <w:rPr>
                <w:rFonts w:ascii="黑体" w:eastAsia="黑体" w:hint="eastAsia"/>
                <w:b/>
                <w:sz w:val="21"/>
              </w:rPr>
              <w:t>Th效（或最后复效）</w:t>
            </w:r>
            <w:r>
              <w:rPr>
                <w:rFonts w:ascii="黑体" w:eastAsia="黑体" w:hint="eastAsia"/>
                <w:b/>
                <w:spacing w:val="-10"/>
                <w:sz w:val="21"/>
              </w:rPr>
              <w:t>之日起至年满 </w:t>
            </w:r>
            <w:r>
              <w:rPr>
                <w:rFonts w:ascii="黑体" w:eastAsia="黑体" w:hint="eastAsia"/>
                <w:b/>
                <w:sz w:val="21"/>
              </w:rPr>
              <w:t>18</w:t>
            </w:r>
            <w:r>
              <w:rPr>
                <w:rFonts w:ascii="黑体" w:eastAsia="黑体" w:hint="eastAsia"/>
                <w:b/>
                <w:spacing w:val="-8"/>
                <w:sz w:val="21"/>
              </w:rPr>
              <w:t> 周岁的保单周年日内身故，我们无息返还所交保险费，本合同效力终止。</w:t>
            </w:r>
          </w:p>
          <w:p>
            <w:pPr>
              <w:pStyle w:val="TableParagraph"/>
              <w:spacing w:before="20"/>
              <w:rPr>
                <w:rFonts w:ascii="黑体" w:eastAsia="黑体" w:hint="eastAsia"/>
                <w:b/>
                <w:sz w:val="21"/>
              </w:rPr>
            </w:pPr>
            <w:r>
              <w:rPr>
                <w:rFonts w:ascii="黑体" w:eastAsia="黑体" w:hint="eastAsia"/>
                <w:b/>
                <w:spacing w:val="-23"/>
                <w:sz w:val="21"/>
              </w:rPr>
              <w:t>（2）</w:t>
            </w:r>
            <w:r>
              <w:rPr>
                <w:rFonts w:ascii="黑体" w:eastAsia="黑体" w:hint="eastAsia"/>
                <w:b/>
                <w:spacing w:val="-7"/>
                <w:sz w:val="21"/>
              </w:rPr>
              <w:t>被保险人自年满 </w:t>
            </w:r>
            <w:r>
              <w:rPr>
                <w:rFonts w:ascii="黑体" w:eastAsia="黑体" w:hint="eastAsia"/>
                <w:b/>
                <w:sz w:val="21"/>
              </w:rPr>
              <w:t>18</w:t>
            </w:r>
            <w:r>
              <w:rPr>
                <w:rFonts w:ascii="黑体" w:eastAsia="黑体" w:hint="eastAsia"/>
                <w:b/>
                <w:spacing w:val="-7"/>
                <w:sz w:val="21"/>
              </w:rPr>
              <w:t> 周岁的保单周年日以后身故,我们按下列约定给付身故</w:t>
            </w:r>
          </w:p>
          <w:p>
            <w:pPr>
              <w:pStyle w:val="TableParagraph"/>
              <w:spacing w:line="273" w:lineRule="auto" w:before="37"/>
              <w:ind w:right="-29"/>
              <w:rPr>
                <w:rFonts w:ascii="黑体" w:eastAsia="黑体" w:hint="eastAsia"/>
                <w:b/>
                <w:sz w:val="21"/>
              </w:rPr>
            </w:pPr>
            <w:r>
              <w:rPr>
                <w:rFonts w:ascii="黑体" w:eastAsia="黑体" w:hint="eastAsia"/>
                <w:b/>
                <w:spacing w:val="-4"/>
                <w:sz w:val="21"/>
              </w:rPr>
              <w:t>保险金：被保险人自本合同</w:t>
            </w:r>
            <w:r>
              <w:rPr>
                <w:rFonts w:ascii="黑体" w:eastAsia="黑体" w:hint="eastAsia"/>
                <w:b/>
                <w:sz w:val="21"/>
              </w:rPr>
              <w:t>Th</w:t>
            </w:r>
            <w:r>
              <w:rPr>
                <w:rFonts w:ascii="黑体" w:eastAsia="黑体" w:hint="eastAsia"/>
                <w:b/>
                <w:spacing w:val="-17"/>
                <w:sz w:val="21"/>
              </w:rPr>
              <w:t>效</w:t>
            </w:r>
            <w:r>
              <w:rPr>
                <w:rFonts w:ascii="黑体" w:eastAsia="黑体" w:hint="eastAsia"/>
                <w:b/>
                <w:sz w:val="21"/>
              </w:rPr>
              <w:t>（或最后复效</w:t>
            </w:r>
            <w:r>
              <w:rPr>
                <w:rFonts w:ascii="黑体" w:eastAsia="黑体" w:hint="eastAsia"/>
                <w:b/>
                <w:spacing w:val="-20"/>
                <w:sz w:val="21"/>
              </w:rPr>
              <w:t>）</w:t>
            </w:r>
            <w:r>
              <w:rPr>
                <w:rFonts w:ascii="黑体" w:eastAsia="黑体" w:hint="eastAsia"/>
                <w:b/>
                <w:spacing w:val="-15"/>
                <w:sz w:val="21"/>
              </w:rPr>
              <w:t>之日起 </w:t>
            </w:r>
            <w:r>
              <w:rPr>
                <w:rFonts w:ascii="黑体" w:eastAsia="黑体" w:hint="eastAsia"/>
                <w:b/>
                <w:sz w:val="21"/>
              </w:rPr>
              <w:t>90</w:t>
            </w:r>
            <w:r>
              <w:rPr>
                <w:rFonts w:ascii="黑体" w:eastAsia="黑体" w:hint="eastAsia"/>
                <w:b/>
                <w:spacing w:val="-9"/>
                <w:sz w:val="21"/>
              </w:rPr>
              <w:t> 日内因疾病身故，我</w:t>
            </w:r>
            <w:r>
              <w:rPr>
                <w:rFonts w:ascii="黑体" w:eastAsia="黑体" w:hint="eastAsia"/>
                <w:b/>
                <w:spacing w:val="-13"/>
                <w:sz w:val="21"/>
              </w:rPr>
              <w:t>们无息返还所交保险费，本合同效力终止；被保险人因前述以外情形导致身故， </w:t>
            </w:r>
            <w:r>
              <w:rPr>
                <w:rFonts w:ascii="黑体" w:eastAsia="黑体" w:hint="eastAsia"/>
                <w:b/>
                <w:spacing w:val="-14"/>
                <w:sz w:val="21"/>
              </w:rPr>
              <w:t>我们按本合同基本保额的 </w:t>
            </w:r>
            <w:r>
              <w:rPr>
                <w:rFonts w:ascii="黑体" w:eastAsia="黑体" w:hint="eastAsia"/>
                <w:b/>
                <w:sz w:val="21"/>
              </w:rPr>
              <w:t>3</w:t>
            </w:r>
            <w:r>
              <w:rPr>
                <w:rFonts w:ascii="黑体" w:eastAsia="黑体" w:hint="eastAsia"/>
                <w:b/>
                <w:spacing w:val="-8"/>
                <w:sz w:val="21"/>
              </w:rPr>
              <w:t> 倍给付身故保险金，本合同效力终止。</w:t>
            </w:r>
          </w:p>
          <w:p>
            <w:pPr>
              <w:pStyle w:val="TableParagraph"/>
              <w:spacing w:before="8"/>
              <w:rPr>
                <w:rFonts w:ascii="黑体" w:eastAsia="黑体" w:hint="eastAsia"/>
                <w:b/>
                <w:sz w:val="21"/>
              </w:rPr>
            </w:pPr>
            <w:r>
              <w:rPr>
                <w:rFonts w:ascii="黑体" w:eastAsia="黑体" w:hint="eastAsia"/>
                <w:b/>
                <w:sz w:val="21"/>
              </w:rPr>
              <w:t>（3）若因意外伤害导致上述情形，不受 90 日的时间限制。</w:t>
            </w:r>
          </w:p>
        </w:tc>
      </w:tr>
      <w:tr>
        <w:trPr>
          <w:trHeight w:val="984" w:hRule="atLeast"/>
        </w:trPr>
        <w:tc>
          <w:tcPr>
            <w:tcW w:w="934" w:type="dxa"/>
          </w:tcPr>
          <w:p>
            <w:pPr>
              <w:pStyle w:val="TableParagraph"/>
              <w:spacing w:before="168"/>
              <w:ind w:left="200"/>
              <w:rPr>
                <w:b/>
                <w:sz w:val="21"/>
              </w:rPr>
            </w:pPr>
            <w:r>
              <w:rPr>
                <w:b/>
                <w:sz w:val="21"/>
              </w:rPr>
              <w:t>2.4.5</w:t>
            </w:r>
          </w:p>
        </w:tc>
        <w:tc>
          <w:tcPr>
            <w:tcW w:w="1806" w:type="dxa"/>
          </w:tcPr>
          <w:p>
            <w:pPr>
              <w:pStyle w:val="TableParagraph"/>
              <w:spacing w:before="168"/>
              <w:ind w:left="204"/>
              <w:rPr>
                <w:b/>
                <w:sz w:val="21"/>
              </w:rPr>
            </w:pPr>
            <w:r>
              <w:rPr>
                <w:b/>
                <w:sz w:val="21"/>
              </w:rPr>
              <w:t>保险金给付限制</w:t>
            </w:r>
          </w:p>
        </w:tc>
        <w:tc>
          <w:tcPr>
            <w:tcW w:w="7424" w:type="dxa"/>
          </w:tcPr>
          <w:p>
            <w:pPr>
              <w:pStyle w:val="TableParagraph"/>
              <w:spacing w:line="273" w:lineRule="auto" w:before="168"/>
              <w:ind w:right="132"/>
              <w:rPr>
                <w:rFonts w:ascii="黑体" w:eastAsia="黑体" w:hint="eastAsia"/>
                <w:b/>
                <w:sz w:val="21"/>
              </w:rPr>
            </w:pPr>
            <w:r>
              <w:rPr>
                <w:rFonts w:ascii="黑体" w:eastAsia="黑体" w:hint="eastAsia"/>
                <w:b/>
                <w:sz w:val="21"/>
              </w:rPr>
              <w:t>本合同的重大疾病保险金、高度残疾保险金和身故保险金本公司仅给付一项， 并以一次为限。</w:t>
            </w:r>
          </w:p>
        </w:tc>
      </w:tr>
      <w:tr>
        <w:trPr>
          <w:trHeight w:val="5309" w:hRule="atLeast"/>
        </w:trPr>
        <w:tc>
          <w:tcPr>
            <w:tcW w:w="934" w:type="dxa"/>
          </w:tcPr>
          <w:p>
            <w:pPr>
              <w:pStyle w:val="TableParagraph"/>
              <w:spacing w:line="262" w:lineRule="exact"/>
              <w:ind w:left="200"/>
              <w:rPr>
                <w:b/>
                <w:sz w:val="21"/>
              </w:rPr>
            </w:pPr>
            <w:r>
              <w:rPr>
                <w:b/>
                <w:sz w:val="21"/>
              </w:rPr>
              <w:t>2.5</w:t>
            </w:r>
          </w:p>
        </w:tc>
        <w:tc>
          <w:tcPr>
            <w:tcW w:w="1806" w:type="dxa"/>
          </w:tcPr>
          <w:p>
            <w:pPr>
              <w:pStyle w:val="TableParagraph"/>
              <w:spacing w:line="262" w:lineRule="exact"/>
              <w:ind w:left="204"/>
              <w:rPr>
                <w:b/>
                <w:sz w:val="21"/>
              </w:rPr>
            </w:pPr>
            <w:r>
              <w:rPr>
                <w:b/>
                <w:sz w:val="21"/>
              </w:rPr>
              <w:t>责任免除</w:t>
            </w:r>
          </w:p>
        </w:tc>
        <w:tc>
          <w:tcPr>
            <w:tcW w:w="7424" w:type="dxa"/>
            <w:tcBorders>
              <w:right w:val="single" w:sz="4" w:space="0" w:color="FFFFFF"/>
            </w:tcBorders>
          </w:tcPr>
          <w:p>
            <w:pPr>
              <w:pStyle w:val="TableParagraph"/>
              <w:spacing w:line="273" w:lineRule="auto"/>
              <w:ind w:right="126"/>
              <w:rPr>
                <w:rFonts w:ascii="黑体" w:eastAsia="黑体" w:hint="eastAsia"/>
                <w:b/>
                <w:sz w:val="21"/>
              </w:rPr>
            </w:pPr>
            <w:r>
              <w:rPr>
                <w:rFonts w:ascii="黑体" w:eastAsia="黑体" w:hint="eastAsia"/>
                <w:b/>
                <w:sz w:val="21"/>
              </w:rPr>
              <w:t>因下列情形之一，导致被保险人发Th本合同约定的重大疾病、特定疾病、高度残疾或身故的，我们不承担给付保险金的责任：</w:t>
            </w:r>
          </w:p>
          <w:p>
            <w:pPr>
              <w:pStyle w:val="TableParagraph"/>
              <w:spacing w:before="20"/>
              <w:rPr>
                <w:rFonts w:ascii="黑体" w:eastAsia="黑体" w:hint="eastAsia"/>
                <w:b/>
                <w:sz w:val="21"/>
              </w:rPr>
            </w:pPr>
            <w:r>
              <w:rPr>
                <w:rFonts w:ascii="黑体" w:eastAsia="黑体" w:hint="eastAsia"/>
                <w:b/>
                <w:sz w:val="21"/>
              </w:rPr>
              <w:t>（1）投保人对被保险人的故意杀害、故意伤害；</w:t>
            </w:r>
          </w:p>
          <w:p>
            <w:pPr>
              <w:pStyle w:val="TableParagraph"/>
              <w:spacing w:before="37"/>
              <w:rPr>
                <w:rFonts w:ascii="黑体" w:eastAsia="黑体" w:hint="eastAsia"/>
                <w:b/>
                <w:sz w:val="21"/>
              </w:rPr>
            </w:pPr>
            <w:r>
              <w:rPr>
                <w:rFonts w:ascii="黑体" w:eastAsia="黑体" w:hint="eastAsia"/>
                <w:b/>
                <w:sz w:val="21"/>
              </w:rPr>
              <w:t>（2）因被保险人故意自伤、故意犯罪或抗拒依法采取的刑事强制措施；</w:t>
            </w:r>
          </w:p>
          <w:p>
            <w:pPr>
              <w:pStyle w:val="TableParagraph"/>
              <w:spacing w:line="273" w:lineRule="auto" w:before="37"/>
              <w:ind w:left="650" w:right="19" w:hanging="529"/>
              <w:rPr>
                <w:rFonts w:ascii="黑体" w:eastAsia="黑体" w:hint="eastAsia"/>
                <w:b/>
                <w:sz w:val="21"/>
              </w:rPr>
            </w:pPr>
            <w:r>
              <w:rPr>
                <w:rFonts w:ascii="黑体" w:eastAsia="黑体" w:hint="eastAsia"/>
                <w:b/>
                <w:sz w:val="21"/>
              </w:rPr>
              <w:t>（3）被保险人在本合同成立或合同效力最后恢复之日起二年内自杀，但被保险人自杀时为无民事行为能力人的除外；</w:t>
            </w:r>
          </w:p>
          <w:p>
            <w:pPr>
              <w:pStyle w:val="TableParagraph"/>
              <w:spacing w:before="24"/>
              <w:rPr>
                <w:rFonts w:ascii="黑体" w:eastAsia="黑体" w:hint="eastAsia"/>
                <w:b/>
                <w:sz w:val="21"/>
              </w:rPr>
            </w:pPr>
            <w:r>
              <w:rPr>
                <w:rFonts w:ascii="黑体" w:eastAsia="黑体" w:hint="eastAsia"/>
                <w:b/>
                <w:sz w:val="21"/>
              </w:rPr>
              <w:t>（4）被保险人服用、吸食或注射毒品</w:t>
            </w:r>
            <w:r>
              <w:rPr>
                <w:b/>
                <w:position w:val="11"/>
                <w:sz w:val="11"/>
              </w:rPr>
              <w:t>［12.8］</w:t>
            </w:r>
            <w:r>
              <w:rPr>
                <w:rFonts w:ascii="黑体" w:eastAsia="黑体" w:hint="eastAsia"/>
                <w:b/>
                <w:sz w:val="21"/>
              </w:rPr>
              <w:t>或未遵医嘱使用管制药品</w:t>
            </w:r>
            <w:r>
              <w:rPr>
                <w:rFonts w:ascii="黑体" w:eastAsia="黑体" w:hint="eastAsia"/>
                <w:b/>
                <w:position w:val="11"/>
                <w:sz w:val="11"/>
              </w:rPr>
              <w:t>［12.9］</w:t>
            </w:r>
            <w:r>
              <w:rPr>
                <w:rFonts w:ascii="黑体" w:eastAsia="黑体" w:hint="eastAsia"/>
                <w:b/>
                <w:sz w:val="21"/>
              </w:rPr>
              <w:t>；</w:t>
            </w:r>
          </w:p>
          <w:p>
            <w:pPr>
              <w:pStyle w:val="TableParagraph"/>
              <w:spacing w:line="271" w:lineRule="auto" w:before="39"/>
              <w:ind w:left="638" w:right="48" w:hanging="517"/>
              <w:rPr>
                <w:rFonts w:ascii="黑体" w:eastAsia="黑体" w:hint="eastAsia"/>
                <w:b/>
                <w:sz w:val="21"/>
              </w:rPr>
            </w:pPr>
            <w:r>
              <w:rPr>
                <w:rFonts w:ascii="黑体" w:eastAsia="黑体" w:hint="eastAsia"/>
                <w:b/>
                <w:sz w:val="21"/>
              </w:rPr>
              <w:t>（5）被保险人酒后驾驶</w:t>
            </w:r>
            <w:r>
              <w:rPr>
                <w:rFonts w:ascii="黑体" w:eastAsia="黑体" w:hint="eastAsia"/>
                <w:b/>
                <w:position w:val="11"/>
                <w:sz w:val="11"/>
              </w:rPr>
              <w:t>［12.10］</w:t>
            </w:r>
            <w:r>
              <w:rPr>
                <w:rFonts w:ascii="黑体" w:eastAsia="黑体" w:hint="eastAsia"/>
                <w:b/>
                <w:sz w:val="21"/>
              </w:rPr>
              <w:t>、无合法有效驾驶证驾驶</w:t>
            </w:r>
            <w:r>
              <w:rPr>
                <w:rFonts w:ascii="黑体" w:eastAsia="黑体" w:hint="eastAsia"/>
                <w:b/>
                <w:position w:val="11"/>
                <w:sz w:val="11"/>
              </w:rPr>
              <w:t>［12.11］</w:t>
            </w:r>
            <w:r>
              <w:rPr>
                <w:rFonts w:ascii="黑体" w:eastAsia="黑体" w:hint="eastAsia"/>
                <w:b/>
                <w:sz w:val="21"/>
              </w:rPr>
              <w:t>或驾驶无有效行驶</w:t>
            </w:r>
            <w:r>
              <w:rPr>
                <w:rFonts w:ascii="黑体" w:eastAsia="黑体" w:hint="eastAsia"/>
                <w:b/>
                <w:w w:val="95"/>
                <w:position w:val="-10"/>
                <w:sz w:val="21"/>
              </w:rPr>
              <w:t>证</w:t>
            </w:r>
            <w:r>
              <w:rPr>
                <w:rFonts w:ascii="黑体" w:eastAsia="黑体" w:hint="eastAsia"/>
                <w:b/>
                <w:w w:val="95"/>
                <w:sz w:val="11"/>
              </w:rPr>
              <w:t>［12.12］</w:t>
            </w:r>
            <w:r>
              <w:rPr>
                <w:rFonts w:ascii="黑体" w:eastAsia="黑体" w:hint="eastAsia"/>
                <w:b/>
                <w:w w:val="95"/>
                <w:position w:val="-10"/>
                <w:sz w:val="21"/>
              </w:rPr>
              <w:t>的机动车</w:t>
            </w:r>
            <w:r>
              <w:rPr>
                <w:rFonts w:ascii="黑体" w:eastAsia="黑体" w:hint="eastAsia"/>
                <w:b/>
                <w:w w:val="95"/>
                <w:sz w:val="11"/>
              </w:rPr>
              <w:t>［12.13］</w:t>
            </w:r>
            <w:r>
              <w:rPr>
                <w:rFonts w:ascii="黑体" w:eastAsia="黑体" w:hint="eastAsia"/>
                <w:b/>
                <w:w w:val="95"/>
                <w:position w:val="-10"/>
                <w:sz w:val="21"/>
              </w:rPr>
              <w:t>；</w:t>
            </w:r>
          </w:p>
          <w:p>
            <w:pPr>
              <w:pStyle w:val="TableParagraph"/>
              <w:spacing w:line="273" w:lineRule="auto" w:before="7"/>
              <w:ind w:left="638" w:right="24" w:hanging="517"/>
              <w:rPr>
                <w:rFonts w:ascii="黑体" w:eastAsia="黑体" w:hint="eastAsia"/>
                <w:b/>
                <w:sz w:val="21"/>
              </w:rPr>
            </w:pPr>
            <w:r>
              <w:rPr>
                <w:rFonts w:ascii="黑体" w:eastAsia="黑体" w:hint="eastAsia"/>
                <w:b/>
                <w:w w:val="100"/>
                <w:sz w:val="21"/>
              </w:rPr>
              <w:t>（</w:t>
            </w:r>
            <w:r>
              <w:rPr>
                <w:rFonts w:ascii="黑体" w:eastAsia="黑体" w:hint="eastAsia"/>
                <w:b/>
                <w:w w:val="99"/>
                <w:sz w:val="21"/>
              </w:rPr>
              <w:t>6</w:t>
            </w:r>
            <w:r>
              <w:rPr>
                <w:rFonts w:ascii="黑体" w:eastAsia="黑体" w:hint="eastAsia"/>
                <w:b/>
                <w:spacing w:val="-46"/>
                <w:w w:val="100"/>
                <w:sz w:val="21"/>
              </w:rPr>
              <w:t>）</w:t>
            </w:r>
            <w:r>
              <w:rPr>
                <w:rFonts w:ascii="黑体" w:eastAsia="黑体" w:hint="eastAsia"/>
                <w:b/>
                <w:spacing w:val="-1"/>
                <w:w w:val="100"/>
                <w:sz w:val="21"/>
              </w:rPr>
              <w:t>被保险人感染艾滋病病毒或患艾滋病</w:t>
            </w:r>
            <w:r>
              <w:rPr>
                <w:rFonts w:ascii="黑体" w:eastAsia="黑体" w:hint="eastAsia"/>
                <w:b/>
                <w:w w:val="99"/>
                <w:position w:val="11"/>
                <w:sz w:val="11"/>
              </w:rPr>
              <w:t>［</w:t>
            </w:r>
            <w:r>
              <w:rPr>
                <w:rFonts w:ascii="黑体" w:eastAsia="黑体" w:hint="eastAsia"/>
                <w:b/>
                <w:w w:val="99"/>
                <w:position w:val="11"/>
                <w:sz w:val="11"/>
              </w:rPr>
              <w:t>12.14</w:t>
            </w:r>
            <w:r>
              <w:rPr>
                <w:rFonts w:ascii="黑体" w:eastAsia="黑体" w:hint="eastAsia"/>
                <w:b/>
                <w:spacing w:val="-46"/>
                <w:w w:val="99"/>
                <w:position w:val="11"/>
                <w:sz w:val="11"/>
              </w:rPr>
              <w:t>］</w:t>
            </w:r>
            <w:r>
              <w:rPr>
                <w:rFonts w:ascii="黑体" w:eastAsia="黑体" w:hint="eastAsia"/>
                <w:b/>
                <w:w w:val="100"/>
                <w:sz w:val="21"/>
              </w:rPr>
              <w:t>（</w:t>
            </w:r>
            <w:r>
              <w:rPr>
                <w:rFonts w:ascii="黑体" w:eastAsia="黑体" w:hint="eastAsia"/>
                <w:b/>
                <w:spacing w:val="-2"/>
                <w:w w:val="100"/>
                <w:sz w:val="21"/>
              </w:rPr>
              <w:t>因本条款第</w:t>
            </w:r>
            <w:r>
              <w:rPr>
                <w:rFonts w:ascii="黑体" w:eastAsia="黑体" w:hint="eastAsia"/>
                <w:b/>
                <w:w w:val="99"/>
                <w:sz w:val="21"/>
              </w:rPr>
              <w:t>3.2.34</w:t>
            </w:r>
            <w:r>
              <w:rPr>
                <w:rFonts w:ascii="黑体" w:eastAsia="黑体" w:hint="eastAsia"/>
                <w:b/>
                <w:w w:val="100"/>
                <w:sz w:val="21"/>
              </w:rPr>
              <w:t>项所导致的</w:t>
            </w:r>
            <w:r>
              <w:rPr>
                <w:rFonts w:ascii="黑体" w:eastAsia="黑体" w:hint="eastAsia"/>
                <w:b/>
                <w:sz w:val="21"/>
              </w:rPr>
              <w:t>除外）；</w:t>
            </w:r>
          </w:p>
          <w:p>
            <w:pPr>
              <w:pStyle w:val="TableParagraph"/>
              <w:spacing w:line="273" w:lineRule="exact"/>
              <w:ind w:right="-44"/>
              <w:rPr>
                <w:rFonts w:ascii="黑体" w:eastAsia="黑体" w:hint="eastAsia"/>
                <w:b/>
                <w:sz w:val="21"/>
              </w:rPr>
            </w:pPr>
            <w:r>
              <w:rPr>
                <w:rFonts w:ascii="黑体" w:eastAsia="黑体" w:hint="eastAsia"/>
                <w:b/>
                <w:spacing w:val="-8"/>
                <w:sz w:val="21"/>
              </w:rPr>
              <w:t>（7）</w:t>
            </w:r>
            <w:r>
              <w:rPr>
                <w:rFonts w:ascii="黑体" w:eastAsia="黑体" w:hint="eastAsia"/>
                <w:b/>
                <w:spacing w:val="-13"/>
                <w:sz w:val="21"/>
              </w:rPr>
              <w:t>战争、军事冲突、恐怖活动、暴乱、武装叛乱、核爆炸、核辐射或核污染；</w:t>
            </w:r>
          </w:p>
          <w:p>
            <w:pPr>
              <w:pStyle w:val="TableParagraph"/>
              <w:spacing w:before="40"/>
              <w:rPr>
                <w:rFonts w:ascii="黑体" w:eastAsia="黑体" w:hint="eastAsia"/>
                <w:b/>
                <w:sz w:val="21"/>
              </w:rPr>
            </w:pPr>
            <w:r>
              <w:rPr>
                <w:rFonts w:ascii="黑体" w:eastAsia="黑体" w:hint="eastAsia"/>
                <w:b/>
                <w:sz w:val="21"/>
              </w:rPr>
              <w:t>（8）遗传性疾病</w:t>
            </w:r>
            <w:r>
              <w:rPr>
                <w:rFonts w:ascii="黑体" w:eastAsia="黑体" w:hint="eastAsia"/>
                <w:b/>
                <w:position w:val="11"/>
                <w:sz w:val="11"/>
              </w:rPr>
              <w:t>［12.15］</w:t>
            </w:r>
            <w:r>
              <w:rPr>
                <w:rFonts w:ascii="黑体" w:eastAsia="黑体" w:hint="eastAsia"/>
                <w:b/>
                <w:sz w:val="21"/>
              </w:rPr>
              <w:t>，先天性畸形、变形或染色体异常</w:t>
            </w:r>
            <w:r>
              <w:rPr>
                <w:rFonts w:ascii="黑体" w:eastAsia="黑体" w:hint="eastAsia"/>
                <w:b/>
                <w:position w:val="11"/>
                <w:sz w:val="11"/>
              </w:rPr>
              <w:t>［12.16］</w:t>
            </w:r>
            <w:r>
              <w:rPr>
                <w:rFonts w:ascii="黑体" w:eastAsia="黑体" w:hint="eastAsia"/>
                <w:b/>
                <w:sz w:val="21"/>
              </w:rPr>
              <w:t>。</w:t>
            </w:r>
          </w:p>
          <w:p>
            <w:pPr>
              <w:pStyle w:val="TableParagraph"/>
              <w:spacing w:line="273" w:lineRule="auto" w:before="42"/>
              <w:ind w:right="87"/>
              <w:rPr>
                <w:rFonts w:ascii="黑体" w:eastAsia="黑体" w:hint="eastAsia"/>
                <w:b/>
                <w:sz w:val="21"/>
              </w:rPr>
            </w:pPr>
            <w:r>
              <w:rPr>
                <w:rFonts w:ascii="黑体" w:eastAsia="黑体" w:hint="eastAsia"/>
                <w:b/>
                <w:sz w:val="21"/>
              </w:rPr>
              <w:t>发Th上述第（1）项情形导致被保险人身故的，本合同效力终止。已交足2年以上保险费的，我们向身故保险金受益人退还本合同当时的现金价值</w:t>
            </w:r>
            <w:r>
              <w:rPr>
                <w:rFonts w:ascii="黑体" w:eastAsia="黑体" w:hint="eastAsia"/>
                <w:b/>
                <w:position w:val="11"/>
                <w:sz w:val="11"/>
              </w:rPr>
              <w:t>［12.17］</w:t>
            </w:r>
            <w:r>
              <w:rPr>
                <w:rFonts w:ascii="黑体" w:eastAsia="黑体" w:hint="eastAsia"/>
                <w:b/>
                <w:sz w:val="21"/>
              </w:rPr>
              <w:t>。</w:t>
            </w:r>
          </w:p>
          <w:p>
            <w:pPr>
              <w:pStyle w:val="TableParagraph"/>
              <w:spacing w:line="312" w:lineRule="exact" w:before="5"/>
              <w:ind w:right="16"/>
              <w:rPr>
                <w:rFonts w:ascii="黑体" w:eastAsia="黑体" w:hint="eastAsia"/>
                <w:b/>
                <w:sz w:val="21"/>
              </w:rPr>
            </w:pPr>
            <w:r>
              <w:rPr>
                <w:rFonts w:ascii="黑体" w:eastAsia="黑体" w:hint="eastAsia"/>
                <w:b/>
                <w:sz w:val="21"/>
              </w:rPr>
              <w:t>发Th</w:t>
            </w:r>
            <w:r>
              <w:rPr>
                <w:rFonts w:ascii="黑体" w:eastAsia="黑体" w:hint="eastAsia"/>
                <w:b/>
                <w:spacing w:val="-8"/>
                <w:sz w:val="21"/>
              </w:rPr>
              <w:t>上述其他情形导致被保险人身故的，本合同效力终止，我们向投保人退还本合同当时的现金价值。</w:t>
            </w:r>
          </w:p>
        </w:tc>
      </w:tr>
      <w:tr>
        <w:trPr>
          <w:trHeight w:val="701" w:hRule="atLeast"/>
        </w:trPr>
        <w:tc>
          <w:tcPr>
            <w:tcW w:w="934" w:type="dxa"/>
            <w:tcBorders>
              <w:bottom w:val="single" w:sz="6" w:space="0" w:color="000000"/>
            </w:tcBorders>
          </w:tcPr>
          <w:p>
            <w:pPr>
              <w:pStyle w:val="TableParagraph"/>
              <w:spacing w:before="1"/>
              <w:ind w:left="0"/>
              <w:rPr>
                <w:rFonts w:ascii="Times New Roman"/>
                <w:sz w:val="23"/>
              </w:rPr>
            </w:pPr>
          </w:p>
          <w:p>
            <w:pPr>
              <w:pStyle w:val="TableParagraph"/>
              <w:ind w:left="200"/>
              <w:rPr>
                <w:b/>
                <w:sz w:val="28"/>
              </w:rPr>
            </w:pPr>
            <w:r>
              <w:rPr>
                <w:b/>
                <w:w w:val="99"/>
                <w:sz w:val="28"/>
              </w:rPr>
              <w:t>⒊</w:t>
            </w:r>
          </w:p>
        </w:tc>
        <w:tc>
          <w:tcPr>
            <w:tcW w:w="1806" w:type="dxa"/>
            <w:tcBorders>
              <w:bottom w:val="single" w:sz="6" w:space="0" w:color="000000"/>
            </w:tcBorders>
          </w:tcPr>
          <w:p>
            <w:pPr>
              <w:pStyle w:val="TableParagraph"/>
              <w:spacing w:before="8"/>
              <w:ind w:left="0"/>
              <w:rPr>
                <w:rFonts w:ascii="Times New Roman"/>
                <w:sz w:val="20"/>
              </w:rPr>
            </w:pPr>
          </w:p>
          <w:p>
            <w:pPr>
              <w:pStyle w:val="TableParagraph"/>
              <w:ind w:left="204"/>
              <w:rPr>
                <w:b/>
                <w:sz w:val="24"/>
              </w:rPr>
            </w:pPr>
            <w:r>
              <w:rPr>
                <w:b/>
                <w:sz w:val="24"/>
              </w:rPr>
              <w:t>重大疾病</w:t>
            </w:r>
          </w:p>
        </w:tc>
        <w:tc>
          <w:tcPr>
            <w:tcW w:w="7424" w:type="dxa"/>
            <w:tcBorders>
              <w:bottom w:val="single" w:sz="6" w:space="0" w:color="000000"/>
            </w:tcBorders>
          </w:tcPr>
          <w:p>
            <w:pPr>
              <w:pStyle w:val="TableParagraph"/>
              <w:ind w:left="0"/>
              <w:rPr>
                <w:rFonts w:ascii="Times New Roman"/>
                <w:sz w:val="20"/>
              </w:rPr>
            </w:pPr>
          </w:p>
        </w:tc>
      </w:tr>
      <w:tr>
        <w:trPr>
          <w:trHeight w:val="1501" w:hRule="atLeast"/>
        </w:trPr>
        <w:tc>
          <w:tcPr>
            <w:tcW w:w="934" w:type="dxa"/>
            <w:tcBorders>
              <w:top w:val="single" w:sz="6" w:space="0" w:color="000000"/>
            </w:tcBorders>
          </w:tcPr>
          <w:p>
            <w:pPr>
              <w:pStyle w:val="TableParagraph"/>
              <w:spacing w:before="161"/>
              <w:ind w:left="200"/>
              <w:rPr>
                <w:b/>
                <w:sz w:val="21"/>
              </w:rPr>
            </w:pPr>
            <w:r>
              <w:rPr>
                <w:b/>
                <w:sz w:val="21"/>
              </w:rPr>
              <w:t>3.1</w:t>
            </w:r>
          </w:p>
        </w:tc>
        <w:tc>
          <w:tcPr>
            <w:tcW w:w="1806" w:type="dxa"/>
            <w:tcBorders>
              <w:top w:val="single" w:sz="6" w:space="0" w:color="000000"/>
            </w:tcBorders>
          </w:tcPr>
          <w:p>
            <w:pPr>
              <w:pStyle w:val="TableParagraph"/>
              <w:spacing w:before="121"/>
              <w:ind w:left="204"/>
              <w:rPr>
                <w:b/>
                <w:sz w:val="21"/>
              </w:rPr>
            </w:pPr>
            <w:r>
              <w:rPr>
                <w:b/>
                <w:sz w:val="21"/>
              </w:rPr>
              <w:t>重大疾病范围</w:t>
            </w:r>
          </w:p>
        </w:tc>
        <w:tc>
          <w:tcPr>
            <w:tcW w:w="7424" w:type="dxa"/>
            <w:tcBorders>
              <w:top w:val="single" w:sz="6" w:space="0" w:color="000000"/>
            </w:tcBorders>
          </w:tcPr>
          <w:p>
            <w:pPr>
              <w:pStyle w:val="TableParagraph"/>
              <w:spacing w:line="273" w:lineRule="auto" w:before="161"/>
              <w:ind w:right="133"/>
              <w:jc w:val="both"/>
              <w:rPr>
                <w:b/>
                <w:sz w:val="21"/>
              </w:rPr>
            </w:pPr>
            <w:r>
              <w:rPr>
                <w:b/>
                <w:sz w:val="21"/>
              </w:rPr>
              <w:t>本合同所指的重大疾病在本合同中有确定的含义，不仅包括部分一般意义上的重大疾病，还包括某些重大手术，本合同所指的重大疾病可能与临床医学所指的重大疾病在概念和范围上有所不同，我们将在本合同重大疾病定义中详细列明，您投保本合同即表明认可并遵从本合同中对重大疾病的定义。</w:t>
            </w:r>
          </w:p>
        </w:tc>
      </w:tr>
      <w:tr>
        <w:trPr>
          <w:trHeight w:val="1299" w:hRule="atLeast"/>
        </w:trPr>
        <w:tc>
          <w:tcPr>
            <w:tcW w:w="934" w:type="dxa"/>
          </w:tcPr>
          <w:p>
            <w:pPr>
              <w:pStyle w:val="TableParagraph"/>
              <w:spacing w:before="88"/>
              <w:ind w:left="200"/>
              <w:rPr>
                <w:b/>
                <w:sz w:val="21"/>
              </w:rPr>
            </w:pPr>
            <w:r>
              <w:rPr>
                <w:b/>
                <w:sz w:val="21"/>
              </w:rPr>
              <w:t>3.2</w:t>
            </w:r>
          </w:p>
        </w:tc>
        <w:tc>
          <w:tcPr>
            <w:tcW w:w="1806" w:type="dxa"/>
          </w:tcPr>
          <w:p>
            <w:pPr>
              <w:pStyle w:val="TableParagraph"/>
              <w:spacing w:before="88"/>
              <w:ind w:left="204"/>
              <w:rPr>
                <w:b/>
                <w:sz w:val="21"/>
              </w:rPr>
            </w:pPr>
            <w:r>
              <w:rPr>
                <w:b/>
                <w:sz w:val="21"/>
              </w:rPr>
              <w:t>重大疾病定义</w:t>
            </w:r>
          </w:p>
        </w:tc>
        <w:tc>
          <w:tcPr>
            <w:tcW w:w="7424" w:type="dxa"/>
          </w:tcPr>
          <w:p>
            <w:pPr>
              <w:pStyle w:val="TableParagraph"/>
              <w:spacing w:line="273" w:lineRule="auto" w:before="88"/>
              <w:ind w:right="93"/>
              <w:rPr>
                <w:sz w:val="21"/>
              </w:rPr>
            </w:pPr>
            <w:r>
              <w:rPr>
                <w:spacing w:val="-7"/>
                <w:sz w:val="21"/>
              </w:rPr>
              <w:t>本合同所指重大疾病，是被保险人发生经我们认可的医院</w:t>
            </w:r>
            <w:r>
              <w:rPr>
                <w:b/>
                <w:sz w:val="21"/>
              </w:rPr>
              <w:t>专科医生</w:t>
            </w:r>
            <w:r>
              <w:rPr>
                <w:b/>
                <w:position w:val="11"/>
                <w:sz w:val="11"/>
              </w:rPr>
              <w:t>［12.18］</w:t>
            </w:r>
            <w:r>
              <w:rPr>
                <w:sz w:val="21"/>
              </w:rPr>
              <w:t>明确诊</w:t>
            </w:r>
            <w:r>
              <w:rPr>
                <w:spacing w:val="-5"/>
                <w:sz w:val="21"/>
              </w:rPr>
              <w:t>断，符合以下定义所述条件的疾病、疾病状态或手术，共 </w:t>
            </w:r>
            <w:r>
              <w:rPr>
                <w:sz w:val="21"/>
              </w:rPr>
              <w:t>40</w:t>
            </w:r>
            <w:r>
              <w:rPr>
                <w:spacing w:val="-48"/>
                <w:sz w:val="21"/>
              </w:rPr>
              <w:t> 种。</w:t>
            </w:r>
            <w:r>
              <w:rPr>
                <w:spacing w:val="-3"/>
                <w:sz w:val="21"/>
              </w:rPr>
              <w:t>（其中重大疾</w:t>
            </w:r>
          </w:p>
          <w:p>
            <w:pPr>
              <w:pStyle w:val="TableParagraph"/>
              <w:spacing w:line="312" w:lineRule="exact" w:before="3"/>
              <w:ind w:right="86"/>
              <w:rPr>
                <w:sz w:val="21"/>
              </w:rPr>
            </w:pPr>
            <w:r>
              <w:rPr>
                <w:spacing w:val="-8"/>
                <w:sz w:val="21"/>
              </w:rPr>
              <w:t>病定义中的第 </w:t>
            </w:r>
            <w:r>
              <w:rPr>
                <w:sz w:val="21"/>
              </w:rPr>
              <w:t>1</w:t>
            </w:r>
            <w:r>
              <w:rPr>
                <w:spacing w:val="-20"/>
                <w:sz w:val="21"/>
              </w:rPr>
              <w:t> 种至第 </w:t>
            </w:r>
            <w:r>
              <w:rPr>
                <w:sz w:val="21"/>
              </w:rPr>
              <w:t>24</w:t>
            </w:r>
            <w:r>
              <w:rPr>
                <w:spacing w:val="-10"/>
                <w:sz w:val="21"/>
              </w:rPr>
              <w:t> 种采用了中国保险行业协会发布的《重大疾病保险的</w:t>
            </w:r>
            <w:r>
              <w:rPr>
                <w:spacing w:val="-14"/>
                <w:sz w:val="21"/>
              </w:rPr>
              <w:t>疾病定义使用规范》中的疾病定义，如中国保险行业协会或保险监管机关对“重</w:t>
            </w:r>
          </w:p>
        </w:tc>
      </w:tr>
    </w:tbl>
    <w:p>
      <w:pPr>
        <w:spacing w:after="0" w:line="312" w:lineRule="exact"/>
        <w:rPr>
          <w:sz w:val="21"/>
        </w:rPr>
        <w:sectPr>
          <w:pgSz w:w="11910" w:h="16840"/>
          <w:pgMar w:header="566" w:footer="664" w:top="1000" w:bottom="860" w:left="820" w:right="70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06"/>
        <w:gridCol w:w="7437"/>
      </w:tblGrid>
      <w:tr>
        <w:trPr>
          <w:trHeight w:val="653" w:hRule="atLeast"/>
        </w:trPr>
        <w:tc>
          <w:tcPr>
            <w:tcW w:w="934" w:type="dxa"/>
          </w:tcPr>
          <w:p>
            <w:pPr>
              <w:pStyle w:val="TableParagraph"/>
              <w:ind w:left="0"/>
              <w:rPr>
                <w:rFonts w:ascii="Times New Roman"/>
                <w:sz w:val="20"/>
              </w:rPr>
            </w:pPr>
          </w:p>
        </w:tc>
        <w:tc>
          <w:tcPr>
            <w:tcW w:w="1806" w:type="dxa"/>
          </w:tcPr>
          <w:p>
            <w:pPr>
              <w:pStyle w:val="TableParagraph"/>
              <w:ind w:left="0"/>
              <w:rPr>
                <w:rFonts w:ascii="Times New Roman"/>
                <w:sz w:val="20"/>
              </w:rPr>
            </w:pPr>
          </w:p>
        </w:tc>
        <w:tc>
          <w:tcPr>
            <w:tcW w:w="7437" w:type="dxa"/>
          </w:tcPr>
          <w:p>
            <w:pPr>
              <w:pStyle w:val="TableParagraph"/>
              <w:spacing w:line="211" w:lineRule="exact"/>
              <w:rPr>
                <w:sz w:val="21"/>
              </w:rPr>
            </w:pPr>
            <w:r>
              <w:rPr>
                <w:spacing w:val="-11"/>
                <w:sz w:val="21"/>
              </w:rPr>
              <w:t>大疾病保险的疾病定义”进行调整，我们会相应调整。</w:t>
            </w:r>
            <w:r>
              <w:rPr>
                <w:spacing w:val="-12"/>
                <w:sz w:val="21"/>
              </w:rPr>
              <w:t>）</w:t>
            </w:r>
            <w:r>
              <w:rPr>
                <w:spacing w:val="-3"/>
                <w:sz w:val="21"/>
              </w:rPr>
              <w:t>重大疾病的名称及定义</w:t>
            </w:r>
          </w:p>
          <w:p>
            <w:pPr>
              <w:pStyle w:val="TableParagraph"/>
              <w:spacing w:before="37"/>
              <w:rPr>
                <w:sz w:val="21"/>
              </w:rPr>
            </w:pPr>
            <w:r>
              <w:rPr>
                <w:sz w:val="21"/>
              </w:rPr>
              <w:t>如下：</w:t>
            </w:r>
          </w:p>
        </w:tc>
      </w:tr>
      <w:tr>
        <w:trPr>
          <w:trHeight w:val="3275" w:hRule="atLeast"/>
        </w:trPr>
        <w:tc>
          <w:tcPr>
            <w:tcW w:w="934" w:type="dxa"/>
          </w:tcPr>
          <w:p>
            <w:pPr>
              <w:pStyle w:val="TableParagraph"/>
              <w:spacing w:before="87"/>
              <w:ind w:left="179" w:right="182"/>
              <w:jc w:val="center"/>
              <w:rPr>
                <w:b/>
                <w:sz w:val="21"/>
              </w:rPr>
            </w:pPr>
            <w:r>
              <w:rPr>
                <w:b/>
                <w:sz w:val="21"/>
              </w:rPr>
              <w:t>3.2.1</w:t>
            </w:r>
          </w:p>
        </w:tc>
        <w:tc>
          <w:tcPr>
            <w:tcW w:w="1806" w:type="dxa"/>
          </w:tcPr>
          <w:p>
            <w:pPr>
              <w:pStyle w:val="TableParagraph"/>
              <w:spacing w:before="87"/>
              <w:ind w:left="204"/>
              <w:rPr>
                <w:b/>
                <w:sz w:val="21"/>
              </w:rPr>
            </w:pPr>
            <w:r>
              <w:rPr>
                <w:b/>
                <w:sz w:val="21"/>
              </w:rPr>
              <w:t>恶性肿瘤</w:t>
            </w:r>
          </w:p>
        </w:tc>
        <w:tc>
          <w:tcPr>
            <w:tcW w:w="7437" w:type="dxa"/>
          </w:tcPr>
          <w:p>
            <w:pPr>
              <w:pStyle w:val="TableParagraph"/>
              <w:spacing w:line="237" w:lineRule="auto" w:before="68"/>
              <w:ind w:right="5"/>
              <w:jc w:val="both"/>
              <w:rPr>
                <w:sz w:val="21"/>
              </w:rPr>
            </w:pPr>
            <w:r>
              <w:rPr>
                <w:sz w:val="21"/>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line="271" w:lineRule="exact"/>
              <w:jc w:val="both"/>
              <w:rPr>
                <w:sz w:val="21"/>
              </w:rPr>
            </w:pPr>
            <w:r>
              <w:rPr>
                <w:sz w:val="21"/>
              </w:rPr>
              <w:t>（ICD-10）的恶性肿瘤范畴。</w:t>
            </w:r>
          </w:p>
          <w:p>
            <w:pPr>
              <w:pStyle w:val="TableParagraph"/>
              <w:spacing w:line="272" w:lineRule="exact"/>
              <w:jc w:val="both"/>
              <w:rPr>
                <w:rFonts w:ascii="黑体" w:eastAsia="黑体" w:hint="eastAsia"/>
                <w:b/>
                <w:sz w:val="21"/>
              </w:rPr>
            </w:pPr>
            <w:r>
              <w:rPr>
                <w:rFonts w:ascii="黑体" w:eastAsia="黑体" w:hint="eastAsia"/>
                <w:b/>
                <w:sz w:val="21"/>
              </w:rPr>
              <w:t>下列疾病不在保障范围内：</w:t>
            </w:r>
          </w:p>
          <w:p>
            <w:pPr>
              <w:pStyle w:val="TableParagraph"/>
              <w:spacing w:line="272" w:lineRule="exact"/>
              <w:jc w:val="both"/>
              <w:rPr>
                <w:rFonts w:ascii="黑体" w:eastAsia="黑体" w:hint="eastAsia"/>
                <w:b/>
                <w:sz w:val="21"/>
              </w:rPr>
            </w:pPr>
            <w:r>
              <w:rPr>
                <w:rFonts w:ascii="黑体" w:eastAsia="黑体" w:hint="eastAsia"/>
                <w:b/>
                <w:sz w:val="21"/>
              </w:rPr>
              <w:t>（1）原位癌；</w:t>
            </w:r>
          </w:p>
          <w:p>
            <w:pPr>
              <w:pStyle w:val="TableParagraph"/>
              <w:spacing w:line="272" w:lineRule="exact"/>
              <w:jc w:val="both"/>
              <w:rPr>
                <w:rFonts w:ascii="黑体" w:eastAsia="黑体" w:hint="eastAsia"/>
                <w:b/>
                <w:sz w:val="21"/>
              </w:rPr>
            </w:pPr>
            <w:r>
              <w:rPr>
                <w:rFonts w:ascii="黑体" w:eastAsia="黑体" w:hint="eastAsia"/>
                <w:b/>
                <w:sz w:val="21"/>
              </w:rPr>
              <w:t>（2）相当于 Binet 分期方案 A 期程度的慢性淋巴细胞白血病；</w:t>
            </w:r>
          </w:p>
          <w:p>
            <w:pPr>
              <w:pStyle w:val="TableParagraph"/>
              <w:spacing w:line="272" w:lineRule="exact"/>
              <w:jc w:val="both"/>
              <w:rPr>
                <w:rFonts w:ascii="黑体" w:eastAsia="黑体" w:hint="eastAsia"/>
                <w:b/>
                <w:sz w:val="21"/>
              </w:rPr>
            </w:pPr>
            <w:r>
              <w:rPr>
                <w:rFonts w:ascii="黑体" w:eastAsia="黑体" w:hint="eastAsia"/>
                <w:b/>
                <w:sz w:val="21"/>
              </w:rPr>
              <w:t>（3）相当于 Ann Arbor 分期方案 I 期程度的何杰金氏病；</w:t>
            </w:r>
          </w:p>
          <w:p>
            <w:pPr>
              <w:pStyle w:val="TableParagraph"/>
              <w:spacing w:line="272" w:lineRule="exact"/>
              <w:jc w:val="both"/>
              <w:rPr>
                <w:rFonts w:ascii="黑体" w:eastAsia="黑体" w:hint="eastAsia"/>
                <w:b/>
                <w:sz w:val="21"/>
              </w:rPr>
            </w:pPr>
            <w:r>
              <w:rPr>
                <w:rFonts w:ascii="黑体" w:eastAsia="黑体" w:hint="eastAsia"/>
                <w:b/>
                <w:w w:val="100"/>
                <w:sz w:val="21"/>
              </w:rPr>
              <w:t>（</w:t>
            </w:r>
            <w:r>
              <w:rPr>
                <w:rFonts w:ascii="黑体" w:eastAsia="黑体" w:hint="eastAsia"/>
                <w:b/>
                <w:w w:val="99"/>
                <w:sz w:val="21"/>
              </w:rPr>
              <w:t>4</w:t>
            </w:r>
            <w:r>
              <w:rPr>
                <w:rFonts w:ascii="黑体" w:eastAsia="黑体" w:hint="eastAsia"/>
                <w:b/>
                <w:w w:val="100"/>
                <w:sz w:val="21"/>
              </w:rPr>
              <w:t>）皮肤癌（</w:t>
            </w:r>
            <w:r>
              <w:rPr>
                <w:rFonts w:ascii="黑体" w:eastAsia="黑体" w:hint="eastAsia"/>
                <w:b/>
                <w:spacing w:val="-2"/>
                <w:w w:val="100"/>
                <w:sz w:val="21"/>
              </w:rPr>
              <w:t>不包括恶性</w:t>
            </w:r>
            <w:r>
              <w:rPr>
                <w:rFonts w:ascii="黑体" w:eastAsia="黑体" w:hint="eastAsia"/>
                <w:b/>
                <w:w w:val="100"/>
                <w:sz w:val="21"/>
              </w:rPr>
              <w:t>黑色素瘤及已发Th</w:t>
            </w:r>
            <w:r>
              <w:rPr>
                <w:rFonts w:ascii="黑体" w:eastAsia="黑体" w:hint="eastAsia"/>
                <w:b/>
                <w:spacing w:val="-3"/>
                <w:w w:val="100"/>
                <w:sz w:val="21"/>
              </w:rPr>
              <w:t>转</w:t>
            </w:r>
            <w:r>
              <w:rPr>
                <w:rFonts w:ascii="黑体" w:eastAsia="黑体" w:hint="eastAsia"/>
                <w:b/>
                <w:spacing w:val="-2"/>
                <w:w w:val="100"/>
                <w:sz w:val="21"/>
              </w:rPr>
              <w:t>移的皮肤癌</w:t>
            </w:r>
            <w:r>
              <w:rPr>
                <w:rFonts w:ascii="黑体" w:eastAsia="黑体" w:hint="eastAsia"/>
                <w:b/>
                <w:spacing w:val="-106"/>
                <w:w w:val="100"/>
                <w:sz w:val="21"/>
              </w:rPr>
              <w:t>）</w:t>
            </w:r>
            <w:r>
              <w:rPr>
                <w:rFonts w:ascii="黑体" w:eastAsia="黑体" w:hint="eastAsia"/>
                <w:b/>
                <w:w w:val="100"/>
                <w:sz w:val="21"/>
              </w:rPr>
              <w:t>；</w:t>
            </w:r>
          </w:p>
          <w:p>
            <w:pPr>
              <w:pStyle w:val="TableParagraph"/>
              <w:spacing w:line="272" w:lineRule="exact"/>
              <w:jc w:val="both"/>
              <w:rPr>
                <w:rFonts w:ascii="黑体" w:eastAsia="黑体" w:hint="eastAsia"/>
                <w:b/>
                <w:sz w:val="21"/>
              </w:rPr>
            </w:pPr>
            <w:r>
              <w:rPr>
                <w:rFonts w:ascii="黑体" w:eastAsia="黑体" w:hint="eastAsia"/>
                <w:b/>
                <w:position w:val="1"/>
                <w:sz w:val="21"/>
              </w:rPr>
              <w:t>（5）TNM 分期为 T</w:t>
            </w:r>
            <w:r>
              <w:rPr>
                <w:rFonts w:ascii="黑体" w:eastAsia="黑体" w:hint="eastAsia"/>
                <w:b/>
                <w:sz w:val="11"/>
              </w:rPr>
              <w:t>1</w:t>
            </w:r>
            <w:r>
              <w:rPr>
                <w:rFonts w:ascii="黑体" w:eastAsia="黑体" w:hint="eastAsia"/>
                <w:b/>
                <w:position w:val="1"/>
                <w:sz w:val="21"/>
              </w:rPr>
              <w:t>N</w:t>
            </w:r>
            <w:r>
              <w:rPr>
                <w:rFonts w:ascii="黑体" w:eastAsia="黑体" w:hint="eastAsia"/>
                <w:b/>
                <w:sz w:val="11"/>
              </w:rPr>
              <w:t>0</w:t>
            </w:r>
            <w:r>
              <w:rPr>
                <w:rFonts w:ascii="黑体" w:eastAsia="黑体" w:hint="eastAsia"/>
                <w:b/>
                <w:position w:val="1"/>
                <w:sz w:val="21"/>
              </w:rPr>
              <w:t>M</w:t>
            </w:r>
            <w:r>
              <w:rPr>
                <w:rFonts w:ascii="黑体" w:eastAsia="黑体" w:hint="eastAsia"/>
                <w:b/>
                <w:sz w:val="11"/>
              </w:rPr>
              <w:t>0 </w:t>
            </w:r>
            <w:r>
              <w:rPr>
                <w:rFonts w:ascii="黑体" w:eastAsia="黑体" w:hint="eastAsia"/>
                <w:b/>
                <w:position w:val="1"/>
                <w:sz w:val="21"/>
              </w:rPr>
              <w:t>期或更轻分期的前列腺癌；</w:t>
            </w:r>
          </w:p>
          <w:p>
            <w:pPr>
              <w:pStyle w:val="TableParagraph"/>
              <w:spacing w:line="274" w:lineRule="exact"/>
              <w:jc w:val="both"/>
              <w:rPr>
                <w:rFonts w:ascii="黑体" w:eastAsia="黑体" w:hint="eastAsia"/>
                <w:b/>
                <w:sz w:val="21"/>
              </w:rPr>
            </w:pPr>
            <w:r>
              <w:rPr>
                <w:rFonts w:ascii="黑体" w:eastAsia="黑体" w:hint="eastAsia"/>
                <w:b/>
                <w:sz w:val="21"/>
              </w:rPr>
              <w:t>（6）感染艾滋病病毒或患艾滋病期间所患恶性肿瘤。</w:t>
            </w:r>
          </w:p>
        </w:tc>
      </w:tr>
      <w:tr>
        <w:trPr>
          <w:trHeight w:val="1908" w:hRule="atLeast"/>
        </w:trPr>
        <w:tc>
          <w:tcPr>
            <w:tcW w:w="934" w:type="dxa"/>
          </w:tcPr>
          <w:p>
            <w:pPr>
              <w:pStyle w:val="TableParagraph"/>
              <w:spacing w:line="262" w:lineRule="exact"/>
              <w:ind w:left="179" w:right="182"/>
              <w:jc w:val="center"/>
              <w:rPr>
                <w:b/>
                <w:sz w:val="21"/>
              </w:rPr>
            </w:pPr>
            <w:r>
              <w:rPr>
                <w:b/>
                <w:sz w:val="21"/>
              </w:rPr>
              <w:t>3.2.2</w:t>
            </w:r>
          </w:p>
        </w:tc>
        <w:tc>
          <w:tcPr>
            <w:tcW w:w="1806" w:type="dxa"/>
          </w:tcPr>
          <w:p>
            <w:pPr>
              <w:pStyle w:val="TableParagraph"/>
              <w:spacing w:line="262" w:lineRule="exact"/>
              <w:ind w:left="204"/>
              <w:rPr>
                <w:b/>
                <w:sz w:val="21"/>
              </w:rPr>
            </w:pPr>
            <w:r>
              <w:rPr>
                <w:b/>
                <w:sz w:val="21"/>
              </w:rPr>
              <w:t>急性心肌梗塞</w:t>
            </w:r>
          </w:p>
        </w:tc>
        <w:tc>
          <w:tcPr>
            <w:tcW w:w="7437" w:type="dxa"/>
            <w:tcBorders>
              <w:right w:val="single" w:sz="4" w:space="0" w:color="FFFFFF"/>
            </w:tcBorders>
          </w:tcPr>
          <w:p>
            <w:pPr>
              <w:pStyle w:val="TableParagraph"/>
              <w:spacing w:line="240" w:lineRule="exact"/>
              <w:rPr>
                <w:sz w:val="21"/>
              </w:rPr>
            </w:pPr>
            <w:r>
              <w:rPr>
                <w:sz w:val="21"/>
              </w:rPr>
              <w:t>指因冠状动脉阻塞导致的相应区域供血不足造成部分心肌坏死。须满足下列至</w:t>
            </w:r>
          </w:p>
          <w:p>
            <w:pPr>
              <w:pStyle w:val="TableParagraph"/>
              <w:spacing w:line="273" w:lineRule="exact"/>
              <w:rPr>
                <w:sz w:val="21"/>
              </w:rPr>
            </w:pPr>
            <w:r>
              <w:rPr>
                <w:sz w:val="21"/>
              </w:rPr>
              <w:t>少三项条件：</w:t>
            </w:r>
          </w:p>
          <w:p>
            <w:pPr>
              <w:pStyle w:val="TableParagraph"/>
              <w:spacing w:line="272" w:lineRule="exact"/>
              <w:rPr>
                <w:sz w:val="21"/>
              </w:rPr>
            </w:pPr>
            <w:r>
              <w:rPr>
                <w:sz w:val="21"/>
              </w:rPr>
              <w:t>（1）典型临床表现，例如急性胸痛等；</w:t>
            </w:r>
          </w:p>
          <w:p>
            <w:pPr>
              <w:pStyle w:val="TableParagraph"/>
              <w:spacing w:line="272" w:lineRule="exact"/>
              <w:rPr>
                <w:sz w:val="21"/>
              </w:rPr>
            </w:pPr>
            <w:r>
              <w:rPr>
                <w:sz w:val="21"/>
              </w:rPr>
              <w:t>（2）新近的心电图改变提示急性心肌梗塞；</w:t>
            </w:r>
          </w:p>
          <w:p>
            <w:pPr>
              <w:pStyle w:val="TableParagraph"/>
              <w:ind w:left="648" w:right="40" w:hanging="527"/>
              <w:rPr>
                <w:sz w:val="21"/>
              </w:rPr>
            </w:pPr>
            <w:r>
              <w:rPr>
                <w:sz w:val="21"/>
              </w:rPr>
              <w:t>（3）心肌酶或肌钙蛋白有诊断意义的升高，或呈符合急性心肌梗塞的动态性变化；</w:t>
            </w:r>
          </w:p>
          <w:p>
            <w:pPr>
              <w:pStyle w:val="TableParagraph"/>
              <w:spacing w:line="271" w:lineRule="exact" w:before="2"/>
              <w:ind w:right="-15"/>
              <w:rPr>
                <w:sz w:val="21"/>
              </w:rPr>
            </w:pPr>
            <w:r>
              <w:rPr>
                <w:spacing w:val="-11"/>
                <w:sz w:val="21"/>
              </w:rPr>
              <w:t>（4）</w:t>
            </w:r>
            <w:r>
              <w:rPr>
                <w:spacing w:val="2"/>
                <w:sz w:val="21"/>
              </w:rPr>
              <w:t>发病 </w:t>
            </w:r>
            <w:r>
              <w:rPr>
                <w:sz w:val="21"/>
              </w:rPr>
              <w:t>90</w:t>
            </w:r>
            <w:r>
              <w:rPr>
                <w:spacing w:val="-10"/>
                <w:sz w:val="21"/>
              </w:rPr>
              <w:t> 日后，经检查证实左心室功能降低，如左心室射血分数低于 </w:t>
            </w:r>
            <w:r>
              <w:rPr>
                <w:sz w:val="21"/>
              </w:rPr>
              <w:t>50%。</w:t>
            </w:r>
          </w:p>
        </w:tc>
      </w:tr>
      <w:tr>
        <w:trPr>
          <w:trHeight w:val="2455" w:hRule="atLeast"/>
        </w:trPr>
        <w:tc>
          <w:tcPr>
            <w:tcW w:w="934" w:type="dxa"/>
          </w:tcPr>
          <w:p>
            <w:pPr>
              <w:pStyle w:val="TableParagraph"/>
              <w:spacing w:before="167"/>
              <w:ind w:left="179" w:right="182"/>
              <w:jc w:val="center"/>
              <w:rPr>
                <w:b/>
                <w:sz w:val="21"/>
              </w:rPr>
            </w:pPr>
            <w:r>
              <w:rPr>
                <w:b/>
                <w:sz w:val="21"/>
              </w:rPr>
              <w:t>3.2.3</w:t>
            </w:r>
          </w:p>
        </w:tc>
        <w:tc>
          <w:tcPr>
            <w:tcW w:w="1806" w:type="dxa"/>
          </w:tcPr>
          <w:p>
            <w:pPr>
              <w:pStyle w:val="TableParagraph"/>
              <w:spacing w:before="167"/>
              <w:ind w:left="204"/>
              <w:rPr>
                <w:b/>
                <w:sz w:val="21"/>
              </w:rPr>
            </w:pPr>
            <w:r>
              <w:rPr>
                <w:b/>
                <w:sz w:val="21"/>
              </w:rPr>
              <w:t>脑中风后遗症</w:t>
            </w:r>
          </w:p>
        </w:tc>
        <w:tc>
          <w:tcPr>
            <w:tcW w:w="7437" w:type="dxa"/>
          </w:tcPr>
          <w:p>
            <w:pPr>
              <w:pStyle w:val="TableParagraph"/>
              <w:spacing w:line="273" w:lineRule="auto" w:before="167"/>
              <w:ind w:right="103"/>
              <w:jc w:val="both"/>
              <w:rPr>
                <w:sz w:val="21"/>
              </w:rPr>
            </w:pPr>
            <w:r>
              <w:rPr>
                <w:spacing w:val="-3"/>
                <w:sz w:val="21"/>
              </w:rPr>
              <w:t>指因脑血管的突发病变引起脑血管出血、栓塞或梗塞，并导致神经系统永久性</w:t>
            </w:r>
            <w:r>
              <w:rPr>
                <w:spacing w:val="-6"/>
                <w:sz w:val="21"/>
              </w:rPr>
              <w:t>的功能障碍。神经系统永久性的功能障碍，指疾病确诊</w:t>
            </w:r>
            <w:r>
              <w:rPr>
                <w:sz w:val="21"/>
              </w:rPr>
              <w:t>180</w:t>
            </w:r>
            <w:r>
              <w:rPr>
                <w:spacing w:val="-5"/>
                <w:sz w:val="21"/>
              </w:rPr>
              <w:t>日后，仍遗留下列一</w:t>
            </w:r>
            <w:r>
              <w:rPr>
                <w:spacing w:val="-4"/>
                <w:sz w:val="21"/>
              </w:rPr>
              <w:t>种或一种以上障碍：</w:t>
            </w:r>
          </w:p>
          <w:p>
            <w:pPr>
              <w:pStyle w:val="TableParagraph"/>
              <w:spacing w:before="7"/>
              <w:rPr>
                <w:sz w:val="21"/>
              </w:rPr>
            </w:pPr>
            <w:r>
              <w:rPr>
                <w:sz w:val="21"/>
              </w:rPr>
              <w:t>（1）一肢或一肢以上</w:t>
            </w:r>
            <w:r>
              <w:rPr>
                <w:b/>
                <w:sz w:val="21"/>
              </w:rPr>
              <w:t>肢体机能完全丧失</w:t>
            </w:r>
            <w:r>
              <w:rPr>
                <w:b/>
                <w:position w:val="11"/>
                <w:sz w:val="11"/>
              </w:rPr>
              <w:t>［12.19］</w:t>
            </w:r>
            <w:r>
              <w:rPr>
                <w:sz w:val="21"/>
              </w:rPr>
              <w:t>；</w:t>
            </w:r>
          </w:p>
          <w:p>
            <w:pPr>
              <w:pStyle w:val="TableParagraph"/>
              <w:spacing w:before="37"/>
              <w:rPr>
                <w:sz w:val="21"/>
              </w:rPr>
            </w:pPr>
            <w:r>
              <w:rPr>
                <w:sz w:val="21"/>
              </w:rPr>
              <w:t>（2）</w:t>
            </w:r>
            <w:r>
              <w:rPr>
                <w:b/>
                <w:sz w:val="21"/>
              </w:rPr>
              <w:t>语言能力或咀嚼吞咽能力完全丧失</w:t>
            </w:r>
            <w:r>
              <w:rPr>
                <w:b/>
                <w:position w:val="11"/>
                <w:sz w:val="11"/>
              </w:rPr>
              <w:t>［12.20］</w:t>
            </w:r>
            <w:r>
              <w:rPr>
                <w:sz w:val="21"/>
              </w:rPr>
              <w:t>；</w:t>
            </w:r>
          </w:p>
          <w:p>
            <w:pPr>
              <w:pStyle w:val="TableParagraph"/>
              <w:spacing w:line="273" w:lineRule="auto" w:before="37"/>
              <w:ind w:left="648" w:right="190" w:hanging="527"/>
              <w:rPr>
                <w:sz w:val="21"/>
              </w:rPr>
            </w:pPr>
            <w:r>
              <w:rPr>
                <w:sz w:val="21"/>
              </w:rPr>
              <w:t>（3）自主生活能力完全丧失，无法独立完成</w:t>
            </w:r>
            <w:r>
              <w:rPr>
                <w:b/>
                <w:sz w:val="21"/>
              </w:rPr>
              <w:t>六项基本日常生活活动</w:t>
            </w:r>
            <w:r>
              <w:rPr>
                <w:b/>
                <w:position w:val="11"/>
                <w:sz w:val="11"/>
              </w:rPr>
              <w:t>［12.21］</w:t>
            </w:r>
            <w:r>
              <w:rPr>
                <w:sz w:val="21"/>
              </w:rPr>
              <w:t>中的三项或三项以上。</w:t>
            </w:r>
          </w:p>
        </w:tc>
      </w:tr>
      <w:tr>
        <w:trPr>
          <w:trHeight w:val="1826" w:hRule="atLeast"/>
        </w:trPr>
        <w:tc>
          <w:tcPr>
            <w:tcW w:w="934" w:type="dxa"/>
          </w:tcPr>
          <w:p>
            <w:pPr>
              <w:pStyle w:val="TableParagraph"/>
              <w:spacing w:before="76"/>
              <w:ind w:left="179" w:right="182"/>
              <w:jc w:val="center"/>
              <w:rPr>
                <w:b/>
                <w:sz w:val="21"/>
              </w:rPr>
            </w:pPr>
            <w:r>
              <w:rPr>
                <w:b/>
                <w:sz w:val="21"/>
              </w:rPr>
              <w:t>3.2.4</w:t>
            </w:r>
          </w:p>
        </w:tc>
        <w:tc>
          <w:tcPr>
            <w:tcW w:w="1806" w:type="dxa"/>
          </w:tcPr>
          <w:p>
            <w:pPr>
              <w:pStyle w:val="TableParagraph"/>
              <w:spacing w:line="273" w:lineRule="auto" w:before="76"/>
              <w:ind w:left="204" w:right="120"/>
              <w:jc w:val="both"/>
              <w:rPr>
                <w:b/>
                <w:sz w:val="21"/>
              </w:rPr>
            </w:pPr>
            <w:r>
              <w:rPr>
                <w:b/>
                <w:sz w:val="21"/>
              </w:rPr>
              <w:t>重大器官移植术或造血干细胞移植术</w:t>
            </w:r>
          </w:p>
        </w:tc>
        <w:tc>
          <w:tcPr>
            <w:tcW w:w="7437" w:type="dxa"/>
          </w:tcPr>
          <w:p>
            <w:pPr>
              <w:pStyle w:val="TableParagraph"/>
              <w:spacing w:line="273" w:lineRule="auto" w:before="76"/>
              <w:ind w:right="167"/>
              <w:jc w:val="both"/>
              <w:rPr>
                <w:sz w:val="21"/>
              </w:rPr>
            </w:pPr>
            <w:r>
              <w:rPr>
                <w:sz w:val="21"/>
              </w:rPr>
              <w:t>重大器官移植术，指因相应器官功能衰竭，已经实施了肾脏、肝脏、心脏或肺脏的异体移植手术。</w:t>
            </w:r>
          </w:p>
          <w:p>
            <w:pPr>
              <w:pStyle w:val="TableParagraph"/>
              <w:spacing w:line="273" w:lineRule="auto" w:before="7"/>
              <w:ind w:right="16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938" w:hRule="atLeast"/>
        </w:trPr>
        <w:tc>
          <w:tcPr>
            <w:tcW w:w="934" w:type="dxa"/>
          </w:tcPr>
          <w:p>
            <w:pPr>
              <w:pStyle w:val="TableParagraph"/>
              <w:spacing w:line="265" w:lineRule="exact"/>
              <w:ind w:left="178" w:right="183"/>
              <w:jc w:val="center"/>
              <w:rPr>
                <w:b/>
                <w:sz w:val="21"/>
              </w:rPr>
            </w:pPr>
            <w:r>
              <w:rPr>
                <w:b/>
                <w:sz w:val="21"/>
              </w:rPr>
              <w:t>3.2.5</w:t>
            </w:r>
          </w:p>
        </w:tc>
        <w:tc>
          <w:tcPr>
            <w:tcW w:w="1806" w:type="dxa"/>
          </w:tcPr>
          <w:p>
            <w:pPr>
              <w:pStyle w:val="TableParagraph"/>
              <w:spacing w:line="265" w:lineRule="exact"/>
              <w:ind w:left="204"/>
              <w:rPr>
                <w:b/>
                <w:sz w:val="21"/>
              </w:rPr>
            </w:pPr>
            <w:r>
              <w:rPr>
                <w:b/>
                <w:sz w:val="21"/>
              </w:rPr>
              <w:t>冠状动脉搭桥术</w:t>
            </w:r>
          </w:p>
          <w:p>
            <w:pPr>
              <w:pStyle w:val="TableParagraph"/>
              <w:spacing w:line="273" w:lineRule="auto" w:before="37"/>
              <w:ind w:left="204" w:right="120"/>
              <w:rPr>
                <w:b/>
                <w:sz w:val="21"/>
              </w:rPr>
            </w:pPr>
            <w:r>
              <w:rPr>
                <w:b/>
                <w:sz w:val="21"/>
              </w:rPr>
              <w:t>（或称冠状动脉</w:t>
            </w:r>
            <w:r>
              <w:rPr>
                <w:b/>
                <w:w w:val="95"/>
                <w:sz w:val="21"/>
              </w:rPr>
              <w:t>旁路移植术）</w:t>
            </w:r>
          </w:p>
        </w:tc>
        <w:tc>
          <w:tcPr>
            <w:tcW w:w="7437" w:type="dxa"/>
            <w:tcBorders>
              <w:right w:val="single" w:sz="4" w:space="0" w:color="FFFFFF"/>
            </w:tcBorders>
          </w:tcPr>
          <w:p>
            <w:pPr>
              <w:pStyle w:val="TableParagraph"/>
              <w:spacing w:line="224" w:lineRule="exact"/>
              <w:ind w:right="-58"/>
              <w:rPr>
                <w:sz w:val="21"/>
              </w:rPr>
            </w:pPr>
            <w:r>
              <w:rPr>
                <w:spacing w:val="-3"/>
                <w:sz w:val="21"/>
              </w:rPr>
              <w:t>指为治疗严重的冠心病，实际实施了开胸进行的冠状动脉血管旁路移植的手术。</w:t>
            </w:r>
          </w:p>
          <w:p>
            <w:pPr>
              <w:pStyle w:val="TableParagraph"/>
              <w:spacing w:line="273" w:lineRule="auto" w:before="15"/>
              <w:ind w:right="110"/>
              <w:rPr>
                <w:rFonts w:ascii="黑体" w:eastAsia="黑体" w:hint="eastAsia"/>
                <w:b/>
                <w:sz w:val="21"/>
              </w:rPr>
            </w:pPr>
            <w:r>
              <w:rPr>
                <w:rFonts w:ascii="黑体" w:eastAsia="黑体" w:hint="eastAsia"/>
                <w:b/>
                <w:sz w:val="21"/>
              </w:rPr>
              <w:t>冠状动脉支架植入术、心导管球囊扩张术、激光射频技术及其它非开胸的介入手术、腔镜手术不在保障范围内。</w:t>
            </w:r>
          </w:p>
        </w:tc>
      </w:tr>
      <w:tr>
        <w:trPr>
          <w:trHeight w:val="1207" w:hRule="atLeast"/>
        </w:trPr>
        <w:tc>
          <w:tcPr>
            <w:tcW w:w="934" w:type="dxa"/>
          </w:tcPr>
          <w:p>
            <w:pPr>
              <w:pStyle w:val="TableParagraph"/>
              <w:spacing w:before="167"/>
              <w:ind w:left="178" w:right="183"/>
              <w:jc w:val="center"/>
              <w:rPr>
                <w:b/>
                <w:sz w:val="21"/>
              </w:rPr>
            </w:pPr>
            <w:r>
              <w:rPr>
                <w:b/>
                <w:sz w:val="21"/>
              </w:rPr>
              <w:t>3.2.6</w:t>
            </w:r>
          </w:p>
        </w:tc>
        <w:tc>
          <w:tcPr>
            <w:tcW w:w="1806" w:type="dxa"/>
          </w:tcPr>
          <w:p>
            <w:pPr>
              <w:pStyle w:val="TableParagraph"/>
              <w:spacing w:line="273" w:lineRule="auto" w:before="167"/>
              <w:ind w:left="204" w:right="120"/>
              <w:jc w:val="both"/>
              <w:rPr>
                <w:b/>
                <w:sz w:val="21"/>
              </w:rPr>
            </w:pPr>
            <w:r>
              <w:rPr>
                <w:b/>
                <w:sz w:val="21"/>
              </w:rPr>
              <w:t>终末期肾病（或称慢性肾功能衰竭尿毒症期）</w:t>
            </w:r>
          </w:p>
        </w:tc>
        <w:tc>
          <w:tcPr>
            <w:tcW w:w="7437" w:type="dxa"/>
          </w:tcPr>
          <w:p>
            <w:pPr>
              <w:pStyle w:val="TableParagraph"/>
              <w:spacing w:line="273" w:lineRule="auto" w:before="167"/>
              <w:ind w:right="101"/>
              <w:rPr>
                <w:sz w:val="21"/>
              </w:rPr>
            </w:pPr>
            <w:r>
              <w:rPr>
                <w:spacing w:val="-7"/>
                <w:sz w:val="21"/>
              </w:rPr>
              <w:t>指双肾功能慢性不可逆性衰竭，达到尿毒症期，经诊断后已经进行了至少 </w:t>
            </w:r>
            <w:r>
              <w:rPr>
                <w:sz w:val="21"/>
              </w:rPr>
              <w:t>90</w:t>
            </w:r>
            <w:r>
              <w:rPr>
                <w:spacing w:val="-20"/>
                <w:sz w:val="21"/>
              </w:rPr>
              <w:t> 日</w:t>
            </w:r>
            <w:r>
              <w:rPr>
                <w:spacing w:val="-8"/>
                <w:sz w:val="21"/>
              </w:rPr>
              <w:t>的规律性透析治疗或实施了肾脏移植手术。</w:t>
            </w:r>
          </w:p>
        </w:tc>
      </w:tr>
      <w:tr>
        <w:trPr>
          <w:trHeight w:val="803" w:hRule="atLeast"/>
        </w:trPr>
        <w:tc>
          <w:tcPr>
            <w:tcW w:w="934" w:type="dxa"/>
          </w:tcPr>
          <w:p>
            <w:pPr>
              <w:pStyle w:val="TableParagraph"/>
              <w:spacing w:before="76"/>
              <w:ind w:left="178" w:right="183"/>
              <w:jc w:val="center"/>
              <w:rPr>
                <w:b/>
                <w:sz w:val="21"/>
              </w:rPr>
            </w:pPr>
            <w:r>
              <w:rPr>
                <w:b/>
                <w:sz w:val="21"/>
              </w:rPr>
              <w:t>3.2.7</w:t>
            </w:r>
          </w:p>
        </w:tc>
        <w:tc>
          <w:tcPr>
            <w:tcW w:w="1806" w:type="dxa"/>
          </w:tcPr>
          <w:p>
            <w:pPr>
              <w:pStyle w:val="TableParagraph"/>
              <w:spacing w:before="76"/>
              <w:ind w:left="204"/>
              <w:rPr>
                <w:b/>
                <w:sz w:val="21"/>
              </w:rPr>
            </w:pPr>
            <w:r>
              <w:rPr>
                <w:b/>
                <w:sz w:val="21"/>
              </w:rPr>
              <w:t>多个肢体缺失</w:t>
            </w:r>
          </w:p>
        </w:tc>
        <w:tc>
          <w:tcPr>
            <w:tcW w:w="7437" w:type="dxa"/>
          </w:tcPr>
          <w:p>
            <w:pPr>
              <w:pStyle w:val="TableParagraph"/>
              <w:spacing w:line="273" w:lineRule="auto" w:before="76"/>
              <w:ind w:right="166"/>
              <w:rPr>
                <w:sz w:val="21"/>
              </w:rPr>
            </w:pPr>
            <w:r>
              <w:rPr>
                <w:sz w:val="21"/>
              </w:rPr>
              <w:t>指因疾病或意外伤害导致二个或二个以上肢体自腕关节或踝关节近端（靠近躯干端）以上完全性断离。</w:t>
            </w:r>
          </w:p>
        </w:tc>
      </w:tr>
      <w:tr>
        <w:trPr>
          <w:trHeight w:val="975" w:hRule="atLeast"/>
        </w:trPr>
        <w:tc>
          <w:tcPr>
            <w:tcW w:w="934" w:type="dxa"/>
          </w:tcPr>
          <w:p>
            <w:pPr>
              <w:pStyle w:val="TableParagraph"/>
              <w:spacing w:before="76"/>
              <w:ind w:left="179" w:right="182"/>
              <w:jc w:val="center"/>
              <w:rPr>
                <w:b/>
                <w:sz w:val="21"/>
              </w:rPr>
            </w:pPr>
            <w:r>
              <w:rPr>
                <w:b/>
                <w:sz w:val="21"/>
              </w:rPr>
              <w:t>3.2.8</w:t>
            </w:r>
          </w:p>
        </w:tc>
        <w:tc>
          <w:tcPr>
            <w:tcW w:w="1806" w:type="dxa"/>
          </w:tcPr>
          <w:p>
            <w:pPr>
              <w:pStyle w:val="TableParagraph"/>
              <w:spacing w:line="273" w:lineRule="auto" w:before="76"/>
              <w:ind w:left="204" w:right="120"/>
              <w:rPr>
                <w:b/>
                <w:sz w:val="21"/>
              </w:rPr>
            </w:pPr>
            <w:r>
              <w:rPr>
                <w:b/>
                <w:sz w:val="21"/>
              </w:rPr>
              <w:t>急性或亚急性重症肝炎</w:t>
            </w:r>
          </w:p>
        </w:tc>
        <w:tc>
          <w:tcPr>
            <w:tcW w:w="7437" w:type="dxa"/>
          </w:tcPr>
          <w:p>
            <w:pPr>
              <w:pStyle w:val="TableParagraph"/>
              <w:spacing w:line="273" w:lineRule="auto" w:before="76"/>
              <w:ind w:right="167"/>
              <w:rPr>
                <w:sz w:val="21"/>
              </w:rPr>
            </w:pPr>
            <w:r>
              <w:rPr>
                <w:sz w:val="21"/>
              </w:rPr>
              <w:t>指因肝炎病毒感染引起肝脏组织弥漫性坏死，导致急性肝功能衰竭，且经血清学或病毒学检查证实，并须满足下列全部条件：</w:t>
            </w:r>
          </w:p>
          <w:p>
            <w:pPr>
              <w:pStyle w:val="TableParagraph"/>
              <w:spacing w:line="255" w:lineRule="exact" w:before="7"/>
              <w:ind w:left="228"/>
              <w:rPr>
                <w:sz w:val="21"/>
              </w:rPr>
            </w:pPr>
            <w:r>
              <w:rPr>
                <w:sz w:val="21"/>
              </w:rPr>
              <w:t>（1）重度黄疸或黄疸迅速加重；</w:t>
            </w:r>
          </w:p>
        </w:tc>
      </w:tr>
    </w:tbl>
    <w:p>
      <w:pPr>
        <w:spacing w:after="0" w:line="255" w:lineRule="exact"/>
        <w:rPr>
          <w:sz w:val="21"/>
        </w:rPr>
        <w:sectPr>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68"/>
        <w:gridCol w:w="7420"/>
      </w:tblGrid>
      <w:tr>
        <w:trPr>
          <w:trHeight w:val="976" w:hRule="atLeast"/>
        </w:trPr>
        <w:tc>
          <w:tcPr>
            <w:tcW w:w="989" w:type="dxa"/>
          </w:tcPr>
          <w:p>
            <w:pPr>
              <w:pStyle w:val="TableParagraph"/>
              <w:ind w:left="0"/>
              <w:rPr>
                <w:rFonts w:ascii="Times New Roman"/>
                <w:sz w:val="20"/>
              </w:rPr>
            </w:pPr>
          </w:p>
        </w:tc>
        <w:tc>
          <w:tcPr>
            <w:tcW w:w="1768" w:type="dxa"/>
          </w:tcPr>
          <w:p>
            <w:pPr>
              <w:pStyle w:val="TableParagraph"/>
              <w:ind w:left="0"/>
              <w:rPr>
                <w:rFonts w:ascii="Times New Roman"/>
                <w:sz w:val="20"/>
              </w:rPr>
            </w:pPr>
          </w:p>
        </w:tc>
        <w:tc>
          <w:tcPr>
            <w:tcW w:w="7420" w:type="dxa"/>
          </w:tcPr>
          <w:p>
            <w:pPr>
              <w:pStyle w:val="TableParagraph"/>
              <w:spacing w:line="211" w:lineRule="exact"/>
              <w:ind w:left="211"/>
              <w:rPr>
                <w:sz w:val="21"/>
              </w:rPr>
            </w:pPr>
            <w:r>
              <w:rPr>
                <w:sz w:val="21"/>
              </w:rPr>
              <w:t>（2）肝性脑病；</w:t>
            </w:r>
          </w:p>
          <w:p>
            <w:pPr>
              <w:pStyle w:val="TableParagraph"/>
              <w:spacing w:before="37"/>
              <w:ind w:left="211"/>
              <w:rPr>
                <w:sz w:val="21"/>
              </w:rPr>
            </w:pPr>
            <w:r>
              <w:rPr>
                <w:sz w:val="21"/>
              </w:rPr>
              <w:t>（3）B 超或其它影像学检查显示肝脏体积急速萎缩；</w:t>
            </w:r>
          </w:p>
          <w:p>
            <w:pPr>
              <w:pStyle w:val="TableParagraph"/>
              <w:spacing w:before="36"/>
              <w:ind w:left="211"/>
              <w:rPr>
                <w:sz w:val="21"/>
              </w:rPr>
            </w:pPr>
            <w:r>
              <w:rPr>
                <w:sz w:val="21"/>
              </w:rPr>
              <w:t>（4）肝功能指标进行性恶化。</w:t>
            </w:r>
          </w:p>
        </w:tc>
      </w:tr>
      <w:tr>
        <w:trPr>
          <w:trHeight w:val="2363" w:hRule="atLeast"/>
        </w:trPr>
        <w:tc>
          <w:tcPr>
            <w:tcW w:w="989" w:type="dxa"/>
          </w:tcPr>
          <w:p>
            <w:pPr>
              <w:pStyle w:val="TableParagraph"/>
              <w:spacing w:before="76"/>
              <w:ind w:left="200"/>
              <w:rPr>
                <w:b/>
                <w:sz w:val="21"/>
              </w:rPr>
            </w:pPr>
            <w:r>
              <w:rPr>
                <w:b/>
                <w:sz w:val="21"/>
              </w:rPr>
              <w:t>3.2.9</w:t>
            </w:r>
          </w:p>
        </w:tc>
        <w:tc>
          <w:tcPr>
            <w:tcW w:w="1768" w:type="dxa"/>
          </w:tcPr>
          <w:p>
            <w:pPr>
              <w:pStyle w:val="TableParagraph"/>
              <w:spacing w:before="76"/>
              <w:ind w:left="149"/>
              <w:rPr>
                <w:b/>
                <w:sz w:val="21"/>
              </w:rPr>
            </w:pPr>
            <w:r>
              <w:rPr>
                <w:b/>
                <w:sz w:val="21"/>
              </w:rPr>
              <w:t>良性脑肿瘤</w:t>
            </w:r>
          </w:p>
        </w:tc>
        <w:tc>
          <w:tcPr>
            <w:tcW w:w="7420" w:type="dxa"/>
          </w:tcPr>
          <w:p>
            <w:pPr>
              <w:pStyle w:val="TableParagraph"/>
              <w:spacing w:line="273" w:lineRule="auto" w:before="76"/>
              <w:ind w:left="105" w:right="103"/>
              <w:jc w:val="both"/>
              <w:rPr>
                <w:sz w:val="21"/>
              </w:rPr>
            </w:pPr>
            <w:r>
              <w:rPr>
                <w:spacing w:val="-3"/>
                <w:sz w:val="21"/>
              </w:rPr>
              <w:t>指脑的良性肿瘤，已经引起颅内压增高，临床表现为视神经乳头水肿、精神症</w:t>
            </w:r>
            <w:r>
              <w:rPr>
                <w:spacing w:val="-7"/>
                <w:w w:val="100"/>
                <w:sz w:val="21"/>
              </w:rPr>
              <w:t>状、癫痫及运动感觉障碍等，并危及生命。须由头颅断层扫描</w:t>
            </w:r>
            <w:r>
              <w:rPr>
                <w:w w:val="100"/>
                <w:sz w:val="21"/>
              </w:rPr>
              <w:t>（</w:t>
            </w:r>
            <w:r>
              <w:rPr>
                <w:spacing w:val="-3"/>
                <w:w w:val="100"/>
                <w:sz w:val="21"/>
              </w:rPr>
              <w:t>C</w:t>
            </w:r>
            <w:r>
              <w:rPr>
                <w:w w:val="100"/>
                <w:sz w:val="21"/>
              </w:rPr>
              <w:t>T</w:t>
            </w:r>
            <w:r>
              <w:rPr>
                <w:spacing w:val="-108"/>
                <w:w w:val="100"/>
                <w:sz w:val="21"/>
              </w:rPr>
              <w:t>）</w:t>
            </w:r>
            <w:r>
              <w:rPr>
                <w:spacing w:val="-4"/>
                <w:w w:val="100"/>
                <w:sz w:val="21"/>
              </w:rPr>
              <w:t>、核磁共振</w:t>
            </w:r>
            <w:r>
              <w:rPr>
                <w:spacing w:val="-4"/>
                <w:sz w:val="21"/>
              </w:rPr>
              <w:t>检查（MRI）</w:t>
            </w:r>
            <w:r>
              <w:rPr>
                <w:spacing w:val="-3"/>
                <w:sz w:val="21"/>
              </w:rPr>
              <w:t>或正电子发射断层扫描</w:t>
            </w:r>
            <w:r>
              <w:rPr>
                <w:sz w:val="21"/>
              </w:rPr>
              <w:t>（PET）</w:t>
            </w:r>
            <w:r>
              <w:rPr>
                <w:spacing w:val="-3"/>
                <w:sz w:val="21"/>
              </w:rPr>
              <w:t>等影像学检查证实，并须满足下列至少一项条件：</w:t>
            </w:r>
          </w:p>
          <w:p>
            <w:pPr>
              <w:pStyle w:val="TableParagraph"/>
              <w:spacing w:before="7"/>
              <w:ind w:left="211"/>
              <w:rPr>
                <w:sz w:val="21"/>
              </w:rPr>
            </w:pPr>
            <w:r>
              <w:rPr>
                <w:sz w:val="21"/>
              </w:rPr>
              <w:t>（1）实际实施了开颅进行的脑肿瘤完全切除或部分切除的手术；</w:t>
            </w:r>
          </w:p>
          <w:p>
            <w:pPr>
              <w:pStyle w:val="TableParagraph"/>
              <w:spacing w:before="37"/>
              <w:ind w:left="211"/>
              <w:rPr>
                <w:sz w:val="21"/>
              </w:rPr>
            </w:pPr>
            <w:r>
              <w:rPr>
                <w:sz w:val="21"/>
              </w:rPr>
              <w:t>（2）实际实施了对脑肿瘤进行的放射治疗。</w:t>
            </w:r>
          </w:p>
          <w:p>
            <w:pPr>
              <w:pStyle w:val="TableParagraph"/>
              <w:spacing w:before="37"/>
              <w:ind w:left="105"/>
              <w:jc w:val="both"/>
              <w:rPr>
                <w:rFonts w:ascii="黑体" w:eastAsia="黑体" w:hint="eastAsia"/>
                <w:b/>
                <w:sz w:val="21"/>
              </w:rPr>
            </w:pPr>
            <w:r>
              <w:rPr>
                <w:rFonts w:ascii="黑体" w:eastAsia="黑体" w:hint="eastAsia"/>
                <w:b/>
                <w:sz w:val="21"/>
              </w:rPr>
              <w:t>脑垂体瘤、脑囊肿、脑血管性疾病不在保障范围内。</w:t>
            </w:r>
          </w:p>
        </w:tc>
      </w:tr>
      <w:tr>
        <w:trPr>
          <w:trHeight w:val="2052" w:hRule="atLeast"/>
        </w:trPr>
        <w:tc>
          <w:tcPr>
            <w:tcW w:w="989" w:type="dxa"/>
          </w:tcPr>
          <w:p>
            <w:pPr>
              <w:pStyle w:val="TableParagraph"/>
              <w:spacing w:before="76"/>
              <w:ind w:left="200"/>
              <w:rPr>
                <w:b/>
                <w:sz w:val="21"/>
              </w:rPr>
            </w:pPr>
            <w:r>
              <w:rPr>
                <w:b/>
                <w:sz w:val="21"/>
              </w:rPr>
              <w:t>3.2.10</w:t>
            </w:r>
          </w:p>
        </w:tc>
        <w:tc>
          <w:tcPr>
            <w:tcW w:w="1768" w:type="dxa"/>
          </w:tcPr>
          <w:p>
            <w:pPr>
              <w:pStyle w:val="TableParagraph"/>
              <w:spacing w:line="273" w:lineRule="auto" w:before="76"/>
              <w:ind w:left="149" w:right="104"/>
              <w:rPr>
                <w:b/>
                <w:sz w:val="21"/>
              </w:rPr>
            </w:pPr>
            <w:r>
              <w:rPr>
                <w:b/>
                <w:sz w:val="21"/>
              </w:rPr>
              <w:t>慢性肝功能衰竭失代偿期</w:t>
            </w:r>
          </w:p>
        </w:tc>
        <w:tc>
          <w:tcPr>
            <w:tcW w:w="7420" w:type="dxa"/>
          </w:tcPr>
          <w:p>
            <w:pPr>
              <w:pStyle w:val="TableParagraph"/>
              <w:spacing w:before="76"/>
              <w:ind w:left="105"/>
              <w:rPr>
                <w:sz w:val="21"/>
              </w:rPr>
            </w:pPr>
            <w:r>
              <w:rPr>
                <w:sz w:val="21"/>
              </w:rPr>
              <w:t>指因慢性肝脏疾病导致肝功能衰竭,须满足下列全部条件：</w:t>
            </w:r>
          </w:p>
          <w:p>
            <w:pPr>
              <w:pStyle w:val="TableParagraph"/>
              <w:spacing w:before="36"/>
              <w:ind w:left="211"/>
              <w:rPr>
                <w:sz w:val="21"/>
              </w:rPr>
            </w:pPr>
            <w:r>
              <w:rPr>
                <w:sz w:val="21"/>
              </w:rPr>
              <w:t>（1）持续性黄疸；</w:t>
            </w:r>
          </w:p>
          <w:p>
            <w:pPr>
              <w:pStyle w:val="TableParagraph"/>
              <w:spacing w:before="37"/>
              <w:ind w:left="211"/>
              <w:rPr>
                <w:sz w:val="21"/>
              </w:rPr>
            </w:pPr>
            <w:r>
              <w:rPr>
                <w:sz w:val="21"/>
              </w:rPr>
              <w:t>（2）腹水；</w:t>
            </w:r>
          </w:p>
          <w:p>
            <w:pPr>
              <w:pStyle w:val="TableParagraph"/>
              <w:spacing w:before="37"/>
              <w:ind w:left="211"/>
              <w:rPr>
                <w:sz w:val="21"/>
              </w:rPr>
            </w:pPr>
            <w:r>
              <w:rPr>
                <w:sz w:val="21"/>
              </w:rPr>
              <w:t>（3）肝性脑病；</w:t>
            </w:r>
          </w:p>
          <w:p>
            <w:pPr>
              <w:pStyle w:val="TableParagraph"/>
              <w:spacing w:before="37"/>
              <w:ind w:left="211"/>
              <w:rPr>
                <w:sz w:val="21"/>
              </w:rPr>
            </w:pPr>
            <w:r>
              <w:rPr>
                <w:sz w:val="21"/>
              </w:rPr>
              <w:t>（4）充血性脾肿大伴脾功能亢进或食管胃底静脉曲张。</w:t>
            </w:r>
          </w:p>
          <w:p>
            <w:pPr>
              <w:pStyle w:val="TableParagraph"/>
              <w:spacing w:before="37"/>
              <w:ind w:left="105"/>
              <w:rPr>
                <w:rFonts w:ascii="黑体" w:eastAsia="黑体" w:hint="eastAsia"/>
                <w:b/>
                <w:sz w:val="21"/>
              </w:rPr>
            </w:pPr>
            <w:r>
              <w:rPr>
                <w:rFonts w:ascii="黑体" w:eastAsia="黑体" w:hint="eastAsia"/>
                <w:b/>
                <w:sz w:val="21"/>
              </w:rPr>
              <w:t>因酗酒或药物滥用导致的肝功能衰竭不在保障范围内。</w:t>
            </w:r>
          </w:p>
        </w:tc>
      </w:tr>
      <w:tr>
        <w:trPr>
          <w:trHeight w:val="2040" w:hRule="atLeast"/>
        </w:trPr>
        <w:tc>
          <w:tcPr>
            <w:tcW w:w="989" w:type="dxa"/>
          </w:tcPr>
          <w:p>
            <w:pPr>
              <w:pStyle w:val="TableParagraph"/>
              <w:spacing w:before="76"/>
              <w:ind w:left="200"/>
              <w:rPr>
                <w:b/>
                <w:sz w:val="21"/>
              </w:rPr>
            </w:pPr>
            <w:r>
              <w:rPr>
                <w:b/>
                <w:sz w:val="21"/>
              </w:rPr>
              <w:t>3.2.11</w:t>
            </w:r>
          </w:p>
        </w:tc>
        <w:tc>
          <w:tcPr>
            <w:tcW w:w="1768" w:type="dxa"/>
          </w:tcPr>
          <w:p>
            <w:pPr>
              <w:pStyle w:val="TableParagraph"/>
              <w:spacing w:line="273" w:lineRule="auto" w:before="76"/>
              <w:ind w:left="149" w:right="104"/>
              <w:rPr>
                <w:b/>
                <w:sz w:val="21"/>
              </w:rPr>
            </w:pPr>
            <w:r>
              <w:rPr>
                <w:b/>
                <w:sz w:val="21"/>
              </w:rPr>
              <w:t>脑炎后遗症或脑膜炎后遗症</w:t>
            </w:r>
          </w:p>
        </w:tc>
        <w:tc>
          <w:tcPr>
            <w:tcW w:w="7420" w:type="dxa"/>
          </w:tcPr>
          <w:p>
            <w:pPr>
              <w:pStyle w:val="TableParagraph"/>
              <w:spacing w:line="273" w:lineRule="auto" w:before="76"/>
              <w:ind w:left="105" w:right="166"/>
              <w:rPr>
                <w:sz w:val="21"/>
              </w:rPr>
            </w:pPr>
            <w:r>
              <w:rPr>
                <w:sz w:val="21"/>
              </w:rPr>
              <w:t>指因患脑炎或脑膜炎导致的神经系统永久性的功能障碍。神经系统永久性的功能障碍，指疾病确诊180 日后，仍遗留下列一种或一种以上障碍：</w:t>
            </w:r>
          </w:p>
          <w:p>
            <w:pPr>
              <w:pStyle w:val="TableParagraph"/>
              <w:spacing w:before="7"/>
              <w:ind w:left="211"/>
              <w:rPr>
                <w:sz w:val="21"/>
              </w:rPr>
            </w:pPr>
            <w:r>
              <w:rPr>
                <w:sz w:val="21"/>
              </w:rPr>
              <w:t>（1）一肢或一肢以上肢体机能完全丧失；</w:t>
            </w:r>
          </w:p>
          <w:p>
            <w:pPr>
              <w:pStyle w:val="TableParagraph"/>
              <w:spacing w:before="37"/>
              <w:ind w:left="211"/>
              <w:rPr>
                <w:sz w:val="21"/>
              </w:rPr>
            </w:pPr>
            <w:r>
              <w:rPr>
                <w:sz w:val="21"/>
              </w:rPr>
              <w:t>（2）语言能力或咀嚼吞咽能力完全丧失；</w:t>
            </w:r>
          </w:p>
          <w:p>
            <w:pPr>
              <w:pStyle w:val="TableParagraph"/>
              <w:spacing w:line="273" w:lineRule="auto" w:before="37"/>
              <w:ind w:left="736" w:right="166" w:hanging="526"/>
              <w:rPr>
                <w:sz w:val="21"/>
              </w:rPr>
            </w:pPr>
            <w:r>
              <w:rPr>
                <w:sz w:val="21"/>
              </w:rPr>
              <w:t>（3）自主生活能力完全丧失，无法独立完成六项基本日常生活活动中的三项或三项以上。</w:t>
            </w:r>
          </w:p>
        </w:tc>
      </w:tr>
      <w:tr>
        <w:trPr>
          <w:trHeight w:val="1440" w:hRule="atLeast"/>
        </w:trPr>
        <w:tc>
          <w:tcPr>
            <w:tcW w:w="989" w:type="dxa"/>
          </w:tcPr>
          <w:p>
            <w:pPr>
              <w:pStyle w:val="TableParagraph"/>
              <w:spacing w:before="88"/>
              <w:ind w:left="200"/>
              <w:rPr>
                <w:b/>
                <w:sz w:val="21"/>
              </w:rPr>
            </w:pPr>
            <w:r>
              <w:rPr>
                <w:b/>
                <w:sz w:val="21"/>
              </w:rPr>
              <w:t>3.2.12</w:t>
            </w:r>
          </w:p>
        </w:tc>
        <w:tc>
          <w:tcPr>
            <w:tcW w:w="1768" w:type="dxa"/>
          </w:tcPr>
          <w:p>
            <w:pPr>
              <w:pStyle w:val="TableParagraph"/>
              <w:spacing w:before="88"/>
              <w:ind w:left="149"/>
              <w:rPr>
                <w:b/>
                <w:sz w:val="21"/>
              </w:rPr>
            </w:pPr>
            <w:r>
              <w:rPr>
                <w:b/>
                <w:sz w:val="21"/>
              </w:rPr>
              <w:t>双耳失聪</w:t>
            </w:r>
          </w:p>
        </w:tc>
        <w:tc>
          <w:tcPr>
            <w:tcW w:w="7420" w:type="dxa"/>
          </w:tcPr>
          <w:p>
            <w:pPr>
              <w:pStyle w:val="TableParagraph"/>
              <w:spacing w:before="88"/>
              <w:ind w:left="105"/>
              <w:rPr>
                <w:sz w:val="21"/>
              </w:rPr>
            </w:pPr>
            <w:r>
              <w:rPr>
                <w:spacing w:val="-3"/>
                <w:sz w:val="21"/>
              </w:rPr>
              <w:t>指因疾病或意外伤害导致双耳听力</w:t>
            </w:r>
            <w:r>
              <w:rPr>
                <w:b/>
                <w:sz w:val="21"/>
              </w:rPr>
              <w:t>永久不可逆</w:t>
            </w:r>
            <w:r>
              <w:rPr>
                <w:b/>
                <w:position w:val="11"/>
                <w:sz w:val="11"/>
              </w:rPr>
              <w:t>［12.22］</w:t>
            </w:r>
            <w:r>
              <w:rPr>
                <w:spacing w:val="-10"/>
                <w:sz w:val="21"/>
              </w:rPr>
              <w:t>性丧失，在 </w:t>
            </w:r>
            <w:r>
              <w:rPr>
                <w:sz w:val="21"/>
              </w:rPr>
              <w:t>500</w:t>
            </w:r>
            <w:r>
              <w:rPr>
                <w:spacing w:val="-15"/>
                <w:sz w:val="21"/>
              </w:rPr>
              <w:t> 赫兹、</w:t>
            </w:r>
            <w:r>
              <w:rPr>
                <w:sz w:val="21"/>
              </w:rPr>
              <w:t>1000</w:t>
            </w:r>
          </w:p>
          <w:p>
            <w:pPr>
              <w:pStyle w:val="TableParagraph"/>
              <w:spacing w:line="273" w:lineRule="auto" w:before="37"/>
              <w:ind w:left="105" w:right="101"/>
              <w:rPr>
                <w:sz w:val="21"/>
              </w:rPr>
            </w:pPr>
            <w:r>
              <w:rPr>
                <w:spacing w:val="-14"/>
                <w:sz w:val="21"/>
              </w:rPr>
              <w:t>赫兹和 </w:t>
            </w:r>
            <w:r>
              <w:rPr>
                <w:sz w:val="21"/>
              </w:rPr>
              <w:t>2000</w:t>
            </w:r>
            <w:r>
              <w:rPr>
                <w:spacing w:val="-7"/>
                <w:sz w:val="21"/>
              </w:rPr>
              <w:t> 赫兹语音频率下，平均听阈大于 </w:t>
            </w:r>
            <w:r>
              <w:rPr>
                <w:sz w:val="21"/>
              </w:rPr>
              <w:t>90</w:t>
            </w:r>
            <w:r>
              <w:rPr>
                <w:spacing w:val="-5"/>
                <w:sz w:val="21"/>
              </w:rPr>
              <w:t> 分贝，且经纯音听力测试、声</w:t>
            </w:r>
            <w:r>
              <w:rPr>
                <w:spacing w:val="-4"/>
                <w:sz w:val="21"/>
              </w:rPr>
              <w:t>导抗检测或听觉诱发电位检测等证实。</w:t>
            </w:r>
          </w:p>
          <w:p>
            <w:pPr>
              <w:pStyle w:val="TableParagraph"/>
              <w:spacing w:before="7"/>
              <w:ind w:left="105"/>
              <w:rPr>
                <w:rFonts w:ascii="黑体" w:eastAsia="黑体" w:hint="eastAsia"/>
                <w:b/>
                <w:sz w:val="21"/>
              </w:rPr>
            </w:pPr>
            <w:r>
              <w:rPr>
                <w:rFonts w:ascii="黑体" w:eastAsia="黑体" w:hint="eastAsia"/>
                <w:b/>
                <w:sz w:val="21"/>
              </w:rPr>
              <w:t>被保险人在 0 至 3 周岁保单周年日期间双耳失聪不在保障范围内。</w:t>
            </w:r>
          </w:p>
        </w:tc>
      </w:tr>
      <w:tr>
        <w:trPr>
          <w:trHeight w:val="2363" w:hRule="atLeast"/>
        </w:trPr>
        <w:tc>
          <w:tcPr>
            <w:tcW w:w="989" w:type="dxa"/>
          </w:tcPr>
          <w:p>
            <w:pPr>
              <w:pStyle w:val="TableParagraph"/>
              <w:spacing w:before="76"/>
              <w:ind w:left="200"/>
              <w:rPr>
                <w:b/>
                <w:sz w:val="21"/>
              </w:rPr>
            </w:pPr>
            <w:r>
              <w:rPr>
                <w:b/>
                <w:sz w:val="21"/>
              </w:rPr>
              <w:t>3.2.13</w:t>
            </w:r>
          </w:p>
        </w:tc>
        <w:tc>
          <w:tcPr>
            <w:tcW w:w="1768" w:type="dxa"/>
          </w:tcPr>
          <w:p>
            <w:pPr>
              <w:pStyle w:val="TableParagraph"/>
              <w:spacing w:before="76"/>
              <w:ind w:left="149"/>
              <w:rPr>
                <w:b/>
                <w:sz w:val="21"/>
              </w:rPr>
            </w:pPr>
            <w:r>
              <w:rPr>
                <w:b/>
                <w:sz w:val="21"/>
              </w:rPr>
              <w:t>双目失明</w:t>
            </w:r>
          </w:p>
        </w:tc>
        <w:tc>
          <w:tcPr>
            <w:tcW w:w="7420" w:type="dxa"/>
          </w:tcPr>
          <w:p>
            <w:pPr>
              <w:pStyle w:val="TableParagraph"/>
              <w:spacing w:line="273" w:lineRule="auto" w:before="76"/>
              <w:ind w:left="105" w:right="167"/>
              <w:rPr>
                <w:sz w:val="21"/>
              </w:rPr>
            </w:pPr>
            <w:r>
              <w:rPr>
                <w:sz w:val="21"/>
              </w:rPr>
              <w:t>指因疾病或意外伤害导致双眼视力永久不可逆性丧失，双眼中较好眼须满足下列至少一项条件：</w:t>
            </w:r>
          </w:p>
          <w:p>
            <w:pPr>
              <w:pStyle w:val="TableParagraph"/>
              <w:spacing w:before="7"/>
              <w:ind w:left="211"/>
              <w:rPr>
                <w:sz w:val="21"/>
              </w:rPr>
            </w:pPr>
            <w:r>
              <w:rPr>
                <w:sz w:val="21"/>
              </w:rPr>
              <w:t>（1）眼球缺失或摘除；</w:t>
            </w:r>
          </w:p>
          <w:p>
            <w:pPr>
              <w:pStyle w:val="TableParagraph"/>
              <w:spacing w:line="273" w:lineRule="auto" w:before="37"/>
              <w:ind w:left="736" w:right="114" w:hanging="526"/>
              <w:rPr>
                <w:sz w:val="21"/>
              </w:rPr>
            </w:pPr>
            <w:r>
              <w:rPr>
                <w:sz w:val="21"/>
              </w:rPr>
              <w:t>（2）</w:t>
            </w:r>
            <w:r>
              <w:rPr>
                <w:spacing w:val="-7"/>
                <w:sz w:val="21"/>
              </w:rPr>
              <w:t>矫正视力低于 </w:t>
            </w:r>
            <w:r>
              <w:rPr>
                <w:sz w:val="21"/>
              </w:rPr>
              <w:t>0.02（</w:t>
            </w:r>
            <w:r>
              <w:rPr>
                <w:spacing w:val="-3"/>
                <w:sz w:val="21"/>
              </w:rPr>
              <w:t>采用国际标准视力表，如果使用其它视力表应进行</w:t>
            </w:r>
            <w:r>
              <w:rPr>
                <w:spacing w:val="-3"/>
                <w:w w:val="100"/>
                <w:sz w:val="21"/>
              </w:rPr>
              <w:t>换算</w:t>
            </w:r>
            <w:r>
              <w:rPr>
                <w:spacing w:val="-108"/>
                <w:w w:val="100"/>
                <w:sz w:val="21"/>
              </w:rPr>
              <w:t>）</w:t>
            </w:r>
            <w:r>
              <w:rPr>
                <w:w w:val="100"/>
                <w:sz w:val="21"/>
              </w:rPr>
              <w:t>；</w:t>
            </w:r>
          </w:p>
          <w:p>
            <w:pPr>
              <w:pStyle w:val="TableParagraph"/>
              <w:spacing w:before="7"/>
              <w:ind w:left="211"/>
              <w:rPr>
                <w:sz w:val="21"/>
              </w:rPr>
            </w:pPr>
            <w:r>
              <w:rPr>
                <w:sz w:val="21"/>
              </w:rPr>
              <w:t>（3）视野半径小于 5 度。</w:t>
            </w:r>
          </w:p>
          <w:p>
            <w:pPr>
              <w:pStyle w:val="TableParagraph"/>
              <w:spacing w:before="36"/>
              <w:ind w:left="105"/>
              <w:rPr>
                <w:rFonts w:ascii="黑体" w:eastAsia="黑体" w:hint="eastAsia"/>
                <w:b/>
                <w:sz w:val="21"/>
              </w:rPr>
            </w:pPr>
            <w:r>
              <w:rPr>
                <w:rFonts w:ascii="黑体" w:eastAsia="黑体" w:hint="eastAsia"/>
                <w:b/>
                <w:sz w:val="21"/>
              </w:rPr>
              <w:t>被保险人在 0 至 3 周岁保单周年日期间双目失明不在保障范围内。</w:t>
            </w:r>
          </w:p>
        </w:tc>
      </w:tr>
      <w:tr>
        <w:trPr>
          <w:trHeight w:val="1116" w:hRule="atLeast"/>
        </w:trPr>
        <w:tc>
          <w:tcPr>
            <w:tcW w:w="989" w:type="dxa"/>
          </w:tcPr>
          <w:p>
            <w:pPr>
              <w:pStyle w:val="TableParagraph"/>
              <w:spacing w:before="76"/>
              <w:ind w:left="200"/>
              <w:rPr>
                <w:b/>
                <w:sz w:val="21"/>
              </w:rPr>
            </w:pPr>
            <w:r>
              <w:rPr>
                <w:b/>
                <w:sz w:val="21"/>
              </w:rPr>
              <w:t>3.2.14</w:t>
            </w:r>
          </w:p>
        </w:tc>
        <w:tc>
          <w:tcPr>
            <w:tcW w:w="1768" w:type="dxa"/>
          </w:tcPr>
          <w:p>
            <w:pPr>
              <w:pStyle w:val="TableParagraph"/>
              <w:spacing w:before="76"/>
              <w:ind w:left="149"/>
              <w:rPr>
                <w:b/>
                <w:sz w:val="21"/>
              </w:rPr>
            </w:pPr>
            <w:r>
              <w:rPr>
                <w:b/>
                <w:sz w:val="21"/>
              </w:rPr>
              <w:t>瘫痪</w:t>
            </w:r>
          </w:p>
        </w:tc>
        <w:tc>
          <w:tcPr>
            <w:tcW w:w="7420" w:type="dxa"/>
          </w:tcPr>
          <w:p>
            <w:pPr>
              <w:pStyle w:val="TableParagraph"/>
              <w:spacing w:line="273" w:lineRule="auto" w:before="76"/>
              <w:ind w:left="105" w:right="101"/>
              <w:rPr>
                <w:sz w:val="21"/>
              </w:rPr>
            </w:pPr>
            <w:r>
              <w:rPr>
                <w:spacing w:val="-4"/>
                <w:sz w:val="21"/>
              </w:rPr>
              <w:t>指因疾病或意外伤害导致两肢或两肢以上肢体机能永久完全丧失。肢体机能永</w:t>
            </w:r>
            <w:r>
              <w:rPr>
                <w:spacing w:val="-9"/>
                <w:sz w:val="21"/>
              </w:rPr>
              <w:t>久完全丧失，指疾病确诊 </w:t>
            </w:r>
            <w:r>
              <w:rPr>
                <w:sz w:val="21"/>
              </w:rPr>
              <w:t>180</w:t>
            </w:r>
            <w:r>
              <w:rPr>
                <w:spacing w:val="-7"/>
                <w:sz w:val="21"/>
              </w:rPr>
              <w:t> 日后或意外伤害发生 </w:t>
            </w:r>
            <w:r>
              <w:rPr>
                <w:sz w:val="21"/>
              </w:rPr>
              <w:t>180</w:t>
            </w:r>
            <w:r>
              <w:rPr>
                <w:spacing w:val="-9"/>
                <w:sz w:val="21"/>
              </w:rPr>
              <w:t> 日后，每肢三大关节中</w:t>
            </w:r>
            <w:r>
              <w:rPr>
                <w:spacing w:val="-5"/>
                <w:sz w:val="21"/>
              </w:rPr>
              <w:t>的两大关节仍然完全僵硬，或不能随意识活动。</w:t>
            </w:r>
          </w:p>
        </w:tc>
      </w:tr>
      <w:tr>
        <w:trPr>
          <w:trHeight w:val="581" w:hRule="atLeast"/>
        </w:trPr>
        <w:tc>
          <w:tcPr>
            <w:tcW w:w="989" w:type="dxa"/>
          </w:tcPr>
          <w:p>
            <w:pPr>
              <w:pStyle w:val="TableParagraph"/>
              <w:spacing w:before="76"/>
              <w:ind w:left="200"/>
              <w:rPr>
                <w:b/>
                <w:sz w:val="21"/>
              </w:rPr>
            </w:pPr>
            <w:r>
              <w:rPr>
                <w:b/>
                <w:sz w:val="21"/>
              </w:rPr>
              <w:t>3.2.15</w:t>
            </w:r>
          </w:p>
        </w:tc>
        <w:tc>
          <w:tcPr>
            <w:tcW w:w="1768" w:type="dxa"/>
          </w:tcPr>
          <w:p>
            <w:pPr>
              <w:pStyle w:val="TableParagraph"/>
              <w:spacing w:before="76"/>
              <w:ind w:left="149"/>
              <w:rPr>
                <w:b/>
                <w:sz w:val="21"/>
              </w:rPr>
            </w:pPr>
            <w:r>
              <w:rPr>
                <w:b/>
                <w:sz w:val="21"/>
              </w:rPr>
              <w:t>心脏瓣膜手术</w:t>
            </w:r>
          </w:p>
        </w:tc>
        <w:tc>
          <w:tcPr>
            <w:tcW w:w="7420" w:type="dxa"/>
          </w:tcPr>
          <w:p>
            <w:pPr>
              <w:pStyle w:val="TableParagraph"/>
              <w:spacing w:before="76"/>
              <w:ind w:left="105"/>
              <w:rPr>
                <w:sz w:val="21"/>
              </w:rPr>
            </w:pPr>
            <w:r>
              <w:rPr>
                <w:sz w:val="21"/>
              </w:rPr>
              <w:t>指为治疗心脏瓣膜疾病，实际实施了开胸进行的心脏瓣膜置换或修复的手术。</w:t>
            </w:r>
          </w:p>
        </w:tc>
      </w:tr>
      <w:tr>
        <w:trPr>
          <w:trHeight w:val="936" w:hRule="atLeast"/>
        </w:trPr>
        <w:tc>
          <w:tcPr>
            <w:tcW w:w="989" w:type="dxa"/>
          </w:tcPr>
          <w:p>
            <w:pPr>
              <w:pStyle w:val="TableParagraph"/>
              <w:spacing w:line="262" w:lineRule="exact"/>
              <w:ind w:left="200"/>
              <w:rPr>
                <w:b/>
                <w:sz w:val="21"/>
              </w:rPr>
            </w:pPr>
            <w:r>
              <w:rPr>
                <w:b/>
                <w:sz w:val="21"/>
              </w:rPr>
              <w:t>3.2.16</w:t>
            </w:r>
          </w:p>
        </w:tc>
        <w:tc>
          <w:tcPr>
            <w:tcW w:w="1768" w:type="dxa"/>
          </w:tcPr>
          <w:p>
            <w:pPr>
              <w:pStyle w:val="TableParagraph"/>
              <w:spacing w:line="218" w:lineRule="auto"/>
              <w:ind w:left="149" w:right="137"/>
              <w:rPr>
                <w:b/>
                <w:sz w:val="21"/>
              </w:rPr>
            </w:pPr>
            <w:r>
              <w:rPr>
                <w:b/>
                <w:sz w:val="21"/>
              </w:rPr>
              <w:t>严重阿尔茨海默病</w:t>
            </w:r>
          </w:p>
        </w:tc>
        <w:tc>
          <w:tcPr>
            <w:tcW w:w="7420" w:type="dxa"/>
            <w:tcBorders>
              <w:right w:val="single" w:sz="4" w:space="0" w:color="FFFFFF"/>
            </w:tcBorders>
          </w:tcPr>
          <w:p>
            <w:pPr>
              <w:pStyle w:val="TableParagraph"/>
              <w:spacing w:line="273" w:lineRule="auto"/>
              <w:ind w:left="105" w:right="-15"/>
              <w:rPr>
                <w:sz w:val="21"/>
              </w:rPr>
            </w:pPr>
            <w:r>
              <w:rPr>
                <w:spacing w:val="-3"/>
                <w:sz w:val="21"/>
              </w:rPr>
              <w:t>指因大脑进行性、不可逆性改变导致智能严重衰退或丧失，临床表现为明显的 </w:t>
            </w:r>
            <w:r>
              <w:rPr>
                <w:spacing w:val="-7"/>
                <w:sz w:val="21"/>
              </w:rPr>
              <w:t>认知能力障碍、行为异常和社交能力减退，其日常生活必须持续受到他人监护。</w:t>
            </w:r>
            <w:r>
              <w:rPr>
                <w:spacing w:val="-5"/>
                <w:w w:val="100"/>
                <w:sz w:val="21"/>
              </w:rPr>
              <w:t>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MRI)</w:t>
            </w:r>
            <w:r>
              <w:rPr>
                <w:spacing w:val="-2"/>
                <w:sz w:val="21"/>
              </w:rPr>
              <w:t> </w:t>
            </w:r>
            <w:r>
              <w:rPr>
                <w:spacing w:val="-3"/>
                <w:w w:val="100"/>
                <w:sz w:val="21"/>
              </w:rPr>
              <w:t>或正电子发射断层扫描（</w:t>
            </w:r>
            <w:r>
              <w:rPr>
                <w:w w:val="100"/>
                <w:sz w:val="21"/>
              </w:rPr>
              <w:t>PE</w:t>
            </w:r>
            <w:r>
              <w:rPr>
                <w:spacing w:val="-3"/>
                <w:w w:val="100"/>
                <w:sz w:val="21"/>
              </w:rPr>
              <w:t>T</w:t>
            </w:r>
            <w:r>
              <w:rPr>
                <w:w w:val="100"/>
                <w:sz w:val="21"/>
              </w:rPr>
              <w:t>）</w:t>
            </w:r>
          </w:p>
        </w:tc>
      </w:tr>
    </w:tbl>
    <w:p>
      <w:pPr>
        <w:spacing w:after="0" w:line="273" w:lineRule="auto"/>
        <w:rPr>
          <w:sz w:val="21"/>
        </w:rPr>
        <w:sectPr>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51"/>
        <w:gridCol w:w="7635"/>
      </w:tblGrid>
      <w:tr>
        <w:trPr>
          <w:trHeight w:val="976" w:hRule="atLeast"/>
        </w:trPr>
        <w:tc>
          <w:tcPr>
            <w:tcW w:w="989" w:type="dxa"/>
          </w:tcPr>
          <w:p>
            <w:pPr>
              <w:pStyle w:val="TableParagraph"/>
              <w:ind w:left="0"/>
              <w:rPr>
                <w:rFonts w:ascii="Times New Roman"/>
                <w:sz w:val="20"/>
              </w:rPr>
            </w:pPr>
          </w:p>
        </w:tc>
        <w:tc>
          <w:tcPr>
            <w:tcW w:w="1751" w:type="dxa"/>
          </w:tcPr>
          <w:p>
            <w:pPr>
              <w:pStyle w:val="TableParagraph"/>
              <w:ind w:left="0"/>
              <w:rPr>
                <w:rFonts w:ascii="Times New Roman"/>
                <w:sz w:val="20"/>
              </w:rPr>
            </w:pPr>
          </w:p>
        </w:tc>
        <w:tc>
          <w:tcPr>
            <w:tcW w:w="7635" w:type="dxa"/>
          </w:tcPr>
          <w:p>
            <w:pPr>
              <w:pStyle w:val="TableParagraph"/>
              <w:spacing w:line="211" w:lineRule="exact"/>
              <w:rPr>
                <w:sz w:val="21"/>
              </w:rPr>
            </w:pPr>
            <w:r>
              <w:rPr>
                <w:sz w:val="21"/>
              </w:rPr>
              <w:t>等影像学检查证实，且自主生活能力完全丧失，无法独立完成六项基本日常生</w:t>
            </w:r>
          </w:p>
          <w:p>
            <w:pPr>
              <w:pStyle w:val="TableParagraph"/>
              <w:spacing w:before="37"/>
              <w:rPr>
                <w:sz w:val="21"/>
              </w:rPr>
            </w:pPr>
            <w:r>
              <w:rPr>
                <w:sz w:val="21"/>
              </w:rPr>
              <w:t>活活动中的三项或三项以上。</w:t>
            </w:r>
          </w:p>
          <w:p>
            <w:pPr>
              <w:pStyle w:val="TableParagraph"/>
              <w:spacing w:before="36"/>
              <w:rPr>
                <w:rFonts w:ascii="黑体" w:eastAsia="黑体" w:hint="eastAsia"/>
                <w:b/>
                <w:sz w:val="21"/>
              </w:rPr>
            </w:pPr>
            <w:r>
              <w:rPr>
                <w:rFonts w:ascii="黑体" w:eastAsia="黑体" w:hint="eastAsia"/>
                <w:b/>
                <w:sz w:val="21"/>
              </w:rPr>
              <w:t>神经官能症和精神疾病不在保障范围内。</w:t>
            </w:r>
          </w:p>
        </w:tc>
      </w:tr>
      <w:tr>
        <w:trPr>
          <w:trHeight w:val="2675" w:hRule="atLeast"/>
        </w:trPr>
        <w:tc>
          <w:tcPr>
            <w:tcW w:w="989" w:type="dxa"/>
          </w:tcPr>
          <w:p>
            <w:pPr>
              <w:pStyle w:val="TableParagraph"/>
              <w:spacing w:before="76"/>
              <w:ind w:left="179" w:right="132"/>
              <w:jc w:val="center"/>
              <w:rPr>
                <w:b/>
                <w:sz w:val="21"/>
              </w:rPr>
            </w:pPr>
            <w:r>
              <w:rPr>
                <w:b/>
                <w:sz w:val="21"/>
              </w:rPr>
              <w:t>3.2.17</w:t>
            </w:r>
          </w:p>
        </w:tc>
        <w:tc>
          <w:tcPr>
            <w:tcW w:w="1751" w:type="dxa"/>
          </w:tcPr>
          <w:p>
            <w:pPr>
              <w:pStyle w:val="TableParagraph"/>
              <w:spacing w:before="76"/>
              <w:ind w:left="149"/>
              <w:rPr>
                <w:b/>
                <w:sz w:val="21"/>
              </w:rPr>
            </w:pPr>
            <w:r>
              <w:rPr>
                <w:b/>
                <w:sz w:val="21"/>
              </w:rPr>
              <w:t>严重脑损伤</w:t>
            </w:r>
          </w:p>
        </w:tc>
        <w:tc>
          <w:tcPr>
            <w:tcW w:w="7635" w:type="dxa"/>
          </w:tcPr>
          <w:p>
            <w:pPr>
              <w:pStyle w:val="TableParagraph"/>
              <w:spacing w:line="273" w:lineRule="auto" w:before="76"/>
              <w:ind w:right="365"/>
              <w:rPr>
                <w:sz w:val="21"/>
              </w:rPr>
            </w:pPr>
            <w:r>
              <w:rPr>
                <w:sz w:val="21"/>
              </w:rPr>
              <w:t>指因头部遭受机械性外力，引起脑重要部位损伤，导致神经系统永久性的功能障碍。须由头颅断层扫描（CT）、核磁共振检查（MRI)或正电子发射断层扫描</w:t>
            </w:r>
          </w:p>
          <w:p>
            <w:pPr>
              <w:pStyle w:val="TableParagraph"/>
              <w:spacing w:line="273" w:lineRule="auto" w:before="7"/>
              <w:ind w:right="143"/>
              <w:rPr>
                <w:sz w:val="21"/>
              </w:rPr>
            </w:pPr>
            <w:r>
              <w:rPr>
                <w:sz w:val="21"/>
              </w:rPr>
              <w:t>（PET）等影像学检查证实。神经系统永久性的功能障碍，指脑损伤 180 日后， 仍遗留下列一种或一种以上障碍：</w:t>
            </w:r>
          </w:p>
          <w:p>
            <w:pPr>
              <w:pStyle w:val="TableParagraph"/>
              <w:spacing w:before="7"/>
              <w:rPr>
                <w:sz w:val="21"/>
              </w:rPr>
            </w:pPr>
            <w:r>
              <w:rPr>
                <w:sz w:val="21"/>
              </w:rPr>
              <w:t>（1）一肢或一肢以上肢体机能完全丧失；</w:t>
            </w:r>
          </w:p>
          <w:p>
            <w:pPr>
              <w:pStyle w:val="TableParagraph"/>
              <w:spacing w:before="36"/>
              <w:rPr>
                <w:sz w:val="21"/>
              </w:rPr>
            </w:pPr>
            <w:r>
              <w:rPr>
                <w:sz w:val="21"/>
              </w:rPr>
              <w:t>（2）语言能力或咀嚼吞咽能力完全丧失；</w:t>
            </w:r>
          </w:p>
          <w:p>
            <w:pPr>
              <w:pStyle w:val="TableParagraph"/>
              <w:spacing w:line="273" w:lineRule="auto" w:before="36"/>
              <w:ind w:left="648" w:right="257" w:hanging="527"/>
              <w:rPr>
                <w:sz w:val="21"/>
              </w:rPr>
            </w:pPr>
            <w:r>
              <w:rPr>
                <w:sz w:val="21"/>
              </w:rPr>
              <w:t>（3）自主生活能力完全丧失，无法独立完成六项基本日常生活活动中的三项或三项以上。</w:t>
            </w:r>
          </w:p>
        </w:tc>
      </w:tr>
      <w:tr>
        <w:trPr>
          <w:trHeight w:val="2045" w:hRule="atLeast"/>
        </w:trPr>
        <w:tc>
          <w:tcPr>
            <w:tcW w:w="989" w:type="dxa"/>
          </w:tcPr>
          <w:p>
            <w:pPr>
              <w:pStyle w:val="TableParagraph"/>
              <w:spacing w:before="76"/>
              <w:ind w:left="179" w:right="132"/>
              <w:jc w:val="center"/>
              <w:rPr>
                <w:b/>
                <w:sz w:val="21"/>
              </w:rPr>
            </w:pPr>
            <w:r>
              <w:rPr>
                <w:b/>
                <w:sz w:val="21"/>
              </w:rPr>
              <w:t>3.2.18</w:t>
            </w:r>
          </w:p>
        </w:tc>
        <w:tc>
          <w:tcPr>
            <w:tcW w:w="1751" w:type="dxa"/>
          </w:tcPr>
          <w:p>
            <w:pPr>
              <w:pStyle w:val="TableParagraph"/>
              <w:spacing w:before="76"/>
              <w:ind w:left="149"/>
              <w:rPr>
                <w:b/>
                <w:sz w:val="21"/>
              </w:rPr>
            </w:pPr>
            <w:r>
              <w:rPr>
                <w:b/>
                <w:sz w:val="21"/>
              </w:rPr>
              <w:t>严重帕金森病</w:t>
            </w:r>
          </w:p>
        </w:tc>
        <w:tc>
          <w:tcPr>
            <w:tcW w:w="7635" w:type="dxa"/>
          </w:tcPr>
          <w:p>
            <w:pPr>
              <w:pStyle w:val="TableParagraph"/>
              <w:spacing w:line="273" w:lineRule="auto" w:before="93"/>
              <w:ind w:right="236"/>
              <w:rPr>
                <w:sz w:val="21"/>
              </w:rPr>
            </w:pPr>
            <w:r>
              <w:rPr>
                <w:spacing w:val="-7"/>
                <w:sz w:val="21"/>
              </w:rPr>
              <w:t>是一种中枢神经系统的退行性疾病，临床表现为震颤麻痹、共济失调等。须满足</w:t>
            </w:r>
            <w:r>
              <w:rPr>
                <w:spacing w:val="-5"/>
                <w:sz w:val="21"/>
              </w:rPr>
              <w:t>下列全部条件：</w:t>
            </w:r>
          </w:p>
          <w:p>
            <w:pPr>
              <w:pStyle w:val="TableParagraph"/>
              <w:spacing w:before="7"/>
              <w:rPr>
                <w:sz w:val="21"/>
              </w:rPr>
            </w:pPr>
            <w:r>
              <w:rPr>
                <w:sz w:val="21"/>
              </w:rPr>
              <w:t>（1）药物治疗无法控制病情；</w:t>
            </w:r>
          </w:p>
          <w:p>
            <w:pPr>
              <w:pStyle w:val="TableParagraph"/>
              <w:spacing w:line="273" w:lineRule="auto" w:before="39"/>
              <w:ind w:left="648" w:right="470" w:hanging="527"/>
              <w:rPr>
                <w:sz w:val="21"/>
              </w:rPr>
            </w:pPr>
            <w:r>
              <w:rPr>
                <w:sz w:val="21"/>
              </w:rPr>
              <w:t>（2）自主生活能力完全丧失，无法独立完成六项基本日常生活活动中的三项或三项以上。</w:t>
            </w:r>
          </w:p>
          <w:p>
            <w:pPr>
              <w:pStyle w:val="TableParagraph"/>
              <w:spacing w:line="256" w:lineRule="exact"/>
              <w:rPr>
                <w:rFonts w:ascii="黑体" w:eastAsia="黑体" w:hint="eastAsia"/>
                <w:b/>
                <w:sz w:val="21"/>
              </w:rPr>
            </w:pPr>
            <w:r>
              <w:rPr>
                <w:rFonts w:ascii="黑体" w:eastAsia="黑体" w:hint="eastAsia"/>
                <w:b/>
                <w:sz w:val="21"/>
              </w:rPr>
              <w:t>继发性帕金森综合症不在保障范围内。</w:t>
            </w:r>
          </w:p>
        </w:tc>
      </w:tr>
      <w:tr>
        <w:trPr>
          <w:trHeight w:val="803" w:hRule="atLeast"/>
        </w:trPr>
        <w:tc>
          <w:tcPr>
            <w:tcW w:w="989" w:type="dxa"/>
          </w:tcPr>
          <w:p>
            <w:pPr>
              <w:pStyle w:val="TableParagraph"/>
              <w:spacing w:before="76"/>
              <w:ind w:left="180" w:right="131"/>
              <w:jc w:val="center"/>
              <w:rPr>
                <w:b/>
                <w:sz w:val="21"/>
              </w:rPr>
            </w:pPr>
            <w:r>
              <w:rPr>
                <w:b/>
                <w:sz w:val="21"/>
              </w:rPr>
              <w:t>3.2.19</w:t>
            </w:r>
          </w:p>
        </w:tc>
        <w:tc>
          <w:tcPr>
            <w:tcW w:w="1751" w:type="dxa"/>
          </w:tcPr>
          <w:p>
            <w:pPr>
              <w:pStyle w:val="TableParagraph"/>
              <w:spacing w:before="76"/>
              <w:ind w:left="149"/>
              <w:rPr>
                <w:b/>
                <w:sz w:val="21"/>
              </w:rPr>
            </w:pPr>
            <w:r>
              <w:rPr>
                <w:b/>
                <w:sz w:val="21"/>
              </w:rPr>
              <w:t>严重Ⅲ度烧伤</w:t>
            </w:r>
          </w:p>
        </w:tc>
        <w:tc>
          <w:tcPr>
            <w:tcW w:w="7635" w:type="dxa"/>
          </w:tcPr>
          <w:p>
            <w:pPr>
              <w:pStyle w:val="TableParagraph"/>
              <w:spacing w:line="273" w:lineRule="auto" w:before="76"/>
              <w:ind w:right="299"/>
              <w:rPr>
                <w:sz w:val="21"/>
              </w:rPr>
            </w:pPr>
            <w:r>
              <w:rPr>
                <w:spacing w:val="-7"/>
                <w:sz w:val="21"/>
              </w:rPr>
              <w:t>指烧伤程度为Ⅲ度，且Ⅲ度烧伤面积达到全身体表面积的 </w:t>
            </w:r>
            <w:r>
              <w:rPr>
                <w:sz w:val="21"/>
              </w:rPr>
              <w:t>20</w:t>
            </w:r>
            <w:r>
              <w:rPr>
                <w:spacing w:val="-15"/>
                <w:sz w:val="21"/>
              </w:rPr>
              <w:t>％或 </w:t>
            </w:r>
            <w:r>
              <w:rPr>
                <w:sz w:val="21"/>
              </w:rPr>
              <w:t>20</w:t>
            </w:r>
            <w:r>
              <w:rPr>
                <w:spacing w:val="-11"/>
                <w:sz w:val="21"/>
              </w:rPr>
              <w:t>％以上。体</w:t>
            </w:r>
            <w:r>
              <w:rPr>
                <w:spacing w:val="-6"/>
                <w:sz w:val="21"/>
              </w:rPr>
              <w:t>表面积根据《中国新九分法》计算。</w:t>
            </w:r>
          </w:p>
        </w:tc>
      </w:tr>
      <w:tr>
        <w:trPr>
          <w:trHeight w:val="1116" w:hRule="atLeast"/>
        </w:trPr>
        <w:tc>
          <w:tcPr>
            <w:tcW w:w="989" w:type="dxa"/>
          </w:tcPr>
          <w:p>
            <w:pPr>
              <w:pStyle w:val="TableParagraph"/>
              <w:spacing w:before="76"/>
              <w:ind w:left="179" w:right="132"/>
              <w:jc w:val="center"/>
              <w:rPr>
                <w:b/>
                <w:sz w:val="21"/>
              </w:rPr>
            </w:pPr>
            <w:r>
              <w:rPr>
                <w:b/>
                <w:sz w:val="21"/>
              </w:rPr>
              <w:t>3.2.20</w:t>
            </w:r>
          </w:p>
        </w:tc>
        <w:tc>
          <w:tcPr>
            <w:tcW w:w="1751" w:type="dxa"/>
          </w:tcPr>
          <w:p>
            <w:pPr>
              <w:pStyle w:val="TableParagraph"/>
              <w:spacing w:line="273" w:lineRule="auto" w:before="76"/>
              <w:ind w:left="149" w:right="120"/>
              <w:rPr>
                <w:b/>
                <w:sz w:val="21"/>
              </w:rPr>
            </w:pPr>
            <w:r>
              <w:rPr>
                <w:b/>
                <w:sz w:val="21"/>
              </w:rPr>
              <w:t>严重原发性肺动脉高压</w:t>
            </w:r>
          </w:p>
        </w:tc>
        <w:tc>
          <w:tcPr>
            <w:tcW w:w="7635" w:type="dxa"/>
          </w:tcPr>
          <w:p>
            <w:pPr>
              <w:pStyle w:val="TableParagraph"/>
              <w:spacing w:line="273" w:lineRule="auto" w:before="76"/>
              <w:ind w:right="364"/>
              <w:jc w:val="both"/>
              <w:rPr>
                <w:sz w:val="21"/>
              </w:rPr>
            </w:pPr>
            <w:r>
              <w:rPr>
                <w:sz w:val="21"/>
              </w:rPr>
              <w:t>指不明原因的肺动脉压力持续性增高，进行性发展而导致的慢性疾病，已经造成永久不可逆性的体力活动能力受限，达到美国纽约心脏病学会心功能状态分级 IV 级，且静息状态下肺动脉平均压超过 30mmHg。</w:t>
            </w:r>
          </w:p>
        </w:tc>
      </w:tr>
      <w:tr>
        <w:trPr>
          <w:trHeight w:val="1428" w:hRule="atLeast"/>
        </w:trPr>
        <w:tc>
          <w:tcPr>
            <w:tcW w:w="989" w:type="dxa"/>
          </w:tcPr>
          <w:p>
            <w:pPr>
              <w:pStyle w:val="TableParagraph"/>
              <w:spacing w:before="76"/>
              <w:ind w:left="179" w:right="132"/>
              <w:jc w:val="center"/>
              <w:rPr>
                <w:b/>
                <w:sz w:val="21"/>
              </w:rPr>
            </w:pPr>
            <w:r>
              <w:rPr>
                <w:b/>
                <w:sz w:val="21"/>
              </w:rPr>
              <w:t>3.2.21</w:t>
            </w:r>
          </w:p>
        </w:tc>
        <w:tc>
          <w:tcPr>
            <w:tcW w:w="1751" w:type="dxa"/>
          </w:tcPr>
          <w:p>
            <w:pPr>
              <w:pStyle w:val="TableParagraph"/>
              <w:spacing w:line="273" w:lineRule="auto" w:before="76"/>
              <w:ind w:left="149" w:right="120"/>
              <w:rPr>
                <w:b/>
                <w:sz w:val="21"/>
              </w:rPr>
            </w:pPr>
            <w:r>
              <w:rPr>
                <w:b/>
                <w:sz w:val="21"/>
              </w:rPr>
              <w:t>严重运动神经元病</w:t>
            </w:r>
          </w:p>
        </w:tc>
        <w:tc>
          <w:tcPr>
            <w:tcW w:w="7635" w:type="dxa"/>
          </w:tcPr>
          <w:p>
            <w:pPr>
              <w:pStyle w:val="TableParagraph"/>
              <w:spacing w:line="273" w:lineRule="auto" w:before="76"/>
              <w:ind w:right="365"/>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427" w:hRule="atLeast"/>
        </w:trPr>
        <w:tc>
          <w:tcPr>
            <w:tcW w:w="989" w:type="dxa"/>
          </w:tcPr>
          <w:p>
            <w:pPr>
              <w:pStyle w:val="TableParagraph"/>
              <w:spacing w:before="76"/>
              <w:ind w:left="179" w:right="132"/>
              <w:jc w:val="center"/>
              <w:rPr>
                <w:b/>
                <w:sz w:val="21"/>
              </w:rPr>
            </w:pPr>
            <w:r>
              <w:rPr>
                <w:b/>
                <w:sz w:val="21"/>
              </w:rPr>
              <w:t>3.2.22</w:t>
            </w:r>
          </w:p>
        </w:tc>
        <w:tc>
          <w:tcPr>
            <w:tcW w:w="1751" w:type="dxa"/>
          </w:tcPr>
          <w:p>
            <w:pPr>
              <w:pStyle w:val="TableParagraph"/>
              <w:spacing w:before="76"/>
              <w:ind w:left="149"/>
              <w:rPr>
                <w:b/>
                <w:sz w:val="21"/>
              </w:rPr>
            </w:pPr>
            <w:r>
              <w:rPr>
                <w:b/>
                <w:sz w:val="21"/>
              </w:rPr>
              <w:t>语言能力丧失</w:t>
            </w:r>
          </w:p>
        </w:tc>
        <w:tc>
          <w:tcPr>
            <w:tcW w:w="7635" w:type="dxa"/>
          </w:tcPr>
          <w:p>
            <w:pPr>
              <w:pStyle w:val="TableParagraph"/>
              <w:spacing w:line="273" w:lineRule="auto" w:before="76"/>
              <w:ind w:right="299"/>
              <w:rPr>
                <w:sz w:val="21"/>
              </w:rPr>
            </w:pPr>
            <w:r>
              <w:rPr>
                <w:spacing w:val="-6"/>
                <w:sz w:val="21"/>
              </w:rPr>
              <w:t>指因疾病或意外伤害导致完全丧失语言能力，经过积极治疗至少 </w:t>
            </w:r>
            <w:r>
              <w:rPr>
                <w:sz w:val="21"/>
              </w:rPr>
              <w:t>12</w:t>
            </w:r>
            <w:r>
              <w:rPr>
                <w:spacing w:val="-20"/>
                <w:sz w:val="21"/>
              </w:rPr>
              <w:t> 个月</w:t>
            </w:r>
            <w:r>
              <w:rPr>
                <w:spacing w:val="-3"/>
                <w:sz w:val="21"/>
              </w:rPr>
              <w:t>（</w:t>
            </w:r>
            <w:r>
              <w:rPr>
                <w:spacing w:val="-2"/>
                <w:sz w:val="21"/>
              </w:rPr>
              <w:t>声带</w:t>
            </w:r>
            <w:r>
              <w:rPr>
                <w:spacing w:val="-3"/>
                <w:sz w:val="21"/>
              </w:rPr>
              <w:t>完全切除不受此时间限制</w:t>
            </w:r>
            <w:r>
              <w:rPr>
                <w:sz w:val="21"/>
              </w:rPr>
              <w:t>），</w:t>
            </w:r>
            <w:r>
              <w:rPr>
                <w:spacing w:val="-3"/>
                <w:sz w:val="21"/>
              </w:rPr>
              <w:t>仍无法通过现有医疗手段恢复。</w:t>
            </w:r>
          </w:p>
          <w:p>
            <w:pPr>
              <w:pStyle w:val="TableParagraph"/>
              <w:spacing w:before="7"/>
              <w:rPr>
                <w:rFonts w:ascii="黑体" w:eastAsia="黑体" w:hint="eastAsia"/>
                <w:b/>
                <w:sz w:val="21"/>
              </w:rPr>
            </w:pPr>
            <w:r>
              <w:rPr>
                <w:rFonts w:ascii="黑体" w:eastAsia="黑体" w:hint="eastAsia"/>
                <w:b/>
                <w:sz w:val="21"/>
              </w:rPr>
              <w:t>精神心理因素所致的语言能力丧失不在保障范围内。</w:t>
            </w:r>
          </w:p>
          <w:p>
            <w:pPr>
              <w:pStyle w:val="TableParagraph"/>
              <w:spacing w:before="37"/>
              <w:rPr>
                <w:rFonts w:ascii="黑体" w:eastAsia="黑体" w:hint="eastAsia"/>
                <w:b/>
                <w:sz w:val="21"/>
              </w:rPr>
            </w:pPr>
            <w:r>
              <w:rPr>
                <w:rFonts w:ascii="黑体" w:eastAsia="黑体" w:hint="eastAsia"/>
                <w:b/>
                <w:sz w:val="21"/>
              </w:rPr>
              <w:t>被保险人在 0 至 3 周岁保单周年日期间语言能力丧失不在保障范围内。</w:t>
            </w:r>
          </w:p>
        </w:tc>
      </w:tr>
      <w:tr>
        <w:trPr>
          <w:trHeight w:val="2381" w:hRule="atLeast"/>
        </w:trPr>
        <w:tc>
          <w:tcPr>
            <w:tcW w:w="989" w:type="dxa"/>
          </w:tcPr>
          <w:p>
            <w:pPr>
              <w:pStyle w:val="TableParagraph"/>
              <w:spacing w:before="76"/>
              <w:ind w:left="179" w:right="132"/>
              <w:jc w:val="center"/>
              <w:rPr>
                <w:b/>
                <w:sz w:val="21"/>
              </w:rPr>
            </w:pPr>
            <w:r>
              <w:rPr>
                <w:b/>
                <w:sz w:val="21"/>
              </w:rPr>
              <w:t>3.2.23</w:t>
            </w:r>
          </w:p>
        </w:tc>
        <w:tc>
          <w:tcPr>
            <w:tcW w:w="1751" w:type="dxa"/>
          </w:tcPr>
          <w:p>
            <w:pPr>
              <w:pStyle w:val="TableParagraph"/>
              <w:spacing w:line="273" w:lineRule="auto" w:before="76"/>
              <w:ind w:left="149" w:right="120"/>
              <w:rPr>
                <w:b/>
                <w:sz w:val="21"/>
              </w:rPr>
            </w:pPr>
            <w:r>
              <w:rPr>
                <w:b/>
                <w:sz w:val="21"/>
              </w:rPr>
              <w:t>重型再生障碍性贫血</w:t>
            </w:r>
          </w:p>
        </w:tc>
        <w:tc>
          <w:tcPr>
            <w:tcW w:w="7635" w:type="dxa"/>
          </w:tcPr>
          <w:p>
            <w:pPr>
              <w:pStyle w:val="TableParagraph"/>
              <w:spacing w:line="273" w:lineRule="auto" w:before="96"/>
              <w:ind w:right="490"/>
              <w:rPr>
                <w:sz w:val="21"/>
              </w:rPr>
            </w:pPr>
            <w:r>
              <w:rPr>
                <w:sz w:val="21"/>
              </w:rPr>
              <w:t>指因骨髓造血功能慢性持续性衰竭导致的贫血、中性粒细胞减少及血小板减少。须满足下列全部条件：</w:t>
            </w:r>
          </w:p>
          <w:p>
            <w:pPr>
              <w:pStyle w:val="TableParagraph"/>
              <w:spacing w:before="10"/>
              <w:rPr>
                <w:sz w:val="21"/>
              </w:rPr>
            </w:pPr>
            <w:r>
              <w:rPr>
                <w:sz w:val="21"/>
              </w:rPr>
              <w:t>（1）骨髓穿刺检查或骨髓活检结果支持诊断；</w:t>
            </w:r>
          </w:p>
          <w:p>
            <w:pPr>
              <w:pStyle w:val="TableParagraph"/>
              <w:spacing w:before="40"/>
              <w:rPr>
                <w:sz w:val="21"/>
              </w:rPr>
            </w:pPr>
            <w:r>
              <w:rPr>
                <w:sz w:val="21"/>
              </w:rPr>
              <w:t>（2）外周血象须具备以下三项条件：</w:t>
            </w:r>
          </w:p>
          <w:p>
            <w:pPr>
              <w:pStyle w:val="TableParagraph"/>
              <w:tabs>
                <w:tab w:pos="650" w:val="left" w:leader="none"/>
              </w:tabs>
              <w:spacing w:before="39"/>
              <w:ind w:left="228"/>
              <w:rPr>
                <w:sz w:val="21"/>
              </w:rPr>
            </w:pPr>
            <w:r>
              <w:rPr>
                <w:sz w:val="21"/>
              </w:rPr>
              <w:t>①</w:t>
              <w:tab/>
            </w:r>
            <w:r>
              <w:rPr>
                <w:spacing w:val="-3"/>
                <w:sz w:val="21"/>
              </w:rPr>
              <w:t>中性粒细胞绝对值</w:t>
            </w:r>
            <w:r>
              <w:rPr>
                <w:sz w:val="21"/>
              </w:rPr>
              <w:t>≤0.5×10</w:t>
            </w:r>
            <w:r>
              <w:rPr>
                <w:position w:val="11"/>
                <w:sz w:val="11"/>
              </w:rPr>
              <w:t>9</w:t>
            </w:r>
            <w:r>
              <w:rPr>
                <w:sz w:val="21"/>
              </w:rPr>
              <w:t>/L</w:t>
            </w:r>
            <w:r>
              <w:rPr>
                <w:spacing w:val="2"/>
                <w:sz w:val="21"/>
              </w:rPr>
              <w:t> ；</w:t>
            </w:r>
          </w:p>
          <w:p>
            <w:pPr>
              <w:pStyle w:val="TableParagraph"/>
              <w:tabs>
                <w:tab w:pos="650" w:val="left" w:leader="none"/>
              </w:tabs>
              <w:spacing w:before="39"/>
              <w:ind w:left="228"/>
              <w:rPr>
                <w:sz w:val="21"/>
              </w:rPr>
            </w:pPr>
            <w:r>
              <w:rPr>
                <w:sz w:val="21"/>
              </w:rPr>
              <w:t>②</w:t>
              <w:tab/>
            </w:r>
            <w:r>
              <w:rPr>
                <w:spacing w:val="-3"/>
                <w:sz w:val="21"/>
              </w:rPr>
              <w:t>网织红细胞＜</w:t>
            </w:r>
            <w:r>
              <w:rPr>
                <w:spacing w:val="-1"/>
                <w:sz w:val="21"/>
              </w:rPr>
              <w:t>1%；</w:t>
            </w:r>
          </w:p>
          <w:p>
            <w:pPr>
              <w:pStyle w:val="TableParagraph"/>
              <w:tabs>
                <w:tab w:pos="650" w:val="left" w:leader="none"/>
              </w:tabs>
              <w:spacing w:before="23"/>
              <w:ind w:left="228"/>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994" w:hRule="atLeast"/>
        </w:trPr>
        <w:tc>
          <w:tcPr>
            <w:tcW w:w="989" w:type="dxa"/>
          </w:tcPr>
          <w:p>
            <w:pPr>
              <w:pStyle w:val="TableParagraph"/>
              <w:spacing w:before="76"/>
              <w:ind w:left="179" w:right="132"/>
              <w:jc w:val="center"/>
              <w:rPr>
                <w:b/>
                <w:sz w:val="21"/>
              </w:rPr>
            </w:pPr>
            <w:r>
              <w:rPr>
                <w:b/>
                <w:sz w:val="21"/>
              </w:rPr>
              <w:t>3.2.24</w:t>
            </w:r>
          </w:p>
        </w:tc>
        <w:tc>
          <w:tcPr>
            <w:tcW w:w="1751" w:type="dxa"/>
          </w:tcPr>
          <w:p>
            <w:pPr>
              <w:pStyle w:val="TableParagraph"/>
              <w:spacing w:before="76"/>
              <w:ind w:left="149"/>
              <w:rPr>
                <w:b/>
                <w:sz w:val="21"/>
              </w:rPr>
            </w:pPr>
            <w:r>
              <w:rPr>
                <w:b/>
                <w:sz w:val="21"/>
              </w:rPr>
              <w:t>主动脉手术</w:t>
            </w:r>
          </w:p>
        </w:tc>
        <w:tc>
          <w:tcPr>
            <w:tcW w:w="7635" w:type="dxa"/>
          </w:tcPr>
          <w:p>
            <w:pPr>
              <w:pStyle w:val="TableParagraph"/>
              <w:spacing w:line="310" w:lineRule="atLeast" w:before="60"/>
              <w:ind w:right="49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tc>
      </w:tr>
    </w:tbl>
    <w:p>
      <w:pPr>
        <w:spacing w:after="0" w:line="310" w:lineRule="atLeast"/>
        <w:jc w:val="both"/>
        <w:rPr>
          <w:sz w:val="21"/>
        </w:rPr>
        <w:sectPr>
          <w:pgSz w:w="11910" w:h="16840"/>
          <w:pgMar w:header="566" w:footer="664" w:top="1000" w:bottom="860" w:left="820" w:right="4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9"/>
        <w:gridCol w:w="1751"/>
        <w:gridCol w:w="7437"/>
      </w:tblGrid>
      <w:tr>
        <w:trPr>
          <w:trHeight w:val="351" w:hRule="atLeast"/>
        </w:trPr>
        <w:tc>
          <w:tcPr>
            <w:tcW w:w="989" w:type="dxa"/>
          </w:tcPr>
          <w:p>
            <w:pPr>
              <w:pStyle w:val="TableParagraph"/>
              <w:ind w:left="0"/>
              <w:rPr>
                <w:rFonts w:ascii="Times New Roman"/>
                <w:sz w:val="20"/>
              </w:rPr>
            </w:pPr>
          </w:p>
        </w:tc>
        <w:tc>
          <w:tcPr>
            <w:tcW w:w="1751" w:type="dxa"/>
          </w:tcPr>
          <w:p>
            <w:pPr>
              <w:pStyle w:val="TableParagraph"/>
              <w:ind w:left="0"/>
              <w:rPr>
                <w:rFonts w:ascii="Times New Roman"/>
                <w:sz w:val="20"/>
              </w:rPr>
            </w:pPr>
          </w:p>
        </w:tc>
        <w:tc>
          <w:tcPr>
            <w:tcW w:w="7437" w:type="dxa"/>
          </w:tcPr>
          <w:p>
            <w:pPr>
              <w:pStyle w:val="TableParagraph"/>
              <w:spacing w:line="211" w:lineRule="exact"/>
              <w:rPr>
                <w:rFonts w:ascii="黑体" w:eastAsia="黑体" w:hint="eastAsia"/>
                <w:b/>
                <w:sz w:val="21"/>
              </w:rPr>
            </w:pPr>
            <w:r>
              <w:rPr>
                <w:rFonts w:ascii="黑体" w:eastAsia="黑体" w:hint="eastAsia"/>
                <w:b/>
                <w:sz w:val="21"/>
              </w:rPr>
              <w:t>动脉内血管成形术不在保障范围内。</w:t>
            </w:r>
          </w:p>
        </w:tc>
      </w:tr>
      <w:tr>
        <w:trPr>
          <w:trHeight w:val="1517" w:hRule="atLeast"/>
        </w:trPr>
        <w:tc>
          <w:tcPr>
            <w:tcW w:w="989" w:type="dxa"/>
          </w:tcPr>
          <w:p>
            <w:pPr>
              <w:pStyle w:val="TableParagraph"/>
              <w:spacing w:before="77"/>
              <w:ind w:left="179" w:right="132"/>
              <w:jc w:val="center"/>
              <w:rPr>
                <w:b/>
                <w:sz w:val="21"/>
              </w:rPr>
            </w:pPr>
            <w:r>
              <w:rPr>
                <w:b/>
                <w:sz w:val="21"/>
              </w:rPr>
              <w:t>3.2.25</w:t>
            </w:r>
          </w:p>
        </w:tc>
        <w:tc>
          <w:tcPr>
            <w:tcW w:w="1751" w:type="dxa"/>
          </w:tcPr>
          <w:p>
            <w:pPr>
              <w:pStyle w:val="TableParagraph"/>
              <w:spacing w:line="273" w:lineRule="auto" w:before="77"/>
              <w:ind w:left="149" w:right="120"/>
              <w:rPr>
                <w:b/>
                <w:sz w:val="21"/>
              </w:rPr>
            </w:pPr>
            <w:r>
              <w:rPr>
                <w:b/>
                <w:sz w:val="21"/>
              </w:rPr>
              <w:t>严重多发性硬化症</w:t>
            </w:r>
          </w:p>
        </w:tc>
        <w:tc>
          <w:tcPr>
            <w:tcW w:w="7437" w:type="dxa"/>
          </w:tcPr>
          <w:p>
            <w:pPr>
              <w:pStyle w:val="TableParagraph"/>
              <w:spacing w:line="273" w:lineRule="auto" w:before="77"/>
              <w:ind w:right="101"/>
              <w:jc w:val="both"/>
              <w:rPr>
                <w:sz w:val="21"/>
              </w:rPr>
            </w:pPr>
            <w:r>
              <w:rPr>
                <w:spacing w:val="-3"/>
                <w:sz w:val="21"/>
              </w:rPr>
              <w:t>指因中枢神经系统脱髓鞘所致的不可逆的神经系统功能障碍，须由计算机断层</w:t>
            </w:r>
            <w:r>
              <w:rPr>
                <w:spacing w:val="-6"/>
                <w:w w:val="100"/>
                <w:sz w:val="21"/>
              </w:rPr>
              <w:t>扫描</w:t>
            </w:r>
            <w:r>
              <w:rPr>
                <w:w w:val="100"/>
                <w:sz w:val="21"/>
              </w:rPr>
              <w:t>（</w:t>
            </w:r>
            <w:r>
              <w:rPr>
                <w:spacing w:val="-3"/>
                <w:w w:val="100"/>
                <w:sz w:val="21"/>
              </w:rPr>
              <w:t>C</w:t>
            </w:r>
            <w:r>
              <w:rPr>
                <w:w w:val="100"/>
                <w:sz w:val="21"/>
              </w:rPr>
              <w:t>T</w:t>
            </w:r>
            <w:r>
              <w:rPr>
                <w:spacing w:val="-106"/>
                <w:w w:val="100"/>
                <w:sz w:val="21"/>
              </w:rPr>
              <w:t>）</w:t>
            </w:r>
            <w:r>
              <w:rPr>
                <w:spacing w:val="-5"/>
                <w:w w:val="100"/>
                <w:sz w:val="21"/>
              </w:rPr>
              <w:t>、核磁共振检查</w:t>
            </w:r>
            <w:r>
              <w:rPr>
                <w:w w:val="100"/>
                <w:sz w:val="21"/>
              </w:rPr>
              <w:t>（MRI</w:t>
            </w:r>
            <w:r>
              <w:rPr>
                <w:spacing w:val="-8"/>
                <w:w w:val="100"/>
                <w:sz w:val="21"/>
              </w:rPr>
              <w:t>）</w:t>
            </w:r>
            <w:r>
              <w:rPr>
                <w:spacing w:val="-4"/>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spacing w:val="-8"/>
                <w:w w:val="100"/>
                <w:sz w:val="21"/>
              </w:rPr>
              <w:t>）</w:t>
            </w:r>
            <w:r>
              <w:rPr>
                <w:spacing w:val="-3"/>
                <w:w w:val="100"/>
                <w:sz w:val="21"/>
              </w:rPr>
              <w:t>等影像学检查</w:t>
            </w:r>
            <w:r>
              <w:rPr>
                <w:spacing w:val="-3"/>
                <w:sz w:val="21"/>
              </w:rPr>
              <w:t>证实，且已经造成自主生活能力完全丧失，无法独立完成六项基本日常生活活</w:t>
            </w:r>
            <w:r>
              <w:rPr>
                <w:spacing w:val="-6"/>
                <w:sz w:val="21"/>
              </w:rPr>
              <w:t>动中的三项或三项以上，持续至少 </w:t>
            </w:r>
            <w:r>
              <w:rPr>
                <w:sz w:val="21"/>
              </w:rPr>
              <w:t>180</w:t>
            </w:r>
            <w:r>
              <w:rPr>
                <w:spacing w:val="2"/>
                <w:sz w:val="21"/>
              </w:rPr>
              <w:t> 日。</w:t>
            </w:r>
          </w:p>
        </w:tc>
      </w:tr>
      <w:tr>
        <w:trPr>
          <w:trHeight w:val="1247" w:hRule="atLeast"/>
        </w:trPr>
        <w:tc>
          <w:tcPr>
            <w:tcW w:w="989" w:type="dxa"/>
          </w:tcPr>
          <w:p>
            <w:pPr>
              <w:pStyle w:val="TableParagraph"/>
              <w:spacing w:line="262" w:lineRule="exact"/>
              <w:ind w:left="179" w:right="132"/>
              <w:jc w:val="center"/>
              <w:rPr>
                <w:b/>
                <w:sz w:val="21"/>
              </w:rPr>
            </w:pPr>
            <w:r>
              <w:rPr>
                <w:b/>
                <w:sz w:val="21"/>
              </w:rPr>
              <w:t>3.2.26</w:t>
            </w:r>
          </w:p>
        </w:tc>
        <w:tc>
          <w:tcPr>
            <w:tcW w:w="1751" w:type="dxa"/>
          </w:tcPr>
          <w:p>
            <w:pPr>
              <w:pStyle w:val="TableParagraph"/>
              <w:spacing w:line="273" w:lineRule="auto"/>
              <w:ind w:left="149" w:right="120"/>
              <w:rPr>
                <w:b/>
                <w:sz w:val="21"/>
              </w:rPr>
            </w:pPr>
            <w:r>
              <w:rPr>
                <w:b/>
                <w:sz w:val="21"/>
              </w:rPr>
              <w:t>严重原发性心肌病</w:t>
            </w:r>
          </w:p>
        </w:tc>
        <w:tc>
          <w:tcPr>
            <w:tcW w:w="7437" w:type="dxa"/>
            <w:tcBorders>
              <w:right w:val="single" w:sz="4" w:space="0" w:color="FFFFFF"/>
            </w:tcBorders>
          </w:tcPr>
          <w:p>
            <w:pPr>
              <w:pStyle w:val="TableParagraph"/>
              <w:spacing w:line="273" w:lineRule="auto"/>
              <w:ind w:right="-15"/>
              <w:rPr>
                <w:sz w:val="21"/>
              </w:rPr>
            </w:pPr>
            <w:r>
              <w:rPr>
                <w:spacing w:val="-3"/>
                <w:sz w:val="21"/>
              </w:rPr>
              <w:t>指一组不明原因所致的心肌病变，包括原发性扩张型心肌病、原发性肥厚型心 </w:t>
            </w:r>
            <w:r>
              <w:rPr>
                <w:spacing w:val="-6"/>
                <w:sz w:val="21"/>
              </w:rPr>
              <w:t>肌病及原发性限制型心肌病三种，已经造成永久不可逆性的体力活动能力受限， </w:t>
            </w:r>
            <w:r>
              <w:rPr>
                <w:spacing w:val="-4"/>
                <w:sz w:val="21"/>
              </w:rPr>
              <w:t>达到美国纽约心脏病学会心功能状态分级</w:t>
            </w:r>
            <w:r>
              <w:rPr>
                <w:sz w:val="21"/>
              </w:rPr>
              <w:t>IV</w:t>
            </w:r>
            <w:r>
              <w:rPr>
                <w:spacing w:val="-1"/>
                <w:sz w:val="21"/>
              </w:rPr>
              <w:t> 级，且持续至少</w:t>
            </w:r>
            <w:r>
              <w:rPr>
                <w:sz w:val="21"/>
              </w:rPr>
              <w:t>90</w:t>
            </w:r>
            <w:r>
              <w:rPr>
                <w:spacing w:val="2"/>
                <w:sz w:val="21"/>
              </w:rPr>
              <w:t> 日。</w:t>
            </w:r>
          </w:p>
          <w:p>
            <w:pPr>
              <w:pStyle w:val="TableParagraph"/>
              <w:spacing w:before="20"/>
              <w:rPr>
                <w:rFonts w:ascii="黑体" w:eastAsia="黑体" w:hint="eastAsia"/>
                <w:b/>
                <w:sz w:val="21"/>
              </w:rPr>
            </w:pPr>
            <w:r>
              <w:rPr>
                <w:rFonts w:ascii="黑体" w:eastAsia="黑体" w:hint="eastAsia"/>
                <w:b/>
                <w:sz w:val="21"/>
              </w:rPr>
              <w:t>继发性的心肌病变不在保障范围内。</w:t>
            </w:r>
          </w:p>
        </w:tc>
      </w:tr>
      <w:tr>
        <w:trPr>
          <w:trHeight w:val="1519" w:hRule="atLeast"/>
        </w:trPr>
        <w:tc>
          <w:tcPr>
            <w:tcW w:w="989" w:type="dxa"/>
          </w:tcPr>
          <w:p>
            <w:pPr>
              <w:pStyle w:val="TableParagraph"/>
              <w:spacing w:before="167"/>
              <w:ind w:left="179" w:right="132"/>
              <w:jc w:val="center"/>
              <w:rPr>
                <w:b/>
                <w:sz w:val="21"/>
              </w:rPr>
            </w:pPr>
            <w:r>
              <w:rPr>
                <w:b/>
                <w:sz w:val="21"/>
              </w:rPr>
              <w:t>3.2.27</w:t>
            </w:r>
          </w:p>
        </w:tc>
        <w:tc>
          <w:tcPr>
            <w:tcW w:w="1751" w:type="dxa"/>
          </w:tcPr>
          <w:p>
            <w:pPr>
              <w:pStyle w:val="TableParagraph"/>
              <w:spacing w:before="167"/>
              <w:ind w:left="149"/>
              <w:rPr>
                <w:b/>
                <w:sz w:val="21"/>
              </w:rPr>
            </w:pPr>
            <w:r>
              <w:rPr>
                <w:b/>
                <w:sz w:val="21"/>
              </w:rPr>
              <w:t>严重冠心病</w:t>
            </w:r>
          </w:p>
        </w:tc>
        <w:tc>
          <w:tcPr>
            <w:tcW w:w="7437" w:type="dxa"/>
          </w:tcPr>
          <w:p>
            <w:pPr>
              <w:pStyle w:val="TableParagraph"/>
              <w:spacing w:line="273" w:lineRule="auto" w:before="167"/>
              <w:ind w:right="102"/>
              <w:jc w:val="both"/>
              <w:rPr>
                <w:sz w:val="21"/>
              </w:rPr>
            </w:pPr>
            <w:r>
              <w:rPr>
                <w:spacing w:val="-3"/>
                <w:sz w:val="21"/>
              </w:rPr>
              <w:t>指经心脏科专科医师根据冠状动脉造影检查结果确诊的三支主要血管（</w:t>
            </w:r>
            <w:r>
              <w:rPr>
                <w:spacing w:val="-2"/>
                <w:sz w:val="21"/>
              </w:rPr>
              <w:t>左冠状</w:t>
            </w:r>
            <w:r>
              <w:rPr>
                <w:spacing w:val="-9"/>
                <w:sz w:val="21"/>
              </w:rPr>
              <w:t>动脉主干和右冠状动脉，或前降支、左旋支和右冠状动脉</w:t>
            </w:r>
            <w:r>
              <w:rPr>
                <w:spacing w:val="-36"/>
                <w:sz w:val="21"/>
              </w:rPr>
              <w:t>）</w:t>
            </w:r>
            <w:r>
              <w:rPr>
                <w:spacing w:val="-9"/>
                <w:sz w:val="21"/>
              </w:rPr>
              <w:t>严重狭窄性病变</w:t>
            </w:r>
            <w:r>
              <w:rPr>
                <w:spacing w:val="-3"/>
                <w:sz w:val="21"/>
              </w:rPr>
              <w:t>（</w:t>
            </w:r>
            <w:r>
              <w:rPr>
                <w:sz w:val="21"/>
              </w:rPr>
              <w:t>至</w:t>
            </w:r>
            <w:r>
              <w:rPr>
                <w:spacing w:val="-7"/>
                <w:sz w:val="21"/>
              </w:rPr>
              <w:t>少一支血管管腔直径减少 </w:t>
            </w:r>
            <w:r>
              <w:rPr>
                <w:sz w:val="21"/>
              </w:rPr>
              <w:t>75％</w:t>
            </w:r>
            <w:r>
              <w:rPr>
                <w:spacing w:val="-6"/>
                <w:sz w:val="21"/>
              </w:rPr>
              <w:t>以上和其他两支血管管腔直径减少 </w:t>
            </w:r>
            <w:r>
              <w:rPr>
                <w:sz w:val="21"/>
              </w:rPr>
              <w:t>60％以上</w:t>
            </w:r>
            <w:r>
              <w:rPr>
                <w:spacing w:val="-108"/>
                <w:sz w:val="21"/>
              </w:rPr>
              <w:t>）</w:t>
            </w:r>
            <w:r>
              <w:rPr>
                <w:sz w:val="21"/>
              </w:rPr>
              <w:t>。</w:t>
            </w:r>
            <w:r>
              <w:rPr>
                <w:spacing w:val="-3"/>
                <w:sz w:val="21"/>
              </w:rPr>
              <w:t>前降支、左旋支及右冠状动脉的分支血管的狭窄不作为本保障的衡量指标。</w:t>
            </w:r>
          </w:p>
        </w:tc>
      </w:tr>
      <w:tr>
        <w:trPr>
          <w:trHeight w:val="2141" w:hRule="atLeast"/>
        </w:trPr>
        <w:tc>
          <w:tcPr>
            <w:tcW w:w="989" w:type="dxa"/>
          </w:tcPr>
          <w:p>
            <w:pPr>
              <w:pStyle w:val="TableParagraph"/>
              <w:spacing w:before="76"/>
              <w:ind w:left="180" w:right="131"/>
              <w:jc w:val="center"/>
              <w:rPr>
                <w:b/>
                <w:sz w:val="21"/>
              </w:rPr>
            </w:pPr>
            <w:r>
              <w:rPr>
                <w:b/>
                <w:sz w:val="21"/>
              </w:rPr>
              <w:t>3.2.28</w:t>
            </w:r>
          </w:p>
        </w:tc>
        <w:tc>
          <w:tcPr>
            <w:tcW w:w="1751" w:type="dxa"/>
          </w:tcPr>
          <w:p>
            <w:pPr>
              <w:pStyle w:val="TableParagraph"/>
              <w:spacing w:line="273" w:lineRule="auto" w:before="76"/>
              <w:ind w:left="149" w:right="120"/>
              <w:rPr>
                <w:b/>
                <w:sz w:val="21"/>
              </w:rPr>
            </w:pPr>
            <w:r>
              <w:rPr>
                <w:b/>
                <w:sz w:val="21"/>
              </w:rPr>
              <w:t>慢性呼吸功能衰竭终末期肺病</w:t>
            </w:r>
          </w:p>
        </w:tc>
        <w:tc>
          <w:tcPr>
            <w:tcW w:w="7437" w:type="dxa"/>
          </w:tcPr>
          <w:p>
            <w:pPr>
              <w:pStyle w:val="TableParagraph"/>
              <w:spacing w:before="76"/>
              <w:rPr>
                <w:sz w:val="21"/>
              </w:rPr>
            </w:pPr>
            <w:r>
              <w:rPr>
                <w:sz w:val="21"/>
              </w:rPr>
              <w:t>指因慢性呼吸系统疾病导致呼吸功能衰竭，并须满足下列全部条件：</w:t>
            </w:r>
          </w:p>
          <w:p>
            <w:pPr>
              <w:pStyle w:val="TableParagraph"/>
              <w:spacing w:before="36"/>
              <w:rPr>
                <w:sz w:val="21"/>
              </w:rPr>
            </w:pPr>
            <w:r>
              <w:rPr>
                <w:sz w:val="21"/>
              </w:rPr>
              <w:t>（1) 第一秒末用力呼气量（FEV1）小于 1 升；</w:t>
            </w:r>
          </w:p>
          <w:p>
            <w:pPr>
              <w:pStyle w:val="TableParagraph"/>
              <w:spacing w:before="36"/>
              <w:rPr>
                <w:sz w:val="21"/>
              </w:rPr>
            </w:pPr>
            <w:r>
              <w:rPr>
                <w:sz w:val="21"/>
              </w:rPr>
              <w:t>（2) 气道内阻力增加，至少达到 0.5 kPa/l/s；</w:t>
            </w:r>
          </w:p>
          <w:p>
            <w:pPr>
              <w:pStyle w:val="TableParagraph"/>
              <w:spacing w:before="36"/>
              <w:rPr>
                <w:sz w:val="21"/>
              </w:rPr>
            </w:pPr>
            <w:r>
              <w:rPr>
                <w:sz w:val="21"/>
              </w:rPr>
              <w:t>（3) 残气容积占肺总量(TLC)的 60%以上；</w:t>
            </w:r>
          </w:p>
          <w:p>
            <w:pPr>
              <w:pStyle w:val="TableParagraph"/>
              <w:spacing w:before="36"/>
              <w:rPr>
                <w:sz w:val="21"/>
              </w:rPr>
            </w:pPr>
            <w:r>
              <w:rPr>
                <w:sz w:val="21"/>
              </w:rPr>
              <w:t>（4) 胸内气体容积升高，超过 170(基值的百分比)；</w:t>
            </w:r>
          </w:p>
          <w:p>
            <w:pPr>
              <w:pStyle w:val="TableParagraph"/>
              <w:spacing w:before="36"/>
              <w:rPr>
                <w:sz w:val="21"/>
              </w:rPr>
            </w:pPr>
            <w:r>
              <w:rPr>
                <w:position w:val="1"/>
                <w:sz w:val="21"/>
              </w:rPr>
              <w:t>（5) PaO</w:t>
            </w:r>
            <w:r>
              <w:rPr>
                <w:sz w:val="11"/>
              </w:rPr>
              <w:t>2</w:t>
            </w:r>
            <w:r>
              <w:rPr>
                <w:position w:val="1"/>
                <w:sz w:val="21"/>
              </w:rPr>
              <w:t>&lt;60mmHg，PaCO</w:t>
            </w:r>
            <w:r>
              <w:rPr>
                <w:sz w:val="11"/>
              </w:rPr>
              <w:t>2</w:t>
            </w:r>
            <w:r>
              <w:rPr>
                <w:position w:val="1"/>
                <w:sz w:val="21"/>
              </w:rPr>
              <w:t>&gt;50mmHg。</w:t>
            </w:r>
          </w:p>
        </w:tc>
      </w:tr>
      <w:tr>
        <w:trPr>
          <w:trHeight w:val="1248" w:hRule="atLeast"/>
        </w:trPr>
        <w:tc>
          <w:tcPr>
            <w:tcW w:w="989" w:type="dxa"/>
          </w:tcPr>
          <w:p>
            <w:pPr>
              <w:pStyle w:val="TableParagraph"/>
              <w:spacing w:line="262" w:lineRule="exact"/>
              <w:ind w:left="180" w:right="131"/>
              <w:jc w:val="center"/>
              <w:rPr>
                <w:b/>
                <w:sz w:val="21"/>
              </w:rPr>
            </w:pPr>
            <w:r>
              <w:rPr>
                <w:b/>
                <w:sz w:val="21"/>
              </w:rPr>
              <w:t>3.2.29</w:t>
            </w:r>
          </w:p>
        </w:tc>
        <w:tc>
          <w:tcPr>
            <w:tcW w:w="1751" w:type="dxa"/>
          </w:tcPr>
          <w:p>
            <w:pPr>
              <w:pStyle w:val="TableParagraph"/>
              <w:spacing w:line="262" w:lineRule="exact"/>
              <w:ind w:left="149"/>
              <w:rPr>
                <w:b/>
                <w:sz w:val="21"/>
              </w:rPr>
            </w:pPr>
            <w:r>
              <w:rPr>
                <w:b/>
                <w:sz w:val="21"/>
              </w:rPr>
              <w:t>植物人状态</w:t>
            </w:r>
          </w:p>
        </w:tc>
        <w:tc>
          <w:tcPr>
            <w:tcW w:w="7437" w:type="dxa"/>
            <w:tcBorders>
              <w:right w:val="single" w:sz="4" w:space="0" w:color="FFFFFF"/>
            </w:tcBorders>
          </w:tcPr>
          <w:p>
            <w:pPr>
              <w:pStyle w:val="TableParagraph"/>
              <w:spacing w:line="273" w:lineRule="auto"/>
              <w:ind w:right="-15"/>
              <w:rPr>
                <w:rFonts w:ascii="黑体" w:eastAsia="黑体" w:hint="eastAsia"/>
                <w:b/>
                <w:sz w:val="21"/>
              </w:rPr>
            </w:pPr>
            <w:r>
              <w:rPr>
                <w:spacing w:val="-3"/>
                <w:sz w:val="21"/>
              </w:rPr>
              <w:t>指因脑皮质广泛性坏死导致对自身及周边的认知能力完全丧失,但脑干功能依</w:t>
            </w:r>
            <w:r>
              <w:rPr>
                <w:w w:val="100"/>
                <w:sz w:val="21"/>
              </w:rPr>
              <w:t>然</w:t>
            </w:r>
            <w:r>
              <w:rPr>
                <w:spacing w:val="-10"/>
                <w:w w:val="100"/>
                <w:sz w:val="21"/>
              </w:rPr>
              <w:t>存在，须经专科医生明确诊断,且由头颅断层扫描</w:t>
            </w:r>
            <w:r>
              <w:rPr>
                <w:spacing w:val="-1"/>
                <w:w w:val="100"/>
                <w:sz w:val="21"/>
              </w:rPr>
              <w:t>（</w:t>
            </w:r>
            <w:r>
              <w:rPr>
                <w:w w:val="100"/>
                <w:sz w:val="21"/>
              </w:rPr>
              <w:t>CT</w:t>
            </w:r>
            <w:r>
              <w:rPr>
                <w:spacing w:val="-108"/>
                <w:w w:val="100"/>
                <w:sz w:val="21"/>
              </w:rPr>
              <w:t>）</w:t>
            </w:r>
            <w:r>
              <w:rPr>
                <w:spacing w:val="-14"/>
                <w:w w:val="100"/>
                <w:sz w:val="21"/>
              </w:rPr>
              <w:t>，核磁共振检查</w:t>
            </w:r>
            <w:r>
              <w:rPr>
                <w:w w:val="100"/>
                <w:sz w:val="21"/>
              </w:rPr>
              <w:t>（M</w:t>
            </w:r>
            <w:r>
              <w:rPr>
                <w:spacing w:val="-3"/>
                <w:w w:val="100"/>
                <w:sz w:val="21"/>
              </w:rPr>
              <w:t>RI</w:t>
            </w:r>
            <w:r>
              <w:rPr>
                <w:w w:val="100"/>
                <w:sz w:val="21"/>
              </w:rPr>
              <w:t>）</w:t>
            </w:r>
            <w:r>
              <w:rPr>
                <w:sz w:val="21"/>
              </w:rPr>
              <w:t>或</w:t>
            </w:r>
            <w:r>
              <w:rPr>
                <w:spacing w:val="-3"/>
                <w:sz w:val="21"/>
              </w:rPr>
              <w:t>正电子发射断层扫描</w:t>
            </w:r>
            <w:r>
              <w:rPr>
                <w:sz w:val="21"/>
              </w:rPr>
              <w:t>（PET）</w:t>
            </w:r>
            <w:r>
              <w:rPr>
                <w:spacing w:val="-6"/>
                <w:sz w:val="21"/>
              </w:rPr>
              <w:t>等影像学检查证实，这种状态持续至少 </w:t>
            </w:r>
            <w:r>
              <w:rPr>
                <w:sz w:val="21"/>
              </w:rPr>
              <w:t>30</w:t>
            </w:r>
            <w:r>
              <w:rPr>
                <w:spacing w:val="1"/>
                <w:sz w:val="21"/>
              </w:rPr>
              <w:t> 日。</w:t>
            </w:r>
            <w:r>
              <w:rPr>
                <w:rFonts w:ascii="黑体" w:eastAsia="黑体" w:hint="eastAsia"/>
                <w:b/>
                <w:sz w:val="21"/>
              </w:rPr>
              <w:t>因</w:t>
            </w:r>
            <w:r>
              <w:rPr>
                <w:rFonts w:ascii="黑体" w:eastAsia="黑体" w:hint="eastAsia"/>
                <w:b/>
                <w:spacing w:val="-3"/>
                <w:sz w:val="21"/>
              </w:rPr>
              <w:t>酗酒或滥用药物所致的植物人状态不在保障范围内。</w:t>
            </w:r>
          </w:p>
        </w:tc>
      </w:tr>
      <w:tr>
        <w:trPr>
          <w:trHeight w:val="3391" w:hRule="atLeast"/>
        </w:trPr>
        <w:tc>
          <w:tcPr>
            <w:tcW w:w="989" w:type="dxa"/>
          </w:tcPr>
          <w:p>
            <w:pPr>
              <w:pStyle w:val="TableParagraph"/>
              <w:spacing w:before="167"/>
              <w:ind w:left="179" w:right="132"/>
              <w:jc w:val="center"/>
              <w:rPr>
                <w:b/>
                <w:sz w:val="21"/>
              </w:rPr>
            </w:pPr>
            <w:r>
              <w:rPr>
                <w:b/>
                <w:sz w:val="21"/>
              </w:rPr>
              <w:t>3.2.30</w:t>
            </w:r>
          </w:p>
        </w:tc>
        <w:tc>
          <w:tcPr>
            <w:tcW w:w="1751" w:type="dxa"/>
          </w:tcPr>
          <w:p>
            <w:pPr>
              <w:pStyle w:val="TableParagraph"/>
              <w:spacing w:line="273" w:lineRule="auto" w:before="167"/>
              <w:ind w:left="149" w:right="120"/>
              <w:rPr>
                <w:b/>
                <w:sz w:val="21"/>
              </w:rPr>
            </w:pPr>
            <w:r>
              <w:rPr>
                <w:b/>
                <w:sz w:val="21"/>
              </w:rPr>
              <w:t>系统性红斑狼疮性肾炎</w:t>
            </w:r>
          </w:p>
        </w:tc>
        <w:tc>
          <w:tcPr>
            <w:tcW w:w="7437" w:type="dxa"/>
          </w:tcPr>
          <w:p>
            <w:pPr>
              <w:pStyle w:val="TableParagraph"/>
              <w:spacing w:line="273" w:lineRule="auto" w:before="167"/>
              <w:ind w:right="167"/>
              <w:jc w:val="both"/>
              <w:rPr>
                <w:sz w:val="21"/>
              </w:rPr>
            </w:pPr>
            <w:r>
              <w:rPr>
                <w:spacing w:val="-3"/>
                <w:sz w:val="21"/>
              </w:rPr>
              <w:t>指系统性红斑狼疮累及肾脏导致的功能损害，经肾脏活检，病理结果符合世界卫生组织</w:t>
            </w:r>
            <w:r>
              <w:rPr>
                <w:sz w:val="21"/>
              </w:rPr>
              <w:t>（WHO）</w:t>
            </w:r>
            <w:r>
              <w:rPr>
                <w:spacing w:val="-8"/>
                <w:sz w:val="21"/>
              </w:rPr>
              <w:t>诊断标准定义中的 </w:t>
            </w:r>
            <w:r>
              <w:rPr>
                <w:sz w:val="21"/>
              </w:rPr>
              <w:t>III</w:t>
            </w:r>
            <w:r>
              <w:rPr>
                <w:spacing w:val="-25"/>
                <w:sz w:val="21"/>
              </w:rPr>
              <w:t> 型至 </w:t>
            </w:r>
            <w:r>
              <w:rPr>
                <w:sz w:val="21"/>
              </w:rPr>
              <w:t>VI</w:t>
            </w:r>
            <w:r>
              <w:rPr>
                <w:spacing w:val="-9"/>
                <w:sz w:val="21"/>
              </w:rPr>
              <w:t> 型的狼疮性肾炎，血肌酐清除</w:t>
            </w:r>
            <w:r>
              <w:rPr>
                <w:spacing w:val="-12"/>
                <w:sz w:val="21"/>
              </w:rPr>
              <w:t>率持续每分钟 </w:t>
            </w:r>
            <w:r>
              <w:rPr>
                <w:sz w:val="21"/>
              </w:rPr>
              <w:t>30ml。</w:t>
            </w:r>
          </w:p>
          <w:p>
            <w:pPr>
              <w:pStyle w:val="TableParagraph"/>
              <w:spacing w:before="7"/>
              <w:jc w:val="both"/>
              <w:rPr>
                <w:sz w:val="21"/>
              </w:rPr>
            </w:pPr>
            <w:r>
              <w:rPr>
                <w:sz w:val="21"/>
              </w:rPr>
              <w:t>世界卫生组织（WHO）狼疮性肾炎分型：</w:t>
            </w:r>
          </w:p>
          <w:p>
            <w:pPr>
              <w:pStyle w:val="TableParagraph"/>
              <w:numPr>
                <w:ilvl w:val="0"/>
                <w:numId w:val="13"/>
              </w:numPr>
              <w:tabs>
                <w:tab w:pos="281" w:val="left" w:leader="none"/>
              </w:tabs>
              <w:spacing w:line="240" w:lineRule="auto" w:before="37" w:after="0"/>
              <w:ind w:left="281" w:right="0" w:hanging="159"/>
              <w:jc w:val="both"/>
              <w:rPr>
                <w:sz w:val="21"/>
              </w:rPr>
            </w:pPr>
            <w:r>
              <w:rPr>
                <w:spacing w:val="-3"/>
                <w:sz w:val="21"/>
              </w:rPr>
              <w:t>型：微小病变型</w:t>
            </w:r>
          </w:p>
          <w:p>
            <w:pPr>
              <w:pStyle w:val="TableParagraph"/>
              <w:numPr>
                <w:ilvl w:val="0"/>
                <w:numId w:val="13"/>
              </w:numPr>
              <w:tabs>
                <w:tab w:pos="387" w:val="left" w:leader="none"/>
              </w:tabs>
              <w:spacing w:line="240" w:lineRule="auto" w:before="37" w:after="0"/>
              <w:ind w:left="386" w:right="0" w:hanging="264"/>
              <w:jc w:val="both"/>
              <w:rPr>
                <w:sz w:val="21"/>
              </w:rPr>
            </w:pPr>
            <w:r>
              <w:rPr>
                <w:spacing w:val="-3"/>
                <w:sz w:val="21"/>
              </w:rPr>
              <w:t>型：系膜增殖性狼疮性肾炎</w:t>
            </w:r>
          </w:p>
          <w:p>
            <w:pPr>
              <w:pStyle w:val="TableParagraph"/>
              <w:numPr>
                <w:ilvl w:val="0"/>
                <w:numId w:val="13"/>
              </w:numPr>
              <w:tabs>
                <w:tab w:pos="493" w:val="left" w:leader="none"/>
              </w:tabs>
              <w:spacing w:line="240" w:lineRule="auto" w:before="37" w:after="0"/>
              <w:ind w:left="492" w:right="0" w:hanging="370"/>
              <w:jc w:val="both"/>
              <w:rPr>
                <w:sz w:val="21"/>
              </w:rPr>
            </w:pPr>
            <w:r>
              <w:rPr>
                <w:spacing w:val="-3"/>
                <w:sz w:val="21"/>
              </w:rPr>
              <w:t>型：局灶节段增殖性狼疮性肾炎</w:t>
            </w:r>
          </w:p>
          <w:p>
            <w:pPr>
              <w:pStyle w:val="TableParagraph"/>
              <w:numPr>
                <w:ilvl w:val="0"/>
                <w:numId w:val="13"/>
              </w:numPr>
              <w:tabs>
                <w:tab w:pos="387" w:val="left" w:leader="none"/>
              </w:tabs>
              <w:spacing w:line="240" w:lineRule="auto" w:before="37" w:after="0"/>
              <w:ind w:left="386" w:right="0" w:hanging="264"/>
              <w:jc w:val="both"/>
              <w:rPr>
                <w:sz w:val="21"/>
              </w:rPr>
            </w:pPr>
            <w:r>
              <w:rPr>
                <w:spacing w:val="-3"/>
                <w:sz w:val="21"/>
              </w:rPr>
              <w:t>型：弥漫增殖性狼疮性肾炎</w:t>
            </w:r>
          </w:p>
          <w:p>
            <w:pPr>
              <w:pStyle w:val="TableParagraph"/>
              <w:numPr>
                <w:ilvl w:val="0"/>
                <w:numId w:val="13"/>
              </w:numPr>
              <w:tabs>
                <w:tab w:pos="281" w:val="left" w:leader="none"/>
              </w:tabs>
              <w:spacing w:line="240" w:lineRule="auto" w:before="37" w:after="0"/>
              <w:ind w:left="281" w:right="0" w:hanging="159"/>
              <w:jc w:val="both"/>
              <w:rPr>
                <w:sz w:val="21"/>
              </w:rPr>
            </w:pPr>
            <w:r>
              <w:rPr>
                <w:spacing w:val="-3"/>
                <w:sz w:val="21"/>
              </w:rPr>
              <w:t>型：膜性狼疮性肾炎</w:t>
            </w:r>
          </w:p>
          <w:p>
            <w:pPr>
              <w:pStyle w:val="TableParagraph"/>
              <w:numPr>
                <w:ilvl w:val="0"/>
                <w:numId w:val="13"/>
              </w:numPr>
              <w:tabs>
                <w:tab w:pos="387" w:val="left" w:leader="none"/>
              </w:tabs>
              <w:spacing w:line="240" w:lineRule="auto" w:before="37" w:after="0"/>
              <w:ind w:left="386" w:right="0" w:hanging="264"/>
              <w:jc w:val="both"/>
              <w:rPr>
                <w:sz w:val="21"/>
              </w:rPr>
            </w:pPr>
            <w:r>
              <w:rPr>
                <w:spacing w:val="-3"/>
                <w:sz w:val="21"/>
              </w:rPr>
              <w:t>型：肾小球硬化性狼疮性肾炎</w:t>
            </w:r>
          </w:p>
        </w:tc>
      </w:tr>
      <w:tr>
        <w:trPr>
          <w:trHeight w:val="2535" w:hRule="atLeast"/>
        </w:trPr>
        <w:tc>
          <w:tcPr>
            <w:tcW w:w="989" w:type="dxa"/>
          </w:tcPr>
          <w:p>
            <w:pPr>
              <w:pStyle w:val="TableParagraph"/>
              <w:spacing w:before="77"/>
              <w:ind w:left="179" w:right="132"/>
              <w:jc w:val="center"/>
              <w:rPr>
                <w:b/>
                <w:sz w:val="21"/>
              </w:rPr>
            </w:pPr>
            <w:r>
              <w:rPr>
                <w:b/>
                <w:sz w:val="21"/>
              </w:rPr>
              <w:t>3.2.31</w:t>
            </w:r>
          </w:p>
        </w:tc>
        <w:tc>
          <w:tcPr>
            <w:tcW w:w="1751" w:type="dxa"/>
          </w:tcPr>
          <w:p>
            <w:pPr>
              <w:pStyle w:val="TableParagraph"/>
              <w:spacing w:line="273" w:lineRule="auto" w:before="77"/>
              <w:ind w:left="149" w:right="120"/>
              <w:rPr>
                <w:b/>
                <w:sz w:val="21"/>
              </w:rPr>
            </w:pPr>
            <w:r>
              <w:rPr>
                <w:b/>
                <w:sz w:val="21"/>
              </w:rPr>
              <w:t>严重类风湿性关节炎</w:t>
            </w:r>
          </w:p>
        </w:tc>
        <w:tc>
          <w:tcPr>
            <w:tcW w:w="7437" w:type="dxa"/>
          </w:tcPr>
          <w:p>
            <w:pPr>
              <w:pStyle w:val="TableParagraph"/>
              <w:spacing w:line="273" w:lineRule="auto" w:before="77"/>
              <w:ind w:right="167"/>
              <w:rPr>
                <w:sz w:val="21"/>
              </w:rPr>
            </w:pPr>
            <w:r>
              <w:rPr>
                <w:sz w:val="21"/>
              </w:rPr>
              <w:t>指一种慢性自身免疫性疾病，主要表现为慢性、进行性多关节病变。本病须经专科医生明确诊断，须满足下列所有条件:</w:t>
            </w:r>
          </w:p>
          <w:p>
            <w:pPr>
              <w:pStyle w:val="TableParagraph"/>
              <w:spacing w:line="273" w:lineRule="auto" w:before="8"/>
              <w:ind w:left="648" w:right="168" w:hanging="527"/>
              <w:rPr>
                <w:sz w:val="21"/>
              </w:rPr>
            </w:pPr>
            <w:r>
              <w:rPr>
                <w:sz w:val="21"/>
              </w:rPr>
              <w:t>（1）至少包括下列关节中的三组或以上有广泛受损和畸形改变:手指关节、腕关节、肘关节、膝关节、髋关节、踝关节、脊椎或脚趾关节；</w:t>
            </w:r>
          </w:p>
          <w:p>
            <w:pPr>
              <w:pStyle w:val="TableParagraph"/>
              <w:spacing w:before="8"/>
              <w:rPr>
                <w:sz w:val="21"/>
              </w:rPr>
            </w:pPr>
            <w:r>
              <w:rPr>
                <w:sz w:val="21"/>
              </w:rPr>
              <w:t>（2）X 线检查可见类风湿性关节炎的典型变化；</w:t>
            </w:r>
          </w:p>
          <w:p>
            <w:pPr>
              <w:pStyle w:val="TableParagraph"/>
              <w:spacing w:before="37"/>
              <w:rPr>
                <w:sz w:val="21"/>
              </w:rPr>
            </w:pPr>
            <w:r>
              <w:rPr>
                <w:sz w:val="21"/>
              </w:rPr>
              <w:t>（3）关节的畸形改变至少持续 180 日；</w:t>
            </w:r>
          </w:p>
          <w:p>
            <w:pPr>
              <w:pStyle w:val="TableParagraph"/>
              <w:spacing w:line="310" w:lineRule="atLeast" w:before="1"/>
              <w:ind w:left="648" w:right="59" w:hanging="527"/>
              <w:rPr>
                <w:sz w:val="21"/>
              </w:rPr>
            </w:pPr>
            <w:r>
              <w:rPr>
                <w:sz w:val="21"/>
              </w:rPr>
              <w:t>（4）自主生活能力完全丧失，无法独立完成六项基本日常生活活动中的三项或三项以上。</w:t>
            </w:r>
          </w:p>
        </w:tc>
      </w:tr>
    </w:tbl>
    <w:p>
      <w:pPr>
        <w:spacing w:after="0" w:line="310" w:lineRule="atLeast"/>
        <w:rPr>
          <w:sz w:val="21"/>
        </w:rPr>
        <w:sectPr>
          <w:pgSz w:w="11910" w:h="16840"/>
          <w:pgMar w:header="566" w:footer="664" w:top="1000" w:bottom="860" w:left="820" w:right="68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15"/>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8"/>
        <w:gridCol w:w="1769"/>
        <w:gridCol w:w="7420"/>
      </w:tblGrid>
      <w:tr>
        <w:trPr>
          <w:trHeight w:val="2001" w:hRule="atLeast"/>
        </w:trPr>
        <w:tc>
          <w:tcPr>
            <w:tcW w:w="988" w:type="dxa"/>
          </w:tcPr>
          <w:p>
            <w:pPr>
              <w:pStyle w:val="TableParagraph"/>
              <w:spacing w:line="211" w:lineRule="exact"/>
              <w:ind w:left="180" w:right="132"/>
              <w:jc w:val="center"/>
              <w:rPr>
                <w:b/>
                <w:sz w:val="21"/>
              </w:rPr>
            </w:pPr>
            <w:r>
              <w:rPr>
                <w:b/>
                <w:sz w:val="21"/>
              </w:rPr>
              <w:t>3.2.32</w:t>
            </w:r>
          </w:p>
        </w:tc>
        <w:tc>
          <w:tcPr>
            <w:tcW w:w="1769" w:type="dxa"/>
          </w:tcPr>
          <w:p>
            <w:pPr>
              <w:pStyle w:val="TableParagraph"/>
              <w:spacing w:line="211" w:lineRule="exact"/>
              <w:ind w:left="150"/>
              <w:rPr>
                <w:b/>
                <w:sz w:val="21"/>
              </w:rPr>
            </w:pPr>
            <w:r>
              <w:rPr>
                <w:b/>
                <w:sz w:val="21"/>
              </w:rPr>
              <w:t>坏死性筋膜炎</w:t>
            </w:r>
          </w:p>
        </w:tc>
        <w:tc>
          <w:tcPr>
            <w:tcW w:w="7420" w:type="dxa"/>
          </w:tcPr>
          <w:p>
            <w:pPr>
              <w:pStyle w:val="TableParagraph"/>
              <w:spacing w:line="211" w:lineRule="exact"/>
              <w:ind w:left="105"/>
              <w:rPr>
                <w:sz w:val="21"/>
              </w:rPr>
            </w:pPr>
            <w:r>
              <w:rPr>
                <w:sz w:val="21"/>
              </w:rPr>
              <w:t>指一种严重软组织混合性细菌感染，常于手术或皮肤损伤后发生。须满足下列</w:t>
            </w:r>
          </w:p>
          <w:p>
            <w:pPr>
              <w:pStyle w:val="TableParagraph"/>
              <w:spacing w:before="37"/>
              <w:ind w:left="105"/>
              <w:rPr>
                <w:sz w:val="21"/>
              </w:rPr>
            </w:pPr>
            <w:r>
              <w:rPr>
                <w:sz w:val="21"/>
              </w:rPr>
              <w:t>全部条件：</w:t>
            </w:r>
          </w:p>
          <w:p>
            <w:pPr>
              <w:pStyle w:val="TableParagraph"/>
              <w:spacing w:before="36"/>
              <w:ind w:left="105"/>
              <w:rPr>
                <w:sz w:val="21"/>
              </w:rPr>
            </w:pPr>
            <w:r>
              <w:rPr>
                <w:sz w:val="21"/>
              </w:rPr>
              <w:t>（1）符合坏死性筋膜炎的一般临床表现；</w:t>
            </w:r>
          </w:p>
          <w:p>
            <w:pPr>
              <w:pStyle w:val="TableParagraph"/>
              <w:spacing w:before="36"/>
              <w:ind w:left="105"/>
              <w:rPr>
                <w:sz w:val="21"/>
              </w:rPr>
            </w:pPr>
            <w:r>
              <w:rPr>
                <w:sz w:val="21"/>
              </w:rPr>
              <w:t>（2）细菌培养检出致病菌；</w:t>
            </w:r>
          </w:p>
          <w:p>
            <w:pPr>
              <w:pStyle w:val="TableParagraph"/>
              <w:spacing w:line="273" w:lineRule="auto" w:before="36"/>
              <w:ind w:left="669" w:right="166" w:hanging="565"/>
              <w:rPr>
                <w:sz w:val="21"/>
              </w:rPr>
            </w:pPr>
            <w:r>
              <w:rPr>
                <w:sz w:val="21"/>
              </w:rPr>
              <w:t>（3） 出现广泛性肌肉及软组织坏死，并导致身体受影响部位完全丧失功能超过 180 日。</w:t>
            </w:r>
          </w:p>
        </w:tc>
      </w:tr>
      <w:tr>
        <w:trPr>
          <w:trHeight w:val="1872" w:hRule="atLeast"/>
        </w:trPr>
        <w:tc>
          <w:tcPr>
            <w:tcW w:w="988" w:type="dxa"/>
          </w:tcPr>
          <w:p>
            <w:pPr>
              <w:pStyle w:val="TableParagraph"/>
              <w:spacing w:line="262" w:lineRule="exact"/>
              <w:ind w:left="180" w:right="132"/>
              <w:jc w:val="center"/>
              <w:rPr>
                <w:b/>
                <w:sz w:val="21"/>
              </w:rPr>
            </w:pPr>
            <w:r>
              <w:rPr>
                <w:b/>
                <w:sz w:val="21"/>
              </w:rPr>
              <w:t>3.2.33</w:t>
            </w:r>
          </w:p>
        </w:tc>
        <w:tc>
          <w:tcPr>
            <w:tcW w:w="1769" w:type="dxa"/>
          </w:tcPr>
          <w:p>
            <w:pPr>
              <w:pStyle w:val="TableParagraph"/>
              <w:spacing w:line="262" w:lineRule="exact"/>
              <w:ind w:left="150"/>
              <w:rPr>
                <w:b/>
                <w:sz w:val="21"/>
              </w:rPr>
            </w:pPr>
            <w:r>
              <w:rPr>
                <w:b/>
                <w:sz w:val="21"/>
              </w:rPr>
              <w:t>重症肌无力</w:t>
            </w:r>
          </w:p>
        </w:tc>
        <w:tc>
          <w:tcPr>
            <w:tcW w:w="7420" w:type="dxa"/>
            <w:tcBorders>
              <w:right w:val="single" w:sz="4" w:space="0" w:color="FFFFFF"/>
            </w:tcBorders>
          </w:tcPr>
          <w:p>
            <w:pPr>
              <w:pStyle w:val="TableParagraph"/>
              <w:spacing w:line="273" w:lineRule="auto"/>
              <w:ind w:left="105" w:right="-15"/>
              <w:rPr>
                <w:sz w:val="21"/>
              </w:rPr>
            </w:pPr>
            <w:r>
              <w:rPr>
                <w:spacing w:val="-3"/>
                <w:sz w:val="21"/>
              </w:rPr>
              <w:t>指一种神经与肌肉接头部位传递障碍的自身免疫性疾病，临床特征是局部或全 </w:t>
            </w:r>
            <w:r>
              <w:rPr>
                <w:spacing w:val="-6"/>
                <w:sz w:val="21"/>
              </w:rPr>
              <w:t>身肌肉于活动时易于疲劳无力，须经专科医生明确诊断，并满足下列全部条件：</w:t>
            </w:r>
          </w:p>
          <w:p>
            <w:pPr>
              <w:pStyle w:val="TableParagraph"/>
              <w:spacing w:line="273" w:lineRule="auto" w:before="20"/>
              <w:ind w:left="631" w:right="50" w:hanging="527"/>
              <w:rPr>
                <w:sz w:val="21"/>
              </w:rPr>
            </w:pPr>
            <w:r>
              <w:rPr>
                <w:sz w:val="21"/>
              </w:rPr>
              <w:t>（1）经药物治疗或胸腺手术治疗一年以上无法控制病情，症状缓解、复发及恶化交替出现；</w:t>
            </w:r>
          </w:p>
          <w:p>
            <w:pPr>
              <w:pStyle w:val="TableParagraph"/>
              <w:spacing w:line="273" w:lineRule="auto" w:before="7"/>
              <w:ind w:left="631" w:right="54" w:hanging="527"/>
              <w:rPr>
                <w:sz w:val="21"/>
              </w:rPr>
            </w:pPr>
            <w:r>
              <w:rPr>
                <w:sz w:val="21"/>
              </w:rPr>
              <w:t>（2）自主生活能力完全丧失，无法独立完成六项基本日常生活活动中的三项或三项以上。</w:t>
            </w:r>
          </w:p>
        </w:tc>
      </w:tr>
      <w:tr>
        <w:trPr>
          <w:trHeight w:val="3391" w:hRule="atLeast"/>
        </w:trPr>
        <w:tc>
          <w:tcPr>
            <w:tcW w:w="988" w:type="dxa"/>
          </w:tcPr>
          <w:p>
            <w:pPr>
              <w:pStyle w:val="TableParagraph"/>
              <w:spacing w:before="168"/>
              <w:ind w:left="180" w:right="132"/>
              <w:jc w:val="center"/>
              <w:rPr>
                <w:b/>
                <w:sz w:val="21"/>
              </w:rPr>
            </w:pPr>
            <w:r>
              <w:rPr>
                <w:b/>
                <w:sz w:val="21"/>
              </w:rPr>
              <w:t>3.2.34</w:t>
            </w:r>
          </w:p>
        </w:tc>
        <w:tc>
          <w:tcPr>
            <w:tcW w:w="1769" w:type="dxa"/>
          </w:tcPr>
          <w:p>
            <w:pPr>
              <w:pStyle w:val="TableParagraph"/>
              <w:spacing w:line="273" w:lineRule="auto" w:before="168"/>
              <w:ind w:left="150" w:right="137"/>
              <w:jc w:val="both"/>
              <w:rPr>
                <w:b/>
                <w:sz w:val="21"/>
              </w:rPr>
            </w:pPr>
            <w:r>
              <w:rPr>
                <w:b/>
                <w:sz w:val="21"/>
              </w:rPr>
              <w:t>经输血导致的人类免疫缺陷病毒感染（HIV）</w:t>
            </w:r>
          </w:p>
        </w:tc>
        <w:tc>
          <w:tcPr>
            <w:tcW w:w="7420" w:type="dxa"/>
          </w:tcPr>
          <w:p>
            <w:pPr>
              <w:pStyle w:val="TableParagraph"/>
              <w:spacing w:before="168"/>
              <w:ind w:left="105"/>
              <w:rPr>
                <w:sz w:val="21"/>
              </w:rPr>
            </w:pPr>
            <w:r>
              <w:rPr>
                <w:sz w:val="21"/>
              </w:rPr>
              <w:t>保险人感染上人类免疫缺陷病毒（HIV）并且满足下列全部条件：</w:t>
            </w:r>
          </w:p>
          <w:p>
            <w:pPr>
              <w:pStyle w:val="TableParagraph"/>
              <w:spacing w:before="37"/>
              <w:ind w:left="211"/>
              <w:rPr>
                <w:sz w:val="21"/>
              </w:rPr>
            </w:pPr>
            <w:r>
              <w:rPr>
                <w:sz w:val="21"/>
              </w:rPr>
              <w:t>（1）在保障起始日或复效日之后，被保险人因输血而感染HIV；</w:t>
            </w:r>
          </w:p>
          <w:p>
            <w:pPr>
              <w:pStyle w:val="TableParagraph"/>
              <w:spacing w:line="273" w:lineRule="auto" w:before="37"/>
              <w:ind w:left="736" w:right="166" w:hanging="526"/>
              <w:rPr>
                <w:sz w:val="21"/>
              </w:rPr>
            </w:pPr>
            <w:r>
              <w:rPr>
                <w:sz w:val="21"/>
              </w:rPr>
              <w:t>（2）提供输血治疗的输血中心或医院出具该项输血感染属医疗责任事故的报告，或者法院终审裁定为医疗责任并且不准上诉；</w:t>
            </w:r>
          </w:p>
          <w:p>
            <w:pPr>
              <w:pStyle w:val="TableParagraph"/>
              <w:spacing w:before="7"/>
              <w:ind w:left="211"/>
              <w:rPr>
                <w:sz w:val="21"/>
              </w:rPr>
            </w:pPr>
            <w:r>
              <w:rPr>
                <w:sz w:val="21"/>
              </w:rPr>
              <w:t>（3）受感染的被保险人不是血友病患者。</w:t>
            </w:r>
          </w:p>
          <w:p>
            <w:pPr>
              <w:pStyle w:val="TableParagraph"/>
              <w:spacing w:line="273" w:lineRule="auto" w:before="36"/>
              <w:ind w:left="105" w:right="101"/>
              <w:jc w:val="both"/>
              <w:rPr>
                <w:sz w:val="21"/>
              </w:rPr>
            </w:pPr>
            <w:r>
              <w:rPr>
                <w:spacing w:val="-14"/>
                <w:w w:val="100"/>
                <w:sz w:val="21"/>
              </w:rPr>
              <w:t>在任何治愈艾滋病</w:t>
            </w:r>
            <w:r>
              <w:rPr>
                <w:w w:val="100"/>
                <w:sz w:val="21"/>
              </w:rPr>
              <w:t>（A</w:t>
            </w:r>
            <w:r>
              <w:rPr>
                <w:spacing w:val="-3"/>
                <w:w w:val="100"/>
                <w:sz w:val="21"/>
              </w:rPr>
              <w:t>I</w:t>
            </w:r>
            <w:r>
              <w:rPr>
                <w:w w:val="100"/>
                <w:sz w:val="21"/>
              </w:rPr>
              <w:t>D</w:t>
            </w:r>
            <w:r>
              <w:rPr>
                <w:spacing w:val="-3"/>
                <w:w w:val="100"/>
                <w:sz w:val="21"/>
              </w:rPr>
              <w:t>S</w:t>
            </w:r>
            <w:r>
              <w:rPr>
                <w:spacing w:val="-85"/>
                <w:w w:val="100"/>
                <w:sz w:val="21"/>
              </w:rPr>
              <w:t>）</w:t>
            </w:r>
            <w:r>
              <w:rPr>
                <w:spacing w:val="-1"/>
                <w:w w:val="100"/>
                <w:sz w:val="21"/>
              </w:rPr>
              <w:t>或阻止</w:t>
            </w:r>
            <w:r>
              <w:rPr>
                <w:w w:val="100"/>
                <w:sz w:val="21"/>
              </w:rPr>
              <w:t>HI</w:t>
            </w:r>
            <w:r>
              <w:rPr>
                <w:spacing w:val="-3"/>
                <w:w w:val="100"/>
                <w:sz w:val="21"/>
              </w:rPr>
              <w:t>V</w:t>
            </w:r>
            <w:r>
              <w:rPr>
                <w:spacing w:val="-10"/>
                <w:w w:val="100"/>
                <w:sz w:val="21"/>
              </w:rPr>
              <w:t>病毒作用的疗法被发现以后，或能防止</w:t>
            </w:r>
            <w:r>
              <w:rPr>
                <w:w w:val="100"/>
                <w:sz w:val="21"/>
              </w:rPr>
              <w:t>AIDS</w:t>
            </w:r>
            <w:r>
              <w:rPr>
                <w:spacing w:val="-3"/>
                <w:sz w:val="21"/>
              </w:rPr>
              <w:t>发生的医疗方法被研究出来以后，本保障将不再予以赔付。</w:t>
            </w:r>
          </w:p>
          <w:p>
            <w:pPr>
              <w:pStyle w:val="TableParagraph"/>
              <w:spacing w:line="273" w:lineRule="auto" w:before="7"/>
              <w:ind w:left="105" w:right="166"/>
              <w:jc w:val="both"/>
              <w:rPr>
                <w:sz w:val="21"/>
              </w:rPr>
            </w:pPr>
            <w:r>
              <w:rPr>
                <w:spacing w:val="-3"/>
                <w:sz w:val="21"/>
              </w:rPr>
              <w:t>任何因其他传播方式</w:t>
            </w:r>
            <w:r>
              <w:rPr>
                <w:sz w:val="21"/>
              </w:rPr>
              <w:t>（</w:t>
            </w:r>
            <w:r>
              <w:rPr>
                <w:spacing w:val="-3"/>
                <w:sz w:val="21"/>
              </w:rPr>
              <w:t>包括：性传播或静脉注射毒品</w:t>
            </w:r>
            <w:r>
              <w:rPr>
                <w:sz w:val="21"/>
              </w:rPr>
              <w:t>）</w:t>
            </w:r>
            <w:r>
              <w:rPr>
                <w:spacing w:val="-10"/>
                <w:sz w:val="21"/>
              </w:rPr>
              <w:t>导致的 </w:t>
            </w:r>
            <w:r>
              <w:rPr>
                <w:sz w:val="21"/>
              </w:rPr>
              <w:t>HIV</w:t>
            </w:r>
            <w:r>
              <w:rPr>
                <w:spacing w:val="-9"/>
                <w:sz w:val="21"/>
              </w:rPr>
              <w:t> 感染不在本</w:t>
            </w:r>
            <w:r>
              <w:rPr>
                <w:spacing w:val="-5"/>
                <w:sz w:val="21"/>
              </w:rPr>
              <w:t>保险单保障范围内。保险公司必须拥有获得使用被保险人的所有血液样本的权</w:t>
            </w:r>
            <w:r>
              <w:rPr>
                <w:spacing w:val="-4"/>
                <w:sz w:val="21"/>
              </w:rPr>
              <w:t>利和能够对这些样本进行独立检验的权利。</w:t>
            </w:r>
          </w:p>
        </w:tc>
      </w:tr>
      <w:tr>
        <w:trPr>
          <w:trHeight w:val="1740" w:hRule="atLeast"/>
        </w:trPr>
        <w:tc>
          <w:tcPr>
            <w:tcW w:w="988" w:type="dxa"/>
          </w:tcPr>
          <w:p>
            <w:pPr>
              <w:pStyle w:val="TableParagraph"/>
              <w:spacing w:before="76"/>
              <w:ind w:left="180" w:right="132"/>
              <w:jc w:val="center"/>
              <w:rPr>
                <w:b/>
                <w:sz w:val="21"/>
              </w:rPr>
            </w:pPr>
            <w:r>
              <w:rPr>
                <w:b/>
                <w:sz w:val="21"/>
              </w:rPr>
              <w:t>3.2.35</w:t>
            </w:r>
          </w:p>
        </w:tc>
        <w:tc>
          <w:tcPr>
            <w:tcW w:w="1769" w:type="dxa"/>
          </w:tcPr>
          <w:p>
            <w:pPr>
              <w:pStyle w:val="TableParagraph"/>
              <w:spacing w:before="76"/>
              <w:ind w:left="150"/>
              <w:rPr>
                <w:b/>
                <w:sz w:val="21"/>
              </w:rPr>
            </w:pPr>
            <w:r>
              <w:rPr>
                <w:b/>
                <w:sz w:val="21"/>
              </w:rPr>
              <w:t>肌营养不良</w:t>
            </w:r>
          </w:p>
        </w:tc>
        <w:tc>
          <w:tcPr>
            <w:tcW w:w="7420" w:type="dxa"/>
          </w:tcPr>
          <w:p>
            <w:pPr>
              <w:pStyle w:val="TableParagraph"/>
              <w:spacing w:line="273" w:lineRule="auto" w:before="76"/>
              <w:ind w:left="105" w:right="167"/>
              <w:rPr>
                <w:sz w:val="21"/>
              </w:rPr>
            </w:pPr>
            <w:r>
              <w:rPr>
                <w:sz w:val="21"/>
              </w:rPr>
              <w:t>指一组原发于肌肉的遗传性疾病，临床表现为与神经系统无关的肌肉无力和肌肉萎缩。须满足下列全部条件：</w:t>
            </w:r>
          </w:p>
          <w:p>
            <w:pPr>
              <w:pStyle w:val="TableParagraph"/>
              <w:spacing w:before="7"/>
              <w:ind w:left="105"/>
              <w:rPr>
                <w:sz w:val="21"/>
              </w:rPr>
            </w:pPr>
            <w:r>
              <w:rPr>
                <w:sz w:val="21"/>
              </w:rPr>
              <w:t>（1）肌肉组织活检结果满足肌营养不良症的肌肉细胞变性、坏死等阳性改变；</w:t>
            </w:r>
          </w:p>
          <w:p>
            <w:pPr>
              <w:pStyle w:val="TableParagraph"/>
              <w:spacing w:line="273" w:lineRule="auto" w:before="37"/>
              <w:ind w:left="631" w:right="59" w:hanging="527"/>
              <w:rPr>
                <w:sz w:val="21"/>
              </w:rPr>
            </w:pPr>
            <w:r>
              <w:rPr>
                <w:sz w:val="21"/>
              </w:rPr>
              <w:t>（2）自主生活能力完全丧失，无法独立完成六项基本日常生活活动中的三项或三项以上。</w:t>
            </w:r>
          </w:p>
        </w:tc>
      </w:tr>
      <w:tr>
        <w:trPr>
          <w:trHeight w:val="1411" w:hRule="atLeast"/>
        </w:trPr>
        <w:tc>
          <w:tcPr>
            <w:tcW w:w="988" w:type="dxa"/>
          </w:tcPr>
          <w:p>
            <w:pPr>
              <w:pStyle w:val="TableParagraph"/>
              <w:spacing w:before="76"/>
              <w:ind w:left="179" w:right="132"/>
              <w:jc w:val="center"/>
              <w:rPr>
                <w:b/>
                <w:sz w:val="21"/>
              </w:rPr>
            </w:pPr>
            <w:r>
              <w:rPr>
                <w:b/>
                <w:sz w:val="21"/>
              </w:rPr>
              <w:t>3.2.36</w:t>
            </w:r>
          </w:p>
        </w:tc>
        <w:tc>
          <w:tcPr>
            <w:tcW w:w="1769" w:type="dxa"/>
          </w:tcPr>
          <w:p>
            <w:pPr>
              <w:pStyle w:val="TableParagraph"/>
              <w:spacing w:before="76"/>
              <w:ind w:left="150"/>
              <w:rPr>
                <w:b/>
                <w:sz w:val="21"/>
              </w:rPr>
            </w:pPr>
            <w:r>
              <w:rPr>
                <w:b/>
                <w:sz w:val="21"/>
              </w:rPr>
              <w:t>严重脊髓灰质炎</w:t>
            </w:r>
          </w:p>
        </w:tc>
        <w:tc>
          <w:tcPr>
            <w:tcW w:w="7420" w:type="dxa"/>
          </w:tcPr>
          <w:p>
            <w:pPr>
              <w:pStyle w:val="TableParagraph"/>
              <w:spacing w:line="266" w:lineRule="auto" w:before="76"/>
              <w:ind w:left="105" w:right="101"/>
              <w:jc w:val="both"/>
              <w:rPr>
                <w:sz w:val="21"/>
              </w:rPr>
            </w:pPr>
            <w:r>
              <w:rPr>
                <w:spacing w:val="3"/>
                <w:sz w:val="21"/>
              </w:rPr>
              <w:t>由脊髓灰质炎病毒感染所导致的运动功能障碍或呼吸功能减弱持续三个月以上，须导致一肢或一肢以上肢体机能永久完全丧失。肢体机能永久完全丧失， </w:t>
            </w:r>
            <w:r>
              <w:rPr>
                <w:spacing w:val="-1"/>
                <w:sz w:val="21"/>
              </w:rPr>
              <w:t>指疾病确诊 </w:t>
            </w:r>
            <w:r>
              <w:rPr>
                <w:rFonts w:ascii="Times New Roman" w:eastAsia="Times New Roman"/>
                <w:sz w:val="21"/>
              </w:rPr>
              <w:t>180 </w:t>
            </w:r>
            <w:r>
              <w:rPr>
                <w:spacing w:val="-3"/>
                <w:sz w:val="21"/>
              </w:rPr>
              <w:t>天后，每肢三大关节中的两大关节仍然完全僵硬，或不能随意识活动。</w:t>
            </w:r>
          </w:p>
        </w:tc>
      </w:tr>
      <w:tr>
        <w:trPr>
          <w:trHeight w:val="1106" w:hRule="atLeast"/>
        </w:trPr>
        <w:tc>
          <w:tcPr>
            <w:tcW w:w="988" w:type="dxa"/>
          </w:tcPr>
          <w:p>
            <w:pPr>
              <w:pStyle w:val="TableParagraph"/>
              <w:spacing w:before="60"/>
              <w:ind w:left="179" w:right="132"/>
              <w:jc w:val="center"/>
              <w:rPr>
                <w:b/>
                <w:sz w:val="21"/>
              </w:rPr>
            </w:pPr>
            <w:r>
              <w:rPr>
                <w:b/>
                <w:sz w:val="21"/>
              </w:rPr>
              <w:t>3.2.37</w:t>
            </w:r>
          </w:p>
        </w:tc>
        <w:tc>
          <w:tcPr>
            <w:tcW w:w="1769" w:type="dxa"/>
          </w:tcPr>
          <w:p>
            <w:pPr>
              <w:pStyle w:val="TableParagraph"/>
              <w:spacing w:before="60"/>
              <w:ind w:left="150"/>
              <w:rPr>
                <w:b/>
                <w:sz w:val="21"/>
              </w:rPr>
            </w:pPr>
            <w:r>
              <w:rPr>
                <w:b/>
                <w:sz w:val="21"/>
              </w:rPr>
              <w:t>严重克隆病</w:t>
            </w:r>
          </w:p>
        </w:tc>
        <w:tc>
          <w:tcPr>
            <w:tcW w:w="7420" w:type="dxa"/>
          </w:tcPr>
          <w:p>
            <w:pPr>
              <w:pStyle w:val="TableParagraph"/>
              <w:spacing w:line="264" w:lineRule="auto" w:before="60"/>
              <w:ind w:left="105" w:right="102"/>
              <w:jc w:val="both"/>
              <w:rPr>
                <w:sz w:val="21"/>
              </w:rPr>
            </w:pPr>
            <w:r>
              <w:rPr>
                <w:sz w:val="21"/>
              </w:rPr>
              <w:t>指一种胃肠道慢性炎性肉芽肿性疾病，须经专科医师明确诊断，且必须满足下</w:t>
            </w:r>
            <w:r>
              <w:rPr>
                <w:spacing w:val="-18"/>
                <w:w w:val="100"/>
                <w:sz w:val="21"/>
              </w:rPr>
              <w:t>列所有条件：</w:t>
            </w:r>
            <w:r>
              <w:rPr>
                <w:spacing w:val="2"/>
                <w:w w:val="100"/>
                <w:sz w:val="21"/>
              </w:rPr>
              <w:t>（</w:t>
            </w:r>
            <w:r>
              <w:rPr>
                <w:rFonts w:ascii="Times New Roman" w:eastAsia="Times New Roman"/>
                <w:w w:val="100"/>
                <w:sz w:val="21"/>
              </w:rPr>
              <w:t>1</w:t>
            </w:r>
            <w:r>
              <w:rPr>
                <w:spacing w:val="1"/>
                <w:w w:val="100"/>
                <w:sz w:val="21"/>
              </w:rPr>
              <w:t>）</w:t>
            </w:r>
            <w:r>
              <w:rPr>
                <w:spacing w:val="-7"/>
                <w:w w:val="100"/>
                <w:sz w:val="21"/>
              </w:rPr>
              <w:t>已经造成瘘管并伴有肠梗阻或肠穿孔；</w:t>
            </w:r>
            <w:r>
              <w:rPr>
                <w:spacing w:val="3"/>
                <w:w w:val="100"/>
                <w:sz w:val="21"/>
              </w:rPr>
              <w:t>（</w:t>
            </w:r>
            <w:r>
              <w:rPr>
                <w:rFonts w:ascii="Times New Roman" w:eastAsia="Times New Roman"/>
                <w:w w:val="100"/>
                <w:sz w:val="21"/>
              </w:rPr>
              <w:t>2</w:t>
            </w:r>
            <w:r>
              <w:rPr>
                <w:spacing w:val="1"/>
                <w:w w:val="100"/>
                <w:sz w:val="21"/>
              </w:rPr>
              <w:t>）</w:t>
            </w:r>
            <w:r>
              <w:rPr>
                <w:w w:val="100"/>
                <w:sz w:val="21"/>
              </w:rPr>
              <w:t>有结肠镜检查和</w:t>
            </w:r>
            <w:r>
              <w:rPr>
                <w:spacing w:val="-3"/>
                <w:sz w:val="21"/>
              </w:rPr>
              <w:t>组织病理学检查作为诊断依据。</w:t>
            </w:r>
          </w:p>
        </w:tc>
      </w:tr>
      <w:tr>
        <w:trPr>
          <w:trHeight w:val="1295" w:hRule="atLeast"/>
        </w:trPr>
        <w:tc>
          <w:tcPr>
            <w:tcW w:w="988" w:type="dxa"/>
          </w:tcPr>
          <w:p>
            <w:pPr>
              <w:pStyle w:val="TableParagraph"/>
              <w:spacing w:before="84"/>
              <w:ind w:left="179" w:right="132"/>
              <w:jc w:val="center"/>
              <w:rPr>
                <w:b/>
                <w:sz w:val="21"/>
              </w:rPr>
            </w:pPr>
            <w:r>
              <w:rPr>
                <w:b/>
                <w:sz w:val="21"/>
              </w:rPr>
              <w:t>3.2.38</w:t>
            </w:r>
          </w:p>
        </w:tc>
        <w:tc>
          <w:tcPr>
            <w:tcW w:w="1769" w:type="dxa"/>
          </w:tcPr>
          <w:p>
            <w:pPr>
              <w:pStyle w:val="TableParagraph"/>
              <w:spacing w:line="273" w:lineRule="auto" w:before="84"/>
              <w:ind w:left="150" w:right="104"/>
              <w:rPr>
                <w:b/>
                <w:sz w:val="21"/>
              </w:rPr>
            </w:pPr>
            <w:r>
              <w:rPr>
                <w:b/>
                <w:sz w:val="21"/>
              </w:rPr>
              <w:t>严重溃疡性结肠炎</w:t>
            </w:r>
          </w:p>
        </w:tc>
        <w:tc>
          <w:tcPr>
            <w:tcW w:w="7420" w:type="dxa"/>
          </w:tcPr>
          <w:p>
            <w:pPr>
              <w:pStyle w:val="TableParagraph"/>
              <w:spacing w:line="310" w:lineRule="atLeast" w:before="49"/>
              <w:ind w:left="105" w:right="101"/>
              <w:jc w:val="both"/>
              <w:rPr>
                <w:sz w:val="21"/>
              </w:rPr>
            </w:pPr>
            <w:r>
              <w:rPr>
                <w:sz w:val="21"/>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全结肠切除和回肠造瘘术。</w:t>
            </w:r>
          </w:p>
        </w:tc>
      </w:tr>
    </w:tbl>
    <w:p>
      <w:pPr>
        <w:spacing w:after="0" w:line="310" w:lineRule="atLeast"/>
        <w:jc w:val="both"/>
        <w:rPr>
          <w:sz w:val="21"/>
        </w:rPr>
        <w:sectPr>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87"/>
        <w:gridCol w:w="1768"/>
        <w:gridCol w:w="7555"/>
      </w:tblGrid>
      <w:tr>
        <w:trPr>
          <w:trHeight w:val="2271" w:hRule="atLeast"/>
        </w:trPr>
        <w:tc>
          <w:tcPr>
            <w:tcW w:w="987" w:type="dxa"/>
          </w:tcPr>
          <w:p>
            <w:pPr>
              <w:pStyle w:val="TableParagraph"/>
              <w:spacing w:line="211" w:lineRule="exact"/>
              <w:ind w:left="200"/>
              <w:rPr>
                <w:b/>
                <w:sz w:val="21"/>
              </w:rPr>
            </w:pPr>
            <w:r>
              <w:rPr>
                <w:b/>
                <w:sz w:val="21"/>
              </w:rPr>
              <w:t>3.2.39</w:t>
            </w:r>
          </w:p>
        </w:tc>
        <w:tc>
          <w:tcPr>
            <w:tcW w:w="1768" w:type="dxa"/>
          </w:tcPr>
          <w:p>
            <w:pPr>
              <w:pStyle w:val="TableParagraph"/>
              <w:spacing w:line="211" w:lineRule="exact"/>
              <w:ind w:left="151"/>
              <w:rPr>
                <w:b/>
                <w:sz w:val="21"/>
              </w:rPr>
            </w:pPr>
            <w:r>
              <w:rPr>
                <w:b/>
                <w:sz w:val="21"/>
              </w:rPr>
              <w:t>Ｉ型糖尿病</w:t>
            </w:r>
          </w:p>
        </w:tc>
        <w:tc>
          <w:tcPr>
            <w:tcW w:w="7555" w:type="dxa"/>
          </w:tcPr>
          <w:p>
            <w:pPr>
              <w:pStyle w:val="TableParagraph"/>
              <w:spacing w:line="211" w:lineRule="exact"/>
              <w:ind w:left="106"/>
              <w:rPr>
                <w:sz w:val="21"/>
              </w:rPr>
            </w:pPr>
            <w:r>
              <w:rPr>
                <w:sz w:val="21"/>
              </w:rPr>
              <w:t>指经内分泌专科医生明确诊断为Ｉ型糖尿病，且须同时满足下列条件：</w:t>
            </w:r>
          </w:p>
          <w:p>
            <w:pPr>
              <w:pStyle w:val="TableParagraph"/>
              <w:numPr>
                <w:ilvl w:val="0"/>
                <w:numId w:val="14"/>
              </w:numPr>
              <w:tabs>
                <w:tab w:pos="739" w:val="left" w:leader="none"/>
              </w:tabs>
              <w:spacing w:line="240" w:lineRule="auto" w:before="37" w:after="0"/>
              <w:ind w:left="738" w:right="0" w:hanging="631"/>
              <w:jc w:val="left"/>
              <w:rPr>
                <w:sz w:val="21"/>
              </w:rPr>
            </w:pPr>
            <w:r>
              <w:rPr>
                <w:spacing w:val="-5"/>
                <w:sz w:val="21"/>
              </w:rPr>
              <w:t>必须持续性地依赖外源性胰岛素维持生命至少 </w:t>
            </w:r>
            <w:r>
              <w:rPr>
                <w:rFonts w:ascii="Times New Roman" w:eastAsia="Times New Roman"/>
                <w:sz w:val="21"/>
              </w:rPr>
              <w:t>180</w:t>
            </w:r>
            <w:r>
              <w:rPr>
                <w:rFonts w:ascii="Times New Roman" w:eastAsia="Times New Roman"/>
                <w:spacing w:val="11"/>
                <w:sz w:val="21"/>
              </w:rPr>
              <w:t> </w:t>
            </w:r>
            <w:r>
              <w:rPr>
                <w:spacing w:val="-2"/>
                <w:sz w:val="21"/>
              </w:rPr>
              <w:t>天以上。</w:t>
            </w:r>
          </w:p>
          <w:p>
            <w:pPr>
              <w:pStyle w:val="TableParagraph"/>
              <w:numPr>
                <w:ilvl w:val="0"/>
                <w:numId w:val="14"/>
              </w:numPr>
              <w:tabs>
                <w:tab w:pos="739" w:val="left" w:leader="none"/>
              </w:tabs>
              <w:spacing w:line="240" w:lineRule="auto" w:before="20" w:after="0"/>
              <w:ind w:left="738" w:right="0" w:hanging="631"/>
              <w:jc w:val="left"/>
              <w:rPr>
                <w:sz w:val="21"/>
              </w:rPr>
            </w:pPr>
            <w:r>
              <w:rPr>
                <w:spacing w:val="-9"/>
                <w:sz w:val="21"/>
              </w:rPr>
              <w:t>血胰岛素测定、血 </w:t>
            </w:r>
            <w:r>
              <w:rPr>
                <w:rFonts w:ascii="Times New Roman" w:eastAsia="Times New Roman"/>
                <w:sz w:val="21"/>
              </w:rPr>
              <w:t>C</w:t>
            </w:r>
            <w:r>
              <w:rPr>
                <w:rFonts w:ascii="Times New Roman" w:eastAsia="Times New Roman"/>
                <w:spacing w:val="7"/>
                <w:sz w:val="21"/>
              </w:rPr>
              <w:t> </w:t>
            </w:r>
            <w:r>
              <w:rPr>
                <w:spacing w:val="-11"/>
                <w:sz w:val="21"/>
              </w:rPr>
              <w:t>肽测定或尿 </w:t>
            </w:r>
            <w:r>
              <w:rPr>
                <w:rFonts w:ascii="Times New Roman" w:eastAsia="Times New Roman"/>
                <w:sz w:val="21"/>
              </w:rPr>
              <w:t>C</w:t>
            </w:r>
            <w:r>
              <w:rPr>
                <w:rFonts w:ascii="Times New Roman" w:eastAsia="Times New Roman"/>
                <w:spacing w:val="3"/>
                <w:sz w:val="21"/>
              </w:rPr>
              <w:t> </w:t>
            </w:r>
            <w:r>
              <w:rPr>
                <w:spacing w:val="-3"/>
                <w:sz w:val="21"/>
              </w:rPr>
              <w:t>肽测定结果异常。</w:t>
            </w:r>
          </w:p>
          <w:p>
            <w:pPr>
              <w:pStyle w:val="TableParagraph"/>
              <w:numPr>
                <w:ilvl w:val="0"/>
                <w:numId w:val="14"/>
              </w:numPr>
              <w:tabs>
                <w:tab w:pos="739" w:val="left" w:leader="none"/>
              </w:tabs>
              <w:spacing w:line="240" w:lineRule="auto" w:before="20" w:after="0"/>
              <w:ind w:left="738" w:right="0" w:hanging="631"/>
              <w:jc w:val="left"/>
              <w:rPr>
                <w:sz w:val="21"/>
              </w:rPr>
            </w:pPr>
            <w:r>
              <w:rPr>
                <w:spacing w:val="-3"/>
                <w:sz w:val="21"/>
              </w:rPr>
              <w:t>出现下述三种并发症之一或一种以上：</w:t>
            </w:r>
          </w:p>
          <w:p>
            <w:pPr>
              <w:pStyle w:val="TableParagraph"/>
              <w:numPr>
                <w:ilvl w:val="0"/>
                <w:numId w:val="15"/>
              </w:numPr>
              <w:tabs>
                <w:tab w:pos="703" w:val="left" w:leader="none"/>
              </w:tabs>
              <w:spacing w:line="240" w:lineRule="auto" w:before="20" w:after="0"/>
              <w:ind w:left="702" w:right="0" w:hanging="278"/>
              <w:jc w:val="left"/>
              <w:rPr>
                <w:sz w:val="21"/>
              </w:rPr>
            </w:pPr>
            <w:r>
              <w:rPr>
                <w:spacing w:val="-3"/>
                <w:sz w:val="21"/>
              </w:rPr>
              <w:t>并发增殖性视网膜病变；</w:t>
            </w:r>
          </w:p>
          <w:p>
            <w:pPr>
              <w:pStyle w:val="TableParagraph"/>
              <w:numPr>
                <w:ilvl w:val="0"/>
                <w:numId w:val="15"/>
              </w:numPr>
              <w:tabs>
                <w:tab w:pos="703" w:val="left" w:leader="none"/>
              </w:tabs>
              <w:spacing w:line="240" w:lineRule="auto" w:before="20" w:after="0"/>
              <w:ind w:left="702" w:right="0" w:hanging="278"/>
              <w:jc w:val="left"/>
              <w:rPr>
                <w:sz w:val="21"/>
              </w:rPr>
            </w:pPr>
            <w:r>
              <w:rPr>
                <w:spacing w:val="-3"/>
                <w:sz w:val="21"/>
              </w:rPr>
              <w:t>并发心脏病变，并须植入心脏起搏器进行治疗；</w:t>
            </w:r>
          </w:p>
          <w:p>
            <w:pPr>
              <w:pStyle w:val="TableParagraph"/>
              <w:numPr>
                <w:ilvl w:val="0"/>
                <w:numId w:val="15"/>
              </w:numPr>
              <w:tabs>
                <w:tab w:pos="703" w:val="left" w:leader="none"/>
              </w:tabs>
              <w:spacing w:line="240" w:lineRule="auto" w:before="20" w:after="0"/>
              <w:ind w:left="702" w:right="0" w:hanging="278"/>
              <w:jc w:val="left"/>
              <w:rPr>
                <w:sz w:val="21"/>
              </w:rPr>
            </w:pPr>
            <w:r>
              <w:rPr>
                <w:spacing w:val="-3"/>
                <w:sz w:val="21"/>
              </w:rPr>
              <w:t>至少一个脚趾发生坏疽并已达到手术切除指征。</w:t>
            </w:r>
          </w:p>
        </w:tc>
      </w:tr>
      <w:tr>
        <w:trPr>
          <w:trHeight w:val="1223" w:hRule="atLeast"/>
        </w:trPr>
        <w:tc>
          <w:tcPr>
            <w:tcW w:w="987" w:type="dxa"/>
          </w:tcPr>
          <w:p>
            <w:pPr>
              <w:pStyle w:val="TableParagraph"/>
              <w:spacing w:before="108"/>
              <w:ind w:left="200"/>
              <w:rPr>
                <w:b/>
                <w:sz w:val="21"/>
              </w:rPr>
            </w:pPr>
            <w:r>
              <w:rPr>
                <w:b/>
                <w:sz w:val="21"/>
              </w:rPr>
              <w:t>3.2.40</w:t>
            </w:r>
          </w:p>
        </w:tc>
        <w:tc>
          <w:tcPr>
            <w:tcW w:w="1768" w:type="dxa"/>
          </w:tcPr>
          <w:p>
            <w:pPr>
              <w:pStyle w:val="TableParagraph"/>
              <w:spacing w:line="271" w:lineRule="auto" w:before="108"/>
              <w:ind w:left="151" w:right="102"/>
              <w:rPr>
                <w:b/>
                <w:sz w:val="21"/>
              </w:rPr>
            </w:pPr>
            <w:r>
              <w:rPr>
                <w:b/>
                <w:sz w:val="21"/>
              </w:rPr>
              <w:t>急性坏死性胰腺炎开腹手术</w:t>
            </w:r>
          </w:p>
        </w:tc>
        <w:tc>
          <w:tcPr>
            <w:tcW w:w="7555" w:type="dxa"/>
          </w:tcPr>
          <w:p>
            <w:pPr>
              <w:pStyle w:val="TableParagraph"/>
              <w:spacing w:line="271" w:lineRule="auto" w:before="108"/>
              <w:ind w:left="106" w:right="239"/>
              <w:rPr>
                <w:sz w:val="21"/>
              </w:rPr>
            </w:pPr>
            <w:r>
              <w:rPr>
                <w:sz w:val="21"/>
              </w:rPr>
              <w:t>指由本公司认可的专科医生确诊为急性坏死性胰腺炎，并已经接受了坏死组织清除、病灶切除或胰腺部分切除的手术治疗。</w:t>
            </w:r>
          </w:p>
          <w:p>
            <w:pPr>
              <w:pStyle w:val="TableParagraph"/>
              <w:spacing w:before="9"/>
              <w:ind w:left="106"/>
              <w:rPr>
                <w:sz w:val="21"/>
              </w:rPr>
            </w:pPr>
            <w:r>
              <w:rPr>
                <w:sz w:val="21"/>
              </w:rPr>
              <w:t>因酒精中毒引起的急性胰腺炎除外。</w:t>
            </w:r>
          </w:p>
        </w:tc>
      </w:tr>
      <w:tr>
        <w:trPr>
          <w:trHeight w:val="711" w:hRule="atLeast"/>
        </w:trPr>
        <w:tc>
          <w:tcPr>
            <w:tcW w:w="987" w:type="dxa"/>
          </w:tcPr>
          <w:p>
            <w:pPr>
              <w:pStyle w:val="TableParagraph"/>
              <w:spacing w:before="132"/>
              <w:ind w:left="200"/>
              <w:rPr>
                <w:b/>
                <w:sz w:val="28"/>
              </w:rPr>
            </w:pPr>
            <w:r>
              <w:rPr>
                <w:b/>
                <w:w w:val="99"/>
                <w:sz w:val="28"/>
              </w:rPr>
              <w:t>⒋</w:t>
            </w:r>
          </w:p>
        </w:tc>
        <w:tc>
          <w:tcPr>
            <w:tcW w:w="1768" w:type="dxa"/>
          </w:tcPr>
          <w:p>
            <w:pPr>
              <w:pStyle w:val="TableParagraph"/>
              <w:spacing w:before="162"/>
              <w:ind w:left="151"/>
              <w:rPr>
                <w:b/>
                <w:sz w:val="24"/>
              </w:rPr>
            </w:pPr>
            <w:r>
              <w:rPr>
                <w:b/>
                <w:sz w:val="24"/>
              </w:rPr>
              <w:t>特定疾病</w:t>
            </w:r>
          </w:p>
        </w:tc>
        <w:tc>
          <w:tcPr>
            <w:tcW w:w="7555" w:type="dxa"/>
          </w:tcPr>
          <w:p>
            <w:pPr>
              <w:pStyle w:val="TableParagraph"/>
              <w:ind w:left="0"/>
              <w:rPr>
                <w:rFonts w:ascii="Times New Roman"/>
                <w:sz w:val="20"/>
              </w:rPr>
            </w:pPr>
          </w:p>
        </w:tc>
      </w:tr>
      <w:tr>
        <w:trPr>
          <w:trHeight w:val="1200" w:hRule="atLeast"/>
        </w:trPr>
        <w:tc>
          <w:tcPr>
            <w:tcW w:w="987" w:type="dxa"/>
          </w:tcPr>
          <w:p>
            <w:pPr>
              <w:pStyle w:val="TableParagraph"/>
              <w:spacing w:before="149"/>
              <w:ind w:left="200"/>
              <w:rPr>
                <w:b/>
                <w:sz w:val="21"/>
              </w:rPr>
            </w:pPr>
            <w:r>
              <w:rPr>
                <w:b/>
                <w:sz w:val="21"/>
              </w:rPr>
              <w:t>4.1</w:t>
            </w:r>
          </w:p>
        </w:tc>
        <w:tc>
          <w:tcPr>
            <w:tcW w:w="1768" w:type="dxa"/>
          </w:tcPr>
          <w:p>
            <w:pPr>
              <w:pStyle w:val="TableParagraph"/>
              <w:spacing w:before="149"/>
              <w:ind w:left="151"/>
              <w:rPr>
                <w:b/>
                <w:sz w:val="21"/>
              </w:rPr>
            </w:pPr>
            <w:r>
              <w:rPr>
                <w:b/>
                <w:sz w:val="21"/>
              </w:rPr>
              <w:t>特定疾病定义</w:t>
            </w:r>
          </w:p>
        </w:tc>
        <w:tc>
          <w:tcPr>
            <w:tcW w:w="7555" w:type="dxa"/>
          </w:tcPr>
          <w:p>
            <w:pPr>
              <w:pStyle w:val="TableParagraph"/>
              <w:spacing w:line="273" w:lineRule="auto" w:before="149"/>
              <w:ind w:left="106" w:right="234"/>
              <w:jc w:val="both"/>
              <w:rPr>
                <w:sz w:val="21"/>
              </w:rPr>
            </w:pPr>
            <w:r>
              <w:rPr>
                <w:sz w:val="21"/>
              </w:rPr>
              <w:t>本合同所指特定疾病，是被保险人经我们认可的医院专科医生明确诊断，发生符合以下定义所述条件的疾病、疾病状态或手术，共计十种。特定疾病的名称及定义如下：</w:t>
            </w:r>
          </w:p>
        </w:tc>
      </w:tr>
      <w:tr>
        <w:trPr>
          <w:trHeight w:val="2113" w:hRule="atLeast"/>
        </w:trPr>
        <w:tc>
          <w:tcPr>
            <w:tcW w:w="987" w:type="dxa"/>
          </w:tcPr>
          <w:p>
            <w:pPr>
              <w:pStyle w:val="TableParagraph"/>
              <w:spacing w:before="88"/>
              <w:ind w:left="200"/>
              <w:rPr>
                <w:b/>
                <w:sz w:val="21"/>
              </w:rPr>
            </w:pPr>
            <w:r>
              <w:rPr>
                <w:b/>
                <w:sz w:val="21"/>
              </w:rPr>
              <w:t>4.1.1</w:t>
            </w:r>
          </w:p>
        </w:tc>
        <w:tc>
          <w:tcPr>
            <w:tcW w:w="1768" w:type="dxa"/>
          </w:tcPr>
          <w:p>
            <w:pPr>
              <w:pStyle w:val="TableParagraph"/>
              <w:spacing w:line="273" w:lineRule="auto" w:before="88"/>
              <w:ind w:left="151" w:right="102"/>
              <w:rPr>
                <w:b/>
                <w:sz w:val="21"/>
              </w:rPr>
            </w:pPr>
            <w:r>
              <w:rPr>
                <w:b/>
                <w:sz w:val="21"/>
              </w:rPr>
              <w:t>极早期的恶性肿瘤或恶性病变</w:t>
            </w:r>
          </w:p>
        </w:tc>
        <w:tc>
          <w:tcPr>
            <w:tcW w:w="7555" w:type="dxa"/>
          </w:tcPr>
          <w:p>
            <w:pPr>
              <w:pStyle w:val="TableParagraph"/>
              <w:spacing w:before="88"/>
              <w:ind w:left="106"/>
              <w:rPr>
                <w:sz w:val="21"/>
              </w:rPr>
            </w:pPr>
            <w:r>
              <w:rPr>
                <w:sz w:val="21"/>
              </w:rPr>
              <w:t>指经组织病理学检查被明确诊断为下列恶性病变，并且接受了相应的治疗。</w:t>
            </w:r>
          </w:p>
          <w:p>
            <w:pPr>
              <w:pStyle w:val="TableParagraph"/>
              <w:spacing w:before="36"/>
              <w:ind w:left="106"/>
              <w:rPr>
                <w:sz w:val="21"/>
              </w:rPr>
            </w:pPr>
            <w:r>
              <w:rPr>
                <w:sz w:val="21"/>
              </w:rPr>
              <w:t>（</w:t>
            </w:r>
            <w:r>
              <w:rPr>
                <w:rFonts w:ascii="Times New Roman" w:eastAsia="Times New Roman"/>
                <w:sz w:val="21"/>
              </w:rPr>
              <w:t>1</w:t>
            </w:r>
            <w:r>
              <w:rPr>
                <w:sz w:val="21"/>
              </w:rPr>
              <w:t>）原位癌；</w:t>
            </w:r>
          </w:p>
          <w:p>
            <w:pPr>
              <w:pStyle w:val="TableParagraph"/>
              <w:spacing w:before="20"/>
              <w:ind w:left="106"/>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0"/>
              <w:ind w:left="106"/>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0"/>
              <w:ind w:left="106"/>
              <w:rPr>
                <w:sz w:val="21"/>
              </w:rPr>
            </w:pPr>
            <w:r>
              <w:rPr>
                <w:sz w:val="21"/>
              </w:rPr>
              <w:t>（</w:t>
            </w:r>
            <w:r>
              <w:rPr>
                <w:rFonts w:ascii="Times New Roman" w:eastAsia="Times New Roman"/>
                <w:sz w:val="21"/>
              </w:rPr>
              <w:t>4</w:t>
            </w:r>
            <w:r>
              <w:rPr>
                <w:sz w:val="21"/>
              </w:rPr>
              <w:t>）皮肤癌；</w:t>
            </w:r>
          </w:p>
          <w:p>
            <w:pPr>
              <w:pStyle w:val="TableParagraph"/>
              <w:spacing w:before="20"/>
              <w:ind w:left="106"/>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z w:val="21"/>
                <w:vertAlign w:val="baseline"/>
              </w:rPr>
              <w:t>期或更轻分期的前列腺癌。</w:t>
            </w:r>
          </w:p>
        </w:tc>
      </w:tr>
      <w:tr>
        <w:trPr>
          <w:trHeight w:val="2112" w:hRule="atLeast"/>
        </w:trPr>
        <w:tc>
          <w:tcPr>
            <w:tcW w:w="987" w:type="dxa"/>
          </w:tcPr>
          <w:p>
            <w:pPr>
              <w:pStyle w:val="TableParagraph"/>
              <w:spacing w:before="94"/>
              <w:ind w:left="200"/>
              <w:rPr>
                <w:b/>
                <w:sz w:val="21"/>
              </w:rPr>
            </w:pPr>
            <w:r>
              <w:rPr>
                <w:b/>
                <w:sz w:val="21"/>
              </w:rPr>
              <w:t>4.1.2</w:t>
            </w:r>
          </w:p>
        </w:tc>
        <w:tc>
          <w:tcPr>
            <w:tcW w:w="1768" w:type="dxa"/>
          </w:tcPr>
          <w:p>
            <w:pPr>
              <w:pStyle w:val="TableParagraph"/>
              <w:spacing w:line="273" w:lineRule="auto" w:before="94"/>
              <w:ind w:left="151" w:right="102"/>
              <w:rPr>
                <w:b/>
                <w:sz w:val="21"/>
              </w:rPr>
            </w:pPr>
            <w:r>
              <w:rPr>
                <w:b/>
                <w:sz w:val="21"/>
              </w:rPr>
              <w:t>不典型的急性心肌梗塞</w:t>
            </w:r>
          </w:p>
        </w:tc>
        <w:tc>
          <w:tcPr>
            <w:tcW w:w="7555" w:type="dxa"/>
          </w:tcPr>
          <w:p>
            <w:pPr>
              <w:pStyle w:val="TableParagraph"/>
              <w:spacing w:line="273" w:lineRule="auto" w:before="94"/>
              <w:ind w:left="106" w:right="300"/>
              <w:rPr>
                <w:sz w:val="21"/>
              </w:rPr>
            </w:pPr>
            <w:r>
              <w:rPr>
                <w:sz w:val="21"/>
              </w:rPr>
              <w:t>指被临床诊断为急性心肌梗塞并接受了急性心肌梗塞治疗，虽然未达到重大疾病“急性心肌梗塞”的给付标准，但满足下列全部条件：</w:t>
            </w:r>
          </w:p>
          <w:p>
            <w:pPr>
              <w:pStyle w:val="TableParagraph"/>
              <w:spacing w:before="7"/>
              <w:ind w:left="106"/>
              <w:rPr>
                <w:sz w:val="21"/>
              </w:rPr>
            </w:pPr>
            <w:r>
              <w:rPr>
                <w:sz w:val="21"/>
              </w:rPr>
              <w:t>（1）肌钙蛋白有诊断意义的升高；</w:t>
            </w:r>
          </w:p>
          <w:p>
            <w:pPr>
              <w:pStyle w:val="TableParagraph"/>
              <w:spacing w:before="37"/>
              <w:ind w:left="106"/>
              <w:rPr>
                <w:sz w:val="21"/>
              </w:rPr>
            </w:pPr>
            <w:r>
              <w:rPr>
                <w:sz w:val="21"/>
              </w:rPr>
              <w:t>（2）心电图有损伤性的ST 段改变但未出现病理Q 波。</w:t>
            </w:r>
          </w:p>
          <w:p>
            <w:pPr>
              <w:pStyle w:val="TableParagraph"/>
              <w:spacing w:line="273" w:lineRule="auto" w:before="37"/>
              <w:ind w:left="106" w:right="300"/>
              <w:rPr>
                <w:sz w:val="21"/>
              </w:rPr>
            </w:pPr>
            <w:r>
              <w:rPr>
                <w:sz w:val="21"/>
              </w:rPr>
              <w:t>如果被保险人在出现不典型的急性心肌梗塞后接受冠状动脉介入手术治疗，该冠状动脉介入手术与不典型的急性心肌梗塞视为同一轻症疾病。</w:t>
            </w:r>
          </w:p>
        </w:tc>
      </w:tr>
      <w:tr>
        <w:trPr>
          <w:trHeight w:val="1463" w:hRule="atLeast"/>
        </w:trPr>
        <w:tc>
          <w:tcPr>
            <w:tcW w:w="987" w:type="dxa"/>
          </w:tcPr>
          <w:p>
            <w:pPr>
              <w:pStyle w:val="TableParagraph"/>
              <w:spacing w:before="118"/>
              <w:ind w:left="200"/>
              <w:rPr>
                <w:b/>
                <w:sz w:val="21"/>
              </w:rPr>
            </w:pPr>
            <w:r>
              <w:rPr>
                <w:b/>
                <w:sz w:val="21"/>
              </w:rPr>
              <w:t>4.1.3</w:t>
            </w:r>
          </w:p>
        </w:tc>
        <w:tc>
          <w:tcPr>
            <w:tcW w:w="1768" w:type="dxa"/>
          </w:tcPr>
          <w:p>
            <w:pPr>
              <w:pStyle w:val="TableParagraph"/>
              <w:spacing w:line="273" w:lineRule="auto" w:before="118"/>
              <w:ind w:left="151" w:right="102"/>
              <w:rPr>
                <w:b/>
                <w:sz w:val="21"/>
              </w:rPr>
            </w:pPr>
            <w:r>
              <w:rPr>
                <w:b/>
                <w:sz w:val="21"/>
              </w:rPr>
              <w:t>冠状动脉介入手术</w:t>
            </w:r>
          </w:p>
        </w:tc>
        <w:tc>
          <w:tcPr>
            <w:tcW w:w="7555" w:type="dxa"/>
          </w:tcPr>
          <w:p>
            <w:pPr>
              <w:pStyle w:val="TableParagraph"/>
              <w:spacing w:line="273" w:lineRule="auto" w:before="118"/>
              <w:ind w:left="106" w:right="238"/>
              <w:rPr>
                <w:sz w:val="21"/>
              </w:rPr>
            </w:pPr>
            <w:r>
              <w:rPr>
                <w:sz w:val="21"/>
              </w:rPr>
              <w:t>指为了治疗明显的冠状动脉狭窄性疾病，首次实际实施了冠状动脉球囊扩张成形术、冠状动脉支架植入术或激光冠状动脉成形术。</w:t>
            </w:r>
          </w:p>
          <w:p>
            <w:pPr>
              <w:pStyle w:val="TableParagraph"/>
              <w:spacing w:line="273" w:lineRule="auto" w:before="7"/>
              <w:ind w:left="106" w:right="239"/>
              <w:rPr>
                <w:sz w:val="21"/>
              </w:rPr>
            </w:pPr>
            <w:r>
              <w:rPr>
                <w:sz w:val="21"/>
              </w:rPr>
              <w:t>如果被保险人在出现不典型的急性心肌梗塞后接受冠状动脉介入手术治疗，该冠状动脉介入手术与不典型的急性心肌梗塞视为同一轻症疾病。</w:t>
            </w:r>
          </w:p>
        </w:tc>
      </w:tr>
      <w:tr>
        <w:trPr>
          <w:trHeight w:val="2218" w:hRule="atLeast"/>
        </w:trPr>
        <w:tc>
          <w:tcPr>
            <w:tcW w:w="987" w:type="dxa"/>
          </w:tcPr>
          <w:p>
            <w:pPr>
              <w:pStyle w:val="TableParagraph"/>
              <w:spacing w:before="70"/>
              <w:ind w:left="200"/>
              <w:rPr>
                <w:b/>
                <w:sz w:val="21"/>
              </w:rPr>
            </w:pPr>
            <w:r>
              <w:rPr>
                <w:b/>
                <w:sz w:val="21"/>
              </w:rPr>
              <w:t>4.1.4</w:t>
            </w:r>
          </w:p>
        </w:tc>
        <w:tc>
          <w:tcPr>
            <w:tcW w:w="1768" w:type="dxa"/>
          </w:tcPr>
          <w:p>
            <w:pPr>
              <w:pStyle w:val="TableParagraph"/>
              <w:spacing w:line="273" w:lineRule="auto" w:before="70"/>
              <w:ind w:left="151" w:right="102"/>
              <w:rPr>
                <w:b/>
                <w:sz w:val="21"/>
              </w:rPr>
            </w:pPr>
            <w:r>
              <w:rPr>
                <w:b/>
                <w:sz w:val="21"/>
              </w:rPr>
              <w:t>特定脑中风后遗症</w:t>
            </w:r>
          </w:p>
        </w:tc>
        <w:tc>
          <w:tcPr>
            <w:tcW w:w="7555" w:type="dxa"/>
          </w:tcPr>
          <w:p>
            <w:pPr>
              <w:pStyle w:val="TableParagraph"/>
              <w:spacing w:line="273" w:lineRule="auto" w:before="70"/>
              <w:ind w:left="106" w:right="234"/>
              <w:jc w:val="both"/>
              <w:rPr>
                <w:sz w:val="21"/>
              </w:rPr>
            </w:pPr>
            <w:r>
              <w:rPr>
                <w:sz w:val="21"/>
              </w:rPr>
              <w:t>指因脑血管的突发病变引起脑血管出血、栓塞或梗塞，并导致神经系统永久性</w:t>
            </w:r>
            <w:r>
              <w:rPr>
                <w:spacing w:val="-3"/>
                <w:sz w:val="21"/>
              </w:rPr>
              <w:t>的功能障碍。神经系统永久性的功能障碍，指疾病确诊 </w:t>
            </w:r>
            <w:r>
              <w:rPr>
                <w:sz w:val="21"/>
              </w:rPr>
              <w:t>180</w:t>
            </w:r>
            <w:r>
              <w:rPr>
                <w:spacing w:val="-3"/>
                <w:sz w:val="21"/>
              </w:rPr>
              <w:t> 天后，仍遗留下列一种或一种以上障碍：</w:t>
            </w:r>
          </w:p>
          <w:p>
            <w:pPr>
              <w:pStyle w:val="TableParagraph"/>
              <w:spacing w:line="273" w:lineRule="auto" w:before="7"/>
              <w:ind w:left="106" w:right="234"/>
              <w:jc w:val="both"/>
              <w:rPr>
                <w:sz w:val="21"/>
              </w:rPr>
            </w:pPr>
            <w:r>
              <w:rPr>
                <w:sz w:val="21"/>
              </w:rPr>
              <w:t>（1）一肢或一肢以上肢体机能部分丧失，其肢体肌力为Ⅲ级,或小于Ⅲ级但尚未达到脑中风后遗症的给付标准；</w:t>
            </w:r>
          </w:p>
          <w:p>
            <w:pPr>
              <w:pStyle w:val="TableParagraph"/>
              <w:spacing w:line="312" w:lineRule="exact" w:before="3"/>
              <w:ind w:left="106" w:right="196"/>
              <w:jc w:val="both"/>
              <w:rPr>
                <w:sz w:val="21"/>
              </w:rPr>
            </w:pPr>
            <w:r>
              <w:rPr>
                <w:sz w:val="21"/>
              </w:rPr>
              <w:t>（2）自主生活能力部分丧失，无法独立完成六项基本日常生活活动中的两项。短暂性脑缺血发作（TIA）和腔隙性脑梗塞不在保障范围内 。</w:t>
            </w:r>
          </w:p>
        </w:tc>
      </w:tr>
    </w:tbl>
    <w:p>
      <w:pPr>
        <w:spacing w:after="0" w:line="312" w:lineRule="exact"/>
        <w:jc w:val="both"/>
        <w:rPr>
          <w:sz w:val="21"/>
        </w:rPr>
        <w:sectPr>
          <w:pgSz w:w="11910" w:h="16840"/>
          <w:pgMar w:header="566" w:footer="664" w:top="1000" w:bottom="860" w:left="820" w:right="560"/>
        </w:sectPr>
      </w:pPr>
    </w:p>
    <w:p>
      <w:pPr>
        <w:pStyle w:val="BodyText"/>
        <w:rPr>
          <w:rFonts w:ascii="Times New Roman"/>
          <w:sz w:val="20"/>
        </w:rPr>
      </w:pPr>
    </w:p>
    <w:p>
      <w:pPr>
        <w:pStyle w:val="BodyText"/>
        <w:spacing w:before="6"/>
        <w:rPr>
          <w:rFonts w:ascii="Times New Roman"/>
          <w:sz w:val="20"/>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8"/>
        <w:gridCol w:w="1769"/>
        <w:gridCol w:w="7408"/>
      </w:tblGrid>
      <w:tr>
        <w:trPr>
          <w:trHeight w:val="679" w:hRule="atLeast"/>
        </w:trPr>
        <w:tc>
          <w:tcPr>
            <w:tcW w:w="848" w:type="dxa"/>
          </w:tcPr>
          <w:p>
            <w:pPr>
              <w:pStyle w:val="TableParagraph"/>
              <w:spacing w:line="211" w:lineRule="exact"/>
              <w:ind w:left="60"/>
              <w:rPr>
                <w:b/>
                <w:sz w:val="21"/>
              </w:rPr>
            </w:pPr>
            <w:r>
              <w:rPr>
                <w:b/>
                <w:sz w:val="21"/>
              </w:rPr>
              <w:t>4.1.5</w:t>
            </w:r>
          </w:p>
        </w:tc>
        <w:tc>
          <w:tcPr>
            <w:tcW w:w="1769" w:type="dxa"/>
          </w:tcPr>
          <w:p>
            <w:pPr>
              <w:pStyle w:val="TableParagraph"/>
              <w:spacing w:line="211" w:lineRule="exact"/>
              <w:ind w:left="151"/>
              <w:rPr>
                <w:b/>
                <w:sz w:val="21"/>
              </w:rPr>
            </w:pPr>
            <w:r>
              <w:rPr>
                <w:b/>
                <w:sz w:val="21"/>
              </w:rPr>
              <w:t>心脏瓣膜介入手</w:t>
            </w:r>
          </w:p>
          <w:p>
            <w:pPr>
              <w:pStyle w:val="TableParagraph"/>
              <w:spacing w:before="37"/>
              <w:ind w:left="151"/>
              <w:rPr>
                <w:b/>
                <w:sz w:val="21"/>
              </w:rPr>
            </w:pPr>
            <w:r>
              <w:rPr>
                <w:b/>
                <w:w w:val="100"/>
                <w:sz w:val="21"/>
              </w:rPr>
              <w:t>术</w:t>
            </w:r>
          </w:p>
        </w:tc>
        <w:tc>
          <w:tcPr>
            <w:tcW w:w="7408" w:type="dxa"/>
          </w:tcPr>
          <w:p>
            <w:pPr>
              <w:pStyle w:val="TableParagraph"/>
              <w:spacing w:line="211" w:lineRule="exact"/>
              <w:ind w:left="105"/>
              <w:rPr>
                <w:sz w:val="21"/>
              </w:rPr>
            </w:pPr>
            <w:r>
              <w:rPr>
                <w:sz w:val="21"/>
              </w:rPr>
              <w:t>指为了治疗心脏瓣膜疾病，实际实施了非开胸的经胸壁打孔内镜手术或经皮经</w:t>
            </w:r>
          </w:p>
          <w:p>
            <w:pPr>
              <w:pStyle w:val="TableParagraph"/>
              <w:spacing w:before="37"/>
              <w:ind w:left="105"/>
              <w:rPr>
                <w:sz w:val="21"/>
              </w:rPr>
            </w:pPr>
            <w:r>
              <w:rPr>
                <w:sz w:val="21"/>
              </w:rPr>
              <w:t>导管介入手术进行的心脏瓣膜置换或修复手术。</w:t>
            </w:r>
          </w:p>
        </w:tc>
      </w:tr>
      <w:tr>
        <w:trPr>
          <w:trHeight w:val="2318" w:hRule="atLeast"/>
        </w:trPr>
        <w:tc>
          <w:tcPr>
            <w:tcW w:w="848" w:type="dxa"/>
          </w:tcPr>
          <w:p>
            <w:pPr>
              <w:pStyle w:val="TableParagraph"/>
              <w:spacing w:before="92"/>
              <w:ind w:left="60"/>
              <w:rPr>
                <w:b/>
                <w:sz w:val="21"/>
              </w:rPr>
            </w:pPr>
            <w:r>
              <w:rPr>
                <w:b/>
                <w:sz w:val="21"/>
              </w:rPr>
              <w:t>4.1.6</w:t>
            </w:r>
          </w:p>
        </w:tc>
        <w:tc>
          <w:tcPr>
            <w:tcW w:w="1769" w:type="dxa"/>
          </w:tcPr>
          <w:p>
            <w:pPr>
              <w:pStyle w:val="TableParagraph"/>
              <w:spacing w:before="92"/>
              <w:ind w:left="151"/>
              <w:rPr>
                <w:b/>
                <w:sz w:val="21"/>
              </w:rPr>
            </w:pPr>
            <w:r>
              <w:rPr>
                <w:b/>
                <w:sz w:val="21"/>
              </w:rPr>
              <w:t>视力严重受损</w:t>
            </w:r>
          </w:p>
        </w:tc>
        <w:tc>
          <w:tcPr>
            <w:tcW w:w="7408" w:type="dxa"/>
          </w:tcPr>
          <w:p>
            <w:pPr>
              <w:pStyle w:val="TableParagraph"/>
              <w:spacing w:before="92"/>
              <w:ind w:left="105"/>
              <w:rPr>
                <w:sz w:val="21"/>
              </w:rPr>
            </w:pPr>
            <w:r>
              <w:rPr>
                <w:sz w:val="21"/>
              </w:rPr>
              <w:t>指因疾病或意外伤害导致双目视力永久不可逆性丧失，虽然未达到重大疾病</w:t>
            </w:r>
          </w:p>
          <w:p>
            <w:pPr>
              <w:pStyle w:val="TableParagraph"/>
              <w:spacing w:before="37"/>
              <w:ind w:left="105"/>
              <w:rPr>
                <w:sz w:val="21"/>
              </w:rPr>
            </w:pPr>
            <w:r>
              <w:rPr>
                <w:sz w:val="21"/>
              </w:rPr>
              <w:t>“双目失明”的给付标准，但满足下列全部条件：</w:t>
            </w:r>
          </w:p>
          <w:p>
            <w:pPr>
              <w:pStyle w:val="TableParagraph"/>
              <w:spacing w:line="273" w:lineRule="auto" w:before="37"/>
              <w:ind w:left="105" w:right="33"/>
              <w:rPr>
                <w:sz w:val="21"/>
              </w:rPr>
            </w:pPr>
            <w:r>
              <w:rPr>
                <w:sz w:val="21"/>
              </w:rPr>
              <w:t>（1）双眼中较好眼矫正视力低于 0.1（采用国际标准视力表，如果使用其他视力表应进行换算）；</w:t>
            </w:r>
          </w:p>
          <w:p>
            <w:pPr>
              <w:pStyle w:val="TableParagraph"/>
              <w:spacing w:before="7"/>
              <w:ind w:left="105"/>
              <w:rPr>
                <w:sz w:val="21"/>
              </w:rPr>
            </w:pPr>
            <w:r>
              <w:rPr>
                <w:sz w:val="21"/>
              </w:rPr>
              <w:t>（2）视野半径小于 20 度。</w:t>
            </w:r>
          </w:p>
          <w:p>
            <w:pPr>
              <w:pStyle w:val="TableParagraph"/>
              <w:spacing w:before="15"/>
              <w:ind w:left="105" w:right="32"/>
              <w:rPr>
                <w:sz w:val="21"/>
              </w:rPr>
            </w:pPr>
            <w:r>
              <w:rPr>
                <w:sz w:val="21"/>
              </w:rPr>
              <w:t>申请理赔时，被保险人年龄必须在 3 周岁以上，并且须提供理赔当时的视力丧失诊断及检查证据。</w:t>
            </w:r>
          </w:p>
        </w:tc>
      </w:tr>
      <w:tr>
        <w:trPr>
          <w:trHeight w:val="830" w:hRule="atLeast"/>
        </w:trPr>
        <w:tc>
          <w:tcPr>
            <w:tcW w:w="848" w:type="dxa"/>
          </w:tcPr>
          <w:p>
            <w:pPr>
              <w:pStyle w:val="TableParagraph"/>
              <w:spacing w:before="75"/>
              <w:ind w:left="60"/>
              <w:rPr>
                <w:b/>
                <w:sz w:val="21"/>
              </w:rPr>
            </w:pPr>
            <w:r>
              <w:rPr>
                <w:b/>
                <w:sz w:val="21"/>
              </w:rPr>
              <w:t>4.1.7</w:t>
            </w:r>
          </w:p>
        </w:tc>
        <w:tc>
          <w:tcPr>
            <w:tcW w:w="1769" w:type="dxa"/>
          </w:tcPr>
          <w:p>
            <w:pPr>
              <w:pStyle w:val="TableParagraph"/>
              <w:spacing w:line="273" w:lineRule="auto" w:before="75"/>
              <w:ind w:left="151" w:right="108"/>
              <w:rPr>
                <w:b/>
                <w:sz w:val="21"/>
              </w:rPr>
            </w:pPr>
            <w:r>
              <w:rPr>
                <w:b/>
                <w:sz w:val="21"/>
              </w:rPr>
              <w:t>较小面积III 度烧伤</w:t>
            </w:r>
          </w:p>
        </w:tc>
        <w:tc>
          <w:tcPr>
            <w:tcW w:w="7408" w:type="dxa"/>
          </w:tcPr>
          <w:p>
            <w:pPr>
              <w:pStyle w:val="TableParagraph"/>
              <w:spacing w:line="273" w:lineRule="auto" w:before="75"/>
              <w:ind w:left="105" w:right="50"/>
              <w:rPr>
                <w:sz w:val="21"/>
              </w:rPr>
            </w:pPr>
            <w:r>
              <w:rPr>
                <w:spacing w:val="-5"/>
                <w:sz w:val="21"/>
              </w:rPr>
              <w:t>指烧伤程度为Ⅲ度，且Ⅲ度烧伤的面积达到全身体表面积的 </w:t>
            </w:r>
            <w:r>
              <w:rPr>
                <w:sz w:val="21"/>
              </w:rPr>
              <w:t>15</w:t>
            </w:r>
            <w:r>
              <w:rPr>
                <w:spacing w:val="-14"/>
                <w:sz w:val="21"/>
              </w:rPr>
              <w:t>％或 </w:t>
            </w:r>
            <w:r>
              <w:rPr>
                <w:sz w:val="21"/>
              </w:rPr>
              <w:t>15</w:t>
            </w:r>
            <w:r>
              <w:rPr>
                <w:spacing w:val="-3"/>
                <w:sz w:val="21"/>
              </w:rPr>
              <w:t>％以上。体表面积根据《中国新九分法》计算。</w:t>
            </w:r>
          </w:p>
        </w:tc>
      </w:tr>
      <w:tr>
        <w:trPr>
          <w:trHeight w:val="840" w:hRule="atLeast"/>
        </w:trPr>
        <w:tc>
          <w:tcPr>
            <w:tcW w:w="848" w:type="dxa"/>
          </w:tcPr>
          <w:p>
            <w:pPr>
              <w:pStyle w:val="TableParagraph"/>
              <w:spacing w:before="104"/>
              <w:ind w:left="60"/>
              <w:rPr>
                <w:b/>
                <w:sz w:val="21"/>
              </w:rPr>
            </w:pPr>
            <w:r>
              <w:rPr>
                <w:b/>
                <w:sz w:val="21"/>
              </w:rPr>
              <w:t>4.1.8</w:t>
            </w:r>
          </w:p>
        </w:tc>
        <w:tc>
          <w:tcPr>
            <w:tcW w:w="1769" w:type="dxa"/>
          </w:tcPr>
          <w:p>
            <w:pPr>
              <w:pStyle w:val="TableParagraph"/>
              <w:spacing w:before="104"/>
              <w:ind w:left="151"/>
              <w:rPr>
                <w:b/>
                <w:sz w:val="21"/>
              </w:rPr>
            </w:pPr>
            <w:r>
              <w:rPr>
                <w:b/>
                <w:sz w:val="21"/>
              </w:rPr>
              <w:t>主动脉内手术</w:t>
            </w:r>
          </w:p>
        </w:tc>
        <w:tc>
          <w:tcPr>
            <w:tcW w:w="7408" w:type="dxa"/>
          </w:tcPr>
          <w:p>
            <w:pPr>
              <w:pStyle w:val="TableParagraph"/>
              <w:spacing w:before="104"/>
              <w:ind w:left="105"/>
              <w:rPr>
                <w:sz w:val="21"/>
              </w:rPr>
            </w:pPr>
            <w:r>
              <w:rPr>
                <w:sz w:val="21"/>
              </w:rPr>
              <w:t>指为了治疗主动脉疾病实际实施了经皮经导管进行的动脉内手术。</w:t>
            </w:r>
          </w:p>
          <w:p>
            <w:pPr>
              <w:pStyle w:val="TableParagraph"/>
              <w:spacing w:before="16"/>
              <w:ind w:left="105"/>
              <w:rPr>
                <w:sz w:val="21"/>
              </w:rPr>
            </w:pPr>
            <w:r>
              <w:rPr>
                <w:sz w:val="21"/>
              </w:rPr>
              <w:t>主动脉指胸主动脉和腹主动脉，不包括胸主动脉和腹主动脉的分支血管。</w:t>
            </w:r>
          </w:p>
        </w:tc>
      </w:tr>
      <w:tr>
        <w:trPr>
          <w:trHeight w:val="1734" w:hRule="atLeast"/>
        </w:trPr>
        <w:tc>
          <w:tcPr>
            <w:tcW w:w="848" w:type="dxa"/>
          </w:tcPr>
          <w:p>
            <w:pPr>
              <w:pStyle w:val="TableParagraph"/>
              <w:spacing w:before="106"/>
              <w:ind w:left="60"/>
              <w:rPr>
                <w:b/>
                <w:sz w:val="21"/>
              </w:rPr>
            </w:pPr>
            <w:r>
              <w:rPr>
                <w:b/>
                <w:sz w:val="21"/>
              </w:rPr>
              <w:t>4.1.9</w:t>
            </w:r>
          </w:p>
        </w:tc>
        <w:tc>
          <w:tcPr>
            <w:tcW w:w="1769" w:type="dxa"/>
          </w:tcPr>
          <w:p>
            <w:pPr>
              <w:pStyle w:val="TableParagraph"/>
              <w:spacing w:line="273" w:lineRule="auto" w:before="106"/>
              <w:ind w:left="151" w:right="103"/>
              <w:jc w:val="both"/>
              <w:rPr>
                <w:b/>
                <w:sz w:val="21"/>
              </w:rPr>
            </w:pPr>
            <w:r>
              <w:rPr>
                <w:b/>
                <w:sz w:val="21"/>
              </w:rPr>
              <w:t>脑垂体瘤、脑囊肿、脑动脉瘤及脑血管瘤</w:t>
            </w:r>
          </w:p>
        </w:tc>
        <w:tc>
          <w:tcPr>
            <w:tcW w:w="7408" w:type="dxa"/>
          </w:tcPr>
          <w:p>
            <w:pPr>
              <w:pStyle w:val="TableParagraph"/>
              <w:spacing w:line="273" w:lineRule="auto" w:before="106"/>
              <w:ind w:left="105" w:right="33"/>
              <w:rPr>
                <w:sz w:val="21"/>
              </w:rPr>
            </w:pPr>
            <w:r>
              <w:rPr>
                <w:sz w:val="21"/>
              </w:rPr>
              <w:t>指经头颅断层扫描（CT）、核磁共振（MRI）或其他影像学检查被确诊为下列病变，并实际接受了手术或放射治疗。</w:t>
            </w:r>
          </w:p>
          <w:p>
            <w:pPr>
              <w:pStyle w:val="TableParagraph"/>
              <w:spacing w:before="7"/>
              <w:ind w:left="105"/>
              <w:rPr>
                <w:sz w:val="21"/>
              </w:rPr>
            </w:pPr>
            <w:r>
              <w:rPr>
                <w:sz w:val="21"/>
              </w:rPr>
              <w:t>（1）脑垂体瘤；</w:t>
            </w:r>
          </w:p>
          <w:p>
            <w:pPr>
              <w:pStyle w:val="TableParagraph"/>
              <w:spacing w:before="37"/>
              <w:ind w:left="105"/>
              <w:rPr>
                <w:sz w:val="21"/>
              </w:rPr>
            </w:pPr>
            <w:r>
              <w:rPr>
                <w:sz w:val="21"/>
              </w:rPr>
              <w:t>（2）脑囊肿；</w:t>
            </w:r>
          </w:p>
          <w:p>
            <w:pPr>
              <w:pStyle w:val="TableParagraph"/>
              <w:spacing w:before="15"/>
              <w:ind w:left="105"/>
              <w:rPr>
                <w:sz w:val="21"/>
              </w:rPr>
            </w:pPr>
            <w:r>
              <w:rPr>
                <w:sz w:val="21"/>
              </w:rPr>
              <w:t>（3）脑动脉瘤、脑血管瘤。</w:t>
            </w:r>
          </w:p>
        </w:tc>
      </w:tr>
      <w:tr>
        <w:trPr>
          <w:trHeight w:val="1766" w:hRule="atLeast"/>
        </w:trPr>
        <w:tc>
          <w:tcPr>
            <w:tcW w:w="848" w:type="dxa"/>
          </w:tcPr>
          <w:p>
            <w:pPr>
              <w:pStyle w:val="TableParagraph"/>
              <w:spacing w:before="62"/>
              <w:ind w:left="60"/>
              <w:rPr>
                <w:b/>
                <w:sz w:val="21"/>
              </w:rPr>
            </w:pPr>
            <w:r>
              <w:rPr>
                <w:b/>
                <w:sz w:val="21"/>
              </w:rPr>
              <w:t>4.1.10</w:t>
            </w:r>
          </w:p>
        </w:tc>
        <w:tc>
          <w:tcPr>
            <w:tcW w:w="1769" w:type="dxa"/>
          </w:tcPr>
          <w:p>
            <w:pPr>
              <w:pStyle w:val="TableParagraph"/>
              <w:spacing w:before="62"/>
              <w:ind w:left="151"/>
              <w:rPr>
                <w:b/>
                <w:sz w:val="21"/>
              </w:rPr>
            </w:pPr>
            <w:r>
              <w:rPr>
                <w:b/>
                <w:sz w:val="21"/>
              </w:rPr>
              <w:t>重度头部外伤</w:t>
            </w:r>
          </w:p>
        </w:tc>
        <w:tc>
          <w:tcPr>
            <w:tcW w:w="7408" w:type="dxa"/>
          </w:tcPr>
          <w:p>
            <w:pPr>
              <w:pStyle w:val="TableParagraph"/>
              <w:spacing w:line="273" w:lineRule="auto" w:before="62"/>
              <w:ind w:left="105" w:right="33"/>
              <w:rPr>
                <w:sz w:val="21"/>
              </w:rPr>
            </w:pPr>
            <w:r>
              <w:rPr>
                <w:sz w:val="21"/>
              </w:rPr>
              <w:t>指因头部遭受机械性外力，引起脑重要部位损伤，导致神经系统永久性的功能障碍。须由头颅断层扫描（CT）、核磁共振检查（MRI）或正电子发射断层扫描</w:t>
            </w:r>
          </w:p>
          <w:p>
            <w:pPr>
              <w:pStyle w:val="TableParagraph"/>
              <w:spacing w:line="273" w:lineRule="auto" w:before="7"/>
              <w:ind w:left="105" w:right="2"/>
              <w:rPr>
                <w:sz w:val="21"/>
              </w:rPr>
            </w:pPr>
            <w:r>
              <w:rPr>
                <w:sz w:val="21"/>
              </w:rPr>
              <w:t>（PET）</w:t>
            </w:r>
            <w:r>
              <w:rPr>
                <w:spacing w:val="-5"/>
                <w:sz w:val="21"/>
              </w:rPr>
              <w:t>等影像学检查证实。神经系统永久性的功能障碍，指脑损伤 </w:t>
            </w:r>
            <w:r>
              <w:rPr>
                <w:sz w:val="21"/>
              </w:rPr>
              <w:t>180</w:t>
            </w:r>
            <w:r>
              <w:rPr>
                <w:spacing w:val="1"/>
                <w:sz w:val="21"/>
              </w:rPr>
              <w:t> 天后， </w:t>
            </w:r>
            <w:r>
              <w:rPr>
                <w:sz w:val="21"/>
              </w:rPr>
              <w:t>仍完全丧失自主生活能力，无法独立完成六项基本日常生活活动中的二项或以上。</w:t>
            </w:r>
          </w:p>
        </w:tc>
      </w:tr>
      <w:tr>
        <w:trPr>
          <w:trHeight w:val="637" w:hRule="atLeast"/>
        </w:trPr>
        <w:tc>
          <w:tcPr>
            <w:tcW w:w="848" w:type="dxa"/>
            <w:tcBorders>
              <w:bottom w:val="single" w:sz="6" w:space="0" w:color="000000"/>
            </w:tcBorders>
          </w:tcPr>
          <w:p>
            <w:pPr>
              <w:pStyle w:val="TableParagraph"/>
              <w:spacing w:before="95"/>
              <w:ind w:left="60"/>
              <w:rPr>
                <w:b/>
                <w:sz w:val="28"/>
              </w:rPr>
            </w:pPr>
            <w:r>
              <w:rPr>
                <w:b/>
                <w:w w:val="99"/>
                <w:sz w:val="28"/>
              </w:rPr>
              <w:t>⒌</w:t>
            </w:r>
          </w:p>
        </w:tc>
        <w:tc>
          <w:tcPr>
            <w:tcW w:w="1769" w:type="dxa"/>
            <w:tcBorders>
              <w:bottom w:val="single" w:sz="6" w:space="0" w:color="000000"/>
            </w:tcBorders>
          </w:tcPr>
          <w:p>
            <w:pPr>
              <w:pStyle w:val="TableParagraph"/>
              <w:spacing w:before="125"/>
              <w:ind w:left="151"/>
              <w:rPr>
                <w:b/>
                <w:sz w:val="24"/>
              </w:rPr>
            </w:pPr>
            <w:r>
              <w:rPr>
                <w:b/>
                <w:w w:val="95"/>
                <w:sz w:val="24"/>
              </w:rPr>
              <w:t>保险金的申请</w:t>
            </w:r>
          </w:p>
        </w:tc>
        <w:tc>
          <w:tcPr>
            <w:tcW w:w="7408" w:type="dxa"/>
            <w:tcBorders>
              <w:bottom w:val="single" w:sz="6" w:space="0" w:color="000000"/>
            </w:tcBorders>
          </w:tcPr>
          <w:p>
            <w:pPr>
              <w:pStyle w:val="TableParagraph"/>
              <w:ind w:left="0"/>
              <w:rPr>
                <w:rFonts w:ascii="Times New Roman"/>
                <w:sz w:val="20"/>
              </w:rPr>
            </w:pPr>
          </w:p>
        </w:tc>
      </w:tr>
      <w:tr>
        <w:trPr>
          <w:trHeight w:val="5154" w:hRule="atLeast"/>
        </w:trPr>
        <w:tc>
          <w:tcPr>
            <w:tcW w:w="848" w:type="dxa"/>
            <w:tcBorders>
              <w:top w:val="single" w:sz="6" w:space="0" w:color="000000"/>
            </w:tcBorders>
          </w:tcPr>
          <w:p>
            <w:pPr>
              <w:pStyle w:val="TableParagraph"/>
              <w:spacing w:before="149"/>
              <w:ind w:left="60"/>
              <w:rPr>
                <w:b/>
                <w:sz w:val="21"/>
              </w:rPr>
            </w:pPr>
            <w:r>
              <w:rPr>
                <w:b/>
                <w:sz w:val="21"/>
              </w:rPr>
              <w:t>5.1</w:t>
            </w:r>
          </w:p>
        </w:tc>
        <w:tc>
          <w:tcPr>
            <w:tcW w:w="1769" w:type="dxa"/>
            <w:tcBorders>
              <w:top w:val="single" w:sz="6" w:space="0" w:color="000000"/>
            </w:tcBorders>
          </w:tcPr>
          <w:p>
            <w:pPr>
              <w:pStyle w:val="TableParagraph"/>
              <w:spacing w:before="149"/>
              <w:ind w:left="151"/>
              <w:rPr>
                <w:b/>
                <w:sz w:val="21"/>
              </w:rPr>
            </w:pPr>
            <w:r>
              <w:rPr>
                <w:b/>
                <w:sz w:val="21"/>
              </w:rPr>
              <w:t>受益人</w:t>
            </w:r>
          </w:p>
        </w:tc>
        <w:tc>
          <w:tcPr>
            <w:tcW w:w="7408" w:type="dxa"/>
            <w:tcBorders>
              <w:top w:val="single" w:sz="6" w:space="0" w:color="000000"/>
              <w:right w:val="single" w:sz="4" w:space="0" w:color="FFFFFF"/>
            </w:tcBorders>
          </w:tcPr>
          <w:p>
            <w:pPr>
              <w:pStyle w:val="TableParagraph"/>
              <w:spacing w:line="273" w:lineRule="auto" w:before="149"/>
              <w:ind w:left="105" w:right="148"/>
              <w:jc w:val="both"/>
              <w:rPr>
                <w:sz w:val="21"/>
              </w:rPr>
            </w:pPr>
            <w:r>
              <w:rPr>
                <w:sz w:val="21"/>
              </w:rPr>
              <w:t>您或者被保险人可以指定一人或多人为身故保险金受益人。身故保险金受益人为多人时，可以确定受益人顺序和受益份额，如果没有确定份额, 各受益人按照相等份额享有受益权。</w:t>
            </w:r>
          </w:p>
          <w:p>
            <w:pPr>
              <w:pStyle w:val="TableParagraph"/>
              <w:spacing w:line="273" w:lineRule="auto" w:before="7"/>
              <w:ind w:left="105" w:right="149"/>
              <w:rPr>
                <w:sz w:val="21"/>
              </w:rPr>
            </w:pPr>
            <w:r>
              <w:rPr>
                <w:sz w:val="21"/>
              </w:rPr>
              <w:t>被保险人为无民事行为能力人或限制民事行为能力人的，可以由其监护人指定受益人。</w:t>
            </w:r>
          </w:p>
          <w:p>
            <w:pPr>
              <w:pStyle w:val="TableParagraph"/>
              <w:spacing w:line="273" w:lineRule="auto" w:before="7"/>
              <w:ind w:left="105" w:right="148"/>
              <w:jc w:val="both"/>
              <w:rPr>
                <w:sz w:val="21"/>
              </w:rPr>
            </w:pPr>
            <w:r>
              <w:rPr>
                <w:sz w:val="21"/>
              </w:rPr>
              <w:t>您或者被保险人可以变更身故保险金受益人并书面通知我们。我们收到变更受益人的书面通知后，将及时在保险单上批注或附贴批单。您在指定或变更身故保险金受益人时，必须经过被保险人书面同意。</w:t>
            </w:r>
          </w:p>
          <w:p>
            <w:pPr>
              <w:pStyle w:val="TableParagraph"/>
              <w:spacing w:line="273" w:lineRule="auto" w:before="7"/>
              <w:ind w:left="105" w:right="148"/>
              <w:rPr>
                <w:sz w:val="21"/>
              </w:rPr>
            </w:pPr>
            <w:r>
              <w:rPr>
                <w:sz w:val="21"/>
              </w:rPr>
              <w:t>被保险人身故后，遇有下列情形之一的，保险金作为被保险人的遗产，由本公司依照《中华人民共和国继承法》的规定履行给付保险金的义务：</w:t>
            </w:r>
          </w:p>
          <w:p>
            <w:pPr>
              <w:pStyle w:val="TableParagraph"/>
              <w:spacing w:before="7"/>
              <w:ind w:left="105"/>
              <w:rPr>
                <w:sz w:val="21"/>
              </w:rPr>
            </w:pPr>
            <w:r>
              <w:rPr>
                <w:sz w:val="21"/>
              </w:rPr>
              <w:t>（1）没有指定受益人，或者受益人指定不明无法确定的；</w:t>
            </w:r>
          </w:p>
          <w:p>
            <w:pPr>
              <w:pStyle w:val="TableParagraph"/>
              <w:spacing w:before="37"/>
              <w:ind w:left="105"/>
              <w:rPr>
                <w:sz w:val="21"/>
              </w:rPr>
            </w:pPr>
            <w:r>
              <w:rPr>
                <w:sz w:val="21"/>
              </w:rPr>
              <w:t>（2）受益人先于被保险人身故，没有其他受益人的；</w:t>
            </w:r>
          </w:p>
          <w:p>
            <w:pPr>
              <w:pStyle w:val="TableParagraph"/>
              <w:spacing w:before="37"/>
              <w:ind w:left="105"/>
              <w:rPr>
                <w:sz w:val="21"/>
              </w:rPr>
            </w:pPr>
            <w:r>
              <w:rPr>
                <w:sz w:val="21"/>
              </w:rPr>
              <w:t>（3）受益人依法丧失受益权或者放弃受益权，没有其他受益人的。</w:t>
            </w:r>
          </w:p>
          <w:p>
            <w:pPr>
              <w:pStyle w:val="TableParagraph"/>
              <w:spacing w:line="273" w:lineRule="auto" w:before="37"/>
              <w:ind w:left="105" w:right="149"/>
              <w:rPr>
                <w:sz w:val="21"/>
              </w:rPr>
            </w:pPr>
            <w:r>
              <w:rPr>
                <w:sz w:val="21"/>
              </w:rPr>
              <w:t>受益人与被保险人在同一事件中身故，且不能确定身故先后顺序的，推定受益人身故在先。</w:t>
            </w:r>
          </w:p>
          <w:p>
            <w:pPr>
              <w:pStyle w:val="TableParagraph"/>
              <w:spacing w:before="7"/>
              <w:ind w:left="105"/>
              <w:jc w:val="both"/>
              <w:rPr>
                <w:sz w:val="21"/>
              </w:rPr>
            </w:pPr>
            <w:r>
              <w:rPr>
                <w:spacing w:val="-7"/>
                <w:sz w:val="21"/>
              </w:rPr>
              <w:t>受益人故意造成被保险人身故、伤残、疾病的，或者故意杀害被保险人未遂的，</w:t>
            </w:r>
          </w:p>
        </w:tc>
      </w:tr>
    </w:tbl>
    <w:p>
      <w:pPr>
        <w:spacing w:after="0"/>
        <w:jc w:val="both"/>
        <w:rPr>
          <w:sz w:val="21"/>
        </w:rPr>
        <w:sectPr>
          <w:pgSz w:w="11910" w:h="16840"/>
          <w:pgMar w:header="566" w:footer="664" w:top="1000" w:bottom="860" w:left="96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3"/>
        <w:gridCol w:w="1806"/>
        <w:gridCol w:w="7437"/>
      </w:tblGrid>
      <w:tr>
        <w:trPr>
          <w:trHeight w:val="652" w:hRule="atLeast"/>
        </w:trPr>
        <w:tc>
          <w:tcPr>
            <w:tcW w:w="933" w:type="dxa"/>
          </w:tcPr>
          <w:p>
            <w:pPr>
              <w:pStyle w:val="TableParagraph"/>
              <w:ind w:left="0"/>
              <w:rPr>
                <w:rFonts w:ascii="Times New Roman"/>
                <w:sz w:val="20"/>
              </w:rPr>
            </w:pPr>
          </w:p>
        </w:tc>
        <w:tc>
          <w:tcPr>
            <w:tcW w:w="1806" w:type="dxa"/>
          </w:tcPr>
          <w:p>
            <w:pPr>
              <w:pStyle w:val="TableParagraph"/>
              <w:ind w:left="0"/>
              <w:rPr>
                <w:rFonts w:ascii="Times New Roman"/>
                <w:sz w:val="20"/>
              </w:rPr>
            </w:pPr>
          </w:p>
        </w:tc>
        <w:tc>
          <w:tcPr>
            <w:tcW w:w="7437" w:type="dxa"/>
          </w:tcPr>
          <w:p>
            <w:pPr>
              <w:pStyle w:val="TableParagraph"/>
              <w:spacing w:line="211" w:lineRule="exact"/>
              <w:ind w:left="123"/>
              <w:rPr>
                <w:sz w:val="21"/>
              </w:rPr>
            </w:pPr>
            <w:r>
              <w:rPr>
                <w:sz w:val="21"/>
              </w:rPr>
              <w:t>该受益人丧失受益权。</w:t>
            </w:r>
          </w:p>
          <w:p>
            <w:pPr>
              <w:pStyle w:val="TableParagraph"/>
              <w:spacing w:before="37"/>
              <w:ind w:left="123"/>
              <w:rPr>
                <w:sz w:val="21"/>
              </w:rPr>
            </w:pPr>
            <w:r>
              <w:rPr>
                <w:sz w:val="21"/>
              </w:rPr>
              <w:t>除另有约定外，身故保险金以外的保险金的受益人为被保险人本人。</w:t>
            </w:r>
          </w:p>
        </w:tc>
      </w:tr>
      <w:tr>
        <w:trPr>
          <w:trHeight w:val="2988" w:hRule="atLeast"/>
        </w:trPr>
        <w:tc>
          <w:tcPr>
            <w:tcW w:w="933" w:type="dxa"/>
          </w:tcPr>
          <w:p>
            <w:pPr>
              <w:pStyle w:val="TableParagraph"/>
              <w:spacing w:before="88"/>
              <w:ind w:left="200"/>
              <w:rPr>
                <w:b/>
                <w:sz w:val="21"/>
              </w:rPr>
            </w:pPr>
            <w:r>
              <w:rPr>
                <w:b/>
                <w:sz w:val="21"/>
              </w:rPr>
              <w:t>5.2</w:t>
            </w:r>
          </w:p>
        </w:tc>
        <w:tc>
          <w:tcPr>
            <w:tcW w:w="1806" w:type="dxa"/>
          </w:tcPr>
          <w:p>
            <w:pPr>
              <w:pStyle w:val="TableParagraph"/>
              <w:spacing w:before="88"/>
              <w:ind w:left="205"/>
              <w:rPr>
                <w:b/>
                <w:sz w:val="21"/>
              </w:rPr>
            </w:pPr>
            <w:r>
              <w:rPr>
                <w:b/>
                <w:sz w:val="21"/>
              </w:rPr>
              <w:t>保险事故通知</w:t>
            </w:r>
          </w:p>
        </w:tc>
        <w:tc>
          <w:tcPr>
            <w:tcW w:w="7437" w:type="dxa"/>
          </w:tcPr>
          <w:p>
            <w:pPr>
              <w:pStyle w:val="TableParagraph"/>
              <w:spacing w:line="261" w:lineRule="auto" w:before="88"/>
              <w:ind w:left="123" w:right="50"/>
              <w:jc w:val="both"/>
              <w:rPr>
                <w:sz w:val="22"/>
              </w:rPr>
            </w:pPr>
            <w:r>
              <w:rPr>
                <w:spacing w:val="-9"/>
                <w:sz w:val="21"/>
              </w:rPr>
              <w:t>请您、被保险人、受益人或其他有权领取保险金的人在知道</w:t>
            </w:r>
            <w:r>
              <w:rPr>
                <w:b/>
                <w:sz w:val="21"/>
              </w:rPr>
              <w:t>保险事故</w:t>
            </w:r>
            <w:r>
              <w:rPr>
                <w:b/>
                <w:position w:val="11"/>
                <w:sz w:val="11"/>
              </w:rPr>
              <w:t>［12.23］</w:t>
            </w:r>
            <w:r>
              <w:rPr>
                <w:sz w:val="21"/>
              </w:rPr>
              <w:t>发生之日起10</w:t>
            </w:r>
            <w:r>
              <w:rPr>
                <w:spacing w:val="-3"/>
                <w:sz w:val="21"/>
              </w:rPr>
              <w:t>日内通知我们，</w:t>
            </w:r>
            <w:r>
              <w:rPr>
                <w:sz w:val="22"/>
              </w:rPr>
              <w:t>否则</w:t>
            </w:r>
            <w:r>
              <w:rPr>
                <w:spacing w:val="-3"/>
                <w:sz w:val="21"/>
              </w:rPr>
              <w:t>您、被保险人、受益人或其他有权领取保险金的人</w:t>
            </w:r>
            <w:r>
              <w:rPr>
                <w:spacing w:val="-3"/>
                <w:sz w:val="22"/>
              </w:rPr>
              <w:t>需承担由于延迟通知致使我们增加的勘查、检验等费用，</w:t>
            </w:r>
            <w:r>
              <w:rPr>
                <w:spacing w:val="-3"/>
                <w:sz w:val="21"/>
              </w:rPr>
              <w:t>因</w:t>
            </w:r>
            <w:r>
              <w:rPr>
                <w:b/>
                <w:sz w:val="21"/>
              </w:rPr>
              <w:t>不可抗力</w:t>
            </w:r>
            <w:r>
              <w:rPr>
                <w:b/>
                <w:position w:val="11"/>
                <w:sz w:val="11"/>
              </w:rPr>
              <w:t>［12.24］ </w:t>
            </w:r>
            <w:r>
              <w:rPr>
                <w:spacing w:val="-3"/>
                <w:sz w:val="21"/>
              </w:rPr>
              <w:t>导致的通知延迟除外</w:t>
            </w:r>
            <w:r>
              <w:rPr>
                <w:sz w:val="22"/>
              </w:rPr>
              <w:t>。</w:t>
            </w:r>
          </w:p>
          <w:p>
            <w:pPr>
              <w:pStyle w:val="TableParagraph"/>
              <w:spacing w:line="273" w:lineRule="auto" w:before="13"/>
              <w:ind w:left="123" w:right="144"/>
              <w:jc w:val="both"/>
              <w:rPr>
                <w:rFonts w:ascii="黑体" w:eastAsia="黑体" w:hint="eastAsia"/>
                <w:b/>
                <w:sz w:val="21"/>
              </w:rPr>
            </w:pPr>
            <w:r>
              <w:rPr>
                <w:rFonts w:ascii="黑体" w:eastAsia="黑体" w:hint="eastAsia"/>
                <w:b/>
                <w:sz w:val="21"/>
              </w:rPr>
              <w:t>如果您、被保险人、受益人或其他有权领取保险金的人故意或者因重大过失未及时通知我们，致使保险事故的性质、原因、伤害程度等难以确定的，我们对无法确定的部分，不承担给付保险金的责任，但我们通过其他途径已经及时知道或者应当及时知道保险事故发Th或者虽未及时通知但不影响我们确定保险事故的性质、原因、损失程度的除外。</w:t>
            </w:r>
          </w:p>
        </w:tc>
      </w:tr>
      <w:tr>
        <w:trPr>
          <w:trHeight w:val="593" w:hRule="atLeast"/>
        </w:trPr>
        <w:tc>
          <w:tcPr>
            <w:tcW w:w="933" w:type="dxa"/>
          </w:tcPr>
          <w:p>
            <w:pPr>
              <w:pStyle w:val="TableParagraph"/>
              <w:spacing w:before="88"/>
              <w:ind w:left="200"/>
              <w:rPr>
                <w:b/>
                <w:sz w:val="21"/>
              </w:rPr>
            </w:pPr>
            <w:r>
              <w:rPr>
                <w:b/>
                <w:sz w:val="21"/>
              </w:rPr>
              <w:t>5.3</w:t>
            </w:r>
          </w:p>
        </w:tc>
        <w:tc>
          <w:tcPr>
            <w:tcW w:w="1806" w:type="dxa"/>
          </w:tcPr>
          <w:p>
            <w:pPr>
              <w:pStyle w:val="TableParagraph"/>
              <w:spacing w:before="88"/>
              <w:ind w:left="205"/>
              <w:rPr>
                <w:b/>
                <w:sz w:val="21"/>
              </w:rPr>
            </w:pPr>
            <w:r>
              <w:rPr>
                <w:b/>
                <w:sz w:val="21"/>
              </w:rPr>
              <w:t>保险金申请</w:t>
            </w:r>
          </w:p>
        </w:tc>
        <w:tc>
          <w:tcPr>
            <w:tcW w:w="7437" w:type="dxa"/>
          </w:tcPr>
          <w:p>
            <w:pPr>
              <w:pStyle w:val="TableParagraph"/>
              <w:spacing w:before="88"/>
              <w:ind w:left="123"/>
              <w:rPr>
                <w:sz w:val="21"/>
              </w:rPr>
            </w:pPr>
            <w:r>
              <w:rPr>
                <w:sz w:val="21"/>
              </w:rPr>
              <w:t>申请各项保险金时，</w:t>
            </w:r>
            <w:r>
              <w:rPr>
                <w:b/>
                <w:sz w:val="21"/>
              </w:rPr>
              <w:t>申请人</w:t>
            </w:r>
            <w:r>
              <w:rPr>
                <w:b/>
                <w:position w:val="11"/>
                <w:sz w:val="11"/>
              </w:rPr>
              <w:t>［12.25］</w:t>
            </w:r>
            <w:r>
              <w:rPr>
                <w:sz w:val="21"/>
              </w:rPr>
              <w:t>应提供相关证明文件和资料。</w:t>
            </w:r>
          </w:p>
        </w:tc>
      </w:tr>
      <w:tr>
        <w:trPr>
          <w:trHeight w:val="2829" w:hRule="atLeast"/>
        </w:trPr>
        <w:tc>
          <w:tcPr>
            <w:tcW w:w="933" w:type="dxa"/>
          </w:tcPr>
          <w:p>
            <w:pPr>
              <w:pStyle w:val="TableParagraph"/>
              <w:spacing w:line="262" w:lineRule="exact"/>
              <w:ind w:left="200"/>
              <w:rPr>
                <w:b/>
                <w:sz w:val="21"/>
              </w:rPr>
            </w:pPr>
            <w:r>
              <w:rPr>
                <w:b/>
                <w:sz w:val="21"/>
              </w:rPr>
              <w:t>5.3.1</w:t>
            </w:r>
          </w:p>
        </w:tc>
        <w:tc>
          <w:tcPr>
            <w:tcW w:w="1806" w:type="dxa"/>
          </w:tcPr>
          <w:p>
            <w:pPr>
              <w:pStyle w:val="TableParagraph"/>
              <w:spacing w:line="273" w:lineRule="auto"/>
              <w:ind w:left="205" w:right="119"/>
              <w:jc w:val="both"/>
              <w:rPr>
                <w:b/>
                <w:sz w:val="21"/>
              </w:rPr>
            </w:pPr>
            <w:r>
              <w:rPr>
                <w:b/>
                <w:sz w:val="21"/>
              </w:rPr>
              <w:t>重大疾病保险金和特定疾病保险金申请</w:t>
            </w:r>
          </w:p>
        </w:tc>
        <w:tc>
          <w:tcPr>
            <w:tcW w:w="7437" w:type="dxa"/>
            <w:tcBorders>
              <w:right w:val="single" w:sz="4" w:space="0" w:color="FFFFFF"/>
            </w:tcBorders>
          </w:tcPr>
          <w:p>
            <w:pPr>
              <w:pStyle w:val="TableParagraph"/>
              <w:spacing w:line="262" w:lineRule="exact"/>
              <w:ind w:left="123" w:right="-15"/>
              <w:rPr>
                <w:sz w:val="21"/>
              </w:rPr>
            </w:pPr>
            <w:r>
              <w:rPr>
                <w:spacing w:val="-6"/>
                <w:sz w:val="21"/>
              </w:rPr>
              <w:t>申请人申请重大疾病保险金、特定疾病保险金时，应提供下列证明文件和资料：</w:t>
            </w:r>
          </w:p>
          <w:p>
            <w:pPr>
              <w:pStyle w:val="TableParagraph"/>
              <w:spacing w:before="37"/>
              <w:ind w:left="123"/>
              <w:rPr>
                <w:sz w:val="21"/>
              </w:rPr>
            </w:pPr>
            <w:r>
              <w:rPr>
                <w:sz w:val="21"/>
              </w:rPr>
              <w:t>（1）理赔申请书；</w:t>
            </w:r>
          </w:p>
          <w:p>
            <w:pPr>
              <w:pStyle w:val="TableParagraph"/>
              <w:spacing w:before="37"/>
              <w:ind w:left="123"/>
              <w:rPr>
                <w:sz w:val="21"/>
              </w:rPr>
            </w:pPr>
            <w:r>
              <w:rPr>
                <w:sz w:val="21"/>
              </w:rPr>
              <w:t>（2）保险合同；</w:t>
            </w:r>
          </w:p>
          <w:p>
            <w:pPr>
              <w:pStyle w:val="TableParagraph"/>
              <w:spacing w:before="37"/>
              <w:ind w:left="123"/>
              <w:rPr>
                <w:sz w:val="21"/>
              </w:rPr>
            </w:pPr>
            <w:r>
              <w:rPr>
                <w:sz w:val="21"/>
              </w:rPr>
              <w:t>（3）被保险人</w:t>
            </w:r>
            <w:r>
              <w:rPr>
                <w:b/>
                <w:sz w:val="21"/>
              </w:rPr>
              <w:t>法定有效身份证明</w:t>
            </w:r>
            <w:r>
              <w:rPr>
                <w:b/>
                <w:position w:val="11"/>
                <w:sz w:val="11"/>
              </w:rPr>
              <w:t>［12.26］</w:t>
            </w:r>
            <w:r>
              <w:rPr>
                <w:sz w:val="21"/>
              </w:rPr>
              <w:t>；</w:t>
            </w:r>
          </w:p>
          <w:p>
            <w:pPr>
              <w:pStyle w:val="TableParagraph"/>
              <w:spacing w:before="37"/>
              <w:ind w:left="123"/>
              <w:rPr>
                <w:sz w:val="21"/>
              </w:rPr>
            </w:pPr>
            <w:r>
              <w:rPr>
                <w:sz w:val="21"/>
              </w:rPr>
              <w:t>（4）申请人的法定有效身份证明及关系证明；</w:t>
            </w:r>
          </w:p>
          <w:p>
            <w:pPr>
              <w:pStyle w:val="TableParagraph"/>
              <w:spacing w:line="273" w:lineRule="auto" w:before="37"/>
              <w:ind w:left="649" w:right="93" w:hanging="527"/>
              <w:jc w:val="both"/>
              <w:rPr>
                <w:sz w:val="21"/>
              </w:rPr>
            </w:pPr>
            <w:r>
              <w:rPr>
                <w:spacing w:val="-8"/>
                <w:sz w:val="21"/>
              </w:rPr>
              <w:t>（5）</w:t>
            </w:r>
            <w:r>
              <w:rPr>
                <w:spacing w:val="-4"/>
                <w:sz w:val="21"/>
              </w:rPr>
              <w:t>能够证明符合约定重大疾病定义的我们认可的医院出具的医学诊断书、医</w:t>
            </w:r>
            <w:r>
              <w:rPr>
                <w:spacing w:val="-8"/>
                <w:sz w:val="21"/>
              </w:rPr>
              <w:t>疗病历、检查报告以及其他医学证明文件或司法鉴定机构出具的法医鉴定报告；</w:t>
            </w:r>
          </w:p>
          <w:p>
            <w:pPr>
              <w:pStyle w:val="TableParagraph"/>
              <w:spacing w:before="7"/>
              <w:ind w:left="123" w:right="-15"/>
              <w:rPr>
                <w:sz w:val="21"/>
              </w:rPr>
            </w:pPr>
            <w:r>
              <w:rPr>
                <w:spacing w:val="-25"/>
                <w:sz w:val="21"/>
              </w:rPr>
              <w:t>（6）</w:t>
            </w:r>
            <w:r>
              <w:rPr>
                <w:spacing w:val="-7"/>
                <w:sz w:val="21"/>
              </w:rPr>
              <w:t>申请人所能提供的与确认保险事故的性质、原因等有关的其他证明和资料。</w:t>
            </w:r>
          </w:p>
        </w:tc>
      </w:tr>
      <w:tr>
        <w:trPr>
          <w:trHeight w:val="3586" w:hRule="atLeast"/>
        </w:trPr>
        <w:tc>
          <w:tcPr>
            <w:tcW w:w="933" w:type="dxa"/>
          </w:tcPr>
          <w:p>
            <w:pPr>
              <w:pStyle w:val="TableParagraph"/>
              <w:spacing w:before="167"/>
              <w:ind w:left="200"/>
              <w:rPr>
                <w:b/>
                <w:sz w:val="21"/>
              </w:rPr>
            </w:pPr>
            <w:r>
              <w:rPr>
                <w:b/>
                <w:sz w:val="21"/>
              </w:rPr>
              <w:t>5.3.2</w:t>
            </w:r>
          </w:p>
        </w:tc>
        <w:tc>
          <w:tcPr>
            <w:tcW w:w="1806" w:type="dxa"/>
          </w:tcPr>
          <w:p>
            <w:pPr>
              <w:pStyle w:val="TableParagraph"/>
              <w:spacing w:line="273" w:lineRule="auto" w:before="167"/>
              <w:ind w:left="205" w:right="119"/>
              <w:rPr>
                <w:b/>
                <w:sz w:val="21"/>
              </w:rPr>
            </w:pPr>
            <w:r>
              <w:rPr>
                <w:b/>
                <w:sz w:val="21"/>
              </w:rPr>
              <w:t>高度残疾保险金申请</w:t>
            </w:r>
          </w:p>
        </w:tc>
        <w:tc>
          <w:tcPr>
            <w:tcW w:w="7437" w:type="dxa"/>
          </w:tcPr>
          <w:p>
            <w:pPr>
              <w:pStyle w:val="TableParagraph"/>
              <w:spacing w:before="167"/>
              <w:ind w:left="123"/>
              <w:rPr>
                <w:sz w:val="21"/>
              </w:rPr>
            </w:pPr>
            <w:r>
              <w:rPr>
                <w:sz w:val="21"/>
              </w:rPr>
              <w:t>申请人申请高度残疾保险金时，应提供下列证明文件和资料：</w:t>
            </w:r>
          </w:p>
          <w:p>
            <w:pPr>
              <w:pStyle w:val="TableParagraph"/>
              <w:spacing w:before="36"/>
              <w:ind w:left="123"/>
              <w:rPr>
                <w:sz w:val="21"/>
              </w:rPr>
            </w:pPr>
            <w:r>
              <w:rPr>
                <w:sz w:val="21"/>
              </w:rPr>
              <w:t>（</w:t>
            </w:r>
            <w:r>
              <w:rPr>
                <w:rFonts w:ascii="Times New Roman" w:eastAsia="Times New Roman"/>
                <w:sz w:val="21"/>
              </w:rPr>
              <w:t>1</w:t>
            </w:r>
            <w:r>
              <w:rPr>
                <w:sz w:val="21"/>
              </w:rPr>
              <w:t>）理赔申请书；</w:t>
            </w:r>
          </w:p>
          <w:p>
            <w:pPr>
              <w:pStyle w:val="TableParagraph"/>
              <w:spacing w:before="21"/>
              <w:ind w:left="123"/>
              <w:rPr>
                <w:sz w:val="21"/>
              </w:rPr>
            </w:pPr>
            <w:r>
              <w:rPr>
                <w:sz w:val="21"/>
              </w:rPr>
              <w:t>（</w:t>
            </w:r>
            <w:r>
              <w:rPr>
                <w:rFonts w:ascii="Times New Roman" w:eastAsia="Times New Roman"/>
                <w:sz w:val="21"/>
              </w:rPr>
              <w:t>2</w:t>
            </w:r>
            <w:r>
              <w:rPr>
                <w:sz w:val="21"/>
              </w:rPr>
              <w:t>）保险合同；</w:t>
            </w:r>
          </w:p>
          <w:p>
            <w:pPr>
              <w:pStyle w:val="TableParagraph"/>
              <w:spacing w:before="21"/>
              <w:ind w:left="123"/>
              <w:rPr>
                <w:sz w:val="21"/>
              </w:rPr>
            </w:pPr>
            <w:r>
              <w:rPr>
                <w:sz w:val="21"/>
              </w:rPr>
              <w:t>（</w:t>
            </w:r>
            <w:r>
              <w:rPr>
                <w:rFonts w:ascii="Times New Roman" w:eastAsia="Times New Roman"/>
                <w:sz w:val="21"/>
              </w:rPr>
              <w:t>3</w:t>
            </w:r>
            <w:r>
              <w:rPr>
                <w:sz w:val="21"/>
              </w:rPr>
              <w:t>）被保险人的法定有效身份证明；</w:t>
            </w:r>
          </w:p>
          <w:p>
            <w:pPr>
              <w:pStyle w:val="TableParagraph"/>
              <w:spacing w:before="21"/>
              <w:ind w:left="123"/>
              <w:rPr>
                <w:sz w:val="21"/>
              </w:rPr>
            </w:pPr>
            <w:r>
              <w:rPr>
                <w:sz w:val="21"/>
              </w:rPr>
              <w:t>（</w:t>
            </w:r>
            <w:r>
              <w:rPr>
                <w:rFonts w:ascii="Times New Roman" w:eastAsia="Times New Roman"/>
                <w:sz w:val="21"/>
              </w:rPr>
              <w:t>4</w:t>
            </w:r>
            <w:r>
              <w:rPr>
                <w:sz w:val="21"/>
              </w:rPr>
              <w:t>）申请人的法定有效身份证明及关系证明；</w:t>
            </w:r>
          </w:p>
          <w:p>
            <w:pPr>
              <w:pStyle w:val="TableParagraph"/>
              <w:spacing w:line="256" w:lineRule="auto" w:before="21"/>
              <w:ind w:left="649" w:right="101" w:hanging="527"/>
              <w:rPr>
                <w:sz w:val="21"/>
              </w:rPr>
            </w:pPr>
            <w:r>
              <w:rPr>
                <w:sz w:val="21"/>
              </w:rPr>
              <w:t>（</w:t>
            </w:r>
            <w:r>
              <w:rPr>
                <w:rFonts w:ascii="Times New Roman" w:eastAsia="Times New Roman"/>
                <w:sz w:val="21"/>
              </w:rPr>
              <w:t>5</w:t>
            </w:r>
            <w:r>
              <w:rPr>
                <w:sz w:val="21"/>
              </w:rPr>
              <w:t>） 我们认可的司法鉴定机构根据本合同关于高度残疾的约定所出具的残疾程度鉴定书；</w:t>
            </w:r>
          </w:p>
          <w:p>
            <w:pPr>
              <w:pStyle w:val="TableParagraph"/>
              <w:spacing w:line="256" w:lineRule="auto" w:before="22"/>
              <w:ind w:left="649" w:right="55" w:hanging="527"/>
              <w:rPr>
                <w:sz w:val="21"/>
              </w:rPr>
            </w:pPr>
            <w:r>
              <w:rPr>
                <w:sz w:val="21"/>
              </w:rPr>
              <w:t>（</w:t>
            </w:r>
            <w:r>
              <w:rPr>
                <w:rFonts w:ascii="Times New Roman" w:eastAsia="Times New Roman"/>
                <w:sz w:val="21"/>
              </w:rPr>
              <w:t>6</w:t>
            </w:r>
            <w:r>
              <w:rPr>
                <w:sz w:val="21"/>
              </w:rPr>
              <w:t>）申请人所能提供的与确认保险事故的性质、原因、伤害程度等有关的其他证明和资料；</w:t>
            </w:r>
          </w:p>
          <w:p>
            <w:pPr>
              <w:pStyle w:val="TableParagraph"/>
              <w:spacing w:before="22"/>
              <w:ind w:left="123"/>
              <w:rPr>
                <w:sz w:val="21"/>
              </w:rPr>
            </w:pPr>
            <w:r>
              <w:rPr>
                <w:sz w:val="21"/>
              </w:rPr>
              <w:t>（</w:t>
            </w:r>
            <w:r>
              <w:rPr>
                <w:rFonts w:ascii="Times New Roman" w:eastAsia="Times New Roman"/>
                <w:sz w:val="21"/>
              </w:rPr>
              <w:t>7</w:t>
            </w:r>
            <w:r>
              <w:rPr>
                <w:sz w:val="21"/>
              </w:rPr>
              <w:t>）若被保险人因意外伤害高度残疾，须提供相关意外伤害事故证明和资料。</w:t>
            </w:r>
          </w:p>
        </w:tc>
      </w:tr>
      <w:tr>
        <w:trPr>
          <w:trHeight w:val="3216" w:hRule="atLeast"/>
        </w:trPr>
        <w:tc>
          <w:tcPr>
            <w:tcW w:w="933" w:type="dxa"/>
          </w:tcPr>
          <w:p>
            <w:pPr>
              <w:pStyle w:val="TableParagraph"/>
              <w:spacing w:line="262" w:lineRule="exact"/>
              <w:ind w:left="200"/>
              <w:rPr>
                <w:b/>
                <w:sz w:val="21"/>
              </w:rPr>
            </w:pPr>
            <w:r>
              <w:rPr>
                <w:b/>
                <w:sz w:val="21"/>
              </w:rPr>
              <w:t>5.3.3</w:t>
            </w:r>
          </w:p>
        </w:tc>
        <w:tc>
          <w:tcPr>
            <w:tcW w:w="1806" w:type="dxa"/>
          </w:tcPr>
          <w:p>
            <w:pPr>
              <w:pStyle w:val="TableParagraph"/>
              <w:spacing w:line="262" w:lineRule="exact"/>
              <w:ind w:left="205"/>
              <w:rPr>
                <w:b/>
                <w:sz w:val="21"/>
              </w:rPr>
            </w:pPr>
            <w:r>
              <w:rPr>
                <w:b/>
                <w:sz w:val="21"/>
              </w:rPr>
              <w:t>身故保险金申请</w:t>
            </w:r>
          </w:p>
        </w:tc>
        <w:tc>
          <w:tcPr>
            <w:tcW w:w="7437" w:type="dxa"/>
            <w:tcBorders>
              <w:right w:val="single" w:sz="4" w:space="0" w:color="FFFFFF"/>
            </w:tcBorders>
          </w:tcPr>
          <w:p>
            <w:pPr>
              <w:pStyle w:val="TableParagraph"/>
              <w:spacing w:line="262" w:lineRule="exact"/>
              <w:ind w:left="123"/>
              <w:rPr>
                <w:sz w:val="21"/>
              </w:rPr>
            </w:pPr>
            <w:r>
              <w:rPr>
                <w:sz w:val="21"/>
              </w:rPr>
              <w:t>申请人申请身故保险金时，应提供下列证明文件和资料：</w:t>
            </w:r>
          </w:p>
          <w:p>
            <w:pPr>
              <w:pStyle w:val="TableParagraph"/>
              <w:spacing w:before="37"/>
              <w:ind w:left="123"/>
              <w:rPr>
                <w:sz w:val="21"/>
              </w:rPr>
            </w:pPr>
            <w:r>
              <w:rPr>
                <w:sz w:val="21"/>
              </w:rPr>
              <w:t>（1）理赔申请书；</w:t>
            </w:r>
          </w:p>
          <w:p>
            <w:pPr>
              <w:pStyle w:val="TableParagraph"/>
              <w:spacing w:before="37"/>
              <w:ind w:left="123"/>
              <w:rPr>
                <w:sz w:val="21"/>
              </w:rPr>
            </w:pPr>
            <w:r>
              <w:rPr>
                <w:sz w:val="21"/>
              </w:rPr>
              <w:t>（2）保险合同；</w:t>
            </w:r>
          </w:p>
          <w:p>
            <w:pPr>
              <w:pStyle w:val="TableParagraph"/>
              <w:spacing w:before="37"/>
              <w:ind w:left="123"/>
              <w:rPr>
                <w:sz w:val="21"/>
              </w:rPr>
            </w:pPr>
            <w:r>
              <w:rPr>
                <w:sz w:val="21"/>
              </w:rPr>
              <w:t>（3）申请人的法定有效身份证明及关系证明；</w:t>
            </w:r>
          </w:p>
          <w:p>
            <w:pPr>
              <w:pStyle w:val="TableParagraph"/>
              <w:spacing w:before="36"/>
              <w:ind w:left="123"/>
              <w:rPr>
                <w:sz w:val="21"/>
              </w:rPr>
            </w:pPr>
            <w:r>
              <w:rPr>
                <w:sz w:val="21"/>
              </w:rPr>
              <w:t>（4）公安部门或医疗机构出具的死亡证明文件；</w:t>
            </w:r>
          </w:p>
          <w:p>
            <w:pPr>
              <w:pStyle w:val="TableParagraph"/>
              <w:spacing w:before="36"/>
              <w:ind w:left="123"/>
              <w:rPr>
                <w:sz w:val="21"/>
              </w:rPr>
            </w:pPr>
            <w:r>
              <w:rPr>
                <w:sz w:val="21"/>
              </w:rPr>
              <w:t>（5）被保险人的户籍注销证明和殡葬证明；</w:t>
            </w:r>
          </w:p>
          <w:p>
            <w:pPr>
              <w:pStyle w:val="TableParagraph"/>
              <w:spacing w:before="36"/>
              <w:ind w:left="123"/>
              <w:rPr>
                <w:sz w:val="21"/>
              </w:rPr>
            </w:pPr>
            <w:r>
              <w:rPr>
                <w:sz w:val="21"/>
              </w:rPr>
              <w:t>（6）被保险人被宣告死亡的，需提供人民法院的宣告死亡判决书；</w:t>
            </w:r>
          </w:p>
          <w:p>
            <w:pPr>
              <w:pStyle w:val="TableParagraph"/>
              <w:spacing w:before="36"/>
              <w:ind w:left="123" w:right="-15"/>
              <w:rPr>
                <w:sz w:val="21"/>
              </w:rPr>
            </w:pPr>
            <w:r>
              <w:rPr>
                <w:spacing w:val="-25"/>
                <w:sz w:val="21"/>
              </w:rPr>
              <w:t>（7）</w:t>
            </w:r>
            <w:r>
              <w:rPr>
                <w:spacing w:val="-7"/>
                <w:sz w:val="21"/>
              </w:rPr>
              <w:t>申请人所能提供的与确认保险事故的性质、原因等有关的其他证明和资料；</w:t>
            </w:r>
          </w:p>
          <w:p>
            <w:pPr>
              <w:pStyle w:val="TableParagraph"/>
              <w:spacing w:line="273" w:lineRule="auto" w:before="36"/>
              <w:ind w:left="123" w:right="161"/>
              <w:rPr>
                <w:sz w:val="21"/>
              </w:rPr>
            </w:pPr>
            <w:r>
              <w:rPr>
                <w:sz w:val="21"/>
              </w:rPr>
              <w:t>（8）</w:t>
            </w:r>
            <w:r>
              <w:rPr>
                <w:spacing w:val="-3"/>
                <w:sz w:val="21"/>
              </w:rPr>
              <w:t>若被保险人因意外伤害身故，须提供相关意外伤害事故证明和资料。  保险金作为被保险人的遗产时，必须提供可证明合法继承权的相关权利文件。</w:t>
            </w:r>
          </w:p>
        </w:tc>
      </w:tr>
    </w:tbl>
    <w:p>
      <w:pPr>
        <w:spacing w:after="0" w:line="273" w:lineRule="auto"/>
        <w:rPr>
          <w:sz w:val="21"/>
        </w:rPr>
        <w:sectPr>
          <w:pgSz w:w="11910" w:h="16840"/>
          <w:pgMar w:header="566" w:footer="664" w:top="1000" w:bottom="860" w:left="820" w:right="680"/>
        </w:sectPr>
      </w:pPr>
    </w:p>
    <w:p>
      <w:pPr>
        <w:pStyle w:val="BodyText"/>
        <w:rPr>
          <w:rFonts w:ascii="Times New Roman"/>
          <w:sz w:val="20"/>
        </w:rPr>
      </w:pPr>
    </w:p>
    <w:p>
      <w:pPr>
        <w:pStyle w:val="BodyText"/>
        <w:spacing w:before="7" w:after="1"/>
        <w:rPr>
          <w:rFonts w:ascii="Times New Roman"/>
          <w:sz w:val="18"/>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5"/>
        <w:gridCol w:w="1912"/>
        <w:gridCol w:w="7404"/>
      </w:tblGrid>
      <w:tr>
        <w:trPr>
          <w:trHeight w:val="685" w:hRule="atLeast"/>
        </w:trPr>
        <w:tc>
          <w:tcPr>
            <w:tcW w:w="725" w:type="dxa"/>
          </w:tcPr>
          <w:p>
            <w:pPr>
              <w:pStyle w:val="TableParagraph"/>
              <w:spacing w:line="233" w:lineRule="exact"/>
              <w:ind w:left="96"/>
              <w:rPr>
                <w:b/>
                <w:sz w:val="21"/>
              </w:rPr>
            </w:pPr>
            <w:r>
              <w:rPr>
                <w:b/>
                <w:sz w:val="21"/>
              </w:rPr>
              <w:t>5.4</w:t>
            </w:r>
          </w:p>
        </w:tc>
        <w:tc>
          <w:tcPr>
            <w:tcW w:w="1912" w:type="dxa"/>
          </w:tcPr>
          <w:p>
            <w:pPr>
              <w:pStyle w:val="TableParagraph"/>
              <w:spacing w:line="233" w:lineRule="exact"/>
              <w:ind w:left="310"/>
              <w:rPr>
                <w:b/>
                <w:sz w:val="21"/>
              </w:rPr>
            </w:pPr>
            <w:r>
              <w:rPr>
                <w:b/>
                <w:sz w:val="21"/>
              </w:rPr>
              <w:t>委托他人代为申</w:t>
            </w:r>
          </w:p>
          <w:p>
            <w:pPr>
              <w:pStyle w:val="TableParagraph"/>
              <w:spacing w:before="37"/>
              <w:ind w:left="310"/>
              <w:rPr>
                <w:b/>
                <w:sz w:val="21"/>
              </w:rPr>
            </w:pPr>
            <w:r>
              <w:rPr>
                <w:b/>
                <w:sz w:val="21"/>
              </w:rPr>
              <w:t>请保险金</w:t>
            </w:r>
          </w:p>
        </w:tc>
        <w:tc>
          <w:tcPr>
            <w:tcW w:w="7404" w:type="dxa"/>
          </w:tcPr>
          <w:p>
            <w:pPr>
              <w:pStyle w:val="TableParagraph"/>
              <w:spacing w:line="209" w:lineRule="exact"/>
              <w:ind w:left="121"/>
              <w:rPr>
                <w:sz w:val="21"/>
              </w:rPr>
            </w:pPr>
            <w:r>
              <w:rPr>
                <w:sz w:val="21"/>
              </w:rPr>
              <w:t>若申请人委托他人代为申请保险金，受委托人还应提供申请人亲笔签字的授权</w:t>
            </w:r>
          </w:p>
          <w:p>
            <w:pPr>
              <w:pStyle w:val="TableParagraph"/>
              <w:spacing w:line="273" w:lineRule="exact"/>
              <w:ind w:left="121"/>
              <w:rPr>
                <w:sz w:val="21"/>
              </w:rPr>
            </w:pPr>
            <w:r>
              <w:rPr>
                <w:sz w:val="21"/>
              </w:rPr>
              <w:t>委托书、受委托人的法定有效身份证明等相关证明文件。</w:t>
            </w:r>
          </w:p>
        </w:tc>
      </w:tr>
      <w:tr>
        <w:trPr>
          <w:trHeight w:val="800" w:hRule="atLeast"/>
        </w:trPr>
        <w:tc>
          <w:tcPr>
            <w:tcW w:w="725" w:type="dxa"/>
          </w:tcPr>
          <w:p>
            <w:pPr>
              <w:pStyle w:val="TableParagraph"/>
              <w:spacing w:before="76"/>
              <w:ind w:left="96"/>
              <w:rPr>
                <w:b/>
                <w:sz w:val="21"/>
              </w:rPr>
            </w:pPr>
            <w:r>
              <w:rPr>
                <w:b/>
                <w:sz w:val="21"/>
              </w:rPr>
              <w:t>5.5</w:t>
            </w:r>
          </w:p>
        </w:tc>
        <w:tc>
          <w:tcPr>
            <w:tcW w:w="1912" w:type="dxa"/>
          </w:tcPr>
          <w:p>
            <w:pPr>
              <w:pStyle w:val="TableParagraph"/>
              <w:spacing w:before="76"/>
              <w:ind w:left="310"/>
              <w:rPr>
                <w:b/>
                <w:sz w:val="21"/>
              </w:rPr>
            </w:pPr>
            <w:r>
              <w:rPr>
                <w:b/>
                <w:sz w:val="21"/>
              </w:rPr>
              <w:t>提供补充材料</w:t>
            </w:r>
          </w:p>
        </w:tc>
        <w:tc>
          <w:tcPr>
            <w:tcW w:w="7404" w:type="dxa"/>
          </w:tcPr>
          <w:p>
            <w:pPr>
              <w:pStyle w:val="TableParagraph"/>
              <w:spacing w:line="273" w:lineRule="auto" w:before="76"/>
              <w:ind w:left="121" w:right="134"/>
              <w:rPr>
                <w:sz w:val="21"/>
              </w:rPr>
            </w:pPr>
            <w:r>
              <w:rPr>
                <w:sz w:val="21"/>
              </w:rPr>
              <w:t>以上保险金申请的证明和资料不完整的，我们将一次性通知申请人补充提供有关的证明和资料。</w:t>
            </w:r>
          </w:p>
        </w:tc>
      </w:tr>
      <w:tr>
        <w:trPr>
          <w:trHeight w:val="4551" w:hRule="atLeast"/>
        </w:trPr>
        <w:tc>
          <w:tcPr>
            <w:tcW w:w="725" w:type="dxa"/>
          </w:tcPr>
          <w:p>
            <w:pPr>
              <w:pStyle w:val="TableParagraph"/>
              <w:spacing w:before="80"/>
              <w:ind w:left="96"/>
              <w:rPr>
                <w:b/>
                <w:sz w:val="21"/>
              </w:rPr>
            </w:pPr>
            <w:r>
              <w:rPr>
                <w:b/>
                <w:sz w:val="21"/>
              </w:rPr>
              <w:t>5.6</w:t>
            </w:r>
          </w:p>
        </w:tc>
        <w:tc>
          <w:tcPr>
            <w:tcW w:w="1912" w:type="dxa"/>
          </w:tcPr>
          <w:p>
            <w:pPr>
              <w:pStyle w:val="TableParagraph"/>
              <w:spacing w:before="80"/>
              <w:ind w:left="310"/>
              <w:rPr>
                <w:b/>
                <w:sz w:val="21"/>
              </w:rPr>
            </w:pPr>
            <w:r>
              <w:rPr>
                <w:b/>
                <w:sz w:val="21"/>
              </w:rPr>
              <w:t>保险金给付</w:t>
            </w:r>
          </w:p>
        </w:tc>
        <w:tc>
          <w:tcPr>
            <w:tcW w:w="7404" w:type="dxa"/>
          </w:tcPr>
          <w:p>
            <w:pPr>
              <w:pStyle w:val="TableParagraph"/>
              <w:spacing w:before="80"/>
              <w:ind w:left="121"/>
              <w:rPr>
                <w:sz w:val="21"/>
              </w:rPr>
            </w:pPr>
            <w:r>
              <w:rPr>
                <w:spacing w:val="-8"/>
                <w:sz w:val="21"/>
              </w:rPr>
              <w:t>（1）</w:t>
            </w:r>
            <w:r>
              <w:rPr>
                <w:spacing w:val="-5"/>
                <w:sz w:val="21"/>
              </w:rPr>
              <w:t>我们在收到保险金给付申请书及合同约定的证明和资料后，将在 </w:t>
            </w:r>
            <w:r>
              <w:rPr>
                <w:rFonts w:ascii="Times New Roman" w:eastAsia="Times New Roman"/>
                <w:sz w:val="21"/>
              </w:rPr>
              <w:t>5 </w:t>
            </w:r>
            <w:r>
              <w:rPr>
                <w:spacing w:val="-2"/>
                <w:sz w:val="21"/>
              </w:rPr>
              <w:t>日内作</w:t>
            </w:r>
          </w:p>
          <w:p>
            <w:pPr>
              <w:pStyle w:val="TableParagraph"/>
              <w:spacing w:line="264" w:lineRule="auto" w:before="21"/>
              <w:ind w:left="648" w:right="66"/>
              <w:jc w:val="both"/>
              <w:rPr>
                <w:sz w:val="21"/>
              </w:rPr>
            </w:pPr>
            <w:r>
              <w:rPr>
                <w:spacing w:val="-4"/>
                <w:sz w:val="21"/>
              </w:rPr>
              <w:t>出核定；情形复杂的，在 </w:t>
            </w:r>
            <w:r>
              <w:rPr>
                <w:rFonts w:ascii="Times New Roman" w:eastAsia="Times New Roman"/>
                <w:sz w:val="21"/>
              </w:rPr>
              <w:t>30 </w:t>
            </w:r>
            <w:r>
              <w:rPr>
                <w:spacing w:val="-3"/>
                <w:sz w:val="21"/>
              </w:rPr>
              <w:t>日内作出核定，但合同另有约定的除外。我</w:t>
            </w:r>
            <w:r>
              <w:rPr>
                <w:spacing w:val="-5"/>
                <w:sz w:val="21"/>
              </w:rPr>
              <w:t>们应当将核定结果通知被保险人或者受益人；对属于保险责任的，在与被</w:t>
            </w:r>
            <w:r>
              <w:rPr>
                <w:spacing w:val="-4"/>
                <w:sz w:val="21"/>
              </w:rPr>
              <w:t>保险人或者受益人达成给付保险金的协议后 </w:t>
            </w:r>
            <w:r>
              <w:rPr>
                <w:rFonts w:ascii="Times New Roman" w:eastAsia="Times New Roman"/>
                <w:sz w:val="21"/>
              </w:rPr>
              <w:t>10 </w:t>
            </w:r>
            <w:r>
              <w:rPr>
                <w:spacing w:val="-3"/>
                <w:sz w:val="21"/>
              </w:rPr>
              <w:t>日内，履行给付保险金义</w:t>
            </w:r>
            <w:r>
              <w:rPr>
                <w:spacing w:val="-7"/>
                <w:sz w:val="21"/>
              </w:rPr>
              <w:t>务。本合同对给付保险金的期限有约定的，我们应当按照约定履行给付保</w:t>
            </w:r>
            <w:r>
              <w:rPr>
                <w:spacing w:val="-4"/>
                <w:sz w:val="21"/>
              </w:rPr>
              <w:t>险金义务。</w:t>
            </w:r>
          </w:p>
          <w:p>
            <w:pPr>
              <w:pStyle w:val="TableParagraph"/>
              <w:spacing w:line="273" w:lineRule="auto" w:before="16"/>
              <w:ind w:left="648" w:right="22" w:hanging="527"/>
              <w:rPr>
                <w:sz w:val="21"/>
              </w:rPr>
            </w:pPr>
            <w:r>
              <w:rPr>
                <w:sz w:val="21"/>
              </w:rPr>
              <w:t>（2）我们未及时履行前款规定义务的，除支付保险金外，应当赔偿被保险人或者受益人因此受到的损失。</w:t>
            </w:r>
          </w:p>
          <w:p>
            <w:pPr>
              <w:pStyle w:val="TableParagraph"/>
              <w:spacing w:line="264" w:lineRule="auto" w:before="8"/>
              <w:ind w:left="648" w:right="66" w:hanging="527"/>
              <w:jc w:val="both"/>
              <w:rPr>
                <w:sz w:val="21"/>
              </w:rPr>
            </w:pPr>
            <w:r>
              <w:rPr>
                <w:spacing w:val="-5"/>
                <w:sz w:val="21"/>
              </w:rPr>
              <w:t>（3）我们依照前款的规定作出核定后，对不属于保险责任的，应当自作出核定</w:t>
            </w:r>
            <w:r>
              <w:rPr>
                <w:spacing w:val="-12"/>
                <w:sz w:val="21"/>
              </w:rPr>
              <w:t>之日起 </w:t>
            </w:r>
            <w:r>
              <w:rPr>
                <w:rFonts w:ascii="Times New Roman" w:eastAsia="Times New Roman"/>
                <w:sz w:val="21"/>
              </w:rPr>
              <w:t>3 </w:t>
            </w:r>
            <w:r>
              <w:rPr>
                <w:spacing w:val="-5"/>
                <w:sz w:val="21"/>
              </w:rPr>
              <w:t>日内向被保险人或者受益人发出拒绝给付保险金通知书，并说明理由。</w:t>
            </w:r>
          </w:p>
          <w:p>
            <w:pPr>
              <w:pStyle w:val="TableParagraph"/>
              <w:spacing w:line="264" w:lineRule="auto" w:before="15"/>
              <w:ind w:left="648" w:right="28" w:hanging="527"/>
              <w:rPr>
                <w:sz w:val="21"/>
              </w:rPr>
            </w:pPr>
            <w:r>
              <w:rPr>
                <w:sz w:val="21"/>
              </w:rPr>
              <w:t>（4）我们在收到保险金给付申请书及有关证明和资料之日起 </w:t>
            </w:r>
            <w:r>
              <w:rPr>
                <w:rFonts w:ascii="Times New Roman" w:eastAsia="Times New Roman"/>
                <w:sz w:val="21"/>
              </w:rPr>
              <w:t>60 </w:t>
            </w:r>
            <w:r>
              <w:rPr>
                <w:sz w:val="21"/>
              </w:rPr>
              <w:t>日内，对给付保险金的数额不能确定的，应当根据已有证明和资料可以确定的数额先予支付；我们最终确定给付保险金的数额后，应当支付相应的差额。</w:t>
            </w:r>
          </w:p>
        </w:tc>
      </w:tr>
      <w:tr>
        <w:trPr>
          <w:trHeight w:val="2064" w:hRule="atLeast"/>
        </w:trPr>
        <w:tc>
          <w:tcPr>
            <w:tcW w:w="725" w:type="dxa"/>
          </w:tcPr>
          <w:p>
            <w:pPr>
              <w:pStyle w:val="TableParagraph"/>
              <w:spacing w:before="76"/>
              <w:ind w:left="96"/>
              <w:rPr>
                <w:b/>
                <w:sz w:val="21"/>
              </w:rPr>
            </w:pPr>
            <w:r>
              <w:rPr>
                <w:b/>
                <w:sz w:val="21"/>
              </w:rPr>
              <w:t>5.7</w:t>
            </w:r>
          </w:p>
        </w:tc>
        <w:tc>
          <w:tcPr>
            <w:tcW w:w="1912" w:type="dxa"/>
          </w:tcPr>
          <w:p>
            <w:pPr>
              <w:pStyle w:val="TableParagraph"/>
              <w:spacing w:line="273" w:lineRule="auto" w:before="76"/>
              <w:ind w:left="310" w:right="122"/>
              <w:rPr>
                <w:b/>
                <w:sz w:val="21"/>
              </w:rPr>
            </w:pPr>
            <w:r>
              <w:rPr>
                <w:b/>
                <w:sz w:val="21"/>
              </w:rPr>
              <w:t>法院宣告死亡的处理</w:t>
            </w:r>
          </w:p>
        </w:tc>
        <w:tc>
          <w:tcPr>
            <w:tcW w:w="7404" w:type="dxa"/>
          </w:tcPr>
          <w:p>
            <w:pPr>
              <w:pStyle w:val="TableParagraph"/>
              <w:spacing w:line="273" w:lineRule="auto" w:before="76"/>
              <w:ind w:left="121" w:right="134"/>
              <w:jc w:val="both"/>
              <w:rPr>
                <w:sz w:val="21"/>
              </w:rPr>
            </w:pPr>
            <w:r>
              <w:rPr>
                <w:sz w:val="21"/>
              </w:rPr>
              <w:t>如果被保险人在本合同有效期内失踪，而且被法院宣告死亡，我们以法院判决书宣告死亡之日作为被保险人的死亡时间，按本合同的约定给付身故保险金， 本合同效力终止。</w:t>
            </w:r>
          </w:p>
          <w:p>
            <w:pPr>
              <w:pStyle w:val="TableParagraph"/>
              <w:spacing w:line="273" w:lineRule="auto" w:before="7"/>
              <w:ind w:left="121" w:right="450"/>
              <w:rPr>
                <w:sz w:val="21"/>
              </w:rPr>
            </w:pPr>
            <w:r>
              <w:rPr>
                <w:spacing w:val="-3"/>
                <w:sz w:val="21"/>
              </w:rPr>
              <w:t>如果被保险人在宣告死亡后重新出现或者确知其没有死亡，受益人或者其</w:t>
            </w:r>
            <w:r>
              <w:rPr>
                <w:spacing w:val="-5"/>
                <w:sz w:val="21"/>
              </w:rPr>
              <w:t>他领取保险金的人应于知道或应当知道之日起 </w:t>
            </w:r>
            <w:r>
              <w:rPr>
                <w:sz w:val="21"/>
              </w:rPr>
              <w:t>30</w:t>
            </w:r>
            <w:r>
              <w:rPr>
                <w:spacing w:val="-8"/>
                <w:sz w:val="21"/>
              </w:rPr>
              <w:t> 日内，向我们退还已收取</w:t>
            </w:r>
            <w:r>
              <w:rPr>
                <w:spacing w:val="-5"/>
                <w:sz w:val="21"/>
              </w:rPr>
              <w:t>的保险金，本合同的效力由我们双方依法协商处理。</w:t>
            </w:r>
          </w:p>
        </w:tc>
      </w:tr>
      <w:tr>
        <w:trPr>
          <w:trHeight w:val="1500" w:hRule="atLeast"/>
        </w:trPr>
        <w:tc>
          <w:tcPr>
            <w:tcW w:w="725" w:type="dxa"/>
          </w:tcPr>
          <w:p>
            <w:pPr>
              <w:pStyle w:val="TableParagraph"/>
              <w:spacing w:before="89"/>
              <w:ind w:left="96"/>
              <w:rPr>
                <w:b/>
                <w:sz w:val="21"/>
              </w:rPr>
            </w:pPr>
            <w:r>
              <w:rPr>
                <w:b/>
                <w:sz w:val="21"/>
              </w:rPr>
              <w:t>5.8</w:t>
            </w:r>
          </w:p>
        </w:tc>
        <w:tc>
          <w:tcPr>
            <w:tcW w:w="1912" w:type="dxa"/>
          </w:tcPr>
          <w:p>
            <w:pPr>
              <w:pStyle w:val="TableParagraph"/>
              <w:spacing w:before="89"/>
              <w:ind w:left="310"/>
              <w:rPr>
                <w:b/>
                <w:sz w:val="21"/>
              </w:rPr>
            </w:pPr>
            <w:r>
              <w:rPr>
                <w:b/>
                <w:sz w:val="21"/>
              </w:rPr>
              <w:t>诉讼时效</w:t>
            </w:r>
          </w:p>
        </w:tc>
        <w:tc>
          <w:tcPr>
            <w:tcW w:w="7404" w:type="dxa"/>
          </w:tcPr>
          <w:p>
            <w:pPr>
              <w:pStyle w:val="TableParagraph"/>
              <w:spacing w:line="273" w:lineRule="auto" w:before="89"/>
              <w:ind w:left="121" w:right="133"/>
              <w:rPr>
                <w:sz w:val="21"/>
              </w:rPr>
            </w:pPr>
            <w:r>
              <w:rPr>
                <w:sz w:val="21"/>
              </w:rPr>
              <w:t>申请人向我们申请给付重大疾病保险金、特定疾病保险金、高度残疾保险金的诉讼时效期间为 2 年，自其知道或应当知道保险事故发生之日起计算。</w:t>
            </w:r>
          </w:p>
          <w:p>
            <w:pPr>
              <w:pStyle w:val="TableParagraph"/>
              <w:spacing w:line="273" w:lineRule="auto" w:before="8"/>
              <w:ind w:left="121" w:right="134"/>
              <w:rPr>
                <w:sz w:val="21"/>
              </w:rPr>
            </w:pPr>
            <w:r>
              <w:rPr>
                <w:spacing w:val="-5"/>
                <w:sz w:val="21"/>
              </w:rPr>
              <w:t>申请人向我们申请给付身故保险金的诉讼时效期间为 </w:t>
            </w:r>
            <w:r>
              <w:rPr>
                <w:sz w:val="21"/>
              </w:rPr>
              <w:t>5</w:t>
            </w:r>
            <w:r>
              <w:rPr>
                <w:spacing w:val="-8"/>
                <w:sz w:val="21"/>
              </w:rPr>
              <w:t> 年，自其知道或应当知</w:t>
            </w:r>
            <w:r>
              <w:rPr>
                <w:spacing w:val="-5"/>
                <w:sz w:val="21"/>
              </w:rPr>
              <w:t>道保险事故发生之日起计算。</w:t>
            </w:r>
          </w:p>
        </w:tc>
      </w:tr>
      <w:tr>
        <w:trPr>
          <w:trHeight w:val="634" w:hRule="atLeast"/>
        </w:trPr>
        <w:tc>
          <w:tcPr>
            <w:tcW w:w="725" w:type="dxa"/>
            <w:tcBorders>
              <w:bottom w:val="single" w:sz="6" w:space="0" w:color="000000"/>
            </w:tcBorders>
          </w:tcPr>
          <w:p>
            <w:pPr>
              <w:pStyle w:val="TableParagraph"/>
              <w:spacing w:before="114"/>
              <w:ind w:left="96"/>
              <w:rPr>
                <w:b/>
                <w:sz w:val="28"/>
              </w:rPr>
            </w:pPr>
            <w:r>
              <w:rPr>
                <w:b/>
                <w:w w:val="99"/>
                <w:sz w:val="28"/>
              </w:rPr>
              <w:t>⒍</w:t>
            </w:r>
          </w:p>
        </w:tc>
        <w:tc>
          <w:tcPr>
            <w:tcW w:w="1912" w:type="dxa"/>
            <w:tcBorders>
              <w:bottom w:val="single" w:sz="6" w:space="0" w:color="000000"/>
            </w:tcBorders>
          </w:tcPr>
          <w:p>
            <w:pPr>
              <w:pStyle w:val="TableParagraph"/>
              <w:spacing w:before="144"/>
              <w:ind w:left="310"/>
              <w:rPr>
                <w:b/>
                <w:sz w:val="24"/>
              </w:rPr>
            </w:pPr>
            <w:r>
              <w:rPr>
                <w:b/>
                <w:w w:val="95"/>
                <w:sz w:val="24"/>
              </w:rPr>
              <w:t>保险费的交纳</w:t>
            </w:r>
          </w:p>
        </w:tc>
        <w:tc>
          <w:tcPr>
            <w:tcW w:w="7404" w:type="dxa"/>
            <w:tcBorders>
              <w:bottom w:val="single" w:sz="6" w:space="0" w:color="000000"/>
            </w:tcBorders>
          </w:tcPr>
          <w:p>
            <w:pPr>
              <w:pStyle w:val="TableParagraph"/>
              <w:ind w:left="0"/>
              <w:rPr>
                <w:rFonts w:ascii="Times New Roman"/>
                <w:sz w:val="20"/>
              </w:rPr>
            </w:pPr>
          </w:p>
        </w:tc>
      </w:tr>
      <w:tr>
        <w:trPr>
          <w:trHeight w:val="1208" w:hRule="atLeast"/>
        </w:trPr>
        <w:tc>
          <w:tcPr>
            <w:tcW w:w="725" w:type="dxa"/>
            <w:tcBorders>
              <w:top w:val="single" w:sz="6" w:space="0" w:color="000000"/>
            </w:tcBorders>
          </w:tcPr>
          <w:p>
            <w:pPr>
              <w:pStyle w:val="TableParagraph"/>
              <w:spacing w:before="171"/>
              <w:ind w:left="96"/>
              <w:rPr>
                <w:b/>
                <w:sz w:val="21"/>
              </w:rPr>
            </w:pPr>
            <w:r>
              <w:rPr>
                <w:b/>
                <w:sz w:val="21"/>
              </w:rPr>
              <w:t>6.1</w:t>
            </w:r>
          </w:p>
        </w:tc>
        <w:tc>
          <w:tcPr>
            <w:tcW w:w="1912" w:type="dxa"/>
            <w:tcBorders>
              <w:top w:val="single" w:sz="6" w:space="0" w:color="000000"/>
            </w:tcBorders>
          </w:tcPr>
          <w:p>
            <w:pPr>
              <w:pStyle w:val="TableParagraph"/>
              <w:spacing w:before="171"/>
              <w:ind w:left="310"/>
              <w:rPr>
                <w:b/>
                <w:sz w:val="21"/>
              </w:rPr>
            </w:pPr>
            <w:r>
              <w:rPr>
                <w:b/>
                <w:sz w:val="21"/>
              </w:rPr>
              <w:t>保险费的交纳</w:t>
            </w:r>
          </w:p>
        </w:tc>
        <w:tc>
          <w:tcPr>
            <w:tcW w:w="7404" w:type="dxa"/>
            <w:tcBorders>
              <w:top w:val="single" w:sz="6" w:space="0" w:color="000000"/>
            </w:tcBorders>
          </w:tcPr>
          <w:p>
            <w:pPr>
              <w:pStyle w:val="TableParagraph"/>
              <w:spacing w:before="171"/>
              <w:ind w:left="121"/>
              <w:rPr>
                <w:sz w:val="21"/>
              </w:rPr>
            </w:pPr>
            <w:r>
              <w:rPr>
                <w:sz w:val="21"/>
              </w:rPr>
              <w:t>本合同的交费频次和交费期间由您和我们约定并在保险单上载明。</w:t>
            </w:r>
          </w:p>
          <w:p>
            <w:pPr>
              <w:pStyle w:val="TableParagraph"/>
              <w:spacing w:line="268" w:lineRule="auto" w:before="36"/>
              <w:ind w:left="121" w:right="71"/>
              <w:rPr>
                <w:sz w:val="21"/>
              </w:rPr>
            </w:pPr>
            <w:r>
              <w:rPr>
                <w:sz w:val="21"/>
              </w:rPr>
              <w:t>分期支付保险费的，在交纳首期保险费后，您应当按照约定，在每个</w:t>
            </w:r>
            <w:r>
              <w:rPr>
                <w:b/>
                <w:sz w:val="21"/>
              </w:rPr>
              <w:t>保险费约定支付日</w:t>
            </w:r>
            <w:r>
              <w:rPr>
                <w:b/>
                <w:position w:val="10"/>
                <w:sz w:val="11"/>
              </w:rPr>
              <w:t>［12.27］</w:t>
            </w:r>
            <w:r>
              <w:rPr>
                <w:sz w:val="21"/>
              </w:rPr>
              <w:t>交纳其余各期的保险费。</w:t>
            </w:r>
          </w:p>
        </w:tc>
      </w:tr>
      <w:tr>
        <w:trPr>
          <w:trHeight w:val="1802" w:hRule="atLeast"/>
        </w:trPr>
        <w:tc>
          <w:tcPr>
            <w:tcW w:w="725" w:type="dxa"/>
          </w:tcPr>
          <w:p>
            <w:pPr>
              <w:pStyle w:val="TableParagraph"/>
              <w:spacing w:before="79"/>
              <w:ind w:left="96"/>
              <w:rPr>
                <w:b/>
                <w:sz w:val="21"/>
              </w:rPr>
            </w:pPr>
            <w:r>
              <w:rPr>
                <w:b/>
                <w:sz w:val="21"/>
              </w:rPr>
              <w:t>6.2</w:t>
            </w:r>
          </w:p>
        </w:tc>
        <w:tc>
          <w:tcPr>
            <w:tcW w:w="1912" w:type="dxa"/>
          </w:tcPr>
          <w:p>
            <w:pPr>
              <w:pStyle w:val="TableParagraph"/>
              <w:spacing w:before="79"/>
              <w:ind w:left="310"/>
              <w:rPr>
                <w:b/>
                <w:sz w:val="21"/>
              </w:rPr>
            </w:pPr>
            <w:r>
              <w:rPr>
                <w:b/>
                <w:sz w:val="21"/>
              </w:rPr>
              <w:t>宽限期</w:t>
            </w:r>
          </w:p>
        </w:tc>
        <w:tc>
          <w:tcPr>
            <w:tcW w:w="7404" w:type="dxa"/>
          </w:tcPr>
          <w:p>
            <w:pPr>
              <w:pStyle w:val="TableParagraph"/>
              <w:spacing w:line="273" w:lineRule="auto" w:before="79"/>
              <w:ind w:left="121" w:right="70"/>
              <w:jc w:val="both"/>
              <w:rPr>
                <w:sz w:val="21"/>
              </w:rPr>
            </w:pPr>
            <w:r>
              <w:rPr>
                <w:spacing w:val="-7"/>
                <w:sz w:val="21"/>
              </w:rPr>
              <w:t>您交纳首期保险费后，如果您以后到期未交纳保险费，自保险费应交日起 </w:t>
            </w:r>
            <w:r>
              <w:rPr>
                <w:sz w:val="21"/>
              </w:rPr>
              <w:t>60</w:t>
            </w:r>
            <w:r>
              <w:rPr>
                <w:spacing w:val="-20"/>
                <w:sz w:val="21"/>
              </w:rPr>
              <w:t> 日</w:t>
            </w:r>
            <w:r>
              <w:rPr>
                <w:spacing w:val="-8"/>
                <w:sz w:val="21"/>
              </w:rPr>
              <w:t>内为宽限期。宽限期内发生的保险事故，我们仍会承担保险责任，但在给付保</w:t>
            </w:r>
            <w:r>
              <w:rPr>
                <w:spacing w:val="-5"/>
                <w:sz w:val="21"/>
              </w:rPr>
              <w:t>险金时会扣除您欠交的保险费。</w:t>
            </w:r>
          </w:p>
          <w:p>
            <w:pPr>
              <w:pStyle w:val="TableParagraph"/>
              <w:spacing w:line="273" w:lineRule="auto" w:before="7"/>
              <w:ind w:left="121" w:right="133"/>
              <w:jc w:val="both"/>
              <w:rPr>
                <w:sz w:val="21"/>
              </w:rPr>
            </w:pPr>
            <w:r>
              <w:rPr>
                <w:sz w:val="21"/>
              </w:rPr>
              <w:t>如果您在宽限期结束之后仍未交纳当期保险费，则本合同自宽限期满的次日零时起效力中止，但本合同另有约定的除外。</w:t>
            </w:r>
          </w:p>
        </w:tc>
      </w:tr>
      <w:tr>
        <w:trPr>
          <w:trHeight w:val="481" w:hRule="atLeast"/>
        </w:trPr>
        <w:tc>
          <w:tcPr>
            <w:tcW w:w="725" w:type="dxa"/>
          </w:tcPr>
          <w:p>
            <w:pPr>
              <w:pStyle w:val="TableParagraph"/>
              <w:spacing w:line="347" w:lineRule="exact" w:before="114"/>
              <w:ind w:left="96"/>
              <w:rPr>
                <w:b/>
                <w:sz w:val="28"/>
              </w:rPr>
            </w:pPr>
            <w:r>
              <w:rPr>
                <w:b/>
                <w:w w:val="99"/>
                <w:sz w:val="28"/>
              </w:rPr>
              <w:t>⒎</w:t>
            </w:r>
          </w:p>
        </w:tc>
        <w:tc>
          <w:tcPr>
            <w:tcW w:w="1912" w:type="dxa"/>
          </w:tcPr>
          <w:p>
            <w:pPr>
              <w:pStyle w:val="TableParagraph"/>
              <w:spacing w:before="144"/>
              <w:ind w:left="310"/>
              <w:rPr>
                <w:b/>
                <w:sz w:val="24"/>
              </w:rPr>
            </w:pPr>
            <w:r>
              <w:rPr>
                <w:b/>
                <w:w w:val="95"/>
                <w:sz w:val="24"/>
              </w:rPr>
              <w:t>现金价值权益</w:t>
            </w:r>
          </w:p>
        </w:tc>
        <w:tc>
          <w:tcPr>
            <w:tcW w:w="7404" w:type="dxa"/>
          </w:tcPr>
          <w:p>
            <w:pPr>
              <w:pStyle w:val="TableParagraph"/>
              <w:ind w:left="0"/>
              <w:rPr>
                <w:rFonts w:ascii="Times New Roman"/>
                <w:sz w:val="20"/>
              </w:rPr>
            </w:pPr>
          </w:p>
        </w:tc>
      </w:tr>
    </w:tbl>
    <w:p>
      <w:pPr>
        <w:spacing w:after="0"/>
        <w:rPr>
          <w:rFonts w:ascii="Times New Roman"/>
          <w:sz w:val="20"/>
        </w:rPr>
        <w:sectPr>
          <w:pgSz w:w="11910" w:h="16840"/>
          <w:pgMar w:header="566" w:footer="664" w:top="1000" w:bottom="860" w:left="920" w:right="720"/>
        </w:sectPr>
      </w:pPr>
    </w:p>
    <w:p>
      <w:pPr>
        <w:pStyle w:val="BodyText"/>
        <w:rPr>
          <w:rFonts w:ascii="Times New Roman"/>
          <w:sz w:val="20"/>
        </w:rPr>
      </w:pPr>
    </w:p>
    <w:p>
      <w:pPr>
        <w:pStyle w:val="BodyText"/>
        <w:spacing w:before="6"/>
        <w:rPr>
          <w:rFonts w:ascii="Times New Roman"/>
          <w:sz w:val="2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4"/>
        <w:gridCol w:w="1859"/>
        <w:gridCol w:w="7412"/>
      </w:tblGrid>
      <w:tr>
        <w:trPr>
          <w:trHeight w:val="664" w:hRule="atLeast"/>
        </w:trPr>
        <w:tc>
          <w:tcPr>
            <w:tcW w:w="764" w:type="dxa"/>
          </w:tcPr>
          <w:p>
            <w:pPr>
              <w:pStyle w:val="TableParagraph"/>
              <w:spacing w:line="211" w:lineRule="exact"/>
              <w:ind w:left="83"/>
              <w:rPr>
                <w:b/>
                <w:sz w:val="21"/>
              </w:rPr>
            </w:pPr>
            <w:r>
              <w:rPr>
                <w:b/>
                <w:sz w:val="21"/>
              </w:rPr>
              <w:t>7.1</w:t>
            </w:r>
          </w:p>
        </w:tc>
        <w:tc>
          <w:tcPr>
            <w:tcW w:w="1859" w:type="dxa"/>
          </w:tcPr>
          <w:p>
            <w:pPr>
              <w:pStyle w:val="TableParagraph"/>
              <w:spacing w:line="211" w:lineRule="exact"/>
              <w:ind w:left="258"/>
              <w:rPr>
                <w:b/>
                <w:sz w:val="21"/>
              </w:rPr>
            </w:pPr>
            <w:r>
              <w:rPr>
                <w:b/>
                <w:sz w:val="21"/>
              </w:rPr>
              <w:t>现金价值</w:t>
            </w:r>
          </w:p>
        </w:tc>
        <w:tc>
          <w:tcPr>
            <w:tcW w:w="7412" w:type="dxa"/>
          </w:tcPr>
          <w:p>
            <w:pPr>
              <w:pStyle w:val="TableParagraph"/>
              <w:spacing w:line="211" w:lineRule="exact"/>
              <w:rPr>
                <w:sz w:val="21"/>
              </w:rPr>
            </w:pPr>
            <w:r>
              <w:rPr>
                <w:sz w:val="21"/>
              </w:rPr>
              <w:t>本合同保单年度末的现金价值在保险单上载明。保单年度内的现金价值，您可</w:t>
            </w:r>
          </w:p>
          <w:p>
            <w:pPr>
              <w:pStyle w:val="TableParagraph"/>
              <w:spacing w:before="37"/>
              <w:rPr>
                <w:sz w:val="21"/>
              </w:rPr>
            </w:pPr>
            <w:r>
              <w:rPr>
                <w:sz w:val="21"/>
              </w:rPr>
              <w:t>以向我们咨询。</w:t>
            </w:r>
          </w:p>
        </w:tc>
      </w:tr>
      <w:tr>
        <w:trPr>
          <w:trHeight w:val="2141" w:hRule="atLeast"/>
        </w:trPr>
        <w:tc>
          <w:tcPr>
            <w:tcW w:w="764" w:type="dxa"/>
          </w:tcPr>
          <w:p>
            <w:pPr>
              <w:pStyle w:val="TableParagraph"/>
              <w:spacing w:before="76"/>
              <w:ind w:left="83"/>
              <w:rPr>
                <w:b/>
                <w:sz w:val="21"/>
              </w:rPr>
            </w:pPr>
            <w:r>
              <w:rPr>
                <w:b/>
                <w:sz w:val="21"/>
              </w:rPr>
              <w:t>7.2</w:t>
            </w:r>
          </w:p>
        </w:tc>
        <w:tc>
          <w:tcPr>
            <w:tcW w:w="1859" w:type="dxa"/>
          </w:tcPr>
          <w:p>
            <w:pPr>
              <w:pStyle w:val="TableParagraph"/>
              <w:spacing w:before="76"/>
              <w:ind w:left="258"/>
              <w:rPr>
                <w:b/>
                <w:sz w:val="21"/>
              </w:rPr>
            </w:pPr>
            <w:r>
              <w:rPr>
                <w:b/>
                <w:sz w:val="21"/>
              </w:rPr>
              <w:t>保单贷款</w:t>
            </w:r>
          </w:p>
        </w:tc>
        <w:tc>
          <w:tcPr>
            <w:tcW w:w="7412" w:type="dxa"/>
          </w:tcPr>
          <w:p>
            <w:pPr>
              <w:pStyle w:val="TableParagraph"/>
              <w:spacing w:line="273" w:lineRule="auto" w:before="76"/>
              <w:ind w:right="76"/>
              <w:jc w:val="both"/>
              <w:rPr>
                <w:sz w:val="21"/>
              </w:rPr>
            </w:pPr>
            <w:r>
              <w:rPr>
                <w:spacing w:val="-3"/>
                <w:sz w:val="21"/>
              </w:rPr>
              <w:t>若本合同有效且具有现金价值，您可以通过书面形式向我们申请贷款。贷款金额最高不超过申请时</w:t>
            </w:r>
            <w:r>
              <w:rPr>
                <w:b/>
                <w:spacing w:val="-2"/>
                <w:sz w:val="21"/>
              </w:rPr>
              <w:t>现金价值净额</w:t>
            </w:r>
            <w:r>
              <w:rPr>
                <w:b/>
                <w:position w:val="11"/>
                <w:sz w:val="11"/>
              </w:rPr>
              <w:t>［12.28］</w:t>
            </w:r>
            <w:r>
              <w:rPr>
                <w:sz w:val="21"/>
              </w:rPr>
              <w:t>的80</w:t>
            </w:r>
            <w:r>
              <w:rPr>
                <w:spacing w:val="-3"/>
                <w:sz w:val="21"/>
              </w:rPr>
              <w:t>%。此外，每次贷款金额不得低于</w:t>
            </w:r>
            <w:r>
              <w:rPr>
                <w:spacing w:val="-5"/>
                <w:sz w:val="21"/>
              </w:rPr>
              <w:t>该次申请时我们规定的最低金额，并且每次贷款期限最长不超过</w:t>
            </w:r>
            <w:r>
              <w:rPr>
                <w:spacing w:val="-3"/>
                <w:sz w:val="21"/>
              </w:rPr>
              <w:t>6</w:t>
            </w:r>
            <w:r>
              <w:rPr>
                <w:spacing w:val="-6"/>
                <w:sz w:val="21"/>
              </w:rPr>
              <w:t>个月。贷款利</w:t>
            </w:r>
            <w:r>
              <w:rPr>
                <w:spacing w:val="-1"/>
                <w:sz w:val="21"/>
              </w:rPr>
              <w:t>率按</w:t>
            </w:r>
            <w:r>
              <w:rPr>
                <w:b/>
                <w:spacing w:val="-1"/>
                <w:sz w:val="21"/>
              </w:rPr>
              <w:t>本合同约定利率</w:t>
            </w:r>
            <w:r>
              <w:rPr>
                <w:b/>
                <w:position w:val="11"/>
                <w:sz w:val="11"/>
              </w:rPr>
              <w:t>［12.29］</w:t>
            </w:r>
            <w:r>
              <w:rPr>
                <w:spacing w:val="-3"/>
                <w:sz w:val="21"/>
              </w:rPr>
              <w:t>计算，您可随时全部或部分偿还贷款本息。</w:t>
            </w:r>
          </w:p>
          <w:p>
            <w:pPr>
              <w:pStyle w:val="TableParagraph"/>
              <w:spacing w:line="273" w:lineRule="auto" w:before="3"/>
              <w:ind w:right="350"/>
              <w:rPr>
                <w:sz w:val="21"/>
              </w:rPr>
            </w:pPr>
            <w:r>
              <w:rPr>
                <w:sz w:val="21"/>
              </w:rPr>
              <w:t>当未还贷款本息加上其他各项欠款达到本合同现金价值时，从次日零时起， 本合同效力中止。</w:t>
            </w:r>
          </w:p>
        </w:tc>
      </w:tr>
      <w:tr>
        <w:trPr>
          <w:trHeight w:val="1560" w:hRule="atLeast"/>
        </w:trPr>
        <w:tc>
          <w:tcPr>
            <w:tcW w:w="764" w:type="dxa"/>
          </w:tcPr>
          <w:p>
            <w:pPr>
              <w:pStyle w:val="TableParagraph"/>
              <w:spacing w:line="262" w:lineRule="exact"/>
              <w:ind w:left="83"/>
              <w:rPr>
                <w:b/>
                <w:sz w:val="21"/>
              </w:rPr>
            </w:pPr>
            <w:r>
              <w:rPr>
                <w:b/>
                <w:sz w:val="21"/>
              </w:rPr>
              <w:t>7.3</w:t>
            </w:r>
          </w:p>
        </w:tc>
        <w:tc>
          <w:tcPr>
            <w:tcW w:w="1859" w:type="dxa"/>
          </w:tcPr>
          <w:p>
            <w:pPr>
              <w:pStyle w:val="TableParagraph"/>
              <w:spacing w:line="262" w:lineRule="exact"/>
              <w:ind w:left="258"/>
              <w:rPr>
                <w:b/>
                <w:sz w:val="21"/>
              </w:rPr>
            </w:pPr>
            <w:r>
              <w:rPr>
                <w:b/>
                <w:sz w:val="21"/>
              </w:rPr>
              <w:t>保费自动垫交</w:t>
            </w:r>
          </w:p>
        </w:tc>
        <w:tc>
          <w:tcPr>
            <w:tcW w:w="7412" w:type="dxa"/>
            <w:tcBorders>
              <w:right w:val="single" w:sz="4" w:space="0" w:color="FFFFFF"/>
            </w:tcBorders>
          </w:tcPr>
          <w:p>
            <w:pPr>
              <w:pStyle w:val="TableParagraph"/>
              <w:spacing w:line="273" w:lineRule="auto"/>
              <w:ind w:right="136"/>
              <w:jc w:val="both"/>
              <w:rPr>
                <w:sz w:val="21"/>
              </w:rPr>
            </w:pPr>
            <w:r>
              <w:rPr>
                <w:sz w:val="21"/>
              </w:rPr>
              <w:t>您可以选择保险费自动垫交功能，即如果您在宽限期结束时仍未交纳保险费， 我们将以本合同的现金价值扣除您尚未偿还的各项欠款之后的余额自动垫交到期应交的保险费，本合同继续有效。所垫交的保险费视同贷款，按照保单贷款利率计算利息。</w:t>
            </w:r>
          </w:p>
          <w:p>
            <w:pPr>
              <w:pStyle w:val="TableParagraph"/>
              <w:spacing w:before="21"/>
              <w:jc w:val="both"/>
              <w:rPr>
                <w:sz w:val="21"/>
              </w:rPr>
            </w:pPr>
            <w:r>
              <w:rPr>
                <w:spacing w:val="-6"/>
                <w:sz w:val="21"/>
              </w:rPr>
              <w:t>当现金价值扣除各项欠款后的余额不足以垫交一期保险费的，本合同效力中止。</w:t>
            </w:r>
          </w:p>
        </w:tc>
      </w:tr>
      <w:tr>
        <w:trPr>
          <w:trHeight w:val="1890" w:hRule="atLeast"/>
        </w:trPr>
        <w:tc>
          <w:tcPr>
            <w:tcW w:w="764" w:type="dxa"/>
          </w:tcPr>
          <w:p>
            <w:pPr>
              <w:pStyle w:val="TableParagraph"/>
              <w:spacing w:before="167"/>
              <w:ind w:left="83"/>
              <w:rPr>
                <w:b/>
                <w:sz w:val="21"/>
              </w:rPr>
            </w:pPr>
            <w:r>
              <w:rPr>
                <w:b/>
                <w:sz w:val="21"/>
              </w:rPr>
              <w:t>7.4</w:t>
            </w:r>
          </w:p>
        </w:tc>
        <w:tc>
          <w:tcPr>
            <w:tcW w:w="1859" w:type="dxa"/>
          </w:tcPr>
          <w:p>
            <w:pPr>
              <w:pStyle w:val="TableParagraph"/>
              <w:spacing w:before="167"/>
              <w:ind w:left="258"/>
              <w:rPr>
                <w:b/>
                <w:sz w:val="21"/>
              </w:rPr>
            </w:pPr>
            <w:r>
              <w:rPr>
                <w:b/>
                <w:sz w:val="21"/>
              </w:rPr>
              <w:t>减额交清</w:t>
            </w:r>
          </w:p>
        </w:tc>
        <w:tc>
          <w:tcPr>
            <w:tcW w:w="7412" w:type="dxa"/>
          </w:tcPr>
          <w:p>
            <w:pPr>
              <w:pStyle w:val="TableParagraph"/>
              <w:spacing w:line="273" w:lineRule="auto" w:before="167"/>
              <w:ind w:right="141"/>
              <w:jc w:val="both"/>
              <w:rPr>
                <w:sz w:val="21"/>
              </w:rPr>
            </w:pPr>
            <w:r>
              <w:rPr>
                <w:sz w:val="21"/>
              </w:rPr>
              <w:t>如果您决定不再交纳续期保险费，您可以向我们书面申请办理减额交清，我们将以本合同当时的现金价值扣除您尚未偿还的各项欠款之后的余额，作为一次交清的保险费，重新计算本合同的基本保额。</w:t>
            </w:r>
          </w:p>
          <w:p>
            <w:pPr>
              <w:pStyle w:val="TableParagraph"/>
              <w:spacing w:line="273" w:lineRule="auto" w:before="7"/>
              <w:ind w:right="2030"/>
              <w:rPr>
                <w:sz w:val="21"/>
              </w:rPr>
            </w:pPr>
            <w:r>
              <w:rPr>
                <w:spacing w:val="-3"/>
                <w:sz w:val="21"/>
              </w:rPr>
              <w:t>减额交清后的基本保额不得低于我们规定的最低限额。 减额交清后，您不需要再交纳保险费，本合同继续有效。</w:t>
            </w:r>
          </w:p>
        </w:tc>
      </w:tr>
      <w:tr>
        <w:trPr>
          <w:trHeight w:val="623" w:hRule="atLeast"/>
        </w:trPr>
        <w:tc>
          <w:tcPr>
            <w:tcW w:w="764" w:type="dxa"/>
            <w:tcBorders>
              <w:bottom w:val="single" w:sz="6" w:space="0" w:color="000000"/>
            </w:tcBorders>
          </w:tcPr>
          <w:p>
            <w:pPr>
              <w:pStyle w:val="TableParagraph"/>
              <w:spacing w:before="114"/>
              <w:ind w:left="83"/>
              <w:rPr>
                <w:b/>
                <w:sz w:val="28"/>
              </w:rPr>
            </w:pPr>
            <w:r>
              <w:rPr>
                <w:b/>
                <w:w w:val="99"/>
                <w:sz w:val="28"/>
              </w:rPr>
              <w:t>⒏</w:t>
            </w:r>
          </w:p>
        </w:tc>
        <w:tc>
          <w:tcPr>
            <w:tcW w:w="9271" w:type="dxa"/>
            <w:gridSpan w:val="2"/>
            <w:tcBorders>
              <w:bottom w:val="single" w:sz="6" w:space="0" w:color="000000"/>
            </w:tcBorders>
          </w:tcPr>
          <w:p>
            <w:pPr>
              <w:pStyle w:val="TableParagraph"/>
              <w:spacing w:before="144"/>
              <w:ind w:left="258"/>
              <w:rPr>
                <w:b/>
                <w:sz w:val="24"/>
              </w:rPr>
            </w:pPr>
            <w:r>
              <w:rPr>
                <w:b/>
                <w:w w:val="95"/>
                <w:sz w:val="24"/>
              </w:rPr>
              <w:t>合同效力的中止与恢复</w:t>
            </w:r>
          </w:p>
        </w:tc>
      </w:tr>
      <w:tr>
        <w:trPr>
          <w:trHeight w:val="819" w:hRule="atLeast"/>
        </w:trPr>
        <w:tc>
          <w:tcPr>
            <w:tcW w:w="764" w:type="dxa"/>
            <w:tcBorders>
              <w:top w:val="single" w:sz="6" w:space="0" w:color="000000"/>
            </w:tcBorders>
          </w:tcPr>
          <w:p>
            <w:pPr>
              <w:pStyle w:val="TableParagraph"/>
              <w:spacing w:before="9"/>
              <w:ind w:left="0"/>
              <w:rPr>
                <w:rFonts w:ascii="Times New Roman"/>
                <w:sz w:val="15"/>
              </w:rPr>
            </w:pPr>
          </w:p>
          <w:p>
            <w:pPr>
              <w:pStyle w:val="TableParagraph"/>
              <w:ind w:left="83"/>
              <w:rPr>
                <w:b/>
                <w:sz w:val="21"/>
              </w:rPr>
            </w:pPr>
            <w:r>
              <w:rPr>
                <w:b/>
                <w:sz w:val="21"/>
              </w:rPr>
              <w:t>8.1</w:t>
            </w:r>
          </w:p>
        </w:tc>
        <w:tc>
          <w:tcPr>
            <w:tcW w:w="1859" w:type="dxa"/>
            <w:tcBorders>
              <w:top w:val="single" w:sz="6" w:space="0" w:color="000000"/>
            </w:tcBorders>
          </w:tcPr>
          <w:p>
            <w:pPr>
              <w:pStyle w:val="TableParagraph"/>
              <w:spacing w:before="9"/>
              <w:ind w:left="0"/>
              <w:rPr>
                <w:rFonts w:ascii="Times New Roman"/>
                <w:sz w:val="15"/>
              </w:rPr>
            </w:pPr>
          </w:p>
          <w:p>
            <w:pPr>
              <w:pStyle w:val="TableParagraph"/>
              <w:ind w:left="258"/>
              <w:rPr>
                <w:b/>
                <w:sz w:val="21"/>
              </w:rPr>
            </w:pPr>
            <w:r>
              <w:rPr>
                <w:b/>
                <w:sz w:val="21"/>
              </w:rPr>
              <w:t>效力中止</w:t>
            </w:r>
          </w:p>
        </w:tc>
        <w:tc>
          <w:tcPr>
            <w:tcW w:w="7412" w:type="dxa"/>
            <w:tcBorders>
              <w:top w:val="single" w:sz="6" w:space="0" w:color="000000"/>
            </w:tcBorders>
          </w:tcPr>
          <w:p>
            <w:pPr>
              <w:pStyle w:val="TableParagraph"/>
              <w:spacing w:line="225" w:lineRule="auto" w:before="174"/>
              <w:ind w:right="62"/>
              <w:rPr>
                <w:rFonts w:ascii="黑体" w:eastAsia="黑体" w:hint="eastAsia"/>
                <w:b/>
                <w:sz w:val="21"/>
              </w:rPr>
            </w:pPr>
            <w:r>
              <w:rPr>
                <w:rFonts w:ascii="黑体" w:eastAsia="黑体" w:hint="eastAsia"/>
                <w:b/>
                <w:sz w:val="21"/>
              </w:rPr>
              <w:t>如您超过宽限期仍未交纳当期保险费，本合同自宽限期满的次日零时起效力中止。在本合同效力中止期间，我们不承担保险责任。</w:t>
            </w:r>
          </w:p>
        </w:tc>
      </w:tr>
      <w:tr>
        <w:trPr>
          <w:trHeight w:val="2099" w:hRule="atLeast"/>
        </w:trPr>
        <w:tc>
          <w:tcPr>
            <w:tcW w:w="764" w:type="dxa"/>
          </w:tcPr>
          <w:p>
            <w:pPr>
              <w:pStyle w:val="TableParagraph"/>
              <w:spacing w:before="63"/>
              <w:ind w:left="83"/>
              <w:rPr>
                <w:b/>
                <w:sz w:val="21"/>
              </w:rPr>
            </w:pPr>
            <w:r>
              <w:rPr>
                <w:b/>
                <w:sz w:val="21"/>
              </w:rPr>
              <w:t>8.2</w:t>
            </w:r>
          </w:p>
        </w:tc>
        <w:tc>
          <w:tcPr>
            <w:tcW w:w="1859" w:type="dxa"/>
          </w:tcPr>
          <w:p>
            <w:pPr>
              <w:pStyle w:val="TableParagraph"/>
              <w:spacing w:before="63"/>
              <w:ind w:left="258"/>
              <w:rPr>
                <w:b/>
                <w:sz w:val="21"/>
              </w:rPr>
            </w:pPr>
            <w:r>
              <w:rPr>
                <w:b/>
                <w:sz w:val="21"/>
              </w:rPr>
              <w:t>效力恢复</w:t>
            </w:r>
          </w:p>
        </w:tc>
        <w:tc>
          <w:tcPr>
            <w:tcW w:w="7412" w:type="dxa"/>
          </w:tcPr>
          <w:p>
            <w:pPr>
              <w:pStyle w:val="TableParagraph"/>
              <w:spacing w:line="273" w:lineRule="auto" w:before="63"/>
              <w:ind w:right="76"/>
              <w:jc w:val="both"/>
              <w:rPr>
                <w:sz w:val="21"/>
              </w:rPr>
            </w:pPr>
            <w:r>
              <w:rPr>
                <w:spacing w:val="-3"/>
                <w:sz w:val="21"/>
              </w:rPr>
              <w:t>本合同效力中止后2</w:t>
            </w:r>
            <w:r>
              <w:rPr>
                <w:spacing w:val="-7"/>
                <w:sz w:val="21"/>
              </w:rPr>
              <w:t>年内，您可以申请恢复合同效力。您应填写复效申请书，我</w:t>
            </w:r>
            <w:r>
              <w:rPr>
                <w:spacing w:val="-5"/>
                <w:sz w:val="21"/>
              </w:rPr>
              <w:t>们会要求您提供被保险人的健康声明书、体检报告书及其他相关证明文件，我</w:t>
            </w:r>
            <w:r>
              <w:rPr>
                <w:spacing w:val="-4"/>
                <w:sz w:val="21"/>
              </w:rPr>
              <w:t>们会对材料进行审核，做出是否同意复效的决定。</w:t>
            </w:r>
          </w:p>
          <w:p>
            <w:pPr>
              <w:pStyle w:val="TableParagraph"/>
              <w:spacing w:line="273" w:lineRule="auto" w:before="7"/>
              <w:ind w:right="76"/>
              <w:rPr>
                <w:sz w:val="21"/>
              </w:rPr>
            </w:pPr>
            <w:r>
              <w:rPr>
                <w:spacing w:val="-3"/>
                <w:sz w:val="21"/>
              </w:rPr>
              <w:t>经双方达成复效协议，自您偿还未还款项的次日零时起，本合同效力恢复。  自本合同效力中止之日起满</w:t>
            </w:r>
            <w:r>
              <w:rPr>
                <w:sz w:val="21"/>
              </w:rPr>
              <w:t>2</w:t>
            </w:r>
            <w:r>
              <w:rPr>
                <w:spacing w:val="-6"/>
                <w:sz w:val="21"/>
              </w:rPr>
              <w:t>年双方未达成复效协议的，本合同效力终止，我们</w:t>
            </w:r>
            <w:r>
              <w:rPr>
                <w:spacing w:val="-3"/>
                <w:sz w:val="21"/>
              </w:rPr>
              <w:t>向您退还本合同的现金价值。</w:t>
            </w:r>
          </w:p>
        </w:tc>
      </w:tr>
      <w:tr>
        <w:trPr>
          <w:trHeight w:val="625" w:hRule="atLeast"/>
        </w:trPr>
        <w:tc>
          <w:tcPr>
            <w:tcW w:w="764" w:type="dxa"/>
            <w:tcBorders>
              <w:bottom w:val="single" w:sz="6" w:space="0" w:color="000000"/>
            </w:tcBorders>
          </w:tcPr>
          <w:p>
            <w:pPr>
              <w:pStyle w:val="TableParagraph"/>
              <w:spacing w:before="114"/>
              <w:ind w:left="83"/>
              <w:rPr>
                <w:b/>
                <w:sz w:val="28"/>
              </w:rPr>
            </w:pPr>
            <w:r>
              <w:rPr>
                <w:b/>
                <w:w w:val="99"/>
                <w:sz w:val="28"/>
              </w:rPr>
              <w:t>⒐</w:t>
            </w:r>
          </w:p>
        </w:tc>
        <w:tc>
          <w:tcPr>
            <w:tcW w:w="9271" w:type="dxa"/>
            <w:gridSpan w:val="2"/>
            <w:tcBorders>
              <w:bottom w:val="single" w:sz="6" w:space="0" w:color="000000"/>
            </w:tcBorders>
          </w:tcPr>
          <w:p>
            <w:pPr>
              <w:pStyle w:val="TableParagraph"/>
              <w:spacing w:before="144"/>
              <w:ind w:left="258"/>
              <w:rPr>
                <w:b/>
                <w:sz w:val="24"/>
              </w:rPr>
            </w:pPr>
            <w:r>
              <w:rPr>
                <w:b/>
                <w:w w:val="95"/>
                <w:sz w:val="24"/>
              </w:rPr>
              <w:t>犹豫期后的合同解除</w:t>
            </w:r>
          </w:p>
        </w:tc>
      </w:tr>
      <w:tr>
        <w:trPr>
          <w:trHeight w:val="2305" w:hRule="atLeast"/>
        </w:trPr>
        <w:tc>
          <w:tcPr>
            <w:tcW w:w="764" w:type="dxa"/>
            <w:tcBorders>
              <w:top w:val="single" w:sz="6" w:space="0" w:color="000000"/>
            </w:tcBorders>
          </w:tcPr>
          <w:p>
            <w:pPr>
              <w:pStyle w:val="TableParagraph"/>
              <w:spacing w:before="7"/>
              <w:ind w:left="0"/>
              <w:rPr>
                <w:rFonts w:ascii="Times New Roman"/>
                <w:sz w:val="15"/>
              </w:rPr>
            </w:pPr>
          </w:p>
          <w:p>
            <w:pPr>
              <w:pStyle w:val="TableParagraph"/>
              <w:ind w:left="83"/>
              <w:rPr>
                <w:b/>
                <w:sz w:val="21"/>
              </w:rPr>
            </w:pPr>
            <w:r>
              <w:rPr>
                <w:b/>
                <w:sz w:val="21"/>
              </w:rPr>
              <w:t>9.1</w:t>
            </w:r>
          </w:p>
        </w:tc>
        <w:tc>
          <w:tcPr>
            <w:tcW w:w="1859" w:type="dxa"/>
            <w:tcBorders>
              <w:top w:val="single" w:sz="6" w:space="0" w:color="000000"/>
            </w:tcBorders>
          </w:tcPr>
          <w:p>
            <w:pPr>
              <w:pStyle w:val="TableParagraph"/>
              <w:spacing w:before="7"/>
              <w:ind w:left="0"/>
              <w:rPr>
                <w:rFonts w:ascii="Times New Roman"/>
                <w:sz w:val="15"/>
              </w:rPr>
            </w:pPr>
          </w:p>
          <w:p>
            <w:pPr>
              <w:pStyle w:val="TableParagraph"/>
              <w:spacing w:line="273" w:lineRule="auto"/>
              <w:ind w:left="258" w:right="120"/>
              <w:rPr>
                <w:b/>
                <w:sz w:val="21"/>
              </w:rPr>
            </w:pPr>
            <w:r>
              <w:rPr>
                <w:b/>
                <w:sz w:val="21"/>
              </w:rPr>
              <w:t>您解除合同的手续</w:t>
            </w:r>
          </w:p>
        </w:tc>
        <w:tc>
          <w:tcPr>
            <w:tcW w:w="7412" w:type="dxa"/>
            <w:tcBorders>
              <w:top w:val="single" w:sz="6" w:space="0" w:color="000000"/>
              <w:right w:val="single" w:sz="4" w:space="0" w:color="FFFFFF"/>
            </w:tcBorders>
          </w:tcPr>
          <w:p>
            <w:pPr>
              <w:pStyle w:val="TableParagraph"/>
              <w:spacing w:before="139"/>
              <w:ind w:right="-72"/>
              <w:rPr>
                <w:sz w:val="21"/>
              </w:rPr>
            </w:pPr>
            <w:r>
              <w:rPr>
                <w:spacing w:val="-3"/>
                <w:sz w:val="21"/>
              </w:rPr>
              <w:t>您在犹豫期后，可以书面通知要求解除本合同，并向我们提供下列证明和资料：</w:t>
            </w:r>
          </w:p>
          <w:p>
            <w:pPr>
              <w:pStyle w:val="TableParagraph"/>
              <w:spacing w:before="22"/>
              <w:rPr>
                <w:sz w:val="21"/>
              </w:rPr>
            </w:pPr>
            <w:r>
              <w:rPr>
                <w:sz w:val="21"/>
              </w:rPr>
              <w:t>（1）保险合同；</w:t>
            </w:r>
          </w:p>
          <w:p>
            <w:pPr>
              <w:pStyle w:val="TableParagraph"/>
              <w:spacing w:before="34"/>
              <w:rPr>
                <w:sz w:val="21"/>
              </w:rPr>
            </w:pPr>
            <w:r>
              <w:rPr>
                <w:sz w:val="21"/>
              </w:rPr>
              <w:t>（2）解除合同申请书；</w:t>
            </w:r>
          </w:p>
          <w:p>
            <w:pPr>
              <w:pStyle w:val="TableParagraph"/>
              <w:spacing w:before="39"/>
              <w:rPr>
                <w:sz w:val="21"/>
              </w:rPr>
            </w:pPr>
            <w:r>
              <w:rPr>
                <w:sz w:val="21"/>
              </w:rPr>
              <w:t>（3）您的法定有效身份证明。</w:t>
            </w:r>
          </w:p>
          <w:p>
            <w:pPr>
              <w:pStyle w:val="TableParagraph"/>
              <w:spacing w:line="273" w:lineRule="auto" w:before="19"/>
              <w:ind w:right="136"/>
              <w:rPr>
                <w:sz w:val="21"/>
              </w:rPr>
            </w:pPr>
            <w:r>
              <w:rPr>
                <w:sz w:val="21"/>
              </w:rPr>
              <w:t>自您书面申请解除合同之日起，本合同效力终止。我们自接到解除合同通知之日起 30 日内向您退还本合同的现金价值。</w:t>
            </w:r>
          </w:p>
          <w:p>
            <w:pPr>
              <w:pStyle w:val="TableParagraph"/>
              <w:spacing w:before="7"/>
              <w:rPr>
                <w:rFonts w:ascii="黑体" w:eastAsia="黑体" w:hint="eastAsia"/>
                <w:b/>
                <w:sz w:val="21"/>
              </w:rPr>
            </w:pPr>
            <w:r>
              <w:rPr>
                <w:rFonts w:ascii="黑体" w:eastAsia="黑体" w:hint="eastAsia"/>
                <w:b/>
                <w:sz w:val="21"/>
              </w:rPr>
              <w:t>您在犹豫期后解除合同会遭受一定损失。</w:t>
            </w:r>
          </w:p>
        </w:tc>
      </w:tr>
      <w:tr>
        <w:trPr>
          <w:trHeight w:val="777" w:hRule="atLeast"/>
        </w:trPr>
        <w:tc>
          <w:tcPr>
            <w:tcW w:w="764" w:type="dxa"/>
            <w:tcBorders>
              <w:bottom w:val="single" w:sz="6" w:space="0" w:color="000000"/>
            </w:tcBorders>
          </w:tcPr>
          <w:p>
            <w:pPr>
              <w:pStyle w:val="TableParagraph"/>
              <w:spacing w:before="1"/>
              <w:ind w:left="0"/>
              <w:rPr>
                <w:rFonts w:ascii="Times New Roman"/>
                <w:sz w:val="23"/>
              </w:rPr>
            </w:pPr>
          </w:p>
          <w:p>
            <w:pPr>
              <w:pStyle w:val="TableParagraph"/>
              <w:ind w:left="83"/>
              <w:rPr>
                <w:b/>
                <w:sz w:val="28"/>
              </w:rPr>
            </w:pPr>
            <w:r>
              <w:rPr>
                <w:b/>
                <w:w w:val="99"/>
                <w:sz w:val="28"/>
              </w:rPr>
              <w:t>⒑</w:t>
            </w:r>
          </w:p>
        </w:tc>
        <w:tc>
          <w:tcPr>
            <w:tcW w:w="9271" w:type="dxa"/>
            <w:gridSpan w:val="2"/>
            <w:tcBorders>
              <w:bottom w:val="single" w:sz="6" w:space="0" w:color="000000"/>
            </w:tcBorders>
          </w:tcPr>
          <w:p>
            <w:pPr>
              <w:pStyle w:val="TableParagraph"/>
              <w:spacing w:before="8"/>
              <w:ind w:left="0"/>
              <w:rPr>
                <w:rFonts w:ascii="Times New Roman"/>
                <w:sz w:val="25"/>
              </w:rPr>
            </w:pPr>
          </w:p>
          <w:p>
            <w:pPr>
              <w:pStyle w:val="TableParagraph"/>
              <w:ind w:left="258"/>
              <w:rPr>
                <w:b/>
                <w:sz w:val="24"/>
              </w:rPr>
            </w:pPr>
            <w:r>
              <w:rPr>
                <w:b/>
                <w:w w:val="95"/>
                <w:sz w:val="24"/>
              </w:rPr>
              <w:t>明确说明与如实告知</w:t>
            </w:r>
          </w:p>
        </w:tc>
      </w:tr>
      <w:tr>
        <w:trPr>
          <w:trHeight w:val="453" w:hRule="atLeast"/>
        </w:trPr>
        <w:tc>
          <w:tcPr>
            <w:tcW w:w="764" w:type="dxa"/>
            <w:tcBorders>
              <w:top w:val="single" w:sz="6" w:space="0" w:color="000000"/>
            </w:tcBorders>
          </w:tcPr>
          <w:p>
            <w:pPr>
              <w:pStyle w:val="TableParagraph"/>
              <w:spacing w:line="255" w:lineRule="exact" w:before="178"/>
              <w:ind w:left="83"/>
              <w:rPr>
                <w:b/>
                <w:sz w:val="21"/>
              </w:rPr>
            </w:pPr>
            <w:r>
              <w:rPr>
                <w:b/>
                <w:sz w:val="21"/>
              </w:rPr>
              <w:t>10.1</w:t>
            </w:r>
          </w:p>
        </w:tc>
        <w:tc>
          <w:tcPr>
            <w:tcW w:w="1859" w:type="dxa"/>
            <w:tcBorders>
              <w:top w:val="single" w:sz="6" w:space="0" w:color="000000"/>
            </w:tcBorders>
          </w:tcPr>
          <w:p>
            <w:pPr>
              <w:pStyle w:val="TableParagraph"/>
              <w:spacing w:line="255" w:lineRule="exact" w:before="178"/>
              <w:ind w:left="258"/>
              <w:rPr>
                <w:b/>
                <w:sz w:val="21"/>
              </w:rPr>
            </w:pPr>
            <w:r>
              <w:rPr>
                <w:b/>
                <w:sz w:val="21"/>
              </w:rPr>
              <w:t>明确说明与如实</w:t>
            </w:r>
          </w:p>
        </w:tc>
        <w:tc>
          <w:tcPr>
            <w:tcW w:w="7412" w:type="dxa"/>
            <w:tcBorders>
              <w:top w:val="single" w:sz="6" w:space="0" w:color="000000"/>
            </w:tcBorders>
          </w:tcPr>
          <w:p>
            <w:pPr>
              <w:pStyle w:val="TableParagraph"/>
              <w:spacing w:line="255" w:lineRule="exact" w:before="178"/>
              <w:rPr>
                <w:sz w:val="21"/>
              </w:rPr>
            </w:pPr>
            <w:r>
              <w:rPr>
                <w:sz w:val="21"/>
              </w:rPr>
              <w:t>订立本合同时，我们会向您说明本合同的内容。</w:t>
            </w:r>
          </w:p>
        </w:tc>
      </w:tr>
    </w:tbl>
    <w:p>
      <w:pPr>
        <w:spacing w:after="0" w:line="255" w:lineRule="exact"/>
        <w:rPr>
          <w:sz w:val="21"/>
        </w:rPr>
        <w:sectPr>
          <w:pgSz w:w="11910" w:h="16840"/>
          <w:pgMar w:header="566" w:footer="664" w:top="1000" w:bottom="860" w:left="940" w:right="700"/>
        </w:sectPr>
      </w:pPr>
    </w:p>
    <w:p>
      <w:pPr>
        <w:pStyle w:val="BodyText"/>
        <w:rPr>
          <w:rFonts w:ascii="Times New Roman"/>
          <w:sz w:val="20"/>
        </w:rPr>
      </w:pPr>
    </w:p>
    <w:p>
      <w:pPr>
        <w:pStyle w:val="BodyText"/>
        <w:spacing w:before="6"/>
        <w:rPr>
          <w:rFonts w:ascii="Times New Roman"/>
          <w:sz w:val="20"/>
        </w:r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93"/>
        <w:gridCol w:w="1859"/>
        <w:gridCol w:w="7414"/>
      </w:tblGrid>
      <w:tr>
        <w:trPr>
          <w:trHeight w:val="3160" w:hRule="atLeast"/>
        </w:trPr>
        <w:tc>
          <w:tcPr>
            <w:tcW w:w="793" w:type="dxa"/>
          </w:tcPr>
          <w:p>
            <w:pPr>
              <w:pStyle w:val="TableParagraph"/>
              <w:ind w:left="0"/>
              <w:rPr>
                <w:rFonts w:ascii="Times New Roman"/>
                <w:sz w:val="20"/>
              </w:rPr>
            </w:pPr>
          </w:p>
        </w:tc>
        <w:tc>
          <w:tcPr>
            <w:tcW w:w="1859" w:type="dxa"/>
          </w:tcPr>
          <w:p>
            <w:pPr>
              <w:pStyle w:val="TableParagraph"/>
              <w:spacing w:line="211" w:lineRule="exact"/>
              <w:ind w:left="257"/>
              <w:rPr>
                <w:b/>
                <w:sz w:val="21"/>
              </w:rPr>
            </w:pPr>
            <w:r>
              <w:rPr>
                <w:b/>
                <w:sz w:val="21"/>
              </w:rPr>
              <w:t>告知</w:t>
            </w:r>
          </w:p>
        </w:tc>
        <w:tc>
          <w:tcPr>
            <w:tcW w:w="7414" w:type="dxa"/>
          </w:tcPr>
          <w:p>
            <w:pPr>
              <w:pStyle w:val="TableParagraph"/>
              <w:spacing w:line="211" w:lineRule="exact"/>
              <w:ind w:left="121"/>
              <w:rPr>
                <w:sz w:val="21"/>
              </w:rPr>
            </w:pPr>
            <w:r>
              <w:rPr>
                <w:sz w:val="21"/>
              </w:rPr>
              <w:t>对保险条款中免除我们责任的条款，我们在订立合同时会在投保单、保险单或</w:t>
            </w:r>
          </w:p>
          <w:p>
            <w:pPr>
              <w:pStyle w:val="TableParagraph"/>
              <w:spacing w:line="273" w:lineRule="auto" w:before="37"/>
              <w:ind w:left="121" w:right="84"/>
              <w:rPr>
                <w:sz w:val="21"/>
              </w:rPr>
            </w:pPr>
            <w:r>
              <w:rPr>
                <w:sz w:val="21"/>
              </w:rPr>
              <w:t>者其他保险凭证上作出足以引起您注意的提示，并对该条款的内容以书面或者</w:t>
            </w:r>
            <w:r>
              <w:rPr>
                <w:spacing w:val="-3"/>
                <w:sz w:val="21"/>
              </w:rPr>
              <w:t>口头形式向您作出明确说明，未作提示或明确说明的，该条款不产生效力。  我们会就您、被保险人或受益人的有关情况提出书面询问，您应当如实告知。如果您故意或因重大过失不履行如实告知义务，足以影响我们决定是否同意承保或者提高保险费率的，我们有权解除本合同。</w:t>
            </w:r>
          </w:p>
          <w:p>
            <w:pPr>
              <w:pStyle w:val="TableParagraph"/>
              <w:spacing w:line="273" w:lineRule="auto" w:before="7"/>
              <w:ind w:left="121" w:right="543"/>
              <w:rPr>
                <w:rFonts w:ascii="黑体" w:eastAsia="黑体" w:hint="eastAsia"/>
                <w:b/>
                <w:sz w:val="21"/>
              </w:rPr>
            </w:pPr>
            <w:r>
              <w:rPr>
                <w:rFonts w:ascii="黑体" w:eastAsia="黑体" w:hint="eastAsia"/>
                <w:b/>
                <w:sz w:val="21"/>
              </w:rPr>
              <w:t>对于故意不履行如实告知义务的，我们对本合同解除前发Th的保险事故， 不承担给付保险金的责任，并不退还保险费。</w:t>
            </w:r>
          </w:p>
          <w:p>
            <w:pPr>
              <w:pStyle w:val="TableParagraph"/>
              <w:spacing w:line="273" w:lineRule="auto" w:before="7"/>
              <w:ind w:left="121" w:right="123"/>
              <w:rPr>
                <w:rFonts w:ascii="黑体" w:eastAsia="黑体" w:hint="eastAsia"/>
                <w:b/>
                <w:sz w:val="21"/>
              </w:rPr>
            </w:pPr>
            <w:r>
              <w:rPr>
                <w:rFonts w:ascii="黑体" w:eastAsia="黑体" w:hint="eastAsia"/>
                <w:b/>
                <w:sz w:val="21"/>
              </w:rPr>
              <w:t>因重大过失未履行如实告知义务，对保险事故的发Th有严重影响的，我们对本合同解除前发Th的保险事故，不承担给付保险金的责任，但退还保险费。</w:t>
            </w:r>
          </w:p>
        </w:tc>
      </w:tr>
      <w:tr>
        <w:trPr>
          <w:trHeight w:val="2112" w:hRule="atLeast"/>
        </w:trPr>
        <w:tc>
          <w:tcPr>
            <w:tcW w:w="793" w:type="dxa"/>
          </w:tcPr>
          <w:p>
            <w:pPr>
              <w:pStyle w:val="TableParagraph"/>
              <w:spacing w:before="76"/>
              <w:ind w:left="111"/>
              <w:rPr>
                <w:b/>
                <w:sz w:val="21"/>
              </w:rPr>
            </w:pPr>
            <w:r>
              <w:rPr>
                <w:b/>
                <w:sz w:val="21"/>
              </w:rPr>
              <w:t>10.2</w:t>
            </w:r>
          </w:p>
        </w:tc>
        <w:tc>
          <w:tcPr>
            <w:tcW w:w="1859" w:type="dxa"/>
          </w:tcPr>
          <w:p>
            <w:pPr>
              <w:pStyle w:val="TableParagraph"/>
              <w:spacing w:line="273" w:lineRule="auto" w:before="76"/>
              <w:ind w:left="257" w:right="122"/>
              <w:rPr>
                <w:b/>
                <w:sz w:val="21"/>
              </w:rPr>
            </w:pPr>
            <w:r>
              <w:rPr>
                <w:b/>
                <w:sz w:val="21"/>
              </w:rPr>
              <w:t>本公司合同解除权的限制</w:t>
            </w:r>
          </w:p>
        </w:tc>
        <w:tc>
          <w:tcPr>
            <w:tcW w:w="7414" w:type="dxa"/>
          </w:tcPr>
          <w:p>
            <w:pPr>
              <w:pStyle w:val="TableParagraph"/>
              <w:spacing w:before="76"/>
              <w:ind w:left="121"/>
              <w:rPr>
                <w:sz w:val="21"/>
              </w:rPr>
            </w:pPr>
            <w:r>
              <w:rPr>
                <w:sz w:val="21"/>
              </w:rPr>
              <w:t>您未履行如实告知义务，我们有权解除本合同，但受以下限制：</w:t>
            </w:r>
          </w:p>
          <w:p>
            <w:pPr>
              <w:pStyle w:val="TableParagraph"/>
              <w:spacing w:before="36"/>
              <w:ind w:left="121"/>
              <w:rPr>
                <w:sz w:val="21"/>
              </w:rPr>
            </w:pPr>
            <w:r>
              <w:rPr>
                <w:sz w:val="21"/>
              </w:rPr>
              <w:t>（1）该解除权自我们知道有解除事由之日起，经过 30 日不行使而消灭；</w:t>
            </w:r>
          </w:p>
          <w:p>
            <w:pPr>
              <w:pStyle w:val="TableParagraph"/>
              <w:spacing w:line="273" w:lineRule="auto" w:before="36"/>
              <w:ind w:left="648" w:right="40" w:hanging="527"/>
              <w:rPr>
                <w:sz w:val="21"/>
              </w:rPr>
            </w:pPr>
            <w:r>
              <w:rPr>
                <w:sz w:val="21"/>
              </w:rPr>
              <w:t>（2）</w:t>
            </w:r>
            <w:r>
              <w:rPr>
                <w:spacing w:val="-6"/>
                <w:sz w:val="21"/>
              </w:rPr>
              <w:t>自本合同成立之日起超过 </w:t>
            </w:r>
            <w:r>
              <w:rPr>
                <w:sz w:val="21"/>
              </w:rPr>
              <w:t>2</w:t>
            </w:r>
            <w:r>
              <w:rPr>
                <w:spacing w:val="-8"/>
                <w:sz w:val="21"/>
              </w:rPr>
              <w:t> 年的，我们不得解除合同；发生保险事故的， </w:t>
            </w:r>
            <w:r>
              <w:rPr>
                <w:spacing w:val="-5"/>
                <w:sz w:val="21"/>
              </w:rPr>
              <w:t>我们承担给付保险金的责任；</w:t>
            </w:r>
          </w:p>
          <w:p>
            <w:pPr>
              <w:pStyle w:val="TableParagraph"/>
              <w:spacing w:line="273" w:lineRule="auto" w:before="7"/>
              <w:ind w:left="648" w:right="40" w:hanging="527"/>
              <w:rPr>
                <w:sz w:val="21"/>
              </w:rPr>
            </w:pPr>
            <w:r>
              <w:rPr>
                <w:sz w:val="21"/>
              </w:rPr>
              <w:t>（3）我们在本合同订立时已经知道未如实告知情况的，我们不得解除本合同； 发生保险事故的，我们承担给付保险金的责任。</w:t>
            </w:r>
          </w:p>
        </w:tc>
      </w:tr>
      <w:tr>
        <w:trPr>
          <w:trHeight w:val="676" w:hRule="atLeast"/>
        </w:trPr>
        <w:tc>
          <w:tcPr>
            <w:tcW w:w="793" w:type="dxa"/>
            <w:tcBorders>
              <w:bottom w:val="single" w:sz="6" w:space="0" w:color="000000"/>
            </w:tcBorders>
          </w:tcPr>
          <w:p>
            <w:pPr>
              <w:pStyle w:val="TableParagraph"/>
              <w:spacing w:before="114"/>
              <w:ind w:left="111"/>
              <w:rPr>
                <w:b/>
                <w:sz w:val="28"/>
              </w:rPr>
            </w:pPr>
            <w:r>
              <w:rPr>
                <w:b/>
                <w:w w:val="99"/>
                <w:sz w:val="28"/>
              </w:rPr>
              <w:t>⒒</w:t>
            </w:r>
          </w:p>
        </w:tc>
        <w:tc>
          <w:tcPr>
            <w:tcW w:w="9273" w:type="dxa"/>
            <w:gridSpan w:val="2"/>
            <w:tcBorders>
              <w:bottom w:val="single" w:sz="6" w:space="0" w:color="000000"/>
            </w:tcBorders>
          </w:tcPr>
          <w:p>
            <w:pPr>
              <w:pStyle w:val="TableParagraph"/>
              <w:spacing w:before="144"/>
              <w:ind w:left="257"/>
              <w:rPr>
                <w:b/>
                <w:sz w:val="24"/>
              </w:rPr>
            </w:pPr>
            <w:r>
              <w:rPr>
                <w:b/>
                <w:w w:val="95"/>
                <w:sz w:val="24"/>
              </w:rPr>
              <w:t>其他需要关注的事项</w:t>
            </w:r>
          </w:p>
        </w:tc>
      </w:tr>
      <w:tr>
        <w:trPr>
          <w:trHeight w:val="3573" w:hRule="atLeast"/>
        </w:trPr>
        <w:tc>
          <w:tcPr>
            <w:tcW w:w="793" w:type="dxa"/>
            <w:tcBorders>
              <w:top w:val="single" w:sz="6" w:space="0" w:color="000000"/>
            </w:tcBorders>
          </w:tcPr>
          <w:p>
            <w:pPr>
              <w:pStyle w:val="TableParagraph"/>
              <w:spacing w:before="129"/>
              <w:ind w:left="111"/>
              <w:rPr>
                <w:b/>
                <w:sz w:val="21"/>
              </w:rPr>
            </w:pPr>
            <w:r>
              <w:rPr>
                <w:b/>
                <w:sz w:val="21"/>
              </w:rPr>
              <w:t>11.1</w:t>
            </w:r>
          </w:p>
        </w:tc>
        <w:tc>
          <w:tcPr>
            <w:tcW w:w="1859" w:type="dxa"/>
            <w:tcBorders>
              <w:top w:val="single" w:sz="6" w:space="0" w:color="000000"/>
            </w:tcBorders>
          </w:tcPr>
          <w:p>
            <w:pPr>
              <w:pStyle w:val="TableParagraph"/>
              <w:spacing w:before="129"/>
              <w:ind w:left="257"/>
              <w:rPr>
                <w:b/>
                <w:sz w:val="21"/>
              </w:rPr>
            </w:pPr>
            <w:r>
              <w:rPr>
                <w:b/>
                <w:sz w:val="21"/>
              </w:rPr>
              <w:t>年龄错误</w:t>
            </w:r>
          </w:p>
        </w:tc>
        <w:tc>
          <w:tcPr>
            <w:tcW w:w="7414" w:type="dxa"/>
            <w:tcBorders>
              <w:top w:val="single" w:sz="6" w:space="0" w:color="000000"/>
              <w:right w:val="single" w:sz="4" w:space="0" w:color="FFFFFF"/>
            </w:tcBorders>
          </w:tcPr>
          <w:p>
            <w:pPr>
              <w:pStyle w:val="TableParagraph"/>
              <w:spacing w:line="273" w:lineRule="auto" w:before="129"/>
              <w:ind w:left="121" w:right="76"/>
              <w:rPr>
                <w:sz w:val="21"/>
              </w:rPr>
            </w:pPr>
            <w:r>
              <w:rPr>
                <w:sz w:val="21"/>
              </w:rPr>
              <w:t>您在申请投保时，应将与法定有效身份证明相符的被保险人的出生日期在投保书上填明，如果发生错误按照下列方式办理：</w:t>
            </w:r>
          </w:p>
          <w:p>
            <w:pPr>
              <w:pStyle w:val="TableParagraph"/>
              <w:spacing w:line="273" w:lineRule="auto" w:before="7"/>
              <w:ind w:left="648" w:right="-44" w:hanging="527"/>
              <w:rPr>
                <w:sz w:val="21"/>
              </w:rPr>
            </w:pPr>
            <w:r>
              <w:rPr>
                <w:spacing w:val="-8"/>
                <w:sz w:val="21"/>
              </w:rPr>
              <w:t>（1）</w:t>
            </w:r>
            <w:r>
              <w:rPr>
                <w:spacing w:val="-5"/>
                <w:sz w:val="21"/>
              </w:rPr>
              <w:t>您申报的被保险人年龄不真实，并且其真实年龄不符合本合同约定投保年</w:t>
            </w:r>
            <w:r>
              <w:rPr>
                <w:spacing w:val="-15"/>
                <w:sz w:val="21"/>
              </w:rPr>
              <w:t>龄限制的，在保险事故发生之前我们有权解除合同，并向您退还现金价值。</w:t>
            </w:r>
            <w:r>
              <w:rPr>
                <w:spacing w:val="-9"/>
                <w:sz w:val="21"/>
              </w:rPr>
              <w:t>我们行使合同解除权适用本合同“</w:t>
            </w:r>
            <w:r>
              <w:rPr>
                <w:sz w:val="21"/>
              </w:rPr>
              <w:t>10.2</w:t>
            </w:r>
            <w:r>
              <w:rPr>
                <w:spacing w:val="-9"/>
                <w:sz w:val="21"/>
              </w:rPr>
              <w:t>本公司合同解除权的限制”的规定。</w:t>
            </w:r>
          </w:p>
          <w:p>
            <w:pPr>
              <w:pStyle w:val="TableParagraph"/>
              <w:spacing w:line="273" w:lineRule="auto" w:before="7"/>
              <w:ind w:left="648" w:right="71" w:hanging="527"/>
              <w:jc w:val="both"/>
              <w:rPr>
                <w:sz w:val="21"/>
              </w:rPr>
            </w:pPr>
            <w:r>
              <w:rPr>
                <w:spacing w:val="-6"/>
                <w:sz w:val="21"/>
              </w:rPr>
              <w:t>（2）</w:t>
            </w:r>
            <w:r>
              <w:rPr>
                <w:spacing w:val="-5"/>
                <w:sz w:val="21"/>
              </w:rPr>
              <w:t>您申报的被保险人年龄不真实，致使您实交保险费少于应交保险费的，我们有权更正并要求您补交保险费及利息</w:t>
            </w:r>
            <w:r>
              <w:rPr>
                <w:sz w:val="21"/>
              </w:rPr>
              <w:t>（</w:t>
            </w:r>
            <w:r>
              <w:rPr>
                <w:spacing w:val="-3"/>
                <w:sz w:val="21"/>
              </w:rPr>
              <w:t>按本合同约定利率计算</w:t>
            </w:r>
            <w:r>
              <w:rPr>
                <w:spacing w:val="-15"/>
                <w:sz w:val="21"/>
              </w:rPr>
              <w:t>）</w:t>
            </w:r>
            <w:r>
              <w:rPr>
                <w:spacing w:val="-5"/>
                <w:sz w:val="21"/>
              </w:rPr>
              <w:t>。若已</w:t>
            </w:r>
            <w:r>
              <w:rPr>
                <w:spacing w:val="-9"/>
                <w:sz w:val="21"/>
              </w:rPr>
              <w:t>经发生保险事故，我们在给付保险金时按实交保险费和应交保险费的比例给付。</w:t>
            </w:r>
          </w:p>
          <w:p>
            <w:pPr>
              <w:pStyle w:val="TableParagraph"/>
              <w:spacing w:line="273" w:lineRule="auto" w:before="7"/>
              <w:ind w:left="648" w:right="28" w:hanging="527"/>
              <w:rPr>
                <w:sz w:val="21"/>
              </w:rPr>
            </w:pPr>
            <w:r>
              <w:rPr>
                <w:sz w:val="21"/>
              </w:rPr>
              <w:t>（3）您申报的被保险人年龄不真实，致使您实交保险费多于应交保险费的，我们会将多收的保险费无息退还给您。</w:t>
            </w:r>
          </w:p>
        </w:tc>
      </w:tr>
      <w:tr>
        <w:trPr>
          <w:trHeight w:val="1267" w:hRule="atLeast"/>
        </w:trPr>
        <w:tc>
          <w:tcPr>
            <w:tcW w:w="793" w:type="dxa"/>
          </w:tcPr>
          <w:p>
            <w:pPr>
              <w:pStyle w:val="TableParagraph"/>
              <w:spacing w:before="167"/>
              <w:ind w:left="111"/>
              <w:rPr>
                <w:b/>
                <w:sz w:val="21"/>
              </w:rPr>
            </w:pPr>
            <w:r>
              <w:rPr>
                <w:b/>
                <w:sz w:val="21"/>
              </w:rPr>
              <w:t>11.2</w:t>
            </w:r>
          </w:p>
        </w:tc>
        <w:tc>
          <w:tcPr>
            <w:tcW w:w="1859" w:type="dxa"/>
          </w:tcPr>
          <w:p>
            <w:pPr>
              <w:pStyle w:val="TableParagraph"/>
              <w:spacing w:before="167"/>
              <w:ind w:left="257"/>
              <w:rPr>
                <w:b/>
                <w:sz w:val="21"/>
              </w:rPr>
            </w:pPr>
            <w:r>
              <w:rPr>
                <w:b/>
                <w:sz w:val="21"/>
              </w:rPr>
              <w:t>合同效力终止</w:t>
            </w:r>
          </w:p>
        </w:tc>
        <w:tc>
          <w:tcPr>
            <w:tcW w:w="7414" w:type="dxa"/>
          </w:tcPr>
          <w:p>
            <w:pPr>
              <w:pStyle w:val="TableParagraph"/>
              <w:spacing w:before="167"/>
              <w:ind w:left="121"/>
              <w:rPr>
                <w:sz w:val="21"/>
              </w:rPr>
            </w:pPr>
            <w:r>
              <w:rPr>
                <w:sz w:val="21"/>
              </w:rPr>
              <w:t>当发生下列情形之一时，本合同效力终止：</w:t>
            </w:r>
          </w:p>
          <w:p>
            <w:pPr>
              <w:pStyle w:val="TableParagraph"/>
              <w:spacing w:before="36"/>
              <w:ind w:left="121"/>
              <w:rPr>
                <w:sz w:val="21"/>
              </w:rPr>
            </w:pPr>
            <w:r>
              <w:rPr>
                <w:sz w:val="21"/>
              </w:rPr>
              <w:t>（</w:t>
            </w:r>
            <w:r>
              <w:rPr>
                <w:rFonts w:ascii="Times New Roman" w:eastAsia="Times New Roman"/>
                <w:sz w:val="21"/>
              </w:rPr>
              <w:t>1</w:t>
            </w:r>
            <w:r>
              <w:rPr>
                <w:sz w:val="21"/>
              </w:rPr>
              <w:t>）本合同解除、期满或效力终止；</w:t>
            </w:r>
          </w:p>
          <w:p>
            <w:pPr>
              <w:pStyle w:val="TableParagraph"/>
              <w:spacing w:before="20"/>
              <w:ind w:left="121"/>
              <w:rPr>
                <w:sz w:val="21"/>
              </w:rPr>
            </w:pPr>
            <w:r>
              <w:rPr>
                <w:sz w:val="21"/>
              </w:rPr>
              <w:t>（</w:t>
            </w:r>
            <w:r>
              <w:rPr>
                <w:rFonts w:ascii="Times New Roman" w:eastAsia="Times New Roman"/>
                <w:sz w:val="21"/>
              </w:rPr>
              <w:t>2</w:t>
            </w:r>
            <w:r>
              <w:rPr>
                <w:sz w:val="21"/>
              </w:rPr>
              <w:t>）出现本合同内的其他约定终止的情况。</w:t>
            </w:r>
          </w:p>
        </w:tc>
      </w:tr>
      <w:tr>
        <w:trPr>
          <w:trHeight w:val="576" w:hRule="atLeast"/>
        </w:trPr>
        <w:tc>
          <w:tcPr>
            <w:tcW w:w="793" w:type="dxa"/>
            <w:tcBorders>
              <w:bottom w:val="single" w:sz="6" w:space="0" w:color="000000"/>
            </w:tcBorders>
          </w:tcPr>
          <w:p>
            <w:pPr>
              <w:pStyle w:val="TableParagraph"/>
              <w:spacing w:before="114"/>
              <w:ind w:left="111"/>
              <w:rPr>
                <w:b/>
                <w:sz w:val="28"/>
              </w:rPr>
            </w:pPr>
            <w:r>
              <w:rPr>
                <w:b/>
                <w:w w:val="99"/>
                <w:sz w:val="28"/>
              </w:rPr>
              <w:t>⒓</w:t>
            </w:r>
          </w:p>
        </w:tc>
        <w:tc>
          <w:tcPr>
            <w:tcW w:w="1859" w:type="dxa"/>
            <w:tcBorders>
              <w:bottom w:val="single" w:sz="6" w:space="0" w:color="000000"/>
            </w:tcBorders>
          </w:tcPr>
          <w:p>
            <w:pPr>
              <w:pStyle w:val="TableParagraph"/>
              <w:spacing w:before="110"/>
              <w:ind w:left="257"/>
              <w:rPr>
                <w:b/>
                <w:sz w:val="24"/>
              </w:rPr>
            </w:pPr>
            <w:r>
              <w:rPr>
                <w:b/>
                <w:sz w:val="24"/>
              </w:rPr>
              <w:t>释义</w:t>
            </w:r>
          </w:p>
        </w:tc>
        <w:tc>
          <w:tcPr>
            <w:tcW w:w="7414" w:type="dxa"/>
            <w:tcBorders>
              <w:bottom w:val="single" w:sz="6" w:space="0" w:color="000000"/>
            </w:tcBorders>
          </w:tcPr>
          <w:p>
            <w:pPr>
              <w:pStyle w:val="TableParagraph"/>
              <w:ind w:left="0"/>
              <w:rPr>
                <w:rFonts w:ascii="Times New Roman"/>
                <w:sz w:val="20"/>
              </w:rPr>
            </w:pPr>
          </w:p>
        </w:tc>
      </w:tr>
      <w:tr>
        <w:trPr>
          <w:trHeight w:val="577" w:hRule="atLeast"/>
        </w:trPr>
        <w:tc>
          <w:tcPr>
            <w:tcW w:w="10066" w:type="dxa"/>
            <w:gridSpan w:val="3"/>
            <w:tcBorders>
              <w:top w:val="single" w:sz="6" w:space="0" w:color="000000"/>
            </w:tcBorders>
          </w:tcPr>
          <w:p>
            <w:pPr>
              <w:pStyle w:val="TableParagraph"/>
              <w:spacing w:before="162"/>
              <w:ind w:left="1050"/>
              <w:rPr>
                <w:rFonts w:ascii="黑体" w:eastAsia="黑体" w:hint="eastAsia"/>
                <w:b/>
                <w:sz w:val="21"/>
              </w:rPr>
            </w:pPr>
            <w:r>
              <w:rPr>
                <w:rFonts w:ascii="黑体" w:eastAsia="黑体" w:hint="eastAsia"/>
                <w:b/>
                <w:sz w:val="21"/>
              </w:rPr>
              <w:t>本保险条款每个第一次出现的释义名词的右上方有释义标注，其他相同的释义名词不另作标注。</w:t>
            </w:r>
          </w:p>
        </w:tc>
      </w:tr>
      <w:tr>
        <w:trPr>
          <w:trHeight w:val="803" w:hRule="atLeast"/>
        </w:trPr>
        <w:tc>
          <w:tcPr>
            <w:tcW w:w="793" w:type="dxa"/>
          </w:tcPr>
          <w:p>
            <w:pPr>
              <w:pStyle w:val="TableParagraph"/>
              <w:spacing w:before="76"/>
              <w:ind w:left="111"/>
              <w:rPr>
                <w:b/>
                <w:sz w:val="21"/>
              </w:rPr>
            </w:pPr>
            <w:r>
              <w:rPr>
                <w:b/>
                <w:sz w:val="21"/>
              </w:rPr>
              <w:t>12.1</w:t>
            </w:r>
          </w:p>
        </w:tc>
        <w:tc>
          <w:tcPr>
            <w:tcW w:w="1859" w:type="dxa"/>
          </w:tcPr>
          <w:p>
            <w:pPr>
              <w:pStyle w:val="TableParagraph"/>
              <w:spacing w:before="76"/>
              <w:ind w:left="257"/>
              <w:rPr>
                <w:b/>
                <w:sz w:val="21"/>
              </w:rPr>
            </w:pPr>
            <w:r>
              <w:rPr>
                <w:b/>
                <w:sz w:val="21"/>
              </w:rPr>
              <w:t>保单年度</w:t>
            </w:r>
          </w:p>
        </w:tc>
        <w:tc>
          <w:tcPr>
            <w:tcW w:w="7414" w:type="dxa"/>
          </w:tcPr>
          <w:p>
            <w:pPr>
              <w:pStyle w:val="TableParagraph"/>
              <w:spacing w:line="273" w:lineRule="auto" w:before="76"/>
              <w:ind w:left="121" w:right="84"/>
              <w:rPr>
                <w:sz w:val="21"/>
              </w:rPr>
            </w:pPr>
            <w:r>
              <w:rPr>
                <w:sz w:val="21"/>
              </w:rPr>
              <w:t>从本合同生效日或保单周年日零时起至下一年度本合同保单周年日零时止为一个保单年度。</w:t>
            </w:r>
          </w:p>
        </w:tc>
      </w:tr>
      <w:tr>
        <w:trPr>
          <w:trHeight w:val="803" w:hRule="atLeast"/>
        </w:trPr>
        <w:tc>
          <w:tcPr>
            <w:tcW w:w="793" w:type="dxa"/>
          </w:tcPr>
          <w:p>
            <w:pPr>
              <w:pStyle w:val="TableParagraph"/>
              <w:spacing w:before="76"/>
              <w:ind w:left="111"/>
              <w:rPr>
                <w:b/>
                <w:sz w:val="21"/>
              </w:rPr>
            </w:pPr>
            <w:r>
              <w:rPr>
                <w:b/>
                <w:sz w:val="21"/>
              </w:rPr>
              <w:t>12.2</w:t>
            </w:r>
          </w:p>
        </w:tc>
        <w:tc>
          <w:tcPr>
            <w:tcW w:w="1859" w:type="dxa"/>
          </w:tcPr>
          <w:p>
            <w:pPr>
              <w:pStyle w:val="TableParagraph"/>
              <w:spacing w:before="76"/>
              <w:ind w:left="257"/>
              <w:rPr>
                <w:b/>
                <w:sz w:val="21"/>
              </w:rPr>
            </w:pPr>
            <w:r>
              <w:rPr>
                <w:b/>
                <w:sz w:val="21"/>
              </w:rPr>
              <w:t>周岁</w:t>
            </w:r>
          </w:p>
        </w:tc>
        <w:tc>
          <w:tcPr>
            <w:tcW w:w="7414" w:type="dxa"/>
          </w:tcPr>
          <w:p>
            <w:pPr>
              <w:pStyle w:val="TableParagraph"/>
              <w:spacing w:line="273" w:lineRule="auto" w:before="76"/>
              <w:ind w:left="121" w:right="84"/>
              <w:rPr>
                <w:sz w:val="21"/>
              </w:rPr>
            </w:pPr>
            <w:r>
              <w:rPr>
                <w:sz w:val="21"/>
              </w:rPr>
              <w:t>指按法定有效身份证明文件中记载的出生日期计算的年龄，自出生之日起为零周岁，每经过一年增加一岁，不足一年的不计。</w:t>
            </w:r>
          </w:p>
        </w:tc>
      </w:tr>
      <w:tr>
        <w:trPr>
          <w:trHeight w:val="351" w:hRule="atLeast"/>
        </w:trPr>
        <w:tc>
          <w:tcPr>
            <w:tcW w:w="793" w:type="dxa"/>
          </w:tcPr>
          <w:p>
            <w:pPr>
              <w:pStyle w:val="TableParagraph"/>
              <w:spacing w:line="255" w:lineRule="exact" w:before="76"/>
              <w:ind w:left="111"/>
              <w:rPr>
                <w:b/>
                <w:sz w:val="21"/>
              </w:rPr>
            </w:pPr>
            <w:r>
              <w:rPr>
                <w:b/>
                <w:sz w:val="21"/>
              </w:rPr>
              <w:t>12.3</w:t>
            </w:r>
          </w:p>
        </w:tc>
        <w:tc>
          <w:tcPr>
            <w:tcW w:w="1859" w:type="dxa"/>
          </w:tcPr>
          <w:p>
            <w:pPr>
              <w:pStyle w:val="TableParagraph"/>
              <w:spacing w:line="255" w:lineRule="exact" w:before="76"/>
              <w:ind w:left="257"/>
              <w:rPr>
                <w:b/>
                <w:sz w:val="21"/>
              </w:rPr>
            </w:pPr>
            <w:r>
              <w:rPr>
                <w:b/>
                <w:sz w:val="21"/>
              </w:rPr>
              <w:t>高度残疾</w:t>
            </w:r>
          </w:p>
        </w:tc>
        <w:tc>
          <w:tcPr>
            <w:tcW w:w="7414" w:type="dxa"/>
          </w:tcPr>
          <w:p>
            <w:pPr>
              <w:pStyle w:val="TableParagraph"/>
              <w:spacing w:line="255" w:lineRule="exact" w:before="76"/>
              <w:ind w:left="121"/>
              <w:rPr>
                <w:sz w:val="21"/>
              </w:rPr>
            </w:pPr>
            <w:r>
              <w:rPr>
                <w:sz w:val="21"/>
              </w:rPr>
              <w:t>被保险人因意外伤害或疾病造成高度残疾，应在治疗结束后，由二级以上（含</w:t>
            </w:r>
          </w:p>
        </w:tc>
      </w:tr>
    </w:tbl>
    <w:p>
      <w:pPr>
        <w:spacing w:after="0" w:line="255" w:lineRule="exact"/>
        <w:rPr>
          <w:sz w:val="21"/>
        </w:rPr>
        <w:sectPr>
          <w:pgSz w:w="11910" w:h="16840"/>
          <w:pgMar w:header="566" w:footer="664" w:top="1000" w:bottom="860" w:left="920" w:right="7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2"/>
        <w:gridCol w:w="1806"/>
        <w:gridCol w:w="7437"/>
      </w:tblGrid>
      <w:tr>
        <w:trPr>
          <w:trHeight w:val="7903" w:hRule="atLeast"/>
        </w:trPr>
        <w:tc>
          <w:tcPr>
            <w:tcW w:w="762" w:type="dxa"/>
            <w:tcBorders>
              <w:top w:val="single" w:sz="6" w:space="0" w:color="000000"/>
            </w:tcBorders>
          </w:tcPr>
          <w:p>
            <w:pPr>
              <w:pStyle w:val="TableParagraph"/>
              <w:ind w:left="0"/>
              <w:rPr>
                <w:rFonts w:ascii="Times New Roman"/>
                <w:sz w:val="20"/>
              </w:rPr>
            </w:pPr>
          </w:p>
        </w:tc>
        <w:tc>
          <w:tcPr>
            <w:tcW w:w="1806" w:type="dxa"/>
            <w:tcBorders>
              <w:top w:val="single" w:sz="6" w:space="0" w:color="000000"/>
            </w:tcBorders>
          </w:tcPr>
          <w:p>
            <w:pPr>
              <w:pStyle w:val="TableParagraph"/>
              <w:ind w:left="0"/>
              <w:rPr>
                <w:rFonts w:ascii="Times New Roman"/>
                <w:sz w:val="20"/>
              </w:rPr>
            </w:pPr>
          </w:p>
        </w:tc>
        <w:tc>
          <w:tcPr>
            <w:tcW w:w="7437" w:type="dxa"/>
            <w:tcBorders>
              <w:top w:val="single" w:sz="6" w:space="0" w:color="000000"/>
              <w:right w:val="single" w:sz="4" w:space="0" w:color="FFFFFF"/>
            </w:tcBorders>
          </w:tcPr>
          <w:p>
            <w:pPr>
              <w:pStyle w:val="TableParagraph"/>
              <w:ind w:left="0"/>
              <w:rPr>
                <w:rFonts w:ascii="Times New Roman"/>
                <w:sz w:val="20"/>
              </w:rPr>
            </w:pPr>
          </w:p>
          <w:p>
            <w:pPr>
              <w:pStyle w:val="TableParagraph"/>
              <w:spacing w:line="273" w:lineRule="auto" w:before="172"/>
              <w:ind w:right="96"/>
              <w:jc w:val="both"/>
              <w:rPr>
                <w:sz w:val="21"/>
              </w:rPr>
            </w:pPr>
            <w:r>
              <w:rPr>
                <w:sz w:val="21"/>
              </w:rPr>
              <w:t>二级）医院、本公司认可的医疗机构或鉴定机构出具能够证明被保险人高度残疾的资料；若保险合同任何一方对残疾程度的认定有异议，则以司法鉴定机构的鉴定结果为准。如果自被保险人遭受意外伤害或患病之日起一百八十日内治疗仍未结束，按第一百八十日的身体情况出具资料或进行司法鉴定。高度残疾指下列情形之一：</w:t>
            </w:r>
          </w:p>
          <w:p>
            <w:pPr>
              <w:pStyle w:val="TableParagraph"/>
              <w:spacing w:before="7"/>
              <w:jc w:val="both"/>
              <w:rPr>
                <w:sz w:val="21"/>
              </w:rPr>
            </w:pPr>
            <w:r>
              <w:rPr>
                <w:sz w:val="21"/>
              </w:rPr>
              <w:t>（1）双目永久完全失明的；(注 1)</w:t>
            </w:r>
          </w:p>
          <w:p>
            <w:pPr>
              <w:pStyle w:val="TableParagraph"/>
              <w:spacing w:before="37"/>
              <w:jc w:val="both"/>
              <w:rPr>
                <w:sz w:val="21"/>
              </w:rPr>
            </w:pPr>
            <w:r>
              <w:rPr>
                <w:sz w:val="21"/>
              </w:rPr>
              <w:t>（2）两上肢腕关节以上或两下肢踝关节以上缺失的；</w:t>
            </w:r>
          </w:p>
          <w:p>
            <w:pPr>
              <w:pStyle w:val="TableParagraph"/>
              <w:spacing w:before="37"/>
              <w:jc w:val="both"/>
              <w:rPr>
                <w:sz w:val="21"/>
              </w:rPr>
            </w:pPr>
            <w:r>
              <w:rPr>
                <w:sz w:val="21"/>
              </w:rPr>
              <w:t>（3）一上肢腕关节以上及一下肢踝关节以上缺失的；</w:t>
            </w:r>
          </w:p>
          <w:p>
            <w:pPr>
              <w:pStyle w:val="TableParagraph"/>
              <w:spacing w:before="37"/>
              <w:jc w:val="both"/>
              <w:rPr>
                <w:sz w:val="21"/>
              </w:rPr>
            </w:pPr>
            <w:r>
              <w:rPr>
                <w:sz w:val="21"/>
              </w:rPr>
              <w:t>（4）一目永久完全失明及一上肢腕关节以上缺失的；</w:t>
            </w:r>
          </w:p>
          <w:p>
            <w:pPr>
              <w:pStyle w:val="TableParagraph"/>
              <w:spacing w:before="37"/>
              <w:jc w:val="both"/>
              <w:rPr>
                <w:sz w:val="21"/>
              </w:rPr>
            </w:pPr>
            <w:r>
              <w:rPr>
                <w:sz w:val="21"/>
              </w:rPr>
              <w:t>（5）一目永久完全失明及一下肢踝关节以上缺失的；</w:t>
            </w:r>
          </w:p>
          <w:p>
            <w:pPr>
              <w:pStyle w:val="TableParagraph"/>
              <w:spacing w:before="37"/>
              <w:jc w:val="both"/>
              <w:rPr>
                <w:sz w:val="21"/>
              </w:rPr>
            </w:pPr>
            <w:r>
              <w:rPr>
                <w:w w:val="100"/>
                <w:sz w:val="21"/>
              </w:rPr>
              <w:t>（6</w:t>
            </w:r>
            <w:r>
              <w:rPr>
                <w:spacing w:val="-3"/>
                <w:w w:val="100"/>
                <w:sz w:val="21"/>
              </w:rPr>
              <w:t>）</w:t>
            </w:r>
            <w:r>
              <w:rPr>
                <w:spacing w:val="-11"/>
                <w:w w:val="100"/>
                <w:sz w:val="21"/>
              </w:rPr>
              <w:t>四肢关节机能永久完全丧失的；</w:t>
            </w:r>
            <w:r>
              <w:rPr>
                <w:w w:val="100"/>
                <w:sz w:val="21"/>
              </w:rPr>
              <w:t>（注</w:t>
            </w:r>
            <w:r>
              <w:rPr>
                <w:spacing w:val="-55"/>
                <w:sz w:val="21"/>
              </w:rPr>
              <w:t> </w:t>
            </w:r>
            <w:r>
              <w:rPr>
                <w:w w:val="100"/>
                <w:sz w:val="21"/>
              </w:rPr>
              <w:t>2）</w:t>
            </w:r>
          </w:p>
          <w:p>
            <w:pPr>
              <w:pStyle w:val="TableParagraph"/>
              <w:spacing w:before="37"/>
              <w:jc w:val="both"/>
              <w:rPr>
                <w:sz w:val="21"/>
              </w:rPr>
            </w:pPr>
            <w:r>
              <w:rPr>
                <w:sz w:val="21"/>
              </w:rPr>
              <w:t>（7）咀嚼、吞咽机能永久完全丧失的；(注 3)</w:t>
            </w:r>
          </w:p>
          <w:p>
            <w:pPr>
              <w:pStyle w:val="TableParagraph"/>
              <w:spacing w:line="273" w:lineRule="auto" w:before="37"/>
              <w:ind w:right="-15"/>
              <w:rPr>
                <w:sz w:val="21"/>
              </w:rPr>
            </w:pPr>
            <w:r>
              <w:rPr>
                <w:spacing w:val="-17"/>
                <w:sz w:val="21"/>
              </w:rPr>
              <w:t>（8）</w:t>
            </w:r>
            <w:r>
              <w:rPr>
                <w:spacing w:val="-10"/>
                <w:sz w:val="21"/>
              </w:rPr>
              <w:t>中枢神经系统机能或胸、腹部脏器机能极度障碍，终身不能从事任何工作， </w:t>
            </w:r>
            <w:r>
              <w:rPr>
                <w:spacing w:val="-6"/>
                <w:sz w:val="21"/>
              </w:rPr>
              <w:t>为维持生命必要的日常生活活动，全需他人扶助的。(注 </w:t>
            </w:r>
            <w:r>
              <w:rPr>
                <w:sz w:val="21"/>
              </w:rPr>
              <w:t>4)</w:t>
            </w:r>
          </w:p>
          <w:p>
            <w:pPr>
              <w:pStyle w:val="TableParagraph"/>
              <w:spacing w:before="8"/>
              <w:rPr>
                <w:sz w:val="21"/>
              </w:rPr>
            </w:pPr>
            <w:r>
              <w:rPr>
                <w:sz w:val="21"/>
              </w:rPr>
              <w:t>注：</w:t>
            </w:r>
          </w:p>
          <w:p>
            <w:pPr>
              <w:pStyle w:val="TableParagraph"/>
              <w:spacing w:line="273" w:lineRule="auto" w:before="37"/>
              <w:ind w:right="95"/>
              <w:rPr>
                <w:sz w:val="21"/>
              </w:rPr>
            </w:pPr>
            <w:r>
              <w:rPr>
                <w:spacing w:val="-5"/>
                <w:sz w:val="21"/>
              </w:rPr>
              <w:t>1</w:t>
            </w:r>
            <w:r>
              <w:rPr>
                <w:spacing w:val="-6"/>
                <w:sz w:val="21"/>
              </w:rPr>
              <w:t>．失明包括眼球缺失或摘除、或不能辨别明暗、或仅能辨别眼前手动者，最佳</w:t>
            </w:r>
            <w:r>
              <w:rPr>
                <w:spacing w:val="-4"/>
                <w:sz w:val="21"/>
              </w:rPr>
              <w:t>矫正视力低</w:t>
            </w:r>
          </w:p>
          <w:p>
            <w:pPr>
              <w:pStyle w:val="TableParagraph"/>
              <w:spacing w:line="273" w:lineRule="auto" w:before="7"/>
              <w:ind w:right="96"/>
              <w:rPr>
                <w:sz w:val="21"/>
              </w:rPr>
            </w:pPr>
            <w:r>
              <w:rPr>
                <w:spacing w:val="-8"/>
                <w:sz w:val="21"/>
              </w:rPr>
              <w:t>于国际标准视力表 </w:t>
            </w:r>
            <w:r>
              <w:rPr>
                <w:spacing w:val="-6"/>
                <w:sz w:val="21"/>
              </w:rPr>
              <w:t>0.02</w:t>
            </w:r>
            <w:r>
              <w:rPr>
                <w:spacing w:val="-8"/>
                <w:sz w:val="21"/>
              </w:rPr>
              <w:t>，或视野半径小于 </w:t>
            </w:r>
            <w:r>
              <w:rPr>
                <w:sz w:val="21"/>
              </w:rPr>
              <w:t>5</w:t>
            </w:r>
            <w:r>
              <w:rPr>
                <w:spacing w:val="-3"/>
                <w:sz w:val="21"/>
              </w:rPr>
              <w:t> 度，并由本公司指定有资格的眼科医师出具医疗诊断证明。</w:t>
            </w:r>
          </w:p>
          <w:p>
            <w:pPr>
              <w:pStyle w:val="TableParagraph"/>
              <w:spacing w:before="7"/>
              <w:rPr>
                <w:sz w:val="21"/>
              </w:rPr>
            </w:pPr>
            <w:r>
              <w:rPr>
                <w:sz w:val="21"/>
              </w:rPr>
              <w:t>2．关节机能的丧失系指关节永久完全僵硬、或麻痹、或关节不能随意识活动。</w:t>
            </w:r>
          </w:p>
          <w:p>
            <w:pPr>
              <w:pStyle w:val="TableParagraph"/>
              <w:spacing w:line="273" w:lineRule="auto" w:before="37"/>
              <w:ind w:right="57"/>
              <w:rPr>
                <w:sz w:val="21"/>
              </w:rPr>
            </w:pPr>
            <w:r>
              <w:rPr>
                <w:sz w:val="21"/>
              </w:rPr>
              <w:t>3．咀嚼、吞咽机能的丧失系指由于牙齿以外的原因引起器质障碍或机能障碍， 以致不能做咀嚼、吞咽运动，除流质食物外不能摄取或吞咽的状态。</w:t>
            </w:r>
          </w:p>
          <w:p>
            <w:pPr>
              <w:pStyle w:val="TableParagraph"/>
              <w:spacing w:line="273" w:lineRule="auto" w:before="8"/>
              <w:ind w:right="-15"/>
              <w:rPr>
                <w:sz w:val="21"/>
              </w:rPr>
            </w:pPr>
            <w:r>
              <w:rPr>
                <w:spacing w:val="-24"/>
                <w:sz w:val="21"/>
              </w:rPr>
              <w:t>4</w:t>
            </w:r>
            <w:r>
              <w:rPr>
                <w:spacing w:val="-12"/>
                <w:sz w:val="21"/>
              </w:rPr>
              <w:t>．为维持生命必要之日常生活活动，全需他人扶助系指食物摄取、大小便始末、</w:t>
            </w:r>
            <w:r>
              <w:rPr>
                <w:spacing w:val="-6"/>
                <w:sz w:val="21"/>
              </w:rPr>
              <w:t>穿脱衣服、起居、步行、入浴等，皆不能自己为之，需要他人帮助。</w:t>
            </w:r>
          </w:p>
        </w:tc>
      </w:tr>
      <w:tr>
        <w:trPr>
          <w:trHeight w:val="2143" w:hRule="atLeast"/>
        </w:trPr>
        <w:tc>
          <w:tcPr>
            <w:tcW w:w="762" w:type="dxa"/>
          </w:tcPr>
          <w:p>
            <w:pPr>
              <w:pStyle w:val="TableParagraph"/>
              <w:spacing w:before="167"/>
              <w:ind w:left="28"/>
              <w:rPr>
                <w:b/>
                <w:sz w:val="21"/>
              </w:rPr>
            </w:pPr>
            <w:r>
              <w:rPr>
                <w:b/>
                <w:sz w:val="21"/>
              </w:rPr>
              <w:t>12.4</w:t>
            </w:r>
          </w:p>
        </w:tc>
        <w:tc>
          <w:tcPr>
            <w:tcW w:w="1806" w:type="dxa"/>
          </w:tcPr>
          <w:p>
            <w:pPr>
              <w:pStyle w:val="TableParagraph"/>
              <w:spacing w:before="167"/>
              <w:ind w:left="205"/>
              <w:rPr>
                <w:b/>
                <w:sz w:val="21"/>
              </w:rPr>
            </w:pPr>
            <w:r>
              <w:rPr>
                <w:b/>
                <w:sz w:val="21"/>
              </w:rPr>
              <w:t>我们认可的医院</w:t>
            </w:r>
          </w:p>
        </w:tc>
        <w:tc>
          <w:tcPr>
            <w:tcW w:w="7437" w:type="dxa"/>
          </w:tcPr>
          <w:p>
            <w:pPr>
              <w:pStyle w:val="TableParagraph"/>
              <w:spacing w:line="273" w:lineRule="auto" w:before="167"/>
              <w:ind w:right="101"/>
              <w:jc w:val="both"/>
              <w:rPr>
                <w:sz w:val="21"/>
              </w:rPr>
            </w:pPr>
            <w:r>
              <w:rPr>
                <w:sz w:val="21"/>
              </w:rPr>
              <w:t>系指我们的定点医院，在无定点医院的县市地区选择医院时，须经我们同意且应当满足以下条件：</w:t>
            </w:r>
          </w:p>
          <w:p>
            <w:pPr>
              <w:pStyle w:val="TableParagraph"/>
              <w:spacing w:line="273" w:lineRule="auto" w:before="7"/>
              <w:ind w:right="106"/>
              <w:jc w:val="both"/>
              <w:rPr>
                <w:sz w:val="21"/>
              </w:rPr>
            </w:pPr>
            <w:r>
              <w:rPr>
                <w:sz w:val="21"/>
              </w:rPr>
              <w:t>经中华人民共和国卫生部门评审确定的二级甲等以上的公立医院，但不包括： 精神病院及专供康复、休养、戒毒、戒酒、护理、养老等非以直接诊治病人为目的的医疗机构。该医院必须具有符合国家有关医院管理规则设置标准的医疗设备，且全日 24 小时有合格医师及护士驻医院提供医疗及护理服务。</w:t>
            </w:r>
          </w:p>
        </w:tc>
      </w:tr>
      <w:tr>
        <w:trPr>
          <w:trHeight w:val="491" w:hRule="atLeast"/>
        </w:trPr>
        <w:tc>
          <w:tcPr>
            <w:tcW w:w="762" w:type="dxa"/>
          </w:tcPr>
          <w:p>
            <w:pPr>
              <w:pStyle w:val="TableParagraph"/>
              <w:spacing w:before="76"/>
              <w:ind w:left="28"/>
              <w:rPr>
                <w:b/>
                <w:sz w:val="21"/>
              </w:rPr>
            </w:pPr>
            <w:r>
              <w:rPr>
                <w:b/>
                <w:sz w:val="21"/>
              </w:rPr>
              <w:t>12.5</w:t>
            </w:r>
          </w:p>
        </w:tc>
        <w:tc>
          <w:tcPr>
            <w:tcW w:w="1806" w:type="dxa"/>
          </w:tcPr>
          <w:p>
            <w:pPr>
              <w:pStyle w:val="TableParagraph"/>
              <w:spacing w:before="76"/>
              <w:ind w:left="205"/>
              <w:rPr>
                <w:b/>
                <w:sz w:val="21"/>
              </w:rPr>
            </w:pPr>
            <w:r>
              <w:rPr>
                <w:b/>
                <w:sz w:val="21"/>
              </w:rPr>
              <w:t>以后</w:t>
            </w:r>
          </w:p>
        </w:tc>
        <w:tc>
          <w:tcPr>
            <w:tcW w:w="7437" w:type="dxa"/>
          </w:tcPr>
          <w:p>
            <w:pPr>
              <w:pStyle w:val="TableParagraph"/>
              <w:spacing w:before="76"/>
              <w:rPr>
                <w:sz w:val="21"/>
              </w:rPr>
            </w:pPr>
            <w:r>
              <w:rPr>
                <w:sz w:val="21"/>
              </w:rPr>
              <w:t>不包含本数。</w:t>
            </w:r>
          </w:p>
        </w:tc>
      </w:tr>
      <w:tr>
        <w:trPr>
          <w:trHeight w:val="804" w:hRule="atLeast"/>
        </w:trPr>
        <w:tc>
          <w:tcPr>
            <w:tcW w:w="762" w:type="dxa"/>
          </w:tcPr>
          <w:p>
            <w:pPr>
              <w:pStyle w:val="TableParagraph"/>
              <w:spacing w:before="76"/>
              <w:ind w:left="28"/>
              <w:rPr>
                <w:b/>
                <w:sz w:val="21"/>
              </w:rPr>
            </w:pPr>
            <w:r>
              <w:rPr>
                <w:b/>
                <w:sz w:val="21"/>
              </w:rPr>
              <w:t>12.6</w:t>
            </w:r>
          </w:p>
        </w:tc>
        <w:tc>
          <w:tcPr>
            <w:tcW w:w="1806" w:type="dxa"/>
          </w:tcPr>
          <w:p>
            <w:pPr>
              <w:pStyle w:val="TableParagraph"/>
              <w:spacing w:before="76"/>
              <w:ind w:left="205"/>
              <w:rPr>
                <w:b/>
                <w:sz w:val="21"/>
              </w:rPr>
            </w:pPr>
            <w:r>
              <w:rPr>
                <w:b/>
                <w:sz w:val="21"/>
              </w:rPr>
              <w:t>保单周年日</w:t>
            </w:r>
          </w:p>
        </w:tc>
        <w:tc>
          <w:tcPr>
            <w:tcW w:w="7437" w:type="dxa"/>
          </w:tcPr>
          <w:p>
            <w:pPr>
              <w:pStyle w:val="TableParagraph"/>
              <w:spacing w:line="273" w:lineRule="auto" w:before="76"/>
              <w:ind w:right="106"/>
              <w:rPr>
                <w:sz w:val="21"/>
              </w:rPr>
            </w:pPr>
            <w:r>
              <w:rPr>
                <w:sz w:val="21"/>
              </w:rPr>
              <w:t>本合同生效日以后每年的对应日为保单周年日，如果当月无对应的同一日，则以该月最后一日作为对应日。</w:t>
            </w:r>
          </w:p>
        </w:tc>
      </w:tr>
      <w:tr>
        <w:trPr>
          <w:trHeight w:val="884" w:hRule="atLeast"/>
        </w:trPr>
        <w:tc>
          <w:tcPr>
            <w:tcW w:w="762" w:type="dxa"/>
          </w:tcPr>
          <w:p>
            <w:pPr>
              <w:pStyle w:val="TableParagraph"/>
              <w:spacing w:before="76"/>
              <w:ind w:left="28"/>
              <w:rPr>
                <w:b/>
                <w:sz w:val="21"/>
              </w:rPr>
            </w:pPr>
            <w:r>
              <w:rPr>
                <w:b/>
                <w:sz w:val="21"/>
              </w:rPr>
              <w:t>12.7</w:t>
            </w:r>
          </w:p>
        </w:tc>
        <w:tc>
          <w:tcPr>
            <w:tcW w:w="1806" w:type="dxa"/>
          </w:tcPr>
          <w:p>
            <w:pPr>
              <w:pStyle w:val="TableParagraph"/>
              <w:spacing w:before="76"/>
              <w:ind w:left="205"/>
              <w:rPr>
                <w:b/>
                <w:sz w:val="21"/>
              </w:rPr>
            </w:pPr>
            <w:r>
              <w:rPr>
                <w:b/>
                <w:sz w:val="21"/>
              </w:rPr>
              <w:t>意外伤害</w:t>
            </w:r>
          </w:p>
        </w:tc>
        <w:tc>
          <w:tcPr>
            <w:tcW w:w="7437" w:type="dxa"/>
          </w:tcPr>
          <w:p>
            <w:pPr>
              <w:pStyle w:val="TableParagraph"/>
              <w:spacing w:line="273" w:lineRule="auto" w:before="76"/>
              <w:ind w:right="166"/>
              <w:rPr>
                <w:sz w:val="21"/>
              </w:rPr>
            </w:pPr>
            <w:r>
              <w:rPr>
                <w:sz w:val="21"/>
              </w:rPr>
              <w:t>指遭受外来的、突发的、非本意的、非疾病的客观事件直接致使身体受到的伤害。</w:t>
            </w:r>
          </w:p>
        </w:tc>
      </w:tr>
      <w:tr>
        <w:trPr>
          <w:trHeight w:val="935" w:hRule="atLeast"/>
        </w:trPr>
        <w:tc>
          <w:tcPr>
            <w:tcW w:w="762" w:type="dxa"/>
          </w:tcPr>
          <w:p>
            <w:pPr>
              <w:pStyle w:val="TableParagraph"/>
              <w:spacing w:line="262" w:lineRule="exact"/>
              <w:ind w:left="28"/>
              <w:rPr>
                <w:b/>
                <w:sz w:val="21"/>
              </w:rPr>
            </w:pPr>
            <w:r>
              <w:rPr>
                <w:b/>
                <w:sz w:val="21"/>
              </w:rPr>
              <w:t>12.8</w:t>
            </w:r>
          </w:p>
        </w:tc>
        <w:tc>
          <w:tcPr>
            <w:tcW w:w="1806" w:type="dxa"/>
          </w:tcPr>
          <w:p>
            <w:pPr>
              <w:pStyle w:val="TableParagraph"/>
              <w:spacing w:line="262" w:lineRule="exact"/>
              <w:ind w:left="205"/>
              <w:rPr>
                <w:b/>
                <w:sz w:val="21"/>
              </w:rPr>
            </w:pPr>
            <w:r>
              <w:rPr>
                <w:b/>
                <w:sz w:val="21"/>
              </w:rPr>
              <w:t>毒品</w:t>
            </w:r>
          </w:p>
        </w:tc>
        <w:tc>
          <w:tcPr>
            <w:tcW w:w="7437" w:type="dxa"/>
            <w:tcBorders>
              <w:right w:val="single" w:sz="4" w:space="0" w:color="FFFFFF"/>
            </w:tcBorders>
          </w:tcPr>
          <w:p>
            <w:pPr>
              <w:pStyle w:val="TableParagraph"/>
              <w:spacing w:line="273" w:lineRule="auto"/>
              <w:ind w:right="-15"/>
              <w:rPr>
                <w:sz w:val="21"/>
              </w:rPr>
            </w:pPr>
            <w:r>
              <w:rPr>
                <w:spacing w:val="-8"/>
                <w:sz w:val="21"/>
              </w:rPr>
              <w:t>指中华人民共和国刑法规定的鸦片、海洛因、甲基苯丙胺</w:t>
            </w:r>
            <w:r>
              <w:rPr>
                <w:sz w:val="21"/>
              </w:rPr>
              <w:t>（</w:t>
            </w:r>
            <w:r>
              <w:rPr>
                <w:spacing w:val="-2"/>
                <w:sz w:val="21"/>
              </w:rPr>
              <w:t>冰毒</w:t>
            </w:r>
            <w:r>
              <w:rPr>
                <w:spacing w:val="-108"/>
                <w:sz w:val="21"/>
              </w:rPr>
              <w:t>）</w:t>
            </w:r>
            <w:r>
              <w:rPr>
                <w:spacing w:val="-12"/>
                <w:sz w:val="21"/>
              </w:rPr>
              <w:t>、吗啡、大麻、</w:t>
            </w:r>
            <w:r>
              <w:rPr>
                <w:spacing w:val="-6"/>
                <w:sz w:val="21"/>
              </w:rPr>
              <w:t>可卡因以及国家规定管制的其他能够使人形成瘾癖的麻醉药品和精神药品，但 </w:t>
            </w:r>
            <w:r>
              <w:rPr>
                <w:spacing w:val="-3"/>
                <w:sz w:val="21"/>
              </w:rPr>
              <w:t>不 包括由医生开具用于治疗疾病的含有毒品成分的处方药品。</w:t>
            </w:r>
          </w:p>
        </w:tc>
      </w:tr>
      <w:tr>
        <w:trPr>
          <w:trHeight w:val="894" w:hRule="atLeast"/>
        </w:trPr>
        <w:tc>
          <w:tcPr>
            <w:tcW w:w="762" w:type="dxa"/>
          </w:tcPr>
          <w:p>
            <w:pPr>
              <w:pStyle w:val="TableParagraph"/>
              <w:spacing w:before="167"/>
              <w:ind w:left="28"/>
              <w:rPr>
                <w:b/>
                <w:sz w:val="21"/>
              </w:rPr>
            </w:pPr>
            <w:r>
              <w:rPr>
                <w:b/>
                <w:sz w:val="21"/>
              </w:rPr>
              <w:t>12.9</w:t>
            </w:r>
          </w:p>
        </w:tc>
        <w:tc>
          <w:tcPr>
            <w:tcW w:w="1806" w:type="dxa"/>
          </w:tcPr>
          <w:p>
            <w:pPr>
              <w:pStyle w:val="TableParagraph"/>
              <w:spacing w:before="167"/>
              <w:ind w:left="205"/>
              <w:rPr>
                <w:b/>
                <w:sz w:val="21"/>
              </w:rPr>
            </w:pPr>
            <w:r>
              <w:rPr>
                <w:b/>
                <w:sz w:val="21"/>
              </w:rPr>
              <w:t>管制药品</w:t>
            </w:r>
          </w:p>
        </w:tc>
        <w:tc>
          <w:tcPr>
            <w:tcW w:w="7437" w:type="dxa"/>
          </w:tcPr>
          <w:p>
            <w:pPr>
              <w:pStyle w:val="TableParagraph"/>
              <w:spacing w:line="273" w:lineRule="auto" w:before="167"/>
              <w:ind w:right="165"/>
              <w:rPr>
                <w:sz w:val="21"/>
              </w:rPr>
            </w:pPr>
            <w:r>
              <w:rPr>
                <w:sz w:val="21"/>
              </w:rPr>
              <w:t>指根据《中华人民共和国药品管理法》及有关法规被列为特殊管理的药品，包括麻醉药品、精神药品、医疗用毒性药品及放射性药品。</w:t>
            </w:r>
          </w:p>
        </w:tc>
      </w:tr>
      <w:tr>
        <w:trPr>
          <w:trHeight w:val="351" w:hRule="atLeast"/>
        </w:trPr>
        <w:tc>
          <w:tcPr>
            <w:tcW w:w="762" w:type="dxa"/>
          </w:tcPr>
          <w:p>
            <w:pPr>
              <w:pStyle w:val="TableParagraph"/>
              <w:spacing w:line="255" w:lineRule="exact" w:before="76"/>
              <w:ind w:left="28"/>
              <w:rPr>
                <w:b/>
                <w:sz w:val="21"/>
              </w:rPr>
            </w:pPr>
            <w:r>
              <w:rPr>
                <w:b/>
                <w:sz w:val="21"/>
              </w:rPr>
              <w:t>12.10</w:t>
            </w:r>
          </w:p>
        </w:tc>
        <w:tc>
          <w:tcPr>
            <w:tcW w:w="1806" w:type="dxa"/>
          </w:tcPr>
          <w:p>
            <w:pPr>
              <w:pStyle w:val="TableParagraph"/>
              <w:spacing w:line="255" w:lineRule="exact" w:before="76"/>
              <w:ind w:left="205"/>
              <w:rPr>
                <w:b/>
                <w:sz w:val="21"/>
              </w:rPr>
            </w:pPr>
            <w:r>
              <w:rPr>
                <w:b/>
                <w:sz w:val="21"/>
              </w:rPr>
              <w:t>酒后驾驶</w:t>
            </w:r>
          </w:p>
        </w:tc>
        <w:tc>
          <w:tcPr>
            <w:tcW w:w="7437" w:type="dxa"/>
          </w:tcPr>
          <w:p>
            <w:pPr>
              <w:pStyle w:val="TableParagraph"/>
              <w:spacing w:line="255" w:lineRule="exact" w:before="76"/>
              <w:rPr>
                <w:sz w:val="21"/>
              </w:rPr>
            </w:pPr>
            <w:r>
              <w:rPr>
                <w:sz w:val="21"/>
              </w:rPr>
              <w:t>指经检测或鉴定，发生保险事故时车辆驾驶人员每百毫升血液中的酒精含量达</w:t>
            </w:r>
          </w:p>
        </w:tc>
      </w:tr>
    </w:tbl>
    <w:p>
      <w:pPr>
        <w:spacing w:after="0" w:line="255" w:lineRule="exact"/>
        <w:rPr>
          <w:sz w:val="21"/>
        </w:rPr>
        <w:sectPr>
          <w:headerReference w:type="default" r:id="rId10"/>
          <w:pgSz w:w="11910" w:h="16840"/>
          <w:pgMar w:header="566" w:footer="664" w:top="980" w:bottom="860" w:left="100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23"/>
        <w:gridCol w:w="7420"/>
      </w:tblGrid>
      <w:tr>
        <w:trPr>
          <w:trHeight w:val="351" w:hRule="atLeast"/>
        </w:trPr>
        <w:tc>
          <w:tcPr>
            <w:tcW w:w="934" w:type="dxa"/>
          </w:tcPr>
          <w:p>
            <w:pPr>
              <w:pStyle w:val="TableParagraph"/>
              <w:ind w:left="0"/>
              <w:rPr>
                <w:rFonts w:ascii="Times New Roman"/>
                <w:sz w:val="20"/>
              </w:rPr>
            </w:pPr>
          </w:p>
        </w:tc>
        <w:tc>
          <w:tcPr>
            <w:tcW w:w="1823" w:type="dxa"/>
          </w:tcPr>
          <w:p>
            <w:pPr>
              <w:pStyle w:val="TableParagraph"/>
              <w:ind w:left="0"/>
              <w:rPr>
                <w:rFonts w:ascii="Times New Roman"/>
                <w:sz w:val="20"/>
              </w:rPr>
            </w:pPr>
          </w:p>
        </w:tc>
        <w:tc>
          <w:tcPr>
            <w:tcW w:w="7420" w:type="dxa"/>
          </w:tcPr>
          <w:p>
            <w:pPr>
              <w:pStyle w:val="TableParagraph"/>
              <w:spacing w:line="211" w:lineRule="exact"/>
              <w:ind w:left="105"/>
              <w:rPr>
                <w:sz w:val="21"/>
              </w:rPr>
            </w:pPr>
            <w:r>
              <w:rPr>
                <w:sz w:val="21"/>
              </w:rPr>
              <w:t>到或超过道路交通法规规定的标准。</w:t>
            </w:r>
          </w:p>
        </w:tc>
      </w:tr>
      <w:tr>
        <w:trPr>
          <w:trHeight w:val="2684" w:hRule="atLeast"/>
        </w:trPr>
        <w:tc>
          <w:tcPr>
            <w:tcW w:w="934" w:type="dxa"/>
          </w:tcPr>
          <w:p>
            <w:pPr>
              <w:pStyle w:val="TableParagraph"/>
              <w:spacing w:before="77"/>
              <w:ind w:left="179" w:right="182"/>
              <w:jc w:val="center"/>
              <w:rPr>
                <w:b/>
                <w:sz w:val="21"/>
              </w:rPr>
            </w:pPr>
            <w:r>
              <w:rPr>
                <w:b/>
                <w:sz w:val="21"/>
              </w:rPr>
              <w:t>12.11</w:t>
            </w:r>
          </w:p>
        </w:tc>
        <w:tc>
          <w:tcPr>
            <w:tcW w:w="1823" w:type="dxa"/>
          </w:tcPr>
          <w:p>
            <w:pPr>
              <w:pStyle w:val="TableParagraph"/>
              <w:spacing w:line="273" w:lineRule="auto" w:before="77"/>
              <w:ind w:left="204" w:right="137"/>
              <w:rPr>
                <w:b/>
                <w:sz w:val="21"/>
              </w:rPr>
            </w:pPr>
            <w:r>
              <w:rPr>
                <w:b/>
                <w:sz w:val="21"/>
              </w:rPr>
              <w:t>无合法有效驾驶证驾驶</w:t>
            </w:r>
          </w:p>
        </w:tc>
        <w:tc>
          <w:tcPr>
            <w:tcW w:w="7420" w:type="dxa"/>
          </w:tcPr>
          <w:p>
            <w:pPr>
              <w:pStyle w:val="TableParagraph"/>
              <w:spacing w:before="77"/>
              <w:ind w:left="105"/>
              <w:rPr>
                <w:sz w:val="21"/>
              </w:rPr>
            </w:pPr>
            <w:r>
              <w:rPr>
                <w:sz w:val="21"/>
              </w:rPr>
              <w:t>指下列情形之一：</w:t>
            </w:r>
          </w:p>
          <w:p>
            <w:pPr>
              <w:pStyle w:val="TableParagraph"/>
              <w:spacing w:before="37"/>
              <w:ind w:left="105"/>
              <w:rPr>
                <w:sz w:val="21"/>
              </w:rPr>
            </w:pPr>
            <w:r>
              <w:rPr>
                <w:sz w:val="21"/>
              </w:rPr>
              <w:t>（</w:t>
            </w:r>
            <w:r>
              <w:rPr>
                <w:rFonts w:ascii="Times New Roman" w:eastAsia="Times New Roman"/>
                <w:sz w:val="21"/>
              </w:rPr>
              <w:t>1</w:t>
            </w:r>
            <w:r>
              <w:rPr>
                <w:sz w:val="21"/>
              </w:rPr>
              <w:t>）没有驾驶证驾驶；</w:t>
            </w:r>
          </w:p>
          <w:p>
            <w:pPr>
              <w:pStyle w:val="TableParagraph"/>
              <w:spacing w:before="21"/>
              <w:ind w:left="105"/>
              <w:rPr>
                <w:sz w:val="21"/>
              </w:rPr>
            </w:pPr>
            <w:r>
              <w:rPr>
                <w:sz w:val="21"/>
              </w:rPr>
              <w:t>（</w:t>
            </w:r>
            <w:r>
              <w:rPr>
                <w:rFonts w:ascii="Times New Roman" w:eastAsia="Times New Roman"/>
                <w:sz w:val="21"/>
              </w:rPr>
              <w:t>2</w:t>
            </w:r>
            <w:r>
              <w:rPr>
                <w:sz w:val="21"/>
              </w:rPr>
              <w:t>）驾驶与驾驶证准驾车型不相符合的车辆；</w:t>
            </w:r>
          </w:p>
          <w:p>
            <w:pPr>
              <w:pStyle w:val="TableParagraph"/>
              <w:spacing w:before="21"/>
              <w:ind w:left="105"/>
              <w:rPr>
                <w:sz w:val="21"/>
              </w:rPr>
            </w:pPr>
            <w:r>
              <w:rPr>
                <w:sz w:val="21"/>
              </w:rPr>
              <w:t>（</w:t>
            </w:r>
            <w:r>
              <w:rPr>
                <w:rFonts w:ascii="Times New Roman" w:eastAsia="Times New Roman"/>
                <w:sz w:val="21"/>
              </w:rPr>
              <w:t>3</w:t>
            </w:r>
            <w:r>
              <w:rPr>
                <w:sz w:val="21"/>
              </w:rPr>
              <w:t>）驾驶员持审验不合格的驾驶证驾驶；</w:t>
            </w:r>
          </w:p>
          <w:p>
            <w:pPr>
              <w:pStyle w:val="TableParagraph"/>
              <w:spacing w:before="21"/>
              <w:ind w:left="105"/>
              <w:rPr>
                <w:sz w:val="21"/>
              </w:rPr>
            </w:pPr>
            <w:r>
              <w:rPr>
                <w:sz w:val="21"/>
              </w:rPr>
              <w:t>（</w:t>
            </w:r>
            <w:r>
              <w:rPr>
                <w:rFonts w:ascii="Times New Roman" w:eastAsia="Times New Roman"/>
                <w:sz w:val="21"/>
              </w:rPr>
              <w:t>4</w:t>
            </w:r>
            <w:r>
              <w:rPr>
                <w:sz w:val="21"/>
              </w:rPr>
              <w:t>）未经公安交通管理部门同意，持未审验的驾驶证驾驶；</w:t>
            </w:r>
          </w:p>
          <w:p>
            <w:pPr>
              <w:pStyle w:val="TableParagraph"/>
              <w:spacing w:line="256" w:lineRule="auto" w:before="21"/>
              <w:ind w:left="631" w:right="101" w:hanging="527"/>
              <w:rPr>
                <w:sz w:val="21"/>
              </w:rPr>
            </w:pPr>
            <w:r>
              <w:rPr>
                <w:spacing w:val="-5"/>
                <w:sz w:val="21"/>
              </w:rPr>
              <w:t>（</w:t>
            </w:r>
            <w:r>
              <w:rPr>
                <w:rFonts w:ascii="Times New Roman" w:eastAsia="Times New Roman"/>
                <w:spacing w:val="-5"/>
                <w:sz w:val="21"/>
              </w:rPr>
              <w:t>5</w:t>
            </w:r>
            <w:r>
              <w:rPr>
                <w:spacing w:val="-5"/>
                <w:sz w:val="21"/>
              </w:rPr>
              <w:t>）</w:t>
            </w:r>
            <w:r>
              <w:rPr>
                <w:spacing w:val="-6"/>
                <w:sz w:val="21"/>
              </w:rPr>
              <w:t>持学习驾驶证学习驾车时，无教练员随车指导，或不按指定时间、路线学</w:t>
            </w:r>
            <w:r>
              <w:rPr>
                <w:spacing w:val="-4"/>
                <w:sz w:val="21"/>
              </w:rPr>
              <w:t>习驾车；</w:t>
            </w:r>
          </w:p>
          <w:p>
            <w:pPr>
              <w:pStyle w:val="TableParagraph"/>
              <w:spacing w:before="22"/>
              <w:ind w:left="105"/>
              <w:rPr>
                <w:sz w:val="21"/>
              </w:rPr>
            </w:pPr>
            <w:r>
              <w:rPr>
                <w:sz w:val="21"/>
              </w:rPr>
              <w:t>（</w:t>
            </w:r>
            <w:r>
              <w:rPr>
                <w:rFonts w:ascii="Times New Roman" w:eastAsia="Times New Roman"/>
                <w:sz w:val="21"/>
              </w:rPr>
              <w:t>6</w:t>
            </w:r>
            <w:r>
              <w:rPr>
                <w:sz w:val="21"/>
              </w:rPr>
              <w:t>）公安交通管理部门规定的其他无有效驾驶证驾驶的情况。</w:t>
            </w:r>
          </w:p>
        </w:tc>
      </w:tr>
      <w:tr>
        <w:trPr>
          <w:trHeight w:val="1108" w:hRule="atLeast"/>
        </w:trPr>
        <w:tc>
          <w:tcPr>
            <w:tcW w:w="934" w:type="dxa"/>
          </w:tcPr>
          <w:p>
            <w:pPr>
              <w:pStyle w:val="TableParagraph"/>
              <w:spacing w:before="68"/>
              <w:ind w:left="179" w:right="182"/>
              <w:jc w:val="center"/>
              <w:rPr>
                <w:b/>
                <w:sz w:val="21"/>
              </w:rPr>
            </w:pPr>
            <w:r>
              <w:rPr>
                <w:b/>
                <w:sz w:val="21"/>
              </w:rPr>
              <w:t>12.12</w:t>
            </w:r>
          </w:p>
        </w:tc>
        <w:tc>
          <w:tcPr>
            <w:tcW w:w="1823" w:type="dxa"/>
          </w:tcPr>
          <w:p>
            <w:pPr>
              <w:pStyle w:val="TableParagraph"/>
              <w:spacing w:before="68"/>
              <w:ind w:left="204"/>
              <w:rPr>
                <w:b/>
                <w:sz w:val="21"/>
              </w:rPr>
            </w:pPr>
            <w:r>
              <w:rPr>
                <w:b/>
                <w:sz w:val="21"/>
              </w:rPr>
              <w:t>无有效行驶证</w:t>
            </w:r>
          </w:p>
        </w:tc>
        <w:tc>
          <w:tcPr>
            <w:tcW w:w="7420" w:type="dxa"/>
          </w:tcPr>
          <w:p>
            <w:pPr>
              <w:pStyle w:val="TableParagraph"/>
              <w:spacing w:before="68"/>
              <w:ind w:left="105"/>
              <w:rPr>
                <w:sz w:val="21"/>
              </w:rPr>
            </w:pPr>
            <w:r>
              <w:rPr>
                <w:sz w:val="21"/>
              </w:rPr>
              <w:t>指下列情形之一：</w:t>
            </w:r>
          </w:p>
          <w:p>
            <w:pPr>
              <w:pStyle w:val="TableParagraph"/>
              <w:spacing w:before="36"/>
              <w:ind w:left="105"/>
              <w:rPr>
                <w:sz w:val="21"/>
              </w:rPr>
            </w:pPr>
            <w:r>
              <w:rPr>
                <w:sz w:val="21"/>
              </w:rPr>
              <w:t>（1）没有机动车行驶证；</w:t>
            </w:r>
          </w:p>
          <w:p>
            <w:pPr>
              <w:pStyle w:val="TableParagraph"/>
              <w:spacing w:before="36"/>
              <w:ind w:left="105"/>
              <w:rPr>
                <w:sz w:val="21"/>
              </w:rPr>
            </w:pPr>
            <w:r>
              <w:rPr>
                <w:sz w:val="21"/>
              </w:rPr>
              <w:t>（2）未在法律规定期限内按时进行或通过安全技术检验。</w:t>
            </w:r>
          </w:p>
        </w:tc>
      </w:tr>
      <w:tr>
        <w:trPr>
          <w:trHeight w:val="804" w:hRule="atLeast"/>
        </w:trPr>
        <w:tc>
          <w:tcPr>
            <w:tcW w:w="934" w:type="dxa"/>
          </w:tcPr>
          <w:p>
            <w:pPr>
              <w:pStyle w:val="TableParagraph"/>
              <w:spacing w:before="77"/>
              <w:ind w:left="179" w:right="182"/>
              <w:jc w:val="center"/>
              <w:rPr>
                <w:b/>
                <w:sz w:val="21"/>
              </w:rPr>
            </w:pPr>
            <w:r>
              <w:rPr>
                <w:b/>
                <w:sz w:val="21"/>
              </w:rPr>
              <w:t>12.13</w:t>
            </w:r>
          </w:p>
        </w:tc>
        <w:tc>
          <w:tcPr>
            <w:tcW w:w="1823" w:type="dxa"/>
          </w:tcPr>
          <w:p>
            <w:pPr>
              <w:pStyle w:val="TableParagraph"/>
              <w:spacing w:before="77"/>
              <w:ind w:left="204"/>
              <w:rPr>
                <w:b/>
                <w:sz w:val="21"/>
              </w:rPr>
            </w:pPr>
            <w:r>
              <w:rPr>
                <w:b/>
                <w:sz w:val="21"/>
              </w:rPr>
              <w:t>机动车</w:t>
            </w:r>
          </w:p>
        </w:tc>
        <w:tc>
          <w:tcPr>
            <w:tcW w:w="7420" w:type="dxa"/>
          </w:tcPr>
          <w:p>
            <w:pPr>
              <w:pStyle w:val="TableParagraph"/>
              <w:spacing w:line="273" w:lineRule="auto" w:before="77"/>
              <w:ind w:left="105" w:right="167"/>
              <w:rPr>
                <w:sz w:val="21"/>
              </w:rPr>
            </w:pPr>
            <w:r>
              <w:rPr>
                <w:sz w:val="21"/>
              </w:rPr>
              <w:t>指以动力装置驱动或者牵引，供人员乘用或者用于运送物品以及进行工程专项作业的轮式车辆。</w:t>
            </w:r>
          </w:p>
        </w:tc>
      </w:tr>
      <w:tr>
        <w:trPr>
          <w:trHeight w:val="1740" w:hRule="atLeast"/>
        </w:trPr>
        <w:tc>
          <w:tcPr>
            <w:tcW w:w="934" w:type="dxa"/>
          </w:tcPr>
          <w:p>
            <w:pPr>
              <w:pStyle w:val="TableParagraph"/>
              <w:spacing w:before="76"/>
              <w:ind w:left="179" w:right="182"/>
              <w:jc w:val="center"/>
              <w:rPr>
                <w:b/>
                <w:sz w:val="21"/>
              </w:rPr>
            </w:pPr>
            <w:r>
              <w:rPr>
                <w:b/>
                <w:sz w:val="21"/>
              </w:rPr>
              <w:t>12.14</w:t>
            </w:r>
          </w:p>
        </w:tc>
        <w:tc>
          <w:tcPr>
            <w:tcW w:w="1823" w:type="dxa"/>
          </w:tcPr>
          <w:p>
            <w:pPr>
              <w:pStyle w:val="TableParagraph"/>
              <w:spacing w:line="273" w:lineRule="auto" w:before="76"/>
              <w:ind w:left="204" w:right="104"/>
              <w:rPr>
                <w:b/>
                <w:sz w:val="21"/>
              </w:rPr>
            </w:pPr>
            <w:r>
              <w:rPr>
                <w:b/>
                <w:sz w:val="21"/>
              </w:rPr>
              <w:t>感染艾滋病病毒或患艾滋病</w:t>
            </w:r>
          </w:p>
        </w:tc>
        <w:tc>
          <w:tcPr>
            <w:tcW w:w="7420" w:type="dxa"/>
          </w:tcPr>
          <w:p>
            <w:pPr>
              <w:pStyle w:val="TableParagraph"/>
              <w:spacing w:line="273" w:lineRule="auto" w:before="76"/>
              <w:ind w:left="105" w:right="101"/>
              <w:jc w:val="both"/>
              <w:rPr>
                <w:sz w:val="21"/>
              </w:rPr>
            </w:pPr>
            <w:r>
              <w:rPr>
                <w:spacing w:val="-7"/>
                <w:sz w:val="21"/>
              </w:rPr>
              <w:t>艾滋病病毒指人类免疫缺陷病毒，英文缩写为 </w:t>
            </w:r>
            <w:r>
              <w:rPr>
                <w:sz w:val="21"/>
              </w:rPr>
              <w:t>HIV</w:t>
            </w:r>
            <w:r>
              <w:rPr>
                <w:spacing w:val="-8"/>
                <w:sz w:val="21"/>
              </w:rPr>
              <w:t>。艾滋病指人类免疫缺陷病毒</w:t>
            </w:r>
            <w:r>
              <w:rPr>
                <w:spacing w:val="-7"/>
                <w:sz w:val="21"/>
              </w:rPr>
              <w:t>引起的获得性免疫缺陷综合症，英文缩写为 </w:t>
            </w:r>
            <w:r>
              <w:rPr>
                <w:sz w:val="21"/>
              </w:rPr>
              <w:t>AIDS。</w:t>
            </w:r>
          </w:p>
          <w:p>
            <w:pPr>
              <w:pStyle w:val="TableParagraph"/>
              <w:spacing w:line="273" w:lineRule="auto" w:before="7"/>
              <w:ind w:left="105" w:right="105"/>
              <w:jc w:val="both"/>
              <w:rPr>
                <w:sz w:val="21"/>
              </w:rPr>
            </w:pPr>
            <w:r>
              <w:rPr>
                <w:sz w:val="21"/>
              </w:rPr>
              <w:t>在人体血液或其他样本中检测到艾滋病病毒或其抗体呈阳性，没有出现临床症状或体征的，为感染艾滋病病毒；如果同时出现了明显临床症状或体征的，为患艾滋病。</w:t>
            </w:r>
          </w:p>
        </w:tc>
      </w:tr>
      <w:tr>
        <w:trPr>
          <w:trHeight w:val="893" w:hRule="atLeast"/>
        </w:trPr>
        <w:tc>
          <w:tcPr>
            <w:tcW w:w="934" w:type="dxa"/>
          </w:tcPr>
          <w:p>
            <w:pPr>
              <w:pStyle w:val="TableParagraph"/>
              <w:spacing w:before="76"/>
              <w:ind w:left="179" w:right="182"/>
              <w:jc w:val="center"/>
              <w:rPr>
                <w:b/>
                <w:sz w:val="21"/>
              </w:rPr>
            </w:pPr>
            <w:r>
              <w:rPr>
                <w:b/>
                <w:sz w:val="21"/>
              </w:rPr>
              <w:t>12.15</w:t>
            </w:r>
          </w:p>
        </w:tc>
        <w:tc>
          <w:tcPr>
            <w:tcW w:w="1823" w:type="dxa"/>
          </w:tcPr>
          <w:p>
            <w:pPr>
              <w:pStyle w:val="TableParagraph"/>
              <w:spacing w:before="76"/>
              <w:ind w:left="204"/>
              <w:rPr>
                <w:b/>
                <w:sz w:val="21"/>
              </w:rPr>
            </w:pPr>
            <w:r>
              <w:rPr>
                <w:b/>
                <w:sz w:val="21"/>
              </w:rPr>
              <w:t>遗传性疾病</w:t>
            </w:r>
          </w:p>
        </w:tc>
        <w:tc>
          <w:tcPr>
            <w:tcW w:w="7420" w:type="dxa"/>
          </w:tcPr>
          <w:p>
            <w:pPr>
              <w:pStyle w:val="TableParagraph"/>
              <w:spacing w:line="273" w:lineRule="auto" w:before="76"/>
              <w:ind w:left="105" w:right="106"/>
              <w:rPr>
                <w:sz w:val="21"/>
              </w:rPr>
            </w:pPr>
            <w:r>
              <w:rPr>
                <w:sz w:val="21"/>
              </w:rPr>
              <w:t>指生殖细胞或受精卵的遗传物质（染色体和基因）发生突变或畸变所引起的疾病， 通常具有由亲代传至后代的垂直传递的特征。</w:t>
            </w:r>
          </w:p>
        </w:tc>
      </w:tr>
      <w:tr>
        <w:trPr>
          <w:trHeight w:val="936" w:hRule="atLeast"/>
        </w:trPr>
        <w:tc>
          <w:tcPr>
            <w:tcW w:w="934" w:type="dxa"/>
          </w:tcPr>
          <w:p>
            <w:pPr>
              <w:pStyle w:val="TableParagraph"/>
              <w:spacing w:line="262" w:lineRule="exact"/>
              <w:ind w:left="179" w:right="182"/>
              <w:jc w:val="center"/>
              <w:rPr>
                <w:b/>
                <w:sz w:val="21"/>
              </w:rPr>
            </w:pPr>
            <w:r>
              <w:rPr>
                <w:b/>
                <w:sz w:val="21"/>
              </w:rPr>
              <w:t>12.16</w:t>
            </w:r>
          </w:p>
        </w:tc>
        <w:tc>
          <w:tcPr>
            <w:tcW w:w="1823" w:type="dxa"/>
          </w:tcPr>
          <w:p>
            <w:pPr>
              <w:pStyle w:val="TableParagraph"/>
              <w:spacing w:line="273" w:lineRule="auto"/>
              <w:ind w:left="204" w:right="110"/>
              <w:rPr>
                <w:b/>
                <w:sz w:val="21"/>
              </w:rPr>
            </w:pPr>
            <w:r>
              <w:rPr>
                <w:b/>
                <w:sz w:val="21"/>
              </w:rPr>
              <w:t>先天性畸形、变形或染色体异常</w:t>
            </w:r>
          </w:p>
        </w:tc>
        <w:tc>
          <w:tcPr>
            <w:tcW w:w="7420" w:type="dxa"/>
            <w:tcBorders>
              <w:right w:val="single" w:sz="4" w:space="0" w:color="FFFFFF"/>
            </w:tcBorders>
          </w:tcPr>
          <w:p>
            <w:pPr>
              <w:pStyle w:val="TableParagraph"/>
              <w:spacing w:line="273" w:lineRule="auto"/>
              <w:ind w:left="105" w:right="-15"/>
              <w:rPr>
                <w:sz w:val="21"/>
              </w:rPr>
            </w:pPr>
            <w:r>
              <w:rPr>
                <w:sz w:val="21"/>
              </w:rPr>
              <w:t>指被保险人出生时就具有的畸形、变形或染色体异常。先天性畸形、变形和染</w:t>
            </w:r>
            <w:r>
              <w:rPr>
                <w:spacing w:val="-5"/>
                <w:sz w:val="21"/>
              </w:rPr>
              <w:t>色体异常依照世界卫生组织《疾病和有关健康问题的国际统计分类》</w:t>
            </w:r>
            <w:r>
              <w:rPr>
                <w:sz w:val="21"/>
              </w:rPr>
              <w:t>（ICD-10） 确定。</w:t>
            </w:r>
          </w:p>
        </w:tc>
      </w:tr>
      <w:tr>
        <w:trPr>
          <w:trHeight w:val="890" w:hRule="atLeast"/>
        </w:trPr>
        <w:tc>
          <w:tcPr>
            <w:tcW w:w="934" w:type="dxa"/>
          </w:tcPr>
          <w:p>
            <w:pPr>
              <w:pStyle w:val="TableParagraph"/>
              <w:spacing w:before="167"/>
              <w:ind w:left="179" w:right="182"/>
              <w:jc w:val="center"/>
              <w:rPr>
                <w:b/>
                <w:sz w:val="21"/>
              </w:rPr>
            </w:pPr>
            <w:r>
              <w:rPr>
                <w:b/>
                <w:sz w:val="21"/>
              </w:rPr>
              <w:t>12.17</w:t>
            </w:r>
          </w:p>
        </w:tc>
        <w:tc>
          <w:tcPr>
            <w:tcW w:w="1823" w:type="dxa"/>
          </w:tcPr>
          <w:p>
            <w:pPr>
              <w:pStyle w:val="TableParagraph"/>
              <w:spacing w:before="167"/>
              <w:ind w:left="204"/>
              <w:rPr>
                <w:b/>
                <w:sz w:val="21"/>
              </w:rPr>
            </w:pPr>
            <w:r>
              <w:rPr>
                <w:b/>
                <w:sz w:val="21"/>
              </w:rPr>
              <w:t>现金价值</w:t>
            </w:r>
          </w:p>
        </w:tc>
        <w:tc>
          <w:tcPr>
            <w:tcW w:w="7420" w:type="dxa"/>
          </w:tcPr>
          <w:p>
            <w:pPr>
              <w:pStyle w:val="TableParagraph"/>
              <w:spacing w:line="273" w:lineRule="auto" w:before="167"/>
              <w:ind w:left="105" w:right="103"/>
              <w:rPr>
                <w:sz w:val="21"/>
              </w:rPr>
            </w:pPr>
            <w:r>
              <w:rPr>
                <w:sz w:val="21"/>
              </w:rPr>
              <w:t>一般指保险单所具有的价值，通常体现为解除本合同时，由我们向您退还的那部分金额。</w:t>
            </w:r>
          </w:p>
        </w:tc>
      </w:tr>
      <w:tr>
        <w:trPr>
          <w:trHeight w:val="2359" w:hRule="atLeast"/>
        </w:trPr>
        <w:tc>
          <w:tcPr>
            <w:tcW w:w="934" w:type="dxa"/>
          </w:tcPr>
          <w:p>
            <w:pPr>
              <w:pStyle w:val="TableParagraph"/>
              <w:spacing w:before="72"/>
              <w:ind w:left="179" w:right="182"/>
              <w:jc w:val="center"/>
              <w:rPr>
                <w:b/>
                <w:sz w:val="21"/>
              </w:rPr>
            </w:pPr>
            <w:r>
              <w:rPr>
                <w:b/>
                <w:sz w:val="21"/>
              </w:rPr>
              <w:t>12.18</w:t>
            </w:r>
          </w:p>
        </w:tc>
        <w:tc>
          <w:tcPr>
            <w:tcW w:w="1823" w:type="dxa"/>
          </w:tcPr>
          <w:p>
            <w:pPr>
              <w:pStyle w:val="TableParagraph"/>
              <w:spacing w:before="72"/>
              <w:ind w:left="204"/>
              <w:rPr>
                <w:b/>
                <w:sz w:val="21"/>
              </w:rPr>
            </w:pPr>
            <w:r>
              <w:rPr>
                <w:b/>
                <w:sz w:val="21"/>
              </w:rPr>
              <w:t>专科医生</w:t>
            </w:r>
          </w:p>
        </w:tc>
        <w:tc>
          <w:tcPr>
            <w:tcW w:w="7420" w:type="dxa"/>
          </w:tcPr>
          <w:p>
            <w:pPr>
              <w:pStyle w:val="TableParagraph"/>
              <w:spacing w:before="72"/>
              <w:ind w:left="105"/>
              <w:rPr>
                <w:sz w:val="21"/>
              </w:rPr>
            </w:pPr>
            <w:r>
              <w:rPr>
                <w:sz w:val="21"/>
              </w:rPr>
              <w:t>专科医生应当同时满足以下四项资格条件：</w:t>
            </w:r>
          </w:p>
          <w:p>
            <w:pPr>
              <w:pStyle w:val="TableParagraph"/>
              <w:spacing w:before="37"/>
              <w:ind w:left="105"/>
              <w:rPr>
                <w:sz w:val="21"/>
              </w:rPr>
            </w:pPr>
            <w:r>
              <w:rPr>
                <w:sz w:val="21"/>
              </w:rPr>
              <w:t>（1）具有有效的中华人民共和国《医师资格证书》；</w:t>
            </w:r>
          </w:p>
          <w:p>
            <w:pPr>
              <w:pStyle w:val="TableParagraph"/>
              <w:spacing w:line="273" w:lineRule="auto" w:before="37"/>
              <w:ind w:left="631" w:right="168" w:hanging="527"/>
              <w:rPr>
                <w:sz w:val="21"/>
              </w:rPr>
            </w:pPr>
            <w:r>
              <w:rPr>
                <w:sz w:val="21"/>
              </w:rPr>
              <w:t>（2）</w:t>
            </w:r>
            <w:r>
              <w:rPr>
                <w:spacing w:val="-9"/>
                <w:sz w:val="21"/>
              </w:rPr>
              <w:t>具有有效的中华人民共和国《医师执业证书》，并按期到相关部门登记注册；</w:t>
            </w:r>
          </w:p>
          <w:p>
            <w:pPr>
              <w:pStyle w:val="TableParagraph"/>
              <w:spacing w:line="273" w:lineRule="auto" w:before="8"/>
              <w:ind w:left="631" w:right="59" w:hanging="527"/>
              <w:rPr>
                <w:sz w:val="21"/>
              </w:rPr>
            </w:pPr>
            <w:r>
              <w:rPr>
                <w:sz w:val="21"/>
              </w:rPr>
              <w:t>（3）具有有效的中华人民共和国主治医师或主治医师以上职称的《医师职称证书》；</w:t>
            </w:r>
          </w:p>
          <w:p>
            <w:pPr>
              <w:pStyle w:val="TableParagraph"/>
              <w:spacing w:before="8"/>
              <w:ind w:left="105"/>
              <w:rPr>
                <w:sz w:val="21"/>
              </w:rPr>
            </w:pPr>
            <w:r>
              <w:rPr>
                <w:sz w:val="21"/>
              </w:rPr>
              <w:t>（4）在二级或二级以上医院的相应科室从事临床工作 3 年以上。</w:t>
            </w:r>
          </w:p>
        </w:tc>
      </w:tr>
      <w:tr>
        <w:trPr>
          <w:trHeight w:val="893" w:hRule="atLeast"/>
        </w:trPr>
        <w:tc>
          <w:tcPr>
            <w:tcW w:w="934" w:type="dxa"/>
          </w:tcPr>
          <w:p>
            <w:pPr>
              <w:pStyle w:val="TableParagraph"/>
              <w:spacing w:before="77"/>
              <w:ind w:left="179" w:right="182"/>
              <w:jc w:val="center"/>
              <w:rPr>
                <w:b/>
                <w:sz w:val="21"/>
              </w:rPr>
            </w:pPr>
            <w:r>
              <w:rPr>
                <w:b/>
                <w:sz w:val="21"/>
              </w:rPr>
              <w:t>12.19</w:t>
            </w:r>
          </w:p>
        </w:tc>
        <w:tc>
          <w:tcPr>
            <w:tcW w:w="1823" w:type="dxa"/>
          </w:tcPr>
          <w:p>
            <w:pPr>
              <w:pStyle w:val="TableParagraph"/>
              <w:spacing w:line="273" w:lineRule="auto" w:before="77"/>
              <w:ind w:left="204" w:right="104"/>
              <w:rPr>
                <w:b/>
                <w:sz w:val="21"/>
              </w:rPr>
            </w:pPr>
            <w:r>
              <w:rPr>
                <w:b/>
                <w:sz w:val="21"/>
              </w:rPr>
              <w:t>肢体机能完全丧失</w:t>
            </w:r>
          </w:p>
        </w:tc>
        <w:tc>
          <w:tcPr>
            <w:tcW w:w="7420" w:type="dxa"/>
          </w:tcPr>
          <w:p>
            <w:pPr>
              <w:pStyle w:val="TableParagraph"/>
              <w:spacing w:line="273" w:lineRule="auto" w:before="77"/>
              <w:ind w:left="105" w:right="106"/>
              <w:rPr>
                <w:sz w:val="21"/>
              </w:rPr>
            </w:pPr>
            <w:r>
              <w:rPr>
                <w:sz w:val="21"/>
              </w:rPr>
              <w:t>指肢体的三大关节中的两大关节僵硬，或不能随意识活动。肢体是指包括肩关节的整个上肢或包括髋关节的整个下肢。</w:t>
            </w:r>
          </w:p>
        </w:tc>
      </w:tr>
      <w:tr>
        <w:trPr>
          <w:trHeight w:val="1247" w:hRule="atLeast"/>
        </w:trPr>
        <w:tc>
          <w:tcPr>
            <w:tcW w:w="934" w:type="dxa"/>
          </w:tcPr>
          <w:p>
            <w:pPr>
              <w:pStyle w:val="TableParagraph"/>
              <w:spacing w:line="262" w:lineRule="exact"/>
              <w:ind w:left="179" w:right="182"/>
              <w:jc w:val="center"/>
              <w:rPr>
                <w:b/>
                <w:sz w:val="21"/>
              </w:rPr>
            </w:pPr>
            <w:r>
              <w:rPr>
                <w:b/>
                <w:sz w:val="21"/>
              </w:rPr>
              <w:t>12.20</w:t>
            </w:r>
          </w:p>
        </w:tc>
        <w:tc>
          <w:tcPr>
            <w:tcW w:w="1823" w:type="dxa"/>
          </w:tcPr>
          <w:p>
            <w:pPr>
              <w:pStyle w:val="TableParagraph"/>
              <w:spacing w:line="273" w:lineRule="auto"/>
              <w:ind w:left="204" w:right="104"/>
              <w:jc w:val="both"/>
              <w:rPr>
                <w:b/>
                <w:sz w:val="21"/>
              </w:rPr>
            </w:pPr>
            <w:r>
              <w:rPr>
                <w:b/>
                <w:sz w:val="21"/>
              </w:rPr>
              <w:t>语言能力或咀嚼吞咽能力完全丧失</w:t>
            </w:r>
          </w:p>
        </w:tc>
        <w:tc>
          <w:tcPr>
            <w:tcW w:w="7420" w:type="dxa"/>
            <w:tcBorders>
              <w:right w:val="single" w:sz="4" w:space="0" w:color="FFFFFF"/>
            </w:tcBorders>
          </w:tcPr>
          <w:p>
            <w:pPr>
              <w:pStyle w:val="TableParagraph"/>
              <w:spacing w:line="273" w:lineRule="auto"/>
              <w:ind w:left="105" w:right="-15"/>
              <w:rPr>
                <w:sz w:val="21"/>
              </w:rPr>
            </w:pPr>
            <w:r>
              <w:rPr>
                <w:sz w:val="21"/>
              </w:rPr>
              <w:t>语言能力完全丧失，指无法发出四种语音（包括口唇音、齿舌音、口盖音和喉</w:t>
            </w:r>
            <w:r>
              <w:rPr>
                <w:spacing w:val="-2"/>
                <w:sz w:val="21"/>
              </w:rPr>
              <w:t>头音</w:t>
            </w:r>
            <w:r>
              <w:rPr>
                <w:spacing w:val="-13"/>
                <w:sz w:val="21"/>
              </w:rPr>
              <w:t>）</w:t>
            </w:r>
            <w:r>
              <w:rPr>
                <w:spacing w:val="-6"/>
                <w:sz w:val="21"/>
              </w:rPr>
              <w:t>中的任何三种、或声带全部切除，或因大脑语言中枢受伤害而患失语症。咀嚼吞咽能力完全丧失，指因牙齿以外的原因导致器质障碍或机能障碍，以致</w:t>
            </w:r>
            <w:r>
              <w:rPr>
                <w:spacing w:val="-4"/>
                <w:sz w:val="21"/>
              </w:rPr>
              <w:t>不能作咀嚼吞咽运动，除流质食物外不能摄取或吞咽的状态。</w:t>
            </w:r>
          </w:p>
        </w:tc>
      </w:tr>
    </w:tbl>
    <w:p>
      <w:pPr>
        <w:spacing w:after="0" w:line="273" w:lineRule="auto"/>
        <w:rPr>
          <w:sz w:val="21"/>
        </w:rPr>
        <w:sectPr>
          <w:headerReference w:type="default" r:id="rId11"/>
          <w:pgSz w:w="11910" w:h="16840"/>
          <w:pgMar w:header="566" w:footer="664" w:top="1000" w:bottom="860" w:left="820" w:right="680"/>
        </w:sectPr>
      </w:pPr>
    </w:p>
    <w:p>
      <w:pPr>
        <w:pStyle w:val="BodyText"/>
        <w:rPr>
          <w:rFonts w:ascii="Times New Roman"/>
          <w:sz w:val="20"/>
        </w:rPr>
      </w:pPr>
    </w:p>
    <w:p>
      <w:pPr>
        <w:pStyle w:val="BodyText"/>
        <w:spacing w:before="6"/>
        <w:rPr>
          <w:rFonts w:ascii="Times New Roman"/>
          <w:sz w:val="20"/>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4"/>
        <w:gridCol w:w="1831"/>
        <w:gridCol w:w="7445"/>
      </w:tblGrid>
      <w:tr>
        <w:trPr>
          <w:trHeight w:val="2224" w:hRule="atLeast"/>
        </w:trPr>
        <w:tc>
          <w:tcPr>
            <w:tcW w:w="934" w:type="dxa"/>
          </w:tcPr>
          <w:p>
            <w:pPr>
              <w:pStyle w:val="TableParagraph"/>
              <w:spacing w:line="211" w:lineRule="exact"/>
              <w:ind w:left="179" w:right="182"/>
              <w:jc w:val="center"/>
              <w:rPr>
                <w:b/>
                <w:sz w:val="21"/>
              </w:rPr>
            </w:pPr>
            <w:r>
              <w:rPr>
                <w:b/>
                <w:sz w:val="21"/>
              </w:rPr>
              <w:t>12.21</w:t>
            </w:r>
          </w:p>
        </w:tc>
        <w:tc>
          <w:tcPr>
            <w:tcW w:w="1831" w:type="dxa"/>
          </w:tcPr>
          <w:p>
            <w:pPr>
              <w:pStyle w:val="TableParagraph"/>
              <w:spacing w:line="211" w:lineRule="exact"/>
              <w:ind w:left="204"/>
              <w:rPr>
                <w:b/>
                <w:sz w:val="21"/>
              </w:rPr>
            </w:pPr>
            <w:r>
              <w:rPr>
                <w:b/>
                <w:sz w:val="21"/>
              </w:rPr>
              <w:t>六项基本日常生</w:t>
            </w:r>
          </w:p>
          <w:p>
            <w:pPr>
              <w:pStyle w:val="TableParagraph"/>
              <w:spacing w:before="37"/>
              <w:ind w:left="204"/>
              <w:rPr>
                <w:b/>
                <w:sz w:val="21"/>
              </w:rPr>
            </w:pPr>
            <w:r>
              <w:rPr>
                <w:b/>
                <w:sz w:val="21"/>
              </w:rPr>
              <w:t>活活动</w:t>
            </w:r>
          </w:p>
        </w:tc>
        <w:tc>
          <w:tcPr>
            <w:tcW w:w="7445" w:type="dxa"/>
          </w:tcPr>
          <w:p>
            <w:pPr>
              <w:pStyle w:val="TableParagraph"/>
              <w:spacing w:line="211" w:lineRule="exact"/>
              <w:ind w:left="97"/>
              <w:rPr>
                <w:sz w:val="21"/>
              </w:rPr>
            </w:pPr>
            <w:r>
              <w:rPr>
                <w:sz w:val="21"/>
              </w:rPr>
              <w:t>六项基本日常生活活动是指：</w:t>
            </w:r>
          </w:p>
          <w:p>
            <w:pPr>
              <w:pStyle w:val="TableParagraph"/>
              <w:spacing w:before="37"/>
              <w:ind w:left="97"/>
              <w:rPr>
                <w:sz w:val="21"/>
              </w:rPr>
            </w:pPr>
            <w:r>
              <w:rPr>
                <w:sz w:val="21"/>
              </w:rPr>
              <w:t>（1）穿衣：自己能够穿衣及脱衣；</w:t>
            </w:r>
          </w:p>
          <w:p>
            <w:pPr>
              <w:pStyle w:val="TableParagraph"/>
              <w:spacing w:before="36"/>
              <w:ind w:left="97"/>
              <w:rPr>
                <w:sz w:val="21"/>
              </w:rPr>
            </w:pPr>
            <w:r>
              <w:rPr>
                <w:sz w:val="21"/>
              </w:rPr>
              <w:t>（2）移动：自己从一个房间到另一个房间；</w:t>
            </w:r>
          </w:p>
          <w:p>
            <w:pPr>
              <w:pStyle w:val="TableParagraph"/>
              <w:spacing w:before="36"/>
              <w:ind w:left="97"/>
              <w:rPr>
                <w:sz w:val="21"/>
              </w:rPr>
            </w:pPr>
            <w:r>
              <w:rPr>
                <w:sz w:val="21"/>
              </w:rPr>
              <w:t>（3）行动：自己上下床或上下轮椅；</w:t>
            </w:r>
          </w:p>
          <w:p>
            <w:pPr>
              <w:pStyle w:val="TableParagraph"/>
              <w:spacing w:before="36"/>
              <w:ind w:left="97"/>
              <w:rPr>
                <w:sz w:val="21"/>
              </w:rPr>
            </w:pPr>
            <w:r>
              <w:rPr>
                <w:sz w:val="21"/>
              </w:rPr>
              <w:t>（4）如厕：自己控制进行大小便；</w:t>
            </w:r>
          </w:p>
          <w:p>
            <w:pPr>
              <w:pStyle w:val="TableParagraph"/>
              <w:spacing w:before="36"/>
              <w:ind w:left="97"/>
              <w:rPr>
                <w:sz w:val="21"/>
              </w:rPr>
            </w:pPr>
            <w:r>
              <w:rPr>
                <w:sz w:val="21"/>
              </w:rPr>
              <w:t>（5）进食：自己从已准备好的碗或碟中取食物放入口中；</w:t>
            </w:r>
          </w:p>
          <w:p>
            <w:pPr>
              <w:pStyle w:val="TableParagraph"/>
              <w:spacing w:before="36"/>
              <w:ind w:left="97"/>
              <w:rPr>
                <w:sz w:val="21"/>
              </w:rPr>
            </w:pPr>
            <w:r>
              <w:rPr>
                <w:sz w:val="21"/>
              </w:rPr>
              <w:t>（6）洗澡：自己进行淋浴或盆浴。</w:t>
            </w:r>
          </w:p>
        </w:tc>
      </w:tr>
      <w:tr>
        <w:trPr>
          <w:trHeight w:val="803" w:hRule="atLeast"/>
        </w:trPr>
        <w:tc>
          <w:tcPr>
            <w:tcW w:w="934" w:type="dxa"/>
          </w:tcPr>
          <w:p>
            <w:pPr>
              <w:pStyle w:val="TableParagraph"/>
              <w:spacing w:before="76"/>
              <w:ind w:left="179" w:right="182"/>
              <w:jc w:val="center"/>
              <w:rPr>
                <w:b/>
                <w:sz w:val="21"/>
              </w:rPr>
            </w:pPr>
            <w:r>
              <w:rPr>
                <w:b/>
                <w:sz w:val="21"/>
              </w:rPr>
              <w:t>12.22</w:t>
            </w:r>
          </w:p>
        </w:tc>
        <w:tc>
          <w:tcPr>
            <w:tcW w:w="1831" w:type="dxa"/>
          </w:tcPr>
          <w:p>
            <w:pPr>
              <w:pStyle w:val="TableParagraph"/>
              <w:spacing w:before="76"/>
              <w:ind w:left="204"/>
              <w:rPr>
                <w:b/>
                <w:sz w:val="21"/>
              </w:rPr>
            </w:pPr>
            <w:r>
              <w:rPr>
                <w:b/>
                <w:sz w:val="21"/>
              </w:rPr>
              <w:t>永久不可逆</w:t>
            </w:r>
          </w:p>
        </w:tc>
        <w:tc>
          <w:tcPr>
            <w:tcW w:w="7445" w:type="dxa"/>
          </w:tcPr>
          <w:p>
            <w:pPr>
              <w:pStyle w:val="TableParagraph"/>
              <w:spacing w:line="273" w:lineRule="auto" w:before="76"/>
              <w:ind w:left="97" w:right="199"/>
              <w:rPr>
                <w:sz w:val="21"/>
              </w:rPr>
            </w:pPr>
            <w:r>
              <w:rPr>
                <w:spacing w:val="-5"/>
                <w:sz w:val="21"/>
              </w:rPr>
              <w:t>指自疾病确诊或意外伤害发生之日起，经过积极治疗 </w:t>
            </w:r>
            <w:r>
              <w:rPr>
                <w:sz w:val="21"/>
              </w:rPr>
              <w:t>180</w:t>
            </w:r>
            <w:r>
              <w:rPr>
                <w:spacing w:val="-8"/>
                <w:sz w:val="21"/>
              </w:rPr>
              <w:t> 日后，仍无法通过现</w:t>
            </w:r>
            <w:r>
              <w:rPr>
                <w:spacing w:val="-5"/>
                <w:sz w:val="21"/>
              </w:rPr>
              <w:t>有医疗手段恢复。</w:t>
            </w:r>
          </w:p>
        </w:tc>
      </w:tr>
      <w:tr>
        <w:trPr>
          <w:trHeight w:val="522" w:hRule="atLeast"/>
        </w:trPr>
        <w:tc>
          <w:tcPr>
            <w:tcW w:w="934" w:type="dxa"/>
          </w:tcPr>
          <w:p>
            <w:pPr>
              <w:pStyle w:val="TableParagraph"/>
              <w:spacing w:before="76"/>
              <w:ind w:left="179" w:right="182"/>
              <w:jc w:val="center"/>
              <w:rPr>
                <w:b/>
                <w:sz w:val="21"/>
              </w:rPr>
            </w:pPr>
            <w:r>
              <w:rPr>
                <w:b/>
                <w:sz w:val="21"/>
              </w:rPr>
              <w:t>12.23</w:t>
            </w:r>
          </w:p>
        </w:tc>
        <w:tc>
          <w:tcPr>
            <w:tcW w:w="1831" w:type="dxa"/>
          </w:tcPr>
          <w:p>
            <w:pPr>
              <w:pStyle w:val="TableParagraph"/>
              <w:spacing w:before="76"/>
              <w:ind w:left="204"/>
              <w:rPr>
                <w:b/>
                <w:sz w:val="21"/>
              </w:rPr>
            </w:pPr>
            <w:r>
              <w:rPr>
                <w:b/>
                <w:sz w:val="21"/>
              </w:rPr>
              <w:t>保险事故</w:t>
            </w:r>
          </w:p>
        </w:tc>
        <w:tc>
          <w:tcPr>
            <w:tcW w:w="7445" w:type="dxa"/>
          </w:tcPr>
          <w:p>
            <w:pPr>
              <w:pStyle w:val="TableParagraph"/>
              <w:spacing w:before="76"/>
              <w:ind w:left="97"/>
              <w:rPr>
                <w:sz w:val="21"/>
              </w:rPr>
            </w:pPr>
            <w:r>
              <w:rPr>
                <w:sz w:val="21"/>
              </w:rPr>
              <w:t>指本合同约定的保险责任范围内的事故。</w:t>
            </w:r>
          </w:p>
        </w:tc>
      </w:tr>
      <w:tr>
        <w:trPr>
          <w:trHeight w:val="510" w:hRule="atLeast"/>
        </w:trPr>
        <w:tc>
          <w:tcPr>
            <w:tcW w:w="934" w:type="dxa"/>
          </w:tcPr>
          <w:p>
            <w:pPr>
              <w:pStyle w:val="TableParagraph"/>
              <w:spacing w:before="106"/>
              <w:ind w:left="179" w:right="182"/>
              <w:jc w:val="center"/>
              <w:rPr>
                <w:b/>
                <w:sz w:val="21"/>
              </w:rPr>
            </w:pPr>
            <w:r>
              <w:rPr>
                <w:b/>
                <w:sz w:val="21"/>
              </w:rPr>
              <w:t>12.24</w:t>
            </w:r>
          </w:p>
        </w:tc>
        <w:tc>
          <w:tcPr>
            <w:tcW w:w="1831" w:type="dxa"/>
          </w:tcPr>
          <w:p>
            <w:pPr>
              <w:pStyle w:val="TableParagraph"/>
              <w:spacing w:before="106"/>
              <w:ind w:left="204"/>
              <w:rPr>
                <w:b/>
                <w:sz w:val="21"/>
              </w:rPr>
            </w:pPr>
            <w:r>
              <w:rPr>
                <w:b/>
                <w:sz w:val="21"/>
              </w:rPr>
              <w:t>不可抗力</w:t>
            </w:r>
          </w:p>
        </w:tc>
        <w:tc>
          <w:tcPr>
            <w:tcW w:w="7445" w:type="dxa"/>
          </w:tcPr>
          <w:p>
            <w:pPr>
              <w:pStyle w:val="TableParagraph"/>
              <w:spacing w:before="106"/>
              <w:ind w:left="97"/>
              <w:rPr>
                <w:sz w:val="21"/>
              </w:rPr>
            </w:pPr>
            <w:r>
              <w:rPr>
                <w:sz w:val="21"/>
              </w:rPr>
              <w:t>指不能预见、不能避免、不能克服的客观情况。</w:t>
            </w:r>
          </w:p>
        </w:tc>
      </w:tr>
      <w:tr>
        <w:trPr>
          <w:trHeight w:val="503" w:hRule="atLeast"/>
        </w:trPr>
        <w:tc>
          <w:tcPr>
            <w:tcW w:w="934" w:type="dxa"/>
          </w:tcPr>
          <w:p>
            <w:pPr>
              <w:pStyle w:val="TableParagraph"/>
              <w:spacing w:before="65"/>
              <w:ind w:left="179" w:right="182"/>
              <w:jc w:val="center"/>
              <w:rPr>
                <w:b/>
                <w:sz w:val="21"/>
              </w:rPr>
            </w:pPr>
            <w:r>
              <w:rPr>
                <w:b/>
                <w:sz w:val="21"/>
              </w:rPr>
              <w:t>12.25</w:t>
            </w:r>
          </w:p>
        </w:tc>
        <w:tc>
          <w:tcPr>
            <w:tcW w:w="1831" w:type="dxa"/>
          </w:tcPr>
          <w:p>
            <w:pPr>
              <w:pStyle w:val="TableParagraph"/>
              <w:spacing w:before="65"/>
              <w:ind w:left="204"/>
              <w:rPr>
                <w:b/>
                <w:sz w:val="21"/>
              </w:rPr>
            </w:pPr>
            <w:r>
              <w:rPr>
                <w:b/>
                <w:sz w:val="21"/>
              </w:rPr>
              <w:t>申请人</w:t>
            </w:r>
          </w:p>
        </w:tc>
        <w:tc>
          <w:tcPr>
            <w:tcW w:w="7445" w:type="dxa"/>
          </w:tcPr>
          <w:p>
            <w:pPr>
              <w:pStyle w:val="TableParagraph"/>
              <w:spacing w:before="65"/>
              <w:ind w:left="97"/>
              <w:rPr>
                <w:sz w:val="21"/>
              </w:rPr>
            </w:pPr>
            <w:r>
              <w:rPr>
                <w:sz w:val="21"/>
              </w:rPr>
              <w:t>指保险金受益人或其他有权领取保险金的人。</w:t>
            </w:r>
          </w:p>
        </w:tc>
      </w:tr>
      <w:tr>
        <w:trPr>
          <w:trHeight w:val="826" w:hRule="atLeast"/>
        </w:trPr>
        <w:tc>
          <w:tcPr>
            <w:tcW w:w="934" w:type="dxa"/>
          </w:tcPr>
          <w:p>
            <w:pPr>
              <w:pStyle w:val="TableParagraph"/>
              <w:spacing w:before="99"/>
              <w:ind w:left="179" w:right="182"/>
              <w:jc w:val="center"/>
              <w:rPr>
                <w:b/>
                <w:sz w:val="21"/>
              </w:rPr>
            </w:pPr>
            <w:r>
              <w:rPr>
                <w:b/>
                <w:sz w:val="21"/>
              </w:rPr>
              <w:t>12.26</w:t>
            </w:r>
          </w:p>
        </w:tc>
        <w:tc>
          <w:tcPr>
            <w:tcW w:w="1831" w:type="dxa"/>
          </w:tcPr>
          <w:p>
            <w:pPr>
              <w:pStyle w:val="TableParagraph"/>
              <w:spacing w:line="273" w:lineRule="auto" w:before="99"/>
              <w:ind w:left="204" w:right="145"/>
              <w:rPr>
                <w:b/>
                <w:sz w:val="21"/>
              </w:rPr>
            </w:pPr>
            <w:r>
              <w:rPr>
                <w:b/>
                <w:sz w:val="21"/>
              </w:rPr>
              <w:t>法定有效身份证明</w:t>
            </w:r>
          </w:p>
        </w:tc>
        <w:tc>
          <w:tcPr>
            <w:tcW w:w="7445" w:type="dxa"/>
          </w:tcPr>
          <w:p>
            <w:pPr>
              <w:pStyle w:val="TableParagraph"/>
              <w:spacing w:line="273" w:lineRule="auto" w:before="99"/>
              <w:ind w:left="97" w:right="200"/>
              <w:rPr>
                <w:sz w:val="21"/>
              </w:rPr>
            </w:pPr>
            <w:r>
              <w:rPr>
                <w:sz w:val="21"/>
              </w:rPr>
              <w:t>指依据法律规定，由有权机构制作颁发的证明身份的证件、文件等，如：居民身份证、户口簿、护照、军人证等。</w:t>
            </w:r>
          </w:p>
        </w:tc>
      </w:tr>
      <w:tr>
        <w:trPr>
          <w:trHeight w:val="820" w:hRule="atLeast"/>
        </w:trPr>
        <w:tc>
          <w:tcPr>
            <w:tcW w:w="934" w:type="dxa"/>
          </w:tcPr>
          <w:p>
            <w:pPr>
              <w:pStyle w:val="TableParagraph"/>
              <w:spacing w:before="76"/>
              <w:ind w:left="179" w:right="182"/>
              <w:jc w:val="center"/>
              <w:rPr>
                <w:b/>
                <w:sz w:val="21"/>
              </w:rPr>
            </w:pPr>
            <w:r>
              <w:rPr>
                <w:b/>
                <w:sz w:val="21"/>
              </w:rPr>
              <w:t>12.27</w:t>
            </w:r>
          </w:p>
        </w:tc>
        <w:tc>
          <w:tcPr>
            <w:tcW w:w="1831" w:type="dxa"/>
          </w:tcPr>
          <w:p>
            <w:pPr>
              <w:pStyle w:val="TableParagraph"/>
              <w:spacing w:line="273" w:lineRule="auto" w:before="76"/>
              <w:ind w:left="204" w:right="135"/>
              <w:rPr>
                <w:b/>
                <w:sz w:val="21"/>
              </w:rPr>
            </w:pPr>
            <w:r>
              <w:rPr>
                <w:b/>
                <w:sz w:val="21"/>
              </w:rPr>
              <w:t>保险费约定支付日</w:t>
            </w:r>
          </w:p>
        </w:tc>
        <w:tc>
          <w:tcPr>
            <w:tcW w:w="7445" w:type="dxa"/>
          </w:tcPr>
          <w:p>
            <w:pPr>
              <w:pStyle w:val="TableParagraph"/>
              <w:spacing w:line="273" w:lineRule="auto" w:before="76"/>
              <w:ind w:left="97" w:right="200"/>
              <w:rPr>
                <w:sz w:val="21"/>
              </w:rPr>
            </w:pPr>
            <w:r>
              <w:rPr>
                <w:sz w:val="21"/>
              </w:rPr>
              <w:t>本合同生效日在每月、每季、每半年或每年（根据交费频次确定）的对应日。如果当月无对应的同一日，则以该月最后一日为对应日。</w:t>
            </w:r>
          </w:p>
        </w:tc>
      </w:tr>
      <w:tr>
        <w:trPr>
          <w:trHeight w:val="547" w:hRule="atLeast"/>
        </w:trPr>
        <w:tc>
          <w:tcPr>
            <w:tcW w:w="934" w:type="dxa"/>
          </w:tcPr>
          <w:p>
            <w:pPr>
              <w:pStyle w:val="TableParagraph"/>
              <w:spacing w:before="93"/>
              <w:ind w:left="179" w:right="182"/>
              <w:jc w:val="center"/>
              <w:rPr>
                <w:b/>
                <w:sz w:val="21"/>
              </w:rPr>
            </w:pPr>
            <w:r>
              <w:rPr>
                <w:b/>
                <w:sz w:val="21"/>
              </w:rPr>
              <w:t>12.28</w:t>
            </w:r>
          </w:p>
        </w:tc>
        <w:tc>
          <w:tcPr>
            <w:tcW w:w="1831" w:type="dxa"/>
          </w:tcPr>
          <w:p>
            <w:pPr>
              <w:pStyle w:val="TableParagraph"/>
              <w:spacing w:before="93"/>
              <w:ind w:left="204"/>
              <w:rPr>
                <w:b/>
                <w:sz w:val="21"/>
              </w:rPr>
            </w:pPr>
            <w:r>
              <w:rPr>
                <w:b/>
                <w:sz w:val="21"/>
              </w:rPr>
              <w:t>现金价值净额</w:t>
            </w:r>
          </w:p>
        </w:tc>
        <w:tc>
          <w:tcPr>
            <w:tcW w:w="7445" w:type="dxa"/>
          </w:tcPr>
          <w:p>
            <w:pPr>
              <w:pStyle w:val="TableParagraph"/>
              <w:spacing w:before="93"/>
              <w:ind w:left="97"/>
              <w:rPr>
                <w:sz w:val="21"/>
              </w:rPr>
            </w:pPr>
            <w:r>
              <w:rPr>
                <w:sz w:val="21"/>
              </w:rPr>
              <w:t>指现金价值在扣除各项欠款本金及利息后的余额。</w:t>
            </w:r>
          </w:p>
        </w:tc>
      </w:tr>
      <w:tr>
        <w:trPr>
          <w:trHeight w:val="701" w:hRule="atLeast"/>
        </w:trPr>
        <w:tc>
          <w:tcPr>
            <w:tcW w:w="934" w:type="dxa"/>
          </w:tcPr>
          <w:p>
            <w:pPr>
              <w:pStyle w:val="TableParagraph"/>
              <w:spacing w:before="115"/>
              <w:ind w:left="179" w:right="182"/>
              <w:jc w:val="center"/>
              <w:rPr>
                <w:b/>
                <w:sz w:val="21"/>
              </w:rPr>
            </w:pPr>
            <w:r>
              <w:rPr>
                <w:b/>
                <w:sz w:val="21"/>
              </w:rPr>
              <w:t>12.29</w:t>
            </w:r>
          </w:p>
        </w:tc>
        <w:tc>
          <w:tcPr>
            <w:tcW w:w="1831" w:type="dxa"/>
          </w:tcPr>
          <w:p>
            <w:pPr>
              <w:pStyle w:val="TableParagraph"/>
              <w:spacing w:before="115"/>
              <w:ind w:left="204"/>
              <w:rPr>
                <w:b/>
                <w:sz w:val="21"/>
              </w:rPr>
            </w:pPr>
            <w:r>
              <w:rPr>
                <w:b/>
                <w:sz w:val="21"/>
              </w:rPr>
              <w:t>本合同约定利率</w:t>
            </w:r>
          </w:p>
        </w:tc>
        <w:tc>
          <w:tcPr>
            <w:tcW w:w="7445" w:type="dxa"/>
          </w:tcPr>
          <w:p>
            <w:pPr>
              <w:pStyle w:val="TableParagraph"/>
              <w:spacing w:before="115"/>
              <w:ind w:left="97"/>
              <w:rPr>
                <w:sz w:val="21"/>
              </w:rPr>
            </w:pPr>
            <w:r>
              <w:rPr>
                <w:sz w:val="21"/>
              </w:rPr>
              <w:t>指我们参照中国人民银行最近一次规定的 6 个月期人民币贷款利率所确定的利</w:t>
            </w:r>
          </w:p>
          <w:p>
            <w:pPr>
              <w:pStyle w:val="TableParagraph"/>
              <w:spacing w:line="255" w:lineRule="exact" w:before="37"/>
              <w:ind w:left="97"/>
              <w:rPr>
                <w:sz w:val="21"/>
              </w:rPr>
            </w:pPr>
            <w:r>
              <w:rPr>
                <w:sz w:val="21"/>
              </w:rPr>
              <w:t>率。我们在每年的 1 月 1 日和 7 月 1 日确定并以适当方式公布。</w:t>
            </w:r>
          </w:p>
        </w:tc>
      </w:tr>
    </w:tbl>
    <w:sectPr>
      <w:pgSz w:w="11910" w:h="16840"/>
      <w:pgMar w:header="566" w:footer="664" w:top="1000" w:bottom="860" w:left="82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450012pt;margin-top:797.715942pt;width:28.1pt;height:12pt;mso-position-horizontal-relative:page;mso-position-vertical-relative:page;z-index:-44944" type="#_x0000_t202" filled="false" stroked="false">
          <v:textbox inset="0,0,0,0">
            <w:txbxContent>
              <w:p>
                <w:pPr>
                  <w:spacing w:before="12"/>
                  <w:ind w:left="40" w:right="0" w:firstLine="0"/>
                  <w:jc w:val="left"/>
                  <w:rPr>
                    <w:rFonts w:ascii="Times New Roman"/>
                    <w:b/>
                    <w:sz w:val="18"/>
                  </w:rPr>
                </w:pPr>
                <w:r>
                  <w:rPr/>
                  <w:fldChar w:fldCharType="begin"/>
                </w:r>
                <w:r>
                  <w:rPr>
                    <w:rFonts w:ascii="Times New Roman"/>
                    <w:b/>
                    <w:sz w:val="18"/>
                  </w:rPr>
                  <w:instrText> PAGE </w:instrText>
                </w:r>
                <w:r>
                  <w:rPr/>
                  <w:fldChar w:fldCharType="separate"/>
                </w:r>
                <w:r>
                  <w:rPr/>
                  <w:t>10</w:t>
                </w:r>
                <w:r>
                  <w:rPr/>
                  <w:fldChar w:fldCharType="end"/>
                </w:r>
                <w:r>
                  <w:rPr>
                    <w:rFonts w:ascii="Times New Roman"/>
                    <w:b/>
                    <w:sz w:val="18"/>
                  </w:rPr>
                  <w:t> </w:t>
                </w:r>
                <w:r>
                  <w:rPr>
                    <w:rFonts w:ascii="Times New Roman"/>
                    <w:sz w:val="18"/>
                  </w:rPr>
                  <w:t>/ </w:t>
                </w:r>
                <w:r>
                  <w:rPr>
                    <w:rFonts w:ascii="Times New Roman"/>
                    <w:b/>
                    <w:sz w:val="18"/>
                  </w:rPr>
                  <w:t>18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439">
          <wp:simplePos x="0" y="0"/>
          <wp:positionH relativeFrom="page">
            <wp:posOffset>719455</wp:posOffset>
          </wp:positionH>
          <wp:positionV relativeFrom="page">
            <wp:posOffset>359409</wp:posOffset>
          </wp:positionV>
          <wp:extent cx="942975" cy="227329"/>
          <wp:effectExtent l="0" t="0" r="0" b="0"/>
          <wp:wrapNone/>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line style="position:absolute;mso-position-horizontal-relative:page;mso-position-vertical-relative:page;z-index:-44992" from="55.200001pt,50.279984pt" to="540.100001pt,50.27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9.230011pt;margin-top:37.465607pt;width:127.95pt;height:11pt;mso-position-horizontal-relative:page;mso-position-vertical-relative:page;z-index:-44968"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535">
          <wp:simplePos x="0" y="0"/>
          <wp:positionH relativeFrom="page">
            <wp:posOffset>719455</wp:posOffset>
          </wp:positionH>
          <wp:positionV relativeFrom="page">
            <wp:posOffset>359409</wp:posOffset>
          </wp:positionV>
          <wp:extent cx="942975" cy="227329"/>
          <wp:effectExtent l="0" t="0" r="0" b="0"/>
          <wp:wrapNone/>
          <wp:docPr id="9" name="image1.jpeg" descr=""/>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shape style="position:absolute;margin-left:409.230011pt;margin-top:37.465607pt;width:127.95pt;height:11pt;mso-position-horizontal-relative:page;mso-position-vertical-relative:page;z-index:-44896"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390583">
          <wp:simplePos x="0" y="0"/>
          <wp:positionH relativeFrom="page">
            <wp:posOffset>719455</wp:posOffset>
          </wp:positionH>
          <wp:positionV relativeFrom="page">
            <wp:posOffset>359409</wp:posOffset>
          </wp:positionV>
          <wp:extent cx="942975" cy="227329"/>
          <wp:effectExtent l="0" t="0" r="0" b="0"/>
          <wp:wrapNone/>
          <wp:docPr id="11" name="image1.jpeg" descr=""/>
          <wp:cNvGraphicFramePr>
            <a:graphicFrameLocks noChangeAspect="1"/>
          </wp:cNvGraphicFramePr>
          <a:graphic>
            <a:graphicData uri="http://schemas.openxmlformats.org/drawingml/2006/picture">
              <pic:pic>
                <pic:nvPicPr>
                  <pic:cNvPr id="12" name="image1.jpeg"/>
                  <pic:cNvPicPr/>
                </pic:nvPicPr>
                <pic:blipFill>
                  <a:blip r:embed="rId1" cstate="print"/>
                  <a:stretch>
                    <a:fillRect/>
                  </a:stretch>
                </pic:blipFill>
                <pic:spPr>
                  <a:xfrm>
                    <a:off x="0" y="0"/>
                    <a:ext cx="942975" cy="227329"/>
                  </a:xfrm>
                  <a:prstGeom prst="rect">
                    <a:avLst/>
                  </a:prstGeom>
                </pic:spPr>
              </pic:pic>
            </a:graphicData>
          </a:graphic>
        </wp:anchor>
      </w:drawing>
    </w:r>
    <w:r>
      <w:rPr/>
      <w:pict>
        <v:line style="position:absolute;mso-position-horizontal-relative:page;mso-position-vertical-relative:page;z-index:-44848" from="55.200001pt,50.279984pt" to="540.100001pt,50.279984pt" stroked="true" strokeweight=".72pt" strokecolor="#000000">
          <v:stroke dashstyle="solid"/>
          <w10:wrap type="none"/>
        </v:line>
      </w:pict>
    </w:r>
    <w:r>
      <w:rPr/>
      <w:pict>
        <v:shape style="position:absolute;margin-left:409.230011pt;margin-top:37.465607pt;width:127.95pt;height:11pt;mso-position-horizontal-relative:page;mso-position-vertical-relative:page;z-index:-44824" type="#_x0000_t202" filled="false" stroked="false">
          <v:textbox inset="0,0,0,0">
            <w:txbxContent>
              <w:p>
                <w:pPr>
                  <w:spacing w:line="200" w:lineRule="exact" w:before="0"/>
                  <w:ind w:left="20" w:right="0" w:firstLine="0"/>
                  <w:jc w:val="left"/>
                  <w:rPr>
                    <w:sz w:val="18"/>
                  </w:rPr>
                </w:pPr>
                <w:r>
                  <w:rPr>
                    <w:sz w:val="18"/>
                  </w:rPr>
                  <w:t>百年康泰终身重大疾病保险条款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702" w:hanging="279"/>
        <w:jc w:val="left"/>
      </w:pPr>
      <w:rPr>
        <w:rFonts w:hint="default" w:ascii="Times New Roman" w:hAnsi="Times New Roman" w:eastAsia="Times New Roman" w:cs="Times New Roman"/>
        <w:w w:val="100"/>
        <w:sz w:val="21"/>
        <w:szCs w:val="21"/>
      </w:rPr>
    </w:lvl>
    <w:lvl w:ilvl="1">
      <w:start w:val="0"/>
      <w:numFmt w:val="bullet"/>
      <w:lvlText w:val="•"/>
      <w:lvlJc w:val="left"/>
      <w:pPr>
        <w:ind w:left="1385" w:hanging="279"/>
      </w:pPr>
      <w:rPr>
        <w:rFonts w:hint="default"/>
      </w:rPr>
    </w:lvl>
    <w:lvl w:ilvl="2">
      <w:start w:val="0"/>
      <w:numFmt w:val="bullet"/>
      <w:lvlText w:val="•"/>
      <w:lvlJc w:val="left"/>
      <w:pPr>
        <w:ind w:left="2071" w:hanging="279"/>
      </w:pPr>
      <w:rPr>
        <w:rFonts w:hint="default"/>
      </w:rPr>
    </w:lvl>
    <w:lvl w:ilvl="3">
      <w:start w:val="0"/>
      <w:numFmt w:val="bullet"/>
      <w:lvlText w:val="•"/>
      <w:lvlJc w:val="left"/>
      <w:pPr>
        <w:ind w:left="2756" w:hanging="279"/>
      </w:pPr>
      <w:rPr>
        <w:rFonts w:hint="default"/>
      </w:rPr>
    </w:lvl>
    <w:lvl w:ilvl="4">
      <w:start w:val="0"/>
      <w:numFmt w:val="bullet"/>
      <w:lvlText w:val="•"/>
      <w:lvlJc w:val="left"/>
      <w:pPr>
        <w:ind w:left="3442" w:hanging="279"/>
      </w:pPr>
      <w:rPr>
        <w:rFonts w:hint="default"/>
      </w:rPr>
    </w:lvl>
    <w:lvl w:ilvl="5">
      <w:start w:val="0"/>
      <w:numFmt w:val="bullet"/>
      <w:lvlText w:val="•"/>
      <w:lvlJc w:val="left"/>
      <w:pPr>
        <w:ind w:left="4127" w:hanging="279"/>
      </w:pPr>
      <w:rPr>
        <w:rFonts w:hint="default"/>
      </w:rPr>
    </w:lvl>
    <w:lvl w:ilvl="6">
      <w:start w:val="0"/>
      <w:numFmt w:val="bullet"/>
      <w:lvlText w:val="•"/>
      <w:lvlJc w:val="left"/>
      <w:pPr>
        <w:ind w:left="4813" w:hanging="279"/>
      </w:pPr>
      <w:rPr>
        <w:rFonts w:hint="default"/>
      </w:rPr>
    </w:lvl>
    <w:lvl w:ilvl="7">
      <w:start w:val="0"/>
      <w:numFmt w:val="bullet"/>
      <w:lvlText w:val="•"/>
      <w:lvlJc w:val="left"/>
      <w:pPr>
        <w:ind w:left="5498" w:hanging="279"/>
      </w:pPr>
      <w:rPr>
        <w:rFonts w:hint="default"/>
      </w:rPr>
    </w:lvl>
    <w:lvl w:ilvl="8">
      <w:start w:val="0"/>
      <w:numFmt w:val="bullet"/>
      <w:lvlText w:val="•"/>
      <w:lvlJc w:val="left"/>
      <w:pPr>
        <w:ind w:left="6184" w:hanging="279"/>
      </w:pPr>
      <w:rPr>
        <w:rFonts w:hint="default"/>
      </w:rPr>
    </w:lvl>
  </w:abstractNum>
  <w:abstractNum w:abstractNumId="13">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421" w:hanging="632"/>
      </w:pPr>
      <w:rPr>
        <w:rFonts w:hint="default"/>
      </w:rPr>
    </w:lvl>
    <w:lvl w:ilvl="2">
      <w:start w:val="0"/>
      <w:numFmt w:val="bullet"/>
      <w:lvlText w:val="•"/>
      <w:lvlJc w:val="left"/>
      <w:pPr>
        <w:ind w:left="2103" w:hanging="632"/>
      </w:pPr>
      <w:rPr>
        <w:rFonts w:hint="default"/>
      </w:rPr>
    </w:lvl>
    <w:lvl w:ilvl="3">
      <w:start w:val="0"/>
      <w:numFmt w:val="bullet"/>
      <w:lvlText w:val="•"/>
      <w:lvlJc w:val="left"/>
      <w:pPr>
        <w:ind w:left="2784" w:hanging="632"/>
      </w:pPr>
      <w:rPr>
        <w:rFonts w:hint="default"/>
      </w:rPr>
    </w:lvl>
    <w:lvl w:ilvl="4">
      <w:start w:val="0"/>
      <w:numFmt w:val="bullet"/>
      <w:lvlText w:val="•"/>
      <w:lvlJc w:val="left"/>
      <w:pPr>
        <w:ind w:left="3466" w:hanging="632"/>
      </w:pPr>
      <w:rPr>
        <w:rFonts w:hint="default"/>
      </w:rPr>
    </w:lvl>
    <w:lvl w:ilvl="5">
      <w:start w:val="0"/>
      <w:numFmt w:val="bullet"/>
      <w:lvlText w:val="•"/>
      <w:lvlJc w:val="left"/>
      <w:pPr>
        <w:ind w:left="4147" w:hanging="632"/>
      </w:pPr>
      <w:rPr>
        <w:rFonts w:hint="default"/>
      </w:rPr>
    </w:lvl>
    <w:lvl w:ilvl="6">
      <w:start w:val="0"/>
      <w:numFmt w:val="bullet"/>
      <w:lvlText w:val="•"/>
      <w:lvlJc w:val="left"/>
      <w:pPr>
        <w:ind w:left="4829" w:hanging="632"/>
      </w:pPr>
      <w:rPr>
        <w:rFonts w:hint="default"/>
      </w:rPr>
    </w:lvl>
    <w:lvl w:ilvl="7">
      <w:start w:val="0"/>
      <w:numFmt w:val="bullet"/>
      <w:lvlText w:val="•"/>
      <w:lvlJc w:val="left"/>
      <w:pPr>
        <w:ind w:left="5510" w:hanging="632"/>
      </w:pPr>
      <w:rPr>
        <w:rFonts w:hint="default"/>
      </w:rPr>
    </w:lvl>
    <w:lvl w:ilvl="8">
      <w:start w:val="0"/>
      <w:numFmt w:val="bullet"/>
      <w:lvlText w:val="•"/>
      <w:lvlJc w:val="left"/>
      <w:pPr>
        <w:ind w:left="6192" w:hanging="632"/>
      </w:pPr>
      <w:rPr>
        <w:rFonts w:hint="default"/>
      </w:rPr>
    </w:lvl>
  </w:abstractNum>
  <w:abstractNum w:abstractNumId="12">
    <w:multiLevelType w:val="hybridMultilevel"/>
    <w:lvl w:ilvl="0">
      <w:start w:val="1"/>
      <w:numFmt w:val="upperRoman"/>
      <w:lvlText w:val="%1"/>
      <w:lvlJc w:val="left"/>
      <w:pPr>
        <w:ind w:left="281" w:hanging="159"/>
        <w:jc w:val="left"/>
      </w:pPr>
      <w:rPr>
        <w:rFonts w:hint="default" w:ascii="宋体" w:hAnsi="宋体" w:eastAsia="宋体" w:cs="宋体"/>
        <w:w w:val="100"/>
        <w:sz w:val="21"/>
        <w:szCs w:val="21"/>
      </w:rPr>
    </w:lvl>
    <w:lvl w:ilvl="1">
      <w:start w:val="0"/>
      <w:numFmt w:val="bullet"/>
      <w:lvlText w:val="•"/>
      <w:lvlJc w:val="left"/>
      <w:pPr>
        <w:ind w:left="995" w:hanging="159"/>
      </w:pPr>
      <w:rPr>
        <w:rFonts w:hint="default"/>
      </w:rPr>
    </w:lvl>
    <w:lvl w:ilvl="2">
      <w:start w:val="0"/>
      <w:numFmt w:val="bullet"/>
      <w:lvlText w:val="•"/>
      <w:lvlJc w:val="left"/>
      <w:pPr>
        <w:ind w:left="1711" w:hanging="159"/>
      </w:pPr>
      <w:rPr>
        <w:rFonts w:hint="default"/>
      </w:rPr>
    </w:lvl>
    <w:lvl w:ilvl="3">
      <w:start w:val="0"/>
      <w:numFmt w:val="bullet"/>
      <w:lvlText w:val="•"/>
      <w:lvlJc w:val="left"/>
      <w:pPr>
        <w:ind w:left="2427" w:hanging="159"/>
      </w:pPr>
      <w:rPr>
        <w:rFonts w:hint="default"/>
      </w:rPr>
    </w:lvl>
    <w:lvl w:ilvl="4">
      <w:start w:val="0"/>
      <w:numFmt w:val="bullet"/>
      <w:lvlText w:val="•"/>
      <w:lvlJc w:val="left"/>
      <w:pPr>
        <w:ind w:left="3142" w:hanging="159"/>
      </w:pPr>
      <w:rPr>
        <w:rFonts w:hint="default"/>
      </w:rPr>
    </w:lvl>
    <w:lvl w:ilvl="5">
      <w:start w:val="0"/>
      <w:numFmt w:val="bullet"/>
      <w:lvlText w:val="•"/>
      <w:lvlJc w:val="left"/>
      <w:pPr>
        <w:ind w:left="3858" w:hanging="159"/>
      </w:pPr>
      <w:rPr>
        <w:rFonts w:hint="default"/>
      </w:rPr>
    </w:lvl>
    <w:lvl w:ilvl="6">
      <w:start w:val="0"/>
      <w:numFmt w:val="bullet"/>
      <w:lvlText w:val="•"/>
      <w:lvlJc w:val="left"/>
      <w:pPr>
        <w:ind w:left="4574" w:hanging="159"/>
      </w:pPr>
      <w:rPr>
        <w:rFonts w:hint="default"/>
      </w:rPr>
    </w:lvl>
    <w:lvl w:ilvl="7">
      <w:start w:val="0"/>
      <w:numFmt w:val="bullet"/>
      <w:lvlText w:val="•"/>
      <w:lvlJc w:val="left"/>
      <w:pPr>
        <w:ind w:left="5289" w:hanging="159"/>
      </w:pPr>
      <w:rPr>
        <w:rFonts w:hint="default"/>
      </w:rPr>
    </w:lvl>
    <w:lvl w:ilvl="8">
      <w:start w:val="0"/>
      <w:numFmt w:val="bullet"/>
      <w:lvlText w:val="•"/>
      <w:lvlJc w:val="left"/>
      <w:pPr>
        <w:ind w:left="6005" w:hanging="159"/>
      </w:pPr>
      <w:rPr>
        <w:rFonts w:hint="default"/>
      </w:rPr>
    </w:lvl>
  </w:abstractNum>
  <w:abstractNum w:abstractNumId="11">
    <w:multiLevelType w:val="hybridMultilevel"/>
    <w:lvl w:ilvl="0">
      <w:start w:val="12"/>
      <w:numFmt w:val="decimal"/>
      <w:lvlText w:val="%1"/>
      <w:lvlJc w:val="left"/>
      <w:pPr>
        <w:ind w:left="889" w:hanging="526"/>
        <w:jc w:val="left"/>
      </w:pPr>
      <w:rPr>
        <w:rFonts w:hint="default"/>
      </w:rPr>
    </w:lvl>
    <w:lvl w:ilvl="1">
      <w:start w:val="7"/>
      <w:numFmt w:val="decimal"/>
      <w:lvlText w:val="%1.%2"/>
      <w:lvlJc w:val="left"/>
      <w:pPr>
        <w:ind w:left="1002" w:hanging="526"/>
        <w:jc w:val="left"/>
      </w:pPr>
      <w:rPr>
        <w:rFonts w:hint="default" w:ascii="宋体" w:hAnsi="宋体" w:eastAsia="宋体" w:cs="宋体"/>
        <w:w w:val="100"/>
        <w:sz w:val="21"/>
        <w:szCs w:val="21"/>
      </w:rPr>
    </w:lvl>
    <w:lvl w:ilvl="2">
      <w:start w:val="0"/>
      <w:numFmt w:val="bullet"/>
      <w:lvlText w:val="•"/>
      <w:lvlJc w:val="left"/>
      <w:pPr>
        <w:ind w:left="1261" w:hanging="526"/>
      </w:pPr>
      <w:rPr>
        <w:rFonts w:hint="default"/>
      </w:rPr>
    </w:lvl>
    <w:lvl w:ilvl="3">
      <w:start w:val="0"/>
      <w:numFmt w:val="bullet"/>
      <w:lvlText w:val="•"/>
      <w:lvlJc w:val="left"/>
      <w:pPr>
        <w:ind w:left="1523" w:hanging="526"/>
      </w:pPr>
      <w:rPr>
        <w:rFonts w:hint="default"/>
      </w:rPr>
    </w:lvl>
    <w:lvl w:ilvl="4">
      <w:start w:val="0"/>
      <w:numFmt w:val="bullet"/>
      <w:lvlText w:val="•"/>
      <w:lvlJc w:val="left"/>
      <w:pPr>
        <w:ind w:left="1785" w:hanging="526"/>
      </w:pPr>
      <w:rPr>
        <w:rFonts w:hint="default"/>
      </w:rPr>
    </w:lvl>
    <w:lvl w:ilvl="5">
      <w:start w:val="0"/>
      <w:numFmt w:val="bullet"/>
      <w:lvlText w:val="•"/>
      <w:lvlJc w:val="left"/>
      <w:pPr>
        <w:ind w:left="2046" w:hanging="526"/>
      </w:pPr>
      <w:rPr>
        <w:rFonts w:hint="default"/>
      </w:rPr>
    </w:lvl>
    <w:lvl w:ilvl="6">
      <w:start w:val="0"/>
      <w:numFmt w:val="bullet"/>
      <w:lvlText w:val="•"/>
      <w:lvlJc w:val="left"/>
      <w:pPr>
        <w:ind w:left="2308" w:hanging="526"/>
      </w:pPr>
      <w:rPr>
        <w:rFonts w:hint="default"/>
      </w:rPr>
    </w:lvl>
    <w:lvl w:ilvl="7">
      <w:start w:val="0"/>
      <w:numFmt w:val="bullet"/>
      <w:lvlText w:val="•"/>
      <w:lvlJc w:val="left"/>
      <w:pPr>
        <w:ind w:left="2570" w:hanging="526"/>
      </w:pPr>
      <w:rPr>
        <w:rFonts w:hint="default"/>
      </w:rPr>
    </w:lvl>
    <w:lvl w:ilvl="8">
      <w:start w:val="0"/>
      <w:numFmt w:val="bullet"/>
      <w:lvlText w:val="•"/>
      <w:lvlJc w:val="left"/>
      <w:pPr>
        <w:ind w:left="2831" w:hanging="526"/>
      </w:pPr>
      <w:rPr>
        <w:rFonts w:hint="default"/>
      </w:rPr>
    </w:lvl>
  </w:abstractNum>
  <w:abstractNum w:abstractNumId="10">
    <w:multiLevelType w:val="hybridMultilevel"/>
    <w:lvl w:ilvl="0">
      <w:start w:val="12"/>
      <w:numFmt w:val="decimal"/>
      <w:lvlText w:val="%1."/>
      <w:lvlJc w:val="left"/>
      <w:pPr>
        <w:ind w:left="575" w:hanging="423"/>
        <w:jc w:val="left"/>
      </w:pPr>
      <w:rPr>
        <w:rFonts w:hint="default" w:ascii="宋体" w:hAnsi="宋体" w:eastAsia="宋体" w:cs="宋体"/>
        <w:b/>
        <w:bCs/>
        <w:w w:val="99"/>
        <w:sz w:val="21"/>
        <w:szCs w:val="21"/>
      </w:rPr>
    </w:lvl>
    <w:lvl w:ilvl="1">
      <w:start w:val="1"/>
      <w:numFmt w:val="decimal"/>
      <w:lvlText w:val="%1.%2"/>
      <w:lvlJc w:val="left"/>
      <w:pPr>
        <w:ind w:left="1039" w:hanging="526"/>
        <w:jc w:val="left"/>
      </w:pPr>
      <w:rPr>
        <w:rFonts w:hint="default" w:ascii="宋体" w:hAnsi="宋体" w:eastAsia="宋体" w:cs="宋体"/>
        <w:w w:val="100"/>
        <w:sz w:val="21"/>
        <w:szCs w:val="21"/>
      </w:rPr>
    </w:lvl>
    <w:lvl w:ilvl="2">
      <w:start w:val="0"/>
      <w:numFmt w:val="bullet"/>
      <w:lvlText w:val="•"/>
      <w:lvlJc w:val="left"/>
      <w:pPr>
        <w:ind w:left="1286" w:hanging="526"/>
      </w:pPr>
      <w:rPr>
        <w:rFonts w:hint="default"/>
      </w:rPr>
    </w:lvl>
    <w:lvl w:ilvl="3">
      <w:start w:val="0"/>
      <w:numFmt w:val="bullet"/>
      <w:lvlText w:val="•"/>
      <w:lvlJc w:val="left"/>
      <w:pPr>
        <w:ind w:left="1532" w:hanging="526"/>
      </w:pPr>
      <w:rPr>
        <w:rFonts w:hint="default"/>
      </w:rPr>
    </w:lvl>
    <w:lvl w:ilvl="4">
      <w:start w:val="0"/>
      <w:numFmt w:val="bullet"/>
      <w:lvlText w:val="•"/>
      <w:lvlJc w:val="left"/>
      <w:pPr>
        <w:ind w:left="1778" w:hanging="526"/>
      </w:pPr>
      <w:rPr>
        <w:rFonts w:hint="default"/>
      </w:rPr>
    </w:lvl>
    <w:lvl w:ilvl="5">
      <w:start w:val="0"/>
      <w:numFmt w:val="bullet"/>
      <w:lvlText w:val="•"/>
      <w:lvlJc w:val="left"/>
      <w:pPr>
        <w:ind w:left="2024" w:hanging="526"/>
      </w:pPr>
      <w:rPr>
        <w:rFonts w:hint="default"/>
      </w:rPr>
    </w:lvl>
    <w:lvl w:ilvl="6">
      <w:start w:val="0"/>
      <w:numFmt w:val="bullet"/>
      <w:lvlText w:val="•"/>
      <w:lvlJc w:val="left"/>
      <w:pPr>
        <w:ind w:left="2270" w:hanging="526"/>
      </w:pPr>
      <w:rPr>
        <w:rFonts w:hint="default"/>
      </w:rPr>
    </w:lvl>
    <w:lvl w:ilvl="7">
      <w:start w:val="0"/>
      <w:numFmt w:val="bullet"/>
      <w:lvlText w:val="•"/>
      <w:lvlJc w:val="left"/>
      <w:pPr>
        <w:ind w:left="2516" w:hanging="526"/>
      </w:pPr>
      <w:rPr>
        <w:rFonts w:hint="default"/>
      </w:rPr>
    </w:lvl>
    <w:lvl w:ilvl="8">
      <w:start w:val="0"/>
      <w:numFmt w:val="bullet"/>
      <w:lvlText w:val="•"/>
      <w:lvlJc w:val="left"/>
      <w:pPr>
        <w:ind w:left="2762" w:hanging="526"/>
      </w:pPr>
      <w:rPr>
        <w:rFonts w:hint="default"/>
      </w:rPr>
    </w:lvl>
  </w:abstractNum>
  <w:abstractNum w:abstractNumId="9">
    <w:multiLevelType w:val="hybridMultilevel"/>
    <w:lvl w:ilvl="0">
      <w:start w:val="11"/>
      <w:numFmt w:val="decimal"/>
      <w:lvlText w:val="%1"/>
      <w:lvlJc w:val="left"/>
      <w:pPr>
        <w:ind w:left="1039" w:hanging="526"/>
        <w:jc w:val="left"/>
      </w:pPr>
      <w:rPr>
        <w:rFonts w:hint="default"/>
      </w:rPr>
    </w:lvl>
    <w:lvl w:ilvl="1">
      <w:start w:val="1"/>
      <w:numFmt w:val="decimal"/>
      <w:lvlText w:val="%1.%2"/>
      <w:lvlJc w:val="left"/>
      <w:pPr>
        <w:ind w:left="1039" w:hanging="526"/>
        <w:jc w:val="left"/>
      </w:pPr>
      <w:rPr>
        <w:rFonts w:hint="default" w:ascii="宋体" w:hAnsi="宋体" w:eastAsia="宋体" w:cs="宋体"/>
        <w:w w:val="100"/>
        <w:sz w:val="21"/>
        <w:szCs w:val="21"/>
      </w:rPr>
    </w:lvl>
    <w:lvl w:ilvl="2">
      <w:start w:val="0"/>
      <w:numFmt w:val="bullet"/>
      <w:lvlText w:val="•"/>
      <w:lvlJc w:val="left"/>
      <w:pPr>
        <w:ind w:left="1483" w:hanging="526"/>
      </w:pPr>
      <w:rPr>
        <w:rFonts w:hint="default"/>
      </w:rPr>
    </w:lvl>
    <w:lvl w:ilvl="3">
      <w:start w:val="0"/>
      <w:numFmt w:val="bullet"/>
      <w:lvlText w:val="•"/>
      <w:lvlJc w:val="left"/>
      <w:pPr>
        <w:ind w:left="1704" w:hanging="526"/>
      </w:pPr>
      <w:rPr>
        <w:rFonts w:hint="default"/>
      </w:rPr>
    </w:lvl>
    <w:lvl w:ilvl="4">
      <w:start w:val="0"/>
      <w:numFmt w:val="bullet"/>
      <w:lvlText w:val="•"/>
      <w:lvlJc w:val="left"/>
      <w:pPr>
        <w:ind w:left="1926" w:hanging="526"/>
      </w:pPr>
      <w:rPr>
        <w:rFonts w:hint="default"/>
      </w:rPr>
    </w:lvl>
    <w:lvl w:ilvl="5">
      <w:start w:val="0"/>
      <w:numFmt w:val="bullet"/>
      <w:lvlText w:val="•"/>
      <w:lvlJc w:val="left"/>
      <w:pPr>
        <w:ind w:left="2147" w:hanging="526"/>
      </w:pPr>
      <w:rPr>
        <w:rFonts w:hint="default"/>
      </w:rPr>
    </w:lvl>
    <w:lvl w:ilvl="6">
      <w:start w:val="0"/>
      <w:numFmt w:val="bullet"/>
      <w:lvlText w:val="•"/>
      <w:lvlJc w:val="left"/>
      <w:pPr>
        <w:ind w:left="2369" w:hanging="526"/>
      </w:pPr>
      <w:rPr>
        <w:rFonts w:hint="default"/>
      </w:rPr>
    </w:lvl>
    <w:lvl w:ilvl="7">
      <w:start w:val="0"/>
      <w:numFmt w:val="bullet"/>
      <w:lvlText w:val="•"/>
      <w:lvlJc w:val="left"/>
      <w:pPr>
        <w:ind w:left="2590" w:hanging="526"/>
      </w:pPr>
      <w:rPr>
        <w:rFonts w:hint="default"/>
      </w:rPr>
    </w:lvl>
    <w:lvl w:ilvl="8">
      <w:start w:val="0"/>
      <w:numFmt w:val="bullet"/>
      <w:lvlText w:val="•"/>
      <w:lvlJc w:val="left"/>
      <w:pPr>
        <w:ind w:left="2812" w:hanging="526"/>
      </w:pPr>
      <w:rPr>
        <w:rFonts w:hint="default"/>
      </w:rPr>
    </w:lvl>
  </w:abstractNum>
  <w:abstractNum w:abstractNumId="8">
    <w:multiLevelType w:val="hybridMultilevel"/>
    <w:lvl w:ilvl="0">
      <w:start w:val="10"/>
      <w:numFmt w:val="decimal"/>
      <w:lvlText w:val="%1"/>
      <w:lvlJc w:val="left"/>
      <w:pPr>
        <w:ind w:left="1036" w:hanging="526"/>
        <w:jc w:val="left"/>
      </w:pPr>
      <w:rPr>
        <w:rFonts w:hint="default"/>
      </w:rPr>
    </w:lvl>
    <w:lvl w:ilvl="1">
      <w:start w:val="1"/>
      <w:numFmt w:val="decimal"/>
      <w:lvlText w:val="%1.%2"/>
      <w:lvlJc w:val="left"/>
      <w:pPr>
        <w:ind w:left="1036" w:hanging="526"/>
        <w:jc w:val="left"/>
      </w:pPr>
      <w:rPr>
        <w:rFonts w:hint="default" w:ascii="宋体" w:hAnsi="宋体" w:eastAsia="宋体" w:cs="宋体"/>
        <w:w w:val="100"/>
        <w:sz w:val="21"/>
        <w:szCs w:val="21"/>
      </w:rPr>
    </w:lvl>
    <w:lvl w:ilvl="2">
      <w:start w:val="0"/>
      <w:numFmt w:val="bullet"/>
      <w:lvlText w:val="•"/>
      <w:lvlJc w:val="left"/>
      <w:pPr>
        <w:ind w:left="1483" w:hanging="526"/>
      </w:pPr>
      <w:rPr>
        <w:rFonts w:hint="default"/>
      </w:rPr>
    </w:lvl>
    <w:lvl w:ilvl="3">
      <w:start w:val="0"/>
      <w:numFmt w:val="bullet"/>
      <w:lvlText w:val="•"/>
      <w:lvlJc w:val="left"/>
      <w:pPr>
        <w:ind w:left="1704" w:hanging="526"/>
      </w:pPr>
      <w:rPr>
        <w:rFonts w:hint="default"/>
      </w:rPr>
    </w:lvl>
    <w:lvl w:ilvl="4">
      <w:start w:val="0"/>
      <w:numFmt w:val="bullet"/>
      <w:lvlText w:val="•"/>
      <w:lvlJc w:val="left"/>
      <w:pPr>
        <w:ind w:left="1926" w:hanging="526"/>
      </w:pPr>
      <w:rPr>
        <w:rFonts w:hint="default"/>
      </w:rPr>
    </w:lvl>
    <w:lvl w:ilvl="5">
      <w:start w:val="0"/>
      <w:numFmt w:val="bullet"/>
      <w:lvlText w:val="•"/>
      <w:lvlJc w:val="left"/>
      <w:pPr>
        <w:ind w:left="2147" w:hanging="526"/>
      </w:pPr>
      <w:rPr>
        <w:rFonts w:hint="default"/>
      </w:rPr>
    </w:lvl>
    <w:lvl w:ilvl="6">
      <w:start w:val="0"/>
      <w:numFmt w:val="bullet"/>
      <w:lvlText w:val="•"/>
      <w:lvlJc w:val="left"/>
      <w:pPr>
        <w:ind w:left="2369" w:hanging="526"/>
      </w:pPr>
      <w:rPr>
        <w:rFonts w:hint="default"/>
      </w:rPr>
    </w:lvl>
    <w:lvl w:ilvl="7">
      <w:start w:val="0"/>
      <w:numFmt w:val="bullet"/>
      <w:lvlText w:val="•"/>
      <w:lvlJc w:val="left"/>
      <w:pPr>
        <w:ind w:left="2590" w:hanging="526"/>
      </w:pPr>
      <w:rPr>
        <w:rFonts w:hint="default"/>
      </w:rPr>
    </w:lvl>
    <w:lvl w:ilvl="8">
      <w:start w:val="0"/>
      <w:numFmt w:val="bullet"/>
      <w:lvlText w:val="•"/>
      <w:lvlJc w:val="left"/>
      <w:pPr>
        <w:ind w:left="2812" w:hanging="526"/>
      </w:pPr>
      <w:rPr>
        <w:rFonts w:hint="default"/>
      </w:rPr>
    </w:lvl>
  </w:abstractNum>
  <w:abstractNum w:abstractNumId="7">
    <w:multiLevelType w:val="hybridMultilevel"/>
    <w:lvl w:ilvl="0">
      <w:start w:val="8"/>
      <w:numFmt w:val="decimal"/>
      <w:lvlText w:val="%1."/>
      <w:lvlJc w:val="left"/>
      <w:pPr>
        <w:ind w:left="470" w:hanging="317"/>
        <w:jc w:val="left"/>
      </w:pPr>
      <w:rPr>
        <w:rFonts w:hint="default" w:ascii="宋体" w:hAnsi="宋体" w:eastAsia="宋体" w:cs="宋体"/>
        <w:b/>
        <w:bCs/>
        <w:w w:val="99"/>
        <w:sz w:val="21"/>
        <w:szCs w:val="21"/>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197" w:hanging="423"/>
      </w:pPr>
      <w:rPr>
        <w:rFonts w:hint="default"/>
      </w:rPr>
    </w:lvl>
    <w:lvl w:ilvl="3">
      <w:start w:val="0"/>
      <w:numFmt w:val="bullet"/>
      <w:lvlText w:val="•"/>
      <w:lvlJc w:val="left"/>
      <w:pPr>
        <w:ind w:left="1454" w:hanging="423"/>
      </w:pPr>
      <w:rPr>
        <w:rFonts w:hint="default"/>
      </w:rPr>
    </w:lvl>
    <w:lvl w:ilvl="4">
      <w:start w:val="0"/>
      <w:numFmt w:val="bullet"/>
      <w:lvlText w:val="•"/>
      <w:lvlJc w:val="left"/>
      <w:pPr>
        <w:ind w:left="1711" w:hanging="423"/>
      </w:pPr>
      <w:rPr>
        <w:rFonts w:hint="default"/>
      </w:rPr>
    </w:lvl>
    <w:lvl w:ilvl="5">
      <w:start w:val="0"/>
      <w:numFmt w:val="bullet"/>
      <w:lvlText w:val="•"/>
      <w:lvlJc w:val="left"/>
      <w:pPr>
        <w:ind w:left="1968" w:hanging="423"/>
      </w:pPr>
      <w:rPr>
        <w:rFonts w:hint="default"/>
      </w:rPr>
    </w:lvl>
    <w:lvl w:ilvl="6">
      <w:start w:val="0"/>
      <w:numFmt w:val="bullet"/>
      <w:lvlText w:val="•"/>
      <w:lvlJc w:val="left"/>
      <w:pPr>
        <w:ind w:left="2226" w:hanging="423"/>
      </w:pPr>
      <w:rPr>
        <w:rFonts w:hint="default"/>
      </w:rPr>
    </w:lvl>
    <w:lvl w:ilvl="7">
      <w:start w:val="0"/>
      <w:numFmt w:val="bullet"/>
      <w:lvlText w:val="•"/>
      <w:lvlJc w:val="left"/>
      <w:pPr>
        <w:ind w:left="2483" w:hanging="423"/>
      </w:pPr>
      <w:rPr>
        <w:rFonts w:hint="default"/>
      </w:rPr>
    </w:lvl>
    <w:lvl w:ilvl="8">
      <w:start w:val="0"/>
      <w:numFmt w:val="bullet"/>
      <w:lvlText w:val="•"/>
      <w:lvlJc w:val="left"/>
      <w:pPr>
        <w:ind w:left="2740" w:hanging="423"/>
      </w:pPr>
      <w:rPr>
        <w:rFonts w:hint="default"/>
      </w:rPr>
    </w:lvl>
  </w:abstractNum>
  <w:abstractNum w:abstractNumId="6">
    <w:multiLevelType w:val="hybridMultilevel"/>
    <w:lvl w:ilvl="0">
      <w:start w:val="7"/>
      <w:numFmt w:val="decimal"/>
      <w:lvlText w:val="%1"/>
      <w:lvlJc w:val="left"/>
      <w:pPr>
        <w:ind w:left="935" w:hanging="423"/>
        <w:jc w:val="left"/>
      </w:pPr>
      <w:rPr>
        <w:rFonts w:hint="default"/>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403" w:hanging="423"/>
      </w:pPr>
      <w:rPr>
        <w:rFonts w:hint="default"/>
      </w:rPr>
    </w:lvl>
    <w:lvl w:ilvl="3">
      <w:start w:val="0"/>
      <w:numFmt w:val="bullet"/>
      <w:lvlText w:val="•"/>
      <w:lvlJc w:val="left"/>
      <w:pPr>
        <w:ind w:left="1634" w:hanging="423"/>
      </w:pPr>
      <w:rPr>
        <w:rFonts w:hint="default"/>
      </w:rPr>
    </w:lvl>
    <w:lvl w:ilvl="4">
      <w:start w:val="0"/>
      <w:numFmt w:val="bullet"/>
      <w:lvlText w:val="•"/>
      <w:lvlJc w:val="left"/>
      <w:pPr>
        <w:ind w:left="1866" w:hanging="423"/>
      </w:pPr>
      <w:rPr>
        <w:rFonts w:hint="default"/>
      </w:rPr>
    </w:lvl>
    <w:lvl w:ilvl="5">
      <w:start w:val="0"/>
      <w:numFmt w:val="bullet"/>
      <w:lvlText w:val="•"/>
      <w:lvlJc w:val="left"/>
      <w:pPr>
        <w:ind w:left="2097" w:hanging="423"/>
      </w:pPr>
      <w:rPr>
        <w:rFonts w:hint="default"/>
      </w:rPr>
    </w:lvl>
    <w:lvl w:ilvl="6">
      <w:start w:val="0"/>
      <w:numFmt w:val="bullet"/>
      <w:lvlText w:val="•"/>
      <w:lvlJc w:val="left"/>
      <w:pPr>
        <w:ind w:left="2329" w:hanging="423"/>
      </w:pPr>
      <w:rPr>
        <w:rFonts w:hint="default"/>
      </w:rPr>
    </w:lvl>
    <w:lvl w:ilvl="7">
      <w:start w:val="0"/>
      <w:numFmt w:val="bullet"/>
      <w:lvlText w:val="•"/>
      <w:lvlJc w:val="left"/>
      <w:pPr>
        <w:ind w:left="2560" w:hanging="423"/>
      </w:pPr>
      <w:rPr>
        <w:rFonts w:hint="default"/>
      </w:rPr>
    </w:lvl>
    <w:lvl w:ilvl="8">
      <w:start w:val="0"/>
      <w:numFmt w:val="bullet"/>
      <w:lvlText w:val="•"/>
      <w:lvlJc w:val="left"/>
      <w:pPr>
        <w:ind w:left="2792" w:hanging="423"/>
      </w:pPr>
      <w:rPr>
        <w:rFonts w:hint="default"/>
      </w:rPr>
    </w:lvl>
  </w:abstractNum>
  <w:abstractNum w:abstractNumId="5">
    <w:multiLevelType w:val="hybridMultilevel"/>
    <w:lvl w:ilvl="0">
      <w:start w:val="6"/>
      <w:numFmt w:val="decimal"/>
      <w:lvlText w:val="%1"/>
      <w:lvlJc w:val="left"/>
      <w:pPr>
        <w:ind w:left="153" w:hanging="423"/>
        <w:jc w:val="left"/>
      </w:pPr>
      <w:rPr>
        <w:rFonts w:hint="default"/>
      </w:rPr>
    </w:lvl>
    <w:lvl w:ilvl="1">
      <w:start w:val="1"/>
      <w:numFmt w:val="decimal"/>
      <w:lvlText w:val="%1.%2"/>
      <w:lvlJc w:val="left"/>
      <w:pPr>
        <w:ind w:left="153" w:hanging="423"/>
        <w:jc w:val="left"/>
      </w:pPr>
      <w:rPr>
        <w:rFonts w:hint="default" w:ascii="宋体" w:hAnsi="宋体" w:eastAsia="宋体" w:cs="宋体"/>
        <w:w w:val="100"/>
        <w:sz w:val="21"/>
        <w:szCs w:val="21"/>
      </w:rPr>
    </w:lvl>
    <w:lvl w:ilvl="2">
      <w:start w:val="0"/>
      <w:numFmt w:val="bullet"/>
      <w:lvlText w:val="•"/>
      <w:lvlJc w:val="left"/>
      <w:pPr>
        <w:ind w:left="779" w:hanging="423"/>
      </w:pPr>
      <w:rPr>
        <w:rFonts w:hint="default"/>
      </w:rPr>
    </w:lvl>
    <w:lvl w:ilvl="3">
      <w:start w:val="0"/>
      <w:numFmt w:val="bullet"/>
      <w:lvlText w:val="•"/>
      <w:lvlJc w:val="left"/>
      <w:pPr>
        <w:ind w:left="1088" w:hanging="423"/>
      </w:pPr>
      <w:rPr>
        <w:rFonts w:hint="default"/>
      </w:rPr>
    </w:lvl>
    <w:lvl w:ilvl="4">
      <w:start w:val="0"/>
      <w:numFmt w:val="bullet"/>
      <w:lvlText w:val="•"/>
      <w:lvlJc w:val="left"/>
      <w:pPr>
        <w:ind w:left="1398" w:hanging="423"/>
      </w:pPr>
      <w:rPr>
        <w:rFonts w:hint="default"/>
      </w:rPr>
    </w:lvl>
    <w:lvl w:ilvl="5">
      <w:start w:val="0"/>
      <w:numFmt w:val="bullet"/>
      <w:lvlText w:val="•"/>
      <w:lvlJc w:val="left"/>
      <w:pPr>
        <w:ind w:left="1707" w:hanging="423"/>
      </w:pPr>
      <w:rPr>
        <w:rFonts w:hint="default"/>
      </w:rPr>
    </w:lvl>
    <w:lvl w:ilvl="6">
      <w:start w:val="0"/>
      <w:numFmt w:val="bullet"/>
      <w:lvlText w:val="•"/>
      <w:lvlJc w:val="left"/>
      <w:pPr>
        <w:ind w:left="2017" w:hanging="423"/>
      </w:pPr>
      <w:rPr>
        <w:rFonts w:hint="default"/>
      </w:rPr>
    </w:lvl>
    <w:lvl w:ilvl="7">
      <w:start w:val="0"/>
      <w:numFmt w:val="bullet"/>
      <w:lvlText w:val="•"/>
      <w:lvlJc w:val="left"/>
      <w:pPr>
        <w:ind w:left="2326" w:hanging="423"/>
      </w:pPr>
      <w:rPr>
        <w:rFonts w:hint="default"/>
      </w:rPr>
    </w:lvl>
    <w:lvl w:ilvl="8">
      <w:start w:val="0"/>
      <w:numFmt w:val="bullet"/>
      <w:lvlText w:val="•"/>
      <w:lvlJc w:val="left"/>
      <w:pPr>
        <w:ind w:left="2636" w:hanging="423"/>
      </w:pPr>
      <w:rPr>
        <w:rFonts w:hint="default"/>
      </w:rPr>
    </w:lvl>
  </w:abstractNum>
  <w:abstractNum w:abstractNumId="4">
    <w:multiLevelType w:val="hybridMultilevel"/>
    <w:lvl w:ilvl="0">
      <w:start w:val="5"/>
      <w:numFmt w:val="decimal"/>
      <w:lvlText w:val="%1"/>
      <w:lvlJc w:val="left"/>
      <w:pPr>
        <w:ind w:left="935"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76" w:hanging="423"/>
      </w:pPr>
      <w:rPr>
        <w:rFonts w:hint="default"/>
      </w:rPr>
    </w:lvl>
    <w:lvl w:ilvl="3">
      <w:start w:val="0"/>
      <w:numFmt w:val="bullet"/>
      <w:lvlText w:val="•"/>
      <w:lvlJc w:val="left"/>
      <w:pPr>
        <w:ind w:left="1594" w:hanging="423"/>
      </w:pPr>
      <w:rPr>
        <w:rFonts w:hint="default"/>
      </w:rPr>
    </w:lvl>
    <w:lvl w:ilvl="4">
      <w:start w:val="0"/>
      <w:numFmt w:val="bullet"/>
      <w:lvlText w:val="•"/>
      <w:lvlJc w:val="left"/>
      <w:pPr>
        <w:ind w:left="1812" w:hanging="423"/>
      </w:pPr>
      <w:rPr>
        <w:rFonts w:hint="default"/>
      </w:rPr>
    </w:lvl>
    <w:lvl w:ilvl="5">
      <w:start w:val="0"/>
      <w:numFmt w:val="bullet"/>
      <w:lvlText w:val="•"/>
      <w:lvlJc w:val="left"/>
      <w:pPr>
        <w:ind w:left="2030" w:hanging="423"/>
      </w:pPr>
      <w:rPr>
        <w:rFonts w:hint="default"/>
      </w:rPr>
    </w:lvl>
    <w:lvl w:ilvl="6">
      <w:start w:val="0"/>
      <w:numFmt w:val="bullet"/>
      <w:lvlText w:val="•"/>
      <w:lvlJc w:val="left"/>
      <w:pPr>
        <w:ind w:left="2248" w:hanging="423"/>
      </w:pPr>
      <w:rPr>
        <w:rFonts w:hint="default"/>
      </w:rPr>
    </w:lvl>
    <w:lvl w:ilvl="7">
      <w:start w:val="0"/>
      <w:numFmt w:val="bullet"/>
      <w:lvlText w:val="•"/>
      <w:lvlJc w:val="left"/>
      <w:pPr>
        <w:ind w:left="2466" w:hanging="423"/>
      </w:pPr>
      <w:rPr>
        <w:rFonts w:hint="default"/>
      </w:rPr>
    </w:lvl>
    <w:lvl w:ilvl="8">
      <w:start w:val="0"/>
      <w:numFmt w:val="bullet"/>
      <w:lvlText w:val="•"/>
      <w:lvlJc w:val="left"/>
      <w:pPr>
        <w:ind w:left="2684" w:hanging="423"/>
      </w:pPr>
      <w:rPr>
        <w:rFonts w:hint="default"/>
      </w:rPr>
    </w:lvl>
  </w:abstractNum>
  <w:abstractNum w:abstractNumId="3">
    <w:multiLevelType w:val="hybridMultilevel"/>
    <w:lvl w:ilvl="0">
      <w:start w:val="3"/>
      <w:numFmt w:val="decimal"/>
      <w:lvlText w:val="%1."/>
      <w:lvlJc w:val="left"/>
      <w:pPr>
        <w:ind w:left="470" w:hanging="318"/>
        <w:jc w:val="left"/>
      </w:pPr>
      <w:rPr>
        <w:rFonts w:hint="default" w:ascii="宋体" w:hAnsi="宋体" w:eastAsia="宋体" w:cs="宋体"/>
        <w:b/>
        <w:bCs/>
        <w:w w:val="99"/>
        <w:sz w:val="21"/>
        <w:szCs w:val="21"/>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940" w:hanging="423"/>
      </w:pPr>
      <w:rPr>
        <w:rFonts w:hint="default"/>
      </w:rPr>
    </w:lvl>
    <w:lvl w:ilvl="3">
      <w:start w:val="0"/>
      <w:numFmt w:val="bullet"/>
      <w:lvlText w:val="•"/>
      <w:lvlJc w:val="left"/>
      <w:pPr>
        <w:ind w:left="1212" w:hanging="423"/>
      </w:pPr>
      <w:rPr>
        <w:rFonts w:hint="default"/>
      </w:rPr>
    </w:lvl>
    <w:lvl w:ilvl="4">
      <w:start w:val="0"/>
      <w:numFmt w:val="bullet"/>
      <w:lvlText w:val="•"/>
      <w:lvlJc w:val="left"/>
      <w:pPr>
        <w:ind w:left="1485" w:hanging="423"/>
      </w:pPr>
      <w:rPr>
        <w:rFonts w:hint="default"/>
      </w:rPr>
    </w:lvl>
    <w:lvl w:ilvl="5">
      <w:start w:val="0"/>
      <w:numFmt w:val="bullet"/>
      <w:lvlText w:val="•"/>
      <w:lvlJc w:val="left"/>
      <w:pPr>
        <w:ind w:left="1757" w:hanging="423"/>
      </w:pPr>
      <w:rPr>
        <w:rFonts w:hint="default"/>
      </w:rPr>
    </w:lvl>
    <w:lvl w:ilvl="6">
      <w:start w:val="0"/>
      <w:numFmt w:val="bullet"/>
      <w:lvlText w:val="•"/>
      <w:lvlJc w:val="left"/>
      <w:pPr>
        <w:ind w:left="2030" w:hanging="423"/>
      </w:pPr>
      <w:rPr>
        <w:rFonts w:hint="default"/>
      </w:rPr>
    </w:lvl>
    <w:lvl w:ilvl="7">
      <w:start w:val="0"/>
      <w:numFmt w:val="bullet"/>
      <w:lvlText w:val="•"/>
      <w:lvlJc w:val="left"/>
      <w:pPr>
        <w:ind w:left="2302" w:hanging="423"/>
      </w:pPr>
      <w:rPr>
        <w:rFonts w:hint="default"/>
      </w:rPr>
    </w:lvl>
    <w:lvl w:ilvl="8">
      <w:start w:val="0"/>
      <w:numFmt w:val="bullet"/>
      <w:lvlText w:val="•"/>
      <w:lvlJc w:val="left"/>
      <w:pPr>
        <w:ind w:left="2575" w:hanging="423"/>
      </w:pPr>
      <w:rPr>
        <w:rFonts w:hint="default"/>
      </w:rPr>
    </w:lvl>
  </w:abstractNum>
  <w:abstractNum w:abstractNumId="2">
    <w:multiLevelType w:val="hybridMultilevel"/>
    <w:lvl w:ilvl="0">
      <w:start w:val="2"/>
      <w:numFmt w:val="decimal"/>
      <w:lvlText w:val="%1"/>
      <w:lvlJc w:val="left"/>
      <w:pPr>
        <w:ind w:left="933" w:hanging="423"/>
        <w:jc w:val="left"/>
      </w:pPr>
      <w:rPr>
        <w:rFonts w:hint="default"/>
      </w:rPr>
    </w:lvl>
    <w:lvl w:ilvl="1">
      <w:start w:val="1"/>
      <w:numFmt w:val="decimal"/>
      <w:lvlText w:val="%1.%2"/>
      <w:lvlJc w:val="left"/>
      <w:pPr>
        <w:ind w:left="933" w:hanging="423"/>
        <w:jc w:val="left"/>
      </w:pPr>
      <w:rPr>
        <w:rFonts w:hint="default" w:ascii="宋体" w:hAnsi="宋体" w:eastAsia="宋体" w:cs="宋体"/>
        <w:w w:val="100"/>
        <w:sz w:val="21"/>
        <w:szCs w:val="21"/>
      </w:rPr>
    </w:lvl>
    <w:lvl w:ilvl="2">
      <w:start w:val="0"/>
      <w:numFmt w:val="bullet"/>
      <w:lvlText w:val="•"/>
      <w:lvlJc w:val="left"/>
      <w:pPr>
        <w:ind w:left="1376" w:hanging="423"/>
      </w:pPr>
      <w:rPr>
        <w:rFonts w:hint="default"/>
      </w:rPr>
    </w:lvl>
    <w:lvl w:ilvl="3">
      <w:start w:val="0"/>
      <w:numFmt w:val="bullet"/>
      <w:lvlText w:val="•"/>
      <w:lvlJc w:val="left"/>
      <w:pPr>
        <w:ind w:left="1594" w:hanging="423"/>
      </w:pPr>
      <w:rPr>
        <w:rFonts w:hint="default"/>
      </w:rPr>
    </w:lvl>
    <w:lvl w:ilvl="4">
      <w:start w:val="0"/>
      <w:numFmt w:val="bullet"/>
      <w:lvlText w:val="•"/>
      <w:lvlJc w:val="left"/>
      <w:pPr>
        <w:ind w:left="1812" w:hanging="423"/>
      </w:pPr>
      <w:rPr>
        <w:rFonts w:hint="default"/>
      </w:rPr>
    </w:lvl>
    <w:lvl w:ilvl="5">
      <w:start w:val="0"/>
      <w:numFmt w:val="bullet"/>
      <w:lvlText w:val="•"/>
      <w:lvlJc w:val="left"/>
      <w:pPr>
        <w:ind w:left="2030" w:hanging="423"/>
      </w:pPr>
      <w:rPr>
        <w:rFonts w:hint="default"/>
      </w:rPr>
    </w:lvl>
    <w:lvl w:ilvl="6">
      <w:start w:val="0"/>
      <w:numFmt w:val="bullet"/>
      <w:lvlText w:val="•"/>
      <w:lvlJc w:val="left"/>
      <w:pPr>
        <w:ind w:left="2248" w:hanging="423"/>
      </w:pPr>
      <w:rPr>
        <w:rFonts w:hint="default"/>
      </w:rPr>
    </w:lvl>
    <w:lvl w:ilvl="7">
      <w:start w:val="0"/>
      <w:numFmt w:val="bullet"/>
      <w:lvlText w:val="•"/>
      <w:lvlJc w:val="left"/>
      <w:pPr>
        <w:ind w:left="2466" w:hanging="423"/>
      </w:pPr>
      <w:rPr>
        <w:rFonts w:hint="default"/>
      </w:rPr>
    </w:lvl>
    <w:lvl w:ilvl="8">
      <w:start w:val="0"/>
      <w:numFmt w:val="bullet"/>
      <w:lvlText w:val="•"/>
      <w:lvlJc w:val="left"/>
      <w:pPr>
        <w:ind w:left="2684" w:hanging="423"/>
      </w:pPr>
      <w:rPr>
        <w:rFonts w:hint="default"/>
      </w:rPr>
    </w:lvl>
  </w:abstractNum>
  <w:abstractNum w:abstractNumId="1">
    <w:multiLevelType w:val="hybridMultilevel"/>
    <w:lvl w:ilvl="0">
      <w:start w:val="1"/>
      <w:numFmt w:val="decimal"/>
      <w:lvlText w:val="%1"/>
      <w:lvlJc w:val="left"/>
      <w:pPr>
        <w:ind w:left="919" w:hanging="406"/>
        <w:jc w:val="left"/>
      </w:pPr>
      <w:rPr>
        <w:rFonts w:hint="default"/>
      </w:rPr>
    </w:lvl>
    <w:lvl w:ilvl="1">
      <w:start w:val="1"/>
      <w:numFmt w:val="decimal"/>
      <w:lvlText w:val="%1.%2"/>
      <w:lvlJc w:val="left"/>
      <w:pPr>
        <w:ind w:left="919" w:hanging="406"/>
        <w:jc w:val="left"/>
      </w:pPr>
      <w:rPr>
        <w:rFonts w:hint="default" w:ascii="宋体" w:hAnsi="宋体" w:eastAsia="宋体" w:cs="宋体"/>
        <w:w w:val="100"/>
        <w:sz w:val="21"/>
        <w:szCs w:val="21"/>
      </w:rPr>
    </w:lvl>
    <w:lvl w:ilvl="2">
      <w:start w:val="0"/>
      <w:numFmt w:val="bullet"/>
      <w:lvlText w:val="•"/>
      <w:lvlJc w:val="left"/>
      <w:pPr>
        <w:ind w:left="1360" w:hanging="406"/>
      </w:pPr>
      <w:rPr>
        <w:rFonts w:hint="default"/>
      </w:rPr>
    </w:lvl>
    <w:lvl w:ilvl="3">
      <w:start w:val="0"/>
      <w:numFmt w:val="bullet"/>
      <w:lvlText w:val="•"/>
      <w:lvlJc w:val="left"/>
      <w:pPr>
        <w:ind w:left="1580" w:hanging="406"/>
      </w:pPr>
      <w:rPr>
        <w:rFonts w:hint="default"/>
      </w:rPr>
    </w:lvl>
    <w:lvl w:ilvl="4">
      <w:start w:val="0"/>
      <w:numFmt w:val="bullet"/>
      <w:lvlText w:val="•"/>
      <w:lvlJc w:val="left"/>
      <w:pPr>
        <w:ind w:left="1800" w:hanging="406"/>
      </w:pPr>
      <w:rPr>
        <w:rFonts w:hint="default"/>
      </w:rPr>
    </w:lvl>
    <w:lvl w:ilvl="5">
      <w:start w:val="0"/>
      <w:numFmt w:val="bullet"/>
      <w:lvlText w:val="•"/>
      <w:lvlJc w:val="left"/>
      <w:pPr>
        <w:ind w:left="2020" w:hanging="406"/>
      </w:pPr>
      <w:rPr>
        <w:rFonts w:hint="default"/>
      </w:rPr>
    </w:lvl>
    <w:lvl w:ilvl="6">
      <w:start w:val="0"/>
      <w:numFmt w:val="bullet"/>
      <w:lvlText w:val="•"/>
      <w:lvlJc w:val="left"/>
      <w:pPr>
        <w:ind w:left="2240" w:hanging="406"/>
      </w:pPr>
      <w:rPr>
        <w:rFonts w:hint="default"/>
      </w:rPr>
    </w:lvl>
    <w:lvl w:ilvl="7">
      <w:start w:val="0"/>
      <w:numFmt w:val="bullet"/>
      <w:lvlText w:val="•"/>
      <w:lvlJc w:val="left"/>
      <w:pPr>
        <w:ind w:left="2460" w:hanging="406"/>
      </w:pPr>
      <w:rPr>
        <w:rFonts w:hint="default"/>
      </w:rPr>
    </w:lvl>
    <w:lvl w:ilvl="8">
      <w:start w:val="0"/>
      <w:numFmt w:val="bullet"/>
      <w:lvlText w:val="•"/>
      <w:lvlJc w:val="left"/>
      <w:pPr>
        <w:ind w:left="2680" w:hanging="406"/>
      </w:pPr>
      <w:rPr>
        <w:rFonts w:hint="default"/>
      </w:rPr>
    </w:lvl>
  </w:abstractNum>
  <w:abstractNum w:abstractNumId="0">
    <w:multiLevelType w:val="hybridMultilevel"/>
    <w:lvl w:ilvl="0">
      <w:start w:val="0"/>
      <w:numFmt w:val="bullet"/>
      <w:lvlText w:val=""/>
      <w:lvlJc w:val="left"/>
      <w:pPr>
        <w:ind w:left="973" w:hanging="413"/>
      </w:pPr>
      <w:rPr>
        <w:rFonts w:hint="default" w:ascii="Wingdings" w:hAnsi="Wingdings" w:eastAsia="Wingdings" w:cs="Wingdings"/>
        <w:w w:val="100"/>
        <w:sz w:val="21"/>
        <w:szCs w:val="21"/>
      </w:rPr>
    </w:lvl>
    <w:lvl w:ilvl="1">
      <w:start w:val="0"/>
      <w:numFmt w:val="bullet"/>
      <w:lvlText w:val="•"/>
      <w:lvlJc w:val="left"/>
      <w:pPr>
        <w:ind w:left="1918" w:hanging="413"/>
      </w:pPr>
      <w:rPr>
        <w:rFonts w:hint="default"/>
      </w:rPr>
    </w:lvl>
    <w:lvl w:ilvl="2">
      <w:start w:val="0"/>
      <w:numFmt w:val="bullet"/>
      <w:lvlText w:val="•"/>
      <w:lvlJc w:val="left"/>
      <w:pPr>
        <w:ind w:left="2857" w:hanging="413"/>
      </w:pPr>
      <w:rPr>
        <w:rFonts w:hint="default"/>
      </w:rPr>
    </w:lvl>
    <w:lvl w:ilvl="3">
      <w:start w:val="0"/>
      <w:numFmt w:val="bullet"/>
      <w:lvlText w:val="•"/>
      <w:lvlJc w:val="left"/>
      <w:pPr>
        <w:ind w:left="3795" w:hanging="413"/>
      </w:pPr>
      <w:rPr>
        <w:rFonts w:hint="default"/>
      </w:rPr>
    </w:lvl>
    <w:lvl w:ilvl="4">
      <w:start w:val="0"/>
      <w:numFmt w:val="bullet"/>
      <w:lvlText w:val="•"/>
      <w:lvlJc w:val="left"/>
      <w:pPr>
        <w:ind w:left="4734" w:hanging="413"/>
      </w:pPr>
      <w:rPr>
        <w:rFonts w:hint="default"/>
      </w:rPr>
    </w:lvl>
    <w:lvl w:ilvl="5">
      <w:start w:val="0"/>
      <w:numFmt w:val="bullet"/>
      <w:lvlText w:val="•"/>
      <w:lvlJc w:val="left"/>
      <w:pPr>
        <w:ind w:left="5673" w:hanging="413"/>
      </w:pPr>
      <w:rPr>
        <w:rFonts w:hint="default"/>
      </w:rPr>
    </w:lvl>
    <w:lvl w:ilvl="6">
      <w:start w:val="0"/>
      <w:numFmt w:val="bullet"/>
      <w:lvlText w:val="•"/>
      <w:lvlJc w:val="left"/>
      <w:pPr>
        <w:ind w:left="6611" w:hanging="413"/>
      </w:pPr>
      <w:rPr>
        <w:rFonts w:hint="default"/>
      </w:rPr>
    </w:lvl>
    <w:lvl w:ilvl="7">
      <w:start w:val="0"/>
      <w:numFmt w:val="bullet"/>
      <w:lvlText w:val="•"/>
      <w:lvlJc w:val="left"/>
      <w:pPr>
        <w:ind w:left="7550" w:hanging="413"/>
      </w:pPr>
      <w:rPr>
        <w:rFonts w:hint="default"/>
      </w:rPr>
    </w:lvl>
    <w:lvl w:ilvl="8">
      <w:start w:val="0"/>
      <w:numFmt w:val="bullet"/>
      <w:lvlText w:val="•"/>
      <w:lvlJc w:val="left"/>
      <w:pPr>
        <w:ind w:left="8489" w:hanging="413"/>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22"/>
      <w:ind w:left="973" w:hanging="413"/>
    </w:pPr>
    <w:rPr>
      <w:rFonts w:ascii="宋体" w:hAnsi="宋体" w:eastAsia="宋体" w:cs="宋体"/>
    </w:rPr>
  </w:style>
  <w:style w:styleId="TableParagraph" w:type="paragraph">
    <w:name w:val="Table Paragraph"/>
    <w:basedOn w:val="Normal"/>
    <w:uiPriority w:val="1"/>
    <w:qFormat/>
    <w:pPr>
      <w:ind w:left="12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2018-10-19T22:04:55Z</dcterms:created>
  <dcterms:modified xsi:type="dcterms:W3CDTF">2018-10-19T22:04:55Z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2015-02-11T00:00:00Z</vt:filetime>
  </property>
  <property fmtid="{D5CDD505-2E9C-101B-9397-08002B2CF9AE}" pid="3" name="Creator">
    <vt:lpwstr>Microsoft® Word 2010</vt:lpwstr>
  </property>
  <property fmtid="{D5CDD505-2E9C-101B-9397-08002B2CF9AE}" pid="4" name="LastSaved">
    <vt:filetime>2018-10-19T00:00:00Z</vt:filetime>
  </property>
</Properties>
</file>