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23" w:firstLine="0"/>
        <w:jc w:val="right"/>
        <w:rPr>
          <w:sz w:val="15"/>
        </w:rPr>
      </w:pPr>
      <w:r>
        <w:rPr/>
        <w:drawing>
          <wp:anchor distT="0" distB="0" distL="0" distR="0" allowOverlap="1" layoutInCell="1" locked="0" behindDoc="0" simplePos="0" relativeHeight="1048">
            <wp:simplePos x="0" y="0"/>
            <wp:positionH relativeFrom="page">
              <wp:posOffset>5953759</wp:posOffset>
            </wp:positionH>
            <wp:positionV relativeFrom="paragraph">
              <wp:posOffset>190370</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5"/>
        </w:rPr>
        <w:t>东吴人寿[2017]疾病保险 021 号</w:t>
      </w:r>
    </w:p>
    <w:p>
      <w:pPr>
        <w:pStyle w:val="BodyText"/>
        <w:spacing w:before="0"/>
        <w:ind w:left="0"/>
        <w:rPr>
          <w:sz w:val="14"/>
        </w:rPr>
      </w:pPr>
    </w:p>
    <w:p>
      <w:pPr>
        <w:spacing w:before="109"/>
        <w:ind w:left="1731" w:right="0" w:firstLine="0"/>
        <w:jc w:val="left"/>
        <w:rPr>
          <w:rFonts w:ascii="微软雅黑" w:eastAsia="微软雅黑" w:hint="eastAsia"/>
          <w:b/>
          <w:sz w:val="32"/>
        </w:rPr>
      </w:pPr>
      <w:r>
        <w:rPr>
          <w:rFonts w:ascii="微软雅黑" w:eastAsia="微软雅黑" w:hint="eastAsia"/>
          <w:b/>
          <w:sz w:val="32"/>
        </w:rPr>
        <w:t>东吴盛朗康健终身重大疾病保险（2017）条款</w:t>
      </w:r>
    </w:p>
    <w:p>
      <w:pPr>
        <w:pStyle w:val="BodyText"/>
        <w:spacing w:before="15"/>
        <w:ind w:left="0"/>
        <w:rPr>
          <w:rFonts w:ascii="微软雅黑"/>
          <w:b/>
          <w:sz w:val="6"/>
        </w:rPr>
      </w:pPr>
    </w:p>
    <w:p>
      <w:pPr>
        <w:spacing w:after="0"/>
        <w:rPr>
          <w:rFonts w:ascii="微软雅黑"/>
          <w:sz w:val="6"/>
        </w:rPr>
        <w:sectPr>
          <w:type w:val="continuous"/>
          <w:pgSz w:w="11910" w:h="16840"/>
          <w:pgMar w:top="540" w:bottom="280" w:left="940" w:right="780"/>
        </w:sectPr>
      </w:pPr>
    </w:p>
    <w:p>
      <w:pPr>
        <w:spacing w:line="505"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7"/>
        <w:ind w:left="0"/>
        <w:rPr>
          <w:rFonts w:ascii="微软雅黑"/>
          <w:b/>
          <w:sz w:val="14"/>
        </w:rPr>
      </w:pPr>
      <w:r>
        <w:rPr/>
        <w:br w:type="column"/>
      </w:r>
      <w:r>
        <w:rPr>
          <w:rFonts w:ascii="微软雅黑"/>
          <w:b/>
          <w:sz w:val="14"/>
        </w:rPr>
      </w:r>
    </w:p>
    <w:p>
      <w:pPr>
        <w:spacing w:before="0"/>
        <w:ind w:left="2324" w:right="0" w:firstLine="0"/>
        <w:jc w:val="left"/>
        <w:rPr>
          <w:sz w:val="15"/>
        </w:rPr>
      </w:pPr>
      <w:r>
        <w:rPr>
          <w:sz w:val="15"/>
        </w:rPr>
        <w:t>请扫描以查询验证条款</w:t>
      </w:r>
    </w:p>
    <w:p>
      <w:pPr>
        <w:spacing w:after="0"/>
        <w:jc w:val="left"/>
        <w:rPr>
          <w:sz w:val="15"/>
        </w:rPr>
        <w:sectPr>
          <w:type w:val="continuous"/>
          <w:pgSz w:w="11910" w:h="16840"/>
          <w:pgMar w:top="540" w:bottom="280" w:left="940" w:right="780"/>
          <w:cols w:num="2" w:equalWidth="0">
            <w:col w:w="5895" w:space="40"/>
            <w:col w:w="4255"/>
          </w:cols>
        </w:sectPr>
      </w:pPr>
    </w:p>
    <w:p>
      <w:pPr>
        <w:pStyle w:val="BodyText"/>
        <w:spacing w:before="4"/>
        <w:ind w:left="0"/>
        <w:rPr>
          <w:sz w:val="11"/>
        </w:rPr>
      </w:pPr>
    </w:p>
    <w:p>
      <w:pPr>
        <w:pStyle w:val="Heading2"/>
        <w:spacing w:before="36"/>
        <w:ind w:left="1954"/>
      </w:pPr>
      <w:r>
        <w:rPr/>
        <w:t>本阅读指引有助于您理解条款，对本合同内容的解释以条款为准。</w:t>
      </w:r>
    </w:p>
    <w:p>
      <w:pPr>
        <w:tabs>
          <w:tab w:pos="1256" w:val="left" w:leader="none"/>
        </w:tabs>
        <w:spacing w:before="175"/>
        <w:ind w:left="245" w:right="0" w:firstLine="0"/>
        <w:jc w:val="left"/>
        <w:rPr>
          <w:b/>
          <w:sz w:val="21"/>
        </w:rPr>
      </w:pPr>
      <w:r>
        <w:rPr/>
        <w:drawing>
          <wp:anchor distT="0" distB="0" distL="0" distR="0" allowOverlap="1" layoutInCell="1" locked="0" behindDoc="1" simplePos="0" relativeHeight="268384151">
            <wp:simplePos x="0" y="0"/>
            <wp:positionH relativeFrom="page">
              <wp:posOffset>664463</wp:posOffset>
            </wp:positionH>
            <wp:positionV relativeFrom="paragraph">
              <wp:posOffset>80996</wp:posOffset>
            </wp:positionV>
            <wp:extent cx="6336538" cy="790321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6538" cy="7903210"/>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00"/>
          <w:sz w:val="21"/>
        </w:rPr>
        <w:t>被保险人可以享受本合同提供的保障</w:t>
      </w:r>
      <w:r>
        <w:rPr>
          <w:spacing w:val="-3"/>
          <w:w w:val="201"/>
          <w:sz w:val="21"/>
        </w:rPr>
        <w:t>„„„„„„„„„„„„„„„„„„„„</w:t>
      </w:r>
      <w:r>
        <w:rPr>
          <w:w w:val="100"/>
          <w:sz w:val="21"/>
        </w:rPr>
        <w:t>2.3</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20"/>
          <w:sz w:val="21"/>
        </w:rPr>
        <w:t>您有退保的权利</w:t>
      </w:r>
      <w:r>
        <w:rPr>
          <w:spacing w:val="-1"/>
          <w:w w:val="175"/>
          <w:sz w:val="21"/>
        </w:rPr>
        <w:t>„„„„„„„„„„„„„„„„„„„„„„„„„„„„„7.1</w:t>
      </w:r>
    </w:p>
    <w:p>
      <w:pPr>
        <w:pStyle w:val="Heading2"/>
        <w:tabs>
          <w:tab w:pos="1256" w:val="left" w:leader="none"/>
        </w:tabs>
        <w:spacing w:before="22"/>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7"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您有及时向我们通知保险事故的责任</w:t>
      </w:r>
      <w:r>
        <w:rPr>
          <w:spacing w:val="-1"/>
          <w:w w:val="170"/>
          <w:sz w:val="21"/>
        </w:rPr>
        <w:t>„„„„„„„„„„„„„„„„„„„„3.2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„„„„„„„„„„„„„„„„„7.1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„„„„„„„„„9</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5"/>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5"/>
        <w:gridCol w:w="3279"/>
        <w:gridCol w:w="3803"/>
      </w:tblGrid>
      <w:tr>
        <w:trPr>
          <w:trHeight w:val="337" w:hRule="atLeast"/>
        </w:trPr>
        <w:tc>
          <w:tcPr>
            <w:tcW w:w="2695" w:type="dxa"/>
            <w:tcBorders>
              <w:top w:val="single" w:sz="4" w:space="0" w:color="000000"/>
              <w:left w:val="single" w:sz="4" w:space="0" w:color="000000"/>
            </w:tcBorders>
          </w:tcPr>
          <w:p>
            <w:pPr>
              <w:pStyle w:val="TableParagraph"/>
              <w:spacing w:line="265" w:lineRule="exact"/>
              <w:ind w:left="71"/>
              <w:rPr>
                <w:b/>
                <w:sz w:val="21"/>
              </w:rPr>
            </w:pPr>
            <w:r>
              <w:rPr>
                <w:b/>
                <w:sz w:val="21"/>
              </w:rPr>
              <w:t>1.您与我们的合同</w:t>
            </w:r>
          </w:p>
        </w:tc>
        <w:tc>
          <w:tcPr>
            <w:tcW w:w="3279" w:type="dxa"/>
            <w:tcBorders>
              <w:top w:val="single" w:sz="4" w:space="0" w:color="000000"/>
            </w:tcBorders>
          </w:tcPr>
          <w:p>
            <w:pPr>
              <w:pStyle w:val="TableParagraph"/>
              <w:spacing w:before="4"/>
              <w:ind w:left="226"/>
              <w:rPr>
                <w:b/>
                <w:sz w:val="21"/>
              </w:rPr>
            </w:pPr>
            <w:r>
              <w:rPr>
                <w:b/>
                <w:sz w:val="21"/>
              </w:rPr>
              <w:t>5.现金价值权益</w:t>
            </w:r>
          </w:p>
        </w:tc>
        <w:tc>
          <w:tcPr>
            <w:tcW w:w="3803" w:type="dxa"/>
            <w:tcBorders>
              <w:top w:val="single" w:sz="4" w:space="0" w:color="000000"/>
            </w:tcBorders>
          </w:tcPr>
          <w:p>
            <w:pPr>
              <w:pStyle w:val="TableParagraph"/>
              <w:spacing w:line="265" w:lineRule="exact"/>
              <w:ind w:left="276"/>
              <w:rPr>
                <w:sz w:val="21"/>
              </w:rPr>
            </w:pPr>
            <w:r>
              <w:rPr>
                <w:sz w:val="21"/>
              </w:rPr>
              <w:t>9.3 有效身份证件</w:t>
            </w:r>
          </w:p>
        </w:tc>
      </w:tr>
      <w:tr>
        <w:trPr>
          <w:trHeight w:val="341" w:hRule="atLeast"/>
        </w:trPr>
        <w:tc>
          <w:tcPr>
            <w:tcW w:w="2695" w:type="dxa"/>
            <w:tcBorders>
              <w:left w:val="single" w:sz="4" w:space="0" w:color="000000"/>
            </w:tcBorders>
          </w:tcPr>
          <w:p>
            <w:pPr>
              <w:pStyle w:val="TableParagraph"/>
              <w:spacing w:line="270" w:lineRule="exact"/>
              <w:ind w:left="209"/>
              <w:rPr>
                <w:sz w:val="21"/>
              </w:rPr>
            </w:pPr>
            <w:r>
              <w:rPr>
                <w:sz w:val="21"/>
              </w:rPr>
              <w:t>1.1 保险合同构成</w:t>
            </w:r>
          </w:p>
        </w:tc>
        <w:tc>
          <w:tcPr>
            <w:tcW w:w="3279" w:type="dxa"/>
          </w:tcPr>
          <w:p>
            <w:pPr>
              <w:pStyle w:val="TableParagraph"/>
              <w:spacing w:before="9"/>
              <w:ind w:left="332"/>
              <w:rPr>
                <w:sz w:val="21"/>
              </w:rPr>
            </w:pPr>
            <w:r>
              <w:rPr>
                <w:sz w:val="21"/>
              </w:rPr>
              <w:t>5.1 现金价值</w:t>
            </w:r>
          </w:p>
        </w:tc>
        <w:tc>
          <w:tcPr>
            <w:tcW w:w="3803" w:type="dxa"/>
          </w:tcPr>
          <w:p>
            <w:pPr>
              <w:pStyle w:val="TableParagraph"/>
              <w:spacing w:line="270" w:lineRule="exact"/>
              <w:ind w:left="276"/>
              <w:rPr>
                <w:sz w:val="21"/>
              </w:rPr>
            </w:pPr>
            <w:r>
              <w:rPr>
                <w:sz w:val="21"/>
              </w:rPr>
              <w:t>9.4 意外伤害事故</w:t>
            </w:r>
          </w:p>
        </w:tc>
      </w:tr>
      <w:tr>
        <w:trPr>
          <w:trHeight w:val="343" w:hRule="atLeast"/>
        </w:trPr>
        <w:tc>
          <w:tcPr>
            <w:tcW w:w="2695" w:type="dxa"/>
            <w:tcBorders>
              <w:left w:val="single" w:sz="4" w:space="0" w:color="000000"/>
            </w:tcBorders>
          </w:tcPr>
          <w:p>
            <w:pPr>
              <w:pStyle w:val="TableParagraph"/>
              <w:spacing w:line="269" w:lineRule="exact"/>
              <w:ind w:left="213"/>
              <w:rPr>
                <w:sz w:val="21"/>
              </w:rPr>
            </w:pPr>
            <w:r>
              <w:rPr>
                <w:sz w:val="21"/>
              </w:rPr>
              <w:t>1.2 保险合同成立与生效</w:t>
            </w:r>
          </w:p>
        </w:tc>
        <w:tc>
          <w:tcPr>
            <w:tcW w:w="3279" w:type="dxa"/>
          </w:tcPr>
          <w:p>
            <w:pPr>
              <w:pStyle w:val="TableParagraph"/>
              <w:spacing w:before="10"/>
              <w:ind w:left="332"/>
              <w:rPr>
                <w:sz w:val="21"/>
              </w:rPr>
            </w:pPr>
            <w:r>
              <w:rPr>
                <w:sz w:val="21"/>
              </w:rPr>
              <w:t>5.2 保单贷款</w:t>
            </w:r>
          </w:p>
        </w:tc>
        <w:tc>
          <w:tcPr>
            <w:tcW w:w="3803" w:type="dxa"/>
          </w:tcPr>
          <w:p>
            <w:pPr>
              <w:pStyle w:val="TableParagraph"/>
              <w:spacing w:line="269" w:lineRule="exact"/>
              <w:ind w:left="276"/>
              <w:rPr>
                <w:sz w:val="21"/>
              </w:rPr>
            </w:pPr>
            <w:r>
              <w:rPr>
                <w:sz w:val="21"/>
              </w:rPr>
              <w:t>9.5 初次发生</w:t>
            </w:r>
          </w:p>
        </w:tc>
      </w:tr>
      <w:tr>
        <w:trPr>
          <w:trHeight w:val="343" w:hRule="atLeast"/>
        </w:trPr>
        <w:tc>
          <w:tcPr>
            <w:tcW w:w="2695" w:type="dxa"/>
            <w:tcBorders>
              <w:left w:val="single" w:sz="4" w:space="0" w:color="000000"/>
            </w:tcBorders>
          </w:tcPr>
          <w:p>
            <w:pPr>
              <w:pStyle w:val="TableParagraph"/>
              <w:spacing w:line="269" w:lineRule="exact"/>
              <w:ind w:left="213"/>
              <w:rPr>
                <w:sz w:val="21"/>
              </w:rPr>
            </w:pPr>
            <w:r>
              <w:rPr>
                <w:sz w:val="21"/>
              </w:rPr>
              <w:t>1.3 投保年龄</w:t>
            </w:r>
          </w:p>
        </w:tc>
        <w:tc>
          <w:tcPr>
            <w:tcW w:w="3279" w:type="dxa"/>
          </w:tcPr>
          <w:p>
            <w:pPr>
              <w:pStyle w:val="TableParagraph"/>
              <w:spacing w:before="10"/>
              <w:ind w:left="226"/>
              <w:rPr>
                <w:b/>
                <w:sz w:val="21"/>
              </w:rPr>
            </w:pPr>
            <w:r>
              <w:rPr>
                <w:b/>
                <w:sz w:val="21"/>
              </w:rPr>
              <w:t>6.如何恢复合同效力</w:t>
            </w:r>
          </w:p>
        </w:tc>
        <w:tc>
          <w:tcPr>
            <w:tcW w:w="3803" w:type="dxa"/>
          </w:tcPr>
          <w:p>
            <w:pPr>
              <w:pStyle w:val="TableParagraph"/>
              <w:spacing w:line="269" w:lineRule="exact"/>
              <w:ind w:left="276"/>
              <w:rPr>
                <w:sz w:val="21"/>
              </w:rPr>
            </w:pPr>
            <w:r>
              <w:rPr>
                <w:sz w:val="21"/>
              </w:rPr>
              <w:t>9.6 医院</w:t>
            </w:r>
          </w:p>
        </w:tc>
      </w:tr>
      <w:tr>
        <w:trPr>
          <w:trHeight w:val="343" w:hRule="atLeast"/>
        </w:trPr>
        <w:tc>
          <w:tcPr>
            <w:tcW w:w="2695" w:type="dxa"/>
            <w:tcBorders>
              <w:left w:val="single" w:sz="4" w:space="0" w:color="000000"/>
            </w:tcBorders>
          </w:tcPr>
          <w:p>
            <w:pPr>
              <w:pStyle w:val="TableParagraph"/>
              <w:spacing w:line="269" w:lineRule="exact"/>
              <w:ind w:left="213"/>
              <w:rPr>
                <w:sz w:val="21"/>
              </w:rPr>
            </w:pPr>
            <w:r>
              <w:rPr>
                <w:sz w:val="21"/>
              </w:rPr>
              <w:t>1.4 犹豫期</w:t>
            </w:r>
          </w:p>
        </w:tc>
        <w:tc>
          <w:tcPr>
            <w:tcW w:w="3279" w:type="dxa"/>
          </w:tcPr>
          <w:p>
            <w:pPr>
              <w:pStyle w:val="TableParagraph"/>
              <w:spacing w:before="10"/>
              <w:ind w:left="332"/>
              <w:rPr>
                <w:sz w:val="21"/>
              </w:rPr>
            </w:pPr>
            <w:r>
              <w:rPr>
                <w:sz w:val="21"/>
              </w:rPr>
              <w:t>6.1 效力中止</w:t>
            </w:r>
          </w:p>
        </w:tc>
        <w:tc>
          <w:tcPr>
            <w:tcW w:w="3803" w:type="dxa"/>
          </w:tcPr>
          <w:p>
            <w:pPr>
              <w:pStyle w:val="TableParagraph"/>
              <w:spacing w:line="269" w:lineRule="exact"/>
              <w:ind w:left="276"/>
              <w:rPr>
                <w:sz w:val="21"/>
              </w:rPr>
            </w:pPr>
            <w:r>
              <w:rPr>
                <w:sz w:val="21"/>
              </w:rPr>
              <w:t>9.7 专科医生</w:t>
            </w:r>
          </w:p>
        </w:tc>
      </w:tr>
      <w:tr>
        <w:trPr>
          <w:trHeight w:val="343" w:hRule="atLeast"/>
        </w:trPr>
        <w:tc>
          <w:tcPr>
            <w:tcW w:w="2695" w:type="dxa"/>
            <w:tcBorders>
              <w:left w:val="single" w:sz="4" w:space="0" w:color="000000"/>
            </w:tcBorders>
          </w:tcPr>
          <w:p>
            <w:pPr>
              <w:pStyle w:val="TableParagraph"/>
              <w:spacing w:line="269" w:lineRule="exact"/>
              <w:ind w:left="108"/>
              <w:rPr>
                <w:b/>
                <w:sz w:val="21"/>
              </w:rPr>
            </w:pPr>
            <w:r>
              <w:rPr>
                <w:b/>
                <w:sz w:val="21"/>
              </w:rPr>
              <w:t>2.我们提供的保障</w:t>
            </w:r>
          </w:p>
        </w:tc>
        <w:tc>
          <w:tcPr>
            <w:tcW w:w="3279" w:type="dxa"/>
          </w:tcPr>
          <w:p>
            <w:pPr>
              <w:pStyle w:val="TableParagraph"/>
              <w:spacing w:before="10"/>
              <w:ind w:left="332"/>
              <w:rPr>
                <w:sz w:val="21"/>
              </w:rPr>
            </w:pPr>
            <w:r>
              <w:rPr>
                <w:sz w:val="21"/>
              </w:rPr>
              <w:t>6.2 效力恢复</w:t>
            </w:r>
          </w:p>
        </w:tc>
        <w:tc>
          <w:tcPr>
            <w:tcW w:w="3803" w:type="dxa"/>
          </w:tcPr>
          <w:p>
            <w:pPr>
              <w:pStyle w:val="TableParagraph"/>
              <w:spacing w:line="269" w:lineRule="exact"/>
              <w:ind w:left="276"/>
              <w:rPr>
                <w:sz w:val="21"/>
              </w:rPr>
            </w:pPr>
            <w:r>
              <w:rPr>
                <w:sz w:val="21"/>
              </w:rPr>
              <w:t>9.8 特定疾病</w:t>
            </w:r>
          </w:p>
        </w:tc>
      </w:tr>
      <w:tr>
        <w:trPr>
          <w:trHeight w:val="343" w:hRule="atLeast"/>
        </w:trPr>
        <w:tc>
          <w:tcPr>
            <w:tcW w:w="2695" w:type="dxa"/>
            <w:tcBorders>
              <w:left w:val="single" w:sz="4" w:space="0" w:color="000000"/>
            </w:tcBorders>
          </w:tcPr>
          <w:p>
            <w:pPr>
              <w:pStyle w:val="TableParagraph"/>
              <w:spacing w:line="269" w:lineRule="exact"/>
              <w:ind w:left="213"/>
              <w:rPr>
                <w:sz w:val="21"/>
              </w:rPr>
            </w:pPr>
            <w:r>
              <w:rPr>
                <w:sz w:val="21"/>
              </w:rPr>
              <w:t>2.1 基本保险金额</w:t>
            </w:r>
          </w:p>
        </w:tc>
        <w:tc>
          <w:tcPr>
            <w:tcW w:w="3279" w:type="dxa"/>
          </w:tcPr>
          <w:p>
            <w:pPr>
              <w:pStyle w:val="TableParagraph"/>
              <w:spacing w:before="10"/>
              <w:ind w:left="226"/>
              <w:rPr>
                <w:b/>
                <w:sz w:val="21"/>
              </w:rPr>
            </w:pPr>
            <w:r>
              <w:rPr>
                <w:b/>
                <w:sz w:val="21"/>
              </w:rPr>
              <w:t>7.如何解除保险合同</w:t>
            </w:r>
          </w:p>
        </w:tc>
        <w:tc>
          <w:tcPr>
            <w:tcW w:w="3803" w:type="dxa"/>
          </w:tcPr>
          <w:p>
            <w:pPr>
              <w:pStyle w:val="TableParagraph"/>
              <w:spacing w:line="269" w:lineRule="exact"/>
              <w:ind w:left="276"/>
              <w:rPr>
                <w:sz w:val="21"/>
              </w:rPr>
            </w:pPr>
            <w:r>
              <w:rPr>
                <w:sz w:val="21"/>
              </w:rPr>
              <w:t>9.9 重大疾病</w:t>
            </w:r>
          </w:p>
        </w:tc>
      </w:tr>
      <w:tr>
        <w:trPr>
          <w:trHeight w:val="343" w:hRule="atLeast"/>
        </w:trPr>
        <w:tc>
          <w:tcPr>
            <w:tcW w:w="2695" w:type="dxa"/>
            <w:tcBorders>
              <w:left w:val="single" w:sz="4" w:space="0" w:color="000000"/>
            </w:tcBorders>
          </w:tcPr>
          <w:p>
            <w:pPr>
              <w:pStyle w:val="TableParagraph"/>
              <w:spacing w:line="269" w:lineRule="exact"/>
              <w:ind w:left="209"/>
              <w:rPr>
                <w:sz w:val="21"/>
              </w:rPr>
            </w:pPr>
            <w:r>
              <w:rPr>
                <w:sz w:val="21"/>
              </w:rPr>
              <w:t>2.2 保险期间</w:t>
            </w:r>
          </w:p>
        </w:tc>
        <w:tc>
          <w:tcPr>
            <w:tcW w:w="3279" w:type="dxa"/>
          </w:tcPr>
          <w:p>
            <w:pPr>
              <w:pStyle w:val="TableParagraph"/>
              <w:spacing w:before="10"/>
              <w:ind w:left="332"/>
              <w:rPr>
                <w:sz w:val="21"/>
              </w:rPr>
            </w:pPr>
            <w:r>
              <w:rPr>
                <w:sz w:val="21"/>
              </w:rPr>
              <w:t>7.1 您解除合同的手续及风险</w:t>
            </w:r>
          </w:p>
        </w:tc>
        <w:tc>
          <w:tcPr>
            <w:tcW w:w="3803" w:type="dxa"/>
          </w:tcPr>
          <w:p>
            <w:pPr>
              <w:pStyle w:val="TableParagraph"/>
              <w:spacing w:line="269" w:lineRule="exact"/>
              <w:ind w:left="276"/>
              <w:rPr>
                <w:sz w:val="21"/>
              </w:rPr>
            </w:pPr>
            <w:r>
              <w:rPr>
                <w:sz w:val="21"/>
              </w:rPr>
              <w:t>9.10 全残</w:t>
            </w:r>
          </w:p>
        </w:tc>
      </w:tr>
      <w:tr>
        <w:trPr>
          <w:trHeight w:val="342" w:hRule="atLeast"/>
        </w:trPr>
        <w:tc>
          <w:tcPr>
            <w:tcW w:w="2695" w:type="dxa"/>
            <w:tcBorders>
              <w:left w:val="single" w:sz="4" w:space="0" w:color="000000"/>
            </w:tcBorders>
          </w:tcPr>
          <w:p>
            <w:pPr>
              <w:pStyle w:val="TableParagraph"/>
              <w:spacing w:line="269" w:lineRule="exact"/>
              <w:ind w:left="213"/>
              <w:rPr>
                <w:sz w:val="21"/>
              </w:rPr>
            </w:pPr>
            <w:r>
              <w:rPr>
                <w:sz w:val="21"/>
              </w:rPr>
              <w:t>2.3 保险责任</w:t>
            </w:r>
          </w:p>
        </w:tc>
        <w:tc>
          <w:tcPr>
            <w:tcW w:w="3279" w:type="dxa"/>
          </w:tcPr>
          <w:p>
            <w:pPr>
              <w:pStyle w:val="TableParagraph"/>
              <w:spacing w:before="8"/>
              <w:ind w:left="226"/>
              <w:rPr>
                <w:b/>
                <w:sz w:val="21"/>
              </w:rPr>
            </w:pPr>
            <w:r>
              <w:rPr>
                <w:b/>
                <w:sz w:val="21"/>
              </w:rPr>
              <w:t>8.其他需要关注的事项</w:t>
            </w:r>
          </w:p>
        </w:tc>
        <w:tc>
          <w:tcPr>
            <w:tcW w:w="3803" w:type="dxa"/>
          </w:tcPr>
          <w:p>
            <w:pPr>
              <w:pStyle w:val="TableParagraph"/>
              <w:spacing w:line="269" w:lineRule="exact"/>
              <w:ind w:left="276"/>
              <w:rPr>
                <w:sz w:val="21"/>
              </w:rPr>
            </w:pPr>
            <w:r>
              <w:rPr>
                <w:sz w:val="21"/>
              </w:rPr>
              <w:t>9.11 确认日或认定日</w:t>
            </w:r>
          </w:p>
        </w:tc>
      </w:tr>
      <w:tr>
        <w:trPr>
          <w:trHeight w:val="343" w:hRule="atLeast"/>
        </w:trPr>
        <w:tc>
          <w:tcPr>
            <w:tcW w:w="2695" w:type="dxa"/>
            <w:tcBorders>
              <w:left w:val="single" w:sz="4" w:space="0" w:color="000000"/>
            </w:tcBorders>
          </w:tcPr>
          <w:p>
            <w:pPr>
              <w:pStyle w:val="TableParagraph"/>
              <w:spacing w:before="9"/>
              <w:ind w:left="213"/>
              <w:rPr>
                <w:sz w:val="21"/>
              </w:rPr>
            </w:pPr>
            <w:r>
              <w:rPr>
                <w:sz w:val="21"/>
              </w:rPr>
              <w:t>2.4 责任免除</w:t>
            </w:r>
          </w:p>
        </w:tc>
        <w:tc>
          <w:tcPr>
            <w:tcW w:w="3279" w:type="dxa"/>
          </w:tcPr>
          <w:p>
            <w:pPr>
              <w:pStyle w:val="TableParagraph"/>
              <w:spacing w:before="9"/>
              <w:ind w:left="332"/>
              <w:rPr>
                <w:sz w:val="21"/>
              </w:rPr>
            </w:pPr>
            <w:r>
              <w:rPr>
                <w:sz w:val="21"/>
              </w:rPr>
              <w:t>8.1 明确说明与如实告知</w:t>
            </w:r>
          </w:p>
        </w:tc>
        <w:tc>
          <w:tcPr>
            <w:tcW w:w="3803" w:type="dxa"/>
          </w:tcPr>
          <w:p>
            <w:pPr>
              <w:pStyle w:val="TableParagraph"/>
              <w:spacing w:line="270" w:lineRule="exact"/>
              <w:ind w:left="276"/>
              <w:rPr>
                <w:sz w:val="21"/>
              </w:rPr>
            </w:pPr>
            <w:r>
              <w:rPr>
                <w:sz w:val="21"/>
              </w:rPr>
              <w:t>9.12 毒品</w:t>
            </w:r>
          </w:p>
        </w:tc>
      </w:tr>
      <w:tr>
        <w:trPr>
          <w:trHeight w:val="343" w:hRule="atLeast"/>
        </w:trPr>
        <w:tc>
          <w:tcPr>
            <w:tcW w:w="2695" w:type="dxa"/>
            <w:tcBorders>
              <w:left w:val="single" w:sz="4" w:space="0" w:color="000000"/>
            </w:tcBorders>
          </w:tcPr>
          <w:p>
            <w:pPr>
              <w:pStyle w:val="TableParagraph"/>
              <w:spacing w:before="9"/>
              <w:ind w:left="108"/>
              <w:rPr>
                <w:b/>
                <w:sz w:val="21"/>
              </w:rPr>
            </w:pPr>
            <w:r>
              <w:rPr>
                <w:b/>
                <w:sz w:val="21"/>
              </w:rPr>
              <w:t>3.如何申请领取保险金</w:t>
            </w:r>
          </w:p>
        </w:tc>
        <w:tc>
          <w:tcPr>
            <w:tcW w:w="3279" w:type="dxa"/>
          </w:tcPr>
          <w:p>
            <w:pPr>
              <w:pStyle w:val="TableParagraph"/>
              <w:spacing w:before="9"/>
              <w:ind w:left="332"/>
              <w:rPr>
                <w:sz w:val="21"/>
              </w:rPr>
            </w:pPr>
            <w:r>
              <w:rPr>
                <w:sz w:val="21"/>
              </w:rPr>
              <w:t>8.2 我们合同解除权的限制</w:t>
            </w:r>
          </w:p>
        </w:tc>
        <w:tc>
          <w:tcPr>
            <w:tcW w:w="3803" w:type="dxa"/>
          </w:tcPr>
          <w:p>
            <w:pPr>
              <w:pStyle w:val="TableParagraph"/>
              <w:spacing w:line="270" w:lineRule="exact"/>
              <w:ind w:left="276"/>
              <w:rPr>
                <w:sz w:val="21"/>
              </w:rPr>
            </w:pPr>
            <w:r>
              <w:rPr>
                <w:sz w:val="21"/>
              </w:rPr>
              <w:t>9.13 酒后驾驶</w:t>
            </w:r>
          </w:p>
        </w:tc>
      </w:tr>
      <w:tr>
        <w:trPr>
          <w:trHeight w:val="343" w:hRule="atLeast"/>
        </w:trPr>
        <w:tc>
          <w:tcPr>
            <w:tcW w:w="2695" w:type="dxa"/>
            <w:tcBorders>
              <w:left w:val="single" w:sz="4" w:space="0" w:color="000000"/>
            </w:tcBorders>
          </w:tcPr>
          <w:p>
            <w:pPr>
              <w:pStyle w:val="TableParagraph"/>
              <w:spacing w:before="9"/>
              <w:ind w:left="213"/>
              <w:rPr>
                <w:sz w:val="21"/>
              </w:rPr>
            </w:pPr>
            <w:r>
              <w:rPr>
                <w:sz w:val="21"/>
              </w:rPr>
              <w:t>3.1 受益人</w:t>
            </w:r>
          </w:p>
        </w:tc>
        <w:tc>
          <w:tcPr>
            <w:tcW w:w="3279" w:type="dxa"/>
          </w:tcPr>
          <w:p>
            <w:pPr>
              <w:pStyle w:val="TableParagraph"/>
              <w:spacing w:before="9"/>
              <w:ind w:left="332"/>
              <w:rPr>
                <w:sz w:val="21"/>
              </w:rPr>
            </w:pPr>
            <w:r>
              <w:rPr>
                <w:sz w:val="21"/>
              </w:rPr>
              <w:t>8.3 年龄错误</w:t>
            </w:r>
          </w:p>
        </w:tc>
        <w:tc>
          <w:tcPr>
            <w:tcW w:w="3803" w:type="dxa"/>
          </w:tcPr>
          <w:p>
            <w:pPr>
              <w:pStyle w:val="TableParagraph"/>
              <w:spacing w:line="270" w:lineRule="exact"/>
              <w:ind w:left="276"/>
              <w:rPr>
                <w:sz w:val="21"/>
              </w:rPr>
            </w:pPr>
            <w:r>
              <w:rPr>
                <w:sz w:val="21"/>
              </w:rPr>
              <w:t>9.14 无合法有效驾驶证驾驶</w:t>
            </w:r>
          </w:p>
        </w:tc>
      </w:tr>
      <w:tr>
        <w:trPr>
          <w:trHeight w:val="343" w:hRule="atLeast"/>
        </w:trPr>
        <w:tc>
          <w:tcPr>
            <w:tcW w:w="2695" w:type="dxa"/>
            <w:tcBorders>
              <w:left w:val="single" w:sz="4" w:space="0" w:color="000000"/>
            </w:tcBorders>
          </w:tcPr>
          <w:p>
            <w:pPr>
              <w:pStyle w:val="TableParagraph"/>
              <w:spacing w:before="9"/>
              <w:ind w:left="213"/>
              <w:rPr>
                <w:sz w:val="21"/>
              </w:rPr>
            </w:pPr>
            <w:r>
              <w:rPr>
                <w:sz w:val="21"/>
              </w:rPr>
              <w:t>3.2 保险事故通知</w:t>
            </w:r>
          </w:p>
        </w:tc>
        <w:tc>
          <w:tcPr>
            <w:tcW w:w="3279" w:type="dxa"/>
          </w:tcPr>
          <w:p>
            <w:pPr>
              <w:pStyle w:val="TableParagraph"/>
              <w:spacing w:line="270" w:lineRule="exact"/>
              <w:ind w:left="332"/>
              <w:rPr>
                <w:sz w:val="21"/>
              </w:rPr>
            </w:pPr>
            <w:r>
              <w:rPr>
                <w:sz w:val="21"/>
              </w:rPr>
              <w:t>8.4 未还款项</w:t>
            </w:r>
          </w:p>
        </w:tc>
        <w:tc>
          <w:tcPr>
            <w:tcW w:w="3803" w:type="dxa"/>
          </w:tcPr>
          <w:p>
            <w:pPr>
              <w:pStyle w:val="TableParagraph"/>
              <w:spacing w:line="270" w:lineRule="exact"/>
              <w:ind w:left="276"/>
              <w:rPr>
                <w:sz w:val="21"/>
              </w:rPr>
            </w:pPr>
            <w:r>
              <w:rPr>
                <w:sz w:val="21"/>
              </w:rPr>
              <w:t>9.15 无有效行驶证</w:t>
            </w:r>
          </w:p>
        </w:tc>
      </w:tr>
      <w:tr>
        <w:trPr>
          <w:trHeight w:val="341" w:hRule="atLeast"/>
        </w:trPr>
        <w:tc>
          <w:tcPr>
            <w:tcW w:w="2695" w:type="dxa"/>
            <w:tcBorders>
              <w:left w:val="single" w:sz="4" w:space="0" w:color="000000"/>
            </w:tcBorders>
          </w:tcPr>
          <w:p>
            <w:pPr>
              <w:pStyle w:val="TableParagraph"/>
              <w:spacing w:before="9"/>
              <w:ind w:left="213"/>
              <w:rPr>
                <w:sz w:val="21"/>
              </w:rPr>
            </w:pPr>
            <w:r>
              <w:rPr>
                <w:sz w:val="21"/>
              </w:rPr>
              <w:t>3.3 保险金申请</w:t>
            </w:r>
          </w:p>
        </w:tc>
        <w:tc>
          <w:tcPr>
            <w:tcW w:w="3279" w:type="dxa"/>
          </w:tcPr>
          <w:p>
            <w:pPr>
              <w:pStyle w:val="TableParagraph"/>
              <w:spacing w:before="9"/>
              <w:ind w:left="332"/>
              <w:rPr>
                <w:sz w:val="21"/>
              </w:rPr>
            </w:pPr>
            <w:r>
              <w:rPr>
                <w:sz w:val="21"/>
              </w:rPr>
              <w:t>8.5 合同内容变更</w:t>
            </w:r>
          </w:p>
        </w:tc>
        <w:tc>
          <w:tcPr>
            <w:tcW w:w="3803" w:type="dxa"/>
          </w:tcPr>
          <w:p>
            <w:pPr>
              <w:pStyle w:val="TableParagraph"/>
              <w:spacing w:line="270" w:lineRule="exact"/>
              <w:ind w:left="276"/>
              <w:rPr>
                <w:sz w:val="21"/>
              </w:rPr>
            </w:pPr>
            <w:r>
              <w:rPr>
                <w:sz w:val="21"/>
              </w:rPr>
              <w:t>9.16 感染艾滋病病毒或患艾滋病</w:t>
            </w:r>
          </w:p>
        </w:tc>
      </w:tr>
      <w:tr>
        <w:trPr>
          <w:trHeight w:val="343" w:hRule="atLeast"/>
        </w:trPr>
        <w:tc>
          <w:tcPr>
            <w:tcW w:w="2695" w:type="dxa"/>
            <w:tcBorders>
              <w:left w:val="single" w:sz="4" w:space="0" w:color="000000"/>
            </w:tcBorders>
          </w:tcPr>
          <w:p>
            <w:pPr>
              <w:pStyle w:val="TableParagraph"/>
              <w:spacing w:before="10"/>
              <w:ind w:left="213"/>
              <w:rPr>
                <w:sz w:val="21"/>
              </w:rPr>
            </w:pPr>
            <w:r>
              <w:rPr>
                <w:sz w:val="21"/>
              </w:rPr>
              <w:t>3.4 保险金给付</w:t>
            </w:r>
          </w:p>
        </w:tc>
        <w:tc>
          <w:tcPr>
            <w:tcW w:w="3279" w:type="dxa"/>
          </w:tcPr>
          <w:p>
            <w:pPr>
              <w:pStyle w:val="TableParagraph"/>
              <w:spacing w:line="269" w:lineRule="exact"/>
              <w:ind w:left="332"/>
              <w:rPr>
                <w:sz w:val="21"/>
              </w:rPr>
            </w:pPr>
            <w:r>
              <w:rPr>
                <w:sz w:val="21"/>
              </w:rPr>
              <w:t>8.6 联系方式变更</w:t>
            </w:r>
          </w:p>
        </w:tc>
        <w:tc>
          <w:tcPr>
            <w:tcW w:w="3803" w:type="dxa"/>
          </w:tcPr>
          <w:p>
            <w:pPr>
              <w:pStyle w:val="TableParagraph"/>
              <w:spacing w:line="269" w:lineRule="exact"/>
              <w:ind w:left="276"/>
              <w:rPr>
                <w:sz w:val="21"/>
              </w:rPr>
            </w:pPr>
            <w:r>
              <w:rPr>
                <w:sz w:val="21"/>
              </w:rPr>
              <w:t>9.17 遗传性疾病</w:t>
            </w:r>
          </w:p>
        </w:tc>
      </w:tr>
      <w:tr>
        <w:trPr>
          <w:trHeight w:val="343" w:hRule="atLeast"/>
        </w:trPr>
        <w:tc>
          <w:tcPr>
            <w:tcW w:w="2695" w:type="dxa"/>
            <w:tcBorders>
              <w:left w:val="single" w:sz="4" w:space="0" w:color="000000"/>
            </w:tcBorders>
          </w:tcPr>
          <w:p>
            <w:pPr>
              <w:pStyle w:val="TableParagraph"/>
              <w:spacing w:before="10"/>
              <w:ind w:left="213"/>
              <w:rPr>
                <w:sz w:val="21"/>
              </w:rPr>
            </w:pPr>
            <w:r>
              <w:rPr>
                <w:sz w:val="21"/>
              </w:rPr>
              <w:t>3.5 诉讼时效</w:t>
            </w:r>
          </w:p>
        </w:tc>
        <w:tc>
          <w:tcPr>
            <w:tcW w:w="3279" w:type="dxa"/>
          </w:tcPr>
          <w:p>
            <w:pPr>
              <w:pStyle w:val="TableParagraph"/>
              <w:spacing w:line="269" w:lineRule="exact"/>
              <w:ind w:left="332"/>
              <w:rPr>
                <w:sz w:val="21"/>
              </w:rPr>
            </w:pPr>
            <w:r>
              <w:rPr>
                <w:sz w:val="21"/>
              </w:rPr>
              <w:t>8.7 争议处理</w:t>
            </w:r>
          </w:p>
        </w:tc>
        <w:tc>
          <w:tcPr>
            <w:tcW w:w="3803" w:type="dxa"/>
          </w:tcPr>
          <w:p>
            <w:pPr>
              <w:pStyle w:val="TableParagraph"/>
              <w:spacing w:line="269" w:lineRule="exact"/>
              <w:ind w:left="276"/>
              <w:rPr>
                <w:sz w:val="21"/>
              </w:rPr>
            </w:pPr>
            <w:r>
              <w:rPr>
                <w:sz w:val="21"/>
              </w:rPr>
              <w:t>9.18 先天性畸形、变形或染色体异常</w:t>
            </w:r>
          </w:p>
        </w:tc>
      </w:tr>
      <w:tr>
        <w:trPr>
          <w:trHeight w:val="343" w:hRule="atLeast"/>
        </w:trPr>
        <w:tc>
          <w:tcPr>
            <w:tcW w:w="2695" w:type="dxa"/>
            <w:tcBorders>
              <w:left w:val="single" w:sz="4" w:space="0" w:color="000000"/>
            </w:tcBorders>
          </w:tcPr>
          <w:p>
            <w:pPr>
              <w:pStyle w:val="TableParagraph"/>
              <w:spacing w:before="10"/>
              <w:ind w:left="108"/>
              <w:rPr>
                <w:b/>
                <w:sz w:val="21"/>
              </w:rPr>
            </w:pPr>
            <w:r>
              <w:rPr>
                <w:b/>
                <w:sz w:val="21"/>
              </w:rPr>
              <w:t>4.如何支付保险费</w:t>
            </w:r>
          </w:p>
        </w:tc>
        <w:tc>
          <w:tcPr>
            <w:tcW w:w="3279" w:type="dxa"/>
          </w:tcPr>
          <w:p>
            <w:pPr>
              <w:pStyle w:val="TableParagraph"/>
              <w:spacing w:line="269" w:lineRule="exact"/>
              <w:ind w:left="226"/>
              <w:rPr>
                <w:b/>
                <w:sz w:val="21"/>
              </w:rPr>
            </w:pPr>
            <w:r>
              <w:rPr>
                <w:b/>
                <w:sz w:val="21"/>
              </w:rPr>
              <w:t>9.释义</w:t>
            </w:r>
          </w:p>
        </w:tc>
        <w:tc>
          <w:tcPr>
            <w:tcW w:w="3803" w:type="dxa"/>
          </w:tcPr>
          <w:p>
            <w:pPr>
              <w:pStyle w:val="TableParagraph"/>
              <w:spacing w:line="269" w:lineRule="exact"/>
              <w:ind w:left="276"/>
              <w:rPr>
                <w:sz w:val="21"/>
              </w:rPr>
            </w:pPr>
            <w:r>
              <w:rPr>
                <w:sz w:val="21"/>
              </w:rPr>
              <w:t>9.19 现金价值</w:t>
            </w:r>
          </w:p>
        </w:tc>
      </w:tr>
      <w:tr>
        <w:trPr>
          <w:trHeight w:val="343" w:hRule="atLeast"/>
        </w:trPr>
        <w:tc>
          <w:tcPr>
            <w:tcW w:w="2695" w:type="dxa"/>
            <w:tcBorders>
              <w:left w:val="single" w:sz="4" w:space="0" w:color="000000"/>
            </w:tcBorders>
          </w:tcPr>
          <w:p>
            <w:pPr>
              <w:pStyle w:val="TableParagraph"/>
              <w:spacing w:before="10"/>
              <w:ind w:left="213"/>
              <w:rPr>
                <w:sz w:val="21"/>
              </w:rPr>
            </w:pPr>
            <w:r>
              <w:rPr>
                <w:sz w:val="21"/>
              </w:rPr>
              <w:t>4.1 保险费的支付</w:t>
            </w:r>
          </w:p>
        </w:tc>
        <w:tc>
          <w:tcPr>
            <w:tcW w:w="3279" w:type="dxa"/>
          </w:tcPr>
          <w:p>
            <w:pPr>
              <w:pStyle w:val="TableParagraph"/>
              <w:spacing w:line="269" w:lineRule="exact"/>
              <w:ind w:left="332"/>
              <w:rPr>
                <w:sz w:val="21"/>
              </w:rPr>
            </w:pPr>
            <w:r>
              <w:rPr>
                <w:sz w:val="21"/>
              </w:rPr>
              <w:t>9.1 保单年度</w:t>
            </w:r>
          </w:p>
        </w:tc>
        <w:tc>
          <w:tcPr>
            <w:tcW w:w="3803" w:type="dxa"/>
          </w:tcPr>
          <w:p>
            <w:pPr>
              <w:pStyle w:val="TableParagraph"/>
              <w:rPr>
                <w:rFonts w:ascii="Times New Roman"/>
                <w:sz w:val="20"/>
              </w:rPr>
            </w:pPr>
          </w:p>
        </w:tc>
      </w:tr>
      <w:tr>
        <w:trPr>
          <w:trHeight w:val="349" w:hRule="atLeast"/>
        </w:trPr>
        <w:tc>
          <w:tcPr>
            <w:tcW w:w="2695" w:type="dxa"/>
            <w:tcBorders>
              <w:left w:val="single" w:sz="4" w:space="0" w:color="000000"/>
              <w:bottom w:val="single" w:sz="4" w:space="0" w:color="000000"/>
            </w:tcBorders>
          </w:tcPr>
          <w:p>
            <w:pPr>
              <w:pStyle w:val="TableParagraph"/>
              <w:spacing w:before="11"/>
              <w:ind w:left="213"/>
              <w:rPr>
                <w:sz w:val="21"/>
              </w:rPr>
            </w:pPr>
            <w:r>
              <w:rPr>
                <w:sz w:val="21"/>
              </w:rPr>
              <w:t>4.2 宽限期</w:t>
            </w:r>
          </w:p>
        </w:tc>
        <w:tc>
          <w:tcPr>
            <w:tcW w:w="3279" w:type="dxa"/>
            <w:tcBorders>
              <w:bottom w:val="single" w:sz="4" w:space="0" w:color="000000"/>
            </w:tcBorders>
          </w:tcPr>
          <w:p>
            <w:pPr>
              <w:pStyle w:val="TableParagraph"/>
              <w:spacing w:line="269" w:lineRule="exact"/>
              <w:ind w:left="332"/>
              <w:rPr>
                <w:sz w:val="21"/>
              </w:rPr>
            </w:pPr>
            <w:r>
              <w:rPr>
                <w:sz w:val="21"/>
              </w:rPr>
              <w:t>9.2 周岁</w:t>
            </w:r>
          </w:p>
        </w:tc>
        <w:tc>
          <w:tcPr>
            <w:tcW w:w="3803" w:type="dxa"/>
            <w:tcBorders>
              <w:bottom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40" w:bottom="280" w:left="940" w:right="780"/>
        </w:sectPr>
      </w:pPr>
    </w:p>
    <w:p>
      <w:pPr>
        <w:pStyle w:val="BodyText"/>
        <w:spacing w:before="0"/>
        <w:ind w:left="1481"/>
        <w:rPr>
          <w:sz w:val="20"/>
        </w:rPr>
      </w:pPr>
      <w:r>
        <w:rPr>
          <w:sz w:val="20"/>
        </w:rPr>
        <w:drawing>
          <wp:inline distT="0" distB="0" distL="0" distR="0">
            <wp:extent cx="4197209" cy="59512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spacing w:line="506" w:lineRule="exact" w:before="0"/>
        <w:ind w:left="1871" w:right="0" w:firstLine="0"/>
        <w:jc w:val="left"/>
        <w:rPr>
          <w:rFonts w:ascii="微软雅黑" w:eastAsia="微软雅黑" w:hint="eastAsia"/>
          <w:b/>
          <w:sz w:val="32"/>
        </w:rPr>
      </w:pPr>
      <w:r>
        <w:rPr>
          <w:rFonts w:ascii="微软雅黑" w:eastAsia="微软雅黑" w:hint="eastAsia"/>
          <w:b/>
          <w:sz w:val="32"/>
        </w:rPr>
        <w:t>东吴盛朗康健终身重大疾病保险（2017）条款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93"/>
        <w:gridCol w:w="7386"/>
      </w:tblGrid>
      <w:tr>
        <w:trPr>
          <w:trHeight w:val="522" w:hRule="atLeast"/>
        </w:trPr>
        <w:tc>
          <w:tcPr>
            <w:tcW w:w="900"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9179" w:type="dxa"/>
            <w:gridSpan w:val="2"/>
            <w:tcBorders>
              <w:bottom w:val="single" w:sz="8" w:space="0" w:color="000000"/>
            </w:tcBorders>
          </w:tcPr>
          <w:p>
            <w:pPr>
              <w:pStyle w:val="TableParagraph"/>
              <w:spacing w:before="14"/>
              <w:ind w:left="168"/>
              <w:rPr>
                <w:b/>
                <w:sz w:val="24"/>
              </w:rPr>
            </w:pPr>
            <w:r>
              <w:rPr>
                <w:b/>
                <w:w w:val="95"/>
                <w:sz w:val="24"/>
              </w:rPr>
              <w:t>您与我们的合同</w:t>
            </w:r>
          </w:p>
        </w:tc>
      </w:tr>
      <w:tr>
        <w:trPr>
          <w:trHeight w:val="1095" w:hRule="atLeast"/>
        </w:trPr>
        <w:tc>
          <w:tcPr>
            <w:tcW w:w="900" w:type="dxa"/>
            <w:tcBorders>
              <w:top w:val="single" w:sz="8" w:space="0" w:color="000000"/>
            </w:tcBorders>
          </w:tcPr>
          <w:p>
            <w:pPr>
              <w:pStyle w:val="TableParagraph"/>
              <w:spacing w:before="1"/>
              <w:rPr>
                <w:sz w:val="23"/>
              </w:rPr>
            </w:pPr>
          </w:p>
          <w:p>
            <w:pPr>
              <w:pStyle w:val="TableParagraph"/>
              <w:ind w:right="165"/>
              <w:jc w:val="right"/>
              <w:rPr>
                <w:b/>
                <w:sz w:val="21"/>
              </w:rPr>
            </w:pPr>
            <w:r>
              <w:rPr>
                <w:b/>
                <w:sz w:val="21"/>
              </w:rPr>
              <w:t>1.1</w:t>
            </w:r>
          </w:p>
        </w:tc>
        <w:tc>
          <w:tcPr>
            <w:tcW w:w="1793" w:type="dxa"/>
            <w:tcBorders>
              <w:top w:val="single" w:sz="8" w:space="0" w:color="000000"/>
            </w:tcBorders>
          </w:tcPr>
          <w:p>
            <w:pPr>
              <w:pStyle w:val="TableParagraph"/>
              <w:spacing w:before="1"/>
              <w:rPr>
                <w:sz w:val="23"/>
              </w:rPr>
            </w:pPr>
          </w:p>
          <w:p>
            <w:pPr>
              <w:pStyle w:val="TableParagraph"/>
              <w:ind w:left="168"/>
              <w:rPr>
                <w:b/>
                <w:sz w:val="21"/>
              </w:rPr>
            </w:pPr>
            <w:r>
              <w:rPr>
                <w:b/>
                <w:sz w:val="21"/>
              </w:rPr>
              <w:t>保险合同构成</w:t>
            </w:r>
          </w:p>
        </w:tc>
        <w:tc>
          <w:tcPr>
            <w:tcW w:w="7386" w:type="dxa"/>
            <w:tcBorders>
              <w:top w:val="single" w:sz="8" w:space="0" w:color="000000"/>
            </w:tcBorders>
          </w:tcPr>
          <w:p>
            <w:pPr>
              <w:pStyle w:val="TableParagraph"/>
              <w:spacing w:before="1"/>
              <w:rPr>
                <w:sz w:val="23"/>
              </w:rPr>
            </w:pPr>
          </w:p>
          <w:p>
            <w:pPr>
              <w:pStyle w:val="TableParagraph"/>
              <w:spacing w:line="273" w:lineRule="auto"/>
              <w:ind w:left="175" w:right="-15"/>
              <w:rPr>
                <w:sz w:val="21"/>
              </w:rPr>
            </w:pPr>
            <w:r>
              <w:rPr>
                <w:spacing w:val="-2"/>
                <w:w w:val="100"/>
                <w:sz w:val="21"/>
              </w:rPr>
              <w:t>本保险合同</w:t>
            </w:r>
            <w:r>
              <w:rPr>
                <w:w w:val="100"/>
                <w:sz w:val="21"/>
              </w:rPr>
              <w:t>（</w:t>
            </w:r>
            <w:r>
              <w:rPr>
                <w:spacing w:val="-15"/>
                <w:w w:val="100"/>
                <w:sz w:val="21"/>
              </w:rPr>
              <w:t>以下简称“本合同”</w:t>
            </w:r>
            <w:r>
              <w:rPr>
                <w:spacing w:val="-3"/>
                <w:w w:val="100"/>
                <w:sz w:val="21"/>
              </w:rPr>
              <w:t>）由保险单、保险条款、投保单，以及与本</w:t>
            </w:r>
            <w:r>
              <w:rPr>
                <w:spacing w:val="-13"/>
                <w:sz w:val="21"/>
              </w:rPr>
              <w:t>合同有关的投保文件、合法有效的声明、批注、批单和其他书面协议共同构成。</w:t>
            </w:r>
          </w:p>
        </w:tc>
      </w:tr>
      <w:tr>
        <w:trPr>
          <w:trHeight w:val="2808" w:hRule="atLeast"/>
        </w:trPr>
        <w:tc>
          <w:tcPr>
            <w:tcW w:w="900" w:type="dxa"/>
          </w:tcPr>
          <w:p>
            <w:pPr>
              <w:pStyle w:val="TableParagraph"/>
              <w:spacing w:before="142"/>
              <w:ind w:right="165"/>
              <w:jc w:val="right"/>
              <w:rPr>
                <w:b/>
                <w:sz w:val="21"/>
              </w:rPr>
            </w:pPr>
            <w:r>
              <w:rPr>
                <w:b/>
                <w:sz w:val="21"/>
              </w:rPr>
              <w:t>1.2</w:t>
            </w:r>
          </w:p>
        </w:tc>
        <w:tc>
          <w:tcPr>
            <w:tcW w:w="1793" w:type="dxa"/>
          </w:tcPr>
          <w:p>
            <w:pPr>
              <w:pStyle w:val="TableParagraph"/>
              <w:spacing w:line="273" w:lineRule="auto" w:before="142"/>
              <w:ind w:left="168" w:right="144"/>
              <w:rPr>
                <w:b/>
                <w:sz w:val="21"/>
              </w:rPr>
            </w:pPr>
            <w:r>
              <w:rPr>
                <w:b/>
                <w:sz w:val="21"/>
              </w:rPr>
              <w:t>保险合同成立与生效</w:t>
            </w:r>
          </w:p>
        </w:tc>
        <w:tc>
          <w:tcPr>
            <w:tcW w:w="7386" w:type="dxa"/>
          </w:tcPr>
          <w:p>
            <w:pPr>
              <w:pStyle w:val="TableParagraph"/>
              <w:spacing w:before="142"/>
              <w:ind w:left="175"/>
              <w:rPr>
                <w:sz w:val="21"/>
              </w:rPr>
            </w:pPr>
            <w:r>
              <w:rPr>
                <w:sz w:val="21"/>
              </w:rPr>
              <w:t>您提出保险申请、我们同意承保，本合同成立。</w:t>
            </w:r>
          </w:p>
          <w:p>
            <w:pPr>
              <w:pStyle w:val="TableParagraph"/>
              <w:spacing w:before="8"/>
              <w:rPr>
                <w:sz w:val="26"/>
              </w:rPr>
            </w:pPr>
          </w:p>
          <w:p>
            <w:pPr>
              <w:pStyle w:val="TableParagraph"/>
              <w:spacing w:line="273" w:lineRule="auto"/>
              <w:ind w:left="175" w:right="101"/>
              <w:jc w:val="both"/>
              <w:rPr>
                <w:sz w:val="21"/>
              </w:rPr>
            </w:pPr>
            <w:r>
              <w:rPr>
                <w:spacing w:val="-6"/>
                <w:sz w:val="21"/>
              </w:rPr>
              <w:t>本合同自我们同意承保、收取首期保险费并签发保险单开始生效，具体生效日</w:t>
            </w:r>
            <w:r>
              <w:rPr>
                <w:spacing w:val="-4"/>
                <w:sz w:val="21"/>
              </w:rPr>
              <w:t>以保险单所载的日期为准。</w:t>
            </w:r>
          </w:p>
          <w:p>
            <w:pPr>
              <w:pStyle w:val="TableParagraph"/>
              <w:spacing w:before="5"/>
              <w:rPr>
                <w:sz w:val="24"/>
              </w:rPr>
            </w:pPr>
          </w:p>
          <w:p>
            <w:pPr>
              <w:pStyle w:val="TableParagraph"/>
              <w:spacing w:line="273" w:lineRule="auto"/>
              <w:ind w:left="175" w:right="101"/>
              <w:jc w:val="both"/>
              <w:rPr>
                <w:sz w:val="21"/>
              </w:rPr>
            </w:pPr>
            <w:r>
              <w:rPr>
                <w:spacing w:val="-3"/>
                <w:sz w:val="21"/>
              </w:rPr>
              <w:t>本合同生效日以后每年的对应日是保单周年日。</w:t>
            </w:r>
            <w:r>
              <w:rPr>
                <w:b/>
                <w:sz w:val="21"/>
              </w:rPr>
              <w:t>保单年度</w:t>
            </w:r>
            <w:r>
              <w:rPr>
                <w:sz w:val="21"/>
              </w:rPr>
              <w:t>（</w:t>
            </w:r>
            <w:r>
              <w:rPr>
                <w:spacing w:val="-9"/>
                <w:sz w:val="21"/>
              </w:rPr>
              <w:t>见 </w:t>
            </w:r>
            <w:r>
              <w:rPr>
                <w:sz w:val="21"/>
              </w:rPr>
              <w:t>9.1）</w:t>
            </w:r>
            <w:r>
              <w:rPr>
                <w:spacing w:val="-3"/>
                <w:sz w:val="21"/>
              </w:rPr>
              <w:t>和保险费</w:t>
            </w:r>
            <w:r>
              <w:rPr>
                <w:spacing w:val="-6"/>
                <w:sz w:val="21"/>
              </w:rPr>
              <w:t>约定支付日均以该日期计算。如当月无对应同一日，则以该月最后一日作为对应日。</w:t>
            </w:r>
          </w:p>
        </w:tc>
      </w:tr>
      <w:tr>
        <w:trPr>
          <w:trHeight w:val="936" w:hRule="atLeast"/>
        </w:trPr>
        <w:tc>
          <w:tcPr>
            <w:tcW w:w="900" w:type="dxa"/>
          </w:tcPr>
          <w:p>
            <w:pPr>
              <w:pStyle w:val="TableParagraph"/>
              <w:spacing w:before="142"/>
              <w:ind w:right="165"/>
              <w:jc w:val="right"/>
              <w:rPr>
                <w:b/>
                <w:sz w:val="21"/>
              </w:rPr>
            </w:pPr>
            <w:r>
              <w:rPr>
                <w:b/>
                <w:sz w:val="21"/>
              </w:rPr>
              <w:t>1.3</w:t>
            </w:r>
          </w:p>
        </w:tc>
        <w:tc>
          <w:tcPr>
            <w:tcW w:w="1793" w:type="dxa"/>
          </w:tcPr>
          <w:p>
            <w:pPr>
              <w:pStyle w:val="TableParagraph"/>
              <w:spacing w:before="142"/>
              <w:ind w:left="168"/>
              <w:rPr>
                <w:b/>
                <w:sz w:val="21"/>
              </w:rPr>
            </w:pPr>
            <w:r>
              <w:rPr>
                <w:b/>
                <w:sz w:val="21"/>
              </w:rPr>
              <w:t>投保年龄</w:t>
            </w:r>
          </w:p>
        </w:tc>
        <w:tc>
          <w:tcPr>
            <w:tcW w:w="7386" w:type="dxa"/>
          </w:tcPr>
          <w:p>
            <w:pPr>
              <w:pStyle w:val="TableParagraph"/>
              <w:spacing w:line="273" w:lineRule="auto" w:before="142"/>
              <w:ind w:left="175" w:right="100"/>
              <w:rPr>
                <w:sz w:val="21"/>
              </w:rPr>
            </w:pPr>
            <w:r>
              <w:rPr>
                <w:spacing w:val="-6"/>
                <w:sz w:val="21"/>
              </w:rPr>
              <w:t>指您投保时被保险人的年龄，本合同接受的投保年龄范围为出生满</w:t>
            </w:r>
            <w:r>
              <w:rPr>
                <w:sz w:val="21"/>
              </w:rPr>
              <w:t>28</w:t>
            </w:r>
            <w:r>
              <w:rPr>
                <w:spacing w:val="-2"/>
                <w:sz w:val="21"/>
              </w:rPr>
              <w:t>天至</w:t>
            </w:r>
            <w:r>
              <w:rPr>
                <w:sz w:val="21"/>
              </w:rPr>
              <w:t>55</w:t>
            </w:r>
            <w:r>
              <w:rPr>
                <w:b/>
                <w:sz w:val="21"/>
              </w:rPr>
              <w:t>周</w:t>
            </w:r>
            <w:r>
              <w:rPr>
                <w:b/>
                <w:w w:val="100"/>
                <w:sz w:val="21"/>
              </w:rPr>
              <w:t>岁</w:t>
            </w:r>
            <w:r>
              <w:rPr>
                <w:w w:val="100"/>
                <w:sz w:val="21"/>
              </w:rPr>
              <w:t>（见</w:t>
            </w:r>
            <w:r>
              <w:rPr>
                <w:spacing w:val="-3"/>
                <w:w w:val="100"/>
                <w:sz w:val="21"/>
              </w:rPr>
              <w:t>9</w:t>
            </w:r>
            <w:r>
              <w:rPr>
                <w:w w:val="100"/>
                <w:sz w:val="21"/>
              </w:rPr>
              <w:t>.2</w:t>
            </w:r>
            <w:r>
              <w:rPr>
                <w:spacing w:val="-108"/>
                <w:w w:val="100"/>
                <w:sz w:val="21"/>
              </w:rPr>
              <w:t>）</w:t>
            </w:r>
            <w:r>
              <w:rPr>
                <w:w w:val="100"/>
                <w:sz w:val="21"/>
              </w:rPr>
              <w:t>。</w:t>
            </w:r>
          </w:p>
        </w:tc>
      </w:tr>
      <w:tr>
        <w:trPr>
          <w:trHeight w:val="2521" w:hRule="atLeast"/>
        </w:trPr>
        <w:tc>
          <w:tcPr>
            <w:tcW w:w="900" w:type="dxa"/>
          </w:tcPr>
          <w:p>
            <w:pPr>
              <w:pStyle w:val="TableParagraph"/>
              <w:spacing w:before="142"/>
              <w:ind w:right="165"/>
              <w:jc w:val="right"/>
              <w:rPr>
                <w:b/>
                <w:sz w:val="21"/>
              </w:rPr>
            </w:pPr>
            <w:r>
              <w:rPr>
                <w:b/>
                <w:sz w:val="21"/>
              </w:rPr>
              <w:t>1.4</w:t>
            </w:r>
          </w:p>
        </w:tc>
        <w:tc>
          <w:tcPr>
            <w:tcW w:w="1793" w:type="dxa"/>
          </w:tcPr>
          <w:p>
            <w:pPr>
              <w:pStyle w:val="TableParagraph"/>
              <w:spacing w:before="142"/>
              <w:ind w:left="168"/>
              <w:rPr>
                <w:b/>
                <w:sz w:val="21"/>
              </w:rPr>
            </w:pPr>
            <w:r>
              <w:rPr>
                <w:b/>
                <w:sz w:val="21"/>
              </w:rPr>
              <w:t>犹豫期</w:t>
            </w:r>
          </w:p>
        </w:tc>
        <w:tc>
          <w:tcPr>
            <w:tcW w:w="7386" w:type="dxa"/>
          </w:tcPr>
          <w:p>
            <w:pPr>
              <w:pStyle w:val="TableParagraph"/>
              <w:spacing w:line="273" w:lineRule="auto" w:before="142"/>
              <w:ind w:left="175" w:right="100"/>
              <w:jc w:val="both"/>
              <w:rPr>
                <w:sz w:val="21"/>
              </w:rPr>
            </w:pPr>
            <w:r>
              <w:rPr>
                <w:spacing w:val="-3"/>
                <w:sz w:val="21"/>
              </w:rPr>
              <w:t>自您签收本合同次日起，有 </w:t>
            </w:r>
            <w:r>
              <w:rPr>
                <w:sz w:val="21"/>
              </w:rPr>
              <w:t>15</w:t>
            </w:r>
            <w:r>
              <w:rPr>
                <w:spacing w:val="-3"/>
                <w:sz w:val="21"/>
              </w:rPr>
              <w:t> 日的犹豫期。在此期间请您认真审视本合同， </w:t>
            </w:r>
            <w:r>
              <w:rPr>
                <w:spacing w:val="-6"/>
                <w:sz w:val="21"/>
              </w:rPr>
              <w:t>如果您认为本合同与您的需求不相符，您可以在此期间提出解除本合同，我们</w:t>
            </w:r>
            <w:r>
              <w:rPr>
                <w:spacing w:val="-3"/>
                <w:sz w:val="21"/>
              </w:rPr>
              <w:t>将无息退还您所支付的全部保险费。</w:t>
            </w:r>
          </w:p>
          <w:p>
            <w:pPr>
              <w:pStyle w:val="TableParagraph"/>
              <w:spacing w:before="5"/>
              <w:rPr>
                <w:sz w:val="24"/>
              </w:rPr>
            </w:pPr>
          </w:p>
          <w:p>
            <w:pPr>
              <w:pStyle w:val="TableParagraph"/>
              <w:ind w:left="175"/>
              <w:rPr>
                <w:sz w:val="21"/>
              </w:rPr>
            </w:pPr>
            <w:r>
              <w:rPr>
                <w:sz w:val="21"/>
              </w:rPr>
              <w:t>解除本合同时，您需要填写申请书，并提供您的保险合同及</w:t>
            </w:r>
            <w:r>
              <w:rPr>
                <w:b/>
                <w:sz w:val="21"/>
              </w:rPr>
              <w:t>有效身份证件</w:t>
            </w:r>
            <w:r>
              <w:rPr>
                <w:sz w:val="21"/>
              </w:rPr>
              <w:t>（见</w:t>
            </w:r>
          </w:p>
          <w:p>
            <w:pPr>
              <w:pStyle w:val="TableParagraph"/>
              <w:spacing w:line="273" w:lineRule="auto" w:before="37"/>
              <w:ind w:left="175" w:right="100"/>
              <w:jc w:val="both"/>
              <w:rPr>
                <w:sz w:val="21"/>
              </w:rPr>
            </w:pPr>
            <w:r>
              <w:rPr>
                <w:w w:val="100"/>
                <w:sz w:val="21"/>
              </w:rPr>
              <w:t>9.3</w:t>
            </w:r>
            <w:r>
              <w:rPr>
                <w:spacing w:val="-106"/>
                <w:w w:val="100"/>
                <w:sz w:val="21"/>
              </w:rPr>
              <w:t>）</w:t>
            </w:r>
            <w:r>
              <w:rPr>
                <w:spacing w:val="-7"/>
                <w:w w:val="100"/>
                <w:sz w:val="21"/>
              </w:rPr>
              <w:t>。自我们收到您解除合同的书面申请时起，本合同即被解除，我们自始不</w:t>
            </w:r>
            <w:r>
              <w:rPr>
                <w:spacing w:val="-5"/>
                <w:sz w:val="21"/>
              </w:rPr>
              <w:t>承担保险责任。</w:t>
            </w:r>
          </w:p>
        </w:tc>
      </w:tr>
      <w:tr>
        <w:trPr>
          <w:trHeight w:val="753" w:hRule="atLeast"/>
        </w:trPr>
        <w:tc>
          <w:tcPr>
            <w:tcW w:w="900" w:type="dxa"/>
            <w:tcBorders>
              <w:bottom w:val="single" w:sz="8" w:space="0" w:color="000000"/>
            </w:tcBorders>
          </w:tcPr>
          <w:p>
            <w:pPr>
              <w:pStyle w:val="TableParagraph"/>
              <w:spacing w:before="194"/>
              <w:ind w:left="309"/>
              <w:rPr>
                <w:rFonts w:ascii="Arial" w:hAnsi="Arial"/>
                <w:b/>
                <w:sz w:val="40"/>
              </w:rPr>
            </w:pPr>
            <w:r>
              <w:rPr>
                <w:rFonts w:ascii="Arial" w:hAnsi="Arial"/>
                <w:b/>
                <w:w w:val="119"/>
                <w:sz w:val="40"/>
              </w:rPr>
              <w:t></w:t>
            </w:r>
          </w:p>
        </w:tc>
        <w:tc>
          <w:tcPr>
            <w:tcW w:w="9179"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我们提供的保障</w:t>
            </w:r>
          </w:p>
        </w:tc>
      </w:tr>
      <w:tr>
        <w:trPr>
          <w:trHeight w:val="1092"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2.1</w:t>
            </w:r>
          </w:p>
        </w:tc>
        <w:tc>
          <w:tcPr>
            <w:tcW w:w="1793" w:type="dxa"/>
            <w:tcBorders>
              <w:top w:val="single" w:sz="8" w:space="0" w:color="000000"/>
            </w:tcBorders>
          </w:tcPr>
          <w:p>
            <w:pPr>
              <w:pStyle w:val="TableParagraph"/>
              <w:spacing w:before="11"/>
              <w:rPr>
                <w:sz w:val="22"/>
              </w:rPr>
            </w:pPr>
          </w:p>
          <w:p>
            <w:pPr>
              <w:pStyle w:val="TableParagraph"/>
              <w:ind w:left="168"/>
              <w:rPr>
                <w:b/>
                <w:sz w:val="21"/>
              </w:rPr>
            </w:pPr>
            <w:r>
              <w:rPr>
                <w:b/>
                <w:sz w:val="21"/>
              </w:rPr>
              <w:t>基本保险金额</w:t>
            </w:r>
          </w:p>
        </w:tc>
        <w:tc>
          <w:tcPr>
            <w:tcW w:w="7386" w:type="dxa"/>
            <w:tcBorders>
              <w:top w:val="single" w:sz="8" w:space="0" w:color="000000"/>
            </w:tcBorders>
          </w:tcPr>
          <w:p>
            <w:pPr>
              <w:pStyle w:val="TableParagraph"/>
              <w:spacing w:before="11"/>
              <w:rPr>
                <w:sz w:val="22"/>
              </w:rPr>
            </w:pPr>
          </w:p>
          <w:p>
            <w:pPr>
              <w:pStyle w:val="TableParagraph"/>
              <w:spacing w:line="273" w:lineRule="auto"/>
              <w:ind w:left="148" w:right="61"/>
              <w:rPr>
                <w:sz w:val="21"/>
              </w:rPr>
            </w:pPr>
            <w:r>
              <w:rPr>
                <w:sz w:val="21"/>
              </w:rPr>
              <w:t>本合同的基本保险金额由您在投保时与我们约定并在保险单上载明。若该金额发生变更，则以变更后的金额为基本保险金额。</w:t>
            </w:r>
          </w:p>
        </w:tc>
      </w:tr>
      <w:tr>
        <w:trPr>
          <w:trHeight w:val="624" w:hRule="atLeast"/>
        </w:trPr>
        <w:tc>
          <w:tcPr>
            <w:tcW w:w="900" w:type="dxa"/>
          </w:tcPr>
          <w:p>
            <w:pPr>
              <w:pStyle w:val="TableParagraph"/>
              <w:spacing w:before="142"/>
              <w:ind w:right="165"/>
              <w:jc w:val="right"/>
              <w:rPr>
                <w:b/>
                <w:sz w:val="21"/>
              </w:rPr>
            </w:pPr>
            <w:r>
              <w:rPr>
                <w:b/>
                <w:sz w:val="21"/>
              </w:rPr>
              <w:t>2.2</w:t>
            </w:r>
          </w:p>
        </w:tc>
        <w:tc>
          <w:tcPr>
            <w:tcW w:w="1793" w:type="dxa"/>
          </w:tcPr>
          <w:p>
            <w:pPr>
              <w:pStyle w:val="TableParagraph"/>
              <w:spacing w:before="142"/>
              <w:ind w:left="168"/>
              <w:rPr>
                <w:b/>
                <w:sz w:val="21"/>
              </w:rPr>
            </w:pPr>
            <w:r>
              <w:rPr>
                <w:b/>
                <w:sz w:val="21"/>
              </w:rPr>
              <w:t>保险期间</w:t>
            </w:r>
          </w:p>
        </w:tc>
        <w:tc>
          <w:tcPr>
            <w:tcW w:w="7386" w:type="dxa"/>
          </w:tcPr>
          <w:p>
            <w:pPr>
              <w:pStyle w:val="TableParagraph"/>
              <w:spacing w:before="142"/>
              <w:ind w:left="148"/>
              <w:rPr>
                <w:sz w:val="21"/>
              </w:rPr>
            </w:pPr>
            <w:r>
              <w:rPr>
                <w:sz w:val="21"/>
              </w:rPr>
              <w:t>本合同的保险期间为被保险人终身，自本合同生效之日起至本合同终止日止。</w:t>
            </w:r>
          </w:p>
        </w:tc>
      </w:tr>
      <w:tr>
        <w:trPr>
          <w:trHeight w:val="624" w:hRule="atLeast"/>
        </w:trPr>
        <w:tc>
          <w:tcPr>
            <w:tcW w:w="900" w:type="dxa"/>
          </w:tcPr>
          <w:p>
            <w:pPr>
              <w:pStyle w:val="TableParagraph"/>
              <w:spacing w:before="143"/>
              <w:ind w:right="165"/>
              <w:jc w:val="right"/>
              <w:rPr>
                <w:b/>
                <w:sz w:val="21"/>
              </w:rPr>
            </w:pPr>
            <w:r>
              <w:rPr>
                <w:b/>
                <w:sz w:val="21"/>
              </w:rPr>
              <w:t>2.3</w:t>
            </w:r>
          </w:p>
        </w:tc>
        <w:tc>
          <w:tcPr>
            <w:tcW w:w="1793" w:type="dxa"/>
          </w:tcPr>
          <w:p>
            <w:pPr>
              <w:pStyle w:val="TableParagraph"/>
              <w:spacing w:before="143"/>
              <w:ind w:left="168"/>
              <w:rPr>
                <w:b/>
                <w:sz w:val="21"/>
              </w:rPr>
            </w:pPr>
            <w:r>
              <w:rPr>
                <w:b/>
                <w:sz w:val="21"/>
              </w:rPr>
              <w:t>保险责任</w:t>
            </w:r>
          </w:p>
        </w:tc>
        <w:tc>
          <w:tcPr>
            <w:tcW w:w="7386" w:type="dxa"/>
          </w:tcPr>
          <w:p>
            <w:pPr>
              <w:pStyle w:val="TableParagraph"/>
              <w:spacing w:before="143"/>
              <w:ind w:left="148"/>
              <w:rPr>
                <w:sz w:val="21"/>
              </w:rPr>
            </w:pPr>
            <w:r>
              <w:rPr>
                <w:sz w:val="21"/>
              </w:rPr>
              <w:t>在本合同有效期内，我们承担如下保险责任：</w:t>
            </w:r>
          </w:p>
        </w:tc>
      </w:tr>
      <w:tr>
        <w:trPr>
          <w:trHeight w:val="468" w:hRule="atLeast"/>
        </w:trPr>
        <w:tc>
          <w:tcPr>
            <w:tcW w:w="900" w:type="dxa"/>
          </w:tcPr>
          <w:p>
            <w:pPr>
              <w:pStyle w:val="TableParagraph"/>
              <w:rPr>
                <w:rFonts w:ascii="Times New Roman"/>
                <w:sz w:val="20"/>
              </w:rPr>
            </w:pPr>
          </w:p>
        </w:tc>
        <w:tc>
          <w:tcPr>
            <w:tcW w:w="1793" w:type="dxa"/>
          </w:tcPr>
          <w:p>
            <w:pPr>
              <w:pStyle w:val="TableParagraph"/>
              <w:spacing w:line="393" w:lineRule="exact" w:before="55"/>
              <w:ind w:left="168"/>
              <w:rPr>
                <w:rFonts w:ascii="Microsoft JhengHei" w:eastAsia="Microsoft JhengHei" w:hint="eastAsia"/>
                <w:b/>
                <w:sz w:val="24"/>
              </w:rPr>
            </w:pPr>
            <w:r>
              <w:rPr>
                <w:rFonts w:ascii="Microsoft JhengHei" w:eastAsia="Microsoft JhengHei" w:hint="eastAsia"/>
                <w:b/>
                <w:sz w:val="24"/>
              </w:rPr>
              <w:t>等待期</w:t>
            </w:r>
          </w:p>
        </w:tc>
        <w:tc>
          <w:tcPr>
            <w:tcW w:w="7386" w:type="dxa"/>
          </w:tcPr>
          <w:p>
            <w:pPr>
              <w:pStyle w:val="TableParagraph"/>
              <w:spacing w:before="142"/>
              <w:ind w:left="148"/>
              <w:rPr>
                <w:sz w:val="21"/>
              </w:rPr>
            </w:pPr>
            <w:r>
              <w:rPr>
                <w:spacing w:val="-3"/>
                <w:w w:val="100"/>
                <w:sz w:val="21"/>
              </w:rPr>
              <w:t>自本合同生效起</w:t>
            </w:r>
            <w:r>
              <w:rPr>
                <w:spacing w:val="-52"/>
                <w:sz w:val="21"/>
              </w:rPr>
              <w:t> </w:t>
            </w:r>
            <w:r>
              <w:rPr>
                <w:w w:val="100"/>
                <w:sz w:val="21"/>
              </w:rPr>
              <w:t>90</w:t>
            </w:r>
            <w:r>
              <w:rPr>
                <w:spacing w:val="-55"/>
                <w:sz w:val="21"/>
              </w:rPr>
              <w:t> </w:t>
            </w:r>
            <w:r>
              <w:rPr>
                <w:spacing w:val="-2"/>
                <w:w w:val="100"/>
                <w:sz w:val="21"/>
              </w:rPr>
              <w:t>日内</w:t>
            </w:r>
            <w:r>
              <w:rPr>
                <w:spacing w:val="-3"/>
                <w:w w:val="100"/>
                <w:sz w:val="21"/>
              </w:rPr>
              <w:t>（</w:t>
            </w:r>
            <w:r>
              <w:rPr>
                <w:w w:val="100"/>
                <w:sz w:val="21"/>
              </w:rPr>
              <w:t>含</w:t>
            </w:r>
            <w:r>
              <w:rPr>
                <w:spacing w:val="-52"/>
                <w:sz w:val="21"/>
              </w:rPr>
              <w:t> </w:t>
            </w:r>
            <w:r>
              <w:rPr>
                <w:w w:val="100"/>
                <w:sz w:val="21"/>
              </w:rPr>
              <w:t>90</w:t>
            </w:r>
            <w:r>
              <w:rPr>
                <w:spacing w:val="-55"/>
                <w:sz w:val="21"/>
              </w:rPr>
              <w:t> </w:t>
            </w:r>
            <w:r>
              <w:rPr>
                <w:spacing w:val="-2"/>
                <w:w w:val="100"/>
                <w:sz w:val="21"/>
              </w:rPr>
              <w:t>日当日</w:t>
            </w:r>
            <w:r>
              <w:rPr>
                <w:spacing w:val="-106"/>
                <w:w w:val="100"/>
                <w:sz w:val="21"/>
              </w:rPr>
              <w:t>）</w:t>
            </w:r>
            <w:r>
              <w:rPr>
                <w:spacing w:val="-3"/>
                <w:w w:val="100"/>
                <w:sz w:val="21"/>
              </w:rPr>
              <w:t>，被保险人因</w:t>
            </w:r>
            <w:r>
              <w:rPr>
                <w:b/>
                <w:w w:val="100"/>
                <w:sz w:val="21"/>
              </w:rPr>
              <w:t>意外伤害事故</w:t>
            </w:r>
            <w:r>
              <w:rPr>
                <w:spacing w:val="-3"/>
                <w:w w:val="100"/>
                <w:sz w:val="21"/>
              </w:rPr>
              <w:t>（</w:t>
            </w:r>
            <w:r>
              <w:rPr>
                <w:w w:val="100"/>
                <w:sz w:val="21"/>
              </w:rPr>
              <w:t>见</w:t>
            </w:r>
            <w:r>
              <w:rPr>
                <w:spacing w:val="-53"/>
                <w:sz w:val="21"/>
              </w:rPr>
              <w:t> </w:t>
            </w:r>
            <w:r>
              <w:rPr>
                <w:w w:val="100"/>
                <w:sz w:val="21"/>
              </w:rPr>
              <w:t>9.</w:t>
            </w:r>
            <w:r>
              <w:rPr>
                <w:spacing w:val="-3"/>
                <w:w w:val="100"/>
                <w:sz w:val="21"/>
              </w:rPr>
              <w:t>4</w:t>
            </w:r>
            <w:r>
              <w:rPr>
                <w:w w:val="100"/>
                <w:sz w:val="21"/>
              </w:rPr>
              <w:t>）</w:t>
            </w:r>
          </w:p>
        </w:tc>
      </w:tr>
    </w:tbl>
    <w:p>
      <w:pPr>
        <w:spacing w:after="0"/>
        <w:rPr>
          <w:sz w:val="21"/>
        </w:rPr>
        <w:sectPr>
          <w:pgSz w:w="11910" w:h="16840"/>
          <w:pgMar w:top="1120" w:bottom="280" w:left="800" w:right="800"/>
        </w:sectPr>
      </w:pPr>
    </w:p>
    <w:p>
      <w:pPr>
        <w:pStyle w:val="BodyText"/>
        <w:spacing w:line="273" w:lineRule="auto" w:before="22"/>
        <w:ind w:left="2073" w:right="174"/>
      </w:pPr>
      <w:r>
        <w:rPr>
          <w:spacing w:val="-5"/>
        </w:rPr>
        <w:t>以外的原因发生保险事故的，我们不承担给付保险金的责任，我们向您退还所</w:t>
      </w:r>
      <w:r>
        <w:rPr>
          <w:spacing w:val="-7"/>
        </w:rPr>
        <w:t>交保险费，本合同终止。这 </w:t>
      </w:r>
      <w:r>
        <w:rPr/>
        <w:t>90</w:t>
      </w:r>
      <w:r>
        <w:rPr>
          <w:spacing w:val="-8"/>
        </w:rPr>
        <w:t> 日的时间称为等待期。被保险人因意外伤害事</w:t>
      </w:r>
      <w:r>
        <w:rPr>
          <w:spacing w:val="-5"/>
        </w:rPr>
        <w:t>故发生保险事故的，无等待期。</w:t>
      </w:r>
    </w:p>
    <w:p>
      <w:pPr>
        <w:pStyle w:val="BodyText"/>
        <w:spacing w:before="5"/>
        <w:ind w:left="0"/>
        <w:rPr>
          <w:sz w:val="24"/>
        </w:rPr>
      </w:pPr>
    </w:p>
    <w:p>
      <w:pPr>
        <w:pStyle w:val="BodyText"/>
        <w:spacing w:before="1"/>
        <w:ind w:left="2073"/>
      </w:pPr>
      <w:r>
        <w:rPr/>
        <w:t>本合同约定的保险事故包括:</w:t>
      </w:r>
    </w:p>
    <w:p>
      <w:pPr>
        <w:spacing w:line="273" w:lineRule="auto" w:before="37"/>
        <w:ind w:left="2705" w:right="104" w:hanging="632"/>
        <w:jc w:val="left"/>
        <w:rPr>
          <w:sz w:val="21"/>
        </w:rPr>
      </w:pPr>
      <w:r>
        <w:rPr>
          <w:sz w:val="21"/>
        </w:rPr>
        <w:t>（一</w:t>
      </w:r>
      <w:r>
        <w:rPr>
          <w:spacing w:val="-3"/>
          <w:sz w:val="21"/>
        </w:rPr>
        <w:t>）</w:t>
      </w:r>
      <w:r>
        <w:rPr>
          <w:spacing w:val="-2"/>
          <w:sz w:val="21"/>
        </w:rPr>
        <w:t>被保险人</w:t>
      </w:r>
      <w:r>
        <w:rPr>
          <w:b/>
          <w:spacing w:val="-1"/>
          <w:sz w:val="21"/>
        </w:rPr>
        <w:t>初次发生</w:t>
      </w:r>
      <w:r>
        <w:rPr>
          <w:sz w:val="21"/>
        </w:rPr>
        <w:t>（</w:t>
      </w:r>
      <w:r>
        <w:rPr>
          <w:spacing w:val="-24"/>
          <w:sz w:val="21"/>
        </w:rPr>
        <w:t>见 </w:t>
      </w:r>
      <w:r>
        <w:rPr>
          <w:sz w:val="21"/>
        </w:rPr>
        <w:t>9.5）</w:t>
      </w:r>
      <w:r>
        <w:rPr>
          <w:spacing w:val="-2"/>
          <w:sz w:val="21"/>
        </w:rPr>
        <w:t>并被</w:t>
      </w:r>
      <w:r>
        <w:rPr>
          <w:b/>
          <w:sz w:val="21"/>
        </w:rPr>
        <w:t>医院</w:t>
      </w:r>
      <w:r>
        <w:rPr>
          <w:spacing w:val="-3"/>
          <w:sz w:val="21"/>
        </w:rPr>
        <w:t>（</w:t>
      </w:r>
      <w:r>
        <w:rPr>
          <w:spacing w:val="-25"/>
          <w:sz w:val="21"/>
        </w:rPr>
        <w:t>见 </w:t>
      </w:r>
      <w:r>
        <w:rPr>
          <w:sz w:val="21"/>
        </w:rPr>
        <w:t>9.6）</w:t>
      </w:r>
      <w:r>
        <w:rPr>
          <w:spacing w:val="-3"/>
          <w:sz w:val="21"/>
        </w:rPr>
        <w:t>的</w:t>
      </w:r>
      <w:r>
        <w:rPr>
          <w:b/>
          <w:sz w:val="21"/>
        </w:rPr>
        <w:t>专科医生</w:t>
      </w:r>
      <w:r>
        <w:rPr>
          <w:spacing w:val="-3"/>
          <w:sz w:val="21"/>
        </w:rPr>
        <w:t>（</w:t>
      </w:r>
      <w:r>
        <w:rPr>
          <w:spacing w:val="-25"/>
          <w:sz w:val="21"/>
        </w:rPr>
        <w:t>见 </w:t>
      </w:r>
      <w:r>
        <w:rPr>
          <w:sz w:val="21"/>
        </w:rPr>
        <w:t>9.7） </w:t>
      </w:r>
      <w:r>
        <w:rPr>
          <w:spacing w:val="-3"/>
          <w:w w:val="100"/>
          <w:sz w:val="21"/>
        </w:rPr>
        <w:t>确诊为本合同约定的</w:t>
      </w:r>
      <w:r>
        <w:rPr>
          <w:b/>
          <w:spacing w:val="-2"/>
          <w:w w:val="100"/>
          <w:sz w:val="21"/>
        </w:rPr>
        <w:t>特定疾病</w:t>
      </w:r>
      <w:r>
        <w:rPr>
          <w:w w:val="100"/>
          <w:sz w:val="21"/>
        </w:rPr>
        <w:t>（见</w:t>
      </w:r>
      <w:r>
        <w:rPr>
          <w:spacing w:val="-55"/>
          <w:sz w:val="21"/>
        </w:rPr>
        <w:t> </w:t>
      </w:r>
      <w:r>
        <w:rPr>
          <w:w w:val="100"/>
          <w:sz w:val="21"/>
        </w:rPr>
        <w:t>9.8</w:t>
      </w:r>
      <w:r>
        <w:rPr>
          <w:spacing w:val="-108"/>
          <w:w w:val="100"/>
          <w:sz w:val="21"/>
        </w:rPr>
        <w:t>）</w:t>
      </w:r>
      <w:r>
        <w:rPr>
          <w:w w:val="100"/>
          <w:sz w:val="21"/>
        </w:rPr>
        <w:t>；</w:t>
      </w:r>
    </w:p>
    <w:p>
      <w:pPr>
        <w:pStyle w:val="BodyText"/>
        <w:spacing w:before="7"/>
        <w:ind w:left="2073"/>
        <w:rPr>
          <w:b/>
        </w:rPr>
      </w:pPr>
      <w:r>
        <w:rPr/>
        <w:t>（二）被保险人初次发生并被医院的专科医生确诊为本合同约定的</w:t>
      </w:r>
      <w:r>
        <w:rPr>
          <w:b/>
        </w:rPr>
        <w:t>重大疾病</w:t>
      </w:r>
    </w:p>
    <w:p>
      <w:pPr>
        <w:pStyle w:val="BodyText"/>
        <w:spacing w:before="36"/>
        <w:ind w:left="2705"/>
      </w:pPr>
      <w:r>
        <w:rPr>
          <w:w w:val="100"/>
        </w:rPr>
        <w:t>（见</w:t>
      </w:r>
      <w:r>
        <w:rPr>
          <w:spacing w:val="-53"/>
        </w:rPr>
        <w:t> </w:t>
      </w:r>
      <w:r>
        <w:rPr>
          <w:spacing w:val="-3"/>
          <w:w w:val="100"/>
        </w:rPr>
        <w:t>9</w:t>
      </w:r>
      <w:r>
        <w:rPr>
          <w:w w:val="100"/>
        </w:rPr>
        <w:t>.</w:t>
      </w:r>
      <w:r>
        <w:rPr>
          <w:spacing w:val="-1"/>
          <w:w w:val="100"/>
        </w:rPr>
        <w:t>9</w:t>
      </w:r>
      <w:r>
        <w:rPr>
          <w:spacing w:val="-108"/>
          <w:w w:val="100"/>
        </w:rPr>
        <w:t>）</w:t>
      </w:r>
      <w:r>
        <w:rPr>
          <w:w w:val="100"/>
        </w:rPr>
        <w:t>；</w:t>
      </w:r>
    </w:p>
    <w:p>
      <w:pPr>
        <w:pStyle w:val="BodyText"/>
        <w:spacing w:before="36"/>
        <w:ind w:left="2073"/>
      </w:pPr>
      <w:r>
        <w:rPr>
          <w:w w:val="100"/>
        </w:rPr>
        <w:t>（三</w:t>
      </w:r>
      <w:r>
        <w:rPr>
          <w:spacing w:val="-3"/>
          <w:w w:val="100"/>
        </w:rPr>
        <w:t>）被保险人身故或</w:t>
      </w:r>
      <w:r>
        <w:rPr>
          <w:b/>
          <w:w w:val="100"/>
        </w:rPr>
        <w:t>全残</w:t>
      </w:r>
      <w:r>
        <w:rPr>
          <w:w w:val="100"/>
        </w:rPr>
        <w:t>（见</w:t>
      </w:r>
      <w:r>
        <w:rPr>
          <w:spacing w:val="-55"/>
        </w:rPr>
        <w:t> </w:t>
      </w:r>
      <w:r>
        <w:rPr>
          <w:w w:val="100"/>
        </w:rPr>
        <w:t>9.10</w:t>
      </w:r>
      <w:r>
        <w:rPr>
          <w:spacing w:val="-108"/>
          <w:w w:val="100"/>
        </w:rPr>
        <w:t>）</w:t>
      </w:r>
      <w:r>
        <w:rPr>
          <w:w w:val="100"/>
        </w:rPr>
        <w:t>。</w:t>
      </w:r>
    </w:p>
    <w:p>
      <w:pPr>
        <w:pStyle w:val="BodyText"/>
        <w:spacing w:before="8"/>
        <w:ind w:left="0"/>
        <w:rPr>
          <w:sz w:val="26"/>
        </w:rPr>
      </w:pPr>
    </w:p>
    <w:p>
      <w:pPr>
        <w:pStyle w:val="BodyText"/>
        <w:spacing w:line="273" w:lineRule="auto" w:before="0"/>
        <w:ind w:left="2073" w:right="173"/>
      </w:pPr>
      <w:r>
        <w:rPr/>
        <w:t>如被保险人在等待期后发生本合同所约定的保险事故，我们按照下列方式给付保险金：</w:t>
      </w:r>
    </w:p>
    <w:p>
      <w:pPr>
        <w:pStyle w:val="BodyText"/>
        <w:spacing w:before="4"/>
        <w:ind w:left="0"/>
      </w:pPr>
    </w:p>
    <w:p>
      <w:pPr>
        <w:spacing w:after="0"/>
        <w:sectPr>
          <w:pgSz w:w="11910" w:h="16840"/>
          <w:pgMar w:top="1080" w:bottom="280" w:left="1680" w:right="840"/>
        </w:sectPr>
      </w:pPr>
    </w:p>
    <w:p>
      <w:pPr>
        <w:spacing w:line="172" w:lineRule="auto" w:before="53"/>
        <w:ind w:left="300" w:right="0" w:firstLine="0"/>
        <w:jc w:val="left"/>
        <w:rPr>
          <w:rFonts w:ascii="Microsoft JhengHei" w:eastAsia="Microsoft JhengHei" w:hint="eastAsia"/>
          <w:b/>
          <w:sz w:val="24"/>
        </w:rPr>
      </w:pPr>
      <w:r>
        <w:rPr/>
        <w:pict>
          <v:shapetype id="_x0000_t202" o:spt="202" coordsize="21600,21600" path="m,l,21600r21600,l21600,xe">
            <v:stroke joinstyle="miter"/>
            <v:path gradientshapeok="t" o:connecttype="rect"/>
          </v:shapetype>
          <v:shape style="position:absolute;margin-left:187.699997pt;margin-top:18.235468pt;width:328.65pt;height:486.7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5"/>
                    <w:gridCol w:w="3483"/>
                  </w:tblGrid>
                  <w:tr>
                    <w:trPr>
                      <w:trHeight w:val="314" w:hRule="atLeast"/>
                    </w:trPr>
                    <w:tc>
                      <w:tcPr>
                        <w:tcW w:w="6558" w:type="dxa"/>
                        <w:gridSpan w:val="2"/>
                      </w:tcPr>
                      <w:p>
                        <w:pPr>
                          <w:pStyle w:val="TableParagraph"/>
                          <w:spacing w:line="265" w:lineRule="exact"/>
                          <w:ind w:left="108"/>
                          <w:rPr>
                            <w:sz w:val="21"/>
                          </w:rPr>
                        </w:pPr>
                        <w:r>
                          <w:rPr>
                            <w:sz w:val="21"/>
                          </w:rPr>
                          <w:t>第一组：</w:t>
                        </w:r>
                      </w:p>
                    </w:tc>
                  </w:tr>
                  <w:tr>
                    <w:trPr>
                      <w:trHeight w:val="2184" w:hRule="atLeast"/>
                    </w:trPr>
                    <w:tc>
                      <w:tcPr>
                        <w:tcW w:w="3075" w:type="dxa"/>
                      </w:tcPr>
                      <w:p>
                        <w:pPr>
                          <w:pStyle w:val="TableParagraph"/>
                          <w:spacing w:line="262" w:lineRule="exact"/>
                          <w:ind w:left="108"/>
                          <w:rPr>
                            <w:sz w:val="21"/>
                          </w:rPr>
                        </w:pPr>
                        <w:r>
                          <w:rPr>
                            <w:sz w:val="21"/>
                          </w:rPr>
                          <w:t>（一</w:t>
                        </w:r>
                        <w:r>
                          <w:rPr>
                            <w:spacing w:val="-85"/>
                            <w:sz w:val="21"/>
                          </w:rPr>
                          <w:t>）</w:t>
                        </w:r>
                        <w:r>
                          <w:rPr>
                            <w:spacing w:val="-3"/>
                            <w:sz w:val="21"/>
                          </w:rPr>
                          <w:t>特定恶性病变或恶性肿瘤</w:t>
                        </w:r>
                      </w:p>
                      <w:p>
                        <w:pPr>
                          <w:pStyle w:val="TableParagraph"/>
                          <w:spacing w:before="37"/>
                          <w:ind w:left="108"/>
                          <w:rPr>
                            <w:sz w:val="21"/>
                          </w:rPr>
                        </w:pPr>
                        <w:r>
                          <w:rPr>
                            <w:sz w:val="21"/>
                          </w:rPr>
                          <w:t>（</w:t>
                        </w:r>
                        <w:r>
                          <w:rPr>
                            <w:spacing w:val="-2"/>
                            <w:sz w:val="21"/>
                          </w:rPr>
                          <w:t>十一</w:t>
                        </w:r>
                        <w:r>
                          <w:rPr>
                            <w:spacing w:val="-82"/>
                            <w:sz w:val="21"/>
                          </w:rPr>
                          <w:t>）</w:t>
                        </w:r>
                        <w:r>
                          <w:rPr>
                            <w:spacing w:val="-3"/>
                            <w:sz w:val="21"/>
                          </w:rPr>
                          <w:t>可逆性再生障碍性贫血</w:t>
                        </w:r>
                      </w:p>
                      <w:p>
                        <w:pPr>
                          <w:pStyle w:val="TableParagraph"/>
                          <w:spacing w:before="37"/>
                          <w:ind w:left="108"/>
                          <w:rPr>
                            <w:sz w:val="21"/>
                          </w:rPr>
                        </w:pPr>
                        <w:r>
                          <w:rPr>
                            <w:sz w:val="21"/>
                          </w:rPr>
                          <w:t>（十二）双侧卵巢切除术</w:t>
                        </w:r>
                      </w:p>
                      <w:p>
                        <w:pPr>
                          <w:pStyle w:val="TableParagraph"/>
                          <w:spacing w:before="37"/>
                          <w:ind w:left="108"/>
                          <w:rPr>
                            <w:sz w:val="21"/>
                          </w:rPr>
                        </w:pPr>
                        <w:r>
                          <w:rPr>
                            <w:sz w:val="21"/>
                          </w:rPr>
                          <w:t>（十三）肾上腺切除术</w:t>
                        </w:r>
                      </w:p>
                      <w:p>
                        <w:pPr>
                          <w:pStyle w:val="TableParagraph"/>
                          <w:spacing w:before="37"/>
                          <w:ind w:left="108"/>
                          <w:rPr>
                            <w:sz w:val="21"/>
                          </w:rPr>
                        </w:pPr>
                        <w:r>
                          <w:rPr>
                            <w:sz w:val="21"/>
                          </w:rPr>
                          <w:t>（十四）胆道重建手术</w:t>
                        </w:r>
                      </w:p>
                      <w:p>
                        <w:pPr>
                          <w:pStyle w:val="TableParagraph"/>
                          <w:spacing w:line="273" w:lineRule="auto" w:before="37"/>
                          <w:ind w:left="108" w:right="220"/>
                          <w:rPr>
                            <w:sz w:val="21"/>
                          </w:rPr>
                        </w:pPr>
                        <w:r>
                          <w:rPr>
                            <w:sz w:val="21"/>
                          </w:rPr>
                          <w:t>（十九）慢性肾功能损害–肾功能衰竭期</w:t>
                        </w:r>
                      </w:p>
                    </w:tc>
                    <w:tc>
                      <w:tcPr>
                        <w:tcW w:w="3483" w:type="dxa"/>
                      </w:tcPr>
                      <w:p>
                        <w:pPr>
                          <w:pStyle w:val="TableParagraph"/>
                          <w:spacing w:line="262" w:lineRule="exact"/>
                          <w:ind w:left="108"/>
                          <w:rPr>
                            <w:sz w:val="21"/>
                          </w:rPr>
                        </w:pPr>
                        <w:r>
                          <w:rPr>
                            <w:sz w:val="21"/>
                          </w:rPr>
                          <w:t>（二十）单侧肾脏切除</w:t>
                        </w:r>
                      </w:p>
                      <w:p>
                        <w:pPr>
                          <w:pStyle w:val="TableParagraph"/>
                          <w:spacing w:before="37"/>
                          <w:ind w:left="108"/>
                          <w:rPr>
                            <w:sz w:val="21"/>
                          </w:rPr>
                        </w:pPr>
                        <w:r>
                          <w:rPr>
                            <w:sz w:val="21"/>
                          </w:rPr>
                          <w:t>（二十一）单个肢体缺失</w:t>
                        </w:r>
                      </w:p>
                      <w:p>
                        <w:pPr>
                          <w:pStyle w:val="TableParagraph"/>
                          <w:spacing w:before="37"/>
                          <w:ind w:left="108"/>
                          <w:rPr>
                            <w:sz w:val="21"/>
                          </w:rPr>
                        </w:pPr>
                        <w:r>
                          <w:rPr>
                            <w:sz w:val="21"/>
                          </w:rPr>
                          <w:t>（二十二）单侧肺脏切除</w:t>
                        </w:r>
                      </w:p>
                      <w:p>
                        <w:pPr>
                          <w:pStyle w:val="TableParagraph"/>
                          <w:spacing w:before="37"/>
                          <w:ind w:left="108"/>
                          <w:rPr>
                            <w:sz w:val="21"/>
                          </w:rPr>
                        </w:pPr>
                        <w:r>
                          <w:rPr>
                            <w:sz w:val="21"/>
                          </w:rPr>
                          <w:t>（二十三）肝脏手术</w:t>
                        </w:r>
                      </w:p>
                      <w:p>
                        <w:pPr>
                          <w:pStyle w:val="TableParagraph"/>
                          <w:spacing w:before="37"/>
                          <w:ind w:left="108"/>
                          <w:rPr>
                            <w:sz w:val="21"/>
                          </w:rPr>
                        </w:pPr>
                        <w:r>
                          <w:rPr>
                            <w:sz w:val="21"/>
                          </w:rPr>
                          <w:t>（二十八）中度溃疡性结肠炎</w:t>
                        </w:r>
                      </w:p>
                      <w:p>
                        <w:pPr>
                          <w:pStyle w:val="TableParagraph"/>
                          <w:spacing w:before="37"/>
                          <w:ind w:left="108"/>
                          <w:rPr>
                            <w:sz w:val="21"/>
                          </w:rPr>
                        </w:pPr>
                        <w:r>
                          <w:rPr>
                            <w:sz w:val="21"/>
                          </w:rPr>
                          <w:t>（二十九）早期肝硬化</w:t>
                        </w:r>
                      </w:p>
                      <w:p>
                        <w:pPr>
                          <w:pStyle w:val="TableParagraph"/>
                          <w:spacing w:before="37"/>
                          <w:ind w:left="108"/>
                          <w:rPr>
                            <w:sz w:val="21"/>
                          </w:rPr>
                        </w:pPr>
                        <w:r>
                          <w:rPr>
                            <w:sz w:val="21"/>
                          </w:rPr>
                          <w:t>（三十四）双侧睾丸切除术</w:t>
                        </w:r>
                      </w:p>
                    </w:tc>
                  </w:tr>
                  <w:tr>
                    <w:trPr>
                      <w:trHeight w:val="311" w:hRule="atLeast"/>
                    </w:trPr>
                    <w:tc>
                      <w:tcPr>
                        <w:tcW w:w="6558" w:type="dxa"/>
                        <w:gridSpan w:val="2"/>
                      </w:tcPr>
                      <w:p>
                        <w:pPr>
                          <w:pStyle w:val="TableParagraph"/>
                          <w:spacing w:line="262" w:lineRule="exact"/>
                          <w:ind w:left="108"/>
                          <w:rPr>
                            <w:sz w:val="21"/>
                          </w:rPr>
                        </w:pPr>
                        <w:r>
                          <w:rPr>
                            <w:sz w:val="21"/>
                          </w:rPr>
                          <w:t>第二组：</w:t>
                        </w:r>
                      </w:p>
                    </w:tc>
                  </w:tr>
                  <w:tr>
                    <w:trPr>
                      <w:trHeight w:val="3120" w:hRule="atLeast"/>
                    </w:trPr>
                    <w:tc>
                      <w:tcPr>
                        <w:tcW w:w="3075" w:type="dxa"/>
                      </w:tcPr>
                      <w:p>
                        <w:pPr>
                          <w:pStyle w:val="TableParagraph"/>
                          <w:spacing w:line="262" w:lineRule="exact"/>
                          <w:ind w:left="108"/>
                          <w:rPr>
                            <w:sz w:val="21"/>
                          </w:rPr>
                        </w:pPr>
                        <w:r>
                          <w:rPr>
                            <w:sz w:val="21"/>
                          </w:rPr>
                          <w:t>（二）不典型的急性心肌梗塞</w:t>
                        </w:r>
                      </w:p>
                      <w:p>
                        <w:pPr>
                          <w:pStyle w:val="TableParagraph"/>
                          <w:spacing w:before="37"/>
                          <w:ind w:left="108"/>
                          <w:rPr>
                            <w:sz w:val="21"/>
                          </w:rPr>
                        </w:pPr>
                        <w:r>
                          <w:rPr>
                            <w:sz w:val="21"/>
                          </w:rPr>
                          <w:t>（三）冠状动脉介入手术</w:t>
                        </w:r>
                      </w:p>
                      <w:p>
                        <w:pPr>
                          <w:pStyle w:val="TableParagraph"/>
                          <w:spacing w:before="37"/>
                          <w:ind w:left="108"/>
                          <w:rPr>
                            <w:sz w:val="21"/>
                          </w:rPr>
                        </w:pPr>
                        <w:r>
                          <w:rPr>
                            <w:sz w:val="21"/>
                          </w:rPr>
                          <w:t>（五）心脏瓣膜介入手术</w:t>
                        </w:r>
                      </w:p>
                      <w:p>
                        <w:pPr>
                          <w:pStyle w:val="TableParagraph"/>
                          <w:spacing w:before="37"/>
                          <w:ind w:left="108"/>
                          <w:rPr>
                            <w:sz w:val="21"/>
                          </w:rPr>
                        </w:pPr>
                        <w:r>
                          <w:rPr>
                            <w:sz w:val="21"/>
                          </w:rPr>
                          <w:t>（七）主动脉介入手术</w:t>
                        </w:r>
                      </w:p>
                      <w:p>
                        <w:pPr>
                          <w:pStyle w:val="TableParagraph"/>
                          <w:spacing w:line="273" w:lineRule="auto" w:before="37"/>
                          <w:ind w:left="108" w:right="93"/>
                          <w:rPr>
                            <w:sz w:val="21"/>
                          </w:rPr>
                        </w:pPr>
                        <w:r>
                          <w:rPr>
                            <w:sz w:val="21"/>
                          </w:rPr>
                          <w:t>（</w:t>
                        </w:r>
                        <w:r>
                          <w:rPr>
                            <w:spacing w:val="-2"/>
                            <w:sz w:val="21"/>
                          </w:rPr>
                          <w:t>十七</w:t>
                        </w:r>
                        <w:r>
                          <w:rPr>
                            <w:spacing w:val="-82"/>
                            <w:sz w:val="21"/>
                          </w:rPr>
                          <w:t>）</w:t>
                        </w:r>
                        <w:r>
                          <w:rPr>
                            <w:spacing w:val="-3"/>
                            <w:sz w:val="21"/>
                          </w:rPr>
                          <w:t>于颈动脉进行血管成形术或内膜切除术</w:t>
                        </w:r>
                      </w:p>
                      <w:p>
                        <w:pPr>
                          <w:pStyle w:val="TableParagraph"/>
                          <w:spacing w:line="273" w:lineRule="auto" w:before="7"/>
                          <w:ind w:left="108" w:right="93"/>
                          <w:rPr>
                            <w:sz w:val="21"/>
                          </w:rPr>
                        </w:pPr>
                        <w:r>
                          <w:rPr>
                            <w:sz w:val="21"/>
                          </w:rPr>
                          <w:t>（</w:t>
                        </w:r>
                        <w:r>
                          <w:rPr>
                            <w:spacing w:val="-2"/>
                            <w:sz w:val="21"/>
                          </w:rPr>
                          <w:t>二十七</w:t>
                        </w:r>
                        <w:r>
                          <w:rPr>
                            <w:spacing w:val="-85"/>
                            <w:sz w:val="21"/>
                          </w:rPr>
                          <w:t>）</w:t>
                        </w:r>
                        <w:r>
                          <w:rPr>
                            <w:spacing w:val="-3"/>
                            <w:sz w:val="21"/>
                          </w:rPr>
                          <w:t>微创冠状动脉搭桥手术</w:t>
                        </w:r>
                      </w:p>
                      <w:p>
                        <w:pPr>
                          <w:pStyle w:val="TableParagraph"/>
                          <w:spacing w:before="7"/>
                          <w:ind w:left="108"/>
                          <w:rPr>
                            <w:sz w:val="21"/>
                          </w:rPr>
                        </w:pPr>
                        <w:r>
                          <w:rPr>
                            <w:sz w:val="21"/>
                          </w:rPr>
                          <w:t>（三十七）肺功能衰竭</w:t>
                        </w:r>
                      </w:p>
                      <w:p>
                        <w:pPr>
                          <w:pStyle w:val="TableParagraph"/>
                          <w:spacing w:before="37"/>
                          <w:ind w:left="108"/>
                          <w:rPr>
                            <w:sz w:val="21"/>
                          </w:rPr>
                        </w:pPr>
                        <w:r>
                          <w:rPr>
                            <w:sz w:val="21"/>
                          </w:rPr>
                          <w:t>（三十八）心包膜切除术</w:t>
                        </w:r>
                      </w:p>
                    </w:tc>
                    <w:tc>
                      <w:tcPr>
                        <w:tcW w:w="3483" w:type="dxa"/>
                      </w:tcPr>
                      <w:p>
                        <w:pPr>
                          <w:pStyle w:val="TableParagraph"/>
                          <w:spacing w:line="262" w:lineRule="exact"/>
                          <w:ind w:left="108"/>
                          <w:rPr>
                            <w:sz w:val="21"/>
                          </w:rPr>
                        </w:pPr>
                        <w:r>
                          <w:rPr>
                            <w:sz w:val="21"/>
                          </w:rPr>
                          <w:t>（三十九）腔静脉过滤器植入术</w:t>
                        </w:r>
                      </w:p>
                      <w:p>
                        <w:pPr>
                          <w:pStyle w:val="TableParagraph"/>
                          <w:spacing w:before="37"/>
                          <w:ind w:left="108"/>
                          <w:rPr>
                            <w:sz w:val="21"/>
                          </w:rPr>
                        </w:pPr>
                        <w:r>
                          <w:rPr>
                            <w:sz w:val="21"/>
                          </w:rPr>
                          <w:t>（</w:t>
                        </w:r>
                        <w:r>
                          <w:rPr>
                            <w:spacing w:val="-2"/>
                            <w:sz w:val="21"/>
                          </w:rPr>
                          <w:t>四十</w:t>
                        </w:r>
                        <w:r>
                          <w:rPr>
                            <w:spacing w:val="-97"/>
                            <w:sz w:val="21"/>
                          </w:rPr>
                          <w:t>）</w:t>
                        </w:r>
                        <w:r>
                          <w:rPr>
                            <w:spacing w:val="-3"/>
                            <w:sz w:val="21"/>
                          </w:rPr>
                          <w:t>风湿热导致的心脏瓣膜疾病</w:t>
                        </w:r>
                      </w:p>
                      <w:p>
                        <w:pPr>
                          <w:pStyle w:val="TableParagraph"/>
                          <w:spacing w:before="37"/>
                          <w:ind w:left="108"/>
                          <w:rPr>
                            <w:sz w:val="21"/>
                          </w:rPr>
                        </w:pPr>
                        <w:r>
                          <w:rPr>
                            <w:sz w:val="21"/>
                          </w:rPr>
                          <w:t>（四十一）植入心脏起搏器</w:t>
                        </w:r>
                      </w:p>
                      <w:p>
                        <w:pPr>
                          <w:pStyle w:val="TableParagraph"/>
                          <w:spacing w:before="37"/>
                          <w:ind w:left="108"/>
                          <w:rPr>
                            <w:sz w:val="21"/>
                          </w:rPr>
                        </w:pPr>
                        <w:r>
                          <w:rPr>
                            <w:sz w:val="21"/>
                          </w:rPr>
                          <w:t>（四十二）激光心肌血运重建术</w:t>
                        </w:r>
                      </w:p>
                      <w:p>
                        <w:pPr>
                          <w:pStyle w:val="TableParagraph"/>
                          <w:spacing w:before="37"/>
                          <w:ind w:left="108"/>
                          <w:rPr>
                            <w:sz w:val="21"/>
                          </w:rPr>
                        </w:pPr>
                        <w:r>
                          <w:rPr>
                            <w:sz w:val="21"/>
                          </w:rPr>
                          <w:t>（四十五）早期系统性硬皮病</w:t>
                        </w:r>
                      </w:p>
                      <w:p>
                        <w:pPr>
                          <w:pStyle w:val="TableParagraph"/>
                          <w:spacing w:before="37"/>
                          <w:ind w:left="108"/>
                          <w:rPr>
                            <w:sz w:val="21"/>
                          </w:rPr>
                        </w:pPr>
                        <w:r>
                          <w:rPr>
                            <w:sz w:val="21"/>
                          </w:rPr>
                          <w:t>（四十七）早期象皮病</w:t>
                        </w:r>
                      </w:p>
                      <w:p>
                        <w:pPr>
                          <w:pStyle w:val="TableParagraph"/>
                          <w:spacing w:before="37"/>
                          <w:ind w:left="108"/>
                          <w:rPr>
                            <w:sz w:val="21"/>
                          </w:rPr>
                        </w:pPr>
                        <w:r>
                          <w:rPr>
                            <w:sz w:val="21"/>
                          </w:rPr>
                          <w:t>（四十八）严重大动脉炎</w:t>
                        </w:r>
                      </w:p>
                      <w:p>
                        <w:pPr>
                          <w:pStyle w:val="TableParagraph"/>
                          <w:spacing w:line="273" w:lineRule="auto" w:before="37"/>
                          <w:ind w:left="108" w:right="96"/>
                          <w:rPr>
                            <w:sz w:val="21"/>
                          </w:rPr>
                        </w:pPr>
                        <w:r>
                          <w:rPr>
                            <w:sz w:val="21"/>
                          </w:rPr>
                          <w:t>（</w:t>
                        </w:r>
                        <w:r>
                          <w:rPr>
                            <w:spacing w:val="-2"/>
                            <w:sz w:val="21"/>
                          </w:rPr>
                          <w:t>四十九</w:t>
                        </w:r>
                        <w:r>
                          <w:rPr>
                            <w:spacing w:val="-99"/>
                            <w:sz w:val="21"/>
                          </w:rPr>
                          <w:t>）</w:t>
                        </w:r>
                        <w:r>
                          <w:rPr>
                            <w:spacing w:val="-3"/>
                            <w:sz w:val="21"/>
                          </w:rPr>
                          <w:t>头臂动脉型大动脉炎非开胸旁路移植手术</w:t>
                        </w:r>
                      </w:p>
                    </w:tc>
                  </w:tr>
                  <w:tr>
                    <w:trPr>
                      <w:trHeight w:val="311" w:hRule="atLeast"/>
                    </w:trPr>
                    <w:tc>
                      <w:tcPr>
                        <w:tcW w:w="6558" w:type="dxa"/>
                        <w:gridSpan w:val="2"/>
                      </w:tcPr>
                      <w:p>
                        <w:pPr>
                          <w:pStyle w:val="TableParagraph"/>
                          <w:spacing w:line="262" w:lineRule="exact"/>
                          <w:ind w:left="108"/>
                          <w:rPr>
                            <w:sz w:val="21"/>
                          </w:rPr>
                        </w:pPr>
                        <w:r>
                          <w:rPr>
                            <w:sz w:val="21"/>
                          </w:rPr>
                          <w:t>第三组：</w:t>
                        </w:r>
                      </w:p>
                    </w:tc>
                  </w:tr>
                  <w:tr>
                    <w:trPr>
                      <w:trHeight w:val="3422" w:hRule="atLeast"/>
                    </w:trPr>
                    <w:tc>
                      <w:tcPr>
                        <w:tcW w:w="3075" w:type="dxa"/>
                      </w:tcPr>
                      <w:p>
                        <w:pPr>
                          <w:pStyle w:val="TableParagraph"/>
                          <w:spacing w:line="262" w:lineRule="exact"/>
                          <w:ind w:left="108"/>
                          <w:rPr>
                            <w:sz w:val="21"/>
                          </w:rPr>
                        </w:pPr>
                        <w:r>
                          <w:rPr>
                            <w:sz w:val="21"/>
                          </w:rPr>
                          <w:t>（四）特定脑中风后遗症</w:t>
                        </w:r>
                      </w:p>
                      <w:p>
                        <w:pPr>
                          <w:pStyle w:val="TableParagraph"/>
                          <w:spacing w:before="37"/>
                          <w:ind w:left="108"/>
                          <w:rPr>
                            <w:sz w:val="21"/>
                          </w:rPr>
                        </w:pPr>
                        <w:r>
                          <w:rPr>
                            <w:sz w:val="21"/>
                          </w:rPr>
                          <w:t>（六）特定面积Ⅲ度烧伤</w:t>
                        </w:r>
                      </w:p>
                      <w:p>
                        <w:pPr>
                          <w:pStyle w:val="TableParagraph"/>
                          <w:spacing w:line="273" w:lineRule="auto" w:before="37"/>
                          <w:ind w:left="108" w:right="9"/>
                          <w:rPr>
                            <w:sz w:val="21"/>
                          </w:rPr>
                        </w:pPr>
                        <w:r>
                          <w:rPr>
                            <w:sz w:val="21"/>
                          </w:rPr>
                          <w:t>（八）严重脑垂体瘤、脑囊肿、脑动脉瘤及脑血管瘤</w:t>
                        </w:r>
                      </w:p>
                      <w:p>
                        <w:pPr>
                          <w:pStyle w:val="TableParagraph"/>
                          <w:spacing w:before="7"/>
                          <w:ind w:left="108"/>
                          <w:rPr>
                            <w:sz w:val="21"/>
                          </w:rPr>
                        </w:pPr>
                        <w:r>
                          <w:rPr>
                            <w:sz w:val="21"/>
                          </w:rPr>
                          <w:t>（九）3 周岁后视力受损</w:t>
                        </w:r>
                      </w:p>
                      <w:p>
                        <w:pPr>
                          <w:pStyle w:val="TableParagraph"/>
                          <w:spacing w:before="36"/>
                          <w:ind w:left="108"/>
                          <w:rPr>
                            <w:sz w:val="21"/>
                          </w:rPr>
                        </w:pPr>
                        <w:r>
                          <w:rPr>
                            <w:sz w:val="21"/>
                          </w:rPr>
                          <w:t>（十）严重头部外伤</w:t>
                        </w:r>
                      </w:p>
                      <w:p>
                        <w:pPr>
                          <w:pStyle w:val="TableParagraph"/>
                          <w:spacing w:before="36"/>
                          <w:ind w:left="108"/>
                          <w:rPr>
                            <w:sz w:val="21"/>
                          </w:rPr>
                        </w:pPr>
                        <w:r>
                          <w:rPr>
                            <w:sz w:val="21"/>
                          </w:rPr>
                          <w:t>（十五）单眼失明</w:t>
                        </w:r>
                      </w:p>
                      <w:p>
                        <w:pPr>
                          <w:pStyle w:val="TableParagraph"/>
                          <w:spacing w:before="36"/>
                          <w:ind w:left="108"/>
                          <w:rPr>
                            <w:sz w:val="21"/>
                          </w:rPr>
                        </w:pPr>
                        <w:r>
                          <w:rPr>
                            <w:sz w:val="21"/>
                          </w:rPr>
                          <w:t>（十六）中度阿尔兹海默病</w:t>
                        </w:r>
                      </w:p>
                      <w:p>
                        <w:pPr>
                          <w:pStyle w:val="TableParagraph"/>
                          <w:spacing w:before="37"/>
                          <w:ind w:left="108"/>
                          <w:rPr>
                            <w:sz w:val="21"/>
                          </w:rPr>
                        </w:pPr>
                        <w:r>
                          <w:rPr>
                            <w:sz w:val="21"/>
                          </w:rPr>
                          <w:t>（十八）角膜移植</w:t>
                        </w:r>
                      </w:p>
                      <w:p>
                        <w:pPr>
                          <w:pStyle w:val="TableParagraph"/>
                          <w:spacing w:before="37"/>
                          <w:ind w:left="108"/>
                          <w:rPr>
                            <w:sz w:val="21"/>
                          </w:rPr>
                        </w:pPr>
                        <w:r>
                          <w:rPr>
                            <w:sz w:val="21"/>
                          </w:rPr>
                          <w:t>（</w:t>
                        </w:r>
                        <w:r>
                          <w:rPr>
                            <w:spacing w:val="-2"/>
                            <w:sz w:val="21"/>
                          </w:rPr>
                          <w:t>二十四</w:t>
                        </w:r>
                        <w:r>
                          <w:rPr>
                            <w:spacing w:val="-85"/>
                            <w:sz w:val="21"/>
                          </w:rPr>
                          <w:t>）</w:t>
                        </w:r>
                        <w:r>
                          <w:rPr>
                            <w:spacing w:val="-3"/>
                            <w:sz w:val="21"/>
                          </w:rPr>
                          <w:t>早期运动神经性疾病</w:t>
                        </w:r>
                      </w:p>
                      <w:p>
                        <w:pPr>
                          <w:pStyle w:val="TableParagraph"/>
                          <w:spacing w:before="37"/>
                          <w:ind w:left="108"/>
                          <w:rPr>
                            <w:sz w:val="21"/>
                          </w:rPr>
                        </w:pPr>
                        <w:r>
                          <w:rPr>
                            <w:sz w:val="21"/>
                          </w:rPr>
                          <w:t>（二十五）人工耳蜗植入术</w:t>
                        </w:r>
                      </w:p>
                    </w:tc>
                    <w:tc>
                      <w:tcPr>
                        <w:tcW w:w="3483" w:type="dxa"/>
                      </w:tcPr>
                      <w:p>
                        <w:pPr>
                          <w:pStyle w:val="TableParagraph"/>
                          <w:spacing w:line="262" w:lineRule="exact"/>
                          <w:ind w:left="108"/>
                          <w:rPr>
                            <w:sz w:val="21"/>
                          </w:rPr>
                        </w:pPr>
                        <w:r>
                          <w:rPr>
                            <w:sz w:val="21"/>
                          </w:rPr>
                          <w:t>（三十）中度瘫痪</w:t>
                        </w:r>
                      </w:p>
                      <w:p>
                        <w:pPr>
                          <w:pStyle w:val="TableParagraph"/>
                          <w:spacing w:before="37"/>
                          <w:ind w:left="108"/>
                          <w:rPr>
                            <w:sz w:val="21"/>
                          </w:rPr>
                        </w:pPr>
                        <w:r>
                          <w:rPr>
                            <w:sz w:val="21"/>
                          </w:rPr>
                          <w:t>（</w:t>
                        </w:r>
                        <w:r>
                          <w:rPr>
                            <w:spacing w:val="-2"/>
                            <w:sz w:val="21"/>
                          </w:rPr>
                          <w:t>三十一</w:t>
                        </w:r>
                        <w:r>
                          <w:rPr>
                            <w:spacing w:val="-99"/>
                            <w:sz w:val="21"/>
                          </w:rPr>
                          <w:t>）</w:t>
                        </w:r>
                        <w:r>
                          <w:rPr>
                            <w:spacing w:val="-3"/>
                            <w:sz w:val="21"/>
                          </w:rPr>
                          <w:t>中度脑炎或脑膜炎后遗症</w:t>
                        </w:r>
                      </w:p>
                      <w:p>
                        <w:pPr>
                          <w:pStyle w:val="TableParagraph"/>
                          <w:spacing w:before="37"/>
                          <w:ind w:left="108"/>
                          <w:rPr>
                            <w:sz w:val="21"/>
                          </w:rPr>
                        </w:pPr>
                        <w:r>
                          <w:rPr>
                            <w:sz w:val="21"/>
                          </w:rPr>
                          <w:t>（三十二）微创颅脑手术</w:t>
                        </w:r>
                      </w:p>
                      <w:p>
                        <w:pPr>
                          <w:pStyle w:val="TableParagraph"/>
                          <w:spacing w:before="37"/>
                          <w:ind w:left="108"/>
                          <w:rPr>
                            <w:sz w:val="21"/>
                          </w:rPr>
                        </w:pPr>
                        <w:r>
                          <w:rPr>
                            <w:sz w:val="21"/>
                          </w:rPr>
                          <w:t>（三十三）面部重整手术</w:t>
                        </w:r>
                      </w:p>
                      <w:p>
                        <w:pPr>
                          <w:pStyle w:val="TableParagraph"/>
                          <w:spacing w:before="37"/>
                          <w:ind w:left="108"/>
                          <w:rPr>
                            <w:sz w:val="21"/>
                          </w:rPr>
                        </w:pPr>
                        <w:r>
                          <w:rPr>
                            <w:sz w:val="21"/>
                          </w:rPr>
                          <w:t>（三十五）单耳失聪</w:t>
                        </w:r>
                      </w:p>
                      <w:p>
                        <w:pPr>
                          <w:pStyle w:val="TableParagraph"/>
                          <w:spacing w:before="37"/>
                          <w:ind w:left="108"/>
                          <w:rPr>
                            <w:sz w:val="21"/>
                          </w:rPr>
                        </w:pPr>
                        <w:r>
                          <w:rPr>
                            <w:sz w:val="21"/>
                          </w:rPr>
                          <w:t>（三十六）轻度面部烧伤</w:t>
                        </w:r>
                      </w:p>
                      <w:p>
                        <w:pPr>
                          <w:pStyle w:val="TableParagraph"/>
                          <w:spacing w:before="37"/>
                          <w:ind w:left="108"/>
                          <w:rPr>
                            <w:sz w:val="21"/>
                          </w:rPr>
                        </w:pPr>
                        <w:r>
                          <w:rPr>
                            <w:sz w:val="21"/>
                          </w:rPr>
                          <w:t>（四十三）植入大脑内分流器</w:t>
                        </w:r>
                      </w:p>
                      <w:p>
                        <w:pPr>
                          <w:pStyle w:val="TableParagraph"/>
                          <w:spacing w:before="37"/>
                          <w:ind w:left="108"/>
                          <w:rPr>
                            <w:sz w:val="21"/>
                          </w:rPr>
                        </w:pPr>
                        <w:r>
                          <w:rPr>
                            <w:sz w:val="21"/>
                          </w:rPr>
                          <w:t>（四十四）中度结核性脊髓炎</w:t>
                        </w:r>
                      </w:p>
                      <w:p>
                        <w:pPr>
                          <w:pStyle w:val="TableParagraph"/>
                          <w:spacing w:line="273" w:lineRule="auto" w:before="37"/>
                          <w:ind w:left="108" w:right="208"/>
                          <w:rPr>
                            <w:sz w:val="21"/>
                          </w:rPr>
                        </w:pPr>
                        <w:r>
                          <w:rPr>
                            <w:sz w:val="21"/>
                          </w:rPr>
                          <w:t>（四十六）糖尿病视网膜晚期增生性病变</w:t>
                        </w:r>
                      </w:p>
                      <w:p>
                        <w:pPr>
                          <w:pStyle w:val="TableParagraph"/>
                          <w:spacing w:before="7"/>
                          <w:ind w:left="108"/>
                          <w:rPr>
                            <w:sz w:val="21"/>
                          </w:rPr>
                        </w:pPr>
                        <w:r>
                          <w:rPr>
                            <w:sz w:val="21"/>
                          </w:rPr>
                          <w:t>（五十）糖尿病导致脚趾切除</w:t>
                        </w:r>
                      </w:p>
                    </w:tc>
                  </w:tr>
                </w:tbl>
                <w:p>
                  <w:pPr>
                    <w:pStyle w:val="BodyText"/>
                    <w:spacing w:before="0"/>
                    <w:ind w:left="0"/>
                  </w:pPr>
                </w:p>
              </w:txbxContent>
            </v:textbox>
            <w10:wrap type="none"/>
          </v:shape>
        </w:pict>
      </w:r>
      <w:r>
        <w:rPr>
          <w:rFonts w:ascii="Microsoft JhengHei" w:eastAsia="Microsoft JhengHei" w:hint="eastAsia"/>
          <w:b/>
          <w:sz w:val="24"/>
        </w:rPr>
        <w:t>特定疾病保险金</w:t>
      </w:r>
    </w:p>
    <w:p>
      <w:pPr>
        <w:pStyle w:val="BodyText"/>
        <w:spacing w:before="40"/>
        <w:ind w:left="291"/>
      </w:pPr>
      <w:r>
        <w:rPr/>
        <w:br w:type="column"/>
      </w:r>
      <w:r>
        <w:rPr>
          <w:spacing w:val="-3"/>
          <w:w w:val="100"/>
        </w:rPr>
        <w:t>我们提供的特定疾病共有</w:t>
      </w:r>
      <w:r>
        <w:rPr>
          <w:spacing w:val="-55"/>
        </w:rPr>
        <w:t> </w:t>
      </w:r>
      <w:r>
        <w:rPr>
          <w:w w:val="100"/>
        </w:rPr>
        <w:t>50</w:t>
      </w:r>
      <w:r>
        <w:rPr>
          <w:spacing w:val="-52"/>
        </w:rPr>
        <w:t> </w:t>
      </w:r>
      <w:r>
        <w:rPr>
          <w:spacing w:val="-3"/>
          <w:w w:val="100"/>
        </w:rPr>
        <w:t>种，分为以下</w:t>
      </w:r>
      <w:r>
        <w:rPr>
          <w:spacing w:val="-53"/>
        </w:rPr>
        <w:t> </w:t>
      </w:r>
      <w:r>
        <w:rPr>
          <w:w w:val="100"/>
        </w:rPr>
        <w:t>3</w:t>
      </w:r>
      <w:r>
        <w:rPr>
          <w:spacing w:val="-55"/>
        </w:rPr>
        <w:t> </w:t>
      </w:r>
      <w:r>
        <w:rPr>
          <w:spacing w:val="-3"/>
          <w:w w:val="100"/>
        </w:rPr>
        <w:t>组，具体释义见“</w:t>
      </w:r>
      <w:r>
        <w:rPr>
          <w:w w:val="100"/>
        </w:rPr>
        <w:t>9.8</w:t>
      </w:r>
      <w:r>
        <w:rPr>
          <w:spacing w:val="-108"/>
          <w:w w:val="100"/>
        </w:rPr>
        <w:t>”。</w:t>
      </w:r>
    </w:p>
    <w:p>
      <w:pPr>
        <w:spacing w:after="0"/>
        <w:sectPr>
          <w:type w:val="continuous"/>
          <w:pgSz w:w="11910" w:h="16840"/>
          <w:pgMar w:top="540" w:bottom="280" w:left="1680" w:right="840"/>
          <w:cols w:num="2" w:equalWidth="0">
            <w:col w:w="1743" w:space="40"/>
            <w:col w:w="7607"/>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942"/>
        <w:gridCol w:w="7442"/>
      </w:tblGrid>
      <w:tr>
        <w:trPr>
          <w:trHeight w:val="3736" w:hRule="atLeast"/>
        </w:trPr>
        <w:tc>
          <w:tcPr>
            <w:tcW w:w="685" w:type="dxa"/>
          </w:tcPr>
          <w:p>
            <w:pPr>
              <w:pStyle w:val="TableParagraph"/>
              <w:rPr>
                <w:rFonts w:ascii="Times New Roman"/>
                <w:sz w:val="20"/>
              </w:rPr>
            </w:pPr>
          </w:p>
        </w:tc>
        <w:tc>
          <w:tcPr>
            <w:tcW w:w="1942" w:type="dxa"/>
          </w:tcPr>
          <w:p>
            <w:pPr>
              <w:pStyle w:val="TableParagraph"/>
              <w:rPr>
                <w:rFonts w:ascii="Times New Roman"/>
                <w:sz w:val="20"/>
              </w:rPr>
            </w:pPr>
          </w:p>
        </w:tc>
        <w:tc>
          <w:tcPr>
            <w:tcW w:w="7442" w:type="dxa"/>
            <w:tcBorders>
              <w:top w:val="single" w:sz="4" w:space="0" w:color="000000"/>
            </w:tcBorders>
          </w:tcPr>
          <w:p>
            <w:pPr>
              <w:pStyle w:val="TableParagraph"/>
              <w:spacing w:line="259" w:lineRule="exact"/>
              <w:ind w:left="112"/>
              <w:rPr>
                <w:sz w:val="21"/>
              </w:rPr>
            </w:pPr>
            <w:r>
              <w:rPr>
                <w:sz w:val="21"/>
              </w:rPr>
              <w:t>（二十六）中度帕金森氏病</w:t>
            </w:r>
          </w:p>
          <w:p>
            <w:pPr>
              <w:pStyle w:val="TableParagraph"/>
              <w:spacing w:line="273" w:lineRule="auto" w:before="47"/>
              <w:ind w:left="-1" w:right="268"/>
              <w:rPr>
                <w:sz w:val="21"/>
              </w:rPr>
            </w:pPr>
            <w:r>
              <w:rPr>
                <w:sz w:val="21"/>
              </w:rPr>
              <w:t>被保险人初次发生并被医院的专科医生确诊为本合同约定的特定疾病，我们将按本合同基本保险金额的 20%给付特定疾病保险金。</w:t>
            </w:r>
          </w:p>
          <w:p>
            <w:pPr>
              <w:pStyle w:val="TableParagraph"/>
              <w:spacing w:before="5"/>
              <w:rPr>
                <w:sz w:val="24"/>
              </w:rPr>
            </w:pPr>
          </w:p>
          <w:p>
            <w:pPr>
              <w:pStyle w:val="TableParagraph"/>
              <w:spacing w:line="273" w:lineRule="auto"/>
              <w:ind w:left="-1" w:right="303"/>
              <w:rPr>
                <w:sz w:val="21"/>
              </w:rPr>
            </w:pPr>
            <w:r>
              <w:rPr>
                <w:sz w:val="21"/>
              </w:rPr>
              <w:t>在本合同有效期内，我们对每组特定疾病仅赔付一次。若我们累计给付特定疾病组数达到三组，则本合同的该项保险金给付责任终止。</w:t>
            </w:r>
          </w:p>
          <w:p>
            <w:pPr>
              <w:pStyle w:val="TableParagraph"/>
              <w:spacing w:before="5"/>
              <w:rPr>
                <w:sz w:val="24"/>
              </w:rPr>
            </w:pPr>
          </w:p>
          <w:p>
            <w:pPr>
              <w:pStyle w:val="TableParagraph"/>
              <w:spacing w:line="273" w:lineRule="auto"/>
              <w:ind w:left="-1" w:right="266"/>
              <w:rPr>
                <w:sz w:val="21"/>
              </w:rPr>
            </w:pPr>
            <w:r>
              <w:rPr>
                <w:sz w:val="21"/>
              </w:rPr>
              <w:t>被保险人由于同一原因，初次发生并被医院的专科医生确诊为一项或多项本合同所指的特定疾病，本公司仅按照其中一项特定疾病给付特定疾病保险金。</w:t>
            </w:r>
          </w:p>
          <w:p>
            <w:pPr>
              <w:pStyle w:val="TableParagraph"/>
              <w:spacing w:before="9"/>
              <w:rPr>
                <w:sz w:val="21"/>
              </w:rPr>
            </w:pPr>
          </w:p>
          <w:p>
            <w:pPr>
              <w:pStyle w:val="TableParagraph"/>
              <w:spacing w:line="310" w:lineRule="atLeast"/>
              <w:ind w:left="-1" w:right="294"/>
              <w:rPr>
                <w:sz w:val="21"/>
              </w:rPr>
            </w:pPr>
            <w:r>
              <w:rPr>
                <w:sz w:val="21"/>
              </w:rPr>
              <w:t>若申请特定疾病保险金时被保险人所患疾病已满足重大疾病保险金给付条件， 本公司将给付重大疾病保险金，不再给付特定疾病保险金，本合同终止。</w:t>
            </w:r>
          </w:p>
        </w:tc>
      </w:tr>
      <w:tr>
        <w:trPr>
          <w:trHeight w:val="1122" w:hRule="atLeast"/>
        </w:trPr>
        <w:tc>
          <w:tcPr>
            <w:tcW w:w="685" w:type="dxa"/>
          </w:tcPr>
          <w:p>
            <w:pPr>
              <w:pStyle w:val="TableParagraph"/>
              <w:rPr>
                <w:rFonts w:ascii="Times New Roman"/>
                <w:sz w:val="20"/>
              </w:rPr>
            </w:pPr>
          </w:p>
        </w:tc>
        <w:tc>
          <w:tcPr>
            <w:tcW w:w="1942" w:type="dxa"/>
          </w:tcPr>
          <w:p>
            <w:pPr>
              <w:pStyle w:val="TableParagraph"/>
              <w:spacing w:before="12"/>
              <w:rPr>
                <w:sz w:val="24"/>
              </w:rPr>
            </w:pPr>
          </w:p>
          <w:p>
            <w:pPr>
              <w:pStyle w:val="TableParagraph"/>
              <w:spacing w:line="172" w:lineRule="auto"/>
              <w:ind w:left="167" w:right="330"/>
              <w:rPr>
                <w:rFonts w:ascii="Microsoft JhengHei" w:eastAsia="Microsoft JhengHei" w:hint="eastAsia"/>
                <w:b/>
                <w:sz w:val="24"/>
              </w:rPr>
            </w:pPr>
            <w:r>
              <w:rPr>
                <w:rFonts w:ascii="Microsoft JhengHei" w:eastAsia="Microsoft JhengHei" w:hint="eastAsia"/>
                <w:b/>
                <w:sz w:val="24"/>
              </w:rPr>
              <w:t>重大疾病保险金</w:t>
            </w:r>
          </w:p>
        </w:tc>
        <w:tc>
          <w:tcPr>
            <w:tcW w:w="7442" w:type="dxa"/>
          </w:tcPr>
          <w:p>
            <w:pPr>
              <w:pStyle w:val="TableParagraph"/>
              <w:spacing w:before="12"/>
              <w:rPr>
                <w:sz w:val="23"/>
              </w:rPr>
            </w:pPr>
          </w:p>
          <w:p>
            <w:pPr>
              <w:pStyle w:val="TableParagraph"/>
              <w:spacing w:line="273" w:lineRule="auto"/>
              <w:ind w:left="-1" w:right="266"/>
              <w:rPr>
                <w:sz w:val="21"/>
              </w:rPr>
            </w:pPr>
            <w:r>
              <w:rPr>
                <w:sz w:val="21"/>
              </w:rPr>
              <w:t>被保险人初次发生并被医院的专科医生确诊为本合同约定的重大疾病，我们按本合同基本保险金额给付重大疾病保险金，本合同终止。</w:t>
            </w:r>
          </w:p>
        </w:tc>
      </w:tr>
      <w:tr>
        <w:trPr>
          <w:trHeight w:val="1548" w:hRule="atLeast"/>
        </w:trPr>
        <w:tc>
          <w:tcPr>
            <w:tcW w:w="685" w:type="dxa"/>
          </w:tcPr>
          <w:p>
            <w:pPr>
              <w:pStyle w:val="TableParagraph"/>
              <w:rPr>
                <w:rFonts w:ascii="Times New Roman"/>
                <w:sz w:val="20"/>
              </w:rPr>
            </w:pPr>
          </w:p>
        </w:tc>
        <w:tc>
          <w:tcPr>
            <w:tcW w:w="1942" w:type="dxa"/>
          </w:tcPr>
          <w:p>
            <w:pPr>
              <w:pStyle w:val="TableParagraph"/>
              <w:spacing w:line="172" w:lineRule="auto" w:before="140"/>
              <w:ind w:left="167" w:right="329"/>
              <w:rPr>
                <w:rFonts w:ascii="Microsoft JhengHei" w:eastAsia="Microsoft JhengHei" w:hint="eastAsia"/>
                <w:b/>
                <w:sz w:val="24"/>
              </w:rPr>
            </w:pPr>
            <w:r>
              <w:rPr>
                <w:rFonts w:ascii="Microsoft JhengHei" w:eastAsia="Microsoft JhengHei" w:hint="eastAsia"/>
                <w:b/>
                <w:sz w:val="24"/>
              </w:rPr>
              <w:t>身故或全残保险金</w:t>
            </w:r>
          </w:p>
        </w:tc>
        <w:tc>
          <w:tcPr>
            <w:tcW w:w="7442" w:type="dxa"/>
          </w:tcPr>
          <w:p>
            <w:pPr>
              <w:pStyle w:val="TableParagraph"/>
              <w:spacing w:line="273" w:lineRule="auto" w:before="127"/>
              <w:ind w:left="-1" w:right="266"/>
              <w:rPr>
                <w:sz w:val="21"/>
              </w:rPr>
            </w:pPr>
            <w:r>
              <w:rPr>
                <w:sz w:val="21"/>
              </w:rPr>
              <w:t>被保险人于年满十八周岁的保单周年日前身故或全残，我们按本合同所交保险费给付身故或全残保险金，本合同终止。</w:t>
            </w:r>
          </w:p>
          <w:p>
            <w:pPr>
              <w:pStyle w:val="TableParagraph"/>
              <w:spacing w:line="273" w:lineRule="auto" w:before="7"/>
              <w:ind w:left="-1" w:right="266"/>
              <w:rPr>
                <w:sz w:val="21"/>
              </w:rPr>
            </w:pPr>
            <w:r>
              <w:rPr>
                <w:sz w:val="21"/>
              </w:rPr>
              <w:t>被保险人于年满十八周岁的保单周年日后身故或全残，我们按本合同基本保险金额给付身故或全残保险金，本合同终止。</w:t>
            </w:r>
          </w:p>
        </w:tc>
      </w:tr>
      <w:tr>
        <w:trPr>
          <w:trHeight w:val="938" w:hRule="atLeast"/>
        </w:trPr>
        <w:tc>
          <w:tcPr>
            <w:tcW w:w="685" w:type="dxa"/>
          </w:tcPr>
          <w:p>
            <w:pPr>
              <w:pStyle w:val="TableParagraph"/>
              <w:rPr>
                <w:rFonts w:ascii="Times New Roman"/>
                <w:sz w:val="20"/>
              </w:rPr>
            </w:pPr>
          </w:p>
        </w:tc>
        <w:tc>
          <w:tcPr>
            <w:tcW w:w="1942" w:type="dxa"/>
          </w:tcPr>
          <w:p>
            <w:pPr>
              <w:pStyle w:val="TableParagraph"/>
              <w:spacing w:before="34"/>
              <w:ind w:left="167"/>
              <w:rPr>
                <w:rFonts w:ascii="Microsoft JhengHei" w:eastAsia="Microsoft JhengHei" w:hint="eastAsia"/>
                <w:b/>
                <w:sz w:val="24"/>
              </w:rPr>
            </w:pPr>
            <w:r>
              <w:rPr>
                <w:rFonts w:ascii="Microsoft JhengHei" w:eastAsia="Microsoft JhengHei" w:hint="eastAsia"/>
                <w:b/>
                <w:sz w:val="24"/>
              </w:rPr>
              <w:t>豁免保险费</w:t>
            </w:r>
          </w:p>
        </w:tc>
        <w:tc>
          <w:tcPr>
            <w:tcW w:w="7442" w:type="dxa"/>
          </w:tcPr>
          <w:p>
            <w:pPr>
              <w:pStyle w:val="TableParagraph"/>
              <w:spacing w:line="273" w:lineRule="auto" w:before="138"/>
              <w:ind w:left="-1" w:right="265"/>
              <w:rPr>
                <w:sz w:val="21"/>
              </w:rPr>
            </w:pPr>
            <w:r>
              <w:rPr>
                <w:sz w:val="21"/>
              </w:rPr>
              <w:t>被保险人初次发生并被医院的专科医生确诊为本合同约定的特定疾病的，我们豁免</w:t>
            </w:r>
            <w:r>
              <w:rPr>
                <w:b/>
                <w:sz w:val="21"/>
              </w:rPr>
              <w:t>确诊日或认定日</w:t>
            </w:r>
            <w:r>
              <w:rPr>
                <w:sz w:val="21"/>
              </w:rPr>
              <w:t>（见9.11）以后您应交的各期保险费。</w:t>
            </w:r>
          </w:p>
        </w:tc>
      </w:tr>
      <w:tr>
        <w:trPr>
          <w:trHeight w:val="6688" w:hRule="atLeast"/>
        </w:trPr>
        <w:tc>
          <w:tcPr>
            <w:tcW w:w="685" w:type="dxa"/>
          </w:tcPr>
          <w:p>
            <w:pPr>
              <w:pStyle w:val="TableParagraph"/>
              <w:spacing w:before="137"/>
              <w:ind w:left="200"/>
              <w:rPr>
                <w:b/>
                <w:sz w:val="21"/>
              </w:rPr>
            </w:pPr>
            <w:r>
              <w:rPr>
                <w:b/>
                <w:sz w:val="21"/>
              </w:rPr>
              <w:t>2.4</w:t>
            </w:r>
          </w:p>
        </w:tc>
        <w:tc>
          <w:tcPr>
            <w:tcW w:w="1942" w:type="dxa"/>
          </w:tcPr>
          <w:p>
            <w:pPr>
              <w:pStyle w:val="TableParagraph"/>
              <w:spacing w:before="137"/>
              <w:ind w:left="167"/>
              <w:rPr>
                <w:b/>
                <w:sz w:val="21"/>
              </w:rPr>
            </w:pPr>
            <w:r>
              <w:rPr>
                <w:b/>
                <w:sz w:val="21"/>
              </w:rPr>
              <w:t>责任免除</w:t>
            </w:r>
          </w:p>
        </w:tc>
        <w:tc>
          <w:tcPr>
            <w:tcW w:w="7442" w:type="dxa"/>
          </w:tcPr>
          <w:p>
            <w:pPr>
              <w:pStyle w:val="TableParagraph"/>
              <w:spacing w:line="273" w:lineRule="auto" w:before="137"/>
              <w:ind w:left="-1" w:right="198"/>
              <w:rPr>
                <w:sz w:val="21"/>
              </w:rPr>
            </w:pPr>
            <w:r>
              <w:rPr>
                <w:spacing w:val="-1"/>
                <w:sz w:val="21"/>
                <w:shd w:fill="D9D9D9" w:color="auto" w:val="clear"/>
              </w:rPr>
              <w:t>因下列第(</w:t>
            </w:r>
            <w:r>
              <w:rPr>
                <w:sz w:val="21"/>
                <w:shd w:fill="D9D9D9" w:color="auto" w:val="clear"/>
              </w:rPr>
              <w:t>1</w:t>
            </w:r>
            <w:r>
              <w:rPr>
                <w:spacing w:val="-2"/>
                <w:sz w:val="21"/>
                <w:shd w:fill="D9D9D9" w:color="auto" w:val="clear"/>
              </w:rPr>
              <w:t>)至第</w:t>
            </w:r>
            <w:r>
              <w:rPr>
                <w:sz w:val="21"/>
                <w:shd w:fill="D9D9D9" w:color="auto" w:val="clear"/>
              </w:rPr>
              <w:t>(7</w:t>
            </w:r>
            <w:r>
              <w:rPr>
                <w:spacing w:val="-4"/>
                <w:sz w:val="21"/>
                <w:shd w:fill="D9D9D9" w:color="auto" w:val="clear"/>
              </w:rPr>
              <w:t>)项情形之一，导致被保险人身故的，我们不承担给付身故</w:t>
            </w:r>
            <w:r>
              <w:rPr>
                <w:spacing w:val="-9"/>
                <w:sz w:val="21"/>
                <w:shd w:fill="D9D9D9" w:color="auto" w:val="clear"/>
              </w:rPr>
              <w:t>保险金的责任；因下列第(</w:t>
            </w:r>
            <w:r>
              <w:rPr>
                <w:sz w:val="21"/>
                <w:shd w:fill="D9D9D9" w:color="auto" w:val="clear"/>
              </w:rPr>
              <w:t>1)至第(9</w:t>
            </w:r>
            <w:r>
              <w:rPr>
                <w:spacing w:val="-9"/>
                <w:sz w:val="21"/>
                <w:shd w:fill="D9D9D9" w:color="auto" w:val="clear"/>
              </w:rPr>
              <w:t>)项情形之一，导致本合同约定的特定疾病、</w:t>
            </w:r>
            <w:r>
              <w:rPr>
                <w:spacing w:val="-3"/>
                <w:sz w:val="21"/>
                <w:shd w:fill="D9D9D9" w:color="auto" w:val="clear"/>
              </w:rPr>
              <w:t>重大疾病或全残的，我们不承担给付保险金的责任：</w:t>
            </w:r>
          </w:p>
          <w:p>
            <w:pPr>
              <w:pStyle w:val="TableParagraph"/>
              <w:numPr>
                <w:ilvl w:val="0"/>
                <w:numId w:val="2"/>
              </w:numPr>
              <w:tabs>
                <w:tab w:pos="423" w:val="left" w:leader="none"/>
              </w:tabs>
              <w:spacing w:line="240" w:lineRule="auto" w:before="7" w:after="0"/>
              <w:ind w:left="419" w:right="0" w:hanging="420"/>
              <w:jc w:val="left"/>
              <w:rPr>
                <w:sz w:val="21"/>
              </w:rPr>
            </w:pPr>
            <w:r>
              <w:rPr>
                <w:spacing w:val="-3"/>
                <w:sz w:val="21"/>
                <w:shd w:fill="D9D9D9" w:color="auto" w:val="clear"/>
              </w:rPr>
              <w:t>投保人对被保险人的故意杀害、故意伤害；</w:t>
            </w:r>
          </w:p>
          <w:p>
            <w:pPr>
              <w:pStyle w:val="TableParagraph"/>
              <w:numPr>
                <w:ilvl w:val="0"/>
                <w:numId w:val="2"/>
              </w:numPr>
              <w:tabs>
                <w:tab w:pos="423" w:val="left" w:leader="none"/>
              </w:tabs>
              <w:spacing w:line="240" w:lineRule="auto" w:before="36" w:after="0"/>
              <w:ind w:left="419" w:right="0" w:hanging="420"/>
              <w:jc w:val="left"/>
              <w:rPr>
                <w:sz w:val="21"/>
              </w:rPr>
            </w:pPr>
            <w:r>
              <w:rPr>
                <w:spacing w:val="-3"/>
                <w:sz w:val="21"/>
                <w:shd w:fill="D9D9D9" w:color="auto" w:val="clear"/>
              </w:rPr>
              <w:t>被保险人故意自伤、故意犯罪或抗拒依法采取的刑事强制措施；</w:t>
            </w:r>
          </w:p>
          <w:p>
            <w:pPr>
              <w:pStyle w:val="TableParagraph"/>
              <w:numPr>
                <w:ilvl w:val="0"/>
                <w:numId w:val="2"/>
              </w:numPr>
              <w:tabs>
                <w:tab w:pos="423" w:val="left" w:leader="none"/>
              </w:tabs>
              <w:spacing w:line="273" w:lineRule="auto" w:before="36" w:after="0"/>
              <w:ind w:left="419" w:right="305" w:hanging="420"/>
              <w:jc w:val="left"/>
              <w:rPr>
                <w:sz w:val="21"/>
              </w:rPr>
            </w:pPr>
            <w:r>
              <w:rPr>
                <w:spacing w:val="-5"/>
                <w:sz w:val="21"/>
                <w:shd w:fill="D9D9D9" w:color="auto" w:val="clear"/>
              </w:rPr>
              <w:t>被保险人自本合同成立或者合同效力恢复之日起 </w:t>
            </w:r>
            <w:r>
              <w:rPr>
                <w:sz w:val="21"/>
                <w:shd w:fill="D9D9D9" w:color="auto" w:val="clear"/>
              </w:rPr>
              <w:t>2</w:t>
            </w:r>
            <w:r>
              <w:rPr>
                <w:spacing w:val="-9"/>
                <w:sz w:val="21"/>
                <w:shd w:fill="D9D9D9" w:color="auto" w:val="clear"/>
              </w:rPr>
              <w:t> 年内自杀，但被保险人</w:t>
            </w:r>
            <w:r>
              <w:rPr>
                <w:spacing w:val="-6"/>
                <w:sz w:val="21"/>
                <w:shd w:fill="D9D9D9" w:color="auto" w:val="clear"/>
              </w:rPr>
              <w:t>自杀时为</w:t>
            </w:r>
            <w:r>
              <w:rPr>
                <w:spacing w:val="-20"/>
                <w:sz w:val="21"/>
                <w:shd w:fill="D9D9D9" w:color="auto" w:val="clear"/>
              </w:rPr>
              <w:t>无民事行为能力人的除外；</w:t>
            </w:r>
          </w:p>
          <w:p>
            <w:pPr>
              <w:pStyle w:val="TableParagraph"/>
              <w:numPr>
                <w:ilvl w:val="0"/>
                <w:numId w:val="2"/>
              </w:numPr>
              <w:tabs>
                <w:tab w:pos="423" w:val="left" w:leader="none"/>
              </w:tabs>
              <w:spacing w:line="240" w:lineRule="auto" w:before="7" w:after="0"/>
              <w:ind w:left="419" w:right="0" w:hanging="420"/>
              <w:jc w:val="left"/>
              <w:rPr>
                <w:sz w:val="21"/>
              </w:rPr>
            </w:pPr>
            <w:r>
              <w:rPr>
                <w:spacing w:val="-3"/>
                <w:w w:val="100"/>
                <w:sz w:val="21"/>
                <w:shd w:fill="D9D9D9" w:color="auto" w:val="clear"/>
              </w:rPr>
              <w:t>被保险人主动吸食或注射</w:t>
            </w:r>
            <w:r>
              <w:rPr>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9.1</w:t>
            </w:r>
            <w:r>
              <w:rPr>
                <w:spacing w:val="-3"/>
                <w:w w:val="100"/>
                <w:sz w:val="21"/>
                <w:shd w:fill="D9D9D9" w:color="auto" w:val="clear"/>
              </w:rPr>
              <w:t>2</w:t>
            </w:r>
            <w:r>
              <w:rPr>
                <w:spacing w:val="-106"/>
                <w:w w:val="100"/>
                <w:sz w:val="21"/>
                <w:shd w:fill="D9D9D9" w:color="auto" w:val="clear"/>
              </w:rPr>
              <w:t>）；</w:t>
            </w:r>
          </w:p>
          <w:p>
            <w:pPr>
              <w:pStyle w:val="TableParagraph"/>
              <w:numPr>
                <w:ilvl w:val="0"/>
                <w:numId w:val="2"/>
              </w:numPr>
              <w:tabs>
                <w:tab w:pos="423" w:val="left" w:leader="none"/>
              </w:tabs>
              <w:spacing w:line="273" w:lineRule="auto" w:before="37" w:after="0"/>
              <w:ind w:left="419" w:right="303" w:hanging="420"/>
              <w:jc w:val="left"/>
              <w:rPr>
                <w:sz w:val="21"/>
              </w:rPr>
            </w:pPr>
            <w:r>
              <w:rPr>
                <w:spacing w:val="-3"/>
                <w:w w:val="100"/>
                <w:sz w:val="21"/>
                <w:shd w:fill="D9D9D9" w:color="auto" w:val="clear"/>
              </w:rPr>
              <w:t>被保险人</w:t>
            </w:r>
            <w:r>
              <w:rPr>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9"/>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13</w:t>
            </w:r>
            <w:r>
              <w:rPr>
                <w:spacing w:val="-108"/>
                <w:w w:val="100"/>
                <w:sz w:val="21"/>
                <w:shd w:fill="D9D9D9" w:color="auto" w:val="clear"/>
              </w:rPr>
              <w:t>）</w:t>
            </w:r>
            <w:r>
              <w:rPr>
                <w:spacing w:val="-3"/>
                <w:w w:val="100"/>
                <w:sz w:val="21"/>
                <w:shd w:fill="D9D9D9" w:color="auto" w:val="clear"/>
              </w:rPr>
              <w:t>、</w:t>
            </w:r>
            <w:r>
              <w:rPr>
                <w:b/>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9"/>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14</w:t>
            </w:r>
            <w:r>
              <w:rPr>
                <w:spacing w:val="-108"/>
                <w:w w:val="100"/>
                <w:sz w:val="21"/>
                <w:shd w:fill="D9D9D9" w:color="auto" w:val="clear"/>
              </w:rPr>
              <w:t>）</w:t>
            </w:r>
            <w:r>
              <w:rPr>
                <w:spacing w:val="-2"/>
                <w:w w:val="100"/>
                <w:sz w:val="21"/>
                <w:shd w:fill="D9D9D9" w:color="auto" w:val="clear"/>
              </w:rPr>
              <w:t>，或驾</w:t>
            </w:r>
            <w:r>
              <w:rPr>
                <w:spacing w:val="-211"/>
                <w:w w:val="100"/>
                <w:sz w:val="21"/>
                <w:shd w:fill="D9D9D9" w:color="auto" w:val="clear"/>
              </w:rPr>
              <w:t>驶</w:t>
            </w:r>
            <w:r>
              <w:rPr>
                <w:b/>
                <w:sz w:val="21"/>
                <w:shd w:fill="D9D9D9" w:color="auto" w:val="clear"/>
              </w:rPr>
              <w:t>无有效行驶证</w:t>
            </w:r>
            <w:r>
              <w:rPr>
                <w:spacing w:val="-3"/>
                <w:sz w:val="21"/>
                <w:shd w:fill="D9D9D9" w:color="auto" w:val="clear"/>
              </w:rPr>
              <w:t>（</w:t>
            </w:r>
            <w:r>
              <w:rPr>
                <w:spacing w:val="-21"/>
                <w:sz w:val="21"/>
                <w:shd w:fill="D9D9D9" w:color="auto" w:val="clear"/>
              </w:rPr>
              <w:t>见 </w:t>
            </w:r>
            <w:r>
              <w:rPr>
                <w:sz w:val="21"/>
                <w:shd w:fill="D9D9D9" w:color="auto" w:val="clear"/>
              </w:rPr>
              <w:t>9.15）</w:t>
            </w:r>
            <w:r>
              <w:rPr>
                <w:spacing w:val="-3"/>
                <w:sz w:val="21"/>
                <w:shd w:fill="D9D9D9" w:color="auto" w:val="clear"/>
              </w:rPr>
              <w:t>的机动车；</w:t>
            </w:r>
          </w:p>
          <w:p>
            <w:pPr>
              <w:pStyle w:val="TableParagraph"/>
              <w:numPr>
                <w:ilvl w:val="0"/>
                <w:numId w:val="2"/>
              </w:numPr>
              <w:tabs>
                <w:tab w:pos="423" w:val="left" w:leader="none"/>
              </w:tabs>
              <w:spacing w:line="240" w:lineRule="auto" w:before="7" w:after="0"/>
              <w:ind w:left="419" w:right="0" w:hanging="420"/>
              <w:jc w:val="left"/>
              <w:rPr>
                <w:sz w:val="21"/>
              </w:rPr>
            </w:pPr>
            <w:r>
              <w:rPr>
                <w:spacing w:val="-3"/>
                <w:sz w:val="21"/>
                <w:shd w:fill="D9D9D9" w:color="auto" w:val="clear"/>
              </w:rPr>
              <w:t>战争、军事行动、暴乱或武装叛乱；</w:t>
            </w:r>
          </w:p>
          <w:p>
            <w:pPr>
              <w:pStyle w:val="TableParagraph"/>
              <w:numPr>
                <w:ilvl w:val="0"/>
                <w:numId w:val="2"/>
              </w:numPr>
              <w:tabs>
                <w:tab w:pos="423" w:val="left" w:leader="none"/>
              </w:tabs>
              <w:spacing w:line="240" w:lineRule="auto" w:before="36" w:after="0"/>
              <w:ind w:left="419" w:right="0" w:hanging="420"/>
              <w:jc w:val="left"/>
              <w:rPr>
                <w:sz w:val="21"/>
              </w:rPr>
            </w:pPr>
            <w:r>
              <w:rPr>
                <w:spacing w:val="-3"/>
                <w:sz w:val="21"/>
                <w:shd w:fill="D9D9D9" w:color="auto" w:val="clear"/>
              </w:rPr>
              <w:t>核爆炸、核辐射或核污染；</w:t>
            </w:r>
          </w:p>
          <w:p>
            <w:pPr>
              <w:pStyle w:val="TableParagraph"/>
              <w:numPr>
                <w:ilvl w:val="0"/>
                <w:numId w:val="2"/>
              </w:numPr>
              <w:tabs>
                <w:tab w:pos="423" w:val="left" w:leader="none"/>
              </w:tabs>
              <w:spacing w:line="240" w:lineRule="auto" w:before="36" w:after="0"/>
              <w:ind w:left="419" w:right="0" w:hanging="420"/>
              <w:jc w:val="left"/>
              <w:rPr>
                <w:sz w:val="21"/>
              </w:rPr>
            </w:pPr>
            <w:r>
              <w:rPr>
                <w:spacing w:val="-3"/>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18"/>
                <w:sz w:val="21"/>
                <w:shd w:fill="D9D9D9" w:color="auto" w:val="clear"/>
              </w:rPr>
              <w:t>见 </w:t>
            </w:r>
            <w:r>
              <w:rPr>
                <w:sz w:val="21"/>
                <w:shd w:fill="D9D9D9" w:color="auto" w:val="clear"/>
              </w:rPr>
              <w:t>9.16）</w:t>
            </w:r>
            <w:r>
              <w:rPr>
                <w:spacing w:val="-3"/>
                <w:sz w:val="21"/>
                <w:shd w:fill="D9D9D9" w:color="auto" w:val="clear"/>
              </w:rPr>
              <w:t>期间因疾病导致的；</w:t>
            </w:r>
          </w:p>
          <w:p>
            <w:pPr>
              <w:pStyle w:val="TableParagraph"/>
              <w:numPr>
                <w:ilvl w:val="0"/>
                <w:numId w:val="2"/>
              </w:numPr>
              <w:tabs>
                <w:tab w:pos="420" w:val="left" w:leader="none"/>
              </w:tabs>
              <w:spacing w:line="240" w:lineRule="auto" w:before="36" w:after="0"/>
              <w:ind w:left="419" w:right="0" w:hanging="420"/>
              <w:jc w:val="left"/>
              <w:rPr>
                <w:sz w:val="21"/>
              </w:rPr>
            </w:pP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w:t>
            </w:r>
            <w:r>
              <w:rPr>
                <w:spacing w:val="-3"/>
                <w:w w:val="100"/>
                <w:sz w:val="21"/>
                <w:shd w:fill="D9D9D9" w:color="auto" w:val="clear"/>
              </w:rPr>
              <w:t>7</w:t>
            </w:r>
            <w:r>
              <w:rPr>
                <w:spacing w:val="-106"/>
                <w:w w:val="100"/>
                <w:sz w:val="21"/>
                <w:shd w:fill="D9D9D9" w:color="auto" w:val="clear"/>
              </w:rPr>
              <w:t>）</w:t>
            </w:r>
            <w:r>
              <w:rPr>
                <w:spacing w:val="-2"/>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8</w:t>
            </w:r>
            <w:r>
              <w:rPr>
                <w:spacing w:val="-106"/>
                <w:w w:val="100"/>
                <w:sz w:val="21"/>
                <w:shd w:fill="D9D9D9" w:color="auto" w:val="clear"/>
              </w:rPr>
              <w:t>）。</w:t>
            </w:r>
          </w:p>
          <w:p>
            <w:pPr>
              <w:pStyle w:val="TableParagraph"/>
              <w:spacing w:before="8"/>
              <w:rPr>
                <w:sz w:val="26"/>
              </w:rPr>
            </w:pPr>
          </w:p>
          <w:p>
            <w:pPr>
              <w:pStyle w:val="TableParagraph"/>
              <w:spacing w:line="273" w:lineRule="auto"/>
              <w:ind w:left="-1" w:right="262"/>
              <w:rPr>
                <w:sz w:val="21"/>
              </w:rPr>
            </w:pPr>
            <w:r>
              <w:rPr>
                <w:sz w:val="21"/>
                <w:shd w:fill="D9D9D9" w:color="auto" w:val="clear"/>
              </w:rPr>
              <w:t>发生上述第(1)项情形导致被保险人身故或被确诊发生本合同约定的特定疾病、重大疾病或全残的，本合同终止，我们向受益人给付本合同的</w:t>
            </w:r>
            <w:r>
              <w:rPr>
                <w:b/>
                <w:sz w:val="21"/>
                <w:shd w:fill="D9D9D9" w:color="auto" w:val="clear"/>
              </w:rPr>
              <w:t>现金价值</w:t>
            </w:r>
            <w:r>
              <w:rPr>
                <w:sz w:val="21"/>
                <w:shd w:fill="D9D9D9" w:color="auto" w:val="clear"/>
              </w:rPr>
              <w:t>（见</w:t>
            </w:r>
          </w:p>
          <w:p>
            <w:pPr>
              <w:pStyle w:val="TableParagraph"/>
              <w:spacing w:before="7"/>
              <w:ind w:left="-1"/>
              <w:rPr>
                <w:sz w:val="21"/>
              </w:rPr>
            </w:pPr>
            <w:r>
              <w:rPr>
                <w:w w:val="100"/>
                <w:sz w:val="21"/>
                <w:shd w:fill="D9D9D9" w:color="auto" w:val="clear"/>
              </w:rPr>
              <w:t>9.19</w:t>
            </w:r>
            <w:r>
              <w:rPr>
                <w:spacing w:val="-108"/>
                <w:w w:val="100"/>
                <w:sz w:val="21"/>
                <w:shd w:fill="D9D9D9" w:color="auto" w:val="clear"/>
              </w:rPr>
              <w:t>）</w:t>
            </w:r>
            <w:r>
              <w:rPr>
                <w:spacing w:val="-3"/>
                <w:w w:val="100"/>
                <w:sz w:val="21"/>
                <w:shd w:fill="D9D9D9" w:color="auto" w:val="clear"/>
              </w:rPr>
              <w:t>。</w:t>
            </w:r>
          </w:p>
          <w:p>
            <w:pPr>
              <w:pStyle w:val="TableParagraph"/>
              <w:spacing w:before="13"/>
              <w:rPr>
                <w:sz w:val="23"/>
              </w:rPr>
            </w:pPr>
          </w:p>
          <w:p>
            <w:pPr>
              <w:pStyle w:val="TableParagraph"/>
              <w:spacing w:line="310" w:lineRule="atLeast"/>
              <w:ind w:left="-1" w:right="198"/>
              <w:rPr>
                <w:sz w:val="21"/>
              </w:rPr>
            </w:pPr>
            <w:r>
              <w:rPr>
                <w:sz w:val="21"/>
              </w:rPr>
              <w:t>发生上述第(2)至第(7)项情形导致被保险人身故或被确诊发生本合同约定的特定疾病、重大疾病或全残的，本合同终止，我们向您退还本合同的现金价值。</w:t>
            </w:r>
          </w:p>
        </w:tc>
      </w:tr>
    </w:tbl>
    <w:p>
      <w:pPr>
        <w:rPr>
          <w:sz w:val="2"/>
          <w:szCs w:val="2"/>
        </w:rPr>
      </w:pPr>
      <w:r>
        <w:rPr/>
        <w:pict>
          <v:group style="position:absolute;margin-left:188.179993pt;margin-top:56.639984pt;width:327.95pt;height:16.7pt;mso-position-horizontal-relative:page;mso-position-vertical-relative:page;z-index:-51232" coordorigin="3764,1133" coordsize="6559,334">
            <v:line style="position:absolute" from="3764,1462" to="6829,1462" stroked="true" strokeweight=".48pt" strokecolor="#000000">
              <v:stroke dashstyle="solid"/>
            </v:line>
            <v:line style="position:absolute" from="6834,1133" to="6834,1466" stroked="true" strokeweight=".47998pt" strokecolor="#000000">
              <v:stroke dashstyle="solid"/>
            </v:line>
            <v:line style="position:absolute" from="6839,1462" to="10312,1462" stroked="true" strokeweight=".48pt" strokecolor="#000000">
              <v:stroke dashstyle="solid"/>
            </v:line>
            <v:line style="position:absolute" from="10317,1133" to="10317,1466" stroked="true" strokeweight=".47998pt" strokecolor="#000000">
              <v:stroke dashstyle="solid"/>
            </v:line>
            <w10:wrap type="none"/>
          </v:group>
        </w:pict>
      </w:r>
      <w:r>
        <w:rPr/>
        <w:pict>
          <v:shape style="position:absolute;margin-left:187.700012pt;margin-top:167.899948pt;width:356.75pt;height:29.3pt;mso-position-horizontal-relative:page;mso-position-vertical-relative:page;z-index:-51208" coordorigin="3754,3358" coordsize="7135,586" path="m10689,3670l3754,3670,3754,3944,10689,3944,10689,3670m10888,3358l3754,3358,3754,3632,10888,3632,10888,3358e" filled="true" fillcolor="#d9d9d9" stroked="false">
            <v:path arrowok="t"/>
            <v:fill type="solid"/>
            <w10:wrap type="none"/>
          </v:shape>
        </w:pict>
      </w:r>
      <w:r>
        <w:rPr/>
        <w:pict>
          <v:shape style="position:absolute;margin-left:187.700012pt;margin-top:214.700958pt;width:356.75pt;height:29.3pt;mso-position-horizontal-relative:page;mso-position-vertical-relative:page;z-index:-51184" coordorigin="3754,4294" coordsize="7135,586" path="m10478,4606l3754,4606,3754,4880,10478,4880,10478,4606m10888,4294l3754,4294,3754,4568,10888,4568,10888,4294e" filled="true" fillcolor="#d9d9d9" stroked="false">
            <v:path arrowok="t"/>
            <v:fill type="solid"/>
            <w10:wrap type="none"/>
          </v:shape>
        </w:pict>
      </w:r>
      <w:r>
        <w:rPr/>
        <w:pict>
          <v:shape style="position:absolute;margin-left:187.700012pt;margin-top:729.575989pt;width:356.75pt;height:29.35pt;mso-position-horizontal-relative:page;mso-position-vertical-relative:page;z-index:-51160" coordorigin="3754,14592" coordsize="7135,587" path="m10888,14904l3754,14904,3754,15178,10888,15178,10888,14904m10888,14592l3754,14592,3754,14866,10888,14866,10888,14592e" filled="true" fillcolor="#d9d9d9" stroked="false">
            <v:path arrowok="t"/>
            <v:fill type="solid"/>
            <w10:wrap type="none"/>
          </v:shape>
        </w:pict>
      </w:r>
    </w:p>
    <w:p>
      <w:pPr>
        <w:spacing w:after="0"/>
        <w:rPr>
          <w:sz w:val="2"/>
          <w:szCs w:val="2"/>
        </w:rPr>
        <w:sectPr>
          <w:pgSz w:w="11910" w:h="16840"/>
          <w:pgMar w:top="1120" w:bottom="280" w:left="10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89"/>
        <w:gridCol w:w="7394"/>
      </w:tblGrid>
      <w:tr>
        <w:trPr>
          <w:trHeight w:val="754" w:hRule="atLeast"/>
        </w:trPr>
        <w:tc>
          <w:tcPr>
            <w:tcW w:w="900" w:type="dxa"/>
          </w:tcPr>
          <w:p>
            <w:pPr>
              <w:pStyle w:val="TableParagraph"/>
              <w:rPr>
                <w:rFonts w:ascii="Times New Roman"/>
                <w:sz w:val="20"/>
              </w:rPr>
            </w:pPr>
          </w:p>
        </w:tc>
        <w:tc>
          <w:tcPr>
            <w:tcW w:w="1789" w:type="dxa"/>
          </w:tcPr>
          <w:p>
            <w:pPr>
              <w:pStyle w:val="TableParagraph"/>
              <w:rPr>
                <w:rFonts w:ascii="Times New Roman"/>
                <w:sz w:val="20"/>
              </w:rPr>
            </w:pPr>
          </w:p>
        </w:tc>
        <w:tc>
          <w:tcPr>
            <w:tcW w:w="7394" w:type="dxa"/>
          </w:tcPr>
          <w:p>
            <w:pPr>
              <w:pStyle w:val="TableParagraph"/>
              <w:spacing w:line="211" w:lineRule="exact"/>
              <w:ind w:left="152"/>
              <w:rPr>
                <w:sz w:val="21"/>
              </w:rPr>
            </w:pPr>
            <w:r>
              <w:rPr>
                <w:sz w:val="21"/>
                <w:shd w:fill="D9D9D9" w:color="auto" w:val="clear"/>
              </w:rPr>
              <w:t>发生上述其他情形导致被保险人被确诊发生本合同约定的特定疾病、重大疾病</w:t>
            </w:r>
          </w:p>
          <w:p>
            <w:pPr>
              <w:pStyle w:val="TableParagraph"/>
              <w:spacing w:before="37"/>
              <w:ind w:left="152"/>
              <w:rPr>
                <w:sz w:val="21"/>
              </w:rPr>
            </w:pPr>
            <w:r>
              <w:rPr>
                <w:sz w:val="21"/>
                <w:shd w:fill="D9D9D9" w:color="auto" w:val="clear"/>
              </w:rPr>
              <w:t>或全残的，本合同终止，我们向您退还本合同的现金价值。</w:t>
            </w:r>
          </w:p>
        </w:tc>
      </w:tr>
      <w:tr>
        <w:trPr>
          <w:trHeight w:val="753" w:hRule="atLeast"/>
        </w:trPr>
        <w:tc>
          <w:tcPr>
            <w:tcW w:w="900" w:type="dxa"/>
            <w:tcBorders>
              <w:bottom w:val="single" w:sz="8" w:space="0" w:color="000000"/>
            </w:tcBorders>
          </w:tcPr>
          <w:p>
            <w:pPr>
              <w:pStyle w:val="TableParagraph"/>
              <w:spacing w:before="194"/>
              <w:ind w:left="309"/>
              <w:rPr>
                <w:rFonts w:ascii="Arial" w:hAnsi="Arial"/>
                <w:b/>
                <w:sz w:val="40"/>
              </w:rPr>
            </w:pPr>
            <w:r>
              <w:rPr>
                <w:rFonts w:ascii="Arial" w:hAnsi="Arial"/>
                <w:b/>
                <w:w w:val="119"/>
                <w:sz w:val="40"/>
              </w:rPr>
              <w:t></w:t>
            </w:r>
          </w:p>
        </w:tc>
        <w:tc>
          <w:tcPr>
            <w:tcW w:w="9183"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如何申请领取保险金</w:t>
            </w:r>
          </w:p>
        </w:tc>
      </w:tr>
      <w:tr>
        <w:trPr>
          <w:trHeight w:val="9208"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3.1</w:t>
            </w:r>
          </w:p>
        </w:tc>
        <w:tc>
          <w:tcPr>
            <w:tcW w:w="1789" w:type="dxa"/>
            <w:tcBorders>
              <w:top w:val="single" w:sz="8" w:space="0" w:color="000000"/>
            </w:tcBorders>
          </w:tcPr>
          <w:p>
            <w:pPr>
              <w:pStyle w:val="TableParagraph"/>
              <w:rPr>
                <w:sz w:val="23"/>
              </w:rPr>
            </w:pPr>
          </w:p>
          <w:p>
            <w:pPr>
              <w:pStyle w:val="TableParagraph"/>
              <w:ind w:left="168"/>
              <w:rPr>
                <w:b/>
                <w:sz w:val="21"/>
              </w:rPr>
            </w:pPr>
            <w:r>
              <w:rPr>
                <w:b/>
                <w:sz w:val="21"/>
              </w:rPr>
              <w:t>受益人</w:t>
            </w:r>
          </w:p>
        </w:tc>
        <w:tc>
          <w:tcPr>
            <w:tcW w:w="7394" w:type="dxa"/>
            <w:tcBorders>
              <w:top w:val="single" w:sz="8" w:space="0" w:color="000000"/>
            </w:tcBorders>
          </w:tcPr>
          <w:p>
            <w:pPr>
              <w:pStyle w:val="TableParagraph"/>
              <w:rPr>
                <w:sz w:val="23"/>
              </w:rPr>
            </w:pPr>
          </w:p>
          <w:p>
            <w:pPr>
              <w:pStyle w:val="TableParagraph"/>
              <w:ind w:left="179"/>
              <w:rPr>
                <w:sz w:val="21"/>
              </w:rPr>
            </w:pPr>
            <w:r>
              <w:rPr>
                <w:sz w:val="21"/>
              </w:rPr>
              <w:t>您或者被保险人可以指定一人或多人为身故保险金受益人。</w:t>
            </w:r>
          </w:p>
          <w:p>
            <w:pPr>
              <w:pStyle w:val="TableParagraph"/>
              <w:spacing w:before="8"/>
              <w:rPr>
                <w:sz w:val="26"/>
              </w:rPr>
            </w:pPr>
          </w:p>
          <w:p>
            <w:pPr>
              <w:pStyle w:val="TableParagraph"/>
              <w:spacing w:line="273" w:lineRule="auto"/>
              <w:ind w:left="179" w:right="73"/>
              <w:rPr>
                <w:sz w:val="21"/>
              </w:rPr>
            </w:pPr>
            <w:r>
              <w:rPr>
                <w:sz w:val="21"/>
              </w:rPr>
              <w:t>身故保险金受益人为多人时，可以确定受益顺序和受益份额；如果没有确定份额，各受益人按照相等份额享有受益权。</w:t>
            </w:r>
          </w:p>
          <w:p>
            <w:pPr>
              <w:pStyle w:val="TableParagraph"/>
              <w:spacing w:before="5"/>
              <w:rPr>
                <w:sz w:val="24"/>
              </w:rPr>
            </w:pPr>
          </w:p>
          <w:p>
            <w:pPr>
              <w:pStyle w:val="TableParagraph"/>
              <w:spacing w:line="273" w:lineRule="auto"/>
              <w:ind w:left="179" w:right="56"/>
              <w:rPr>
                <w:sz w:val="21"/>
              </w:rPr>
            </w:pPr>
            <w:r>
              <w:rPr>
                <w:sz w:val="21"/>
              </w:rPr>
              <w:t>被保险人为无民事行为能力人或限制民事行为能力人的，可以由其监护人指定受益人。</w:t>
            </w:r>
          </w:p>
          <w:p>
            <w:pPr>
              <w:pStyle w:val="TableParagraph"/>
              <w:spacing w:before="5"/>
              <w:rPr>
                <w:sz w:val="24"/>
              </w:rPr>
            </w:pPr>
          </w:p>
          <w:p>
            <w:pPr>
              <w:pStyle w:val="TableParagraph"/>
              <w:spacing w:line="273" w:lineRule="auto"/>
              <w:ind w:left="179" w:right="104"/>
              <w:jc w:val="both"/>
              <w:rPr>
                <w:sz w:val="21"/>
              </w:rPr>
            </w:pPr>
            <w:r>
              <w:rPr>
                <w:spacing w:val="-5"/>
                <w:sz w:val="21"/>
              </w:rPr>
              <w:t>您或者被保险人可以变更身故保险金受益人并书面通知我们，我们收到变更受</w:t>
            </w:r>
            <w:r>
              <w:rPr>
                <w:spacing w:val="-7"/>
                <w:sz w:val="21"/>
              </w:rPr>
              <w:t>益人的书面通知后，在保险单或其他保险凭证上批注或附贴批单，变更自我们</w:t>
            </w:r>
            <w:r>
              <w:rPr>
                <w:spacing w:val="-5"/>
                <w:sz w:val="21"/>
              </w:rPr>
              <w:t>在保险单或者其他保险凭证上批注或者附贴批单之日起产生效力。</w:t>
            </w:r>
          </w:p>
          <w:p>
            <w:pPr>
              <w:pStyle w:val="TableParagraph"/>
              <w:spacing w:before="5"/>
              <w:rPr>
                <w:sz w:val="24"/>
              </w:rPr>
            </w:pPr>
          </w:p>
          <w:p>
            <w:pPr>
              <w:pStyle w:val="TableParagraph"/>
              <w:ind w:left="179"/>
              <w:rPr>
                <w:sz w:val="21"/>
              </w:rPr>
            </w:pPr>
            <w:r>
              <w:rPr>
                <w:sz w:val="21"/>
              </w:rPr>
              <w:t>您在指定和变更身故保险金受益人时，必须经过被保险人同意。</w:t>
            </w:r>
          </w:p>
          <w:p>
            <w:pPr>
              <w:pStyle w:val="TableParagraph"/>
              <w:spacing w:before="8"/>
              <w:rPr>
                <w:sz w:val="26"/>
              </w:rPr>
            </w:pPr>
          </w:p>
          <w:p>
            <w:pPr>
              <w:pStyle w:val="TableParagraph"/>
              <w:spacing w:line="273" w:lineRule="auto"/>
              <w:ind w:left="179" w:right="108"/>
              <w:rPr>
                <w:sz w:val="21"/>
              </w:rPr>
            </w:pPr>
            <w:r>
              <w:rPr>
                <w:spacing w:val="-7"/>
                <w:sz w:val="21"/>
              </w:rPr>
              <w:t>被保险人身故后，有下列情形之一的，保险金作为被保险人的遗产，由我们依</w:t>
            </w:r>
            <w:r>
              <w:rPr>
                <w:spacing w:val="-3"/>
                <w:sz w:val="21"/>
              </w:rPr>
              <w:t>照《中华人民共和国继承法》的规定履行给付保险金的义务：</w:t>
            </w:r>
          </w:p>
          <w:p>
            <w:pPr>
              <w:pStyle w:val="TableParagraph"/>
              <w:spacing w:before="7"/>
              <w:ind w:left="179"/>
              <w:rPr>
                <w:sz w:val="21"/>
              </w:rPr>
            </w:pPr>
            <w:r>
              <w:rPr>
                <w:sz w:val="21"/>
              </w:rPr>
              <w:t>（1）没有指定受益人，或者受益人指定不明无法确定的；</w:t>
            </w:r>
          </w:p>
          <w:p>
            <w:pPr>
              <w:pStyle w:val="TableParagraph"/>
              <w:spacing w:before="36"/>
              <w:ind w:left="179"/>
              <w:rPr>
                <w:sz w:val="21"/>
              </w:rPr>
            </w:pPr>
            <w:r>
              <w:rPr>
                <w:sz w:val="21"/>
              </w:rPr>
              <w:t>（2）受益人先于被保险人身故，没有其他受益人的；</w:t>
            </w:r>
          </w:p>
          <w:p>
            <w:pPr>
              <w:pStyle w:val="TableParagraph"/>
              <w:spacing w:before="36"/>
              <w:ind w:left="179"/>
              <w:rPr>
                <w:sz w:val="21"/>
              </w:rPr>
            </w:pPr>
            <w:r>
              <w:rPr>
                <w:sz w:val="21"/>
              </w:rPr>
              <w:t>（3）受益人依法丧失受益权或者放弃受益权，没有其他受益人的。</w:t>
            </w:r>
          </w:p>
          <w:p>
            <w:pPr>
              <w:pStyle w:val="TableParagraph"/>
              <w:spacing w:before="8"/>
              <w:rPr>
                <w:sz w:val="26"/>
              </w:rPr>
            </w:pPr>
          </w:p>
          <w:p>
            <w:pPr>
              <w:pStyle w:val="TableParagraph"/>
              <w:spacing w:line="273" w:lineRule="auto"/>
              <w:ind w:left="179" w:right="73"/>
              <w:rPr>
                <w:sz w:val="21"/>
              </w:rPr>
            </w:pPr>
            <w:r>
              <w:rPr>
                <w:sz w:val="21"/>
              </w:rPr>
              <w:t>受益人与被保险人在同一事件中身故，且不能确定身故先后顺序的，推定受益人身故在先。</w:t>
            </w:r>
          </w:p>
          <w:p>
            <w:pPr>
              <w:pStyle w:val="TableParagraph"/>
              <w:spacing w:before="5"/>
              <w:rPr>
                <w:sz w:val="24"/>
              </w:rPr>
            </w:pPr>
          </w:p>
          <w:p>
            <w:pPr>
              <w:pStyle w:val="TableParagraph"/>
              <w:spacing w:line="273" w:lineRule="auto"/>
              <w:ind w:left="179" w:right="1"/>
              <w:rPr>
                <w:sz w:val="21"/>
              </w:rPr>
            </w:pPr>
            <w:r>
              <w:rPr>
                <w:spacing w:val="-12"/>
                <w:sz w:val="21"/>
              </w:rPr>
              <w:t>受益人故意造成被保险人身故、伤残、疾病的，或者故意杀害被保险人未遂的， </w:t>
            </w:r>
            <w:r>
              <w:rPr>
                <w:spacing w:val="-6"/>
                <w:sz w:val="21"/>
              </w:rPr>
              <w:t>该受益人丧失受益权。</w:t>
            </w:r>
          </w:p>
          <w:p>
            <w:pPr>
              <w:pStyle w:val="TableParagraph"/>
              <w:spacing w:before="5"/>
              <w:rPr>
                <w:sz w:val="24"/>
              </w:rPr>
            </w:pPr>
          </w:p>
          <w:p>
            <w:pPr>
              <w:pStyle w:val="TableParagraph"/>
              <w:spacing w:line="273" w:lineRule="auto"/>
              <w:ind w:left="179" w:right="104"/>
              <w:rPr>
                <w:sz w:val="21"/>
              </w:rPr>
            </w:pPr>
            <w:r>
              <w:rPr>
                <w:spacing w:val="-6"/>
                <w:sz w:val="21"/>
              </w:rPr>
              <w:t>除另有约定外，本合同特定疾病、重大疾病或全残保险金的受益人为被保险人本人。</w:t>
            </w:r>
          </w:p>
        </w:tc>
      </w:tr>
      <w:tr>
        <w:trPr>
          <w:trHeight w:val="2184" w:hRule="atLeast"/>
        </w:trPr>
        <w:tc>
          <w:tcPr>
            <w:tcW w:w="900" w:type="dxa"/>
          </w:tcPr>
          <w:p>
            <w:pPr>
              <w:pStyle w:val="TableParagraph"/>
              <w:spacing w:before="142"/>
              <w:ind w:right="165"/>
              <w:jc w:val="right"/>
              <w:rPr>
                <w:b/>
                <w:sz w:val="21"/>
              </w:rPr>
            </w:pPr>
            <w:r>
              <w:rPr>
                <w:b/>
                <w:sz w:val="21"/>
              </w:rPr>
              <w:t>3.2</w:t>
            </w:r>
          </w:p>
        </w:tc>
        <w:tc>
          <w:tcPr>
            <w:tcW w:w="1789" w:type="dxa"/>
          </w:tcPr>
          <w:p>
            <w:pPr>
              <w:pStyle w:val="TableParagraph"/>
              <w:spacing w:before="142"/>
              <w:ind w:left="168"/>
              <w:rPr>
                <w:b/>
                <w:sz w:val="21"/>
              </w:rPr>
            </w:pPr>
            <w:r>
              <w:rPr>
                <w:b/>
                <w:sz w:val="21"/>
              </w:rPr>
              <w:t>保险事故通知</w:t>
            </w:r>
          </w:p>
        </w:tc>
        <w:tc>
          <w:tcPr>
            <w:tcW w:w="7394" w:type="dxa"/>
          </w:tcPr>
          <w:p>
            <w:pPr>
              <w:pStyle w:val="TableParagraph"/>
              <w:spacing w:before="142"/>
              <w:ind w:left="179"/>
              <w:rPr>
                <w:sz w:val="21"/>
              </w:rPr>
            </w:pPr>
            <w:r>
              <w:rPr>
                <w:sz w:val="21"/>
              </w:rPr>
              <w:t>您或受益人知道保险事故后应当在10日内通知我们。</w:t>
            </w:r>
          </w:p>
          <w:p>
            <w:pPr>
              <w:pStyle w:val="TableParagraph"/>
              <w:spacing w:before="8"/>
              <w:rPr>
                <w:sz w:val="26"/>
              </w:rPr>
            </w:pPr>
          </w:p>
          <w:p>
            <w:pPr>
              <w:pStyle w:val="TableParagraph"/>
              <w:spacing w:line="273" w:lineRule="auto"/>
              <w:ind w:left="179" w:right="-15"/>
              <w:rPr>
                <w:sz w:val="21"/>
              </w:rPr>
            </w:pPr>
            <w:r>
              <w:rPr>
                <w:spacing w:val="-9"/>
                <w:sz w:val="21"/>
              </w:rPr>
              <w:t>如果您或受益人故意或者因重大过失未及时通知，致使保险事故的性质、原因、</w:t>
            </w:r>
            <w:r>
              <w:rPr>
                <w:spacing w:val="-5"/>
                <w:sz w:val="21"/>
              </w:rPr>
              <w:t>损失程度等难以确定的，我们对无法确定的部分，不承担给付保险金的责任， </w:t>
            </w:r>
            <w:r>
              <w:rPr>
                <w:sz w:val="21"/>
              </w:rPr>
              <w:t>但我们通过其他途径已经及时知道或者应当及时知道保险事故发生或者虽未 </w:t>
            </w:r>
            <w:r>
              <w:rPr>
                <w:spacing w:val="-3"/>
                <w:sz w:val="21"/>
              </w:rPr>
              <w:t>及时通知但不影响我们确定保险事故的性质、原因、损失程度的除外。</w:t>
            </w:r>
          </w:p>
        </w:tc>
      </w:tr>
      <w:tr>
        <w:trPr>
          <w:trHeight w:val="624" w:hRule="atLeast"/>
        </w:trPr>
        <w:tc>
          <w:tcPr>
            <w:tcW w:w="900" w:type="dxa"/>
          </w:tcPr>
          <w:p>
            <w:pPr>
              <w:pStyle w:val="TableParagraph"/>
              <w:spacing w:before="142"/>
              <w:ind w:right="165"/>
              <w:jc w:val="right"/>
              <w:rPr>
                <w:b/>
                <w:sz w:val="21"/>
              </w:rPr>
            </w:pPr>
            <w:r>
              <w:rPr>
                <w:b/>
                <w:sz w:val="21"/>
              </w:rPr>
              <w:t>3.3</w:t>
            </w:r>
          </w:p>
        </w:tc>
        <w:tc>
          <w:tcPr>
            <w:tcW w:w="1789" w:type="dxa"/>
          </w:tcPr>
          <w:p>
            <w:pPr>
              <w:pStyle w:val="TableParagraph"/>
              <w:spacing w:before="142"/>
              <w:ind w:left="168"/>
              <w:rPr>
                <w:b/>
                <w:sz w:val="21"/>
              </w:rPr>
            </w:pPr>
            <w:r>
              <w:rPr>
                <w:b/>
                <w:sz w:val="21"/>
              </w:rPr>
              <w:t>保险金申请</w:t>
            </w:r>
          </w:p>
        </w:tc>
        <w:tc>
          <w:tcPr>
            <w:tcW w:w="7394" w:type="dxa"/>
          </w:tcPr>
          <w:p>
            <w:pPr>
              <w:pStyle w:val="TableParagraph"/>
              <w:spacing w:before="142"/>
              <w:ind w:left="179"/>
              <w:rPr>
                <w:sz w:val="21"/>
              </w:rPr>
            </w:pPr>
            <w:r>
              <w:rPr>
                <w:sz w:val="21"/>
              </w:rPr>
              <w:t>在申请保险金时，请按照下列方式办理：</w:t>
            </w:r>
          </w:p>
        </w:tc>
      </w:tr>
      <w:tr>
        <w:trPr>
          <w:trHeight w:val="787" w:hRule="atLeast"/>
        </w:trPr>
        <w:tc>
          <w:tcPr>
            <w:tcW w:w="900" w:type="dxa"/>
          </w:tcPr>
          <w:p>
            <w:pPr>
              <w:pStyle w:val="TableParagraph"/>
              <w:rPr>
                <w:rFonts w:ascii="Times New Roman"/>
                <w:sz w:val="20"/>
              </w:rPr>
            </w:pPr>
          </w:p>
        </w:tc>
        <w:tc>
          <w:tcPr>
            <w:tcW w:w="1789" w:type="dxa"/>
          </w:tcPr>
          <w:p>
            <w:pPr>
              <w:pStyle w:val="TableParagraph"/>
              <w:spacing w:line="368" w:lineRule="exact" w:before="55"/>
              <w:ind w:left="168"/>
              <w:rPr>
                <w:rFonts w:ascii="Microsoft JhengHei" w:eastAsia="Microsoft JhengHei" w:hint="eastAsia"/>
                <w:b/>
                <w:sz w:val="24"/>
              </w:rPr>
            </w:pPr>
            <w:r>
              <w:rPr>
                <w:rFonts w:ascii="Microsoft JhengHei" w:eastAsia="Microsoft JhengHei" w:hint="eastAsia"/>
                <w:b/>
                <w:sz w:val="24"/>
              </w:rPr>
              <w:t>特定疾病或重</w:t>
            </w:r>
          </w:p>
          <w:p>
            <w:pPr>
              <w:pStyle w:val="TableParagraph"/>
              <w:spacing w:line="344" w:lineRule="exact"/>
              <w:ind w:left="168"/>
              <w:rPr>
                <w:rFonts w:ascii="Microsoft JhengHei" w:eastAsia="Microsoft JhengHei" w:hint="eastAsia"/>
                <w:b/>
                <w:sz w:val="24"/>
              </w:rPr>
            </w:pPr>
            <w:r>
              <w:rPr>
                <w:rFonts w:ascii="Microsoft JhengHei" w:eastAsia="Microsoft JhengHei" w:hint="eastAsia"/>
                <w:b/>
                <w:sz w:val="24"/>
              </w:rPr>
              <w:t>大疾病保险金</w:t>
            </w:r>
          </w:p>
        </w:tc>
        <w:tc>
          <w:tcPr>
            <w:tcW w:w="7394" w:type="dxa"/>
          </w:tcPr>
          <w:p>
            <w:pPr>
              <w:pStyle w:val="TableParagraph"/>
              <w:spacing w:line="273" w:lineRule="auto" w:before="143"/>
              <w:ind w:left="179" w:right="73"/>
              <w:rPr>
                <w:sz w:val="21"/>
              </w:rPr>
            </w:pPr>
            <w:r>
              <w:rPr>
                <w:sz w:val="21"/>
              </w:rPr>
              <w:t>在申请特定疾病或重大疾病保险金时，申请人须填写保险金给付申请书，并提供下列证明和资料：</w:t>
            </w:r>
          </w:p>
        </w:tc>
      </w:tr>
    </w:tbl>
    <w:p>
      <w:pPr>
        <w:spacing w:after="0" w:line="273" w:lineRule="auto"/>
        <w:rPr>
          <w:sz w:val="21"/>
        </w:rPr>
        <w:sectPr>
          <w:pgSz w:w="11910" w:h="16840"/>
          <w:pgMar w:top="116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780"/>
        <w:gridCol w:w="7497"/>
      </w:tblGrid>
      <w:tr>
        <w:trPr>
          <w:trHeight w:val="1660" w:hRule="atLeast"/>
        </w:trPr>
        <w:tc>
          <w:tcPr>
            <w:tcW w:w="685" w:type="dxa"/>
          </w:tcPr>
          <w:p>
            <w:pPr>
              <w:pStyle w:val="TableParagraph"/>
              <w:rPr>
                <w:rFonts w:ascii="Times New Roman"/>
                <w:sz w:val="20"/>
              </w:rPr>
            </w:pPr>
          </w:p>
        </w:tc>
        <w:tc>
          <w:tcPr>
            <w:tcW w:w="1780" w:type="dxa"/>
          </w:tcPr>
          <w:p>
            <w:pPr>
              <w:pStyle w:val="TableParagraph"/>
              <w:spacing w:line="267" w:lineRule="exact"/>
              <w:ind w:left="167"/>
              <w:rPr>
                <w:rFonts w:ascii="Microsoft JhengHei" w:eastAsia="Microsoft JhengHei" w:hint="eastAsia"/>
                <w:b/>
                <w:sz w:val="24"/>
              </w:rPr>
            </w:pPr>
            <w:r>
              <w:rPr>
                <w:rFonts w:ascii="Microsoft JhengHei" w:eastAsia="Microsoft JhengHei" w:hint="eastAsia"/>
                <w:b/>
                <w:sz w:val="24"/>
              </w:rPr>
              <w:t>申请</w:t>
            </w:r>
          </w:p>
        </w:tc>
        <w:tc>
          <w:tcPr>
            <w:tcW w:w="7497" w:type="dxa"/>
          </w:tcPr>
          <w:p>
            <w:pPr>
              <w:pStyle w:val="TableParagraph"/>
              <w:spacing w:line="211" w:lineRule="exact"/>
              <w:ind w:left="187"/>
              <w:rPr>
                <w:sz w:val="21"/>
              </w:rPr>
            </w:pPr>
            <w:r>
              <w:rPr>
                <w:sz w:val="21"/>
              </w:rPr>
              <w:t>（1）保险合同；</w:t>
            </w:r>
          </w:p>
          <w:p>
            <w:pPr>
              <w:pStyle w:val="TableParagraph"/>
              <w:spacing w:before="37"/>
              <w:ind w:left="187"/>
              <w:rPr>
                <w:sz w:val="21"/>
              </w:rPr>
            </w:pPr>
            <w:r>
              <w:rPr>
                <w:sz w:val="21"/>
              </w:rPr>
              <w:t>（2）申请人的有效身份证件；</w:t>
            </w:r>
          </w:p>
          <w:p>
            <w:pPr>
              <w:pStyle w:val="TableParagraph"/>
              <w:spacing w:line="273" w:lineRule="auto" w:before="36"/>
              <w:ind w:left="692" w:right="266" w:hanging="505"/>
              <w:rPr>
                <w:sz w:val="21"/>
              </w:rPr>
            </w:pPr>
            <w:r>
              <w:rPr>
                <w:sz w:val="21"/>
              </w:rPr>
              <w:t>（3）医院出具的附有病理显微镜检查、血液检验及其他科学方法检验报告的疾病诊断证明书；</w:t>
            </w:r>
          </w:p>
          <w:p>
            <w:pPr>
              <w:pStyle w:val="TableParagraph"/>
              <w:spacing w:before="7"/>
              <w:ind w:left="204"/>
              <w:rPr>
                <w:sz w:val="21"/>
              </w:rPr>
            </w:pPr>
            <w:r>
              <w:rPr>
                <w:sz w:val="21"/>
              </w:rPr>
              <w:t>（4）所能提供的与确认保险事故的性质、原因等有关的其他证明和资料。</w:t>
            </w:r>
          </w:p>
        </w:tc>
      </w:tr>
      <w:tr>
        <w:trPr>
          <w:trHeight w:val="2503" w:hRule="atLeast"/>
        </w:trPr>
        <w:tc>
          <w:tcPr>
            <w:tcW w:w="685" w:type="dxa"/>
          </w:tcPr>
          <w:p>
            <w:pPr>
              <w:pStyle w:val="TableParagraph"/>
              <w:rPr>
                <w:rFonts w:ascii="Times New Roman"/>
                <w:sz w:val="20"/>
              </w:rPr>
            </w:pPr>
          </w:p>
        </w:tc>
        <w:tc>
          <w:tcPr>
            <w:tcW w:w="1780" w:type="dxa"/>
          </w:tcPr>
          <w:p>
            <w:pPr>
              <w:pStyle w:val="TableParagraph"/>
              <w:spacing w:line="182" w:lineRule="auto" w:before="136"/>
              <w:ind w:left="167" w:right="168"/>
              <w:rPr>
                <w:rFonts w:ascii="Microsoft JhengHei" w:eastAsia="Microsoft JhengHei" w:hint="eastAsia"/>
                <w:b/>
                <w:sz w:val="24"/>
              </w:rPr>
            </w:pPr>
            <w:r>
              <w:rPr>
                <w:rFonts w:ascii="Microsoft JhengHei" w:eastAsia="Microsoft JhengHei" w:hint="eastAsia"/>
                <w:b/>
                <w:sz w:val="24"/>
              </w:rPr>
              <w:t>全残保险金申请</w:t>
            </w:r>
          </w:p>
        </w:tc>
        <w:tc>
          <w:tcPr>
            <w:tcW w:w="7497" w:type="dxa"/>
          </w:tcPr>
          <w:p>
            <w:pPr>
              <w:pStyle w:val="TableParagraph"/>
              <w:spacing w:line="273" w:lineRule="auto" w:before="157"/>
              <w:ind w:left="187" w:right="152"/>
              <w:rPr>
                <w:sz w:val="21"/>
              </w:rPr>
            </w:pPr>
            <w:r>
              <w:rPr>
                <w:sz w:val="21"/>
              </w:rPr>
              <w:t>在申请全残保险金时，申请人须填写保险金给付申请书，并提供下列证明和资料：</w:t>
            </w:r>
          </w:p>
          <w:p>
            <w:pPr>
              <w:pStyle w:val="TableParagraph"/>
              <w:spacing w:before="7"/>
              <w:ind w:left="187"/>
              <w:rPr>
                <w:sz w:val="21"/>
              </w:rPr>
            </w:pPr>
            <w:r>
              <w:rPr>
                <w:sz w:val="21"/>
              </w:rPr>
              <w:t>（1）保险合同；</w:t>
            </w:r>
          </w:p>
          <w:p>
            <w:pPr>
              <w:pStyle w:val="TableParagraph"/>
              <w:spacing w:before="37"/>
              <w:ind w:left="187"/>
              <w:rPr>
                <w:sz w:val="21"/>
              </w:rPr>
            </w:pPr>
            <w:r>
              <w:rPr>
                <w:sz w:val="21"/>
              </w:rPr>
              <w:t>（2）申请人的有效身份证件；</w:t>
            </w:r>
          </w:p>
          <w:p>
            <w:pPr>
              <w:pStyle w:val="TableParagraph"/>
              <w:spacing w:before="37"/>
              <w:ind w:left="187"/>
              <w:rPr>
                <w:sz w:val="21"/>
              </w:rPr>
            </w:pPr>
            <w:r>
              <w:rPr>
                <w:sz w:val="21"/>
              </w:rPr>
              <w:t>（3）由双方认可的伤残鉴定机构出具的残疾程度鉴定书；</w:t>
            </w:r>
          </w:p>
          <w:p>
            <w:pPr>
              <w:pStyle w:val="TableParagraph"/>
              <w:spacing w:line="273" w:lineRule="auto" w:before="37"/>
              <w:ind w:left="713" w:right="266" w:hanging="527"/>
              <w:rPr>
                <w:sz w:val="21"/>
              </w:rPr>
            </w:pPr>
            <w:r>
              <w:rPr>
                <w:sz w:val="21"/>
              </w:rPr>
              <w:t>（4）所能提供的与确认保险事故的性质、原因、伤害程度等有关的其他证明和资料。</w:t>
            </w:r>
          </w:p>
        </w:tc>
      </w:tr>
      <w:tr>
        <w:trPr>
          <w:trHeight w:val="3132" w:hRule="atLeast"/>
        </w:trPr>
        <w:tc>
          <w:tcPr>
            <w:tcW w:w="685" w:type="dxa"/>
          </w:tcPr>
          <w:p>
            <w:pPr>
              <w:pStyle w:val="TableParagraph"/>
              <w:rPr>
                <w:rFonts w:ascii="Times New Roman"/>
                <w:sz w:val="20"/>
              </w:rPr>
            </w:pPr>
          </w:p>
        </w:tc>
        <w:tc>
          <w:tcPr>
            <w:tcW w:w="1780" w:type="dxa"/>
          </w:tcPr>
          <w:p>
            <w:pPr>
              <w:pStyle w:val="TableParagraph"/>
              <w:spacing w:line="182" w:lineRule="auto" w:before="134"/>
              <w:ind w:left="167" w:right="168"/>
              <w:rPr>
                <w:rFonts w:ascii="Microsoft JhengHei" w:eastAsia="Microsoft JhengHei" w:hint="eastAsia"/>
                <w:b/>
                <w:sz w:val="24"/>
              </w:rPr>
            </w:pPr>
            <w:r>
              <w:rPr>
                <w:rFonts w:ascii="Microsoft JhengHei" w:eastAsia="Microsoft JhengHei" w:hint="eastAsia"/>
                <w:b/>
                <w:sz w:val="24"/>
              </w:rPr>
              <w:t>身故保险金申请</w:t>
            </w:r>
          </w:p>
        </w:tc>
        <w:tc>
          <w:tcPr>
            <w:tcW w:w="7497" w:type="dxa"/>
          </w:tcPr>
          <w:p>
            <w:pPr>
              <w:pStyle w:val="TableParagraph"/>
              <w:spacing w:line="273" w:lineRule="auto" w:before="155"/>
              <w:ind w:left="187" w:right="199"/>
              <w:rPr>
                <w:sz w:val="21"/>
              </w:rPr>
            </w:pPr>
            <w:r>
              <w:rPr>
                <w:spacing w:val="-6"/>
                <w:sz w:val="21"/>
              </w:rPr>
              <w:t>在申请身故保险金时，申请人须填写保险金给付申请书，并提供下列证明和资料：</w:t>
            </w:r>
          </w:p>
          <w:p>
            <w:pPr>
              <w:pStyle w:val="TableParagraph"/>
              <w:spacing w:before="7"/>
              <w:ind w:left="187"/>
              <w:rPr>
                <w:sz w:val="21"/>
              </w:rPr>
            </w:pPr>
            <w:r>
              <w:rPr>
                <w:sz w:val="21"/>
              </w:rPr>
              <w:t>（1）保险合同；</w:t>
            </w:r>
          </w:p>
          <w:p>
            <w:pPr>
              <w:pStyle w:val="TableParagraph"/>
              <w:spacing w:before="36"/>
              <w:ind w:left="187"/>
              <w:rPr>
                <w:sz w:val="21"/>
              </w:rPr>
            </w:pPr>
            <w:r>
              <w:rPr>
                <w:sz w:val="21"/>
              </w:rPr>
              <w:t>（2）申请人的有效身份证件；</w:t>
            </w:r>
          </w:p>
          <w:p>
            <w:pPr>
              <w:pStyle w:val="TableParagraph"/>
              <w:spacing w:line="273" w:lineRule="auto" w:before="36"/>
              <w:ind w:left="730" w:right="249" w:hanging="527"/>
              <w:rPr>
                <w:sz w:val="21"/>
              </w:rPr>
            </w:pPr>
            <w:r>
              <w:rPr>
                <w:sz w:val="21"/>
              </w:rPr>
              <w:t>（3）国家卫生行政部门认定的医疗机构、公安部门或其他相关机构出具的被保险人的死亡证明；</w:t>
            </w:r>
          </w:p>
          <w:p>
            <w:pPr>
              <w:pStyle w:val="TableParagraph"/>
              <w:spacing w:before="7"/>
              <w:ind w:left="204"/>
              <w:rPr>
                <w:sz w:val="21"/>
              </w:rPr>
            </w:pPr>
            <w:r>
              <w:rPr>
                <w:sz w:val="21"/>
              </w:rPr>
              <w:t>（4）所能提供的与确认保险事故的性质、原因等有关的其他证明和资料。</w:t>
            </w:r>
          </w:p>
          <w:p>
            <w:pPr>
              <w:pStyle w:val="TableParagraph"/>
              <w:spacing w:before="9"/>
              <w:rPr>
                <w:sz w:val="26"/>
              </w:rPr>
            </w:pPr>
          </w:p>
          <w:p>
            <w:pPr>
              <w:pStyle w:val="TableParagraph"/>
              <w:ind w:left="187"/>
              <w:rPr>
                <w:sz w:val="21"/>
              </w:rPr>
            </w:pPr>
            <w:r>
              <w:rPr>
                <w:sz w:val="21"/>
              </w:rPr>
              <w:t>保险金作为被保险人遗产时，必须提供可证明合法继承权的相关权利文件。</w:t>
            </w:r>
          </w:p>
        </w:tc>
      </w:tr>
      <w:tr>
        <w:trPr>
          <w:trHeight w:val="936" w:hRule="atLeast"/>
        </w:trPr>
        <w:tc>
          <w:tcPr>
            <w:tcW w:w="685" w:type="dxa"/>
          </w:tcPr>
          <w:p>
            <w:pPr>
              <w:pStyle w:val="TableParagraph"/>
              <w:rPr>
                <w:rFonts w:ascii="Times New Roman"/>
                <w:sz w:val="20"/>
              </w:rPr>
            </w:pPr>
          </w:p>
        </w:tc>
        <w:tc>
          <w:tcPr>
            <w:tcW w:w="1780" w:type="dxa"/>
          </w:tcPr>
          <w:p>
            <w:pPr>
              <w:pStyle w:val="TableParagraph"/>
              <w:rPr>
                <w:rFonts w:ascii="Times New Roman"/>
                <w:sz w:val="20"/>
              </w:rPr>
            </w:pPr>
          </w:p>
        </w:tc>
        <w:tc>
          <w:tcPr>
            <w:tcW w:w="7497" w:type="dxa"/>
          </w:tcPr>
          <w:p>
            <w:pPr>
              <w:pStyle w:val="TableParagraph"/>
              <w:spacing w:line="273" w:lineRule="auto" w:before="142"/>
              <w:ind w:left="187" w:right="199"/>
              <w:rPr>
                <w:sz w:val="21"/>
              </w:rPr>
            </w:pPr>
            <w:r>
              <w:rPr>
                <w:spacing w:val="-6"/>
                <w:sz w:val="21"/>
              </w:rPr>
              <w:t>以上证明和资料不完整的，我们将及时一次性通知申请人补充提供有关证明和资料。</w:t>
            </w:r>
          </w:p>
        </w:tc>
      </w:tr>
      <w:tr>
        <w:trPr>
          <w:trHeight w:val="6034" w:hRule="atLeast"/>
        </w:trPr>
        <w:tc>
          <w:tcPr>
            <w:tcW w:w="685" w:type="dxa"/>
          </w:tcPr>
          <w:p>
            <w:pPr>
              <w:pStyle w:val="TableParagraph"/>
              <w:spacing w:before="142"/>
              <w:ind w:left="200"/>
              <w:rPr>
                <w:b/>
                <w:sz w:val="21"/>
              </w:rPr>
            </w:pPr>
            <w:r>
              <w:rPr>
                <w:b/>
                <w:sz w:val="21"/>
              </w:rPr>
              <w:t>3.4</w:t>
            </w:r>
          </w:p>
        </w:tc>
        <w:tc>
          <w:tcPr>
            <w:tcW w:w="1780" w:type="dxa"/>
          </w:tcPr>
          <w:p>
            <w:pPr>
              <w:pStyle w:val="TableParagraph"/>
              <w:spacing w:before="142"/>
              <w:ind w:left="167"/>
              <w:rPr>
                <w:b/>
                <w:sz w:val="21"/>
              </w:rPr>
            </w:pPr>
            <w:r>
              <w:rPr>
                <w:b/>
                <w:sz w:val="21"/>
              </w:rPr>
              <w:t>保险金给付</w:t>
            </w:r>
          </w:p>
        </w:tc>
        <w:tc>
          <w:tcPr>
            <w:tcW w:w="7497" w:type="dxa"/>
          </w:tcPr>
          <w:p>
            <w:pPr>
              <w:pStyle w:val="TableParagraph"/>
              <w:spacing w:before="142"/>
              <w:ind w:left="187"/>
              <w:rPr>
                <w:sz w:val="21"/>
              </w:rPr>
            </w:pPr>
            <w:r>
              <w:rPr>
                <w:sz w:val="21"/>
              </w:rPr>
              <w:t>我们在收到保险金给付申请书及合同约定的证明和资料后，将在 5 日内作出核</w:t>
            </w:r>
          </w:p>
          <w:p>
            <w:pPr>
              <w:pStyle w:val="TableParagraph"/>
              <w:spacing w:line="273" w:lineRule="auto" w:before="36"/>
              <w:ind w:left="187" w:right="266"/>
              <w:jc w:val="both"/>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187" w:right="266"/>
              <w:jc w:val="both"/>
              <w:rPr>
                <w:sz w:val="21"/>
              </w:rPr>
            </w:pPr>
            <w:r>
              <w:rPr>
                <w:spacing w:val="-5"/>
                <w:sz w:val="21"/>
              </w:rPr>
              <w:t>对属于保险责任的，我们在与受益人达成给付保险金的协议后 </w:t>
            </w:r>
            <w:r>
              <w:rPr>
                <w:sz w:val="21"/>
              </w:rPr>
              <w:t>10</w:t>
            </w:r>
            <w:r>
              <w:rPr>
                <w:spacing w:val="-9"/>
                <w:sz w:val="21"/>
              </w:rPr>
              <w:t> 日内，履行</w:t>
            </w:r>
            <w:r>
              <w:rPr>
                <w:spacing w:val="-3"/>
                <w:sz w:val="21"/>
              </w:rPr>
              <w:t>给付保险金义务。</w:t>
            </w:r>
          </w:p>
          <w:p>
            <w:pPr>
              <w:pStyle w:val="TableParagraph"/>
              <w:spacing w:before="6"/>
              <w:rPr>
                <w:sz w:val="24"/>
              </w:rPr>
            </w:pPr>
          </w:p>
          <w:p>
            <w:pPr>
              <w:pStyle w:val="TableParagraph"/>
              <w:spacing w:line="273" w:lineRule="auto"/>
              <w:ind w:left="187" w:right="199"/>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before="5"/>
              <w:rPr>
                <w:sz w:val="24"/>
              </w:rPr>
            </w:pPr>
          </w:p>
          <w:p>
            <w:pPr>
              <w:pStyle w:val="TableParagraph"/>
              <w:spacing w:line="273" w:lineRule="auto"/>
              <w:ind w:left="187" w:right="199"/>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168" w:right="199" w:firstLine="19"/>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p>
            <w:pPr>
              <w:pStyle w:val="TableParagraph"/>
              <w:spacing w:before="10"/>
              <w:rPr>
                <w:sz w:val="21"/>
              </w:rPr>
            </w:pPr>
          </w:p>
          <w:p>
            <w:pPr>
              <w:pStyle w:val="TableParagraph"/>
              <w:spacing w:line="310" w:lineRule="atLeast"/>
              <w:ind w:left="187" w:right="199"/>
              <w:jc w:val="both"/>
              <w:rPr>
                <w:sz w:val="21"/>
              </w:rPr>
            </w:pPr>
            <w:r>
              <w:rPr>
                <w:spacing w:val="-6"/>
                <w:sz w:val="21"/>
              </w:rPr>
              <w:t>在本合同有效期内，如果被保险人失踪且被法院宣告死亡，我们以法院判决宣</w:t>
            </w:r>
            <w:r>
              <w:rPr>
                <w:spacing w:val="-7"/>
                <w:sz w:val="21"/>
              </w:rPr>
              <w:t>告死亡之日作为被保险人的死亡时间，按本合同的约定给付身故保险金，本合</w:t>
            </w:r>
          </w:p>
        </w:tc>
      </w:tr>
    </w:tbl>
    <w:p>
      <w:pPr>
        <w:spacing w:after="0" w:line="310" w:lineRule="atLeast"/>
        <w:jc w:val="both"/>
        <w:rPr>
          <w:sz w:val="21"/>
        </w:rPr>
        <w:sectPr>
          <w:pgSz w:w="11910" w:h="16840"/>
          <w:pgMar w:top="1160" w:bottom="280" w:left="102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01"/>
        <w:gridCol w:w="7480"/>
      </w:tblGrid>
      <w:tr>
        <w:trPr>
          <w:trHeight w:val="1666" w:hRule="atLeast"/>
        </w:trPr>
        <w:tc>
          <w:tcPr>
            <w:tcW w:w="900" w:type="dxa"/>
          </w:tcPr>
          <w:p>
            <w:pPr>
              <w:pStyle w:val="TableParagraph"/>
              <w:rPr>
                <w:rFonts w:ascii="Times New Roman"/>
                <w:sz w:val="20"/>
              </w:rPr>
            </w:pPr>
          </w:p>
        </w:tc>
        <w:tc>
          <w:tcPr>
            <w:tcW w:w="1701" w:type="dxa"/>
          </w:tcPr>
          <w:p>
            <w:pPr>
              <w:pStyle w:val="TableParagraph"/>
              <w:rPr>
                <w:rFonts w:ascii="Times New Roman"/>
                <w:sz w:val="20"/>
              </w:rPr>
            </w:pPr>
          </w:p>
        </w:tc>
        <w:tc>
          <w:tcPr>
            <w:tcW w:w="7480" w:type="dxa"/>
          </w:tcPr>
          <w:p>
            <w:pPr>
              <w:pStyle w:val="TableParagraph"/>
              <w:spacing w:line="211" w:lineRule="exact"/>
              <w:ind w:left="267"/>
              <w:rPr>
                <w:sz w:val="21"/>
              </w:rPr>
            </w:pPr>
            <w:r>
              <w:rPr>
                <w:sz w:val="21"/>
              </w:rPr>
              <w:t>同终止。</w:t>
            </w:r>
          </w:p>
          <w:p>
            <w:pPr>
              <w:pStyle w:val="TableParagraph"/>
              <w:spacing w:before="9"/>
              <w:rPr>
                <w:sz w:val="26"/>
              </w:rPr>
            </w:pPr>
          </w:p>
          <w:p>
            <w:pPr>
              <w:pStyle w:val="TableParagraph"/>
              <w:spacing w:line="273" w:lineRule="auto"/>
              <w:ind w:left="248" w:right="102" w:firstLine="19"/>
              <w:rPr>
                <w:sz w:val="21"/>
              </w:rPr>
            </w:pPr>
            <w:r>
              <w:rPr>
                <w:spacing w:val="-5"/>
                <w:sz w:val="21"/>
              </w:rPr>
              <w:t>如果被保险人在宣告死亡后重新出现，身故保险金受益人应于知道或应当知道</w:t>
            </w:r>
            <w:r>
              <w:rPr>
                <w:spacing w:val="-8"/>
                <w:sz w:val="21"/>
              </w:rPr>
              <w:t>被保险人重新出现后 </w:t>
            </w:r>
            <w:r>
              <w:rPr>
                <w:sz w:val="21"/>
              </w:rPr>
              <w:t>30</w:t>
            </w:r>
            <w:r>
              <w:rPr>
                <w:spacing w:val="-8"/>
                <w:sz w:val="21"/>
              </w:rPr>
              <w:t> 日内向我们退还已支付的保险金，本合同的效力依法确定。</w:t>
            </w:r>
          </w:p>
        </w:tc>
      </w:tr>
      <w:tr>
        <w:trPr>
          <w:trHeight w:val="960" w:hRule="atLeast"/>
        </w:trPr>
        <w:tc>
          <w:tcPr>
            <w:tcW w:w="900" w:type="dxa"/>
          </w:tcPr>
          <w:p>
            <w:pPr>
              <w:pStyle w:val="TableParagraph"/>
              <w:spacing w:before="142"/>
              <w:ind w:right="165"/>
              <w:jc w:val="right"/>
              <w:rPr>
                <w:b/>
                <w:sz w:val="21"/>
              </w:rPr>
            </w:pPr>
            <w:r>
              <w:rPr>
                <w:b/>
                <w:sz w:val="21"/>
              </w:rPr>
              <w:t>3.5</w:t>
            </w:r>
          </w:p>
        </w:tc>
        <w:tc>
          <w:tcPr>
            <w:tcW w:w="1701" w:type="dxa"/>
          </w:tcPr>
          <w:p>
            <w:pPr>
              <w:pStyle w:val="TableParagraph"/>
              <w:spacing w:before="142"/>
              <w:ind w:left="168"/>
              <w:rPr>
                <w:b/>
                <w:sz w:val="21"/>
              </w:rPr>
            </w:pPr>
            <w:r>
              <w:rPr>
                <w:b/>
                <w:sz w:val="21"/>
              </w:rPr>
              <w:t>诉讼时效</w:t>
            </w:r>
          </w:p>
        </w:tc>
        <w:tc>
          <w:tcPr>
            <w:tcW w:w="7480" w:type="dxa"/>
          </w:tcPr>
          <w:p>
            <w:pPr>
              <w:pStyle w:val="TableParagraph"/>
              <w:spacing w:line="273" w:lineRule="auto" w:before="142"/>
              <w:ind w:left="267" w:right="102"/>
              <w:rPr>
                <w:sz w:val="21"/>
              </w:rPr>
            </w:pPr>
            <w:r>
              <w:rPr>
                <w:spacing w:val="-5"/>
                <w:sz w:val="21"/>
              </w:rPr>
              <w:t>受益人向我们请求给付保险金的诉讼时效期间为 </w:t>
            </w:r>
            <w:r>
              <w:rPr>
                <w:sz w:val="21"/>
              </w:rPr>
              <w:t>5</w:t>
            </w:r>
            <w:r>
              <w:rPr>
                <w:spacing w:val="-10"/>
                <w:sz w:val="21"/>
              </w:rPr>
              <w:t> 年，自其知道或者应当知道</w:t>
            </w:r>
            <w:r>
              <w:rPr>
                <w:spacing w:val="-5"/>
                <w:sz w:val="21"/>
              </w:rPr>
              <w:t>保险事故发生之日起计算。</w:t>
            </w:r>
          </w:p>
        </w:tc>
      </w:tr>
      <w:tr>
        <w:trPr>
          <w:trHeight w:val="753" w:hRule="atLeast"/>
        </w:trPr>
        <w:tc>
          <w:tcPr>
            <w:tcW w:w="900" w:type="dxa"/>
            <w:tcBorders>
              <w:bottom w:val="single" w:sz="8" w:space="0" w:color="000000"/>
            </w:tcBorders>
          </w:tcPr>
          <w:p>
            <w:pPr>
              <w:pStyle w:val="TableParagraph"/>
              <w:spacing w:before="194"/>
              <w:ind w:left="309"/>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如何支付保险费</w:t>
            </w:r>
          </w:p>
        </w:tc>
      </w:tr>
      <w:tr>
        <w:trPr>
          <w:trHeight w:val="2019" w:hRule="atLeast"/>
        </w:trPr>
        <w:tc>
          <w:tcPr>
            <w:tcW w:w="900" w:type="dxa"/>
            <w:tcBorders>
              <w:top w:val="single" w:sz="8" w:space="0" w:color="000000"/>
            </w:tcBorders>
          </w:tcPr>
          <w:p>
            <w:pPr>
              <w:pStyle w:val="TableParagraph"/>
              <w:spacing w:before="1"/>
              <w:rPr>
                <w:sz w:val="23"/>
              </w:rPr>
            </w:pPr>
          </w:p>
          <w:p>
            <w:pPr>
              <w:pStyle w:val="TableParagraph"/>
              <w:ind w:right="165"/>
              <w:jc w:val="right"/>
              <w:rPr>
                <w:b/>
                <w:sz w:val="21"/>
              </w:rPr>
            </w:pPr>
            <w:r>
              <w:rPr>
                <w:b/>
                <w:sz w:val="21"/>
              </w:rPr>
              <w:t>4.1</w:t>
            </w:r>
          </w:p>
        </w:tc>
        <w:tc>
          <w:tcPr>
            <w:tcW w:w="1701" w:type="dxa"/>
            <w:tcBorders>
              <w:top w:val="single" w:sz="8" w:space="0" w:color="000000"/>
            </w:tcBorders>
          </w:tcPr>
          <w:p>
            <w:pPr>
              <w:pStyle w:val="TableParagraph"/>
              <w:spacing w:before="1"/>
              <w:rPr>
                <w:sz w:val="23"/>
              </w:rPr>
            </w:pPr>
          </w:p>
          <w:p>
            <w:pPr>
              <w:pStyle w:val="TableParagraph"/>
              <w:ind w:left="168"/>
              <w:rPr>
                <w:b/>
                <w:sz w:val="21"/>
              </w:rPr>
            </w:pPr>
            <w:r>
              <w:rPr>
                <w:b/>
                <w:sz w:val="21"/>
              </w:rPr>
              <w:t>保险费的支付</w:t>
            </w:r>
          </w:p>
        </w:tc>
        <w:tc>
          <w:tcPr>
            <w:tcW w:w="7480" w:type="dxa"/>
            <w:tcBorders>
              <w:top w:val="single" w:sz="8" w:space="0" w:color="000000"/>
            </w:tcBorders>
          </w:tcPr>
          <w:p>
            <w:pPr>
              <w:pStyle w:val="TableParagraph"/>
              <w:spacing w:before="1"/>
              <w:rPr>
                <w:sz w:val="23"/>
              </w:rPr>
            </w:pPr>
          </w:p>
          <w:p>
            <w:pPr>
              <w:pStyle w:val="TableParagraph"/>
              <w:ind w:left="267"/>
              <w:rPr>
                <w:sz w:val="21"/>
              </w:rPr>
            </w:pPr>
            <w:r>
              <w:rPr>
                <w:sz w:val="21"/>
              </w:rPr>
              <w:t>本合同的交费方式和交费期间由您和我们约定并在保险单上载明。</w:t>
            </w:r>
          </w:p>
          <w:p>
            <w:pPr>
              <w:pStyle w:val="TableParagraph"/>
              <w:spacing w:before="9"/>
              <w:rPr>
                <w:sz w:val="25"/>
              </w:rPr>
            </w:pPr>
          </w:p>
          <w:p>
            <w:pPr>
              <w:pStyle w:val="TableParagraph"/>
              <w:spacing w:line="273" w:lineRule="auto" w:before="1"/>
              <w:ind w:left="267" w:right="103"/>
              <w:jc w:val="both"/>
              <w:rPr>
                <w:sz w:val="21"/>
              </w:rPr>
            </w:pPr>
            <w:r>
              <w:rPr>
                <w:spacing w:val="-5"/>
                <w:sz w:val="21"/>
              </w:rPr>
              <w:t>您应当按照本合同约定向我们支付保险费。如果您选择分期支付保险费，您在</w:t>
            </w:r>
            <w:r>
              <w:rPr>
                <w:sz w:val="21"/>
              </w:rPr>
              <w:t>支付首期保险费后，应在每期保险费约定支付日或之前支付对应各期的保险费。</w:t>
            </w:r>
          </w:p>
        </w:tc>
      </w:tr>
      <w:tr>
        <w:trPr>
          <w:trHeight w:val="2197" w:hRule="atLeast"/>
        </w:trPr>
        <w:tc>
          <w:tcPr>
            <w:tcW w:w="900" w:type="dxa"/>
          </w:tcPr>
          <w:p>
            <w:pPr>
              <w:pStyle w:val="TableParagraph"/>
              <w:spacing w:before="142"/>
              <w:ind w:right="165"/>
              <w:jc w:val="right"/>
              <w:rPr>
                <w:b/>
                <w:sz w:val="21"/>
              </w:rPr>
            </w:pPr>
            <w:r>
              <w:rPr>
                <w:b/>
                <w:sz w:val="21"/>
              </w:rPr>
              <w:t>4.2</w:t>
            </w:r>
          </w:p>
        </w:tc>
        <w:tc>
          <w:tcPr>
            <w:tcW w:w="1701" w:type="dxa"/>
          </w:tcPr>
          <w:p>
            <w:pPr>
              <w:pStyle w:val="TableParagraph"/>
              <w:spacing w:before="142"/>
              <w:ind w:left="168"/>
              <w:rPr>
                <w:b/>
                <w:sz w:val="21"/>
              </w:rPr>
            </w:pPr>
            <w:r>
              <w:rPr>
                <w:b/>
                <w:sz w:val="21"/>
              </w:rPr>
              <w:t>宽限期</w:t>
            </w:r>
          </w:p>
        </w:tc>
        <w:tc>
          <w:tcPr>
            <w:tcW w:w="7480" w:type="dxa"/>
          </w:tcPr>
          <w:p>
            <w:pPr>
              <w:pStyle w:val="TableParagraph"/>
              <w:spacing w:line="273" w:lineRule="auto" w:before="142"/>
              <w:ind w:left="267" w:right="103"/>
              <w:jc w:val="both"/>
              <w:rPr>
                <w:sz w:val="21"/>
              </w:rPr>
            </w:pPr>
            <w:r>
              <w:rPr>
                <w:spacing w:val="-7"/>
                <w:sz w:val="21"/>
              </w:rPr>
              <w:t>分期支付保险费的，您支付首期保险费后，如果您到期未支付保险费，自保险</w:t>
            </w:r>
            <w:r>
              <w:rPr>
                <w:spacing w:val="-8"/>
                <w:sz w:val="21"/>
              </w:rPr>
              <w:t>费约定支付日的次日零时起 </w:t>
            </w:r>
            <w:r>
              <w:rPr>
                <w:sz w:val="21"/>
              </w:rPr>
              <w:t>60</w:t>
            </w:r>
            <w:r>
              <w:rPr>
                <w:spacing w:val="-8"/>
                <w:sz w:val="21"/>
              </w:rPr>
              <w:t> 日为宽限期。宽限期内发生的保险事故，我们</w:t>
            </w:r>
            <w:r>
              <w:rPr>
                <w:spacing w:val="-5"/>
                <w:sz w:val="21"/>
              </w:rPr>
              <w:t>仍会承担保险责任，但在给付保险金时会扣减您欠交的保险费。</w:t>
            </w:r>
          </w:p>
          <w:p>
            <w:pPr>
              <w:pStyle w:val="TableParagraph"/>
              <w:spacing w:before="6"/>
              <w:rPr>
                <w:sz w:val="23"/>
              </w:rPr>
            </w:pPr>
          </w:p>
          <w:p>
            <w:pPr>
              <w:pStyle w:val="TableParagraph"/>
              <w:spacing w:line="273" w:lineRule="auto"/>
              <w:ind w:left="267" w:right="102"/>
              <w:jc w:val="both"/>
              <w:rPr>
                <w:sz w:val="21"/>
              </w:rPr>
            </w:pPr>
            <w:r>
              <w:rPr>
                <w:spacing w:val="-5"/>
                <w:sz w:val="21"/>
              </w:rPr>
              <w:t>如果您在宽限期结束之后仍未支付保险费，则本合同自宽限期满的次日零时起</w:t>
            </w:r>
            <w:r>
              <w:rPr>
                <w:spacing w:val="-4"/>
                <w:sz w:val="21"/>
              </w:rPr>
              <w:t>效力中止，但本合同另有约定的除外。</w:t>
            </w:r>
          </w:p>
        </w:tc>
      </w:tr>
      <w:tr>
        <w:trPr>
          <w:trHeight w:val="753" w:hRule="atLeast"/>
        </w:trPr>
        <w:tc>
          <w:tcPr>
            <w:tcW w:w="900" w:type="dxa"/>
            <w:tcBorders>
              <w:bottom w:val="single" w:sz="8" w:space="0" w:color="000000"/>
            </w:tcBorders>
          </w:tcPr>
          <w:p>
            <w:pPr>
              <w:pStyle w:val="TableParagraph"/>
              <w:spacing w:before="194"/>
              <w:ind w:left="309"/>
              <w:rPr>
                <w:rFonts w:ascii="Arial" w:hAnsi="Arial"/>
                <w:b/>
                <w:sz w:val="40"/>
              </w:rPr>
            </w:pPr>
            <w:r>
              <w:rPr>
                <w:rFonts w:ascii="Arial" w:hAnsi="Arial"/>
                <w:b/>
                <w:w w:val="119"/>
                <w:sz w:val="40"/>
              </w:rPr>
              <w:t></w:t>
            </w:r>
          </w:p>
        </w:tc>
        <w:tc>
          <w:tcPr>
            <w:tcW w:w="1701" w:type="dxa"/>
            <w:tcBorders>
              <w:bottom w:val="single" w:sz="8" w:space="0" w:color="000000"/>
            </w:tcBorders>
          </w:tcPr>
          <w:p>
            <w:pPr>
              <w:pStyle w:val="TableParagraph"/>
              <w:spacing w:before="10"/>
              <w:rPr>
                <w:sz w:val="18"/>
              </w:rPr>
            </w:pPr>
          </w:p>
          <w:p>
            <w:pPr>
              <w:pStyle w:val="TableParagraph"/>
              <w:ind w:left="168"/>
              <w:rPr>
                <w:b/>
                <w:sz w:val="24"/>
              </w:rPr>
            </w:pPr>
            <w:r>
              <w:rPr>
                <w:b/>
                <w:w w:val="95"/>
                <w:sz w:val="24"/>
              </w:rPr>
              <w:t>现金价值权益</w:t>
            </w:r>
          </w:p>
        </w:tc>
        <w:tc>
          <w:tcPr>
            <w:tcW w:w="7480" w:type="dxa"/>
            <w:tcBorders>
              <w:bottom w:val="single" w:sz="8" w:space="0" w:color="000000"/>
            </w:tcBorders>
          </w:tcPr>
          <w:p>
            <w:pPr>
              <w:pStyle w:val="TableParagraph"/>
              <w:rPr>
                <w:rFonts w:ascii="Times New Roman"/>
                <w:sz w:val="20"/>
              </w:rPr>
            </w:pPr>
          </w:p>
        </w:tc>
      </w:tr>
      <w:tr>
        <w:trPr>
          <w:trHeight w:val="1248"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5.1</w:t>
            </w:r>
          </w:p>
        </w:tc>
        <w:tc>
          <w:tcPr>
            <w:tcW w:w="1701" w:type="dxa"/>
            <w:tcBorders>
              <w:top w:val="single" w:sz="8" w:space="0" w:color="000000"/>
            </w:tcBorders>
          </w:tcPr>
          <w:p>
            <w:pPr>
              <w:pStyle w:val="TableParagraph"/>
              <w:spacing w:before="11"/>
              <w:rPr>
                <w:sz w:val="22"/>
              </w:rPr>
            </w:pPr>
          </w:p>
          <w:p>
            <w:pPr>
              <w:pStyle w:val="TableParagraph"/>
              <w:ind w:left="168"/>
              <w:rPr>
                <w:b/>
                <w:sz w:val="21"/>
              </w:rPr>
            </w:pPr>
            <w:r>
              <w:rPr>
                <w:b/>
                <w:sz w:val="21"/>
              </w:rPr>
              <w:t>现金价值</w:t>
            </w:r>
          </w:p>
        </w:tc>
        <w:tc>
          <w:tcPr>
            <w:tcW w:w="7480" w:type="dxa"/>
            <w:tcBorders>
              <w:top w:val="single" w:sz="8" w:space="0" w:color="000000"/>
            </w:tcBorders>
          </w:tcPr>
          <w:p>
            <w:pPr>
              <w:pStyle w:val="TableParagraph"/>
              <w:spacing w:before="11"/>
              <w:rPr>
                <w:sz w:val="22"/>
              </w:rPr>
            </w:pPr>
          </w:p>
          <w:p>
            <w:pPr>
              <w:pStyle w:val="TableParagraph"/>
              <w:spacing w:line="273" w:lineRule="auto"/>
              <w:ind w:left="267" w:right="54"/>
              <w:rPr>
                <w:sz w:val="21"/>
              </w:rPr>
            </w:pPr>
            <w:r>
              <w:rPr>
                <w:sz w:val="21"/>
              </w:rPr>
              <w:t>本合同保单年度末的现金价值会在保险单上载明。保单年度内的现金价值，您可以向我们咨询。</w:t>
            </w:r>
          </w:p>
        </w:tc>
      </w:tr>
      <w:tr>
        <w:trPr>
          <w:trHeight w:val="2989" w:hRule="atLeast"/>
        </w:trPr>
        <w:tc>
          <w:tcPr>
            <w:tcW w:w="900" w:type="dxa"/>
          </w:tcPr>
          <w:p>
            <w:pPr>
              <w:pStyle w:val="TableParagraph"/>
              <w:spacing w:before="10"/>
              <w:rPr>
                <w:sz w:val="22"/>
              </w:rPr>
            </w:pPr>
          </w:p>
          <w:p>
            <w:pPr>
              <w:pStyle w:val="TableParagraph"/>
              <w:ind w:right="165"/>
              <w:jc w:val="right"/>
              <w:rPr>
                <w:b/>
                <w:sz w:val="21"/>
              </w:rPr>
            </w:pPr>
            <w:r>
              <w:rPr>
                <w:b/>
                <w:sz w:val="21"/>
              </w:rPr>
              <w:t>5.2</w:t>
            </w:r>
          </w:p>
        </w:tc>
        <w:tc>
          <w:tcPr>
            <w:tcW w:w="1701" w:type="dxa"/>
          </w:tcPr>
          <w:p>
            <w:pPr>
              <w:pStyle w:val="TableParagraph"/>
              <w:spacing w:before="10"/>
              <w:rPr>
                <w:sz w:val="22"/>
              </w:rPr>
            </w:pPr>
          </w:p>
          <w:p>
            <w:pPr>
              <w:pStyle w:val="TableParagraph"/>
              <w:ind w:left="168"/>
              <w:rPr>
                <w:b/>
                <w:sz w:val="21"/>
              </w:rPr>
            </w:pPr>
            <w:r>
              <w:rPr>
                <w:b/>
                <w:sz w:val="21"/>
              </w:rPr>
              <w:t>保单贷款</w:t>
            </w:r>
          </w:p>
        </w:tc>
        <w:tc>
          <w:tcPr>
            <w:tcW w:w="7480" w:type="dxa"/>
          </w:tcPr>
          <w:p>
            <w:pPr>
              <w:pStyle w:val="TableParagraph"/>
              <w:spacing w:before="10"/>
              <w:rPr>
                <w:sz w:val="22"/>
              </w:rPr>
            </w:pPr>
          </w:p>
          <w:p>
            <w:pPr>
              <w:pStyle w:val="TableParagraph"/>
              <w:spacing w:line="273" w:lineRule="auto"/>
              <w:ind w:left="267" w:right="-15"/>
              <w:rPr>
                <w:sz w:val="21"/>
              </w:rPr>
            </w:pPr>
            <w:r>
              <w:rPr>
                <w:spacing w:val="-6"/>
                <w:sz w:val="21"/>
              </w:rPr>
              <w:t>在本合同有效期内，您可以申请并经我们审核同意后办理保单贷款。贷款金额</w:t>
            </w:r>
            <w:r>
              <w:rPr>
                <w:spacing w:val="-4"/>
                <w:sz w:val="21"/>
              </w:rPr>
              <w:t>不得超过您申请时本合同现金价值扣除各项欠款及应付利息后余额的</w:t>
            </w:r>
            <w:r>
              <w:rPr>
                <w:sz w:val="21"/>
              </w:rPr>
              <w:t>80</w:t>
            </w:r>
            <w:r>
              <w:rPr>
                <w:spacing w:val="-1"/>
                <w:sz w:val="21"/>
              </w:rPr>
              <w:t>%，每 </w:t>
            </w:r>
            <w:r>
              <w:rPr>
                <w:spacing w:val="-3"/>
                <w:sz w:val="21"/>
              </w:rPr>
              <w:t>次贷款期限最长不超过6个月，贷款利率按您与我们签订的贷款协议中约定的 </w:t>
            </w:r>
            <w:r>
              <w:rPr>
                <w:spacing w:val="-14"/>
                <w:sz w:val="21"/>
              </w:rPr>
              <w:t>利率执行。贷款本息在贷款到期时一并归还。若您到期未能足额偿还贷款本息， </w:t>
            </w:r>
            <w:r>
              <w:rPr>
                <w:spacing w:val="-7"/>
                <w:sz w:val="21"/>
              </w:rPr>
              <w:t>则您所欠的贷款本金及利息将作为新的贷款本金计息。</w:t>
            </w:r>
          </w:p>
          <w:p>
            <w:pPr>
              <w:pStyle w:val="TableParagraph"/>
              <w:spacing w:before="4"/>
              <w:rPr>
                <w:sz w:val="24"/>
              </w:rPr>
            </w:pPr>
          </w:p>
          <w:p>
            <w:pPr>
              <w:pStyle w:val="TableParagraph"/>
              <w:spacing w:line="273" w:lineRule="auto" w:before="1"/>
              <w:ind w:left="267" w:right="66"/>
              <w:rPr>
                <w:sz w:val="21"/>
              </w:rPr>
            </w:pPr>
            <w:r>
              <w:rPr>
                <w:sz w:val="21"/>
              </w:rPr>
              <w:t>当未还贷款本金及利息加上其他各项欠款及应付利息达到本合同现金价值时， 本合同效力中止。</w:t>
            </w:r>
          </w:p>
        </w:tc>
      </w:tr>
      <w:tr>
        <w:trPr>
          <w:trHeight w:val="753" w:hRule="atLeast"/>
        </w:trPr>
        <w:tc>
          <w:tcPr>
            <w:tcW w:w="900" w:type="dxa"/>
            <w:tcBorders>
              <w:bottom w:val="single" w:sz="8" w:space="0" w:color="000000"/>
            </w:tcBorders>
          </w:tcPr>
          <w:p>
            <w:pPr>
              <w:pStyle w:val="TableParagraph"/>
              <w:spacing w:before="194"/>
              <w:ind w:left="309"/>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如何恢复合同效力</w:t>
            </w:r>
          </w:p>
        </w:tc>
      </w:tr>
      <w:tr>
        <w:trPr>
          <w:trHeight w:val="574" w:hRule="atLeast"/>
        </w:trPr>
        <w:tc>
          <w:tcPr>
            <w:tcW w:w="900" w:type="dxa"/>
            <w:tcBorders>
              <w:top w:val="single" w:sz="8" w:space="0" w:color="000000"/>
            </w:tcBorders>
          </w:tcPr>
          <w:p>
            <w:pPr>
              <w:pStyle w:val="TableParagraph"/>
              <w:spacing w:before="11"/>
              <w:rPr>
                <w:sz w:val="22"/>
              </w:rPr>
            </w:pPr>
          </w:p>
          <w:p>
            <w:pPr>
              <w:pStyle w:val="TableParagraph"/>
              <w:spacing w:line="255" w:lineRule="exact"/>
              <w:ind w:right="165"/>
              <w:jc w:val="right"/>
              <w:rPr>
                <w:b/>
                <w:sz w:val="21"/>
              </w:rPr>
            </w:pPr>
            <w:r>
              <w:rPr>
                <w:b/>
                <w:sz w:val="21"/>
              </w:rPr>
              <w:t>6.1</w:t>
            </w:r>
          </w:p>
        </w:tc>
        <w:tc>
          <w:tcPr>
            <w:tcW w:w="1701" w:type="dxa"/>
            <w:tcBorders>
              <w:top w:val="single" w:sz="8" w:space="0" w:color="000000"/>
            </w:tcBorders>
          </w:tcPr>
          <w:p>
            <w:pPr>
              <w:pStyle w:val="TableParagraph"/>
              <w:spacing w:before="11"/>
              <w:rPr>
                <w:sz w:val="22"/>
              </w:rPr>
            </w:pPr>
          </w:p>
          <w:p>
            <w:pPr>
              <w:pStyle w:val="TableParagraph"/>
              <w:spacing w:line="255" w:lineRule="exact"/>
              <w:ind w:left="168"/>
              <w:rPr>
                <w:b/>
                <w:sz w:val="21"/>
              </w:rPr>
            </w:pPr>
            <w:r>
              <w:rPr>
                <w:b/>
                <w:sz w:val="21"/>
              </w:rPr>
              <w:t>效力中止</w:t>
            </w:r>
          </w:p>
        </w:tc>
        <w:tc>
          <w:tcPr>
            <w:tcW w:w="7480" w:type="dxa"/>
            <w:tcBorders>
              <w:top w:val="single" w:sz="8" w:space="0" w:color="000000"/>
            </w:tcBorders>
          </w:tcPr>
          <w:p>
            <w:pPr>
              <w:pStyle w:val="TableParagraph"/>
              <w:spacing w:before="11"/>
              <w:rPr>
                <w:sz w:val="22"/>
              </w:rPr>
            </w:pPr>
          </w:p>
          <w:p>
            <w:pPr>
              <w:pStyle w:val="TableParagraph"/>
              <w:spacing w:line="255" w:lineRule="exact"/>
              <w:ind w:left="267"/>
              <w:rPr>
                <w:sz w:val="21"/>
              </w:rPr>
            </w:pPr>
            <w:r>
              <w:rPr>
                <w:sz w:val="21"/>
              </w:rPr>
              <w:t>在本合同效力中止期间，我们不承担保险责任。</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807"/>
        <w:gridCol w:w="7374"/>
      </w:tblGrid>
      <w:tr>
        <w:trPr>
          <w:trHeight w:val="1690" w:hRule="atLeast"/>
        </w:trPr>
        <w:tc>
          <w:tcPr>
            <w:tcW w:w="900" w:type="dxa"/>
          </w:tcPr>
          <w:p>
            <w:pPr>
              <w:pStyle w:val="TableParagraph"/>
              <w:spacing w:line="211" w:lineRule="exact"/>
              <w:ind w:right="165"/>
              <w:jc w:val="right"/>
              <w:rPr>
                <w:b/>
                <w:sz w:val="21"/>
              </w:rPr>
            </w:pPr>
            <w:r>
              <w:rPr>
                <w:b/>
                <w:sz w:val="21"/>
              </w:rPr>
              <w:t>6.2</w:t>
            </w:r>
          </w:p>
        </w:tc>
        <w:tc>
          <w:tcPr>
            <w:tcW w:w="1807" w:type="dxa"/>
          </w:tcPr>
          <w:p>
            <w:pPr>
              <w:pStyle w:val="TableParagraph"/>
              <w:spacing w:line="211" w:lineRule="exact"/>
              <w:ind w:left="168"/>
              <w:rPr>
                <w:b/>
                <w:sz w:val="21"/>
              </w:rPr>
            </w:pPr>
            <w:r>
              <w:rPr>
                <w:b/>
                <w:sz w:val="21"/>
              </w:rPr>
              <w:t>效力恢复</w:t>
            </w:r>
          </w:p>
        </w:tc>
        <w:tc>
          <w:tcPr>
            <w:tcW w:w="7374" w:type="dxa"/>
          </w:tcPr>
          <w:p>
            <w:pPr>
              <w:pStyle w:val="TableParagraph"/>
              <w:spacing w:line="211" w:lineRule="exact"/>
              <w:ind w:left="161"/>
              <w:rPr>
                <w:sz w:val="21"/>
              </w:rPr>
            </w:pPr>
            <w:r>
              <w:rPr>
                <w:spacing w:val="-7"/>
                <w:sz w:val="21"/>
              </w:rPr>
              <w:t>本合同效力中止后 </w:t>
            </w:r>
            <w:r>
              <w:rPr>
                <w:sz w:val="21"/>
              </w:rPr>
              <w:t>2</w:t>
            </w:r>
            <w:r>
              <w:rPr>
                <w:spacing w:val="-9"/>
                <w:sz w:val="21"/>
              </w:rPr>
              <w:t> 年内，您可以申请恢复合同效力。经我们与您协商并达成</w:t>
            </w:r>
          </w:p>
          <w:p>
            <w:pPr>
              <w:pStyle w:val="TableParagraph"/>
              <w:spacing w:before="37"/>
              <w:ind w:left="161"/>
              <w:rPr>
                <w:sz w:val="21"/>
              </w:rPr>
            </w:pPr>
            <w:r>
              <w:rPr>
                <w:sz w:val="21"/>
              </w:rPr>
              <w:t>协议，在您补交保险费及其他未还款项之日起，合同效力恢复。</w:t>
            </w:r>
          </w:p>
          <w:p>
            <w:pPr>
              <w:pStyle w:val="TableParagraph"/>
              <w:spacing w:before="8"/>
              <w:rPr>
                <w:sz w:val="26"/>
              </w:rPr>
            </w:pPr>
          </w:p>
          <w:p>
            <w:pPr>
              <w:pStyle w:val="TableParagraph"/>
              <w:spacing w:line="273" w:lineRule="auto"/>
              <w:ind w:left="161" w:right="66"/>
              <w:rPr>
                <w:sz w:val="21"/>
              </w:rPr>
            </w:pPr>
            <w:r>
              <w:rPr>
                <w:spacing w:val="-6"/>
                <w:sz w:val="21"/>
              </w:rPr>
              <w:t>自本合同效力中止之日起满 </w:t>
            </w:r>
            <w:r>
              <w:rPr>
                <w:sz w:val="21"/>
              </w:rPr>
              <w:t>2</w:t>
            </w:r>
            <w:r>
              <w:rPr>
                <w:spacing w:val="-8"/>
                <w:sz w:val="21"/>
              </w:rPr>
              <w:t> 年您和我们未达成协议的，我们有权解除合同。</w:t>
            </w:r>
            <w:r>
              <w:rPr>
                <w:spacing w:val="-3"/>
                <w:sz w:val="21"/>
              </w:rPr>
              <w:t>我们解除合同的，向您退还合同效力中止时本合同的现金价值。</w:t>
            </w:r>
          </w:p>
        </w:tc>
      </w:tr>
      <w:tr>
        <w:trPr>
          <w:trHeight w:val="753" w:hRule="atLeast"/>
        </w:trPr>
        <w:tc>
          <w:tcPr>
            <w:tcW w:w="900" w:type="dxa"/>
            <w:tcBorders>
              <w:bottom w:val="single" w:sz="8" w:space="0" w:color="000000"/>
            </w:tcBorders>
          </w:tcPr>
          <w:p>
            <w:pPr>
              <w:pStyle w:val="TableParagraph"/>
              <w:spacing w:before="194"/>
              <w:ind w:left="309"/>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如何解除保险合同</w:t>
            </w:r>
          </w:p>
        </w:tc>
      </w:tr>
      <w:tr>
        <w:trPr>
          <w:trHeight w:val="3304"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7.1</w:t>
            </w:r>
          </w:p>
        </w:tc>
        <w:tc>
          <w:tcPr>
            <w:tcW w:w="1807" w:type="dxa"/>
            <w:tcBorders>
              <w:top w:val="single" w:sz="8" w:space="0" w:color="000000"/>
            </w:tcBorders>
          </w:tcPr>
          <w:p>
            <w:pPr>
              <w:pStyle w:val="TableParagraph"/>
              <w:rPr>
                <w:sz w:val="23"/>
              </w:rPr>
            </w:pPr>
          </w:p>
          <w:p>
            <w:pPr>
              <w:pStyle w:val="TableParagraph"/>
              <w:spacing w:line="273" w:lineRule="auto"/>
              <w:ind w:left="168" w:right="158"/>
              <w:rPr>
                <w:b/>
                <w:sz w:val="21"/>
              </w:rPr>
            </w:pPr>
            <w:r>
              <w:rPr>
                <w:b/>
                <w:sz w:val="21"/>
              </w:rPr>
              <w:t>您解除合同的手续及风险</w:t>
            </w:r>
          </w:p>
        </w:tc>
        <w:tc>
          <w:tcPr>
            <w:tcW w:w="7374" w:type="dxa"/>
            <w:tcBorders>
              <w:top w:val="single" w:sz="8" w:space="0" w:color="000000"/>
            </w:tcBorders>
          </w:tcPr>
          <w:p>
            <w:pPr>
              <w:pStyle w:val="TableParagraph"/>
              <w:rPr>
                <w:sz w:val="23"/>
              </w:rPr>
            </w:pPr>
          </w:p>
          <w:p>
            <w:pPr>
              <w:pStyle w:val="TableParagraph"/>
              <w:spacing w:line="273" w:lineRule="auto"/>
              <w:ind w:left="161" w:right="102"/>
              <w:rPr>
                <w:sz w:val="21"/>
              </w:rPr>
            </w:pPr>
            <w:r>
              <w:rPr>
                <w:spacing w:val="-6"/>
                <w:sz w:val="21"/>
              </w:rPr>
              <w:t>如您在犹豫期后申请解除本合同，请填写解除合同申请书并向我们提供下列资料：</w:t>
            </w:r>
          </w:p>
          <w:p>
            <w:pPr>
              <w:pStyle w:val="TableParagraph"/>
              <w:spacing w:before="7"/>
              <w:ind w:left="161"/>
              <w:rPr>
                <w:sz w:val="21"/>
              </w:rPr>
            </w:pPr>
            <w:r>
              <w:rPr>
                <w:sz w:val="21"/>
              </w:rPr>
              <w:t>（1）保险合同；</w:t>
            </w:r>
          </w:p>
          <w:p>
            <w:pPr>
              <w:pStyle w:val="TableParagraph"/>
              <w:spacing w:before="37"/>
              <w:ind w:left="161"/>
              <w:rPr>
                <w:sz w:val="21"/>
              </w:rPr>
            </w:pPr>
            <w:r>
              <w:rPr>
                <w:sz w:val="21"/>
              </w:rPr>
              <w:t>（2）您的有效身份证件。</w:t>
            </w:r>
          </w:p>
          <w:p>
            <w:pPr>
              <w:pStyle w:val="TableParagraph"/>
              <w:spacing w:before="8"/>
              <w:rPr>
                <w:sz w:val="26"/>
              </w:rPr>
            </w:pPr>
          </w:p>
          <w:p>
            <w:pPr>
              <w:pStyle w:val="TableParagraph"/>
              <w:spacing w:line="273" w:lineRule="auto"/>
              <w:ind w:left="161" w:right="102"/>
              <w:rPr>
                <w:sz w:val="21"/>
              </w:rPr>
            </w:pPr>
            <w:r>
              <w:rPr>
                <w:spacing w:val="-6"/>
                <w:sz w:val="21"/>
              </w:rPr>
              <w:t>自我们收到解除合同申请书时起，本合同终止。我们自收到解除合同申请书之</w:t>
            </w:r>
            <w:r>
              <w:rPr>
                <w:spacing w:val="-20"/>
                <w:sz w:val="21"/>
              </w:rPr>
              <w:t>日起 </w:t>
            </w:r>
            <w:r>
              <w:rPr>
                <w:sz w:val="21"/>
              </w:rPr>
              <w:t>30</w:t>
            </w:r>
            <w:r>
              <w:rPr>
                <w:spacing w:val="-3"/>
                <w:sz w:val="21"/>
              </w:rPr>
              <w:t> 日内向您退还本合同的现金价值。</w:t>
            </w:r>
          </w:p>
          <w:p>
            <w:pPr>
              <w:pStyle w:val="TableParagraph"/>
              <w:spacing w:before="5"/>
              <w:rPr>
                <w:sz w:val="24"/>
              </w:rPr>
            </w:pPr>
          </w:p>
          <w:p>
            <w:pPr>
              <w:pStyle w:val="TableParagraph"/>
              <w:ind w:left="161"/>
              <w:rPr>
                <w:sz w:val="21"/>
              </w:rPr>
            </w:pPr>
            <w:r>
              <w:rPr>
                <w:sz w:val="21"/>
              </w:rPr>
              <w:t>您在犹豫期后解除合同会遭受一定损失。</w:t>
            </w:r>
          </w:p>
        </w:tc>
      </w:tr>
      <w:tr>
        <w:trPr>
          <w:trHeight w:val="753" w:hRule="atLeast"/>
        </w:trPr>
        <w:tc>
          <w:tcPr>
            <w:tcW w:w="900" w:type="dxa"/>
            <w:tcBorders>
              <w:bottom w:val="single" w:sz="8" w:space="0" w:color="000000"/>
            </w:tcBorders>
          </w:tcPr>
          <w:p>
            <w:pPr>
              <w:pStyle w:val="TableParagraph"/>
              <w:spacing w:before="194"/>
              <w:ind w:left="309"/>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其他需要关注的事项</w:t>
            </w:r>
          </w:p>
        </w:tc>
      </w:tr>
      <w:tr>
        <w:trPr>
          <w:trHeight w:val="6709"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8.1</w:t>
            </w:r>
          </w:p>
        </w:tc>
        <w:tc>
          <w:tcPr>
            <w:tcW w:w="1807" w:type="dxa"/>
            <w:tcBorders>
              <w:top w:val="single" w:sz="8" w:space="0" w:color="000000"/>
            </w:tcBorders>
          </w:tcPr>
          <w:p>
            <w:pPr>
              <w:pStyle w:val="TableParagraph"/>
              <w:spacing w:before="11"/>
              <w:rPr>
                <w:sz w:val="22"/>
              </w:rPr>
            </w:pPr>
          </w:p>
          <w:p>
            <w:pPr>
              <w:pStyle w:val="TableParagraph"/>
              <w:spacing w:line="273" w:lineRule="auto"/>
              <w:ind w:left="168" w:right="158"/>
              <w:rPr>
                <w:b/>
                <w:sz w:val="21"/>
              </w:rPr>
            </w:pPr>
            <w:r>
              <w:rPr>
                <w:b/>
                <w:sz w:val="21"/>
              </w:rPr>
              <w:t>明确说明与如实告知</w:t>
            </w:r>
          </w:p>
        </w:tc>
        <w:tc>
          <w:tcPr>
            <w:tcW w:w="7374" w:type="dxa"/>
            <w:tcBorders>
              <w:top w:val="single" w:sz="8" w:space="0" w:color="000000"/>
            </w:tcBorders>
          </w:tcPr>
          <w:p>
            <w:pPr>
              <w:pStyle w:val="TableParagraph"/>
              <w:spacing w:before="11"/>
              <w:rPr>
                <w:sz w:val="22"/>
              </w:rPr>
            </w:pPr>
          </w:p>
          <w:p>
            <w:pPr>
              <w:pStyle w:val="TableParagraph"/>
              <w:ind w:left="161"/>
              <w:rPr>
                <w:sz w:val="21"/>
              </w:rPr>
            </w:pPr>
            <w:r>
              <w:rPr>
                <w:sz w:val="21"/>
              </w:rPr>
              <w:t>订立本合同时，我们应向您说明本合同的内容。</w:t>
            </w:r>
          </w:p>
          <w:p>
            <w:pPr>
              <w:pStyle w:val="TableParagraph"/>
              <w:spacing w:before="8"/>
              <w:rPr>
                <w:sz w:val="26"/>
              </w:rPr>
            </w:pPr>
          </w:p>
          <w:p>
            <w:pPr>
              <w:pStyle w:val="TableParagraph"/>
              <w:spacing w:line="273" w:lineRule="auto"/>
              <w:ind w:left="161" w:right="-15"/>
              <w:jc w:val="both"/>
              <w:rPr>
                <w:sz w:val="21"/>
              </w:rPr>
            </w:pPr>
            <w:r>
              <w:rPr>
                <w:spacing w:val="-5"/>
                <w:sz w:val="21"/>
              </w:rPr>
              <w:t>对保险条款中免除我们责任的条款，我们在订立合同时应当在投保单、保险单</w:t>
            </w:r>
            <w:r>
              <w:rPr>
                <w:spacing w:val="-6"/>
                <w:sz w:val="21"/>
              </w:rPr>
              <w:t>或者其他保险凭证上作出足以引起您注意的提示，并对该条款的内容以书面或</w:t>
            </w:r>
            <w:r>
              <w:rPr>
                <w:spacing w:val="-11"/>
                <w:sz w:val="21"/>
              </w:rPr>
              <w:t>者口头形式向您作出明确说明，未作提示或者明确说明的，该条款不产生效力。</w:t>
            </w:r>
          </w:p>
          <w:p>
            <w:pPr>
              <w:pStyle w:val="TableParagraph"/>
              <w:spacing w:before="5"/>
              <w:rPr>
                <w:sz w:val="24"/>
              </w:rPr>
            </w:pPr>
          </w:p>
          <w:p>
            <w:pPr>
              <w:pStyle w:val="TableParagraph"/>
              <w:ind w:left="161"/>
              <w:rPr>
                <w:sz w:val="21"/>
              </w:rPr>
            </w:pPr>
            <w:r>
              <w:rPr>
                <w:sz w:val="21"/>
              </w:rPr>
              <w:t>我们就您和被保险人的有关情况提出询问，您应当如实告知。</w:t>
            </w:r>
          </w:p>
          <w:p>
            <w:pPr>
              <w:pStyle w:val="TableParagraph"/>
              <w:spacing w:before="8"/>
              <w:rPr>
                <w:sz w:val="26"/>
              </w:rPr>
            </w:pPr>
          </w:p>
          <w:p>
            <w:pPr>
              <w:pStyle w:val="TableParagraph"/>
              <w:spacing w:line="273" w:lineRule="auto"/>
              <w:ind w:left="161" w:right="54"/>
              <w:rPr>
                <w:sz w:val="21"/>
              </w:rPr>
            </w:pPr>
            <w:r>
              <w:rPr>
                <w:sz w:val="21"/>
              </w:rPr>
              <w:t>如果您故意或者因重大过失未履行前款规定的如实告知义务，足以影响我们决定是否同意承保或者提高保险费率的，我们有权解除本合同。</w:t>
            </w:r>
          </w:p>
          <w:p>
            <w:pPr>
              <w:pStyle w:val="TableParagraph"/>
              <w:spacing w:before="5"/>
              <w:rPr>
                <w:sz w:val="24"/>
              </w:rPr>
            </w:pPr>
          </w:p>
          <w:p>
            <w:pPr>
              <w:pStyle w:val="TableParagraph"/>
              <w:spacing w:line="273" w:lineRule="auto"/>
              <w:ind w:left="161" w:right="71"/>
              <w:rPr>
                <w:sz w:val="21"/>
              </w:rPr>
            </w:pPr>
            <w:r>
              <w:rPr>
                <w:sz w:val="21"/>
              </w:rPr>
              <w:t>如果您故意不履行如实告知义务，对于本合同解除前发生的保险事故，我们不承担给付保险金的责任，并不退还保险费。</w:t>
            </w:r>
          </w:p>
          <w:p>
            <w:pPr>
              <w:pStyle w:val="TableParagraph"/>
              <w:spacing w:before="4"/>
              <w:rPr>
                <w:sz w:val="24"/>
              </w:rPr>
            </w:pPr>
          </w:p>
          <w:p>
            <w:pPr>
              <w:pStyle w:val="TableParagraph"/>
              <w:spacing w:line="273" w:lineRule="auto" w:before="1"/>
              <w:ind w:left="161" w:right="102"/>
              <w:jc w:val="both"/>
              <w:rPr>
                <w:sz w:val="21"/>
              </w:rPr>
            </w:pPr>
            <w:r>
              <w:rPr>
                <w:spacing w:val="-5"/>
                <w:sz w:val="21"/>
              </w:rPr>
              <w:t>如果您因重大过失未履行如实告知义务，对保险事故的发生有严重影响的，对</w:t>
            </w:r>
            <w:r>
              <w:rPr>
                <w:spacing w:val="-7"/>
                <w:sz w:val="21"/>
              </w:rPr>
              <w:t>于本合同解除前发生的保险事故，我们不承担给付保险金的责任，但应当退还</w:t>
            </w:r>
            <w:r>
              <w:rPr>
                <w:spacing w:val="-5"/>
                <w:sz w:val="21"/>
              </w:rPr>
              <w:t>保险费。</w:t>
            </w:r>
          </w:p>
          <w:p>
            <w:pPr>
              <w:pStyle w:val="TableParagraph"/>
              <w:spacing w:before="5"/>
              <w:rPr>
                <w:sz w:val="24"/>
              </w:rPr>
            </w:pPr>
          </w:p>
          <w:p>
            <w:pPr>
              <w:pStyle w:val="TableParagraph"/>
              <w:spacing w:line="273" w:lineRule="auto"/>
              <w:ind w:left="161" w:right="54"/>
              <w:rPr>
                <w:sz w:val="21"/>
              </w:rPr>
            </w:pPr>
            <w:r>
              <w:rPr>
                <w:sz w:val="21"/>
              </w:rPr>
              <w:t>我们在合同订立时已经知道您未如实告知的情况的，我们不得解除合同；发生保险事故的，我们承担给付保险金的责任。</w:t>
            </w:r>
          </w:p>
        </w:tc>
      </w:tr>
      <w:tr>
        <w:trPr>
          <w:trHeight w:val="1041" w:hRule="atLeast"/>
        </w:trPr>
        <w:tc>
          <w:tcPr>
            <w:tcW w:w="900" w:type="dxa"/>
          </w:tcPr>
          <w:p>
            <w:pPr>
              <w:pStyle w:val="TableParagraph"/>
              <w:spacing w:before="143"/>
              <w:ind w:right="165"/>
              <w:jc w:val="right"/>
              <w:rPr>
                <w:b/>
                <w:sz w:val="21"/>
              </w:rPr>
            </w:pPr>
            <w:r>
              <w:rPr>
                <w:b/>
                <w:sz w:val="21"/>
              </w:rPr>
              <w:t>8.2</w:t>
            </w:r>
          </w:p>
        </w:tc>
        <w:tc>
          <w:tcPr>
            <w:tcW w:w="1807" w:type="dxa"/>
          </w:tcPr>
          <w:p>
            <w:pPr>
              <w:pStyle w:val="TableParagraph"/>
              <w:spacing w:line="273" w:lineRule="auto" w:before="143"/>
              <w:ind w:left="168" w:right="158"/>
              <w:rPr>
                <w:b/>
                <w:sz w:val="21"/>
              </w:rPr>
            </w:pPr>
            <w:r>
              <w:rPr>
                <w:b/>
                <w:sz w:val="21"/>
              </w:rPr>
              <w:t>我们合同解除权的限制</w:t>
            </w:r>
          </w:p>
        </w:tc>
        <w:tc>
          <w:tcPr>
            <w:tcW w:w="7374" w:type="dxa"/>
          </w:tcPr>
          <w:p>
            <w:pPr>
              <w:pStyle w:val="TableParagraph"/>
              <w:spacing w:before="143"/>
              <w:ind w:left="161"/>
              <w:rPr>
                <w:sz w:val="21"/>
              </w:rPr>
            </w:pPr>
            <w:r>
              <w:rPr>
                <w:sz w:val="21"/>
              </w:rPr>
              <w:t>前条规定的合同解除权，自我们知道有解除事由之日起，超过 30 日不行使而</w:t>
            </w:r>
          </w:p>
          <w:p>
            <w:pPr>
              <w:pStyle w:val="TableParagraph"/>
              <w:spacing w:line="310" w:lineRule="atLeast" w:before="2"/>
              <w:ind w:left="161" w:right="102"/>
              <w:rPr>
                <w:sz w:val="21"/>
              </w:rPr>
            </w:pPr>
            <w:r>
              <w:rPr>
                <w:spacing w:val="-6"/>
                <w:sz w:val="21"/>
              </w:rPr>
              <w:t>消灭。自本合同成立或复效之日起超过 </w:t>
            </w:r>
            <w:r>
              <w:rPr>
                <w:sz w:val="21"/>
              </w:rPr>
              <w:t>2</w:t>
            </w:r>
            <w:r>
              <w:rPr>
                <w:spacing w:val="-9"/>
                <w:sz w:val="21"/>
              </w:rPr>
              <w:t> 年的，我们不得解除合同；发生保险</w:t>
            </w:r>
            <w:r>
              <w:rPr>
                <w:spacing w:val="-5"/>
                <w:sz w:val="21"/>
              </w:rPr>
              <w:t>事故的，我们承担给付保险金的责任。</w:t>
            </w:r>
          </w:p>
        </w:tc>
      </w:tr>
    </w:tbl>
    <w:p>
      <w:pPr>
        <w:spacing w:after="0" w:line="310" w:lineRule="atLeas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99"/>
        <w:gridCol w:w="7482"/>
      </w:tblGrid>
      <w:tr>
        <w:trPr>
          <w:trHeight w:val="3537" w:hRule="atLeast"/>
        </w:trPr>
        <w:tc>
          <w:tcPr>
            <w:tcW w:w="900" w:type="dxa"/>
          </w:tcPr>
          <w:p>
            <w:pPr>
              <w:pStyle w:val="TableParagraph"/>
              <w:spacing w:line="211" w:lineRule="exact"/>
              <w:ind w:right="165"/>
              <w:jc w:val="right"/>
              <w:rPr>
                <w:b/>
                <w:sz w:val="21"/>
              </w:rPr>
            </w:pPr>
            <w:r>
              <w:rPr>
                <w:b/>
                <w:sz w:val="21"/>
              </w:rPr>
              <w:t>8.3</w:t>
            </w:r>
          </w:p>
        </w:tc>
        <w:tc>
          <w:tcPr>
            <w:tcW w:w="1699" w:type="dxa"/>
          </w:tcPr>
          <w:p>
            <w:pPr>
              <w:pStyle w:val="TableParagraph"/>
              <w:spacing w:line="211" w:lineRule="exact"/>
              <w:ind w:left="168"/>
              <w:rPr>
                <w:b/>
                <w:sz w:val="21"/>
              </w:rPr>
            </w:pPr>
            <w:r>
              <w:rPr>
                <w:b/>
                <w:sz w:val="21"/>
              </w:rPr>
              <w:t>年龄错误</w:t>
            </w:r>
          </w:p>
        </w:tc>
        <w:tc>
          <w:tcPr>
            <w:tcW w:w="7482" w:type="dxa"/>
          </w:tcPr>
          <w:p>
            <w:pPr>
              <w:pStyle w:val="TableParagraph"/>
              <w:spacing w:line="211" w:lineRule="exact"/>
              <w:ind w:left="269"/>
              <w:rPr>
                <w:sz w:val="21"/>
              </w:rPr>
            </w:pPr>
            <w:r>
              <w:rPr>
                <w:sz w:val="21"/>
              </w:rPr>
              <w:t>您在申请投保时，应将与有效身份证件相符的被保险人的出生日期在投保单上</w:t>
            </w:r>
          </w:p>
          <w:p>
            <w:pPr>
              <w:pStyle w:val="TableParagraph"/>
              <w:spacing w:before="37"/>
              <w:ind w:left="269"/>
              <w:rPr>
                <w:sz w:val="21"/>
              </w:rPr>
            </w:pPr>
            <w:r>
              <w:rPr>
                <w:sz w:val="21"/>
              </w:rPr>
              <w:t>填明，如果发生错误按照下列方式办理：</w:t>
            </w:r>
          </w:p>
          <w:p>
            <w:pPr>
              <w:pStyle w:val="TableParagraph"/>
              <w:spacing w:line="273" w:lineRule="auto" w:before="37"/>
              <w:ind w:left="773" w:right="169" w:hanging="505"/>
              <w:jc w:val="both"/>
              <w:rPr>
                <w:sz w:val="21"/>
              </w:rPr>
            </w:pPr>
            <w:r>
              <w:rPr>
                <w:sz w:val="21"/>
              </w:rPr>
              <w:t>（1）您申报的被保险人年龄不真实，并且其真实年龄不符合本合同约定投保年龄限制的，在保险事故发生之前我们有权解除合同，并向您退还本合同的现金价值。我们行使合同解除权适用“我们合同解除权的限制”的规定；</w:t>
            </w:r>
          </w:p>
          <w:p>
            <w:pPr>
              <w:pStyle w:val="TableParagraph"/>
              <w:spacing w:line="273" w:lineRule="auto" w:before="7"/>
              <w:ind w:left="776" w:right="107" w:hanging="507"/>
              <w:jc w:val="both"/>
              <w:rPr>
                <w:sz w:val="21"/>
              </w:rPr>
            </w:pPr>
            <w:r>
              <w:rPr>
                <w:sz w:val="21"/>
              </w:rPr>
              <w:t>（2）您申报的被保险人年龄不真实，致使您实付保险费少于应付保险费的， 我们有权更正并要求您补交保险费；若已经发生保险事故，在给付保险金时按实付保险费与应付保险费的比例给付；</w:t>
            </w:r>
          </w:p>
          <w:p>
            <w:pPr>
              <w:pStyle w:val="TableParagraph"/>
              <w:spacing w:line="273" w:lineRule="auto" w:before="7"/>
              <w:ind w:left="795" w:right="107" w:hanging="527"/>
              <w:jc w:val="both"/>
              <w:rPr>
                <w:sz w:val="21"/>
              </w:rPr>
            </w:pPr>
            <w:r>
              <w:rPr>
                <w:sz w:val="21"/>
              </w:rPr>
              <w:t>（3）您申报的被保险人年龄不真实，致使您实付保险费多于应付保险费的， 我们会将多收的保险费退还给您。</w:t>
            </w:r>
          </w:p>
        </w:tc>
      </w:tr>
      <w:tr>
        <w:trPr>
          <w:trHeight w:val="936" w:hRule="atLeast"/>
        </w:trPr>
        <w:tc>
          <w:tcPr>
            <w:tcW w:w="900" w:type="dxa"/>
          </w:tcPr>
          <w:p>
            <w:pPr>
              <w:pStyle w:val="TableParagraph"/>
              <w:spacing w:before="143"/>
              <w:ind w:right="165"/>
              <w:jc w:val="right"/>
              <w:rPr>
                <w:b/>
                <w:sz w:val="21"/>
              </w:rPr>
            </w:pPr>
            <w:r>
              <w:rPr>
                <w:b/>
                <w:w w:val="95"/>
                <w:sz w:val="21"/>
              </w:rPr>
              <w:t>8.4</w:t>
            </w:r>
          </w:p>
        </w:tc>
        <w:tc>
          <w:tcPr>
            <w:tcW w:w="1699" w:type="dxa"/>
          </w:tcPr>
          <w:p>
            <w:pPr>
              <w:pStyle w:val="TableParagraph"/>
              <w:spacing w:before="143"/>
              <w:ind w:left="168"/>
              <w:rPr>
                <w:b/>
                <w:sz w:val="21"/>
              </w:rPr>
            </w:pPr>
            <w:r>
              <w:rPr>
                <w:b/>
                <w:sz w:val="21"/>
              </w:rPr>
              <w:t>未还款项</w:t>
            </w:r>
          </w:p>
        </w:tc>
        <w:tc>
          <w:tcPr>
            <w:tcW w:w="7482" w:type="dxa"/>
          </w:tcPr>
          <w:p>
            <w:pPr>
              <w:pStyle w:val="TableParagraph"/>
              <w:spacing w:line="273" w:lineRule="auto" w:before="143"/>
              <w:ind w:left="269" w:right="71"/>
              <w:rPr>
                <w:sz w:val="21"/>
              </w:rPr>
            </w:pPr>
            <w:r>
              <w:rPr>
                <w:sz w:val="21"/>
              </w:rPr>
              <w:t>我们在给付各项保险金、退还现金价值或退还保险费时，如果您有欠交的保险费或其他各项欠款，我们在扣除上述各项欠款及应付利息后给付。</w:t>
            </w:r>
          </w:p>
        </w:tc>
      </w:tr>
      <w:tr>
        <w:trPr>
          <w:trHeight w:val="1247" w:hRule="atLeast"/>
        </w:trPr>
        <w:tc>
          <w:tcPr>
            <w:tcW w:w="900" w:type="dxa"/>
          </w:tcPr>
          <w:p>
            <w:pPr>
              <w:pStyle w:val="TableParagraph"/>
              <w:spacing w:before="142"/>
              <w:ind w:right="165"/>
              <w:jc w:val="right"/>
              <w:rPr>
                <w:b/>
                <w:sz w:val="21"/>
              </w:rPr>
            </w:pPr>
            <w:r>
              <w:rPr>
                <w:b/>
                <w:sz w:val="21"/>
              </w:rPr>
              <w:t>8.5</w:t>
            </w:r>
          </w:p>
        </w:tc>
        <w:tc>
          <w:tcPr>
            <w:tcW w:w="1699" w:type="dxa"/>
          </w:tcPr>
          <w:p>
            <w:pPr>
              <w:pStyle w:val="TableParagraph"/>
              <w:spacing w:before="142"/>
              <w:ind w:left="168"/>
              <w:rPr>
                <w:b/>
                <w:sz w:val="21"/>
              </w:rPr>
            </w:pPr>
            <w:r>
              <w:rPr>
                <w:b/>
                <w:sz w:val="21"/>
              </w:rPr>
              <w:t>合同内容变更</w:t>
            </w:r>
          </w:p>
        </w:tc>
        <w:tc>
          <w:tcPr>
            <w:tcW w:w="7482" w:type="dxa"/>
          </w:tcPr>
          <w:p>
            <w:pPr>
              <w:pStyle w:val="TableParagraph"/>
              <w:spacing w:line="273" w:lineRule="auto" w:before="142"/>
              <w:ind w:left="269" w:right="102"/>
              <w:jc w:val="both"/>
              <w:rPr>
                <w:sz w:val="21"/>
              </w:rPr>
            </w:pPr>
            <w:r>
              <w:rPr>
                <w:spacing w:val="-7"/>
                <w:sz w:val="21"/>
              </w:rPr>
              <w:t>在本合同有效期内，经您与我们协商一致，可以变更本合同内容。变更本合同</w:t>
            </w:r>
            <w:r>
              <w:rPr>
                <w:spacing w:val="-8"/>
                <w:sz w:val="21"/>
              </w:rPr>
              <w:t>内容的，应当由我们在保险单或其他保险凭证上批注或附贴批单，或由您与我</w:t>
            </w:r>
            <w:r>
              <w:rPr>
                <w:spacing w:val="-5"/>
                <w:sz w:val="21"/>
              </w:rPr>
              <w:t>们订立书面的变更协议。</w:t>
            </w:r>
          </w:p>
        </w:tc>
      </w:tr>
      <w:tr>
        <w:trPr>
          <w:trHeight w:val="1560" w:hRule="atLeast"/>
        </w:trPr>
        <w:tc>
          <w:tcPr>
            <w:tcW w:w="900" w:type="dxa"/>
          </w:tcPr>
          <w:p>
            <w:pPr>
              <w:pStyle w:val="TableParagraph"/>
              <w:spacing w:before="142"/>
              <w:ind w:right="165"/>
              <w:jc w:val="right"/>
              <w:rPr>
                <w:b/>
                <w:sz w:val="21"/>
              </w:rPr>
            </w:pPr>
            <w:r>
              <w:rPr>
                <w:b/>
                <w:sz w:val="21"/>
              </w:rPr>
              <w:t>8.6</w:t>
            </w:r>
          </w:p>
        </w:tc>
        <w:tc>
          <w:tcPr>
            <w:tcW w:w="1699" w:type="dxa"/>
          </w:tcPr>
          <w:p>
            <w:pPr>
              <w:pStyle w:val="TableParagraph"/>
              <w:spacing w:before="142"/>
              <w:ind w:left="168"/>
              <w:rPr>
                <w:b/>
                <w:sz w:val="21"/>
              </w:rPr>
            </w:pPr>
            <w:r>
              <w:rPr>
                <w:b/>
                <w:sz w:val="21"/>
              </w:rPr>
              <w:t>联系方式变更</w:t>
            </w:r>
          </w:p>
        </w:tc>
        <w:tc>
          <w:tcPr>
            <w:tcW w:w="7482" w:type="dxa"/>
          </w:tcPr>
          <w:p>
            <w:pPr>
              <w:pStyle w:val="TableParagraph"/>
              <w:spacing w:line="273" w:lineRule="auto" w:before="142"/>
              <w:ind w:left="269" w:right="102"/>
              <w:jc w:val="both"/>
              <w:rPr>
                <w:sz w:val="21"/>
              </w:rPr>
            </w:pPr>
            <w:r>
              <w:rPr>
                <w:spacing w:val="-7"/>
                <w:sz w:val="21"/>
              </w:rPr>
              <w:t>为了保障您的合法权益，您的住所、通讯地址或电话等联系方式变更时，请及时以书面形式或双方认可的其他形式通知我们。若您未以书面形式或双方认可</w:t>
            </w:r>
            <w:r>
              <w:rPr>
                <w:spacing w:val="-9"/>
                <w:sz w:val="21"/>
              </w:rPr>
              <w:t>的其他形式通知我们，我们按本合同载明的最后住所或通讯地址发送的有关通</w:t>
            </w:r>
            <w:r>
              <w:rPr>
                <w:spacing w:val="-5"/>
                <w:sz w:val="21"/>
              </w:rPr>
              <w:t>知，均视为已送达给您。</w:t>
            </w:r>
          </w:p>
        </w:tc>
      </w:tr>
      <w:tr>
        <w:trPr>
          <w:trHeight w:val="1584" w:hRule="atLeast"/>
        </w:trPr>
        <w:tc>
          <w:tcPr>
            <w:tcW w:w="900" w:type="dxa"/>
          </w:tcPr>
          <w:p>
            <w:pPr>
              <w:pStyle w:val="TableParagraph"/>
              <w:spacing w:before="142"/>
              <w:ind w:right="165"/>
              <w:jc w:val="right"/>
              <w:rPr>
                <w:b/>
                <w:sz w:val="21"/>
              </w:rPr>
            </w:pPr>
            <w:r>
              <w:rPr>
                <w:b/>
                <w:sz w:val="21"/>
              </w:rPr>
              <w:t>8.7</w:t>
            </w:r>
          </w:p>
        </w:tc>
        <w:tc>
          <w:tcPr>
            <w:tcW w:w="1699" w:type="dxa"/>
          </w:tcPr>
          <w:p>
            <w:pPr>
              <w:pStyle w:val="TableParagraph"/>
              <w:spacing w:before="142"/>
              <w:ind w:left="168"/>
              <w:rPr>
                <w:b/>
                <w:sz w:val="21"/>
              </w:rPr>
            </w:pPr>
            <w:r>
              <w:rPr>
                <w:b/>
                <w:sz w:val="21"/>
              </w:rPr>
              <w:t>争议处理</w:t>
            </w:r>
          </w:p>
        </w:tc>
        <w:tc>
          <w:tcPr>
            <w:tcW w:w="7482" w:type="dxa"/>
          </w:tcPr>
          <w:p>
            <w:pPr>
              <w:pStyle w:val="TableParagraph"/>
              <w:spacing w:before="142"/>
              <w:ind w:left="269"/>
              <w:rPr>
                <w:sz w:val="21"/>
              </w:rPr>
            </w:pPr>
            <w:r>
              <w:rPr>
                <w:sz w:val="21"/>
              </w:rPr>
              <w:t>合同争议解决方式由当事人在合同约定时从下列两种方式中选择一种：</w:t>
            </w:r>
          </w:p>
          <w:p>
            <w:pPr>
              <w:pStyle w:val="TableParagraph"/>
              <w:spacing w:before="36"/>
              <w:ind w:left="269" w:right="-15"/>
              <w:rPr>
                <w:sz w:val="21"/>
              </w:rPr>
            </w:pPr>
            <w:r>
              <w:rPr>
                <w:spacing w:val="-4"/>
                <w:sz w:val="21"/>
              </w:rPr>
              <w:t>（1）</w:t>
            </w:r>
            <w:r>
              <w:rPr>
                <w:spacing w:val="-6"/>
                <w:sz w:val="21"/>
              </w:rPr>
              <w:t>因履行本合同发生的争议，由当事人协商解决，协商不成的，提交仲裁；</w:t>
            </w:r>
          </w:p>
          <w:p>
            <w:pPr>
              <w:pStyle w:val="TableParagraph"/>
              <w:spacing w:line="273" w:lineRule="auto" w:before="36"/>
              <w:ind w:left="790" w:right="105" w:hanging="527"/>
              <w:rPr>
                <w:sz w:val="21"/>
              </w:rPr>
            </w:pPr>
            <w:r>
              <w:rPr>
                <w:sz w:val="21"/>
              </w:rPr>
              <w:t>（2）因履行本合同发生的争议，由当事人协商解决，协商不成的，依法向人民法院起诉。</w:t>
            </w:r>
          </w:p>
        </w:tc>
      </w:tr>
      <w:tr>
        <w:trPr>
          <w:trHeight w:val="753" w:hRule="atLeast"/>
        </w:trPr>
        <w:tc>
          <w:tcPr>
            <w:tcW w:w="900" w:type="dxa"/>
            <w:tcBorders>
              <w:bottom w:val="single" w:sz="8" w:space="0" w:color="000000"/>
            </w:tcBorders>
          </w:tcPr>
          <w:p>
            <w:pPr>
              <w:pStyle w:val="TableParagraph"/>
              <w:spacing w:before="194"/>
              <w:ind w:left="304"/>
              <w:rPr>
                <w:rFonts w:ascii="Arial" w:hAnsi="Arial"/>
                <w:b/>
                <w:sz w:val="40"/>
              </w:rPr>
            </w:pPr>
            <w:r>
              <w:rPr>
                <w:rFonts w:ascii="Arial" w:hAnsi="Arial"/>
                <w:b/>
                <w:w w:val="119"/>
                <w:sz w:val="40"/>
              </w:rPr>
              <w:t></w:t>
            </w:r>
          </w:p>
        </w:tc>
        <w:tc>
          <w:tcPr>
            <w:tcW w:w="1699" w:type="dxa"/>
            <w:tcBorders>
              <w:bottom w:val="single" w:sz="8" w:space="0" w:color="000000"/>
            </w:tcBorders>
          </w:tcPr>
          <w:p>
            <w:pPr>
              <w:pStyle w:val="TableParagraph"/>
              <w:spacing w:before="10"/>
              <w:rPr>
                <w:sz w:val="18"/>
              </w:rPr>
            </w:pPr>
          </w:p>
          <w:p>
            <w:pPr>
              <w:pStyle w:val="TableParagraph"/>
              <w:ind w:left="168"/>
              <w:rPr>
                <w:b/>
                <w:sz w:val="24"/>
              </w:rPr>
            </w:pPr>
            <w:r>
              <w:rPr>
                <w:b/>
                <w:sz w:val="24"/>
              </w:rPr>
              <w:t>释义</w:t>
            </w:r>
          </w:p>
        </w:tc>
        <w:tc>
          <w:tcPr>
            <w:tcW w:w="7482" w:type="dxa"/>
            <w:tcBorders>
              <w:bottom w:val="single" w:sz="8" w:space="0" w:color="000000"/>
            </w:tcBorders>
          </w:tcPr>
          <w:p>
            <w:pPr>
              <w:pStyle w:val="TableParagraph"/>
              <w:rPr>
                <w:rFonts w:ascii="Times New Roman"/>
                <w:sz w:val="20"/>
              </w:rPr>
            </w:pPr>
          </w:p>
        </w:tc>
      </w:tr>
      <w:tr>
        <w:trPr>
          <w:trHeight w:val="1095" w:hRule="atLeast"/>
        </w:trPr>
        <w:tc>
          <w:tcPr>
            <w:tcW w:w="900" w:type="dxa"/>
            <w:tcBorders>
              <w:top w:val="single" w:sz="8" w:space="0" w:color="000000"/>
            </w:tcBorders>
          </w:tcPr>
          <w:p>
            <w:pPr>
              <w:pStyle w:val="TableParagraph"/>
              <w:spacing w:before="1"/>
              <w:rPr>
                <w:sz w:val="23"/>
              </w:rPr>
            </w:pPr>
          </w:p>
          <w:p>
            <w:pPr>
              <w:pStyle w:val="TableParagraph"/>
              <w:ind w:right="165"/>
              <w:jc w:val="right"/>
              <w:rPr>
                <w:b/>
                <w:sz w:val="21"/>
              </w:rPr>
            </w:pPr>
            <w:r>
              <w:rPr>
                <w:b/>
                <w:sz w:val="21"/>
              </w:rPr>
              <w:t>9.1</w:t>
            </w:r>
          </w:p>
        </w:tc>
        <w:tc>
          <w:tcPr>
            <w:tcW w:w="1699" w:type="dxa"/>
            <w:tcBorders>
              <w:top w:val="single" w:sz="8" w:space="0" w:color="000000"/>
            </w:tcBorders>
          </w:tcPr>
          <w:p>
            <w:pPr>
              <w:pStyle w:val="TableParagraph"/>
              <w:spacing w:before="1"/>
              <w:rPr>
                <w:sz w:val="23"/>
              </w:rPr>
            </w:pPr>
          </w:p>
          <w:p>
            <w:pPr>
              <w:pStyle w:val="TableParagraph"/>
              <w:ind w:left="168"/>
              <w:rPr>
                <w:b/>
                <w:sz w:val="21"/>
              </w:rPr>
            </w:pPr>
            <w:r>
              <w:rPr>
                <w:b/>
                <w:sz w:val="21"/>
              </w:rPr>
              <w:t>保单年度</w:t>
            </w:r>
          </w:p>
        </w:tc>
        <w:tc>
          <w:tcPr>
            <w:tcW w:w="7482" w:type="dxa"/>
            <w:tcBorders>
              <w:top w:val="single" w:sz="8" w:space="0" w:color="000000"/>
            </w:tcBorders>
          </w:tcPr>
          <w:p>
            <w:pPr>
              <w:pStyle w:val="TableParagraph"/>
              <w:spacing w:before="1"/>
              <w:rPr>
                <w:sz w:val="23"/>
              </w:rPr>
            </w:pPr>
          </w:p>
          <w:p>
            <w:pPr>
              <w:pStyle w:val="TableParagraph"/>
              <w:spacing w:line="273" w:lineRule="auto"/>
              <w:ind w:left="269" w:right="273"/>
              <w:rPr>
                <w:sz w:val="21"/>
              </w:rPr>
            </w:pPr>
            <w:r>
              <w:rPr>
                <w:sz w:val="21"/>
              </w:rPr>
              <w:t>指从保险合同生效日或生效对应日零时起至下一年度保险合同生效对应日零时止的期间为一个保单年度。</w:t>
            </w:r>
          </w:p>
        </w:tc>
      </w:tr>
      <w:tr>
        <w:trPr>
          <w:trHeight w:val="936" w:hRule="atLeast"/>
        </w:trPr>
        <w:tc>
          <w:tcPr>
            <w:tcW w:w="900" w:type="dxa"/>
          </w:tcPr>
          <w:p>
            <w:pPr>
              <w:pStyle w:val="TableParagraph"/>
              <w:spacing w:before="142"/>
              <w:ind w:right="165"/>
              <w:jc w:val="right"/>
              <w:rPr>
                <w:b/>
                <w:sz w:val="21"/>
              </w:rPr>
            </w:pPr>
            <w:r>
              <w:rPr>
                <w:b/>
                <w:sz w:val="21"/>
              </w:rPr>
              <w:t>9.2</w:t>
            </w:r>
          </w:p>
        </w:tc>
        <w:tc>
          <w:tcPr>
            <w:tcW w:w="1699" w:type="dxa"/>
          </w:tcPr>
          <w:p>
            <w:pPr>
              <w:pStyle w:val="TableParagraph"/>
              <w:spacing w:before="142"/>
              <w:ind w:left="168"/>
              <w:rPr>
                <w:b/>
                <w:sz w:val="21"/>
              </w:rPr>
            </w:pPr>
            <w:r>
              <w:rPr>
                <w:b/>
                <w:sz w:val="21"/>
              </w:rPr>
              <w:t>周岁</w:t>
            </w:r>
          </w:p>
        </w:tc>
        <w:tc>
          <w:tcPr>
            <w:tcW w:w="7482" w:type="dxa"/>
          </w:tcPr>
          <w:p>
            <w:pPr>
              <w:pStyle w:val="TableParagraph"/>
              <w:spacing w:line="273" w:lineRule="auto" w:before="142"/>
              <w:ind w:left="269" w:right="54"/>
              <w:rPr>
                <w:sz w:val="21"/>
              </w:rPr>
            </w:pPr>
            <w:r>
              <w:rPr>
                <w:sz w:val="21"/>
              </w:rPr>
              <w:t>指按有效身份证件中记载的出生日期计算的年龄，自出生之日起为零周岁，每经过一年增加一岁，不足一年的不计。</w:t>
            </w:r>
          </w:p>
        </w:tc>
      </w:tr>
      <w:tr>
        <w:trPr>
          <w:trHeight w:val="935" w:hRule="atLeast"/>
        </w:trPr>
        <w:tc>
          <w:tcPr>
            <w:tcW w:w="900" w:type="dxa"/>
          </w:tcPr>
          <w:p>
            <w:pPr>
              <w:pStyle w:val="TableParagraph"/>
              <w:spacing w:before="142"/>
              <w:ind w:right="165"/>
              <w:jc w:val="right"/>
              <w:rPr>
                <w:b/>
                <w:sz w:val="21"/>
              </w:rPr>
            </w:pPr>
            <w:r>
              <w:rPr>
                <w:b/>
                <w:sz w:val="21"/>
              </w:rPr>
              <w:t>9.3</w:t>
            </w:r>
          </w:p>
        </w:tc>
        <w:tc>
          <w:tcPr>
            <w:tcW w:w="1699" w:type="dxa"/>
          </w:tcPr>
          <w:p>
            <w:pPr>
              <w:pStyle w:val="TableParagraph"/>
              <w:spacing w:before="142"/>
              <w:ind w:left="168"/>
              <w:rPr>
                <w:b/>
                <w:sz w:val="21"/>
              </w:rPr>
            </w:pPr>
            <w:r>
              <w:rPr>
                <w:b/>
                <w:sz w:val="21"/>
              </w:rPr>
              <w:t>有效身份证件</w:t>
            </w:r>
          </w:p>
        </w:tc>
        <w:tc>
          <w:tcPr>
            <w:tcW w:w="7482" w:type="dxa"/>
          </w:tcPr>
          <w:p>
            <w:pPr>
              <w:pStyle w:val="TableParagraph"/>
              <w:spacing w:line="273" w:lineRule="auto" w:before="142"/>
              <w:ind w:left="269" w:right="71"/>
              <w:rPr>
                <w:sz w:val="21"/>
              </w:rPr>
            </w:pPr>
            <w:r>
              <w:rPr>
                <w:sz w:val="21"/>
              </w:rPr>
              <w:t>指由政府主管部门规定的证明其身份的证件，如：居民身份证、按规定可使用的有效护照、军官证、警官证、士兵证等证件。</w:t>
            </w:r>
          </w:p>
        </w:tc>
      </w:tr>
      <w:tr>
        <w:trPr>
          <w:trHeight w:val="624" w:hRule="atLeast"/>
        </w:trPr>
        <w:tc>
          <w:tcPr>
            <w:tcW w:w="900" w:type="dxa"/>
          </w:tcPr>
          <w:p>
            <w:pPr>
              <w:pStyle w:val="TableParagraph"/>
              <w:spacing w:before="142"/>
              <w:ind w:right="165"/>
              <w:jc w:val="right"/>
              <w:rPr>
                <w:b/>
                <w:sz w:val="21"/>
              </w:rPr>
            </w:pPr>
            <w:r>
              <w:rPr>
                <w:b/>
                <w:sz w:val="21"/>
              </w:rPr>
              <w:t>9.4</w:t>
            </w:r>
          </w:p>
        </w:tc>
        <w:tc>
          <w:tcPr>
            <w:tcW w:w="1699" w:type="dxa"/>
          </w:tcPr>
          <w:p>
            <w:pPr>
              <w:pStyle w:val="TableParagraph"/>
              <w:spacing w:before="142"/>
              <w:ind w:left="168"/>
              <w:rPr>
                <w:b/>
                <w:sz w:val="21"/>
              </w:rPr>
            </w:pPr>
            <w:r>
              <w:rPr>
                <w:b/>
                <w:sz w:val="21"/>
              </w:rPr>
              <w:t>意外伤害事故</w:t>
            </w:r>
          </w:p>
        </w:tc>
        <w:tc>
          <w:tcPr>
            <w:tcW w:w="7482" w:type="dxa"/>
          </w:tcPr>
          <w:p>
            <w:pPr>
              <w:pStyle w:val="TableParagraph"/>
              <w:spacing w:before="142"/>
              <w:ind w:left="269" w:right="-15"/>
              <w:rPr>
                <w:sz w:val="21"/>
              </w:rPr>
            </w:pPr>
            <w:r>
              <w:rPr>
                <w:spacing w:val="-14"/>
                <w:sz w:val="21"/>
              </w:rPr>
              <w:t>指外来的、突发的、非本意的、非疾病的使被保险人身体受到伤害的客观事件。</w:t>
            </w:r>
          </w:p>
        </w:tc>
      </w:tr>
      <w:tr>
        <w:trPr>
          <w:trHeight w:val="729" w:hRule="atLeast"/>
        </w:trPr>
        <w:tc>
          <w:tcPr>
            <w:tcW w:w="900" w:type="dxa"/>
          </w:tcPr>
          <w:p>
            <w:pPr>
              <w:pStyle w:val="TableParagraph"/>
              <w:spacing w:before="143"/>
              <w:ind w:right="165"/>
              <w:jc w:val="right"/>
              <w:rPr>
                <w:b/>
                <w:sz w:val="21"/>
              </w:rPr>
            </w:pPr>
            <w:r>
              <w:rPr>
                <w:b/>
                <w:sz w:val="21"/>
              </w:rPr>
              <w:t>9.5</w:t>
            </w:r>
          </w:p>
        </w:tc>
        <w:tc>
          <w:tcPr>
            <w:tcW w:w="1699" w:type="dxa"/>
          </w:tcPr>
          <w:p>
            <w:pPr>
              <w:pStyle w:val="TableParagraph"/>
              <w:spacing w:before="143"/>
              <w:ind w:left="168"/>
              <w:rPr>
                <w:b/>
                <w:sz w:val="21"/>
              </w:rPr>
            </w:pPr>
            <w:r>
              <w:rPr>
                <w:b/>
                <w:sz w:val="21"/>
              </w:rPr>
              <w:t>初次发生</w:t>
            </w:r>
          </w:p>
        </w:tc>
        <w:tc>
          <w:tcPr>
            <w:tcW w:w="7482" w:type="dxa"/>
          </w:tcPr>
          <w:p>
            <w:pPr>
              <w:pStyle w:val="TableParagraph"/>
              <w:spacing w:line="310" w:lineRule="atLeast" w:before="107"/>
              <w:ind w:left="269" w:right="54"/>
              <w:rPr>
                <w:sz w:val="21"/>
              </w:rPr>
            </w:pPr>
            <w:r>
              <w:rPr>
                <w:sz w:val="21"/>
              </w:rPr>
              <w:t>指被保险人首次出现重大疾病或特定疾病的前兆或异常的身体状况，包括与重大疾病或特定疾病相关的症状及体征。</w:t>
            </w:r>
          </w:p>
        </w:tc>
      </w:tr>
    </w:tbl>
    <w:p>
      <w:pPr>
        <w:spacing w:after="0" w:line="310" w:lineRule="atLeast"/>
        <w:rPr>
          <w:sz w:val="21"/>
        </w:rPr>
        <w:sectPr>
          <w:pgSz w:w="11910" w:h="16840"/>
          <w:pgMar w:top="148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489"/>
        <w:gridCol w:w="7789"/>
      </w:tblGrid>
      <w:tr>
        <w:trPr>
          <w:trHeight w:val="1353" w:hRule="atLeast"/>
        </w:trPr>
        <w:tc>
          <w:tcPr>
            <w:tcW w:w="685" w:type="dxa"/>
          </w:tcPr>
          <w:p>
            <w:pPr>
              <w:pStyle w:val="TableParagraph"/>
              <w:spacing w:line="211" w:lineRule="exact"/>
              <w:ind w:right="166"/>
              <w:jc w:val="right"/>
              <w:rPr>
                <w:b/>
                <w:sz w:val="21"/>
              </w:rPr>
            </w:pPr>
            <w:r>
              <w:rPr>
                <w:b/>
                <w:sz w:val="21"/>
              </w:rPr>
              <w:t>9.6</w:t>
            </w:r>
          </w:p>
        </w:tc>
        <w:tc>
          <w:tcPr>
            <w:tcW w:w="1489" w:type="dxa"/>
          </w:tcPr>
          <w:p>
            <w:pPr>
              <w:pStyle w:val="TableParagraph"/>
              <w:spacing w:line="211" w:lineRule="exact"/>
              <w:ind w:left="167"/>
              <w:rPr>
                <w:b/>
                <w:sz w:val="21"/>
              </w:rPr>
            </w:pPr>
            <w:r>
              <w:rPr>
                <w:b/>
                <w:sz w:val="21"/>
              </w:rPr>
              <w:t>医院</w:t>
            </w:r>
          </w:p>
        </w:tc>
        <w:tc>
          <w:tcPr>
            <w:tcW w:w="7789" w:type="dxa"/>
          </w:tcPr>
          <w:p>
            <w:pPr>
              <w:pStyle w:val="TableParagraph"/>
              <w:spacing w:line="211" w:lineRule="exact"/>
              <w:ind w:left="478"/>
              <w:rPr>
                <w:sz w:val="21"/>
              </w:rPr>
            </w:pPr>
            <w:r>
              <w:rPr>
                <w:sz w:val="21"/>
              </w:rPr>
              <w:t>指国家卫生部医院等级分类中的二级或二级以上的公立医院，但不包括附属于</w:t>
            </w:r>
          </w:p>
          <w:p>
            <w:pPr>
              <w:pStyle w:val="TableParagraph"/>
              <w:spacing w:line="273" w:lineRule="auto" w:before="37"/>
              <w:ind w:left="478" w:right="200"/>
              <w:jc w:val="both"/>
              <w:rPr>
                <w:sz w:val="21"/>
              </w:rPr>
            </w:pP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685" w:type="dxa"/>
          </w:tcPr>
          <w:p>
            <w:pPr>
              <w:pStyle w:val="TableParagraph"/>
              <w:spacing w:before="142"/>
              <w:ind w:right="166"/>
              <w:jc w:val="right"/>
              <w:rPr>
                <w:b/>
                <w:sz w:val="21"/>
              </w:rPr>
            </w:pPr>
            <w:r>
              <w:rPr>
                <w:b/>
                <w:sz w:val="21"/>
              </w:rPr>
              <w:t>9.7</w:t>
            </w:r>
          </w:p>
        </w:tc>
        <w:tc>
          <w:tcPr>
            <w:tcW w:w="1489" w:type="dxa"/>
          </w:tcPr>
          <w:p>
            <w:pPr>
              <w:pStyle w:val="TableParagraph"/>
              <w:spacing w:before="142"/>
              <w:ind w:left="167"/>
              <w:rPr>
                <w:b/>
                <w:sz w:val="21"/>
              </w:rPr>
            </w:pPr>
            <w:r>
              <w:rPr>
                <w:b/>
                <w:sz w:val="21"/>
              </w:rPr>
              <w:t>专科医生</w:t>
            </w:r>
          </w:p>
        </w:tc>
        <w:tc>
          <w:tcPr>
            <w:tcW w:w="7789" w:type="dxa"/>
          </w:tcPr>
          <w:p>
            <w:pPr>
              <w:pStyle w:val="TableParagraph"/>
              <w:spacing w:before="142"/>
              <w:ind w:left="478"/>
              <w:rPr>
                <w:sz w:val="21"/>
              </w:rPr>
            </w:pPr>
            <w:r>
              <w:rPr>
                <w:sz w:val="21"/>
              </w:rPr>
              <w:t>专科医生应当同时满足以下四项资格条件：</w:t>
            </w:r>
          </w:p>
          <w:p>
            <w:pPr>
              <w:pStyle w:val="TableParagraph"/>
              <w:spacing w:before="36"/>
              <w:ind w:left="478"/>
              <w:rPr>
                <w:sz w:val="21"/>
              </w:rPr>
            </w:pPr>
            <w:r>
              <w:rPr>
                <w:sz w:val="21"/>
              </w:rPr>
              <w:t>（1）具有有效的中华人民共和国《医师资格证书》；</w:t>
            </w:r>
          </w:p>
          <w:p>
            <w:pPr>
              <w:pStyle w:val="TableParagraph"/>
              <w:spacing w:line="273" w:lineRule="auto" w:before="36"/>
              <w:ind w:left="1002" w:right="197" w:hanging="527"/>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7"/>
              <w:ind w:left="1004" w:right="202" w:hanging="527"/>
              <w:rPr>
                <w:sz w:val="21"/>
              </w:rPr>
            </w:pPr>
            <w:r>
              <w:rPr>
                <w:sz w:val="21"/>
              </w:rPr>
              <w:t>（3）具有有效的中华人民共和国主治医师或主治医师以上职称的《医师职称证书》；</w:t>
            </w:r>
          </w:p>
          <w:p>
            <w:pPr>
              <w:pStyle w:val="TableParagraph"/>
              <w:spacing w:before="8"/>
              <w:ind w:left="478"/>
              <w:rPr>
                <w:sz w:val="21"/>
              </w:rPr>
            </w:pPr>
            <w:r>
              <w:rPr>
                <w:sz w:val="21"/>
              </w:rPr>
              <w:t>（4）在二级或二级以上医院的相应科室从事临床工作三年以上。</w:t>
            </w:r>
          </w:p>
        </w:tc>
      </w:tr>
      <w:tr>
        <w:trPr>
          <w:trHeight w:val="9747" w:hRule="atLeast"/>
        </w:trPr>
        <w:tc>
          <w:tcPr>
            <w:tcW w:w="685" w:type="dxa"/>
          </w:tcPr>
          <w:p>
            <w:pPr>
              <w:pStyle w:val="TableParagraph"/>
              <w:spacing w:before="142"/>
              <w:ind w:right="166"/>
              <w:jc w:val="right"/>
              <w:rPr>
                <w:b/>
                <w:sz w:val="21"/>
              </w:rPr>
            </w:pPr>
            <w:r>
              <w:rPr>
                <w:b/>
                <w:sz w:val="21"/>
              </w:rPr>
              <w:t>9.8</w:t>
            </w:r>
          </w:p>
        </w:tc>
        <w:tc>
          <w:tcPr>
            <w:tcW w:w="1489" w:type="dxa"/>
          </w:tcPr>
          <w:p>
            <w:pPr>
              <w:pStyle w:val="TableParagraph"/>
              <w:spacing w:before="142"/>
              <w:ind w:left="167"/>
              <w:rPr>
                <w:b/>
                <w:sz w:val="21"/>
              </w:rPr>
            </w:pPr>
            <w:r>
              <w:rPr>
                <w:b/>
                <w:sz w:val="21"/>
              </w:rPr>
              <w:t>特定疾病</w:t>
            </w:r>
          </w:p>
        </w:tc>
        <w:tc>
          <w:tcPr>
            <w:tcW w:w="7789" w:type="dxa"/>
          </w:tcPr>
          <w:p>
            <w:pPr>
              <w:pStyle w:val="TableParagraph"/>
              <w:spacing w:line="273" w:lineRule="auto" w:before="142"/>
              <w:ind w:left="478" w:right="168"/>
              <w:rPr>
                <w:sz w:val="21"/>
              </w:rPr>
            </w:pPr>
            <w:r>
              <w:rPr>
                <w:sz w:val="21"/>
              </w:rPr>
              <w:t>本合同所指特定疾病，是被保险人发生符合以下定义所述条件的疾病、疾病状态或手术，共计五十种。特定疾病的名称及定义如下：</w:t>
            </w:r>
          </w:p>
          <w:p>
            <w:pPr>
              <w:pStyle w:val="TableParagraph"/>
              <w:rPr>
                <w:sz w:val="22"/>
              </w:rPr>
            </w:pPr>
          </w:p>
          <w:p>
            <w:pPr>
              <w:pStyle w:val="TableParagraph"/>
              <w:ind w:left="478"/>
              <w:rPr>
                <w:b/>
                <w:sz w:val="21"/>
              </w:rPr>
            </w:pPr>
            <w:r>
              <w:rPr>
                <w:b/>
                <w:sz w:val="21"/>
              </w:rPr>
              <w:t>（一）特定恶性病变或恶性肿瘤</w:t>
            </w:r>
          </w:p>
          <w:p>
            <w:pPr>
              <w:pStyle w:val="TableParagraph"/>
              <w:spacing w:before="37"/>
              <w:ind w:left="478"/>
              <w:rPr>
                <w:sz w:val="21"/>
              </w:rPr>
            </w:pPr>
            <w:r>
              <w:rPr>
                <w:sz w:val="21"/>
              </w:rPr>
              <w:t>指经病理学检查被明确诊断为下列恶性病变，并且接受了相应的治疗。</w:t>
            </w:r>
          </w:p>
          <w:p>
            <w:pPr>
              <w:pStyle w:val="TableParagraph"/>
              <w:spacing w:line="273" w:lineRule="auto" w:before="37"/>
              <w:ind w:left="478" w:right="200"/>
              <w:jc w:val="both"/>
              <w:rPr>
                <w:sz w:val="21"/>
              </w:rPr>
            </w:pPr>
            <w:r>
              <w:rPr>
                <w:sz w:val="21"/>
              </w:rPr>
              <w:t>（1）</w:t>
            </w:r>
            <w:r>
              <w:rPr>
                <w:spacing w:val="-2"/>
                <w:sz w:val="21"/>
              </w:rPr>
              <w:t>原位癌</w:t>
            </w:r>
            <w:r>
              <w:rPr>
                <w:spacing w:val="-3"/>
                <w:sz w:val="21"/>
              </w:rPr>
              <w:t>（指恶性肿瘤细胞未穿透基底膜的原位无浸润的恶性肿瘤。诊断</w:t>
            </w:r>
            <w:r>
              <w:rPr>
                <w:spacing w:val="-5"/>
                <w:sz w:val="21"/>
              </w:rPr>
              <w:t>需以固定组织标本的病理组织学检查结果为依据，任何组织涂片和穿刺活检结</w:t>
            </w:r>
            <w:r>
              <w:rPr>
                <w:spacing w:val="-4"/>
                <w:sz w:val="21"/>
              </w:rPr>
              <w:t>果均不能作为诊断依据。</w:t>
            </w:r>
            <w:r>
              <w:rPr>
                <w:sz w:val="21"/>
              </w:rPr>
              <w:t>）；</w:t>
            </w:r>
          </w:p>
          <w:p>
            <w:pPr>
              <w:pStyle w:val="TableParagraph"/>
              <w:spacing w:before="8"/>
              <w:ind w:left="478"/>
              <w:rPr>
                <w:sz w:val="21"/>
              </w:rPr>
            </w:pPr>
            <w:r>
              <w:rPr>
                <w:sz w:val="21"/>
              </w:rPr>
              <w:t>（2）相当于 Binet 分期方案 A 期程度的慢性淋巴细胞白血病；</w:t>
            </w:r>
          </w:p>
          <w:p>
            <w:pPr>
              <w:pStyle w:val="TableParagraph"/>
              <w:spacing w:before="37"/>
              <w:ind w:left="478"/>
              <w:rPr>
                <w:sz w:val="21"/>
              </w:rPr>
            </w:pPr>
            <w:r>
              <w:rPr>
                <w:sz w:val="21"/>
              </w:rPr>
              <w:t>（3）相当于 Ann Arbor 分期方案 I 期程度的何杰金氏病；</w:t>
            </w:r>
          </w:p>
          <w:p>
            <w:pPr>
              <w:pStyle w:val="TableParagraph"/>
              <w:spacing w:before="37"/>
              <w:ind w:left="478"/>
              <w:rPr>
                <w:sz w:val="21"/>
              </w:rPr>
            </w:pPr>
            <w:r>
              <w:rPr>
                <w:sz w:val="21"/>
              </w:rPr>
              <w:t>（4）皮肤癌（不包括恶性黑色素瘤及已发生转移的皮肤癌）；</w:t>
            </w:r>
          </w:p>
          <w:p>
            <w:pPr>
              <w:pStyle w:val="TableParagraph"/>
              <w:spacing w:before="37"/>
              <w:ind w:left="478"/>
              <w:rPr>
                <w:sz w:val="21"/>
              </w:rPr>
            </w:pPr>
            <w:r>
              <w:rPr>
                <w:sz w:val="21"/>
              </w:rPr>
              <w:t>（5）TNM 分期为 T1N0M0 期或更轻分期的前列腺癌。</w:t>
            </w:r>
          </w:p>
          <w:p>
            <w:pPr>
              <w:pStyle w:val="TableParagraph"/>
              <w:spacing w:before="8"/>
              <w:rPr>
                <w:sz w:val="26"/>
              </w:rPr>
            </w:pPr>
          </w:p>
          <w:p>
            <w:pPr>
              <w:pStyle w:val="TableParagraph"/>
              <w:spacing w:before="1"/>
              <w:ind w:left="478"/>
              <w:rPr>
                <w:b/>
                <w:sz w:val="21"/>
              </w:rPr>
            </w:pPr>
            <w:r>
              <w:rPr>
                <w:b/>
                <w:sz w:val="21"/>
              </w:rPr>
              <w:t>（二）不典型的急性心肌梗塞</w:t>
            </w:r>
          </w:p>
          <w:p>
            <w:pPr>
              <w:pStyle w:val="TableParagraph"/>
              <w:spacing w:line="273" w:lineRule="auto" w:before="37"/>
              <w:ind w:left="478" w:right="152"/>
              <w:rPr>
                <w:sz w:val="21"/>
              </w:rPr>
            </w:pPr>
            <w:r>
              <w:rPr>
                <w:sz w:val="21"/>
              </w:rPr>
              <w:t>指被临床诊断为急性心肌梗塞并接受了急性心肌梗塞治疗，虽然未达到本合同所指重大疾病“急性心肌梗塞”的给付标准，但满足下列全部条件：</w:t>
            </w:r>
          </w:p>
          <w:p>
            <w:pPr>
              <w:pStyle w:val="TableParagraph"/>
              <w:spacing w:before="7"/>
              <w:ind w:left="478"/>
              <w:rPr>
                <w:sz w:val="21"/>
              </w:rPr>
            </w:pPr>
            <w:r>
              <w:rPr>
                <w:sz w:val="21"/>
              </w:rPr>
              <w:t>（1）肌钙蛋白有诊断意义的升高;</w:t>
            </w:r>
          </w:p>
          <w:p>
            <w:pPr>
              <w:pStyle w:val="TableParagraph"/>
              <w:spacing w:before="36"/>
              <w:ind w:left="478"/>
              <w:rPr>
                <w:sz w:val="21"/>
              </w:rPr>
            </w:pPr>
            <w:r>
              <w:rPr>
                <w:sz w:val="21"/>
              </w:rPr>
              <w:t>（2）心电图有损伤性的 ST 段改变但未出现病理 Q 波。</w:t>
            </w:r>
          </w:p>
          <w:p>
            <w:pPr>
              <w:pStyle w:val="TableParagraph"/>
              <w:spacing w:before="8"/>
              <w:rPr>
                <w:sz w:val="26"/>
              </w:rPr>
            </w:pPr>
          </w:p>
          <w:p>
            <w:pPr>
              <w:pStyle w:val="TableParagraph"/>
              <w:spacing w:before="1"/>
              <w:ind w:left="478"/>
              <w:rPr>
                <w:b/>
                <w:sz w:val="21"/>
              </w:rPr>
            </w:pPr>
            <w:r>
              <w:rPr>
                <w:b/>
                <w:sz w:val="21"/>
              </w:rPr>
              <w:t>（三）冠状动脉介入手术</w:t>
            </w:r>
          </w:p>
          <w:p>
            <w:pPr>
              <w:pStyle w:val="TableParagraph"/>
              <w:spacing w:line="273" w:lineRule="auto" w:before="37"/>
              <w:ind w:left="478" w:right="152"/>
              <w:rPr>
                <w:sz w:val="21"/>
              </w:rPr>
            </w:pPr>
            <w:r>
              <w:rPr>
                <w:sz w:val="21"/>
              </w:rPr>
              <w:t>指为治疗明显的冠状动脉狭窄性疾病，首次实际实施了冠状动脉球囊扩张成形术、冠状动脉支架植入术或激光冠状动脉成形术。</w:t>
            </w:r>
          </w:p>
          <w:p>
            <w:pPr>
              <w:pStyle w:val="TableParagraph"/>
              <w:spacing w:before="5"/>
              <w:rPr>
                <w:sz w:val="24"/>
              </w:rPr>
            </w:pPr>
          </w:p>
          <w:p>
            <w:pPr>
              <w:pStyle w:val="TableParagraph"/>
              <w:ind w:left="478"/>
              <w:rPr>
                <w:b/>
                <w:sz w:val="21"/>
              </w:rPr>
            </w:pPr>
            <w:r>
              <w:rPr>
                <w:b/>
                <w:sz w:val="21"/>
              </w:rPr>
              <w:t>（四）特定脑中风后遗症</w:t>
            </w:r>
          </w:p>
          <w:p>
            <w:pPr>
              <w:pStyle w:val="TableParagraph"/>
              <w:spacing w:line="273" w:lineRule="auto" w:before="37"/>
              <w:ind w:left="478" w:right="199"/>
              <w:jc w:val="both"/>
              <w:rPr>
                <w:sz w:val="21"/>
              </w:rPr>
            </w:pPr>
            <w:r>
              <w:rPr>
                <w:spacing w:val="-5"/>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5"/>
                <w:sz w:val="21"/>
              </w:rPr>
              <w:t>一种或一种以上障碍：</w:t>
            </w:r>
          </w:p>
          <w:p>
            <w:pPr>
              <w:pStyle w:val="TableParagraph"/>
              <w:spacing w:line="273" w:lineRule="auto" w:before="8"/>
              <w:ind w:left="1004" w:right="145" w:hanging="527"/>
              <w:rPr>
                <w:sz w:val="21"/>
              </w:rPr>
            </w:pPr>
            <w:r>
              <w:rPr>
                <w:sz w:val="21"/>
              </w:rPr>
              <w:t>（1）一肢或一肢以上肢体机能部分丧失，其肢体肌力为Ⅲ级,或小于Ⅲ级但尚未达到脑中风后遗症的给付标准;</w:t>
            </w:r>
          </w:p>
          <w:p>
            <w:pPr>
              <w:pStyle w:val="TableParagraph"/>
              <w:spacing w:line="312" w:lineRule="exact" w:before="4"/>
              <w:ind w:left="1004" w:right="267" w:hanging="527"/>
              <w:rPr>
                <w:sz w:val="21"/>
              </w:rPr>
            </w:pPr>
            <w:r>
              <w:rPr>
                <w:sz w:val="21"/>
              </w:rPr>
              <w:t>（2）自主生活能力部分丧失，无法独立完成六项基本日常生活活动中的一项或两项。</w:t>
            </w:r>
          </w:p>
        </w:tc>
      </w:tr>
    </w:tbl>
    <w:p>
      <w:pPr>
        <w:spacing w:after="0" w:line="312" w:lineRule="exact"/>
        <w:rPr>
          <w:sz w:val="21"/>
        </w:rPr>
        <w:sectPr>
          <w:pgSz w:w="11910" w:h="16840"/>
          <w:pgMar w:top="1480" w:bottom="280" w:left="1020" w:right="700"/>
        </w:sectPr>
      </w:pPr>
    </w:p>
    <w:p>
      <w:pPr>
        <w:pStyle w:val="Heading2"/>
        <w:spacing w:before="22"/>
      </w:pPr>
      <w:r>
        <w:rPr/>
        <w:t>（五）心脏瓣膜介入手术</w:t>
      </w:r>
    </w:p>
    <w:p>
      <w:pPr>
        <w:pStyle w:val="BodyText"/>
        <w:spacing w:line="273" w:lineRule="auto"/>
        <w:ind w:right="216"/>
      </w:pPr>
      <w:r>
        <w:rPr>
          <w:spacing w:val="-7"/>
        </w:rPr>
        <w:t>指为治疗心脏瓣膜疾病，实际实施了非开胸的经胸壁打孔内镜手术或经皮经导</w:t>
      </w:r>
      <w:r>
        <w:rPr>
          <w:spacing w:val="-5"/>
        </w:rPr>
        <w:t>管介入手术进行的心脏瓣膜置换或修复手术。</w:t>
      </w:r>
    </w:p>
    <w:p>
      <w:pPr>
        <w:pStyle w:val="BodyText"/>
        <w:spacing w:before="5"/>
        <w:ind w:left="0"/>
        <w:rPr>
          <w:sz w:val="24"/>
        </w:rPr>
      </w:pPr>
    </w:p>
    <w:p>
      <w:pPr>
        <w:pStyle w:val="Heading2"/>
      </w:pPr>
      <w:r>
        <w:rPr/>
        <w:t>（六）特定面积Ⅲ度烧伤</w:t>
      </w:r>
    </w:p>
    <w:p>
      <w:pPr>
        <w:pStyle w:val="BodyText"/>
        <w:spacing w:line="273" w:lineRule="auto"/>
        <w:ind w:right="283"/>
      </w:pPr>
      <w:r>
        <w:rPr>
          <w:spacing w:val="-5"/>
        </w:rPr>
        <w:t>指烧伤程度为Ⅲ度，且Ⅲ度烧伤面积为全身体表面积的 </w:t>
      </w:r>
      <w:r>
        <w:rPr/>
        <w:t>10</w:t>
      </w:r>
      <w:r>
        <w:rPr>
          <w:spacing w:val="-14"/>
        </w:rPr>
        <w:t>%或 </w:t>
      </w:r>
      <w:r>
        <w:rPr/>
        <w:t>10</w:t>
      </w:r>
      <w:r>
        <w:rPr>
          <w:spacing w:val="-2"/>
        </w:rPr>
        <w:t>%以上，但尚</w:t>
      </w:r>
      <w:r>
        <w:rPr>
          <w:spacing w:val="-9"/>
        </w:rPr>
        <w:t>未达到 </w:t>
      </w:r>
      <w:r>
        <w:rPr/>
        <w:t>20</w:t>
      </w:r>
      <w:r>
        <w:rPr>
          <w:spacing w:val="-3"/>
        </w:rPr>
        <w:t>%。体表面积根据《中国新九分法》计算。</w:t>
      </w:r>
    </w:p>
    <w:p>
      <w:pPr>
        <w:pStyle w:val="BodyText"/>
        <w:spacing w:before="5"/>
        <w:ind w:left="0"/>
        <w:rPr>
          <w:sz w:val="24"/>
        </w:rPr>
      </w:pPr>
    </w:p>
    <w:p>
      <w:pPr>
        <w:pStyle w:val="Heading2"/>
      </w:pPr>
      <w:r>
        <w:rPr/>
        <w:t>（七）主动脉介入手术</w:t>
      </w:r>
    </w:p>
    <w:p>
      <w:pPr>
        <w:pStyle w:val="BodyText"/>
        <w:spacing w:line="273" w:lineRule="auto" w:before="36"/>
        <w:ind w:right="171"/>
      </w:pPr>
      <w:r>
        <w:rPr/>
        <w:t>指为治疗主动脉疾病实际实施了经皮经导管进行的动脉内手术。主动脉指胸主动脉和腹主动脉，但不包括胸主动脉和腹主动脉的分支血管。</w:t>
      </w:r>
    </w:p>
    <w:p>
      <w:pPr>
        <w:pStyle w:val="BodyText"/>
        <w:spacing w:before="5"/>
        <w:ind w:left="0"/>
        <w:rPr>
          <w:sz w:val="24"/>
        </w:rPr>
      </w:pPr>
    </w:p>
    <w:p>
      <w:pPr>
        <w:pStyle w:val="Heading2"/>
      </w:pPr>
      <w:r>
        <w:rPr/>
        <w:t>（八）严重脑垂体瘤、脑囊肿、脑动脉瘤及脑血管瘤</w:t>
      </w:r>
    </w:p>
    <w:p>
      <w:pPr>
        <w:pStyle w:val="BodyText"/>
        <w:spacing w:line="273" w:lineRule="auto" w:before="36"/>
        <w:ind w:right="163"/>
      </w:pPr>
      <w:r>
        <w:rPr/>
        <w:t>指经头颅断层扫描(CT)、核磁共振检查(MRI)或正电子发射断层扫描(PET)等影像学检查被确诊为下列病变，并实际接受了手术或放射治疗。</w:t>
      </w:r>
    </w:p>
    <w:p>
      <w:pPr>
        <w:pStyle w:val="BodyText"/>
        <w:spacing w:before="7"/>
      </w:pPr>
      <w:r>
        <w:rPr/>
        <w:t>（1）脑垂体瘤;</w:t>
      </w:r>
    </w:p>
    <w:p>
      <w:pPr>
        <w:pStyle w:val="BodyText"/>
      </w:pPr>
      <w:r>
        <w:rPr/>
        <w:t>（2）脑囊肿;</w:t>
      </w:r>
    </w:p>
    <w:p>
      <w:pPr>
        <w:pStyle w:val="BodyText"/>
      </w:pPr>
      <w:r>
        <w:rPr/>
        <w:t>（3）脑动脉瘤、脑血管瘤。</w:t>
      </w:r>
    </w:p>
    <w:p>
      <w:pPr>
        <w:pStyle w:val="BodyText"/>
        <w:spacing w:before="8"/>
        <w:ind w:left="0"/>
        <w:rPr>
          <w:sz w:val="26"/>
        </w:rPr>
      </w:pPr>
    </w:p>
    <w:p>
      <w:pPr>
        <w:pStyle w:val="Heading2"/>
      </w:pPr>
      <w:r>
        <w:rPr/>
        <w:t>（九）3 周岁后视力受损</w:t>
      </w:r>
    </w:p>
    <w:p>
      <w:pPr>
        <w:pStyle w:val="BodyText"/>
        <w:spacing w:line="273" w:lineRule="auto" w:before="36"/>
        <w:ind w:right="180"/>
        <w:jc w:val="both"/>
      </w:pPr>
      <w:r>
        <w:rPr>
          <w:spacing w:val="-7"/>
        </w:rPr>
        <w:t>指被保险人年满 </w:t>
      </w:r>
      <w:r>
        <w:rPr/>
        <w:t>3</w:t>
      </w:r>
      <w:r>
        <w:rPr>
          <w:spacing w:val="-8"/>
        </w:rPr>
        <w:t> 周岁后因疾病或意外伤害导致双目视力永久不可逆性丧失， </w:t>
      </w:r>
      <w:r>
        <w:rPr>
          <w:spacing w:val="-5"/>
        </w:rPr>
        <w:t>虽然未达到本合同所指重大疾病</w:t>
      </w:r>
      <w:r>
        <w:rPr/>
        <w:t>“3</w:t>
      </w:r>
      <w:r>
        <w:rPr>
          <w:spacing w:val="-8"/>
        </w:rPr>
        <w:t> 周岁后双目失明”的给付标准，但须满足</w:t>
      </w:r>
      <w:r>
        <w:rPr>
          <w:spacing w:val="-5"/>
        </w:rPr>
        <w:t>下列全部条件：</w:t>
      </w:r>
    </w:p>
    <w:p>
      <w:pPr>
        <w:pStyle w:val="BodyText"/>
        <w:spacing w:line="273" w:lineRule="auto" w:before="7"/>
        <w:ind w:left="2626" w:right="171" w:hanging="527"/>
      </w:pPr>
      <w:r>
        <w:rPr/>
        <w:t>（1）双眼中较好眼矫正视力低于 0.1(采用国际标准视力表，如果使用其它视力表应进行换算);</w:t>
      </w:r>
    </w:p>
    <w:p>
      <w:pPr>
        <w:pStyle w:val="BodyText"/>
        <w:spacing w:before="7"/>
      </w:pPr>
      <w:r>
        <w:rPr/>
        <w:t>（2）双眼中较好眼视野半径小于 20 度。</w:t>
      </w:r>
    </w:p>
    <w:p>
      <w:pPr>
        <w:pStyle w:val="BodyText"/>
        <w:spacing w:before="36"/>
      </w:pPr>
      <w:r>
        <w:rPr/>
        <w:t>申请理赔时，须提供理赔当时的视力丧失诊断及检查证据。</w:t>
      </w:r>
    </w:p>
    <w:p>
      <w:pPr>
        <w:pStyle w:val="BodyText"/>
        <w:spacing w:before="8"/>
        <w:ind w:left="0"/>
        <w:rPr>
          <w:sz w:val="26"/>
        </w:rPr>
      </w:pPr>
    </w:p>
    <w:p>
      <w:pPr>
        <w:pStyle w:val="Heading2"/>
      </w:pPr>
      <w:r>
        <w:rPr/>
        <w:t>（十）严重头部外伤</w:t>
      </w:r>
    </w:p>
    <w:p>
      <w:pPr>
        <w:pStyle w:val="BodyText"/>
      </w:pPr>
      <w:r>
        <w:rPr/>
        <w:t>指因头部遭受机械性外力伤害，引起脑重要部位损伤，并且由头颅断层扫描</w:t>
      </w:r>
    </w:p>
    <w:p>
      <w:pPr>
        <w:pStyle w:val="BodyText"/>
        <w:spacing w:line="273" w:lineRule="auto"/>
        <w:ind w:right="108"/>
      </w:pPr>
      <w:r>
        <w:rPr/>
        <w:t>(CT)</w:t>
      </w:r>
      <w:r>
        <w:rPr>
          <w:spacing w:val="-6"/>
        </w:rPr>
        <w:t>、核磁共振检查(</w:t>
      </w:r>
      <w:r>
        <w:rPr/>
        <w:t>MRI</w:t>
      </w:r>
      <w:r>
        <w:rPr>
          <w:spacing w:val="-3"/>
        </w:rPr>
        <w:t>)或正电子发射断层扫描(</w:t>
      </w:r>
      <w:r>
        <w:rPr/>
        <w:t>PET</w:t>
      </w:r>
      <w:r>
        <w:rPr>
          <w:spacing w:val="-5"/>
        </w:rPr>
        <w:t>)等影像学检查证实。头</w:t>
      </w:r>
      <w:r>
        <w:rPr>
          <w:spacing w:val="-12"/>
        </w:rPr>
        <w:t>部外伤导致神经系统功能障碍，虽然未达到本合同所指重大疾病“严重脑损伤” </w:t>
      </w:r>
      <w:r>
        <w:rPr>
          <w:spacing w:val="-6"/>
        </w:rPr>
        <w:t>的给付标准，但须满足下列条件之一：</w:t>
      </w:r>
    </w:p>
    <w:p>
      <w:pPr>
        <w:pStyle w:val="BodyText"/>
        <w:spacing w:before="8"/>
      </w:pPr>
      <w:r>
        <w:rPr/>
        <w:t>（1）已接受全麻下颅骨切开颅内血肿清除术(颅骨钻孔术除外)；</w:t>
      </w:r>
    </w:p>
    <w:p>
      <w:pPr>
        <w:pStyle w:val="BodyText"/>
      </w:pPr>
      <w:r>
        <w:rPr/>
        <w:t>（2）在遭受外伤 180 天后一肢或一肢以上肢体机能部分丧失，其肢体肌力为</w:t>
      </w:r>
    </w:p>
    <w:p>
      <w:pPr>
        <w:pStyle w:val="BodyText"/>
        <w:ind w:left="2611" w:right="4994"/>
        <w:jc w:val="center"/>
      </w:pPr>
      <w:r>
        <w:rPr/>
        <w:t>Ⅲ级,或小于Ⅲ级。</w:t>
      </w:r>
    </w:p>
    <w:p>
      <w:pPr>
        <w:pStyle w:val="BodyText"/>
        <w:spacing w:before="8"/>
        <w:ind w:left="0"/>
        <w:rPr>
          <w:sz w:val="26"/>
        </w:rPr>
      </w:pPr>
    </w:p>
    <w:p>
      <w:pPr>
        <w:pStyle w:val="Heading2"/>
        <w:spacing w:before="1"/>
      </w:pPr>
      <w:r>
        <w:rPr/>
        <w:t>（十一）可逆性再生障碍性贫血</w:t>
      </w:r>
    </w:p>
    <w:p>
      <w:pPr>
        <w:pStyle w:val="BodyText"/>
        <w:spacing w:line="273" w:lineRule="auto"/>
        <w:ind w:right="171"/>
      </w:pPr>
      <w:r>
        <w:rPr/>
        <w:t>指因急性可逆性的骨髓造血功能衰竭而导致贫血、中性粒细胞减少和血小板减少，必须由血液科医生的诊断，且病历资料显示接受了下列任一治疗：</w:t>
      </w:r>
    </w:p>
    <w:p>
      <w:pPr>
        <w:pStyle w:val="BodyText"/>
        <w:spacing w:before="7"/>
      </w:pPr>
      <w:r>
        <w:rPr/>
        <w:t>（1）骨髓刺激疗法至少一个月；</w:t>
      </w:r>
    </w:p>
    <w:p>
      <w:pPr>
        <w:pStyle w:val="BodyText"/>
        <w:spacing w:before="36"/>
      </w:pPr>
      <w:r>
        <w:rPr/>
        <w:t>（2）免疫抑制剂治疗至少一个月；</w:t>
      </w:r>
    </w:p>
    <w:p>
      <w:pPr>
        <w:pStyle w:val="BodyText"/>
        <w:spacing w:before="36"/>
      </w:pPr>
      <w:r>
        <w:rPr/>
        <w:t>（3）接受了骨髓移植。</w:t>
      </w:r>
    </w:p>
    <w:p>
      <w:pPr>
        <w:pStyle w:val="BodyText"/>
        <w:spacing w:before="8"/>
        <w:ind w:left="0"/>
        <w:rPr>
          <w:sz w:val="26"/>
        </w:rPr>
      </w:pPr>
    </w:p>
    <w:p>
      <w:pPr>
        <w:pStyle w:val="Heading2"/>
        <w:spacing w:before="1"/>
      </w:pPr>
      <w:r>
        <w:rPr/>
        <w:t>（十二）双侧卵巢切除术</w:t>
      </w:r>
    </w:p>
    <w:p>
      <w:pPr>
        <w:pStyle w:val="BodyText"/>
      </w:pPr>
      <w:r>
        <w:rPr/>
        <w:t>指为治疗疾病实际接受了经腹部切开或腹腔镜进行的双侧卵巢完全切除手术。</w:t>
      </w:r>
    </w:p>
    <w:p>
      <w:pPr>
        <w:spacing w:after="0"/>
        <w:sectPr>
          <w:pgSz w:w="11910" w:h="16840"/>
          <w:pgMar w:top="1080" w:bottom="280" w:left="1680" w:right="800"/>
        </w:sectPr>
      </w:pPr>
    </w:p>
    <w:p>
      <w:pPr>
        <w:pStyle w:val="BodyText"/>
        <w:spacing w:line="273" w:lineRule="auto" w:before="22"/>
        <w:ind w:right="188"/>
      </w:pPr>
      <w:r>
        <w:rPr/>
        <w:t>单侧或部分卵巢切除、变性手术、因恶性肿瘤引起的手术不在保障范围。投保时已经缺失一侧的不在保障范围内。</w:t>
      </w:r>
    </w:p>
    <w:p>
      <w:pPr>
        <w:pStyle w:val="BodyText"/>
        <w:spacing w:before="5"/>
        <w:ind w:left="0"/>
        <w:rPr>
          <w:sz w:val="24"/>
        </w:rPr>
      </w:pPr>
    </w:p>
    <w:p>
      <w:pPr>
        <w:pStyle w:val="Heading2"/>
        <w:spacing w:before="1"/>
      </w:pPr>
      <w:r>
        <w:rPr/>
        <w:t>（十三）肾上腺切除术</w:t>
      </w:r>
    </w:p>
    <w:p>
      <w:pPr>
        <w:pStyle w:val="BodyText"/>
        <w:spacing w:line="273" w:lineRule="auto"/>
        <w:ind w:right="216"/>
        <w:jc w:val="both"/>
      </w:pPr>
      <w:r>
        <w:rPr>
          <w:spacing w:val="-5"/>
        </w:rPr>
        <w:t>指为治疗因肾上腺腺瘤所导致醛固酮分泌过多产生的继发性恶性高血压，而接</w:t>
      </w:r>
      <w:r>
        <w:rPr>
          <w:spacing w:val="-8"/>
        </w:rPr>
        <w:t>受肾上腺切除术。此项手术需由专科医生认定为处理恶性高血压的必要治疗行为。</w:t>
      </w:r>
    </w:p>
    <w:p>
      <w:pPr>
        <w:pStyle w:val="BodyText"/>
        <w:spacing w:before="5"/>
        <w:ind w:left="0"/>
        <w:rPr>
          <w:sz w:val="24"/>
        </w:rPr>
      </w:pPr>
    </w:p>
    <w:p>
      <w:pPr>
        <w:pStyle w:val="Heading2"/>
      </w:pPr>
      <w:r>
        <w:rPr/>
        <w:t>（十四）胆道重建手术</w:t>
      </w:r>
    </w:p>
    <w:p>
      <w:pPr>
        <w:pStyle w:val="BodyText"/>
        <w:spacing w:before="15"/>
        <w:ind w:right="171"/>
      </w:pPr>
      <w:r>
        <w:rPr/>
        <w:t>指因疾病或胆道创伤导致接受涉及胆总管小肠吻合术的胆道重建手术。手术必须在专科医生认为是医疗所需的情况下进</w:t>
      </w:r>
      <w:r>
        <w:rPr>
          <w:rFonts w:ascii="Arial" w:eastAsia="Arial"/>
          <w:w w:val="115"/>
        </w:rPr>
        <w:t>行</w:t>
      </w:r>
      <w:r>
        <w:rPr/>
        <w:t>。</w:t>
      </w:r>
    </w:p>
    <w:p>
      <w:pPr>
        <w:pStyle w:val="BodyText"/>
        <w:spacing w:line="259" w:lineRule="exact" w:before="0"/>
      </w:pPr>
      <w:r>
        <w:rPr/>
        <w:t>胆道闭锁并不在保障范围内。</w:t>
      </w:r>
    </w:p>
    <w:p>
      <w:pPr>
        <w:pStyle w:val="BodyText"/>
        <w:spacing w:before="3"/>
        <w:ind w:left="0"/>
        <w:rPr>
          <w:sz w:val="25"/>
        </w:rPr>
      </w:pPr>
    </w:p>
    <w:p>
      <w:pPr>
        <w:pStyle w:val="Heading2"/>
      </w:pPr>
      <w:r>
        <w:rPr/>
        <w:t>（十五）单眼失明</w:t>
      </w:r>
    </w:p>
    <w:p>
      <w:pPr>
        <w:pStyle w:val="BodyText"/>
        <w:spacing w:line="273" w:lineRule="auto" w:before="36"/>
        <w:ind w:right="172"/>
      </w:pPr>
      <w:r>
        <w:rPr/>
        <w:t>指因疾病或意外伤害导致单眼视力永久不可逆性丧失，须满足下列至少一项条件：</w:t>
      </w:r>
    </w:p>
    <w:p>
      <w:pPr>
        <w:pStyle w:val="BodyText"/>
        <w:spacing w:before="7"/>
      </w:pPr>
      <w:r>
        <w:rPr/>
        <w:t>（1）眼球缺失或摘除；</w:t>
      </w:r>
    </w:p>
    <w:p>
      <w:pPr>
        <w:pStyle w:val="BodyText"/>
        <w:spacing w:line="273" w:lineRule="auto"/>
        <w:ind w:left="2732" w:right="216" w:hanging="632"/>
      </w:pPr>
      <w:r>
        <w:rPr/>
        <w:t>（2）</w:t>
      </w:r>
      <w:r>
        <w:rPr>
          <w:spacing w:val="-5"/>
        </w:rPr>
        <w:t>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8"/>
      </w:pPr>
      <w:r>
        <w:rPr/>
        <w:t>（3）视野半径小于 5 度。</w:t>
      </w:r>
    </w:p>
    <w:p>
      <w:pPr>
        <w:pStyle w:val="BodyText"/>
      </w:pPr>
      <w:r>
        <w:rPr/>
        <w:t>注：被保险人在 3 周岁之前因疾病导致的单眼失明不在保障范围内。</w:t>
      </w:r>
    </w:p>
    <w:p>
      <w:pPr>
        <w:pStyle w:val="Heading2"/>
        <w:spacing w:before="37"/>
      </w:pPr>
      <w:r>
        <w:rPr/>
        <w:t>（十六）中度阿尔兹海默病</w:t>
      </w:r>
    </w:p>
    <w:p>
      <w:pPr>
        <w:pStyle w:val="BodyText"/>
        <w:spacing w:line="273" w:lineRule="auto"/>
        <w:ind w:right="108"/>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活活动中的两项。</w:t>
      </w:r>
    </w:p>
    <w:p>
      <w:pPr>
        <w:pStyle w:val="BodyText"/>
        <w:spacing w:before="5"/>
        <w:ind w:left="0"/>
        <w:rPr>
          <w:sz w:val="24"/>
        </w:rPr>
      </w:pPr>
    </w:p>
    <w:p>
      <w:pPr>
        <w:pStyle w:val="Heading2"/>
      </w:pPr>
      <w:r>
        <w:rPr/>
        <w:t>（十七）于颈动脉进行血管成形术或内膜切除术</w:t>
      </w:r>
    </w:p>
    <w:p>
      <w:pPr>
        <w:spacing w:before="27"/>
        <w:ind w:left="2100" w:right="0" w:firstLine="0"/>
        <w:jc w:val="left"/>
        <w:rPr>
          <w:sz w:val="22"/>
        </w:rPr>
      </w:pPr>
      <w:r>
        <w:rPr>
          <w:sz w:val="22"/>
        </w:rPr>
        <w:t>指根据颈动脉造影检查结果，确诊一条或以上颈动脉存在严重狭窄性病变</w:t>
      </w:r>
    </w:p>
    <w:p>
      <w:pPr>
        <w:spacing w:line="259" w:lineRule="auto" w:before="23"/>
        <w:ind w:left="2100" w:right="159" w:firstLine="0"/>
        <w:jc w:val="left"/>
        <w:rPr>
          <w:sz w:val="22"/>
        </w:rPr>
      </w:pPr>
      <w:r>
        <w:rPr>
          <w:sz w:val="22"/>
        </w:rPr>
        <w:t>（至少一支血管管腔直径减少50%以上）。本病须经国家机关认可的有合法资质的专科医生明确诊断，同时必须已经采取以下手术以减轻症状：</w:t>
      </w:r>
    </w:p>
    <w:p>
      <w:pPr>
        <w:spacing w:before="6"/>
        <w:ind w:left="2100" w:right="0" w:firstLine="0"/>
        <w:jc w:val="left"/>
        <w:rPr>
          <w:sz w:val="22"/>
        </w:rPr>
      </w:pPr>
      <w:r>
        <w:rPr>
          <w:sz w:val="22"/>
        </w:rPr>
        <w:t>（1）确实进行动脉内膜切除术；或</w:t>
      </w:r>
    </w:p>
    <w:p>
      <w:pPr>
        <w:pStyle w:val="BodyText"/>
        <w:spacing w:line="273" w:lineRule="auto" w:before="34"/>
        <w:ind w:left="2626" w:right="283" w:hanging="527"/>
      </w:pPr>
      <w:r>
        <w:rPr/>
        <w:t>（2）确实进行血管介入治疗，例如血管成形术或进行植入支架或动脉粥样瘤清除手术。</w:t>
      </w:r>
    </w:p>
    <w:p>
      <w:pPr>
        <w:pStyle w:val="BodyText"/>
        <w:spacing w:before="5"/>
        <w:ind w:left="0"/>
        <w:rPr>
          <w:sz w:val="24"/>
        </w:rPr>
      </w:pPr>
    </w:p>
    <w:p>
      <w:pPr>
        <w:pStyle w:val="Heading2"/>
      </w:pPr>
      <w:r>
        <w:rPr/>
        <w:t>（十八）角膜移植</w:t>
      </w:r>
    </w:p>
    <w:p>
      <w:pPr>
        <w:pStyle w:val="BodyText"/>
        <w:spacing w:line="273" w:lineRule="auto" w:before="36"/>
        <w:ind w:right="807"/>
      </w:pPr>
      <w:r>
        <w:rPr/>
        <w:t>指为增进视力或治疗某些角膜疾患，已经实施了异体的角膜移植手术。此手术必须由专科医生认为是医学上必需的情况下进行。</w:t>
      </w:r>
    </w:p>
    <w:p>
      <w:pPr>
        <w:pStyle w:val="BodyText"/>
        <w:spacing w:before="5"/>
        <w:ind w:left="0"/>
        <w:rPr>
          <w:sz w:val="24"/>
        </w:rPr>
      </w:pPr>
    </w:p>
    <w:p>
      <w:pPr>
        <w:pStyle w:val="Heading2"/>
      </w:pPr>
      <w:r>
        <w:rPr/>
        <w:t>（十九）慢性肾功能损害 – 肾功能衰竭期</w:t>
      </w:r>
    </w:p>
    <w:p>
      <w:pPr>
        <w:pStyle w:val="BodyText"/>
        <w:spacing w:line="273" w:lineRule="auto"/>
        <w:ind w:right="171"/>
      </w:pPr>
      <w:r>
        <w:rPr/>
        <w:t>指被保险人因双肾功能慢性不可逆性损害达到肾功能衰竭期，诊断必须满足所有以下标准。</w:t>
      </w:r>
    </w:p>
    <w:p>
      <w:pPr>
        <w:pStyle w:val="BodyText"/>
        <w:spacing w:before="7"/>
      </w:pPr>
      <w:r>
        <w:rPr/>
        <w:t>（1）GFR &lt; 25%；</w:t>
      </w:r>
    </w:p>
    <w:p>
      <w:pPr>
        <w:pStyle w:val="BodyText"/>
      </w:pPr>
      <w:r>
        <w:rPr/>
        <w:t>（2）Scr &gt; 5mg/dl 或&gt;442umol/L；</w:t>
      </w:r>
    </w:p>
    <w:p>
      <w:pPr>
        <w:pStyle w:val="BodyText"/>
      </w:pPr>
      <w:r>
        <w:rPr/>
        <w:t>（3）持续 180 天。</w:t>
      </w:r>
    </w:p>
    <w:p>
      <w:pPr>
        <w:spacing w:after="0"/>
        <w:sectPr>
          <w:pgSz w:w="11910" w:h="16840"/>
          <w:pgMar w:top="1080" w:bottom="280" w:left="1680" w:right="800"/>
        </w:sectPr>
      </w:pPr>
    </w:p>
    <w:p>
      <w:pPr>
        <w:pStyle w:val="Heading2"/>
        <w:spacing w:before="22"/>
      </w:pPr>
      <w:r>
        <w:rPr/>
        <w:t>（二十）单侧肾脏切除</w:t>
      </w:r>
    </w:p>
    <w:p>
      <w:pPr>
        <w:pStyle w:val="BodyText"/>
        <w:spacing w:line="273" w:lineRule="auto"/>
        <w:ind w:right="2698"/>
      </w:pPr>
      <w:r>
        <w:rPr/>
        <w:t>指因疾病或意外事故实际实施的一侧肾脏切除术。下列情况不在保障范围内：</w:t>
      </w:r>
    </w:p>
    <w:p>
      <w:pPr>
        <w:pStyle w:val="ListParagraph"/>
        <w:numPr>
          <w:ilvl w:val="0"/>
          <w:numId w:val="3"/>
        </w:numPr>
        <w:tabs>
          <w:tab w:pos="2733" w:val="left" w:leader="none"/>
        </w:tabs>
        <w:spacing w:line="240" w:lineRule="auto" w:before="7" w:after="0"/>
        <w:ind w:left="2732" w:right="0" w:hanging="632"/>
        <w:jc w:val="left"/>
        <w:rPr>
          <w:sz w:val="21"/>
        </w:rPr>
      </w:pPr>
      <w:r>
        <w:rPr>
          <w:spacing w:val="-3"/>
          <w:sz w:val="21"/>
        </w:rPr>
        <w:t>肾脏部分切除手术；</w:t>
      </w:r>
    </w:p>
    <w:p>
      <w:pPr>
        <w:pStyle w:val="ListParagraph"/>
        <w:numPr>
          <w:ilvl w:val="0"/>
          <w:numId w:val="3"/>
        </w:numPr>
        <w:tabs>
          <w:tab w:pos="2733" w:val="left" w:leader="none"/>
        </w:tabs>
        <w:spacing w:line="240" w:lineRule="auto" w:before="37" w:after="0"/>
        <w:ind w:left="2732" w:right="0" w:hanging="632"/>
        <w:jc w:val="left"/>
        <w:rPr>
          <w:sz w:val="21"/>
        </w:rPr>
      </w:pPr>
      <w:r>
        <w:rPr>
          <w:spacing w:val="-3"/>
          <w:sz w:val="21"/>
        </w:rPr>
        <w:t>因恶性肿瘤进行的单肾切除手术；</w:t>
      </w:r>
    </w:p>
    <w:p>
      <w:pPr>
        <w:pStyle w:val="ListParagraph"/>
        <w:numPr>
          <w:ilvl w:val="0"/>
          <w:numId w:val="3"/>
        </w:numPr>
        <w:tabs>
          <w:tab w:pos="2733" w:val="left" w:leader="none"/>
        </w:tabs>
        <w:spacing w:line="240" w:lineRule="auto" w:before="37" w:after="0"/>
        <w:ind w:left="2732" w:right="0" w:hanging="632"/>
        <w:jc w:val="left"/>
        <w:rPr>
          <w:sz w:val="21"/>
        </w:rPr>
      </w:pPr>
      <w:r>
        <w:rPr>
          <w:spacing w:val="-3"/>
          <w:sz w:val="21"/>
        </w:rPr>
        <w:t>作为器官捐献者而实施的肾脏切除手术。</w:t>
      </w:r>
    </w:p>
    <w:p>
      <w:pPr>
        <w:pStyle w:val="BodyText"/>
        <w:spacing w:before="8"/>
        <w:ind w:left="0"/>
        <w:rPr>
          <w:sz w:val="26"/>
        </w:rPr>
      </w:pPr>
    </w:p>
    <w:p>
      <w:pPr>
        <w:pStyle w:val="Heading2"/>
        <w:spacing w:before="1"/>
      </w:pPr>
      <w:r>
        <w:rPr/>
        <w:t>（二十一）单个肢体缺失</w:t>
      </w:r>
    </w:p>
    <w:p>
      <w:pPr>
        <w:pStyle w:val="BodyText"/>
        <w:spacing w:line="273" w:lineRule="auto"/>
        <w:ind w:right="162"/>
      </w:pPr>
      <w:r>
        <w:rPr/>
        <w:t>指因疾病或意外导致一个肢体自腕关节或踝关节近端（靠近躯干端）以上完全断离。</w:t>
      </w:r>
    </w:p>
    <w:p>
      <w:pPr>
        <w:pStyle w:val="BodyText"/>
        <w:spacing w:before="5"/>
        <w:ind w:left="0"/>
        <w:rPr>
          <w:sz w:val="24"/>
        </w:rPr>
      </w:pPr>
    </w:p>
    <w:p>
      <w:pPr>
        <w:pStyle w:val="Heading2"/>
      </w:pPr>
      <w:r>
        <w:rPr/>
        <w:t>（二十二）单侧肺脏切除</w:t>
      </w:r>
    </w:p>
    <w:p>
      <w:pPr>
        <w:pStyle w:val="BodyText"/>
        <w:spacing w:line="273" w:lineRule="auto"/>
        <w:ind w:right="598"/>
      </w:pPr>
      <w:r>
        <w:rPr/>
        <w:t>指因疾病或意外伤害导致肺部严重损害，已经实施了单侧全肺切除手术。下列情况不在保障范围内：</w:t>
      </w:r>
    </w:p>
    <w:p>
      <w:pPr>
        <w:pStyle w:val="ListParagraph"/>
        <w:numPr>
          <w:ilvl w:val="0"/>
          <w:numId w:val="4"/>
        </w:numPr>
        <w:tabs>
          <w:tab w:pos="2733" w:val="left" w:leader="none"/>
        </w:tabs>
        <w:spacing w:line="240" w:lineRule="auto" w:before="7" w:after="0"/>
        <w:ind w:left="2732" w:right="0" w:hanging="632"/>
        <w:jc w:val="left"/>
        <w:rPr>
          <w:sz w:val="21"/>
        </w:rPr>
      </w:pPr>
      <w:r>
        <w:rPr>
          <w:spacing w:val="-3"/>
          <w:sz w:val="21"/>
        </w:rPr>
        <w:t>肺叶切除、肺段切除手术；</w:t>
      </w:r>
    </w:p>
    <w:p>
      <w:pPr>
        <w:pStyle w:val="ListParagraph"/>
        <w:numPr>
          <w:ilvl w:val="0"/>
          <w:numId w:val="4"/>
        </w:numPr>
        <w:tabs>
          <w:tab w:pos="2733" w:val="left" w:leader="none"/>
        </w:tabs>
        <w:spacing w:line="240" w:lineRule="auto" w:before="37" w:after="0"/>
        <w:ind w:left="2732" w:right="0" w:hanging="632"/>
        <w:jc w:val="left"/>
        <w:rPr>
          <w:sz w:val="21"/>
        </w:rPr>
      </w:pPr>
      <w:r>
        <w:rPr>
          <w:spacing w:val="-3"/>
          <w:sz w:val="21"/>
        </w:rPr>
        <w:t>因恶性肿瘤进行的肺切除手术；</w:t>
      </w:r>
    </w:p>
    <w:p>
      <w:pPr>
        <w:pStyle w:val="ListParagraph"/>
        <w:numPr>
          <w:ilvl w:val="0"/>
          <w:numId w:val="4"/>
        </w:numPr>
        <w:tabs>
          <w:tab w:pos="2733" w:val="left" w:leader="none"/>
        </w:tabs>
        <w:spacing w:line="240" w:lineRule="auto" w:before="37" w:after="0"/>
        <w:ind w:left="2732" w:right="0" w:hanging="632"/>
        <w:jc w:val="left"/>
        <w:rPr>
          <w:sz w:val="21"/>
        </w:rPr>
      </w:pPr>
      <w:r>
        <w:rPr>
          <w:spacing w:val="-3"/>
          <w:sz w:val="21"/>
        </w:rPr>
        <w:t>作为器官捐献者而实施的肺切除手术。</w:t>
      </w:r>
    </w:p>
    <w:p>
      <w:pPr>
        <w:pStyle w:val="BodyText"/>
        <w:spacing w:before="8"/>
        <w:ind w:left="0"/>
        <w:rPr>
          <w:sz w:val="26"/>
        </w:rPr>
      </w:pPr>
    </w:p>
    <w:p>
      <w:pPr>
        <w:pStyle w:val="Heading2"/>
      </w:pPr>
      <w:r>
        <w:rPr/>
        <w:t>（二十三）肝脏手术</w:t>
      </w:r>
    </w:p>
    <w:p>
      <w:pPr>
        <w:pStyle w:val="BodyText"/>
        <w:spacing w:line="273" w:lineRule="auto" w:before="36"/>
        <w:ind w:right="216"/>
        <w:jc w:val="both"/>
      </w:pPr>
      <w:r>
        <w:rPr>
          <w:spacing w:val="-5"/>
        </w:rPr>
        <w:t>指因疾病或意外伤害导致肝脏严重损害，已经实施了肝左叶切除手术或肝右叶</w:t>
      </w:r>
      <w:r>
        <w:rPr>
          <w:spacing w:val="-9"/>
        </w:rPr>
        <w:t>切除手术</w:t>
      </w:r>
      <w:r>
        <w:rPr/>
        <w:t>（</w:t>
      </w:r>
      <w:r>
        <w:rPr>
          <w:spacing w:val="-6"/>
        </w:rPr>
        <w:t>备注：本定义是按肝脏的传统解剖分段法将肝脏分为肝左叶和肝右叶</w:t>
      </w:r>
      <w:r>
        <w:rPr>
          <w:spacing w:val="-106"/>
        </w:rPr>
        <w:t>）</w:t>
      </w:r>
      <w:r>
        <w:rPr/>
        <w:t>。</w:t>
      </w:r>
    </w:p>
    <w:p>
      <w:pPr>
        <w:pStyle w:val="BodyText"/>
        <w:spacing w:before="7"/>
      </w:pPr>
      <w:r>
        <w:rPr/>
        <w:t>下列情况不在保障范围内：</w:t>
      </w:r>
    </w:p>
    <w:p>
      <w:pPr>
        <w:pStyle w:val="BodyText"/>
        <w:spacing w:before="36"/>
      </w:pPr>
      <w:r>
        <w:rPr/>
        <w:t>（1）肝区切除、肝段切除手术；</w:t>
      </w:r>
    </w:p>
    <w:p>
      <w:pPr>
        <w:pStyle w:val="BodyText"/>
        <w:spacing w:before="36"/>
      </w:pPr>
      <w:r>
        <w:rPr/>
        <w:t>（2）因酒精或者滥用药物引致的疾病或者紊乱；</w:t>
      </w:r>
    </w:p>
    <w:p>
      <w:pPr>
        <w:pStyle w:val="BodyText"/>
        <w:spacing w:before="36"/>
      </w:pPr>
      <w:r>
        <w:rPr/>
        <w:t>（3）因恶性肿瘤进行的肝切除手术；</w:t>
      </w:r>
    </w:p>
    <w:p>
      <w:pPr>
        <w:pStyle w:val="BodyText"/>
        <w:spacing w:before="36"/>
      </w:pPr>
      <w:r>
        <w:rPr/>
        <w:t>（4）作为器官捐献者而实施的肝切除手术。</w:t>
      </w:r>
    </w:p>
    <w:p>
      <w:pPr>
        <w:pStyle w:val="BodyText"/>
        <w:spacing w:before="8"/>
        <w:ind w:left="0"/>
        <w:rPr>
          <w:sz w:val="26"/>
        </w:rPr>
      </w:pPr>
    </w:p>
    <w:p>
      <w:pPr>
        <w:pStyle w:val="Heading2"/>
      </w:pPr>
      <w:r>
        <w:rPr/>
        <w:t>（二十四）早期运动神经性疾病</w:t>
      </w:r>
    </w:p>
    <w:p>
      <w:pPr>
        <w:pStyle w:val="BodyText"/>
        <w:spacing w:line="273" w:lineRule="auto"/>
        <w:ind w:right="216"/>
        <w:jc w:val="both"/>
      </w:pPr>
      <w:r>
        <w:rPr>
          <w:spacing w:val="-5"/>
        </w:rPr>
        <w:t>是一组中枢神经系统运动神经元的进行性变性疾病，进行性脊肌萎缩症、进行</w:t>
      </w:r>
      <w:r>
        <w:rPr>
          <w:spacing w:val="-8"/>
        </w:rPr>
        <w:t>性延髓麻痹症、原发性侧索硬化症、肌萎缩性侧索硬化症。须满足自主生活能</w:t>
      </w:r>
      <w:r>
        <w:rPr>
          <w:spacing w:val="-5"/>
        </w:rPr>
        <w:t>力完全丧失，无法独立完成六项基本日常生活活动中的两项。</w:t>
      </w:r>
    </w:p>
    <w:p>
      <w:pPr>
        <w:pStyle w:val="BodyText"/>
        <w:spacing w:before="6"/>
        <w:ind w:left="0"/>
        <w:rPr>
          <w:sz w:val="24"/>
        </w:rPr>
      </w:pPr>
    </w:p>
    <w:p>
      <w:pPr>
        <w:pStyle w:val="Heading2"/>
      </w:pPr>
      <w:r>
        <w:rPr/>
        <w:t>（二十五）人工耳蜗植入术</w:t>
      </w:r>
    </w:p>
    <w:p>
      <w:pPr>
        <w:pStyle w:val="BodyText"/>
        <w:spacing w:line="273" w:lineRule="auto" w:before="36"/>
        <w:ind w:right="171"/>
      </w:pPr>
      <w:r>
        <w:rPr/>
        <w:t>指由于耳蜗的永久损害而实际实施了人工耳蜗植入手术。诊断须经专科医师确认在医学上是必要的，且在植入手术之前已经符合下列全部条件：</w:t>
      </w:r>
    </w:p>
    <w:p>
      <w:pPr>
        <w:pStyle w:val="BodyText"/>
        <w:spacing w:before="7"/>
      </w:pPr>
      <w:r>
        <w:rPr/>
        <w:t>（1）双耳持续 12 个月以上重度感音神经性耳聋；</w:t>
      </w:r>
    </w:p>
    <w:p>
      <w:pPr>
        <w:pStyle w:val="BodyText"/>
      </w:pPr>
      <w:r>
        <w:rPr/>
        <w:t>（2）使用相应的听力辅助设备效果不佳。</w:t>
      </w:r>
    </w:p>
    <w:p>
      <w:pPr>
        <w:pStyle w:val="BodyText"/>
        <w:spacing w:before="8"/>
        <w:ind w:left="0"/>
        <w:rPr>
          <w:sz w:val="26"/>
        </w:rPr>
      </w:pPr>
    </w:p>
    <w:p>
      <w:pPr>
        <w:pStyle w:val="Heading2"/>
        <w:spacing w:before="1"/>
      </w:pPr>
      <w:r>
        <w:rPr/>
        <w:t>（二十六）中度帕金森氏病</w:t>
      </w:r>
    </w:p>
    <w:p>
      <w:pPr>
        <w:pStyle w:val="BodyText"/>
        <w:spacing w:line="273" w:lineRule="auto"/>
        <w:ind w:right="188"/>
      </w:pPr>
      <w:r>
        <w:rPr/>
        <w:t>是一种中枢神经系统的退行性疾病，临床表现为震颤麻痹、共济失调等。必须满足下列全部条件：</w:t>
      </w:r>
    </w:p>
    <w:p>
      <w:pPr>
        <w:pStyle w:val="BodyText"/>
        <w:spacing w:before="7"/>
      </w:pPr>
      <w:r>
        <w:rPr/>
        <w:t>（1）药物治疗无法控制病情；</w:t>
      </w:r>
    </w:p>
    <w:p>
      <w:pPr>
        <w:pStyle w:val="BodyText"/>
        <w:spacing w:line="273" w:lineRule="auto"/>
        <w:ind w:right="71"/>
      </w:pPr>
      <w:r>
        <w:rPr/>
        <w:t>（2）自主生活能力完全丧失，无法独立完成六项基本日常生活活动中的两项。继发性帕金森综合症不在保障范围内。</w:t>
      </w:r>
    </w:p>
    <w:p>
      <w:pPr>
        <w:spacing w:after="0" w:line="273" w:lineRule="auto"/>
        <w:sectPr>
          <w:pgSz w:w="11910" w:h="16840"/>
          <w:pgMar w:top="1080" w:bottom="280" w:left="1680" w:right="800"/>
        </w:sectPr>
      </w:pPr>
    </w:p>
    <w:p>
      <w:pPr>
        <w:pStyle w:val="Heading2"/>
        <w:spacing w:before="22"/>
      </w:pPr>
      <w:r>
        <w:rPr/>
        <w:t>（二十七）微创冠状动脉搭桥手术</w:t>
      </w:r>
    </w:p>
    <w:p>
      <w:pPr>
        <w:spacing w:line="259" w:lineRule="auto" w:before="28"/>
        <w:ind w:left="2100" w:right="139" w:firstLine="0"/>
        <w:jc w:val="both"/>
        <w:rPr>
          <w:sz w:val="22"/>
        </w:rPr>
      </w:pPr>
      <w:r>
        <w:rPr>
          <w:sz w:val="22"/>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spacing w:before="6"/>
        <w:ind w:left="2100" w:right="0" w:firstLine="0"/>
        <w:jc w:val="left"/>
        <w:rPr>
          <w:sz w:val="22"/>
        </w:rPr>
      </w:pPr>
      <w:r>
        <w:rPr>
          <w:sz w:val="22"/>
        </w:rPr>
        <w:t>必须满足下列全部条件：</w:t>
      </w:r>
    </w:p>
    <w:p>
      <w:pPr>
        <w:spacing w:line="259" w:lineRule="auto" w:before="24"/>
        <w:ind w:left="2650" w:right="137" w:hanging="551"/>
        <w:jc w:val="left"/>
        <w:rPr>
          <w:sz w:val="22"/>
        </w:rPr>
      </w:pPr>
      <w:r>
        <w:rPr>
          <w:sz w:val="22"/>
        </w:rPr>
        <w:t>（1）血管造影显示至少两支冠状动脉狭窄超过50%或一支冠状动脉狭窄超过70%；</w:t>
      </w:r>
    </w:p>
    <w:p>
      <w:pPr>
        <w:pStyle w:val="BodyText"/>
        <w:spacing w:before="15"/>
      </w:pPr>
      <w:r>
        <w:rPr/>
        <w:t>（2）手术须由心脏专科医师进行，并确认该手术的必要性。</w:t>
      </w:r>
    </w:p>
    <w:p>
      <w:pPr>
        <w:pStyle w:val="BodyText"/>
        <w:spacing w:before="8"/>
        <w:ind w:left="0"/>
        <w:rPr>
          <w:sz w:val="26"/>
        </w:rPr>
      </w:pPr>
    </w:p>
    <w:p>
      <w:pPr>
        <w:pStyle w:val="Heading2"/>
      </w:pPr>
      <w:r>
        <w:rPr/>
        <w:t>（二十八）中度溃疡性结肠炎</w:t>
      </w:r>
    </w:p>
    <w:p>
      <w:pPr>
        <w:pStyle w:val="BodyText"/>
        <w:spacing w:line="273" w:lineRule="auto"/>
        <w:ind w:right="136"/>
        <w:jc w:val="both"/>
      </w:pPr>
      <w:r>
        <w:rPr/>
        <w:t>本保单所保障的溃疡性结肠炎是指伴有致命性电解质紊乱的急性暴发性溃疡</w:t>
      </w:r>
      <w:r>
        <w:rPr>
          <w:spacing w:val="-7"/>
        </w:rPr>
        <w:t>性结肠炎，病变累及全结肠，表现为严重的血便和系统性症状体征和肠破裂的</w:t>
      </w:r>
      <w:r>
        <w:rPr/>
        <w:t>风险, 本疾病的确诊必须经由内窥镜检查证实该疾病侵犯全部结肠及直肠及</w:t>
      </w:r>
      <w:r>
        <w:rPr>
          <w:spacing w:val="-6"/>
        </w:rPr>
        <w:t>活体切片检查证实为溃疡性结肠炎。且须经肠胃专科医生连续以系统性免疫抑</w:t>
      </w:r>
      <w:r>
        <w:rPr>
          <w:spacing w:val="-7"/>
        </w:rPr>
        <w:t>制剂或免疫调节剂持续治疗最少 </w:t>
      </w:r>
      <w:r>
        <w:rPr/>
        <w:t>90</w:t>
      </w:r>
      <w:r>
        <w:rPr>
          <w:spacing w:val="-7"/>
        </w:rPr>
        <w:t> 天, 才符合本保障范围。</w:t>
      </w:r>
    </w:p>
    <w:p>
      <w:pPr>
        <w:pStyle w:val="BodyText"/>
        <w:spacing w:before="7"/>
      </w:pPr>
      <w:r>
        <w:rPr/>
        <w:t>其他种类的发炎性结肠炎,只发生在直肠的溃疡性结肠炎均不在保障范围内。</w:t>
      </w:r>
    </w:p>
    <w:p>
      <w:pPr>
        <w:pStyle w:val="BodyText"/>
        <w:spacing w:before="8"/>
        <w:ind w:left="0"/>
        <w:rPr>
          <w:sz w:val="26"/>
        </w:rPr>
      </w:pPr>
    </w:p>
    <w:p>
      <w:pPr>
        <w:pStyle w:val="Heading2"/>
      </w:pPr>
      <w:r>
        <w:rPr/>
        <w:t>（二十九）早期肝硬化</w:t>
      </w:r>
    </w:p>
    <w:p>
      <w:pPr>
        <w:pStyle w:val="BodyText"/>
        <w:spacing w:line="273" w:lineRule="auto"/>
        <w:ind w:right="108"/>
      </w:pPr>
      <w:r>
        <w:rPr/>
        <w:t>肝硬化须由专科医生明确诊断。必须由活检证实有再生的肝细胞结节和典型的肝组织纤维化。下列条件必须全部满足并至少持续一年：</w:t>
      </w:r>
    </w:p>
    <w:p>
      <w:pPr>
        <w:pStyle w:val="ListParagraph"/>
        <w:numPr>
          <w:ilvl w:val="0"/>
          <w:numId w:val="5"/>
        </w:numPr>
        <w:tabs>
          <w:tab w:pos="2524" w:val="left" w:leader="none"/>
        </w:tabs>
        <w:spacing w:line="240" w:lineRule="auto" w:before="7" w:after="0"/>
        <w:ind w:left="2523" w:right="0" w:hanging="423"/>
        <w:jc w:val="left"/>
        <w:rPr>
          <w:sz w:val="21"/>
        </w:rPr>
      </w:pPr>
      <w:r>
        <w:rPr>
          <w:spacing w:val="-6"/>
          <w:sz w:val="21"/>
        </w:rPr>
        <w:t>持续性黄疸，胆红素水平升高超过 </w:t>
      </w:r>
      <w:r>
        <w:rPr>
          <w:sz w:val="21"/>
        </w:rPr>
        <w:t>50mol/L;</w:t>
      </w:r>
    </w:p>
    <w:p>
      <w:pPr>
        <w:pStyle w:val="ListParagraph"/>
        <w:numPr>
          <w:ilvl w:val="0"/>
          <w:numId w:val="5"/>
        </w:numPr>
        <w:tabs>
          <w:tab w:pos="2524" w:val="left" w:leader="none"/>
        </w:tabs>
        <w:spacing w:line="240" w:lineRule="auto" w:before="36" w:after="0"/>
        <w:ind w:left="2523" w:right="0" w:hanging="423"/>
        <w:jc w:val="left"/>
        <w:rPr>
          <w:sz w:val="21"/>
        </w:rPr>
      </w:pPr>
      <w:r>
        <w:rPr>
          <w:spacing w:val="-6"/>
          <w:sz w:val="21"/>
        </w:rPr>
        <w:t>蛋白质合成异常，白蛋白水平低于 </w:t>
      </w:r>
      <w:r>
        <w:rPr>
          <w:sz w:val="21"/>
        </w:rPr>
        <w:t>27g/L;</w:t>
      </w:r>
    </w:p>
    <w:p>
      <w:pPr>
        <w:pStyle w:val="ListParagraph"/>
        <w:numPr>
          <w:ilvl w:val="0"/>
          <w:numId w:val="5"/>
        </w:numPr>
        <w:tabs>
          <w:tab w:pos="2524" w:val="left" w:leader="none"/>
        </w:tabs>
        <w:spacing w:line="273" w:lineRule="auto" w:before="36" w:after="0"/>
        <w:ind w:left="2523" w:right="136" w:hanging="423"/>
        <w:jc w:val="left"/>
        <w:rPr>
          <w:sz w:val="21"/>
        </w:rPr>
      </w:pPr>
      <w:r>
        <w:rPr>
          <w:spacing w:val="-8"/>
          <w:sz w:val="21"/>
        </w:rPr>
        <w:t>异常凝血功能，凝血酶原时间超过正常上限的 </w:t>
      </w:r>
      <w:r>
        <w:rPr>
          <w:sz w:val="21"/>
        </w:rPr>
        <w:t>2</w:t>
      </w:r>
      <w:r>
        <w:rPr>
          <w:spacing w:val="-9"/>
          <w:sz w:val="21"/>
        </w:rPr>
        <w:t> 倍或以上，或者国际正常</w:t>
      </w:r>
      <w:r>
        <w:rPr>
          <w:spacing w:val="-3"/>
          <w:sz w:val="21"/>
        </w:rPr>
        <w:t>化比率</w:t>
      </w:r>
      <w:r>
        <w:rPr>
          <w:sz w:val="21"/>
        </w:rPr>
        <w:t>（INR）</w:t>
      </w:r>
      <w:r>
        <w:rPr>
          <w:spacing w:val="-26"/>
          <w:sz w:val="21"/>
        </w:rPr>
        <w:t>在 </w:t>
      </w:r>
      <w:r>
        <w:rPr>
          <w:sz w:val="21"/>
        </w:rPr>
        <w:t>2.0</w:t>
      </w:r>
      <w:r>
        <w:rPr>
          <w:spacing w:val="-14"/>
          <w:sz w:val="21"/>
        </w:rPr>
        <w:t> 以上。</w:t>
      </w:r>
    </w:p>
    <w:p>
      <w:pPr>
        <w:pStyle w:val="BodyText"/>
        <w:spacing w:before="5"/>
        <w:ind w:left="0"/>
        <w:rPr>
          <w:sz w:val="24"/>
        </w:rPr>
      </w:pPr>
    </w:p>
    <w:p>
      <w:pPr>
        <w:pStyle w:val="Heading2"/>
      </w:pPr>
      <w:r>
        <w:rPr/>
        <w:t>（三十）中度瘫痪</w:t>
      </w:r>
    </w:p>
    <w:p>
      <w:pPr>
        <w:pStyle w:val="BodyText"/>
        <w:spacing w:line="273" w:lineRule="auto"/>
        <w:ind w:right="136"/>
        <w:jc w:val="both"/>
      </w:pPr>
      <w:r>
        <w:rPr/>
        <w:t>指因疾病或意外伤害导致一肢肢体机能永久完全丧失，肢体机能永久完全丧</w:t>
      </w:r>
      <w:r>
        <w:rPr>
          <w:spacing w:val="-11"/>
        </w:rPr>
        <w:t>失，疾病确诊 </w:t>
      </w:r>
      <w:r>
        <w:rPr/>
        <w:t>180</w:t>
      </w:r>
      <w:r>
        <w:rPr>
          <w:spacing w:val="-12"/>
        </w:rPr>
        <w:t> 天后或意外伤害发生 </w:t>
      </w:r>
      <w:r>
        <w:rPr/>
        <w:t>180</w:t>
      </w:r>
      <w:r>
        <w:rPr>
          <w:spacing w:val="-10"/>
        </w:rPr>
        <w:t> 天后，该肢三大关节中的两大关节</w:t>
      </w:r>
      <w:r>
        <w:rPr>
          <w:spacing w:val="-5"/>
        </w:rPr>
        <w:t>仍然完全僵硬，或不能随意识活动。</w:t>
      </w:r>
    </w:p>
    <w:p>
      <w:pPr>
        <w:pStyle w:val="BodyText"/>
        <w:spacing w:before="5"/>
        <w:ind w:left="0"/>
        <w:rPr>
          <w:sz w:val="24"/>
        </w:rPr>
      </w:pPr>
    </w:p>
    <w:p>
      <w:pPr>
        <w:pStyle w:val="Heading2"/>
        <w:spacing w:before="1"/>
      </w:pPr>
      <w:r>
        <w:rPr/>
        <w:t>（三十一）中度脑炎或脑膜炎后遗症</w:t>
      </w:r>
    </w:p>
    <w:p>
      <w:pPr>
        <w:pStyle w:val="BodyText"/>
        <w:spacing w:line="273" w:lineRule="auto"/>
        <w:ind w:right="136"/>
        <w:jc w:val="both"/>
      </w:pPr>
      <w:r>
        <w:rPr>
          <w:spacing w:val="-5"/>
        </w:rPr>
        <w:t>指因患脑炎或脑膜炎导致神经系统永久性的中度功能障碍，但未达到本合同所</w:t>
      </w:r>
      <w:r>
        <w:rPr>
          <w:spacing w:val="-9"/>
        </w:rPr>
        <w:t>指重大疾病“脑炎后遗症或脑膜炎后遗症”的标准，即：疾病首次确诊 </w:t>
      </w:r>
      <w:r>
        <w:rPr/>
        <w:t>180</w:t>
      </w:r>
      <w:r>
        <w:rPr>
          <w:spacing w:val="-20"/>
        </w:rPr>
        <w:t> 天</w:t>
      </w:r>
      <w:r>
        <w:rPr>
          <w:spacing w:val="-9"/>
        </w:rPr>
        <w:t>后，仍遗留下列功能障碍，其自主生活能力部分丧失，无法独立完成六项基本</w:t>
      </w:r>
      <w:r>
        <w:rPr>
          <w:spacing w:val="-5"/>
        </w:rPr>
        <w:t>日常生活活动中的二项。</w:t>
      </w:r>
    </w:p>
    <w:p>
      <w:pPr>
        <w:pStyle w:val="BodyText"/>
        <w:spacing w:before="5"/>
        <w:ind w:left="0"/>
        <w:rPr>
          <w:sz w:val="24"/>
        </w:rPr>
      </w:pPr>
    </w:p>
    <w:p>
      <w:pPr>
        <w:pStyle w:val="Heading2"/>
      </w:pPr>
      <w:r>
        <w:rPr/>
        <w:t>（三十二）微创颅脑手术</w:t>
      </w:r>
    </w:p>
    <w:p>
      <w:pPr>
        <w:pStyle w:val="BodyText"/>
        <w:spacing w:line="273" w:lineRule="auto" w:before="36"/>
        <w:ind w:right="100"/>
      </w:pPr>
      <w:r>
        <w:rPr/>
        <w:t>因疾病被保险人确已实施全麻下的颅骨钻孔手术或者经鼻蝶窦入颅微创手术。因外伤而实施的脑外科手术不在保障范围内。</w:t>
      </w:r>
    </w:p>
    <w:p>
      <w:pPr>
        <w:pStyle w:val="BodyText"/>
        <w:spacing w:before="4"/>
        <w:ind w:left="0"/>
        <w:rPr>
          <w:sz w:val="24"/>
        </w:rPr>
      </w:pPr>
    </w:p>
    <w:p>
      <w:pPr>
        <w:pStyle w:val="Heading2"/>
        <w:spacing w:before="1"/>
      </w:pPr>
      <w:r>
        <w:rPr/>
        <w:t>（三十三）面部重整手术</w:t>
      </w:r>
    </w:p>
    <w:p>
      <w:pPr>
        <w:pStyle w:val="BodyText"/>
        <w:spacing w:line="264" w:lineRule="auto"/>
        <w:ind w:right="136"/>
        <w:jc w:val="both"/>
      </w:pPr>
      <w:r>
        <w:rPr/>
        <w:t>确实进</w:t>
      </w:r>
      <w:r>
        <w:rPr>
          <w:rFonts w:ascii="Arial" w:eastAsia="Arial"/>
          <w:w w:val="115"/>
        </w:rPr>
        <w:t>行</w:t>
      </w:r>
      <w:r>
        <w:rPr>
          <w:spacing w:val="-6"/>
        </w:rPr>
        <w:t>整形或者重建手术</w:t>
      </w:r>
      <w:r>
        <w:rPr/>
        <w:t>（</w:t>
      </w:r>
      <w:r>
        <w:rPr>
          <w:spacing w:val="-3"/>
        </w:rPr>
        <w:t>颈部以上的面部构造</w:t>
      </w:r>
      <w:r>
        <w:rPr>
          <w:rFonts w:ascii="Arial" w:eastAsia="Arial"/>
          <w:w w:val="115"/>
        </w:rPr>
        <w:t>不</w:t>
      </w:r>
      <w:r>
        <w:rPr>
          <w:spacing w:val="-5"/>
        </w:rPr>
        <w:t>完整、缺失或者受损而</w:t>
      </w:r>
      <w:r>
        <w:rPr>
          <w:spacing w:val="-138"/>
        </w:rPr>
        <w:t>对</w:t>
      </w:r>
      <w:r>
        <w:rPr>
          <w:w w:val="100"/>
        </w:rPr>
        <w:t>其形态及外观进</w:t>
      </w:r>
      <w:r>
        <w:rPr>
          <w:rFonts w:ascii="Arial" w:eastAsia="Arial"/>
          <w:w w:val="134"/>
        </w:rPr>
        <w:t>行</w:t>
      </w:r>
      <w:r>
        <w:rPr>
          <w:w w:val="100"/>
        </w:rPr>
        <w:t>修复或者重建</w:t>
      </w:r>
      <w:r>
        <w:rPr>
          <w:spacing w:val="-106"/>
          <w:w w:val="100"/>
        </w:rPr>
        <w:t>）</w:t>
      </w:r>
      <w:r>
        <w:rPr>
          <w:spacing w:val="-4"/>
          <w:w w:val="100"/>
        </w:rPr>
        <w:t>，同时必须由专科医生认为该面部毁容是需</w:t>
      </w:r>
      <w:r>
        <w:rPr>
          <w:spacing w:val="-6"/>
        </w:rPr>
        <w:t>要接受住院治疗，及其后接受该手术，而对该面部毁容所进行的治疗亦是医疗</w:t>
      </w:r>
      <w:r>
        <w:rPr>
          <w:spacing w:val="-7"/>
        </w:rPr>
        <w:t>所需。因纯粹整容原因、独</w:t>
      </w:r>
      <w:r>
        <w:rPr>
          <w:rFonts w:ascii="Arial" w:eastAsia="Arial"/>
          <w:w w:val="115"/>
        </w:rPr>
        <w:t>立</w:t>
      </w:r>
      <w:r>
        <w:rPr>
          <w:spacing w:val="-5"/>
        </w:rPr>
        <w:t>的牙齿修复、独立的鼻骨骨折或者独</w:t>
      </w:r>
      <w:r>
        <w:rPr>
          <w:rFonts w:ascii="Arial" w:eastAsia="Arial"/>
          <w:w w:val="115"/>
        </w:rPr>
        <w:t>立</w:t>
      </w:r>
      <w:r>
        <w:rPr>
          <w:spacing w:val="-3"/>
        </w:rPr>
        <w:t>的皮肤伤</w:t>
      </w:r>
    </w:p>
    <w:p>
      <w:pPr>
        <w:spacing w:after="0" w:line="264" w:lineRule="auto"/>
        <w:jc w:val="both"/>
        <w:sectPr>
          <w:pgSz w:w="11910" w:h="16840"/>
          <w:pgMar w:top="1080" w:bottom="280" w:left="1680" w:right="880"/>
        </w:sectPr>
      </w:pPr>
    </w:p>
    <w:p>
      <w:pPr>
        <w:pStyle w:val="BodyText"/>
        <w:spacing w:before="22"/>
      </w:pPr>
      <w:r>
        <w:rPr>
          <w:w w:val="105"/>
        </w:rPr>
        <w:t>口所进</w:t>
      </w:r>
      <w:r>
        <w:rPr>
          <w:rFonts w:ascii="Arial" w:eastAsia="Arial"/>
          <w:w w:val="105"/>
        </w:rPr>
        <w:t>行</w:t>
      </w:r>
      <w:r>
        <w:rPr>
          <w:w w:val="105"/>
        </w:rPr>
        <w:t>的手术均</w:t>
      </w:r>
      <w:r>
        <w:rPr>
          <w:rFonts w:ascii="Arial" w:eastAsia="Arial"/>
          <w:w w:val="105"/>
        </w:rPr>
        <w:t>不</w:t>
      </w:r>
      <w:r>
        <w:rPr>
          <w:w w:val="105"/>
        </w:rPr>
        <w:t>受此保障。</w:t>
      </w:r>
    </w:p>
    <w:p>
      <w:pPr>
        <w:pStyle w:val="BodyText"/>
        <w:spacing w:before="7"/>
        <w:ind w:left="0"/>
        <w:rPr>
          <w:sz w:val="25"/>
        </w:rPr>
      </w:pPr>
    </w:p>
    <w:p>
      <w:pPr>
        <w:pStyle w:val="Heading2"/>
      </w:pPr>
      <w:r>
        <w:rPr/>
        <w:t>（三十四）双侧睾丸切除术</w:t>
      </w:r>
    </w:p>
    <w:p>
      <w:pPr>
        <w:pStyle w:val="BodyText"/>
        <w:spacing w:line="273" w:lineRule="auto" w:before="36"/>
        <w:ind w:right="180"/>
        <w:jc w:val="both"/>
      </w:pPr>
      <w:r>
        <w:rPr>
          <w:spacing w:val="-3"/>
        </w:rPr>
        <w:t>指为治疗疾病实际接受了经腹部切开或腹腔镜进行的双侧睾丸完全切除手术。</w:t>
      </w:r>
      <w:r>
        <w:rPr>
          <w:spacing w:val="-6"/>
        </w:rPr>
        <w:t>单侧或部分睾丸切除、变性手术、因恶性肿瘤引起的手术不在保障范围。投保</w:t>
      </w:r>
      <w:r>
        <w:rPr>
          <w:spacing w:val="-4"/>
        </w:rPr>
        <w:t>时已经缺失一侧的不在保障范围内。</w:t>
      </w:r>
    </w:p>
    <w:p>
      <w:pPr>
        <w:pStyle w:val="BodyText"/>
        <w:spacing w:before="5"/>
        <w:ind w:left="0"/>
        <w:rPr>
          <w:sz w:val="24"/>
        </w:rPr>
      </w:pPr>
    </w:p>
    <w:p>
      <w:pPr>
        <w:pStyle w:val="Heading2"/>
      </w:pPr>
      <w:r>
        <w:rPr/>
        <w:t>（三十五）单耳失聪</w:t>
      </w:r>
    </w:p>
    <w:p>
      <w:pPr>
        <w:pStyle w:val="BodyText"/>
      </w:pPr>
      <w:r>
        <w:rPr/>
        <w:t>指因疾病或者意外伤害导致单耳听力永久不可逆性丧失，在 500 赫兹、1000</w:t>
      </w:r>
    </w:p>
    <w:p>
      <w:pPr>
        <w:pStyle w:val="BodyText"/>
        <w:spacing w:line="273" w:lineRule="auto"/>
        <w:ind w:right="228"/>
      </w:pPr>
      <w:r>
        <w:rPr>
          <w:spacing w:val="-12"/>
        </w:rPr>
        <w:t>赫兹和 </w:t>
      </w:r>
      <w:r>
        <w:rPr/>
        <w:t>2000</w:t>
      </w:r>
      <w:r>
        <w:rPr>
          <w:spacing w:val="-13"/>
        </w:rPr>
        <w:t> 赫兹语音频率下，平均听阈大于 </w:t>
      </w:r>
      <w:r>
        <w:rPr/>
        <w:t>90</w:t>
      </w:r>
      <w:r>
        <w:rPr>
          <w:spacing w:val="-11"/>
        </w:rPr>
        <w:t> 分贝，且经纯音听力测试、声</w:t>
      </w:r>
      <w:r>
        <w:rPr>
          <w:spacing w:val="-3"/>
        </w:rPr>
        <w:t>导抗检测或者听觉诱发电位检测等证实。</w:t>
      </w:r>
    </w:p>
    <w:p>
      <w:pPr>
        <w:pStyle w:val="BodyText"/>
        <w:spacing w:before="7"/>
      </w:pPr>
      <w:r>
        <w:rPr/>
        <w:t>被保险人在 3 周岁之前因疾病导致的单耳失聪不在保障范围内。</w:t>
      </w:r>
    </w:p>
    <w:p>
      <w:pPr>
        <w:pStyle w:val="BodyText"/>
        <w:spacing w:before="8"/>
        <w:ind w:left="0"/>
        <w:rPr>
          <w:sz w:val="26"/>
        </w:rPr>
      </w:pPr>
    </w:p>
    <w:p>
      <w:pPr>
        <w:pStyle w:val="Heading2"/>
        <w:spacing w:before="1"/>
      </w:pPr>
      <w:r>
        <w:rPr/>
        <w:t>（三十六）轻度面部烧伤</w:t>
      </w:r>
    </w:p>
    <w:p>
      <w:pPr>
        <w:pStyle w:val="BodyText"/>
        <w:spacing w:line="273" w:lineRule="auto"/>
        <w:ind w:right="180"/>
      </w:pPr>
      <w:r>
        <w:rPr>
          <w:spacing w:val="-5"/>
        </w:rPr>
        <w:t>指烧伤程度为Ⅲ度，且Ⅲ度烧伤的面积达到面部表面积的 </w:t>
      </w:r>
      <w:r>
        <w:rPr/>
        <w:t>40</w:t>
      </w:r>
      <w:r>
        <w:rPr>
          <w:spacing w:val="-12"/>
        </w:rPr>
        <w:t>％或者 </w:t>
      </w:r>
      <w:r>
        <w:rPr/>
        <w:t>40</w:t>
      </w:r>
      <w:r>
        <w:rPr>
          <w:spacing w:val="-3"/>
        </w:rPr>
        <w:t>%以上， </w:t>
      </w:r>
      <w:r>
        <w:rPr>
          <w:spacing w:val="-7"/>
        </w:rPr>
        <w:t>但未达到面部表面积的 </w:t>
      </w:r>
      <w:r>
        <w:rPr/>
        <w:t>80%。</w:t>
      </w:r>
    </w:p>
    <w:p>
      <w:pPr>
        <w:pStyle w:val="BodyText"/>
        <w:spacing w:before="5"/>
        <w:ind w:left="0"/>
        <w:rPr>
          <w:sz w:val="24"/>
        </w:rPr>
      </w:pPr>
    </w:p>
    <w:p>
      <w:pPr>
        <w:pStyle w:val="Heading2"/>
      </w:pPr>
      <w:r>
        <w:rPr/>
        <w:t>（三十七）肺功能衰竭</w:t>
      </w:r>
    </w:p>
    <w:p>
      <w:pPr>
        <w:pStyle w:val="BodyText"/>
      </w:pPr>
      <w:r>
        <w:rPr/>
        <w:t>指因慢性呼吸系统疾病导致呼吸功能衰竭，且诊断必须满足以下所有条件：</w:t>
      </w:r>
    </w:p>
    <w:p>
      <w:pPr>
        <w:pStyle w:val="BodyText"/>
      </w:pPr>
      <w:r>
        <w:rPr/>
        <w:t>（1）第一秒末用力呼吸量（FEV1）小于 1 升；</w:t>
      </w:r>
    </w:p>
    <w:p>
      <w:pPr>
        <w:pStyle w:val="BodyText"/>
      </w:pPr>
      <w:r>
        <w:rPr/>
        <w:t>（2）残气容积占肺总量（TLC）的 50%以上；</w:t>
      </w:r>
    </w:p>
    <w:p>
      <w:pPr>
        <w:pStyle w:val="BodyText"/>
      </w:pPr>
      <w:r>
        <w:rPr/>
        <w:t>（3）PaO2&lt;60mmHg, PaCO2&gt;50mmHg。</w:t>
      </w:r>
    </w:p>
    <w:p>
      <w:pPr>
        <w:pStyle w:val="BodyText"/>
        <w:spacing w:before="8"/>
        <w:ind w:left="0"/>
        <w:rPr>
          <w:sz w:val="26"/>
        </w:rPr>
      </w:pPr>
    </w:p>
    <w:p>
      <w:pPr>
        <w:pStyle w:val="Heading2"/>
        <w:spacing w:before="1"/>
      </w:pPr>
      <w:r>
        <w:rPr/>
        <w:t>（三十八）心包膜切除术</w:t>
      </w:r>
    </w:p>
    <w:p>
      <w:pPr>
        <w:pStyle w:val="BodyText"/>
        <w:spacing w:line="273" w:lineRule="auto"/>
        <w:ind w:right="215"/>
        <w:jc w:val="both"/>
      </w:pPr>
      <w:r>
        <w:rPr>
          <w:spacing w:val="-6"/>
        </w:rPr>
        <w:t>指为治疗心包膜疾病，已经实施了心包膜切除术，但未达到本合同所指重大疾病“严重慢性缩窄型心包炎”的标准。手术必须在心脏科医生认为是医学上必</w:t>
      </w:r>
      <w:r>
        <w:rPr>
          <w:spacing w:val="-3"/>
        </w:rPr>
        <w:t>须的情况下进行。</w:t>
      </w:r>
    </w:p>
    <w:p>
      <w:pPr>
        <w:pStyle w:val="BodyText"/>
        <w:spacing w:before="5"/>
        <w:ind w:left="0"/>
        <w:rPr>
          <w:sz w:val="24"/>
        </w:rPr>
      </w:pPr>
    </w:p>
    <w:p>
      <w:pPr>
        <w:pStyle w:val="Heading2"/>
      </w:pPr>
      <w:r>
        <w:rPr/>
        <w:t>（三十九）腔静脉过滤器植入术</w:t>
      </w:r>
    </w:p>
    <w:p>
      <w:pPr>
        <w:pStyle w:val="BodyText"/>
        <w:spacing w:line="273" w:lineRule="auto" w:before="36"/>
        <w:ind w:right="108"/>
      </w:pPr>
      <w:r>
        <w:rPr>
          <w:spacing w:val="-13"/>
        </w:rPr>
        <w:t>指为治疗反复肺栓塞发作，抗凝血疗法无效，已经实施了腔静脉过滤器植入术。</w:t>
      </w:r>
      <w:r>
        <w:rPr>
          <w:spacing w:val="-6"/>
        </w:rPr>
        <w:t>手术必须在专科医生认为是医学上必需的情况下进行。</w:t>
      </w:r>
    </w:p>
    <w:p>
      <w:pPr>
        <w:pStyle w:val="BodyText"/>
        <w:spacing w:before="5"/>
        <w:ind w:left="0"/>
        <w:rPr>
          <w:sz w:val="24"/>
        </w:rPr>
      </w:pPr>
    </w:p>
    <w:p>
      <w:pPr>
        <w:spacing w:line="273" w:lineRule="auto" w:before="0"/>
        <w:ind w:left="2100" w:right="3948" w:firstLine="0"/>
        <w:jc w:val="left"/>
        <w:rPr>
          <w:sz w:val="21"/>
        </w:rPr>
      </w:pPr>
      <w:r>
        <w:rPr>
          <w:b/>
          <w:sz w:val="21"/>
        </w:rPr>
        <w:t>（四十）风湿热导致的心脏瓣膜疾病</w:t>
      </w:r>
      <w:r>
        <w:rPr>
          <w:sz w:val="21"/>
        </w:rPr>
        <w:t>本疾病须满足下列所有条件：</w:t>
      </w:r>
    </w:p>
    <w:p>
      <w:pPr>
        <w:pStyle w:val="BodyText"/>
        <w:spacing w:line="273" w:lineRule="auto" w:before="7"/>
        <w:ind w:left="2626" w:right="162" w:hanging="527"/>
      </w:pPr>
      <w:r>
        <w:rPr/>
        <w:t>（1）经由本公司认可医院的专科医生根据已修订的 Jones 标准诊断证实罹患急性风湿热;</w:t>
      </w:r>
    </w:p>
    <w:p>
      <w:pPr>
        <w:pStyle w:val="BodyText"/>
        <w:spacing w:line="273" w:lineRule="auto" w:before="7"/>
        <w:ind w:left="2626" w:right="220" w:hanging="527"/>
        <w:jc w:val="both"/>
      </w:pPr>
      <w:r>
        <w:rPr/>
        <w:t>（2）因风湿热所导致至少一个心脏瓣膜存在狭窄或者关闭不全损伤，且已经被心脏超声检查证实。有关诊断及心脏超声检查必须由本公司认可医院的专科医生证实。</w:t>
      </w:r>
    </w:p>
    <w:p>
      <w:pPr>
        <w:pStyle w:val="BodyText"/>
        <w:spacing w:before="5"/>
        <w:ind w:left="0"/>
        <w:rPr>
          <w:sz w:val="24"/>
        </w:rPr>
      </w:pPr>
    </w:p>
    <w:p>
      <w:pPr>
        <w:pStyle w:val="Heading2"/>
      </w:pPr>
      <w:r>
        <w:rPr/>
        <w:t>（四十一）植入心脏起搏器</w:t>
      </w:r>
    </w:p>
    <w:p>
      <w:pPr>
        <w:pStyle w:val="BodyText"/>
        <w:spacing w:line="273" w:lineRule="auto" w:before="36"/>
        <w:ind w:right="216"/>
        <w:jc w:val="both"/>
      </w:pPr>
      <w:r>
        <w:rPr>
          <w:spacing w:val="-5"/>
        </w:rPr>
        <w:t>因严重心律失常而确实已经实施永久性心脏起搏器的植入手术。理赔时需提供</w:t>
      </w:r>
      <w:r>
        <w:rPr>
          <w:spacing w:val="-6"/>
        </w:rPr>
        <w:t>完整病历资料及手术记录，诊断及治疗均须在本公司认可医院专科医生认为是</w:t>
      </w:r>
      <w:r>
        <w:rPr>
          <w:spacing w:val="-8"/>
        </w:rPr>
        <w:t>医疗必须的情况下进行。由于心脏再同步化治疗而实施的植入心脏起搏器包括</w:t>
      </w:r>
      <w:r>
        <w:rPr>
          <w:spacing w:val="-3"/>
        </w:rPr>
        <w:t>在本项保障范围内。</w:t>
      </w:r>
    </w:p>
    <w:p>
      <w:pPr>
        <w:spacing w:after="0" w:line="273" w:lineRule="auto"/>
        <w:jc w:val="both"/>
        <w:sectPr>
          <w:pgSz w:w="11910" w:h="16840"/>
          <w:pgMar w:top="1080" w:bottom="280" w:left="1680" w:right="800"/>
        </w:sectPr>
      </w:pPr>
    </w:p>
    <w:p>
      <w:pPr>
        <w:pStyle w:val="Heading2"/>
        <w:spacing w:before="22"/>
      </w:pPr>
      <w:r>
        <w:rPr/>
        <w:t>（四十二）激光心肌血运重建术</w:t>
      </w:r>
    </w:p>
    <w:p>
      <w:pPr>
        <w:pStyle w:val="BodyText"/>
        <w:spacing w:line="273" w:lineRule="auto"/>
        <w:ind w:right="215"/>
        <w:jc w:val="both"/>
      </w:pPr>
      <w:r>
        <w:rPr>
          <w:spacing w:val="-6"/>
        </w:rPr>
        <w:t>指患有顽固性心绞痛，经持续药物治疗后无改善，冠状动脉搭桥手术及经皮血管成形手术已失败或者被认为不适合。在本公司认可医院内实际进行了开胸手</w:t>
      </w:r>
      <w:r>
        <w:rPr>
          <w:spacing w:val="-4"/>
        </w:rPr>
        <w:t>术下或者胸腔镜下的激光心肌血运重建术。</w:t>
      </w:r>
    </w:p>
    <w:p>
      <w:pPr>
        <w:pStyle w:val="BodyText"/>
        <w:spacing w:before="5"/>
        <w:ind w:left="0"/>
        <w:rPr>
          <w:sz w:val="24"/>
        </w:rPr>
      </w:pPr>
    </w:p>
    <w:p>
      <w:pPr>
        <w:pStyle w:val="Heading2"/>
      </w:pPr>
      <w:r>
        <w:rPr/>
        <w:t>（四十三）植入大脑内分流器</w:t>
      </w:r>
    </w:p>
    <w:p>
      <w:pPr>
        <w:pStyle w:val="BodyText"/>
      </w:pPr>
      <w:r>
        <w:rPr/>
        <w:t>为缓解已升高的脑脊液压力而确实已在脑室进行分流器植入手术。</w:t>
      </w:r>
    </w:p>
    <w:p>
      <w:pPr>
        <w:pStyle w:val="BodyText"/>
        <w:spacing w:line="273" w:lineRule="auto"/>
        <w:ind w:right="220"/>
      </w:pPr>
      <w:r>
        <w:rPr/>
        <w:t>诊断及治疗均须在本公司认可医院内由脑神经科专科医生认为是医疗必须的情况下进行。</w:t>
      </w:r>
    </w:p>
    <w:p>
      <w:pPr>
        <w:pStyle w:val="BodyText"/>
        <w:spacing w:before="5"/>
        <w:ind w:left="0"/>
        <w:rPr>
          <w:sz w:val="24"/>
        </w:rPr>
      </w:pPr>
    </w:p>
    <w:p>
      <w:pPr>
        <w:pStyle w:val="Heading2"/>
      </w:pPr>
      <w:r>
        <w:rPr/>
        <w:t>（四十四）中度结核性脊髓炎</w:t>
      </w:r>
    </w:p>
    <w:p>
      <w:pPr>
        <w:pStyle w:val="BodyText"/>
        <w:spacing w:line="273" w:lineRule="auto" w:before="36"/>
        <w:ind w:right="218"/>
      </w:pPr>
      <w:r>
        <w:rPr>
          <w:spacing w:val="-6"/>
        </w:rPr>
        <w:t>因结核杆菌引起的脊髓炎，导致永久性神经系统功能中度障碍，即：疾病首次</w:t>
      </w:r>
      <w:r>
        <w:rPr>
          <w:spacing w:val="-15"/>
        </w:rPr>
        <w:t>确诊 </w:t>
      </w:r>
      <w:r>
        <w:rPr/>
        <w:t>180</w:t>
      </w:r>
      <w:r>
        <w:rPr>
          <w:spacing w:val="-3"/>
        </w:rPr>
        <w:t> 天后，仍遗留下列一种或一种以上障碍：</w:t>
      </w:r>
    </w:p>
    <w:p>
      <w:pPr>
        <w:pStyle w:val="BodyText"/>
        <w:spacing w:before="7"/>
      </w:pPr>
      <w:r>
        <w:rPr/>
        <w:t>（1）一肢或一肢以上肢体肌力Ⅲ级或Ⅲ级以下的运动功能障碍；</w:t>
      </w:r>
    </w:p>
    <w:p>
      <w:pPr>
        <w:pStyle w:val="BodyText"/>
        <w:spacing w:line="273" w:lineRule="auto"/>
        <w:ind w:left="2626" w:right="220" w:hanging="527"/>
      </w:pPr>
      <w:r>
        <w:rPr/>
        <w:t>（2）自主生活能力部分丧失，无法独立完成六项基本日常生活活动中的二项或二项以上。</w:t>
      </w:r>
    </w:p>
    <w:p>
      <w:pPr>
        <w:pStyle w:val="BodyText"/>
        <w:spacing w:line="273" w:lineRule="auto" w:before="8"/>
        <w:ind w:right="171"/>
      </w:pPr>
      <w:r>
        <w:rPr/>
        <w:t>该诊断必须由本公司认可医院的神经专科医生证实，并必须由适当的检查证明为结核性脊髓炎。</w:t>
      </w:r>
    </w:p>
    <w:p>
      <w:pPr>
        <w:pStyle w:val="BodyText"/>
        <w:spacing w:before="5"/>
        <w:ind w:left="0"/>
        <w:rPr>
          <w:sz w:val="24"/>
        </w:rPr>
      </w:pPr>
    </w:p>
    <w:p>
      <w:pPr>
        <w:pStyle w:val="Heading2"/>
        <w:spacing w:before="1"/>
      </w:pPr>
      <w:r>
        <w:rPr/>
        <w:t>（四十五）早期系统性硬皮病</w:t>
      </w:r>
    </w:p>
    <w:p>
      <w:pPr>
        <w:pStyle w:val="BodyText"/>
        <w:spacing w:line="273" w:lineRule="auto"/>
        <w:ind w:right="171"/>
      </w:pPr>
      <w:r>
        <w:rPr/>
        <w:t>指一种以局限性或弥漫性皮肤增厚和皮肤、血管、内脏器官异常纤维化为特征的结缔组织病。本病须经专科医生明确诊断，并须满足下列所有条件：</w:t>
      </w:r>
    </w:p>
    <w:p>
      <w:pPr>
        <w:pStyle w:val="BodyText"/>
        <w:spacing w:line="273" w:lineRule="auto" w:before="8"/>
        <w:ind w:left="2521" w:right="108" w:hanging="421"/>
      </w:pPr>
      <w:r>
        <w:rPr>
          <w:spacing w:val="-25"/>
        </w:rPr>
        <w:t>（1）</w:t>
      </w:r>
      <w:r>
        <w:rPr>
          <w:spacing w:val="-6"/>
        </w:rPr>
        <w:t>必须是经由本公司认可医院的风湿学专科医生根据美国风湿病学会</w:t>
      </w:r>
      <w:r>
        <w:rPr/>
        <w:t>（ACR） 及欧洲抗风湿病联盟(EULAR</w:t>
      </w:r>
      <w:r>
        <w:rPr>
          <w:spacing w:val="6"/>
        </w:rPr>
        <w:t>)在 </w:t>
      </w:r>
      <w:r>
        <w:rPr/>
        <w:t>2013 年发布的系统性硬皮病诊断标准确</w:t>
      </w:r>
      <w:r>
        <w:rPr>
          <w:spacing w:val="-3"/>
        </w:rPr>
        <w:t>认达到确诊标准</w:t>
      </w:r>
      <w:r>
        <w:rPr/>
        <w:t>（</w:t>
      </w:r>
      <w:r>
        <w:rPr>
          <w:spacing w:val="-3"/>
        </w:rPr>
        <w:t>总分值由每一个分类中的最高比重</w:t>
      </w:r>
      <w:r>
        <w:rPr/>
        <w:t>（</w:t>
      </w:r>
      <w:r>
        <w:rPr>
          <w:spacing w:val="-2"/>
        </w:rPr>
        <w:t>分值</w:t>
      </w:r>
      <w:r>
        <w:rPr>
          <w:spacing w:val="-3"/>
        </w:rPr>
        <w:t>）相加而成， 总分≥9</w:t>
      </w:r>
      <w:r>
        <w:rPr>
          <w:spacing w:val="-7"/>
        </w:rPr>
        <w:t> 分的患者被分类为系统性硬皮病</w:t>
      </w:r>
      <w:r>
        <w:rPr>
          <w:spacing w:val="-106"/>
        </w:rPr>
        <w:t>）</w:t>
      </w:r>
      <w:r>
        <w:rPr/>
        <w:t>。</w:t>
      </w:r>
    </w:p>
    <w:p>
      <w:pPr>
        <w:pStyle w:val="BodyText"/>
        <w:spacing w:line="273" w:lineRule="auto" w:before="8"/>
        <w:ind w:right="1543"/>
      </w:pPr>
      <w:r>
        <w:rPr/>
        <w:t>（2）须提供明确的病理活检及自身抗体免疫血清学证据支持。以下情况不在保障范围内：</w:t>
      </w:r>
    </w:p>
    <w:p>
      <w:pPr>
        <w:pStyle w:val="BodyText"/>
        <w:spacing w:before="8"/>
      </w:pPr>
      <w:r>
        <w:rPr/>
        <w:t>（1）局限性硬皮病（带状硬皮病或斑状损害）</w:t>
      </w:r>
    </w:p>
    <w:p>
      <w:pPr>
        <w:pStyle w:val="BodyText"/>
      </w:pPr>
      <w:r>
        <w:rPr/>
        <w:t>（2）嗜酸性筋膜炎</w:t>
      </w:r>
    </w:p>
    <w:p>
      <w:pPr>
        <w:pStyle w:val="BodyText"/>
      </w:pPr>
      <w:r>
        <w:rPr/>
        <w:t>（3）CREST 综合征</w:t>
      </w:r>
    </w:p>
    <w:p>
      <w:pPr>
        <w:pStyle w:val="BodyText"/>
        <w:spacing w:before="9"/>
        <w:ind w:left="0"/>
        <w:rPr>
          <w:sz w:val="26"/>
        </w:rPr>
      </w:pPr>
    </w:p>
    <w:p>
      <w:pPr>
        <w:pStyle w:val="Heading2"/>
      </w:pPr>
      <w:r>
        <w:rPr/>
        <w:t>（四十六）糖尿病视网膜晚期增生性病变</w:t>
      </w:r>
    </w:p>
    <w:p>
      <w:pPr>
        <w:pStyle w:val="BodyText"/>
      </w:pPr>
      <w:r>
        <w:rPr/>
        <w:t>因糖尿病而并发视网膜晚期增生性血管病变，并必须符合下列所有条件：</w:t>
      </w:r>
    </w:p>
    <w:p>
      <w:pPr>
        <w:pStyle w:val="BodyText"/>
        <w:spacing w:before="36"/>
      </w:pPr>
      <w:r>
        <w:rPr/>
        <w:t>（1）确诊糖尿病视网膜病变时已患有糖尿病；</w:t>
      </w:r>
    </w:p>
    <w:p>
      <w:pPr>
        <w:pStyle w:val="BodyText"/>
        <w:spacing w:line="273" w:lineRule="auto" w:before="36"/>
        <w:ind w:left="2626" w:right="215" w:hanging="527"/>
      </w:pPr>
      <w:r>
        <w:rPr>
          <w:spacing w:val="-11"/>
        </w:rPr>
        <w:t>（2）</w:t>
      </w:r>
      <w:r>
        <w:rPr>
          <w:spacing w:val="-5"/>
        </w:rPr>
        <w:t>双眼最佳矫正视力低于 </w:t>
      </w:r>
      <w:r>
        <w:rPr>
          <w:spacing w:val="-9"/>
        </w:rPr>
        <w:t>0.3（</w:t>
      </w:r>
      <w:r>
        <w:rPr>
          <w:spacing w:val="-6"/>
        </w:rPr>
        <w:t>采用国际标准视力表，如果使用其他视力表</w:t>
      </w:r>
      <w:r>
        <w:rPr>
          <w:spacing w:val="-4"/>
          <w:w w:val="100"/>
        </w:rPr>
        <w:t>应进行换算</w:t>
      </w:r>
      <w:r>
        <w:rPr>
          <w:spacing w:val="-106"/>
          <w:w w:val="100"/>
        </w:rPr>
        <w:t>）</w:t>
      </w:r>
      <w:r>
        <w:rPr>
          <w:w w:val="100"/>
        </w:rPr>
        <w:t>；</w:t>
      </w:r>
    </w:p>
    <w:p>
      <w:pPr>
        <w:pStyle w:val="BodyText"/>
        <w:spacing w:before="7"/>
      </w:pPr>
      <w:r>
        <w:rPr/>
        <w:t>（3）已确实进行了激光治疗等以改善视力障碍；</w:t>
      </w:r>
    </w:p>
    <w:p>
      <w:pPr>
        <w:pStyle w:val="BodyText"/>
        <w:spacing w:line="273" w:lineRule="auto"/>
        <w:ind w:right="188"/>
      </w:pPr>
      <w:r>
        <w:rPr/>
        <w:t>糖尿病视网膜病变的诊断、视力障碍的程度及治疗的医疗之必要性必须由本公司认可医院的眼科专科医生确定。</w:t>
      </w:r>
    </w:p>
    <w:p>
      <w:pPr>
        <w:pStyle w:val="BodyText"/>
        <w:spacing w:before="5"/>
        <w:ind w:left="0"/>
        <w:rPr>
          <w:sz w:val="24"/>
        </w:rPr>
      </w:pPr>
    </w:p>
    <w:p>
      <w:pPr>
        <w:pStyle w:val="Heading2"/>
      </w:pPr>
      <w:r>
        <w:rPr/>
        <w:t>（四十七）早期象皮病</w:t>
      </w:r>
    </w:p>
    <w:p>
      <w:pPr>
        <w:pStyle w:val="BodyText"/>
        <w:spacing w:line="273" w:lineRule="auto" w:before="36"/>
        <w:ind w:right="215"/>
        <w:jc w:val="both"/>
      </w:pPr>
      <w:r>
        <w:rPr>
          <w:spacing w:val="-5"/>
        </w:rPr>
        <w:t>指因丝虫感染导致淋巴管阻塞而造成身体组织出现严重淋巴水肿，但未达到本</w:t>
      </w:r>
      <w:r>
        <w:rPr>
          <w:spacing w:val="-8"/>
        </w:rPr>
        <w:t>合同所指重大疾病“严重象皮病”的标准。此病症须经本公司认可医院的专科</w:t>
      </w:r>
      <w:r>
        <w:rPr>
          <w:spacing w:val="-5"/>
        </w:rPr>
        <w:t>医生根据临床表现和微丝蚴的化验结果确诊。</w:t>
      </w:r>
    </w:p>
    <w:p>
      <w:pPr>
        <w:spacing w:after="0" w:line="273" w:lineRule="auto"/>
        <w:jc w:val="both"/>
        <w:sectPr>
          <w:pgSz w:w="11910" w:h="16840"/>
          <w:pgMar w:top="1080" w:bottom="280" w:left="168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491"/>
        <w:gridCol w:w="7889"/>
      </w:tblGrid>
      <w:tr>
        <w:trPr>
          <w:trHeight w:val="5722" w:hRule="atLeast"/>
        </w:trPr>
        <w:tc>
          <w:tcPr>
            <w:tcW w:w="685" w:type="dxa"/>
          </w:tcPr>
          <w:p>
            <w:pPr>
              <w:pStyle w:val="TableParagraph"/>
              <w:rPr>
                <w:rFonts w:ascii="Times New Roman"/>
                <w:sz w:val="20"/>
              </w:rPr>
            </w:pPr>
          </w:p>
        </w:tc>
        <w:tc>
          <w:tcPr>
            <w:tcW w:w="1491" w:type="dxa"/>
          </w:tcPr>
          <w:p>
            <w:pPr>
              <w:pStyle w:val="TableParagraph"/>
              <w:rPr>
                <w:rFonts w:ascii="Times New Roman"/>
                <w:sz w:val="20"/>
              </w:rPr>
            </w:pPr>
          </w:p>
        </w:tc>
        <w:tc>
          <w:tcPr>
            <w:tcW w:w="7889" w:type="dxa"/>
          </w:tcPr>
          <w:p>
            <w:pPr>
              <w:pStyle w:val="TableParagraph"/>
              <w:spacing w:line="211" w:lineRule="exact"/>
              <w:ind w:left="476"/>
              <w:rPr>
                <w:b/>
                <w:sz w:val="21"/>
              </w:rPr>
            </w:pPr>
            <w:r>
              <w:rPr>
                <w:b/>
                <w:sz w:val="21"/>
              </w:rPr>
              <w:t>（四十八）严重大动脉炎</w:t>
            </w:r>
          </w:p>
          <w:p>
            <w:pPr>
              <w:pStyle w:val="TableParagraph"/>
              <w:spacing w:line="273" w:lineRule="auto" w:before="37"/>
              <w:ind w:left="476" w:right="266"/>
              <w:jc w:val="both"/>
              <w:rPr>
                <w:sz w:val="21"/>
              </w:rPr>
            </w:pPr>
            <w:r>
              <w:rPr>
                <w:spacing w:val="-6"/>
                <w:sz w:val="21"/>
              </w:rPr>
              <w:t>是指动脉慢性非特异性炎性疾病，其中以头臂血管、肾动脉、胸腹主动脉及肠</w:t>
            </w:r>
            <w:r>
              <w:rPr>
                <w:spacing w:val="-4"/>
                <w:sz w:val="21"/>
              </w:rPr>
              <w:t>系膜上动脉为好发部位，经本公司认可医院的心脏专科医师确诊的大动脉炎， </w:t>
            </w:r>
            <w:r>
              <w:rPr>
                <w:spacing w:val="-3"/>
                <w:sz w:val="21"/>
              </w:rPr>
              <w:t>并满足如下全部条件：</w:t>
            </w:r>
          </w:p>
          <w:p>
            <w:pPr>
              <w:pStyle w:val="TableParagraph"/>
              <w:spacing w:before="7"/>
              <w:ind w:left="476"/>
              <w:rPr>
                <w:sz w:val="21"/>
              </w:rPr>
            </w:pPr>
            <w:r>
              <w:rPr>
                <w:sz w:val="21"/>
              </w:rPr>
              <w:t>（1）红细胞沉降率及 C 反应蛋白高于正常值；</w:t>
            </w:r>
          </w:p>
          <w:p>
            <w:pPr>
              <w:pStyle w:val="TableParagraph"/>
              <w:spacing w:before="37"/>
              <w:ind w:left="476"/>
              <w:rPr>
                <w:sz w:val="21"/>
              </w:rPr>
            </w:pPr>
            <w:r>
              <w:rPr>
                <w:sz w:val="21"/>
              </w:rPr>
              <w:t>（2）超声检查、CTA 检查或血管造影检查证实大动脉存在狭窄或闭塞。</w:t>
            </w:r>
          </w:p>
          <w:p>
            <w:pPr>
              <w:pStyle w:val="TableParagraph"/>
              <w:spacing w:before="8"/>
              <w:rPr>
                <w:sz w:val="26"/>
              </w:rPr>
            </w:pPr>
          </w:p>
          <w:p>
            <w:pPr>
              <w:pStyle w:val="TableParagraph"/>
              <w:spacing w:before="1"/>
              <w:ind w:left="476"/>
              <w:rPr>
                <w:b/>
                <w:sz w:val="21"/>
              </w:rPr>
            </w:pPr>
            <w:r>
              <w:rPr>
                <w:b/>
                <w:sz w:val="21"/>
              </w:rPr>
              <w:t>（四十九）头臂动脉型大动脉炎非开胸旁路移植手术</w:t>
            </w:r>
          </w:p>
          <w:p>
            <w:pPr>
              <w:pStyle w:val="TableParagraph"/>
              <w:spacing w:line="273" w:lineRule="auto" w:before="37"/>
              <w:ind w:left="476" w:right="302"/>
              <w:jc w:val="both"/>
              <w:rPr>
                <w:sz w:val="21"/>
              </w:rPr>
            </w:pPr>
            <w:r>
              <w:rPr>
                <w:spacing w:val="-5"/>
                <w:sz w:val="21"/>
              </w:rPr>
              <w:t>多发性大动脉炎</w:t>
            </w:r>
            <w:r>
              <w:rPr>
                <w:spacing w:val="-3"/>
                <w:sz w:val="21"/>
              </w:rPr>
              <w:t>（高安氏动脉炎</w:t>
            </w:r>
            <w:r>
              <w:rPr>
                <w:spacing w:val="-20"/>
                <w:sz w:val="21"/>
              </w:rPr>
              <w:t>）</w:t>
            </w:r>
            <w:r>
              <w:rPr>
                <w:spacing w:val="-3"/>
                <w:sz w:val="21"/>
              </w:rPr>
              <w:t>是一种发生在主动脉和其主要分支的慢性炎</w:t>
            </w:r>
            <w:r>
              <w:rPr>
                <w:spacing w:val="-7"/>
                <w:sz w:val="21"/>
              </w:rPr>
              <w:t>症性动脉疾病，表现为受累动脉狭窄或闭塞。头臂动脉型多发性大动脉炎是指多发性大动脉炎头臂动脉型</w:t>
            </w:r>
            <w:r>
              <w:rPr>
                <w:sz w:val="21"/>
              </w:rPr>
              <w:t>（I</w:t>
            </w:r>
            <w:r>
              <w:rPr>
                <w:spacing w:val="-11"/>
                <w:sz w:val="21"/>
              </w:rPr>
              <w:t> 型</w:t>
            </w:r>
            <w:r>
              <w:rPr>
                <w:spacing w:val="-70"/>
                <w:sz w:val="21"/>
              </w:rPr>
              <w:t>）</w:t>
            </w:r>
            <w:r>
              <w:rPr>
                <w:spacing w:val="-12"/>
                <w:sz w:val="21"/>
              </w:rPr>
              <w:t>，又称为无脉症。被保险人被明确诊断为头</w:t>
            </w:r>
            <w:r>
              <w:rPr>
                <w:spacing w:val="-6"/>
                <w:sz w:val="21"/>
              </w:rPr>
              <w:t>臂动脉型多发性大动脉炎并且实际接受了非开胸的无名动脉</w:t>
            </w:r>
            <w:r>
              <w:rPr>
                <w:spacing w:val="-3"/>
                <w:sz w:val="21"/>
              </w:rPr>
              <w:t>（</w:t>
            </w:r>
            <w:r>
              <w:rPr>
                <w:spacing w:val="-2"/>
                <w:sz w:val="21"/>
              </w:rPr>
              <w:t>头臂干</w:t>
            </w:r>
            <w:r>
              <w:rPr>
                <w:spacing w:val="-108"/>
                <w:sz w:val="21"/>
              </w:rPr>
              <w:t>）</w:t>
            </w:r>
            <w:r>
              <w:rPr>
                <w:spacing w:val="-2"/>
                <w:sz w:val="21"/>
              </w:rPr>
              <w:t>、颈总</w:t>
            </w:r>
            <w:r>
              <w:rPr>
                <w:spacing w:val="-3"/>
                <w:sz w:val="21"/>
              </w:rPr>
              <w:t>动脉、锁骨下动脉旁路移植手术。</w:t>
            </w:r>
          </w:p>
          <w:p>
            <w:pPr>
              <w:pStyle w:val="TableParagraph"/>
              <w:spacing w:before="7"/>
              <w:ind w:left="476"/>
              <w:rPr>
                <w:sz w:val="21"/>
              </w:rPr>
            </w:pPr>
            <w:r>
              <w:rPr>
                <w:sz w:val="21"/>
              </w:rPr>
              <w:t>经导管血管内手术不在本保障范围内。</w:t>
            </w:r>
          </w:p>
          <w:p>
            <w:pPr>
              <w:pStyle w:val="TableParagraph"/>
              <w:spacing w:before="8"/>
              <w:rPr>
                <w:sz w:val="26"/>
              </w:rPr>
            </w:pPr>
          </w:p>
          <w:p>
            <w:pPr>
              <w:pStyle w:val="TableParagraph"/>
              <w:ind w:left="476"/>
              <w:rPr>
                <w:b/>
                <w:sz w:val="21"/>
              </w:rPr>
            </w:pPr>
            <w:r>
              <w:rPr>
                <w:b/>
                <w:sz w:val="21"/>
              </w:rPr>
              <w:t>（五十）糖尿病导致脚趾切除</w:t>
            </w:r>
          </w:p>
          <w:p>
            <w:pPr>
              <w:pStyle w:val="TableParagraph"/>
              <w:spacing w:line="273" w:lineRule="auto" w:before="37"/>
              <w:ind w:left="476" w:right="271"/>
              <w:rPr>
                <w:sz w:val="21"/>
              </w:rPr>
            </w:pPr>
            <w:r>
              <w:rPr>
                <w:sz w:val="21"/>
              </w:rPr>
              <w:t>糖尿病导致脚趾截除：因糖尿病引起的神经及血管病变累及足部，为了维持生命在本公司认可医院内已经进行了至少一个脚趾的完整截除术。</w:t>
            </w:r>
          </w:p>
        </w:tc>
      </w:tr>
      <w:tr>
        <w:trPr>
          <w:trHeight w:val="8531" w:hRule="atLeast"/>
        </w:trPr>
        <w:tc>
          <w:tcPr>
            <w:tcW w:w="685" w:type="dxa"/>
          </w:tcPr>
          <w:p>
            <w:pPr>
              <w:pStyle w:val="TableParagraph"/>
              <w:spacing w:before="142"/>
              <w:ind w:left="200"/>
              <w:rPr>
                <w:b/>
                <w:sz w:val="21"/>
              </w:rPr>
            </w:pPr>
            <w:r>
              <w:rPr>
                <w:b/>
                <w:sz w:val="21"/>
              </w:rPr>
              <w:t>9.9</w:t>
            </w:r>
          </w:p>
        </w:tc>
        <w:tc>
          <w:tcPr>
            <w:tcW w:w="1491" w:type="dxa"/>
          </w:tcPr>
          <w:p>
            <w:pPr>
              <w:pStyle w:val="TableParagraph"/>
              <w:spacing w:before="142"/>
              <w:ind w:left="167"/>
              <w:rPr>
                <w:b/>
                <w:sz w:val="21"/>
              </w:rPr>
            </w:pPr>
            <w:r>
              <w:rPr>
                <w:b/>
                <w:sz w:val="21"/>
              </w:rPr>
              <w:t>重大疾病</w:t>
            </w:r>
          </w:p>
        </w:tc>
        <w:tc>
          <w:tcPr>
            <w:tcW w:w="7889" w:type="dxa"/>
          </w:tcPr>
          <w:p>
            <w:pPr>
              <w:pStyle w:val="TableParagraph"/>
              <w:spacing w:line="273" w:lineRule="auto" w:before="142"/>
              <w:ind w:left="476" w:right="307"/>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476"/>
              <w:rPr>
                <w:b/>
                <w:sz w:val="21"/>
              </w:rPr>
            </w:pPr>
            <w:r>
              <w:rPr>
                <w:b/>
                <w:sz w:val="21"/>
              </w:rPr>
              <w:t>（一）恶性肿瘤</w:t>
            </w:r>
          </w:p>
          <w:p>
            <w:pPr>
              <w:pStyle w:val="TableParagraph"/>
              <w:spacing w:line="273" w:lineRule="auto" w:before="36"/>
              <w:ind w:left="476" w:right="302"/>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476" w:right="4572"/>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476"/>
              <w:rPr>
                <w:sz w:val="21"/>
              </w:rPr>
            </w:pPr>
            <w:r>
              <w:rPr>
                <w:sz w:val="21"/>
              </w:rPr>
              <w:t>（1）原位癌；</w:t>
            </w:r>
          </w:p>
          <w:p>
            <w:pPr>
              <w:pStyle w:val="TableParagraph"/>
              <w:spacing w:before="36"/>
              <w:ind w:left="476"/>
              <w:rPr>
                <w:sz w:val="21"/>
              </w:rPr>
            </w:pPr>
            <w:r>
              <w:rPr>
                <w:sz w:val="21"/>
              </w:rPr>
              <w:t>（2）相当于 Binet 分期方案 A 期程度的慢性淋巴细胞白血病；</w:t>
            </w:r>
          </w:p>
          <w:p>
            <w:pPr>
              <w:pStyle w:val="TableParagraph"/>
              <w:spacing w:before="36"/>
              <w:ind w:left="476"/>
              <w:rPr>
                <w:sz w:val="21"/>
              </w:rPr>
            </w:pPr>
            <w:r>
              <w:rPr>
                <w:sz w:val="21"/>
              </w:rPr>
              <w:t>（3）相当于 Ann Arbor 分期方案 I 期程度的何杰金氏病；</w:t>
            </w:r>
          </w:p>
          <w:p>
            <w:pPr>
              <w:pStyle w:val="TableParagraph"/>
              <w:spacing w:before="36"/>
              <w:ind w:left="47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47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8"/>
              <w:ind w:left="476"/>
              <w:rPr>
                <w:sz w:val="21"/>
              </w:rPr>
            </w:pPr>
            <w:r>
              <w:rPr>
                <w:sz w:val="21"/>
              </w:rPr>
              <w:t>（6）感染艾滋病病毒或患艾滋病期间所患恶性肿瘤。</w:t>
            </w:r>
          </w:p>
          <w:p>
            <w:pPr>
              <w:pStyle w:val="TableParagraph"/>
              <w:spacing w:before="9"/>
              <w:rPr>
                <w:sz w:val="26"/>
              </w:rPr>
            </w:pPr>
          </w:p>
          <w:p>
            <w:pPr>
              <w:pStyle w:val="TableParagraph"/>
              <w:ind w:left="476"/>
              <w:rPr>
                <w:b/>
                <w:sz w:val="21"/>
              </w:rPr>
            </w:pPr>
            <w:r>
              <w:rPr>
                <w:b/>
                <w:sz w:val="21"/>
              </w:rPr>
              <w:t>（二）急性心肌梗塞</w:t>
            </w:r>
          </w:p>
          <w:p>
            <w:pPr>
              <w:pStyle w:val="TableParagraph"/>
              <w:spacing w:line="273" w:lineRule="auto" w:before="37"/>
              <w:ind w:left="476" w:right="254"/>
              <w:rPr>
                <w:sz w:val="21"/>
              </w:rPr>
            </w:pPr>
            <w:r>
              <w:rPr>
                <w:sz w:val="21"/>
              </w:rPr>
              <w:t>指因冠状动脉阻塞导致的相应区域供血不足造成部分心肌坏死。须满足下列至少三项条件：</w:t>
            </w:r>
          </w:p>
          <w:p>
            <w:pPr>
              <w:pStyle w:val="TableParagraph"/>
              <w:spacing w:before="7"/>
              <w:ind w:left="476"/>
              <w:rPr>
                <w:sz w:val="21"/>
              </w:rPr>
            </w:pPr>
            <w:r>
              <w:rPr>
                <w:sz w:val="21"/>
              </w:rPr>
              <w:t>（1）典型临床表现，例如急性胸痛等；</w:t>
            </w:r>
          </w:p>
          <w:p>
            <w:pPr>
              <w:pStyle w:val="TableParagraph"/>
              <w:spacing w:before="36"/>
              <w:ind w:left="476"/>
              <w:rPr>
                <w:sz w:val="21"/>
              </w:rPr>
            </w:pPr>
            <w:r>
              <w:rPr>
                <w:sz w:val="21"/>
              </w:rPr>
              <w:t>（2）新近的心电图改变提示急性心肌梗塞；</w:t>
            </w:r>
          </w:p>
          <w:p>
            <w:pPr>
              <w:pStyle w:val="TableParagraph"/>
              <w:spacing w:line="273" w:lineRule="auto" w:before="36"/>
              <w:ind w:left="1002" w:right="306" w:hanging="527"/>
              <w:rPr>
                <w:sz w:val="21"/>
              </w:rPr>
            </w:pPr>
            <w:r>
              <w:rPr>
                <w:sz w:val="21"/>
              </w:rPr>
              <w:t>（3）心肌酶或肌钙蛋白有诊断意义的升高，或呈符合急性心肌梗塞的动态性变化；</w:t>
            </w:r>
          </w:p>
          <w:p>
            <w:pPr>
              <w:pStyle w:val="TableParagraph"/>
              <w:spacing w:before="7"/>
              <w:ind w:left="476"/>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p>
          <w:p>
            <w:pPr>
              <w:pStyle w:val="TableParagraph"/>
              <w:spacing w:before="9"/>
              <w:rPr>
                <w:sz w:val="26"/>
              </w:rPr>
            </w:pPr>
          </w:p>
          <w:p>
            <w:pPr>
              <w:pStyle w:val="TableParagraph"/>
              <w:ind w:left="476"/>
              <w:rPr>
                <w:b/>
                <w:sz w:val="21"/>
              </w:rPr>
            </w:pPr>
            <w:r>
              <w:rPr>
                <w:b/>
                <w:sz w:val="21"/>
              </w:rPr>
              <w:t>（三）脑中风后遗症</w:t>
            </w:r>
          </w:p>
          <w:p>
            <w:pPr>
              <w:pStyle w:val="TableParagraph"/>
              <w:spacing w:line="255" w:lineRule="exact" w:before="37"/>
              <w:ind w:left="476"/>
              <w:rPr>
                <w:sz w:val="21"/>
              </w:rPr>
            </w:pPr>
            <w:r>
              <w:rPr>
                <w:sz w:val="21"/>
              </w:rPr>
              <w:t>指因脑血管的突发病变引起脑血管出血、栓塞或梗塞，并导致神经系统永久性</w:t>
            </w:r>
          </w:p>
        </w:tc>
      </w:tr>
    </w:tbl>
    <w:p>
      <w:pPr>
        <w:spacing w:after="0" w:line="255" w:lineRule="exact"/>
        <w:rPr>
          <w:sz w:val="21"/>
        </w:rPr>
        <w:sectPr>
          <w:pgSz w:w="11910" w:h="16840"/>
          <w:pgMar w:top="1160" w:bottom="280" w:left="1020" w:right="600"/>
        </w:sectPr>
      </w:pPr>
    </w:p>
    <w:p>
      <w:pPr>
        <w:pStyle w:val="BodyText"/>
        <w:spacing w:line="273" w:lineRule="auto" w:before="22"/>
        <w:ind w:right="115"/>
      </w:pPr>
      <w:r>
        <w:rPr>
          <w:spacing w:val="-7"/>
        </w:rPr>
        <w:t>的功能障碍。神经系统永久性的功能障碍，指疾病确诊 </w:t>
      </w:r>
      <w:r>
        <w:rPr/>
        <w:t>180</w:t>
      </w:r>
      <w:r>
        <w:rPr>
          <w:spacing w:val="-9"/>
        </w:rPr>
        <w:t> 天后，仍遗留下列</w:t>
      </w:r>
      <w:r>
        <w:rPr>
          <w:spacing w:val="-5"/>
        </w:rPr>
        <w:t>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120" w:hanging="527"/>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（四）重大器官移植术或造血干细胞移植术</w:t>
      </w:r>
    </w:p>
    <w:p>
      <w:pPr>
        <w:pStyle w:val="BodyText"/>
        <w:spacing w:line="273" w:lineRule="auto"/>
        <w:ind w:right="116"/>
      </w:pPr>
      <w:r>
        <w:rPr>
          <w:spacing w:val="-7"/>
        </w:rPr>
        <w:t>重大器官移植术，指因相应器官功能衰竭，已经实施了肾脏、肝脏、心脏或肺</w:t>
      </w:r>
      <w:r>
        <w:rPr>
          <w:spacing w:val="-5"/>
        </w:rPr>
        <w:t>脏的异体移植手术。</w:t>
      </w:r>
    </w:p>
    <w:p>
      <w:pPr>
        <w:pStyle w:val="BodyText"/>
        <w:spacing w:line="273" w:lineRule="auto" w:before="7"/>
        <w:ind w:right="116"/>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（五）冠状动脉搭桥术（或称冠状动脉旁路移植术）</w:t>
      </w:r>
    </w:p>
    <w:p>
      <w:pPr>
        <w:pStyle w:val="BodyText"/>
        <w:spacing w:line="273" w:lineRule="auto"/>
        <w:ind w:right="120"/>
      </w:pPr>
      <w:r>
        <w:rPr/>
        <w:t>指为治疗严重的冠心病，实际实施了开胸进行的冠状动脉血管旁路移植的手术。</w:t>
      </w:r>
    </w:p>
    <w:p>
      <w:pPr>
        <w:pStyle w:val="BodyText"/>
        <w:spacing w:line="273" w:lineRule="auto" w:before="8"/>
        <w:ind w:right="88"/>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spacing w:before="1"/>
      </w:pPr>
      <w:r>
        <w:rPr/>
        <w:t>（六）终末期肾病（或称慢性肾功能衰竭尿毒症期）</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6"/>
        <w:ind w:right="64"/>
      </w:pPr>
      <w:r>
        <w:rPr/>
        <w:t>指因疾病或意外伤害导致两个或两个以上肢体自腕关节或踝关节近端（靠近躯干端）以上完全性断离。</w:t>
      </w:r>
    </w:p>
    <w:p>
      <w:pPr>
        <w:pStyle w:val="BodyText"/>
        <w:spacing w:before="4"/>
        <w:ind w:left="0"/>
        <w:rPr>
          <w:sz w:val="24"/>
        </w:rPr>
      </w:pPr>
    </w:p>
    <w:p>
      <w:pPr>
        <w:pStyle w:val="Heading2"/>
        <w:spacing w:before="1"/>
      </w:pPr>
      <w:r>
        <w:rPr/>
        <w:t>（八）急性或亚急性重症肝炎</w:t>
      </w:r>
    </w:p>
    <w:p>
      <w:pPr>
        <w:pStyle w:val="BodyText"/>
        <w:spacing w:line="273" w:lineRule="auto"/>
        <w:ind w:right="71"/>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2"/>
        <w:spacing w:before="1"/>
      </w:pPr>
      <w:r>
        <w:rPr/>
        <w:t>（九）良性脑肿瘤</w:t>
      </w:r>
    </w:p>
    <w:p>
      <w:pPr>
        <w:pStyle w:val="BodyText"/>
        <w:spacing w:line="273" w:lineRule="auto"/>
        <w:ind w:right="116"/>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pPr>
      <w:r>
        <w:rPr/>
        <w:t>脑垂体瘤、脑囊肿、脑血管性疾病不在保障范围内。</w:t>
      </w:r>
    </w:p>
    <w:p>
      <w:pPr>
        <w:pStyle w:val="BodyText"/>
        <w:spacing w:before="9"/>
        <w:ind w:left="0"/>
        <w:rPr>
          <w:sz w:val="26"/>
        </w:rPr>
      </w:pPr>
    </w:p>
    <w:p>
      <w:pPr>
        <w:pStyle w:val="Heading2"/>
      </w:pPr>
      <w:r>
        <w:rPr/>
        <w:t>（十）慢性肝功能衰竭失代偿期</w:t>
      </w:r>
    </w:p>
    <w:p>
      <w:pPr>
        <w:spacing w:after="0"/>
        <w:sectPr>
          <w:pgSz w:w="11910" w:h="16840"/>
          <w:pgMar w:top="1080" w:bottom="280" w:left="1680" w:right="900"/>
        </w:sectPr>
      </w:pPr>
    </w:p>
    <w:p>
      <w:pPr>
        <w:pStyle w:val="BodyText"/>
        <w:spacing w:before="22"/>
      </w:pPr>
      <w:r>
        <w:rPr/>
        <w:t>指因慢性肝脏疾病导致肝功能衰竭。须满足下列全部条件：</w:t>
      </w:r>
    </w:p>
    <w:p>
      <w:pPr>
        <w:pStyle w:val="BodyText"/>
      </w:pPr>
      <w:r>
        <w:rPr/>
        <w:t>（1）持续性黄疸；</w:t>
      </w:r>
    </w:p>
    <w:p>
      <w:pPr>
        <w:pStyle w:val="BodyText"/>
        <w:spacing w:before="36"/>
      </w:pPr>
      <w:r>
        <w:rPr/>
        <w:t>（2）腹水；</w:t>
      </w:r>
    </w:p>
    <w:p>
      <w:pPr>
        <w:pStyle w:val="BodyText"/>
        <w:spacing w:before="36"/>
      </w:pPr>
      <w:r>
        <w:rPr/>
        <w:t>（3）肝性脑病；</w:t>
      </w:r>
    </w:p>
    <w:p>
      <w:pPr>
        <w:pStyle w:val="BodyText"/>
        <w:spacing w:line="273" w:lineRule="auto" w:before="36"/>
        <w:ind w:right="2094"/>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ind w:right="93"/>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140" w:hanging="527"/>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ind w:right="13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8"/>
      </w:pPr>
      <w:r>
        <w:rPr/>
        <w:t>由于酗酒或药物滥用导致的深度昏迷不在保障范围内。</w:t>
      </w:r>
    </w:p>
    <w:p>
      <w:pPr>
        <w:pStyle w:val="BodyText"/>
        <w:spacing w:before="9"/>
        <w:ind w:left="0"/>
        <w:rPr>
          <w:sz w:val="26"/>
        </w:rPr>
      </w:pPr>
    </w:p>
    <w:p>
      <w:pPr>
        <w:pStyle w:val="Heading2"/>
      </w:pPr>
      <w:r>
        <w:rPr/>
        <w:t>（十三）3 周岁后双耳失聪</w:t>
      </w:r>
    </w:p>
    <w:p>
      <w:pPr>
        <w:pStyle w:val="BodyText"/>
      </w:pPr>
      <w:r>
        <w:rPr/>
        <w:t>指被保险人年满 3 周岁后因疾病或意外伤害导致双耳听力永久不可逆性丧失，</w:t>
      </w:r>
    </w:p>
    <w:p>
      <w:pPr>
        <w:pStyle w:val="BodyText"/>
        <w:spacing w:line="273" w:lineRule="auto" w:before="36"/>
        <w:ind w:right="135"/>
      </w:pPr>
      <w:r>
        <w:rPr>
          <w:spacing w:val="-24"/>
        </w:rPr>
        <w:t>在 </w:t>
      </w:r>
      <w:r>
        <w:rPr/>
        <w:t>500</w:t>
      </w:r>
      <w:r>
        <w:rPr>
          <w:spacing w:val="-22"/>
        </w:rPr>
        <w:t> 赫兹、</w:t>
      </w:r>
      <w:r>
        <w:rPr/>
        <w:t>1000</w:t>
      </w:r>
      <w:r>
        <w:rPr>
          <w:spacing w:val="-23"/>
        </w:rPr>
        <w:t> 赫兹和 </w:t>
      </w:r>
      <w:r>
        <w:rPr/>
        <w:t>2000</w:t>
      </w:r>
      <w:r>
        <w:rPr>
          <w:spacing w:val="-14"/>
        </w:rPr>
        <w:t> 赫兹语音频率下，平均听阈大于 </w:t>
      </w:r>
      <w:r>
        <w:rPr/>
        <w:t>90</w:t>
      </w:r>
      <w:r>
        <w:rPr>
          <w:spacing w:val="-16"/>
        </w:rPr>
        <w:t> 分贝，且经</w:t>
      </w:r>
      <w:r>
        <w:rPr>
          <w:spacing w:val="-7"/>
        </w:rPr>
        <w:t>纯音听力测试、声导抗检测或听觉诱发电位检测等证实。</w:t>
      </w:r>
    </w:p>
    <w:p>
      <w:pPr>
        <w:pStyle w:val="BodyText"/>
        <w:spacing w:before="7"/>
      </w:pPr>
      <w:r>
        <w:rPr/>
        <w:t>申请理赔时，须提供理赔当时的听力丧失诊断及检查证据。</w:t>
      </w:r>
    </w:p>
    <w:p>
      <w:pPr>
        <w:pStyle w:val="BodyText"/>
        <w:spacing w:before="8"/>
        <w:ind w:left="0"/>
        <w:rPr>
          <w:sz w:val="26"/>
        </w:rPr>
      </w:pPr>
    </w:p>
    <w:p>
      <w:pPr>
        <w:pStyle w:val="Heading2"/>
        <w:spacing w:before="1"/>
      </w:pPr>
      <w:r>
        <w:rPr/>
        <w:t>（十四）3 周岁后双目失明</w:t>
      </w:r>
    </w:p>
    <w:p>
      <w:pPr>
        <w:pStyle w:val="BodyText"/>
        <w:spacing w:line="273" w:lineRule="auto"/>
        <w:ind w:right="100"/>
      </w:pPr>
      <w:r>
        <w:rPr>
          <w:spacing w:val="-7"/>
        </w:rPr>
        <w:t>指被保险人年满 </w:t>
      </w:r>
      <w:r>
        <w:rPr/>
        <w:t>3</w:t>
      </w:r>
      <w:r>
        <w:rPr>
          <w:spacing w:val="-8"/>
        </w:rPr>
        <w:t> 周岁后因疾病或意外伤害导致双目视力永久不可逆性丧失， </w:t>
      </w:r>
      <w:r>
        <w:rPr>
          <w:spacing w:val="-5"/>
        </w:rPr>
        <w:t>双眼中较好眼须满足下列至少一项条件：</w:t>
      </w:r>
    </w:p>
    <w:p>
      <w:pPr>
        <w:pStyle w:val="BodyText"/>
        <w:spacing w:before="7"/>
      </w:pPr>
      <w:r>
        <w:rPr/>
        <w:t>（1）眼球缺失或摘除；</w:t>
      </w:r>
    </w:p>
    <w:p>
      <w:pPr>
        <w:pStyle w:val="BodyText"/>
        <w:spacing w:line="273" w:lineRule="auto" w:before="36"/>
        <w:ind w:left="2626" w:right="136" w:hanging="527"/>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36"/>
      </w:pPr>
      <w:r>
        <w:rPr/>
        <w:t>申请理赔时，须提供理赔当时的视力丧失诊断及检查证据。</w:t>
      </w:r>
    </w:p>
    <w:p>
      <w:pPr>
        <w:pStyle w:val="BodyText"/>
        <w:spacing w:before="8"/>
        <w:ind w:left="0"/>
        <w:rPr>
          <w:sz w:val="26"/>
        </w:rPr>
      </w:pPr>
    </w:p>
    <w:p>
      <w:pPr>
        <w:pStyle w:val="Heading2"/>
      </w:pPr>
      <w:r>
        <w:rPr/>
        <w:t>（十五）瘫痪</w:t>
      </w:r>
    </w:p>
    <w:p>
      <w:pPr>
        <w:pStyle w:val="BodyText"/>
        <w:spacing w:line="273" w:lineRule="auto"/>
        <w:ind w:right="136"/>
        <w:jc w:val="both"/>
      </w:pPr>
      <w:r>
        <w:rPr>
          <w:spacing w:val="-5"/>
        </w:rPr>
        <w:t>指因疾病或意外伤害导致两肢或两肢以上肢体机能永久完全丧失。肢体机能永</w:t>
      </w:r>
      <w:r>
        <w:rPr>
          <w:spacing w:val="-10"/>
        </w:rPr>
        <w:t>久完全丧失，指疾病确诊 </w:t>
      </w:r>
      <w:r>
        <w:rPr/>
        <w:t>180</w:t>
      </w:r>
      <w:r>
        <w:rPr>
          <w:spacing w:val="-12"/>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spacing w:before="1"/>
      </w:pPr>
      <w:r>
        <w:rPr/>
        <w:t>（十六）心脏瓣膜手术</w:t>
      </w:r>
    </w:p>
    <w:p>
      <w:pPr>
        <w:pStyle w:val="BodyText"/>
      </w:pPr>
      <w:r>
        <w:rPr/>
        <w:t>指为治疗心脏瓣膜疾病，实际实施了开胸进行的心脏瓣膜置换或修复的手术。</w:t>
      </w:r>
    </w:p>
    <w:p>
      <w:pPr>
        <w:pStyle w:val="BodyText"/>
        <w:spacing w:before="9"/>
        <w:ind w:left="0"/>
        <w:rPr>
          <w:sz w:val="26"/>
        </w:rPr>
      </w:pPr>
    </w:p>
    <w:p>
      <w:pPr>
        <w:pStyle w:val="Heading2"/>
      </w:pPr>
      <w:r>
        <w:rPr/>
        <w:t>（十七）严重阿尔茨海默病</w:t>
      </w:r>
    </w:p>
    <w:p>
      <w:pPr>
        <w:pStyle w:val="BodyText"/>
      </w:pPr>
      <w:r>
        <w:rPr/>
        <w:t>指因大脑进行性、不可逆性改变导致智能严重衰退或丧失，临床表现为明显的</w:t>
      </w:r>
    </w:p>
    <w:p>
      <w:pPr>
        <w:spacing w:after="0"/>
        <w:sectPr>
          <w:pgSz w:w="11910" w:h="16840"/>
          <w:pgMar w:top="1080" w:bottom="280" w:left="1680" w:right="880"/>
        </w:sectPr>
      </w:pPr>
    </w:p>
    <w:p>
      <w:pPr>
        <w:pStyle w:val="BodyText"/>
        <w:spacing w:line="273" w:lineRule="auto" w:before="22"/>
        <w:ind w:right="108"/>
      </w:pPr>
      <w:r>
        <w:rPr>
          <w:spacing w:val="-14"/>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8"/>
      </w:pPr>
      <w:r>
        <w:rPr/>
        <w:t>神经官能症和精神疾病不在保障范围内。</w:t>
      </w:r>
    </w:p>
    <w:p>
      <w:pPr>
        <w:pStyle w:val="BodyText"/>
        <w:spacing w:before="9"/>
        <w:ind w:left="0"/>
        <w:rPr>
          <w:sz w:val="26"/>
        </w:rPr>
      </w:pPr>
    </w:p>
    <w:p>
      <w:pPr>
        <w:pStyle w:val="Heading2"/>
      </w:pPr>
      <w:r>
        <w:rPr/>
        <w:t>（十八）严重脑损伤</w:t>
      </w:r>
    </w:p>
    <w:p>
      <w:pPr>
        <w:pStyle w:val="BodyText"/>
        <w:spacing w:line="273" w:lineRule="auto"/>
        <w:ind w:right="216"/>
      </w:pPr>
      <w:r>
        <w:rPr>
          <w:spacing w:val="-6"/>
        </w:rPr>
        <w:t>指因头部遭受机械性外力，引起脑重要部位损伤，导致神经系统永久性的功能</w:t>
      </w:r>
      <w:r>
        <w:rPr>
          <w:spacing w:val="-6"/>
          <w:w w:val="100"/>
        </w:rPr>
        <w:t>障碍。须由头颅断层扫描</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before="36"/>
        <w:ind w:left="2626" w:right="220" w:hanging="527"/>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ind w:right="188"/>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left="2626" w:right="220" w:hanging="527"/>
      </w:pPr>
      <w:r>
        <w:rPr/>
        <w:t>（2）自主生活能力完全丧失，无法独立完成六项基本日常生活活动中的三项或三项以上。</w:t>
      </w:r>
    </w:p>
    <w:p>
      <w:pPr>
        <w:pStyle w:val="BodyText"/>
        <w:spacing w:before="8"/>
      </w:pPr>
      <w:r>
        <w:rPr/>
        <w:t>继发性帕金森综合征不在保障范围内。</w:t>
      </w:r>
    </w:p>
    <w:p>
      <w:pPr>
        <w:pStyle w:val="BodyText"/>
        <w:spacing w:before="9"/>
        <w:ind w:left="0"/>
        <w:rPr>
          <w:sz w:val="26"/>
        </w:rPr>
      </w:pPr>
    </w:p>
    <w:p>
      <w:pPr>
        <w:pStyle w:val="Heading2"/>
      </w:pPr>
      <w:r>
        <w:rPr/>
        <w:t>（二十）严重Ⅲ度烧伤</w:t>
      </w:r>
    </w:p>
    <w:p>
      <w:pPr>
        <w:pStyle w:val="BodyText"/>
        <w:spacing w:line="273" w:lineRule="auto"/>
        <w:ind w:right="163"/>
      </w:pPr>
      <w:r>
        <w:rPr/>
        <w:t>指烧伤程度为Ⅲ度，且Ⅲ度烧伤面积达到全身体表面积的 20％或 20％以上。体表面积根据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before="36"/>
        <w:ind w:right="216"/>
        <w:jc w:val="both"/>
      </w:pPr>
      <w:r>
        <w:rPr>
          <w:spacing w:val="-6"/>
        </w:rPr>
        <w:t>指不明原因的肺动脉压力持续性增高，进行性发展而导致的慢性疾病，已经造成永久不可逆性的体力活动能力受限，达到美国纽约心脏病学会心功能状态分级Ⅳ级，且静息状态下肺动脉平均压超过 </w:t>
      </w:r>
      <w:r>
        <w:rPr/>
        <w:t>30mmHg。</w:t>
      </w:r>
    </w:p>
    <w:p>
      <w:pPr>
        <w:pStyle w:val="BodyText"/>
        <w:spacing w:before="5"/>
        <w:ind w:left="0"/>
        <w:rPr>
          <w:sz w:val="24"/>
        </w:rPr>
      </w:pPr>
    </w:p>
    <w:p>
      <w:pPr>
        <w:pStyle w:val="Heading2"/>
        <w:spacing w:before="1"/>
      </w:pPr>
      <w:r>
        <w:rPr/>
        <w:t>（二十二）严重运动神经元病</w:t>
      </w:r>
    </w:p>
    <w:p>
      <w:pPr>
        <w:pStyle w:val="BodyText"/>
        <w:spacing w:line="273" w:lineRule="auto"/>
        <w:ind w:right="180"/>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pPr>
      <w:r>
        <w:rPr/>
        <w:t>（二十三）语言能力丧失</w:t>
      </w:r>
    </w:p>
    <w:p>
      <w:pPr>
        <w:pStyle w:val="BodyText"/>
        <w:spacing w:line="273" w:lineRule="auto"/>
        <w:ind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8"/>
      </w:pPr>
      <w:r>
        <w:rPr/>
        <w:t>精神心理因素所致的语言能力丧失不在保障范围内。</w:t>
      </w:r>
    </w:p>
    <w:p>
      <w:pPr>
        <w:pStyle w:val="BodyText"/>
        <w:spacing w:before="12"/>
        <w:ind w:left="0"/>
        <w:rPr>
          <w:sz w:val="28"/>
        </w:rPr>
      </w:pPr>
    </w:p>
    <w:p>
      <w:pPr>
        <w:pStyle w:val="Heading2"/>
      </w:pPr>
      <w:r>
        <w:rPr/>
        <w:t>（二十四）重型再生障碍性贫血</w:t>
      </w:r>
    </w:p>
    <w:p>
      <w:pPr>
        <w:pStyle w:val="BodyText"/>
      </w:pPr>
      <w:r>
        <w:rPr/>
        <w:t>指因骨髓造血功能慢性持续性衰竭导致的贫血、中性粒细胞减少及血小板减</w:t>
      </w:r>
    </w:p>
    <w:p>
      <w:pPr>
        <w:spacing w:after="0"/>
        <w:sectPr>
          <w:pgSz w:w="11910" w:h="16840"/>
          <w:pgMar w:top="1080" w:bottom="280" w:left="1680" w:right="800"/>
        </w:sectPr>
      </w:pPr>
    </w:p>
    <w:p>
      <w:pPr>
        <w:pStyle w:val="BodyText"/>
        <w:spacing w:before="22"/>
      </w:pPr>
      <w:r>
        <w:rPr/>
        <w:t>少。须满足下列全部条件：</w:t>
      </w:r>
    </w:p>
    <w:p>
      <w:pPr>
        <w:pStyle w:val="BodyText"/>
      </w:pPr>
      <w:r>
        <w:rPr/>
        <w:t>（1）骨髓穿刺检查或骨髓活检结果支持诊断；</w:t>
      </w:r>
    </w:p>
    <w:p>
      <w:pPr>
        <w:pStyle w:val="BodyText"/>
        <w:spacing w:before="36"/>
      </w:pPr>
      <w:r>
        <w:rPr/>
        <w:t>（2）外周血象必须具备以下三项条件：</w:t>
      </w:r>
    </w:p>
    <w:p>
      <w:pPr>
        <w:pStyle w:val="BodyText"/>
        <w:spacing w:before="36"/>
        <w:ind w:left="2761"/>
      </w:pPr>
      <w:r>
        <w:rPr/>
        <w:t>① 中性粒细胞绝对值≤0.5×10</w:t>
      </w:r>
      <w:r>
        <w:rPr>
          <w:position w:val="11"/>
          <w:sz w:val="11"/>
        </w:rPr>
        <w:t>9</w:t>
      </w:r>
      <w:r>
        <w:rPr/>
        <w:t>/L；</w:t>
      </w:r>
    </w:p>
    <w:p>
      <w:pPr>
        <w:pStyle w:val="BodyText"/>
        <w:spacing w:before="36"/>
        <w:ind w:left="2761"/>
      </w:pPr>
      <w:r>
        <w:rPr/>
        <w:t>② 网织红细胞＜1%；</w:t>
      </w:r>
    </w:p>
    <w:p>
      <w:pPr>
        <w:pStyle w:val="BodyText"/>
        <w:spacing w:before="36"/>
        <w:ind w:left="2761"/>
      </w:pPr>
      <w:r>
        <w:rPr/>
        <w:t>③ 血小板绝对值≤20×10</w:t>
      </w:r>
      <w:r>
        <w:rPr>
          <w:position w:val="11"/>
          <w:sz w:val="11"/>
        </w:rPr>
        <w:t>9</w:t>
      </w:r>
      <w:r>
        <w:rPr/>
        <w:t>/L。</w:t>
      </w:r>
    </w:p>
    <w:p>
      <w:pPr>
        <w:pStyle w:val="BodyText"/>
        <w:spacing w:before="8"/>
        <w:ind w:left="0"/>
        <w:rPr>
          <w:sz w:val="26"/>
        </w:rPr>
      </w:pPr>
    </w:p>
    <w:p>
      <w:pPr>
        <w:pStyle w:val="Heading2"/>
      </w:pPr>
      <w:r>
        <w:rPr/>
        <w:t>（二十五）主动脉手术</w:t>
      </w:r>
    </w:p>
    <w:p>
      <w:pPr>
        <w:pStyle w:val="BodyText"/>
        <w:spacing w:line="273" w:lineRule="auto"/>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8"/>
      </w:pPr>
      <w:r>
        <w:rPr/>
        <w:t>动脉内血管成形术不在保障范围内。</w:t>
      </w:r>
    </w:p>
    <w:p>
      <w:pPr>
        <w:pStyle w:val="BodyText"/>
        <w:spacing w:before="9"/>
        <w:ind w:left="0"/>
        <w:rPr>
          <w:sz w:val="26"/>
        </w:rPr>
      </w:pPr>
    </w:p>
    <w:p>
      <w:pPr>
        <w:pStyle w:val="BodyText"/>
        <w:spacing w:line="273" w:lineRule="auto" w:before="0"/>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（二十六）严重重症肌无力</w:t>
      </w:r>
    </w:p>
    <w:p>
      <w:pPr>
        <w:pStyle w:val="BodyText"/>
        <w:spacing w:line="273" w:lineRule="auto"/>
        <w:ind w:right="100"/>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7"/>
      </w:pPr>
      <w:r>
        <w:rPr/>
        <w:t>（1）经药物或胸腺手术治疗一年以上无法控制病情，丧失正常工作能力;</w:t>
      </w:r>
    </w:p>
    <w:p>
      <w:pPr>
        <w:pStyle w:val="BodyText"/>
        <w:spacing w:line="273" w:lineRule="auto" w:before="36"/>
        <w:ind w:left="2626" w:right="135" w:hanging="527"/>
      </w:pPr>
      <w:r>
        <w:rPr>
          <w:spacing w:val="-5"/>
        </w:rPr>
        <w:t>（2）</w:t>
      </w:r>
      <w:r>
        <w:rPr>
          <w:spacing w:val="-6"/>
        </w:rPr>
        <w:t>出现眼睑下垂，或延髓肌受累引起的构音困难、进食呛咳,或由于肌无力</w:t>
      </w:r>
      <w:r>
        <w:rPr>
          <w:spacing w:val="-8"/>
        </w:rPr>
        <w:t>累及延髓肌、呼吸肌而致机体呼吸功能不正常的危急状态即肌无力危象;</w:t>
      </w:r>
    </w:p>
    <w:p>
      <w:pPr>
        <w:pStyle w:val="BodyText"/>
        <w:spacing w:line="273" w:lineRule="auto" w:before="7"/>
        <w:ind w:left="2626" w:right="140" w:hanging="527"/>
      </w:pPr>
      <w:r>
        <w:rPr/>
        <w:t>（3）症状缓解、复发及恶化的交替出现，临床接受新斯的明等抗胆碱酯酶药物治疗的病史。</w:t>
      </w:r>
    </w:p>
    <w:p>
      <w:pPr>
        <w:pStyle w:val="BodyText"/>
        <w:spacing w:before="5"/>
        <w:ind w:left="0"/>
        <w:rPr>
          <w:sz w:val="24"/>
        </w:rPr>
      </w:pPr>
    </w:p>
    <w:p>
      <w:pPr>
        <w:pStyle w:val="Heading2"/>
      </w:pPr>
      <w:r>
        <w:rPr/>
        <w:t>（二十七）严重多发性硬化</w:t>
      </w:r>
    </w:p>
    <w:p>
      <w:pPr>
        <w:pStyle w:val="BodyText"/>
        <w:spacing w:line="273" w:lineRule="auto" w:before="36"/>
        <w:ind w:right="13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3"/>
        </w:rPr>
        <w:t>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2"/>
      </w:pPr>
      <w:r>
        <w:rPr/>
        <w:t>（二十八）严重冠心病</w:t>
      </w:r>
    </w:p>
    <w:p>
      <w:pPr>
        <w:pStyle w:val="BodyText"/>
        <w:spacing w:line="273" w:lineRule="auto" w:before="36"/>
        <w:ind w:right="136"/>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spacing w:val="-3"/>
        </w:rPr>
        <w:t>前降支、左旋支及右冠状动脉的分支血管的狭窄不作为本保障的衡量指标。</w:t>
      </w:r>
    </w:p>
    <w:p>
      <w:pPr>
        <w:pStyle w:val="BodyText"/>
        <w:spacing w:before="4"/>
        <w:ind w:left="0"/>
        <w:rPr>
          <w:sz w:val="24"/>
        </w:rPr>
      </w:pPr>
    </w:p>
    <w:p>
      <w:pPr>
        <w:pStyle w:val="Heading2"/>
        <w:spacing w:before="1"/>
      </w:pPr>
      <w:r>
        <w:rPr/>
        <w:t>（二十九）严重心肌病</w:t>
      </w:r>
    </w:p>
    <w:p>
      <w:pPr>
        <w:pStyle w:val="BodyText"/>
        <w:spacing w:line="273" w:lineRule="auto"/>
        <w:ind w:right="136"/>
        <w:jc w:val="both"/>
      </w:pPr>
      <w:r>
        <w:rPr>
          <w:spacing w:val="-5"/>
        </w:rPr>
        <w:t>指被保险人因心肌病导致慢性心功能损害造成永久不可逆性的心功能衰竭。心</w:t>
      </w:r>
      <w:r>
        <w:rPr>
          <w:spacing w:val="-6"/>
        </w:rPr>
        <w:t>功能衰竭程度达到美国纽约心脏病学会的心功能分级标准之心功能Ⅳ级。被保</w:t>
      </w:r>
      <w:r>
        <w:rPr>
          <w:spacing w:val="-3"/>
        </w:rPr>
        <w:t>险人永久不可逆性的体力活动能力受限，不能从事任何体力活动。</w:t>
      </w:r>
    </w:p>
    <w:p>
      <w:pPr>
        <w:pStyle w:val="BodyText"/>
        <w:spacing w:before="5"/>
        <w:ind w:left="0"/>
        <w:rPr>
          <w:sz w:val="24"/>
        </w:rPr>
      </w:pPr>
    </w:p>
    <w:p>
      <w:pPr>
        <w:pStyle w:val="Heading2"/>
        <w:spacing w:before="1"/>
      </w:pPr>
      <w:r>
        <w:rPr/>
        <w:t>（三十）严重系统性红斑狼疮性肾病 － Ⅲ型或Ⅲ型以上狼疮性肾炎</w:t>
      </w:r>
    </w:p>
    <w:p>
      <w:pPr>
        <w:pStyle w:val="BodyText"/>
      </w:pPr>
      <w:r>
        <w:rPr/>
        <w:t>系统性红斑狼疮是由多种因素引起，累及多系统的自身免疫性疾病。其特点是</w:t>
      </w:r>
    </w:p>
    <w:p>
      <w:pPr>
        <w:spacing w:after="0"/>
        <w:sectPr>
          <w:pgSz w:w="11910" w:h="16840"/>
          <w:pgMar w:top="1080" w:bottom="280" w:left="1680" w:right="880"/>
        </w:sectPr>
      </w:pPr>
    </w:p>
    <w:p>
      <w:pPr>
        <w:pStyle w:val="BodyText"/>
        <w:spacing w:before="22"/>
      </w:pPr>
      <w:r>
        <w:rPr/>
        <w:t>生成自身抗体对抗多种自身抗原。多见于育龄妇女。</w:t>
      </w:r>
    </w:p>
    <w:p>
      <w:pPr>
        <w:pStyle w:val="BodyText"/>
        <w:spacing w:line="273" w:lineRule="auto"/>
        <w:ind w:right="116"/>
      </w:pPr>
      <w:r>
        <w:rPr>
          <w:spacing w:val="-3"/>
        </w:rPr>
        <w:t>本保单所指的系统性红斑狼疮仅限于累及肾脏</w:t>
      </w:r>
      <w:r>
        <w:rPr/>
        <w:t>（</w:t>
      </w:r>
      <w:r>
        <w:rPr>
          <w:spacing w:val="-4"/>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pPr>
      <w:r>
        <w:rPr>
          <w:u w:val="single"/>
        </w:rPr>
        <w:t>世界卫生组织（WHO）狼疮性肾炎分型：</w:t>
      </w:r>
    </w:p>
    <w:p>
      <w:pPr>
        <w:pStyle w:val="BodyText"/>
        <w:spacing w:before="9"/>
        <w:ind w:left="0"/>
        <w:rPr>
          <w:sz w:val="7"/>
        </w:rPr>
      </w:pP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2637"/>
      </w:tblGrid>
      <w:tr>
        <w:trPr>
          <w:trHeight w:val="261" w:hRule="atLeast"/>
        </w:trPr>
        <w:tc>
          <w:tcPr>
            <w:tcW w:w="1377" w:type="dxa"/>
          </w:tcPr>
          <w:p>
            <w:pPr>
              <w:pStyle w:val="TableParagraph"/>
              <w:spacing w:line="211" w:lineRule="exact"/>
              <w:ind w:left="200"/>
              <w:rPr>
                <w:sz w:val="21"/>
              </w:rPr>
            </w:pPr>
            <w:r>
              <w:rPr>
                <w:sz w:val="21"/>
              </w:rPr>
              <w:t>Ⅰ型</w:t>
            </w:r>
          </w:p>
        </w:tc>
        <w:tc>
          <w:tcPr>
            <w:tcW w:w="2637" w:type="dxa"/>
          </w:tcPr>
          <w:p>
            <w:pPr>
              <w:pStyle w:val="TableParagraph"/>
              <w:spacing w:line="211" w:lineRule="exact"/>
              <w:ind w:left="755"/>
              <w:rPr>
                <w:sz w:val="21"/>
              </w:rPr>
            </w:pPr>
            <w:r>
              <w:rPr>
                <w:sz w:val="21"/>
              </w:rPr>
              <w:t>微小病变型</w:t>
            </w:r>
          </w:p>
        </w:tc>
      </w:tr>
      <w:tr>
        <w:trPr>
          <w:trHeight w:val="311" w:hRule="atLeast"/>
        </w:trPr>
        <w:tc>
          <w:tcPr>
            <w:tcW w:w="1377" w:type="dxa"/>
          </w:tcPr>
          <w:p>
            <w:pPr>
              <w:pStyle w:val="TableParagraph"/>
              <w:spacing w:line="261" w:lineRule="exact"/>
              <w:ind w:left="200"/>
              <w:rPr>
                <w:sz w:val="21"/>
              </w:rPr>
            </w:pPr>
            <w:r>
              <w:rPr>
                <w:sz w:val="21"/>
              </w:rPr>
              <w:t>Ⅱ型</w:t>
            </w:r>
          </w:p>
        </w:tc>
        <w:tc>
          <w:tcPr>
            <w:tcW w:w="2637" w:type="dxa"/>
          </w:tcPr>
          <w:p>
            <w:pPr>
              <w:pStyle w:val="TableParagraph"/>
              <w:spacing w:line="261" w:lineRule="exact"/>
              <w:ind w:left="755"/>
              <w:rPr>
                <w:sz w:val="21"/>
              </w:rPr>
            </w:pPr>
            <w:r>
              <w:rPr>
                <w:sz w:val="21"/>
              </w:rPr>
              <w:t>系膜病变型</w:t>
            </w:r>
          </w:p>
        </w:tc>
      </w:tr>
      <w:tr>
        <w:trPr>
          <w:trHeight w:val="312" w:hRule="atLeast"/>
        </w:trPr>
        <w:tc>
          <w:tcPr>
            <w:tcW w:w="1377" w:type="dxa"/>
          </w:tcPr>
          <w:p>
            <w:pPr>
              <w:pStyle w:val="TableParagraph"/>
              <w:spacing w:line="261" w:lineRule="exact"/>
              <w:ind w:left="200"/>
              <w:rPr>
                <w:sz w:val="21"/>
              </w:rPr>
            </w:pPr>
            <w:r>
              <w:rPr>
                <w:sz w:val="21"/>
              </w:rPr>
              <w:t>Ⅲ型</w:t>
            </w:r>
          </w:p>
        </w:tc>
        <w:tc>
          <w:tcPr>
            <w:tcW w:w="2637" w:type="dxa"/>
          </w:tcPr>
          <w:p>
            <w:pPr>
              <w:pStyle w:val="TableParagraph"/>
              <w:spacing w:line="261" w:lineRule="exact"/>
              <w:ind w:left="755"/>
              <w:rPr>
                <w:sz w:val="21"/>
              </w:rPr>
            </w:pPr>
            <w:r>
              <w:rPr>
                <w:sz w:val="21"/>
              </w:rPr>
              <w:t>局灶及节段增生型</w:t>
            </w:r>
          </w:p>
        </w:tc>
      </w:tr>
      <w:tr>
        <w:trPr>
          <w:trHeight w:val="312" w:hRule="atLeast"/>
        </w:trPr>
        <w:tc>
          <w:tcPr>
            <w:tcW w:w="1377" w:type="dxa"/>
          </w:tcPr>
          <w:p>
            <w:pPr>
              <w:pStyle w:val="TableParagraph"/>
              <w:spacing w:line="261" w:lineRule="exact"/>
              <w:ind w:left="200"/>
              <w:rPr>
                <w:sz w:val="21"/>
              </w:rPr>
            </w:pPr>
            <w:r>
              <w:rPr>
                <w:sz w:val="21"/>
              </w:rPr>
              <w:t>Ⅳ型</w:t>
            </w:r>
          </w:p>
        </w:tc>
        <w:tc>
          <w:tcPr>
            <w:tcW w:w="2637" w:type="dxa"/>
          </w:tcPr>
          <w:p>
            <w:pPr>
              <w:pStyle w:val="TableParagraph"/>
              <w:spacing w:line="261" w:lineRule="exact"/>
              <w:ind w:left="755"/>
              <w:rPr>
                <w:sz w:val="21"/>
              </w:rPr>
            </w:pPr>
            <w:r>
              <w:rPr>
                <w:sz w:val="21"/>
              </w:rPr>
              <w:t>弥漫增生型</w:t>
            </w:r>
          </w:p>
        </w:tc>
      </w:tr>
      <w:tr>
        <w:trPr>
          <w:trHeight w:val="312" w:hRule="atLeast"/>
        </w:trPr>
        <w:tc>
          <w:tcPr>
            <w:tcW w:w="1377" w:type="dxa"/>
          </w:tcPr>
          <w:p>
            <w:pPr>
              <w:pStyle w:val="TableParagraph"/>
              <w:spacing w:line="261" w:lineRule="exact"/>
              <w:ind w:left="200"/>
              <w:rPr>
                <w:sz w:val="21"/>
              </w:rPr>
            </w:pPr>
            <w:r>
              <w:rPr>
                <w:sz w:val="21"/>
              </w:rPr>
              <w:t>Ⅴ型</w:t>
            </w:r>
          </w:p>
        </w:tc>
        <w:tc>
          <w:tcPr>
            <w:tcW w:w="2637" w:type="dxa"/>
          </w:tcPr>
          <w:p>
            <w:pPr>
              <w:pStyle w:val="TableParagraph"/>
              <w:spacing w:line="261" w:lineRule="exact"/>
              <w:ind w:left="755"/>
              <w:rPr>
                <w:sz w:val="21"/>
              </w:rPr>
            </w:pPr>
            <w:r>
              <w:rPr>
                <w:sz w:val="21"/>
              </w:rPr>
              <w:t>膜型</w:t>
            </w:r>
          </w:p>
        </w:tc>
      </w:tr>
      <w:tr>
        <w:trPr>
          <w:trHeight w:val="261" w:hRule="atLeast"/>
        </w:trPr>
        <w:tc>
          <w:tcPr>
            <w:tcW w:w="1377" w:type="dxa"/>
          </w:tcPr>
          <w:p>
            <w:pPr>
              <w:pStyle w:val="TableParagraph"/>
              <w:spacing w:line="242" w:lineRule="exact"/>
              <w:ind w:left="200"/>
              <w:rPr>
                <w:sz w:val="21"/>
              </w:rPr>
            </w:pPr>
            <w:r>
              <w:rPr>
                <w:sz w:val="21"/>
              </w:rPr>
              <w:t>Ⅵ型</w:t>
            </w:r>
          </w:p>
        </w:tc>
        <w:tc>
          <w:tcPr>
            <w:tcW w:w="2637" w:type="dxa"/>
          </w:tcPr>
          <w:p>
            <w:pPr>
              <w:pStyle w:val="TableParagraph"/>
              <w:spacing w:line="242" w:lineRule="exact"/>
              <w:ind w:left="755"/>
              <w:rPr>
                <w:sz w:val="21"/>
              </w:rPr>
            </w:pPr>
            <w:r>
              <w:rPr>
                <w:sz w:val="21"/>
              </w:rPr>
              <w:t>肾小球硬化型</w:t>
            </w:r>
          </w:p>
        </w:tc>
      </w:tr>
    </w:tbl>
    <w:p>
      <w:pPr>
        <w:pStyle w:val="BodyText"/>
        <w:spacing w:before="8"/>
        <w:ind w:left="0"/>
        <w:rPr>
          <w:sz w:val="26"/>
        </w:rPr>
      </w:pPr>
    </w:p>
    <w:p>
      <w:pPr>
        <w:pStyle w:val="Heading2"/>
      </w:pPr>
      <w:r>
        <w:rPr/>
        <w:t>（三十一）经输血导致的人类免疫缺陷病毒感染</w:t>
      </w:r>
    </w:p>
    <w:p>
      <w:pPr>
        <w:pStyle w:val="BodyText"/>
        <w:spacing w:before="36"/>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left="2626" w:right="120" w:hanging="527"/>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line="273" w:lineRule="auto"/>
        <w:ind w:right="115"/>
      </w:pPr>
      <w:r>
        <w:rPr>
          <w:spacing w:val="-5"/>
        </w:rPr>
        <w:t>在任何治愈艾滋病</w:t>
      </w:r>
      <w:r>
        <w:rPr>
          <w:spacing w:val="-3"/>
        </w:rPr>
        <w:t>（AIDS）</w:t>
      </w:r>
      <w:r>
        <w:rPr>
          <w:spacing w:val="-11"/>
        </w:rPr>
        <w:t>或阻止 </w:t>
      </w:r>
      <w:r>
        <w:rPr/>
        <w:t>HIV</w:t>
      </w:r>
      <w:r>
        <w:rPr>
          <w:spacing w:val="-8"/>
        </w:rPr>
        <w:t> 病毒作用的疗法被发现以后，或当能防</w:t>
      </w:r>
      <w:r>
        <w:rPr>
          <w:spacing w:val="-22"/>
        </w:rPr>
        <w:t>止 </w:t>
      </w:r>
      <w:r>
        <w:rPr/>
        <w:t>AIDS</w:t>
      </w:r>
      <w:r>
        <w:rPr>
          <w:spacing w:val="-8"/>
        </w:rPr>
        <w:t> 发生的医疗方法被研究出来以后，本保障将不再予以赔付。</w:t>
      </w:r>
    </w:p>
    <w:p>
      <w:pPr>
        <w:pStyle w:val="BodyText"/>
        <w:spacing w:line="273" w:lineRule="auto" w:before="8"/>
        <w:ind w:right="11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7"/>
      </w:pPr>
      <w:r>
        <w:rPr>
          <w:spacing w:val="-5"/>
        </w:rPr>
        <w:t>在任何治愈艾滋病</w:t>
      </w:r>
      <w:r>
        <w:rPr>
          <w:spacing w:val="-3"/>
        </w:rPr>
        <w:t>（AIDS）</w:t>
      </w:r>
      <w:r>
        <w:rPr>
          <w:spacing w:val="-10"/>
        </w:rPr>
        <w:t>或阻止 </w:t>
      </w:r>
      <w:r>
        <w:rPr/>
        <w:t>HIV</w:t>
      </w:r>
      <w:r>
        <w:rPr>
          <w:spacing w:val="-8"/>
        </w:rPr>
        <w:t> 病毒作用的疗法被发现以后，或能防止</w:t>
      </w:r>
    </w:p>
    <w:p>
      <w:pPr>
        <w:pStyle w:val="BodyText"/>
        <w:spacing w:before="36"/>
      </w:pPr>
      <w:r>
        <w:rPr/>
        <w:t>AIDS 发生的医疗方法被研究出来以后，本保障将不再予以赔付。</w:t>
      </w:r>
    </w:p>
    <w:p>
      <w:pPr>
        <w:pStyle w:val="BodyText"/>
        <w:spacing w:before="8"/>
        <w:ind w:left="0"/>
        <w:rPr>
          <w:sz w:val="26"/>
        </w:rPr>
      </w:pPr>
    </w:p>
    <w:p>
      <w:pPr>
        <w:pStyle w:val="Heading2"/>
      </w:pPr>
      <w:r>
        <w:rPr/>
        <w:t>（三十二）严重类风湿性关节炎</w:t>
      </w:r>
    </w:p>
    <w:p>
      <w:pPr>
        <w:pStyle w:val="BodyText"/>
        <w:spacing w:line="273" w:lineRule="auto"/>
        <w:ind w:right="113"/>
        <w:jc w:val="both"/>
      </w:pPr>
      <w:r>
        <w:rPr>
          <w:spacing w:val="-6"/>
        </w:rPr>
        <w:t>指广泛分布的慢性进行性多关节病变，表现为关节严重变形，侵犯至少三个主要关节(腕关节、肘关节、肩关节、踝关节、膝关节、髋关节)或关节组(如手的多个指间、掌指关节，足的多个足趾、跖趾关节等)。类风湿性关节炎须明</w:t>
      </w:r>
      <w:r>
        <w:rPr>
          <w:spacing w:val="-4"/>
        </w:rPr>
        <w:t>确诊断，并已达到类风湿性关节炎功能分类 </w:t>
      </w:r>
      <w:r>
        <w:rPr/>
        <w:t>IV</w:t>
      </w:r>
      <w:r>
        <w:rPr>
          <w:spacing w:val="-3"/>
        </w:rPr>
        <w:t> 级的永久不可逆性关节功能障碍，且须满足下列全部条件：</w:t>
      </w:r>
    </w:p>
    <w:p>
      <w:pPr>
        <w:spacing w:line="286" w:lineRule="exact" w:before="0"/>
        <w:ind w:left="2100" w:right="0" w:firstLine="0"/>
        <w:jc w:val="left"/>
        <w:rPr>
          <w:sz w:val="21"/>
        </w:rPr>
      </w:pPr>
      <w:r>
        <w:rPr>
          <w:sz w:val="22"/>
        </w:rPr>
        <w:t>（1）</w:t>
      </w:r>
      <w:r>
        <w:rPr>
          <w:sz w:val="21"/>
        </w:rPr>
        <w:t>晨僵;</w:t>
      </w:r>
    </w:p>
    <w:p>
      <w:pPr>
        <w:spacing w:before="24"/>
        <w:ind w:left="2100" w:right="0" w:firstLine="0"/>
        <w:jc w:val="left"/>
        <w:rPr>
          <w:sz w:val="21"/>
        </w:rPr>
      </w:pPr>
      <w:r>
        <w:rPr>
          <w:sz w:val="22"/>
        </w:rPr>
        <w:t>（2）</w:t>
      </w:r>
      <w:r>
        <w:rPr>
          <w:sz w:val="21"/>
        </w:rPr>
        <w:t>对称性关节炎;</w:t>
      </w:r>
    </w:p>
    <w:p>
      <w:pPr>
        <w:spacing w:before="24"/>
        <w:ind w:left="2100" w:right="0" w:firstLine="0"/>
        <w:jc w:val="left"/>
        <w:rPr>
          <w:sz w:val="21"/>
        </w:rPr>
      </w:pPr>
      <w:r>
        <w:rPr>
          <w:sz w:val="22"/>
        </w:rPr>
        <w:t>（3）</w:t>
      </w:r>
      <w:r>
        <w:rPr>
          <w:sz w:val="21"/>
        </w:rPr>
        <w:t>类风湿性皮下结节;</w:t>
      </w:r>
    </w:p>
    <w:p>
      <w:pPr>
        <w:spacing w:before="24"/>
        <w:ind w:left="2100" w:right="0" w:firstLine="0"/>
        <w:jc w:val="left"/>
        <w:rPr>
          <w:sz w:val="21"/>
        </w:rPr>
      </w:pPr>
      <w:r>
        <w:rPr>
          <w:sz w:val="22"/>
        </w:rPr>
        <w:t>（4）</w:t>
      </w:r>
      <w:r>
        <w:rPr>
          <w:sz w:val="21"/>
        </w:rPr>
        <w:t>类风湿因子滴度升高;</w:t>
      </w:r>
    </w:p>
    <w:p>
      <w:pPr>
        <w:pStyle w:val="BodyText"/>
        <w:spacing w:before="24"/>
      </w:pPr>
      <w:r>
        <w:rPr>
          <w:sz w:val="22"/>
        </w:rPr>
        <w:t>（5）</w:t>
      </w:r>
      <w:r>
        <w:rPr/>
        <w:t>X 线显示严重的关节(软骨和骨)破坏和关节畸形。</w:t>
      </w:r>
    </w:p>
    <w:p>
      <w:pPr>
        <w:pStyle w:val="BodyText"/>
        <w:spacing w:before="5"/>
        <w:ind w:left="0"/>
        <w:rPr>
          <w:sz w:val="26"/>
        </w:rPr>
      </w:pPr>
    </w:p>
    <w:p>
      <w:pPr>
        <w:pStyle w:val="Heading2"/>
      </w:pPr>
      <w:r>
        <w:rPr/>
        <w:t>（三十三）严重脊髓灰质炎</w:t>
      </w:r>
    </w:p>
    <w:p>
      <w:pPr>
        <w:pStyle w:val="BodyText"/>
        <w:spacing w:line="273" w:lineRule="auto"/>
        <w:ind w:right="116"/>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spacing w:after="0" w:line="273" w:lineRule="auto"/>
        <w:jc w:val="both"/>
        <w:sectPr>
          <w:pgSz w:w="11910" w:h="16840"/>
          <w:pgMar w:top="1080" w:bottom="280" w:left="1680" w:right="900"/>
        </w:sectPr>
      </w:pPr>
    </w:p>
    <w:p>
      <w:pPr>
        <w:pStyle w:val="Heading2"/>
        <w:spacing w:before="14"/>
        <w:jc w:val="both"/>
      </w:pPr>
      <w:r>
        <w:rPr/>
        <w:t>（三十四）终末期肺病</w:t>
      </w:r>
    </w:p>
    <w:p>
      <w:pPr>
        <w:pStyle w:val="BodyText"/>
        <w:jc w:val="both"/>
      </w:pPr>
      <w:r>
        <w:rPr/>
        <w:t>经呼吸科专科医生明确诊断为终末期肺病，且须同时满足下列条件：</w:t>
      </w:r>
    </w:p>
    <w:p>
      <w:pPr>
        <w:pStyle w:val="BodyText"/>
        <w:spacing w:before="28"/>
        <w:jc w:val="both"/>
      </w:pPr>
      <w:r>
        <w:rPr>
          <w:sz w:val="22"/>
        </w:rPr>
        <w:t>（1）</w:t>
      </w:r>
      <w:r>
        <w:rPr/>
        <w:t>肺功能测试其 FEVB1B 持续低于 0.75 升；</w:t>
      </w:r>
    </w:p>
    <w:p>
      <w:pPr>
        <w:pStyle w:val="BodyText"/>
        <w:spacing w:before="24"/>
        <w:jc w:val="both"/>
      </w:pPr>
      <w:r>
        <w:rPr>
          <w:sz w:val="22"/>
        </w:rPr>
        <w:t>（2）</w:t>
      </w:r>
      <w:r>
        <w:rPr/>
        <w:t>病人缺氧必须广泛而持续地进行输氧治疗；</w:t>
      </w:r>
    </w:p>
    <w:p>
      <w:pPr>
        <w:pStyle w:val="BodyText"/>
        <w:spacing w:before="24"/>
        <w:jc w:val="both"/>
      </w:pPr>
      <w:r>
        <w:rPr>
          <w:sz w:val="22"/>
        </w:rPr>
        <w:t>（3）</w:t>
      </w:r>
      <w:r>
        <w:rPr/>
        <w:t>动脉血气分析氧分压低于 55mmHg；</w:t>
      </w:r>
    </w:p>
    <w:p>
      <w:pPr>
        <w:spacing w:before="24"/>
        <w:ind w:left="2100" w:right="0" w:firstLine="0"/>
        <w:jc w:val="both"/>
        <w:rPr>
          <w:sz w:val="21"/>
        </w:rPr>
      </w:pPr>
      <w:r>
        <w:rPr>
          <w:sz w:val="22"/>
        </w:rPr>
        <w:t>（4）</w:t>
      </w:r>
      <w:r>
        <w:rPr>
          <w:sz w:val="21"/>
        </w:rPr>
        <w:t>出现慢性呼吸功能衰竭。</w:t>
      </w:r>
    </w:p>
    <w:p>
      <w:pPr>
        <w:pStyle w:val="BodyText"/>
        <w:spacing w:before="33"/>
        <w:jc w:val="both"/>
      </w:pPr>
      <w:r>
        <w:rPr/>
        <w:t>因职业因素造成的肺部疾病不在保障范围内。</w:t>
      </w:r>
    </w:p>
    <w:p>
      <w:pPr>
        <w:pStyle w:val="BodyText"/>
        <w:spacing w:before="8"/>
        <w:ind w:left="0"/>
        <w:rPr>
          <w:sz w:val="26"/>
        </w:rPr>
      </w:pPr>
    </w:p>
    <w:p>
      <w:pPr>
        <w:pStyle w:val="Heading2"/>
        <w:jc w:val="both"/>
      </w:pPr>
      <w:r>
        <w:rPr/>
        <w:t>（三十五）严重克隆病</w:t>
      </w:r>
    </w:p>
    <w:p>
      <w:pPr>
        <w:pStyle w:val="BodyText"/>
        <w:spacing w:before="36"/>
        <w:jc w:val="both"/>
      </w:pPr>
      <w:r>
        <w:rPr/>
        <w:t>指一种肉芽肿性肠炎。且须满足下列所有条件：</w:t>
      </w:r>
    </w:p>
    <w:p>
      <w:pPr>
        <w:pStyle w:val="BodyText"/>
        <w:spacing w:before="36"/>
        <w:jc w:val="both"/>
      </w:pPr>
      <w:r>
        <w:rPr/>
        <w:t>（1）已经造成瘘管并伴有肠梗阻或肠穿孔；</w:t>
      </w:r>
    </w:p>
    <w:p>
      <w:pPr>
        <w:pStyle w:val="BodyText"/>
        <w:jc w:val="both"/>
      </w:pPr>
      <w:r>
        <w:rPr/>
        <w:t>（2）有结肠镜检查和组织病理学检查作为诊断依据。</w:t>
      </w:r>
    </w:p>
    <w:p>
      <w:pPr>
        <w:pStyle w:val="BodyText"/>
        <w:spacing w:before="8"/>
        <w:ind w:left="0"/>
        <w:rPr>
          <w:sz w:val="26"/>
        </w:rPr>
      </w:pPr>
    </w:p>
    <w:p>
      <w:pPr>
        <w:pStyle w:val="Heading2"/>
        <w:spacing w:before="1"/>
        <w:jc w:val="both"/>
      </w:pPr>
      <w:r>
        <w:rPr/>
        <w:t>（三十六）严重溃疡性结肠炎</w:t>
      </w:r>
    </w:p>
    <w:p>
      <w:pPr>
        <w:pStyle w:val="BodyText"/>
        <w:spacing w:line="273" w:lineRule="auto"/>
        <w:ind w:right="100"/>
        <w:jc w:val="both"/>
      </w:pPr>
      <w:r>
        <w:rPr>
          <w:spacing w:val="-3"/>
        </w:rPr>
        <w:t>指伴有致命性电解质紊乱的急性暴发性溃疡性结肠炎，病变已经累及全结肠， </w:t>
      </w:r>
      <w:r>
        <w:rPr>
          <w:spacing w:val="-6"/>
        </w:rPr>
        <w:t>表现为严重的血便和系统性症状体征，须由病理学检查结果证实，且已经实施</w:t>
      </w:r>
      <w:r>
        <w:rPr>
          <w:spacing w:val="-4"/>
        </w:rPr>
        <w:t>了结肠切除或回肠造瘘术。</w:t>
      </w:r>
    </w:p>
    <w:p>
      <w:pPr>
        <w:pStyle w:val="BodyText"/>
        <w:spacing w:before="5"/>
        <w:ind w:left="0"/>
        <w:rPr>
          <w:sz w:val="24"/>
        </w:rPr>
      </w:pPr>
    </w:p>
    <w:p>
      <w:pPr>
        <w:pStyle w:val="Heading2"/>
        <w:jc w:val="both"/>
      </w:pPr>
      <w:r>
        <w:rPr/>
        <w:t>（三十七）持续植物人状态</w:t>
      </w:r>
    </w:p>
    <w:p>
      <w:pPr>
        <w:pStyle w:val="BodyText"/>
        <w:spacing w:line="273" w:lineRule="auto"/>
        <w:ind w:right="136"/>
        <w:jc w:val="both"/>
      </w:pPr>
      <w:r>
        <w:rPr>
          <w:spacing w:val="-6"/>
        </w:rPr>
        <w:t>指由于严重颅脑外伤、缺氧持续状态、严重的脑炎或者某种神经毒素造成大脑</w:t>
      </w:r>
      <w:r>
        <w:rPr>
          <w:spacing w:val="-8"/>
        </w:rPr>
        <w:t>或脑干严重损害，并导致意识丧失和中枢神经系统功能丧失，仅残存植物神经</w:t>
      </w:r>
      <w:r>
        <w:rPr>
          <w:spacing w:val="-7"/>
        </w:rPr>
        <w:t>功能的疾病状态，且植物人状态须已持续 </w:t>
      </w:r>
      <w:r>
        <w:rPr/>
        <w:t>30</w:t>
      </w:r>
      <w:r>
        <w:rPr>
          <w:spacing w:val="-10"/>
        </w:rPr>
        <w:t> 天以上。</w:t>
      </w:r>
    </w:p>
    <w:p>
      <w:pPr>
        <w:pStyle w:val="BodyText"/>
        <w:spacing w:before="5"/>
        <w:ind w:left="0"/>
        <w:rPr>
          <w:sz w:val="24"/>
        </w:rPr>
      </w:pPr>
    </w:p>
    <w:p>
      <w:pPr>
        <w:pStyle w:val="Heading2"/>
        <w:spacing w:before="1"/>
        <w:jc w:val="both"/>
      </w:pPr>
      <w:r>
        <w:rPr/>
        <w:t>（三十八）Ⅰ型糖尿病</w:t>
      </w:r>
    </w:p>
    <w:p>
      <w:pPr>
        <w:pStyle w:val="BodyText"/>
        <w:spacing w:line="273" w:lineRule="auto"/>
        <w:ind w:right="136"/>
        <w:jc w:val="both"/>
      </w:pPr>
      <w:r>
        <w:rPr/>
        <w:t>Ⅰ型糖尿病的特征为由于胰岛素分泌绝对不足引起严重胰岛素缺乏导致慢性</w:t>
      </w:r>
      <w:r>
        <w:rPr>
          <w:spacing w:val="-6"/>
        </w:rPr>
        <w:t>血糖升高，需要依赖外源性胰岛素进行机体的葡萄糖代谢和维持生命。被保险</w:t>
      </w:r>
      <w:r>
        <w:rPr>
          <w:spacing w:val="-9"/>
        </w:rPr>
        <w:t>人的Ⅰ型糖尿病必须明确诊断，而且有血胰岛素测定及血 </w:t>
      </w:r>
      <w:r>
        <w:rPr/>
        <w:t>C</w:t>
      </w:r>
      <w:r>
        <w:rPr>
          <w:spacing w:val="-20"/>
        </w:rPr>
        <w:t> 肽或尿 </w:t>
      </w:r>
      <w:r>
        <w:rPr/>
        <w:t>C</w:t>
      </w:r>
      <w:r>
        <w:rPr>
          <w:spacing w:val="-12"/>
        </w:rPr>
        <w:t> 肽测定结</w:t>
      </w:r>
      <w:r>
        <w:rPr>
          <w:spacing w:val="-3"/>
        </w:rPr>
        <w:t>果支持诊断，并且满足下列全部条件：</w:t>
      </w:r>
    </w:p>
    <w:p>
      <w:pPr>
        <w:pStyle w:val="BodyText"/>
        <w:spacing w:before="7"/>
        <w:jc w:val="both"/>
      </w:pPr>
      <w:r>
        <w:rPr/>
        <w:t>（1）已经持续性地接受外源性胰岛素注射治疗连续 180 天以上；</w:t>
      </w:r>
    </w:p>
    <w:p>
      <w:pPr>
        <w:pStyle w:val="BodyText"/>
        <w:spacing w:before="36"/>
        <w:jc w:val="both"/>
      </w:pPr>
      <w:r>
        <w:rPr/>
        <w:t>（2）因需要已经接受了下列治疗：</w:t>
      </w:r>
    </w:p>
    <w:p>
      <w:pPr>
        <w:pStyle w:val="BodyText"/>
        <w:spacing w:before="36"/>
        <w:ind w:left="2521"/>
      </w:pPr>
      <w:r>
        <w:rPr/>
        <w:t>①因严重心律失常植入了心脏起搏器；或</w:t>
      </w:r>
    </w:p>
    <w:p>
      <w:pPr>
        <w:pStyle w:val="BodyText"/>
        <w:spacing w:before="36"/>
        <w:ind w:left="2521"/>
      </w:pPr>
      <w:r>
        <w:rPr/>
        <w:t>②因坏疽自跖趾关节或以上切除了一趾或多趾。</w:t>
      </w:r>
    </w:p>
    <w:p>
      <w:pPr>
        <w:pStyle w:val="BodyText"/>
        <w:spacing w:before="8"/>
        <w:ind w:left="0"/>
        <w:rPr>
          <w:sz w:val="26"/>
        </w:rPr>
      </w:pPr>
    </w:p>
    <w:p>
      <w:pPr>
        <w:pStyle w:val="Heading2"/>
        <w:spacing w:before="1"/>
        <w:jc w:val="both"/>
      </w:pPr>
      <w:r>
        <w:rPr/>
        <w:t>（三十九）Ⅱ级重症急性胰腺炎</w:t>
      </w:r>
    </w:p>
    <w:p>
      <w:pPr>
        <w:pStyle w:val="BodyText"/>
        <w:spacing w:line="273" w:lineRule="auto"/>
        <w:ind w:right="135"/>
        <w:jc w:val="both"/>
      </w:pPr>
      <w:r>
        <w:rPr>
          <w:spacing w:val="-5"/>
        </w:rPr>
        <w:t>Ⅱ级重症急性胰腺炎是指急性胰腺炎伴有脏器功能障碍。被保险人所患的Ⅱ级</w:t>
      </w:r>
      <w:r>
        <w:rPr>
          <w:spacing w:val="-15"/>
        </w:rPr>
        <w:t>重症急性胰腺炎必须明确诊断，按 </w:t>
      </w:r>
      <w:r>
        <w:rPr/>
        <w:t>APACHE</w:t>
      </w:r>
      <w:r>
        <w:rPr>
          <w:spacing w:val="-11"/>
        </w:rPr>
        <w:t>Ⅱ评分达到 </w:t>
      </w:r>
      <w:r>
        <w:rPr/>
        <w:t>8</w:t>
      </w:r>
      <w:r>
        <w:rPr>
          <w:spacing w:val="-28"/>
        </w:rPr>
        <w:t> 分或 </w:t>
      </w:r>
      <w:r>
        <w:rPr/>
        <w:t>8</w:t>
      </w:r>
      <w:r>
        <w:rPr>
          <w:spacing w:val="-24"/>
        </w:rPr>
        <w:t> 分以上 </w:t>
      </w:r>
      <w:r>
        <w:rPr/>
        <w:t>Balthaza </w:t>
      </w:r>
      <w:r>
        <w:rPr>
          <w:spacing w:val="-6"/>
        </w:rPr>
        <w:t>分级系统达到Ⅱ级或Ⅱ级以上，并且接受了外科剖腹手术治疗，以进行坏死组</w:t>
      </w:r>
      <w:r>
        <w:rPr>
          <w:spacing w:val="-4"/>
        </w:rPr>
        <w:t>织清除、坏死病灶切除或胰腺切除。</w:t>
      </w:r>
    </w:p>
    <w:p>
      <w:pPr>
        <w:pStyle w:val="BodyText"/>
        <w:spacing w:line="273" w:lineRule="auto" w:before="7"/>
        <w:ind w:right="140"/>
      </w:pPr>
      <w:r>
        <w:rPr/>
        <w:t>因酗酒或饮酒过量所致的急性坏死性胰腺炎以及腹腔镜手术不在本合同保障范围内。</w:t>
      </w:r>
    </w:p>
    <w:p>
      <w:pPr>
        <w:pStyle w:val="BodyText"/>
        <w:spacing w:before="5"/>
        <w:ind w:left="0"/>
        <w:rPr>
          <w:sz w:val="24"/>
        </w:rPr>
      </w:pPr>
    </w:p>
    <w:p>
      <w:pPr>
        <w:pStyle w:val="Heading2"/>
        <w:jc w:val="both"/>
      </w:pPr>
      <w:r>
        <w:rPr/>
        <w:t>（四十）非阿尔茨海默病所致严重痴呆</w:t>
      </w:r>
    </w:p>
    <w:p>
      <w:pPr>
        <w:pStyle w:val="BodyText"/>
        <w:spacing w:line="273" w:lineRule="auto"/>
        <w:ind w:right="136"/>
        <w:jc w:val="both"/>
      </w:pPr>
      <w:r>
        <w:rPr/>
        <w:t>指因阿尔茨海默病以外的脑的器质性疾病造成脑功能衰竭导致永久不可逆性</w:t>
      </w:r>
      <w:r>
        <w:rPr>
          <w:spacing w:val="-6"/>
        </w:rPr>
        <w:t>严重痴呆，临床表现为明显的认知能力障碍、行为异常和社交能力减退。被保</w:t>
      </w:r>
      <w:r>
        <w:rPr>
          <w:spacing w:val="-7"/>
        </w:rPr>
        <w:t>险人自主生活能力完全丧失，无法独立完成六项基本日常生活活动中的三项或</w:t>
      </w:r>
    </w:p>
    <w:p>
      <w:pPr>
        <w:spacing w:after="0" w:line="273" w:lineRule="auto"/>
        <w:jc w:val="both"/>
        <w:sectPr>
          <w:pgSz w:w="11910" w:h="16840"/>
          <w:pgMar w:top="1400" w:bottom="280" w:left="1680" w:right="880"/>
        </w:sectPr>
      </w:pPr>
    </w:p>
    <w:p>
      <w:pPr>
        <w:pStyle w:val="BodyText"/>
        <w:spacing w:line="273" w:lineRule="auto" w:before="22"/>
        <w:ind w:right="100"/>
      </w:pPr>
      <w:r>
        <w:rPr/>
        <w:t>三项以上，日常生活必须持续受到他人监护。导致痴呆的疾病必须明确诊断， 并且由完整的临床、实验室和影像学检查结果证实。</w:t>
      </w:r>
    </w:p>
    <w:p>
      <w:pPr>
        <w:pStyle w:val="BodyText"/>
        <w:spacing w:before="8"/>
        <w:jc w:val="both"/>
      </w:pPr>
      <w:r>
        <w:rPr/>
        <w:t>神经官能症，精神疾病及酒精中毒所致脑损害不在保障范围内。</w:t>
      </w:r>
    </w:p>
    <w:p>
      <w:pPr>
        <w:pStyle w:val="BodyText"/>
        <w:spacing w:before="9"/>
        <w:ind w:left="0"/>
        <w:rPr>
          <w:sz w:val="26"/>
        </w:rPr>
      </w:pPr>
    </w:p>
    <w:p>
      <w:pPr>
        <w:pStyle w:val="Heading2"/>
        <w:jc w:val="both"/>
      </w:pPr>
      <w:r>
        <w:rPr/>
        <w:t>（四十一）坏死性筋膜炎</w:t>
      </w:r>
    </w:p>
    <w:p>
      <w:pPr>
        <w:pStyle w:val="BodyText"/>
        <w:jc w:val="both"/>
      </w:pPr>
      <w:r>
        <w:rPr/>
        <w:t>坏死性筋膜炎的诊断须同时符合下列要求：</w:t>
      </w:r>
    </w:p>
    <w:p>
      <w:pPr>
        <w:pStyle w:val="BodyText"/>
        <w:jc w:val="both"/>
      </w:pPr>
      <w:r>
        <w:rPr/>
        <w:t>（1）符合坏死性筋膜炎的一般临床表现；</w:t>
      </w:r>
    </w:p>
    <w:p>
      <w:pPr>
        <w:pStyle w:val="BodyText"/>
        <w:jc w:val="both"/>
      </w:pPr>
      <w:r>
        <w:rPr/>
        <w:t>（2）细菌培养检出致病菌；</w:t>
      </w:r>
    </w:p>
    <w:p>
      <w:pPr>
        <w:pStyle w:val="BodyText"/>
        <w:spacing w:line="273" w:lineRule="auto"/>
        <w:ind w:left="2626" w:right="136" w:hanging="527"/>
        <w:jc w:val="both"/>
      </w:pPr>
      <w:r>
        <w:rPr/>
        <w:t>（3）出现广泛性肌肉及软组织坏死，并导致身体受影响部位永久完全失去功能。所谓永久完全失去功能是指受影响部位的功能丧失超过六个月且功能无法恢复。</w:t>
      </w:r>
    </w:p>
    <w:p>
      <w:pPr>
        <w:pStyle w:val="BodyText"/>
        <w:spacing w:before="6"/>
        <w:ind w:left="0"/>
        <w:rPr>
          <w:sz w:val="24"/>
        </w:rPr>
      </w:pPr>
    </w:p>
    <w:p>
      <w:pPr>
        <w:pStyle w:val="Heading2"/>
      </w:pPr>
      <w:r>
        <w:rPr/>
        <w:t>（四十二）原发性硬化性胆管炎</w:t>
      </w:r>
    </w:p>
    <w:p>
      <w:pPr>
        <w:pStyle w:val="BodyText"/>
        <w:spacing w:line="273" w:lineRule="auto"/>
        <w:ind w:right="100"/>
        <w:jc w:val="both"/>
      </w:pPr>
      <w:r>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8"/>
        <w:jc w:val="both"/>
      </w:pPr>
      <w:r>
        <w:rPr/>
        <w:t>（1）总胆红素和直接胆红素同时升高，血清ALP&gt;200U/L；</w:t>
      </w:r>
    </w:p>
    <w:p>
      <w:pPr>
        <w:pStyle w:val="BodyText"/>
        <w:jc w:val="both"/>
      </w:pPr>
      <w:r>
        <w:rPr/>
        <w:t>（2）持续性黄疸病史；</w:t>
      </w:r>
    </w:p>
    <w:p>
      <w:pPr>
        <w:pStyle w:val="BodyText"/>
        <w:jc w:val="both"/>
      </w:pPr>
      <w:r>
        <w:rPr/>
        <w:t>（3）出现胆汁性肝硬化或门脉高压。</w:t>
      </w:r>
    </w:p>
    <w:p>
      <w:pPr>
        <w:pStyle w:val="BodyText"/>
        <w:jc w:val="both"/>
      </w:pPr>
      <w:r>
        <w:rPr/>
        <w:t>因肿瘤或胆管损伤等继发性的硬化性胆管炎不在保障范围内。</w:t>
      </w:r>
    </w:p>
    <w:p>
      <w:pPr>
        <w:pStyle w:val="BodyText"/>
        <w:spacing w:before="8"/>
        <w:ind w:left="0"/>
        <w:rPr>
          <w:sz w:val="26"/>
        </w:rPr>
      </w:pPr>
    </w:p>
    <w:p>
      <w:pPr>
        <w:pStyle w:val="Heading2"/>
        <w:jc w:val="both"/>
      </w:pPr>
      <w:r>
        <w:rPr/>
        <w:t>（四十三）肺淋巴管肌瘤病</w:t>
      </w:r>
    </w:p>
    <w:p>
      <w:pPr>
        <w:pStyle w:val="BodyText"/>
        <w:spacing w:line="273" w:lineRule="auto"/>
        <w:ind w:right="136"/>
        <w:jc w:val="both"/>
      </w:pPr>
      <w:r>
        <w:rPr>
          <w:spacing w:val="-6"/>
        </w:rPr>
        <w:t>肺淋巴管肌瘤病是一种弥漫性肺部疾病，主要病理改变为肺间质、支气管、血管和淋巴管内出现未成熟的平滑肌异常增生，同时需满足下列条件：</w:t>
      </w:r>
      <w:r>
        <w:rPr>
          <w:spacing w:val="2"/>
        </w:rPr>
        <w:t>1</w:t>
      </w:r>
      <w:r>
        <w:rPr/>
        <w:t>、经组</w:t>
      </w:r>
      <w:r>
        <w:rPr>
          <w:spacing w:val="-2"/>
        </w:rPr>
        <w:t>织病理学诊断；</w:t>
      </w:r>
      <w:r>
        <w:rPr/>
        <w:t>2、CT</w:t>
      </w:r>
      <w:r>
        <w:rPr>
          <w:spacing w:val="-5"/>
        </w:rPr>
        <w:t> 显示双肺弥漫性囊性改变</w:t>
      </w:r>
      <w:r>
        <w:rPr>
          <w:spacing w:val="-3"/>
        </w:rPr>
        <w:t>；3、血气提示低氧血症。</w:t>
      </w:r>
    </w:p>
    <w:p>
      <w:pPr>
        <w:pStyle w:val="BodyText"/>
        <w:spacing w:before="5"/>
        <w:ind w:left="0"/>
        <w:rPr>
          <w:sz w:val="24"/>
        </w:rPr>
      </w:pPr>
    </w:p>
    <w:p>
      <w:pPr>
        <w:pStyle w:val="Heading2"/>
      </w:pPr>
      <w:r>
        <w:rPr/>
        <w:t>（四十四）严重骨髓增生异常综合征</w:t>
      </w:r>
    </w:p>
    <w:p>
      <w:pPr>
        <w:pStyle w:val="BodyText"/>
        <w:spacing w:line="273" w:lineRule="auto" w:before="36"/>
        <w:ind w:right="100"/>
        <w:jc w:val="both"/>
      </w:pPr>
      <w:r>
        <w:rPr>
          <w:spacing w:val="-3"/>
        </w:rPr>
        <w:t>起源于造血干细胞的一组异质性髓系克隆性疾病，特点是髓系细胞发育异常， </w:t>
      </w:r>
      <w:r>
        <w:rPr>
          <w:spacing w:val="-7"/>
        </w:rPr>
        <w:t>表现为无效造血、难治性血细胞减少，本合同所指的严重的骨髓异常增生综合</w:t>
      </w:r>
      <w:r>
        <w:rPr>
          <w:spacing w:val="-5"/>
        </w:rPr>
        <w:t>征需满足下列所有条件：</w:t>
      </w:r>
    </w:p>
    <w:p>
      <w:pPr>
        <w:pStyle w:val="BodyText"/>
        <w:spacing w:line="273" w:lineRule="auto" w:before="7"/>
        <w:ind w:left="2626" w:right="203" w:hanging="527"/>
      </w:pPr>
      <w:r>
        <w:rPr/>
        <w:t>（1）由设有专门血液病专科的公立三级甲等医院血液病专科的主治级别以上的医师确诊；</w:t>
      </w:r>
    </w:p>
    <w:p>
      <w:pPr>
        <w:pStyle w:val="BodyText"/>
        <w:spacing w:before="7"/>
      </w:pPr>
      <w:r>
        <w:rPr/>
        <w:t>（2）骨髓涂片检查同时符合发育异常细胞比例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1"/>
      </w:pPr>
      <w:r>
        <w:rPr/>
        <w:t>（3）已接受至少累计三十日的化疗或已接受骨髓移植治疗。</w:t>
      </w:r>
    </w:p>
    <w:p>
      <w:pPr>
        <w:pStyle w:val="BodyText"/>
        <w:spacing w:line="273" w:lineRule="auto" w:before="36"/>
        <w:ind w:right="1147"/>
      </w:pPr>
      <w:r>
        <w:rPr/>
        <w:t>化疗日数的计算以被保险人实际服用、注射化疗药物的天数为准。疑似病例不在保障范围之内。</w:t>
      </w:r>
    </w:p>
    <w:p>
      <w:pPr>
        <w:pStyle w:val="BodyText"/>
        <w:spacing w:before="4"/>
        <w:ind w:left="0"/>
        <w:rPr>
          <w:sz w:val="24"/>
        </w:rPr>
      </w:pPr>
    </w:p>
    <w:p>
      <w:pPr>
        <w:pStyle w:val="Heading2"/>
        <w:spacing w:before="1"/>
      </w:pPr>
      <w:r>
        <w:rPr/>
        <w:t>（四十五）原发性骨髓纤维化</w:t>
      </w:r>
    </w:p>
    <w:p>
      <w:pPr>
        <w:pStyle w:val="BodyText"/>
        <w:spacing w:line="273" w:lineRule="auto"/>
        <w:ind w:right="136"/>
        <w:jc w:val="both"/>
      </w:pPr>
      <w:r>
        <w:rPr>
          <w:spacing w:val="-5"/>
        </w:rPr>
        <w:t>原发性骨髓纤维化为原因不明的骨髓中成纤维细胞增殖，伴有髓外造血，表现</w:t>
      </w:r>
      <w:r>
        <w:rPr>
          <w:spacing w:val="-8"/>
        </w:rPr>
        <w:t>为进行性贫血、脾肿大等症状。本病必须根据骨髓的活组织检查和周围血象检查由血液科专科医生明确诊断，并至少符合下列条件中的三项，且符合条件的</w:t>
      </w:r>
      <w:r>
        <w:rPr>
          <w:spacing w:val="-13"/>
        </w:rPr>
        <w:t>状态持续 </w:t>
      </w:r>
      <w:r>
        <w:rPr/>
        <w:t>180</w:t>
      </w:r>
      <w:r>
        <w:rPr>
          <w:spacing w:val="-7"/>
        </w:rPr>
        <w:t> 天及以上，并已经实际接受了针对此症的治疗：</w:t>
      </w:r>
    </w:p>
    <w:p>
      <w:pPr>
        <w:pStyle w:val="BodyText"/>
        <w:spacing w:before="7"/>
        <w:jc w:val="both"/>
      </w:pPr>
      <w:r>
        <w:rPr/>
        <w:t>（1）血红蛋白&lt;100g/L；</w:t>
      </w:r>
    </w:p>
    <w:p>
      <w:pPr>
        <w:pStyle w:val="BodyText"/>
        <w:jc w:val="both"/>
      </w:pPr>
      <w:r>
        <w:rPr/>
        <w:t>（2）白细胞计数&gt;25x</w:t>
      </w:r>
      <w:r>
        <w:rPr>
          <w:rFonts w:ascii="Times New Roman" w:eastAsia="Times New Roman"/>
        </w:rPr>
        <w:t>10</w:t>
      </w:r>
      <w:r>
        <w:rPr>
          <w:rFonts w:ascii="Times New Roman" w:eastAsia="Times New Roman"/>
          <w:vertAlign w:val="superscript"/>
        </w:rPr>
        <w:t>9</w:t>
      </w:r>
      <w:r>
        <w:rPr>
          <w:rFonts w:ascii="Times New Roman" w:eastAsia="Times New Roman"/>
          <w:vertAlign w:val="baseline"/>
        </w:rPr>
        <w:t>/</w:t>
      </w:r>
      <w:r>
        <w:rPr>
          <w:rFonts w:ascii="Times New Roman" w:eastAsia="Times New Roman"/>
          <w:vertAlign w:val="baseline"/>
        </w:rPr>
        <w:t>L</w:t>
      </w:r>
      <w:r>
        <w:rPr>
          <w:vertAlign w:val="baseline"/>
        </w:rPr>
        <w:t>；</w:t>
      </w:r>
    </w:p>
    <w:p>
      <w:pPr>
        <w:pStyle w:val="BodyText"/>
        <w:spacing w:before="21"/>
        <w:jc w:val="both"/>
      </w:pPr>
      <w:r>
        <w:rPr/>
        <w:t>（3）外周血原始细胞≥1%；</w:t>
      </w:r>
    </w:p>
    <w:p>
      <w:pPr>
        <w:pStyle w:val="BodyText"/>
        <w:jc w:val="both"/>
      </w:pPr>
      <w:r>
        <w:rPr/>
        <w:t>（4）血小板计数&lt;100x</w:t>
      </w:r>
      <w:r>
        <w:rPr>
          <w:rFonts w:ascii="Times New Roman" w:eastAsia="Times New Roman"/>
        </w:rPr>
        <w:t>10</w:t>
      </w:r>
      <w:r>
        <w:rPr>
          <w:rFonts w:ascii="Times New Roman" w:eastAsia="Times New Roman"/>
          <w:vertAlign w:val="superscript"/>
        </w:rPr>
        <w:t>9</w:t>
      </w:r>
      <w:r>
        <w:rPr>
          <w:rFonts w:ascii="Times New Roman" w:eastAsia="Times New Roman"/>
          <w:vertAlign w:val="baseline"/>
        </w:rPr>
        <w:t>/L</w:t>
      </w:r>
      <w:r>
        <w:rPr>
          <w:vertAlign w:val="baseline"/>
        </w:rPr>
        <w:t>。</w:t>
      </w:r>
    </w:p>
    <w:p>
      <w:pPr>
        <w:spacing w:after="0"/>
        <w:jc w:val="both"/>
        <w:sectPr>
          <w:pgSz w:w="11910" w:h="16840"/>
          <w:pgMar w:top="1080" w:bottom="280" w:left="1680" w:right="880"/>
        </w:sectPr>
      </w:pPr>
    </w:p>
    <w:p>
      <w:pPr>
        <w:pStyle w:val="BodyText"/>
        <w:spacing w:before="22"/>
      </w:pPr>
      <w:r>
        <w:rPr/>
        <w:t>任何其它病因导致的继发性骨髓纤维化不在保障范围内。</w:t>
      </w:r>
    </w:p>
    <w:p>
      <w:pPr>
        <w:pStyle w:val="BodyText"/>
        <w:spacing w:before="9"/>
        <w:ind w:left="0"/>
        <w:rPr>
          <w:sz w:val="26"/>
        </w:rPr>
      </w:pPr>
    </w:p>
    <w:p>
      <w:pPr>
        <w:pStyle w:val="Heading2"/>
      </w:pPr>
      <w:r>
        <w:rPr/>
        <w:t>（四十六）完全性房室传导阻滞</w:t>
      </w:r>
    </w:p>
    <w:p>
      <w:pPr>
        <w:pStyle w:val="BodyText"/>
        <w:spacing w:line="273" w:lineRule="auto" w:before="36"/>
        <w:ind w:right="188"/>
      </w:pPr>
      <w:r>
        <w:rPr/>
        <w:t>指心房激动在房室交界区、房室束及其分支内发生阻滞，不能正常地传到心室的心脏传导性疾病，须满足下列所有条件：</w:t>
      </w:r>
    </w:p>
    <w:p>
      <w:pPr>
        <w:pStyle w:val="BodyText"/>
        <w:spacing w:before="7"/>
      </w:pPr>
      <w:r>
        <w:rPr/>
        <w:t>(1)心电图显示房室搏动彼此独立，心室率&lt;50 次/分钟；</w:t>
      </w:r>
    </w:p>
    <w:p>
      <w:pPr>
        <w:pStyle w:val="BodyText"/>
      </w:pPr>
      <w:r>
        <w:rPr/>
        <w:t>(2)出现阿-斯综合征或心力衰竭的表现；</w:t>
      </w:r>
    </w:p>
    <w:p>
      <w:pPr>
        <w:pStyle w:val="BodyText"/>
      </w:pPr>
      <w:r>
        <w:rPr/>
        <w:t>(3)必须持续性依赖心脏起搏器维持心脏正常功能，且已经放置心脏起搏器。</w:t>
      </w:r>
    </w:p>
    <w:p>
      <w:pPr>
        <w:pStyle w:val="BodyText"/>
        <w:spacing w:before="8"/>
        <w:ind w:left="0"/>
        <w:rPr>
          <w:sz w:val="26"/>
        </w:rPr>
      </w:pPr>
    </w:p>
    <w:p>
      <w:pPr>
        <w:pStyle w:val="Heading2"/>
        <w:spacing w:before="1"/>
      </w:pPr>
      <w:r>
        <w:rPr/>
        <w:t>（四十七）主动脉夹层充血</w:t>
      </w:r>
    </w:p>
    <w:p>
      <w:pPr>
        <w:pStyle w:val="BodyText"/>
        <w:spacing w:line="273" w:lineRule="auto"/>
        <w:ind w:right="216"/>
        <w:jc w:val="both"/>
      </w:pPr>
      <w:r>
        <w:rPr>
          <w:spacing w:val="-5"/>
        </w:rPr>
        <w:t>是指主动脉壁在受到某些病理因素的破坏后，高速、高压的主动脉血流将其内</w:t>
      </w:r>
      <w:r>
        <w:rPr>
          <w:spacing w:val="-8"/>
        </w:rPr>
        <w:t>膜撕裂，以致主动脉腔内的血流通过主动脉内膜的破裂口进入主动脉内壁而形</w:t>
      </w:r>
      <w:r>
        <w:rPr>
          <w:w w:val="100"/>
        </w:rPr>
        <w:t>成血肿。被保险人需通过电脑断层扫描</w:t>
      </w:r>
      <w:r>
        <w:rPr>
          <w:spacing w:val="2"/>
          <w:w w:val="100"/>
        </w:rPr>
        <w:t>（</w:t>
      </w:r>
      <w:r>
        <w:rPr>
          <w:w w:val="100"/>
        </w:rPr>
        <w:t>C</w:t>
      </w:r>
      <w:r>
        <w:rPr>
          <w:spacing w:val="1"/>
          <w:w w:val="100"/>
        </w:rPr>
        <w:t>T</w:t>
      </w:r>
      <w:r>
        <w:rPr>
          <w:spacing w:val="-106"/>
          <w:w w:val="100"/>
        </w:rPr>
        <w:t>）</w:t>
      </w:r>
      <w:r>
        <w:rPr>
          <w:w w:val="100"/>
        </w:rPr>
        <w:t>、磁共振扫描</w:t>
      </w:r>
      <w:r>
        <w:rPr>
          <w:spacing w:val="0"/>
          <w:w w:val="100"/>
        </w:rPr>
        <w:t>（</w:t>
      </w:r>
      <w:r>
        <w:rPr>
          <w:w w:val="100"/>
        </w:rPr>
        <w:t>MRI</w:t>
      </w:r>
      <w:r>
        <w:rPr>
          <w:spacing w:val="-104"/>
          <w:w w:val="100"/>
        </w:rPr>
        <w:t>）</w:t>
      </w:r>
      <w:r>
        <w:rPr>
          <w:w w:val="100"/>
        </w:rPr>
        <w:t>、磁共振血</w:t>
      </w:r>
      <w:r>
        <w:rPr/>
        <w:t>管检验法（MRA）或血管扫描等检查明确诊断，并且实施了胸腹切开的直视主</w:t>
      </w:r>
      <w:r>
        <w:rPr>
          <w:spacing w:val="-1"/>
        </w:rPr>
        <w:t>动脉手术。</w:t>
      </w:r>
    </w:p>
    <w:p>
      <w:pPr>
        <w:pStyle w:val="BodyText"/>
        <w:spacing w:before="5"/>
        <w:ind w:left="0"/>
        <w:rPr>
          <w:sz w:val="24"/>
        </w:rPr>
      </w:pPr>
    </w:p>
    <w:p>
      <w:pPr>
        <w:pStyle w:val="Heading2"/>
      </w:pPr>
      <w:r>
        <w:rPr/>
        <w:t>（四十八）溶血性链球菌引起的坏疽</w:t>
      </w:r>
    </w:p>
    <w:p>
      <w:pPr>
        <w:pStyle w:val="BodyText"/>
        <w:spacing w:line="273" w:lineRule="auto" w:before="36"/>
        <w:ind w:right="216"/>
        <w:jc w:val="both"/>
      </w:pPr>
      <w:r>
        <w:rPr>
          <w:spacing w:val="-5"/>
        </w:rPr>
        <w:t>躯干或肢体的浅筋膜或涉及肌肉的深筋膜感染，呈暴发性进展，必须即刻手术</w:t>
      </w:r>
      <w:r>
        <w:rPr/>
        <w:t>清创，须在外科手术后进行组织培养证实溶血性链球菌坏疽并由专科医生确诊。</w:t>
      </w:r>
    </w:p>
    <w:p>
      <w:pPr>
        <w:pStyle w:val="BodyText"/>
        <w:spacing w:before="5"/>
        <w:ind w:left="0"/>
        <w:rPr>
          <w:sz w:val="24"/>
        </w:rPr>
      </w:pPr>
    </w:p>
    <w:p>
      <w:pPr>
        <w:pStyle w:val="Heading2"/>
      </w:pPr>
      <w:r>
        <w:rPr/>
        <w:t>（四十九）系统性硬皮病</w:t>
      </w:r>
    </w:p>
    <w:p>
      <w:pPr>
        <w:pStyle w:val="BodyText"/>
        <w:spacing w:line="273" w:lineRule="auto"/>
        <w:ind w:right="108"/>
        <w:jc w:val="both"/>
      </w:pPr>
      <w:r>
        <w:rPr>
          <w:spacing w:val="-5"/>
          <w:w w:val="100"/>
        </w:rPr>
        <w:t>系统性硬皮病</w:t>
      </w:r>
      <w:r>
        <w:rPr>
          <w:w w:val="100"/>
        </w:rPr>
        <w:t>（</w:t>
      </w:r>
      <w:r>
        <w:rPr>
          <w:spacing w:val="-3"/>
          <w:w w:val="100"/>
        </w:rPr>
        <w:t>须累及内脏器官</w:t>
      </w:r>
      <w:r>
        <w:rPr>
          <w:spacing w:val="-108"/>
          <w:w w:val="100"/>
        </w:rPr>
        <w:t>）</w:t>
      </w:r>
      <w:r>
        <w:rPr>
          <w:spacing w:val="-5"/>
          <w:w w:val="100"/>
        </w:rPr>
        <w:t>，指一种以局限性或弥漫性皮肤增厚和皮肤、</w:t>
      </w:r>
      <w:r>
        <w:rPr>
          <w:spacing w:val="-13"/>
        </w:rPr>
        <w:t>血管、内脏器官异常纤维化为特征的结缔组织病。本病须经专科医师明确诊断， </w:t>
      </w:r>
      <w:r>
        <w:rPr>
          <w:spacing w:val="-6"/>
        </w:rPr>
        <w:t>并须满足下列至少一项条件：</w:t>
      </w:r>
    </w:p>
    <w:p>
      <w:pPr>
        <w:pStyle w:val="BodyText"/>
        <w:spacing w:before="7"/>
      </w:pPr>
      <w:r>
        <w:rPr/>
        <w:t>（1）肺脏：肺部病变进而发展为肺间质纤维化和肺动脉高压；</w:t>
      </w:r>
    </w:p>
    <w:p>
      <w:pPr>
        <w:pStyle w:val="BodyText"/>
      </w:pPr>
      <w:r>
        <w:rPr/>
        <w:t>（2）心脏：心功能受损达到美国纽约心脏病学会心功能状态分级 IV 级；</w:t>
      </w:r>
    </w:p>
    <w:p>
      <w:pPr>
        <w:pStyle w:val="BodyText"/>
        <w:spacing w:line="273" w:lineRule="auto"/>
        <w:ind w:right="914"/>
      </w:pPr>
      <w:r>
        <w:rPr/>
        <w:t>（3）肾脏：肾脏受损导致双肾功能慢性不可逆衰竭，达到尿毒症期。下列疾病不在本险种保障范围内：</w:t>
      </w:r>
    </w:p>
    <w:p>
      <w:pPr>
        <w:pStyle w:val="BodyText"/>
        <w:spacing w:before="7"/>
      </w:pPr>
      <w:r>
        <w:rPr>
          <w:spacing w:val="-3"/>
          <w:w w:val="100"/>
        </w:rPr>
        <w:t>①局部性硬皮病</w:t>
      </w:r>
      <w:r>
        <w:rPr>
          <w:w w:val="100"/>
        </w:rPr>
        <w:t>（</w:t>
      </w:r>
      <w:r>
        <w:rPr>
          <w:spacing w:val="-3"/>
          <w:w w:val="100"/>
        </w:rPr>
        <w:t>如：带状硬皮病、硬斑病</w:t>
      </w:r>
      <w:r>
        <w:rPr>
          <w:spacing w:val="-108"/>
          <w:w w:val="100"/>
        </w:rPr>
        <w:t>）</w:t>
      </w:r>
      <w:r>
        <w:rPr>
          <w:w w:val="100"/>
        </w:rPr>
        <w:t>；</w:t>
      </w:r>
    </w:p>
    <w:p>
      <w:pPr>
        <w:pStyle w:val="BodyText"/>
        <w:spacing w:before="36"/>
      </w:pPr>
      <w:r>
        <w:rPr/>
        <w:t>②嗜酸性粒细胞性筋膜炎；</w:t>
      </w:r>
    </w:p>
    <w:p>
      <w:pPr>
        <w:pStyle w:val="BodyText"/>
        <w:spacing w:before="36"/>
      </w:pPr>
      <w:r>
        <w:rPr/>
        <w:t>③CREST 综合征。</w:t>
      </w:r>
    </w:p>
    <w:p>
      <w:pPr>
        <w:pStyle w:val="BodyText"/>
        <w:spacing w:before="8"/>
        <w:ind w:left="0"/>
        <w:rPr>
          <w:sz w:val="26"/>
        </w:rPr>
      </w:pPr>
    </w:p>
    <w:p>
      <w:pPr>
        <w:pStyle w:val="Heading2"/>
        <w:spacing w:before="1"/>
      </w:pPr>
      <w:r>
        <w:rPr/>
        <w:t>（五十）嗜铬细胞瘤</w:t>
      </w:r>
    </w:p>
    <w:p>
      <w:pPr>
        <w:pStyle w:val="BodyText"/>
        <w:spacing w:line="273" w:lineRule="auto"/>
        <w:ind w:right="110"/>
      </w:pPr>
      <w:r>
        <w:rPr/>
        <w:t>指发生在肾上腺或肾上腺外嗜铬组织的以分泌过多的儿茶酚胺为表现的神经 </w:t>
      </w:r>
      <w:r>
        <w:rPr>
          <w:spacing w:val="-13"/>
        </w:rPr>
        <w:t>内分泌肿瘤。嗜铬细胞瘤必须由内分泌专科医生诊断，并且满足以下所有条件：</w:t>
      </w:r>
    </w:p>
    <w:p>
      <w:pPr>
        <w:pStyle w:val="BodyText"/>
        <w:spacing w:before="7"/>
      </w:pPr>
      <w:r>
        <w:rPr/>
        <w:t>（1）临床有高血压症候群表现；</w:t>
      </w:r>
    </w:p>
    <w:p>
      <w:pPr>
        <w:pStyle w:val="BodyText"/>
        <w:spacing w:before="36"/>
      </w:pPr>
      <w:r>
        <w:rPr/>
        <w:t>（2）已经实施了嗜铬细胞瘤切除手术。</w:t>
      </w:r>
    </w:p>
    <w:p>
      <w:pPr>
        <w:pStyle w:val="BodyText"/>
        <w:spacing w:before="8"/>
        <w:ind w:left="0"/>
        <w:rPr>
          <w:sz w:val="26"/>
        </w:rPr>
      </w:pPr>
    </w:p>
    <w:p>
      <w:pPr>
        <w:pStyle w:val="Heading2"/>
      </w:pPr>
      <w:r>
        <w:rPr/>
        <w:t>（五十一）因职业关系导致的人类免疫缺陷病毒（HIV）感染</w:t>
      </w:r>
    </w:p>
    <w:p>
      <w:pPr>
        <w:pStyle w:val="BodyText"/>
        <w:spacing w:line="273" w:lineRule="auto"/>
        <w:ind w:right="162"/>
      </w:pPr>
      <w:r>
        <w:rPr/>
        <w:t>在本保单签发日、合同签署日或复效日（取其最晚者）之后，被保险人在从事正常职业生活中感染艾滋病病毒，并且证实满足以下所有条件者：</w:t>
      </w:r>
    </w:p>
    <w:p>
      <w:pPr>
        <w:pStyle w:val="BodyText"/>
        <w:spacing w:line="273" w:lineRule="auto" w:before="8"/>
        <w:ind w:left="2626" w:right="108" w:hanging="527"/>
      </w:pPr>
      <w:r>
        <w:rPr>
          <w:spacing w:val="-7"/>
        </w:rPr>
        <w:t>（1）</w:t>
      </w:r>
      <w:r>
        <w:rPr>
          <w:spacing w:val="-5"/>
        </w:rPr>
        <w:t>导致感染艾滋病病毒的意外事故必须在意外发生后 </w:t>
      </w:r>
      <w:r>
        <w:rPr/>
        <w:t>30</w:t>
      </w:r>
      <w:r>
        <w:rPr>
          <w:spacing w:val="-23"/>
        </w:rPr>
        <w:t> 天内</w:t>
      </w:r>
      <w:r>
        <w:rPr/>
        <w:t>（</w:t>
      </w:r>
      <w:r>
        <w:rPr>
          <w:spacing w:val="-17"/>
        </w:rPr>
        <w:t>含第 </w:t>
      </w:r>
      <w:r>
        <w:rPr/>
        <w:t>30</w:t>
      </w:r>
      <w:r>
        <w:rPr>
          <w:spacing w:val="-24"/>
        </w:rPr>
        <w:t> 天</w:t>
      </w:r>
      <w:r>
        <w:rPr/>
        <w:t>） </w:t>
      </w:r>
      <w:r>
        <w:rPr>
          <w:spacing w:val="-2"/>
        </w:rPr>
        <w:t>向我们报告；</w:t>
      </w:r>
    </w:p>
    <w:p>
      <w:pPr>
        <w:pStyle w:val="BodyText"/>
        <w:spacing w:before="8"/>
      </w:pPr>
      <w:r>
        <w:rPr/>
        <w:t>（2）导致意外事故的明确的艾滋病病毒感染的液体的证据；</w:t>
      </w:r>
    </w:p>
    <w:p>
      <w:pPr>
        <w:pStyle w:val="BodyText"/>
      </w:pPr>
      <w:r>
        <w:rPr/>
        <w:t>（3）</w:t>
      </w:r>
      <w:r>
        <w:rPr>
          <w:spacing w:val="-6"/>
        </w:rPr>
        <w:t>在书面报告意外发生后的 </w:t>
      </w:r>
      <w:r>
        <w:rPr/>
        <w:t>180</w:t>
      </w:r>
      <w:r>
        <w:rPr>
          <w:spacing w:val="-14"/>
        </w:rPr>
        <w:t> 天内</w:t>
      </w:r>
      <w:r>
        <w:rPr/>
        <w:t>（</w:t>
      </w:r>
      <w:r>
        <w:rPr>
          <w:spacing w:val="-14"/>
        </w:rPr>
        <w:t>含第 </w:t>
      </w:r>
      <w:r>
        <w:rPr/>
        <w:t>180</w:t>
      </w:r>
      <w:r>
        <w:rPr>
          <w:spacing w:val="-19"/>
        </w:rPr>
        <w:t> 天</w:t>
      </w:r>
      <w:r>
        <w:rPr/>
        <w:t>）</w:t>
      </w:r>
      <w:r>
        <w:rPr>
          <w:spacing w:val="-10"/>
        </w:rPr>
        <w:t>出现血清 </w:t>
      </w:r>
      <w:r>
        <w:rPr/>
        <w:t>HIV</w:t>
      </w:r>
      <w:r>
        <w:rPr>
          <w:spacing w:val="-11"/>
        </w:rPr>
        <w:t> 阴性转</w:t>
      </w:r>
    </w:p>
    <w:p>
      <w:pPr>
        <w:spacing w:after="0"/>
        <w:sectPr>
          <w:pgSz w:w="11910" w:h="16840"/>
          <w:pgMar w:top="1080" w:bottom="280" w:left="1680" w:right="800"/>
        </w:sectPr>
      </w:pPr>
    </w:p>
    <w:p>
      <w:pPr>
        <w:pStyle w:val="BodyText"/>
        <w:spacing w:line="273" w:lineRule="auto" w:before="22"/>
        <w:ind w:left="2521" w:right="213"/>
      </w:pPr>
      <w:r>
        <w:rPr>
          <w:spacing w:val="-16"/>
        </w:rPr>
        <w:t>变为 </w:t>
      </w:r>
      <w:r>
        <w:rPr/>
        <w:t>HIV</w:t>
      </w:r>
      <w:r>
        <w:rPr>
          <w:spacing w:val="-11"/>
        </w:rPr>
        <w:t> 阳性的证据。这个证据必须包括一个意外事故发生后 </w:t>
      </w:r>
      <w:r>
        <w:rPr/>
        <w:t>5</w:t>
      </w:r>
      <w:r>
        <w:rPr>
          <w:spacing w:val="-24"/>
        </w:rPr>
        <w:t> 天内</w:t>
      </w:r>
      <w:r>
        <w:rPr/>
        <w:t>（含</w:t>
      </w:r>
      <w:r>
        <w:rPr>
          <w:spacing w:val="-24"/>
        </w:rPr>
        <w:t>第 </w:t>
      </w:r>
      <w:r>
        <w:rPr/>
        <w:t>5</w:t>
      </w:r>
      <w:r>
        <w:rPr>
          <w:spacing w:val="-26"/>
        </w:rPr>
        <w:t> 天</w:t>
      </w:r>
      <w:r>
        <w:rPr/>
        <w:t>）HIV</w:t>
      </w:r>
      <w:r>
        <w:rPr>
          <w:spacing w:val="-9"/>
        </w:rPr>
        <w:t> 抗体阴性的检查报告；</w:t>
      </w:r>
    </w:p>
    <w:p>
      <w:pPr>
        <w:pStyle w:val="BodyText"/>
        <w:spacing w:line="273" w:lineRule="auto" w:before="8"/>
        <w:ind w:right="110"/>
      </w:pPr>
      <w:r>
        <w:rPr>
          <w:spacing w:val="-11"/>
        </w:rPr>
        <w:t>由其他途径感染的艾滋病病毒，包括性行为和静脉注射毒品，不在保障范围内。</w:t>
      </w:r>
      <w:r>
        <w:rPr>
          <w:spacing w:val="-7"/>
        </w:rPr>
        <w:t>意外事故后 </w:t>
      </w:r>
      <w:r>
        <w:rPr/>
        <w:t>12</w:t>
      </w:r>
      <w:r>
        <w:rPr>
          <w:spacing w:val="-4"/>
        </w:rPr>
        <w:t> 个月内需要进行进一步的血液检查以确认存在艾滋病病毒抗体</w:t>
      </w:r>
      <w:r>
        <w:rPr>
          <w:spacing w:val="-3"/>
        </w:rPr>
        <w:t>的存在。</w:t>
      </w:r>
    </w:p>
    <w:p>
      <w:pPr>
        <w:pStyle w:val="BodyText"/>
        <w:spacing w:line="273" w:lineRule="auto" w:before="8"/>
        <w:ind w:right="216"/>
        <w:jc w:val="both"/>
      </w:pPr>
      <w:r>
        <w:rPr>
          <w:spacing w:val="-6"/>
        </w:rPr>
        <w:t>我们仅在被保险人的职业为从业医生、医学院学生、国家注册护士、医学检验</w:t>
      </w:r>
      <w:r>
        <w:rPr>
          <w:spacing w:val="-8"/>
        </w:rPr>
        <w:t>技师、牙医</w:t>
      </w:r>
      <w:r>
        <w:rPr>
          <w:spacing w:val="-3"/>
        </w:rPr>
        <w:t>（外科医生和护士</w:t>
      </w:r>
      <w:r>
        <w:rPr>
          <w:spacing w:val="-13"/>
        </w:rPr>
        <w:t>）</w:t>
      </w:r>
      <w:r>
        <w:rPr>
          <w:spacing w:val="-4"/>
        </w:rPr>
        <w:t>或辅助医务工作者、医学中心或医院工作人员</w:t>
      </w:r>
      <w:r>
        <w:rPr>
          <w:spacing w:val="-3"/>
        </w:rPr>
        <w:t>时承担此项保险责任。</w:t>
      </w:r>
    </w:p>
    <w:p>
      <w:pPr>
        <w:pStyle w:val="BodyText"/>
        <w:spacing w:before="8"/>
      </w:pPr>
      <w:r>
        <w:rPr/>
        <w:t>在任何治愈艾滋病（AIDS）或阻止 HIV 病毒作用的疗法被发现以后，或能防止</w:t>
      </w:r>
    </w:p>
    <w:p>
      <w:pPr>
        <w:pStyle w:val="BodyText"/>
      </w:pPr>
      <w:r>
        <w:rPr/>
        <w:t>AIDS 发生的医疗方法被研究出来以后，本保障将不再予以赔付。</w:t>
      </w:r>
    </w:p>
    <w:p>
      <w:pPr>
        <w:pStyle w:val="BodyText"/>
        <w:spacing w:before="8"/>
        <w:ind w:left="0"/>
        <w:rPr>
          <w:sz w:val="26"/>
        </w:rPr>
      </w:pPr>
    </w:p>
    <w:p>
      <w:pPr>
        <w:pStyle w:val="Heading2"/>
      </w:pPr>
      <w:r>
        <w:rPr/>
        <w:t>（五十二）严重川崎病</w:t>
      </w:r>
    </w:p>
    <w:p>
      <w:pPr>
        <w:pStyle w:val="BodyText"/>
      </w:pPr>
      <w:r>
        <w:rPr/>
        <w:t>是指原因不明的系统性血管炎,并须满足下列全部条件:</w:t>
      </w:r>
    </w:p>
    <w:p>
      <w:pPr>
        <w:pStyle w:val="ListParagraph"/>
        <w:numPr>
          <w:ilvl w:val="0"/>
          <w:numId w:val="6"/>
        </w:numPr>
        <w:tabs>
          <w:tab w:pos="2524" w:val="left" w:leader="none"/>
        </w:tabs>
        <w:spacing w:line="240" w:lineRule="auto" w:before="37" w:after="0"/>
        <w:ind w:left="2521" w:right="0" w:hanging="421"/>
        <w:jc w:val="left"/>
        <w:rPr>
          <w:sz w:val="21"/>
        </w:rPr>
      </w:pPr>
      <w:r>
        <w:rPr>
          <w:spacing w:val="-3"/>
          <w:sz w:val="21"/>
        </w:rPr>
        <w:t>超声心动图显示川崎病并发冠状动脉瘤或其他心血管异常;</w:t>
      </w:r>
    </w:p>
    <w:p>
      <w:pPr>
        <w:pStyle w:val="ListParagraph"/>
        <w:numPr>
          <w:ilvl w:val="0"/>
          <w:numId w:val="6"/>
        </w:numPr>
        <w:tabs>
          <w:tab w:pos="2529" w:val="left" w:leader="none"/>
        </w:tabs>
        <w:spacing w:line="273" w:lineRule="auto" w:before="37" w:after="0"/>
        <w:ind w:left="2521" w:right="222" w:hanging="421"/>
        <w:jc w:val="left"/>
        <w:rPr>
          <w:sz w:val="21"/>
        </w:rPr>
      </w:pPr>
      <w:r>
        <w:rPr>
          <w:sz w:val="21"/>
        </w:rPr>
        <w:t>已接受了针对川崎病并发冠状动脉瘤或其他心血管异常所进行的手术治疗。</w:t>
      </w:r>
    </w:p>
    <w:p>
      <w:pPr>
        <w:pStyle w:val="BodyText"/>
        <w:spacing w:before="5"/>
        <w:ind w:left="0"/>
        <w:rPr>
          <w:sz w:val="24"/>
        </w:rPr>
      </w:pPr>
    </w:p>
    <w:p>
      <w:pPr>
        <w:pStyle w:val="Heading2"/>
      </w:pPr>
      <w:r>
        <w:rPr/>
        <w:t>（五十三）慢性肾上腺皮质功能衰竭</w:t>
      </w:r>
    </w:p>
    <w:p>
      <w:pPr>
        <w:pStyle w:val="BodyText"/>
        <w:spacing w:line="273" w:lineRule="auto" w:before="36"/>
        <w:ind w:right="216"/>
        <w:jc w:val="both"/>
      </w:pPr>
      <w:r>
        <w:rPr>
          <w:spacing w:val="-6"/>
        </w:rPr>
        <w:t>因为自身免疫功能紊乱，使肾上腺组织逐渐受损，而需要长期接受糖皮质激素</w:t>
      </w:r>
      <w:r>
        <w:rPr>
          <w:spacing w:val="-7"/>
        </w:rPr>
        <w:t>及肾上腺皮质激素替代疗法。该病必须经内分泌专科医生确诊，并有以下报告</w:t>
      </w:r>
      <w:r>
        <w:rPr>
          <w:spacing w:val="-4"/>
        </w:rPr>
        <w:t>作为证据：</w:t>
      </w:r>
    </w:p>
    <w:p>
      <w:pPr>
        <w:pStyle w:val="ListParagraph"/>
        <w:numPr>
          <w:ilvl w:val="0"/>
          <w:numId w:val="7"/>
        </w:numPr>
        <w:tabs>
          <w:tab w:pos="2524" w:val="left" w:leader="none"/>
        </w:tabs>
        <w:spacing w:line="240" w:lineRule="auto" w:before="7" w:after="0"/>
        <w:ind w:left="2523" w:right="0" w:hanging="423"/>
        <w:jc w:val="left"/>
        <w:rPr>
          <w:sz w:val="21"/>
        </w:rPr>
      </w:pPr>
      <w:r>
        <w:rPr>
          <w:spacing w:val="-3"/>
          <w:sz w:val="21"/>
        </w:rPr>
        <w:t>促肾上腺皮质激素(</w:t>
      </w:r>
      <w:r>
        <w:rPr>
          <w:spacing w:val="-1"/>
          <w:sz w:val="21"/>
        </w:rPr>
        <w:t>ACTH)</w:t>
      </w:r>
      <w:r>
        <w:rPr>
          <w:spacing w:val="-3"/>
          <w:sz w:val="21"/>
        </w:rPr>
        <w:t>刺激试验；</w:t>
      </w:r>
    </w:p>
    <w:p>
      <w:pPr>
        <w:pStyle w:val="ListParagraph"/>
        <w:numPr>
          <w:ilvl w:val="0"/>
          <w:numId w:val="7"/>
        </w:numPr>
        <w:tabs>
          <w:tab w:pos="2524" w:val="left" w:leader="none"/>
        </w:tabs>
        <w:spacing w:line="240" w:lineRule="auto" w:before="37" w:after="0"/>
        <w:ind w:left="2523" w:right="0" w:hanging="423"/>
        <w:jc w:val="left"/>
        <w:rPr>
          <w:sz w:val="21"/>
        </w:rPr>
      </w:pPr>
      <w:r>
        <w:rPr>
          <w:spacing w:val="-3"/>
          <w:sz w:val="21"/>
        </w:rPr>
        <w:t>胰岛素血糖减少测试；</w:t>
      </w:r>
    </w:p>
    <w:p>
      <w:pPr>
        <w:pStyle w:val="ListParagraph"/>
        <w:numPr>
          <w:ilvl w:val="0"/>
          <w:numId w:val="7"/>
        </w:numPr>
        <w:tabs>
          <w:tab w:pos="2524" w:val="left" w:leader="none"/>
        </w:tabs>
        <w:spacing w:line="240" w:lineRule="auto" w:before="36" w:after="0"/>
        <w:ind w:left="2523" w:right="0" w:hanging="423"/>
        <w:jc w:val="left"/>
        <w:rPr>
          <w:sz w:val="21"/>
        </w:rPr>
      </w:pPr>
      <w:r>
        <w:rPr>
          <w:spacing w:val="-3"/>
          <w:sz w:val="21"/>
        </w:rPr>
        <w:t>血浆促肾上腺皮质激素</w:t>
      </w:r>
      <w:r>
        <w:rPr>
          <w:sz w:val="21"/>
        </w:rPr>
        <w:t>(ACTH)</w:t>
      </w:r>
      <w:r>
        <w:rPr>
          <w:spacing w:val="-3"/>
          <w:sz w:val="21"/>
        </w:rPr>
        <w:t>水平测定；</w:t>
      </w:r>
    </w:p>
    <w:p>
      <w:pPr>
        <w:pStyle w:val="ListParagraph"/>
        <w:numPr>
          <w:ilvl w:val="0"/>
          <w:numId w:val="7"/>
        </w:numPr>
        <w:tabs>
          <w:tab w:pos="2524" w:val="left" w:leader="none"/>
        </w:tabs>
        <w:spacing w:line="240" w:lineRule="auto" w:before="36" w:after="0"/>
        <w:ind w:left="2523" w:right="0" w:hanging="423"/>
        <w:jc w:val="left"/>
        <w:rPr>
          <w:sz w:val="21"/>
        </w:rPr>
      </w:pPr>
      <w:r>
        <w:rPr>
          <w:spacing w:val="-3"/>
          <w:sz w:val="21"/>
        </w:rPr>
        <w:t>血浆肾素活性(</w:t>
      </w:r>
      <w:r>
        <w:rPr>
          <w:spacing w:val="-1"/>
          <w:sz w:val="21"/>
        </w:rPr>
        <w:t>PRA</w:t>
      </w:r>
      <w:r>
        <w:rPr>
          <w:spacing w:val="-3"/>
          <w:sz w:val="21"/>
        </w:rPr>
        <w:t>)测定</w:t>
      </w:r>
    </w:p>
    <w:p>
      <w:pPr>
        <w:pStyle w:val="BodyText"/>
        <w:spacing w:line="273" w:lineRule="auto" w:before="36"/>
        <w:ind w:right="171"/>
      </w:pPr>
      <w:r>
        <w:rPr/>
        <w:t>慢性肾上腺皮质功能衰竭只对由自身免疫功能紊乱引起的承担保险责任，其他原因引起的除外。</w:t>
      </w:r>
    </w:p>
    <w:p>
      <w:pPr>
        <w:pStyle w:val="BodyText"/>
        <w:spacing w:before="4"/>
        <w:ind w:left="0"/>
        <w:rPr>
          <w:sz w:val="24"/>
        </w:rPr>
      </w:pPr>
    </w:p>
    <w:p>
      <w:pPr>
        <w:pStyle w:val="Heading2"/>
        <w:spacing w:before="1"/>
      </w:pPr>
      <w:r>
        <w:rPr/>
        <w:t>（五十四）埃博拉病毒感染</w:t>
      </w:r>
    </w:p>
    <w:p>
      <w:pPr>
        <w:pStyle w:val="BodyText"/>
      </w:pPr>
      <w:r>
        <w:rPr/>
        <w:t>指埃博拉病毒感染导致的烈性传染病，并须满足下列全部条件：</w:t>
      </w:r>
    </w:p>
    <w:p>
      <w:pPr>
        <w:pStyle w:val="BodyText"/>
      </w:pPr>
      <w:r>
        <w:rPr/>
        <w:t>(1)实验室检查证实埃博拉病毒的存在；</w:t>
      </w:r>
    </w:p>
    <w:p>
      <w:pPr>
        <w:pStyle w:val="BodyText"/>
      </w:pPr>
      <w:r>
        <w:rPr/>
        <w:t>(2)从发病开始有超过 30 天的进行性感染症状。</w:t>
      </w:r>
    </w:p>
    <w:p>
      <w:pPr>
        <w:pStyle w:val="BodyText"/>
        <w:spacing w:before="9"/>
        <w:ind w:left="0"/>
        <w:rPr>
          <w:sz w:val="26"/>
        </w:rPr>
      </w:pPr>
    </w:p>
    <w:p>
      <w:pPr>
        <w:pStyle w:val="Heading2"/>
      </w:pPr>
      <w:r>
        <w:rPr/>
        <w:t>（五十五）严重象皮病</w:t>
      </w:r>
    </w:p>
    <w:p>
      <w:pPr>
        <w:pStyle w:val="BodyText"/>
        <w:spacing w:line="273" w:lineRule="auto"/>
        <w:ind w:right="216"/>
        <w:jc w:val="both"/>
      </w:pPr>
      <w:r>
        <w:rPr>
          <w:spacing w:val="-6"/>
        </w:rPr>
        <w:t>指末期丝虫病，按国际淋巴学会分级为三度淋巴液肿，其临床表现为肢体非凹</w:t>
      </w:r>
      <w:r>
        <w:rPr>
          <w:spacing w:val="-7"/>
        </w:rPr>
        <w:t>陷性水肿伴畸形增大、硬皮症和疣状增生。此病症须经专科医生根据临床表现</w:t>
      </w:r>
      <w:r>
        <w:rPr>
          <w:spacing w:val="-5"/>
        </w:rPr>
        <w:t>和微丝蚴的化验结果确诊。</w:t>
      </w:r>
    </w:p>
    <w:p>
      <w:pPr>
        <w:pStyle w:val="BodyText"/>
        <w:spacing w:before="5"/>
        <w:ind w:left="0"/>
        <w:rPr>
          <w:sz w:val="24"/>
        </w:rPr>
      </w:pPr>
    </w:p>
    <w:p>
      <w:pPr>
        <w:pStyle w:val="Heading2"/>
        <w:spacing w:before="1"/>
      </w:pPr>
      <w:r>
        <w:rPr/>
        <w:t>（五十六）肺源性心脏病</w:t>
      </w:r>
    </w:p>
    <w:p>
      <w:pPr>
        <w:pStyle w:val="BodyText"/>
        <w:spacing w:line="273" w:lineRule="auto"/>
        <w:ind w:right="112"/>
      </w:pPr>
      <w:r>
        <w:rPr/>
        <w:t>指被保险人因慢性肺部疾病导致慢性心功能损害造成永久不可逆性的心功能衰</w:t>
      </w:r>
      <w:r>
        <w:rPr>
          <w:spacing w:val="-9"/>
        </w:rPr>
        <w:t>竭。心功能衰竭程度达到纽约心脏病学会的心功能分级标准之心功能 </w:t>
      </w:r>
      <w:r>
        <w:rPr/>
        <w:t>IV</w:t>
      </w:r>
      <w:r>
        <w:rPr>
          <w:spacing w:val="-12"/>
        </w:rPr>
        <w:t> 级。被</w:t>
      </w:r>
      <w:r>
        <w:rPr>
          <w:spacing w:val="-5"/>
        </w:rPr>
        <w:t>保险人永久不可逆性的体力活动能力受限，不能从事任何体力活动。</w:t>
      </w:r>
    </w:p>
    <w:p>
      <w:pPr>
        <w:pStyle w:val="BodyText"/>
        <w:spacing w:before="5"/>
        <w:ind w:left="0"/>
        <w:rPr>
          <w:sz w:val="24"/>
        </w:rPr>
      </w:pPr>
    </w:p>
    <w:p>
      <w:pPr>
        <w:pStyle w:val="Heading2"/>
        <w:spacing w:before="1"/>
      </w:pPr>
      <w:r>
        <w:rPr/>
        <w:t>（五十七）严重肠道疾病并发症</w:t>
      </w:r>
    </w:p>
    <w:p>
      <w:pPr>
        <w:pStyle w:val="BodyText"/>
      </w:pPr>
      <w:r>
        <w:rPr/>
        <w:t>严重肠道疾病或外伤导致小肠损害并发症，满足以下所有条件：</w:t>
      </w:r>
    </w:p>
    <w:p>
      <w:pPr>
        <w:pStyle w:val="BodyText"/>
      </w:pPr>
      <w:r>
        <w:rPr/>
        <w:t>（1）至少切除了三分之二小肠；</w:t>
      </w:r>
    </w:p>
    <w:p>
      <w:pPr>
        <w:spacing w:after="0"/>
        <w:sectPr>
          <w:pgSz w:w="11910" w:h="16840"/>
          <w:pgMar w:top="1080" w:bottom="280" w:left="1680" w:right="800"/>
        </w:sectPr>
      </w:pPr>
    </w:p>
    <w:p>
      <w:pPr>
        <w:pStyle w:val="BodyText"/>
        <w:spacing w:before="22"/>
        <w:jc w:val="both"/>
      </w:pPr>
      <w:r>
        <w:rPr/>
        <w:t>（2）完全场外营养支持三个月以上。</w:t>
      </w:r>
    </w:p>
    <w:p>
      <w:pPr>
        <w:pStyle w:val="BodyText"/>
        <w:spacing w:before="9"/>
        <w:ind w:left="0"/>
        <w:rPr>
          <w:sz w:val="26"/>
        </w:rPr>
      </w:pPr>
    </w:p>
    <w:p>
      <w:pPr>
        <w:pStyle w:val="Heading2"/>
        <w:jc w:val="both"/>
      </w:pPr>
      <w:r>
        <w:rPr/>
        <w:t>（五十八）疯牛病</w:t>
      </w:r>
    </w:p>
    <w:p>
      <w:pPr>
        <w:pStyle w:val="BodyText"/>
        <w:spacing w:before="36"/>
        <w:jc w:val="both"/>
      </w:pPr>
      <w:r>
        <w:rPr/>
        <w:t>神经系统疾病及致命的成胶质状脑病，并有以下症状：</w:t>
      </w:r>
    </w:p>
    <w:p>
      <w:pPr>
        <w:pStyle w:val="BodyText"/>
        <w:spacing w:before="36"/>
        <w:jc w:val="both"/>
      </w:pPr>
      <w:r>
        <w:rPr/>
        <w:t>（1）不能控制的肌肉痉挛及震颤；</w:t>
      </w:r>
    </w:p>
    <w:p>
      <w:pPr>
        <w:pStyle w:val="BodyText"/>
        <w:spacing w:before="36"/>
        <w:jc w:val="both"/>
      </w:pPr>
      <w:r>
        <w:rPr/>
        <w:t>（2）逐渐痴呆；</w:t>
      </w:r>
    </w:p>
    <w:p>
      <w:pPr>
        <w:pStyle w:val="BodyText"/>
        <w:spacing w:before="36"/>
        <w:jc w:val="both"/>
      </w:pPr>
      <w:r>
        <w:rPr/>
        <w:t>（3）小脑功能不良，共济失调；</w:t>
      </w:r>
    </w:p>
    <w:p>
      <w:pPr>
        <w:pStyle w:val="BodyText"/>
        <w:spacing w:before="36"/>
        <w:jc w:val="both"/>
      </w:pPr>
      <w:r>
        <w:rPr/>
        <w:t>（4）手足徐动症；</w:t>
      </w:r>
    </w:p>
    <w:p>
      <w:pPr>
        <w:pStyle w:val="BodyText"/>
        <w:spacing w:line="273" w:lineRule="auto" w:before="36"/>
        <w:ind w:right="187"/>
      </w:pPr>
      <w:r>
        <w:rPr/>
        <w:t>诊断必须由神经科专科医生基于以下检查报告作出：脑电图、脑脊液报告、电脑断层扫描(CT)及核磁共振(MRI)。</w:t>
      </w:r>
    </w:p>
    <w:p>
      <w:pPr>
        <w:pStyle w:val="BodyText"/>
        <w:spacing w:before="5"/>
        <w:ind w:left="0"/>
        <w:rPr>
          <w:sz w:val="24"/>
        </w:rPr>
      </w:pPr>
    </w:p>
    <w:p>
      <w:pPr>
        <w:pStyle w:val="Heading2"/>
      </w:pPr>
      <w:r>
        <w:rPr/>
        <w:t>（五十九）严重心肌炎</w:t>
      </w:r>
    </w:p>
    <w:p>
      <w:pPr>
        <w:pStyle w:val="BodyText"/>
        <w:spacing w:line="273" w:lineRule="auto"/>
        <w:ind w:right="220"/>
      </w:pPr>
      <w:r>
        <w:rPr/>
        <w:t>指被保险人因严重心肌炎性病变导致心功能损害造成持续的永久不可逆性的心功能衰竭。必须满足以下所有条件：</w:t>
      </w:r>
    </w:p>
    <w:p>
      <w:pPr>
        <w:pStyle w:val="ListParagraph"/>
        <w:numPr>
          <w:ilvl w:val="0"/>
          <w:numId w:val="8"/>
        </w:numPr>
        <w:tabs>
          <w:tab w:pos="2697" w:val="left" w:leader="none"/>
        </w:tabs>
        <w:spacing w:line="273" w:lineRule="auto" w:before="7" w:after="0"/>
        <w:ind w:left="2732" w:right="112" w:hanging="632"/>
        <w:jc w:val="left"/>
        <w:rPr>
          <w:sz w:val="21"/>
        </w:rPr>
      </w:pPr>
      <w:r>
        <w:rPr>
          <w:spacing w:val="-5"/>
          <w:sz w:val="21"/>
        </w:rPr>
        <w:t>心功能衰竭程度达到纽约心脏病学会的心功能分级标准之心功能 </w:t>
      </w:r>
      <w:r>
        <w:rPr>
          <w:sz w:val="21"/>
        </w:rPr>
        <w:t>IV</w:t>
      </w:r>
      <w:r>
        <w:rPr>
          <w:spacing w:val="-16"/>
          <w:sz w:val="21"/>
        </w:rPr>
        <w:t> 级， </w:t>
      </w:r>
      <w:r>
        <w:rPr>
          <w:spacing w:val="-7"/>
          <w:sz w:val="21"/>
        </w:rPr>
        <w:t>或左室射血分数低于 </w:t>
      </w:r>
      <w:r>
        <w:rPr>
          <w:sz w:val="21"/>
        </w:rPr>
        <w:t>30%；</w:t>
      </w:r>
    </w:p>
    <w:p>
      <w:pPr>
        <w:pStyle w:val="ListParagraph"/>
        <w:numPr>
          <w:ilvl w:val="0"/>
          <w:numId w:val="8"/>
        </w:numPr>
        <w:tabs>
          <w:tab w:pos="2733" w:val="left" w:leader="none"/>
        </w:tabs>
        <w:spacing w:line="240" w:lineRule="auto" w:before="7" w:after="0"/>
        <w:ind w:left="2732" w:right="0" w:hanging="632"/>
        <w:jc w:val="both"/>
        <w:rPr>
          <w:sz w:val="21"/>
        </w:rPr>
      </w:pPr>
      <w:r>
        <w:rPr>
          <w:spacing w:val="-11"/>
          <w:sz w:val="21"/>
        </w:rPr>
        <w:t>持续不间断 </w:t>
      </w:r>
      <w:r>
        <w:rPr>
          <w:sz w:val="21"/>
        </w:rPr>
        <w:t>180</w:t>
      </w:r>
      <w:r>
        <w:rPr>
          <w:spacing w:val="-12"/>
          <w:sz w:val="21"/>
        </w:rPr>
        <w:t> 天以上；</w:t>
      </w:r>
    </w:p>
    <w:p>
      <w:pPr>
        <w:pStyle w:val="ListParagraph"/>
        <w:numPr>
          <w:ilvl w:val="0"/>
          <w:numId w:val="8"/>
        </w:numPr>
        <w:tabs>
          <w:tab w:pos="2733" w:val="left" w:leader="none"/>
        </w:tabs>
        <w:spacing w:line="240" w:lineRule="auto" w:before="36" w:after="0"/>
        <w:ind w:left="2732" w:right="0" w:hanging="632"/>
        <w:jc w:val="both"/>
        <w:rPr>
          <w:sz w:val="21"/>
        </w:rPr>
      </w:pPr>
      <w:r>
        <w:rPr>
          <w:spacing w:val="-3"/>
          <w:sz w:val="21"/>
        </w:rPr>
        <w:t>被保险人永久不可逆性的体力活动能力受限，不能从事任何体力活动。</w:t>
      </w:r>
    </w:p>
    <w:p>
      <w:pPr>
        <w:pStyle w:val="BodyText"/>
        <w:spacing w:before="8"/>
        <w:ind w:left="0"/>
        <w:rPr>
          <w:sz w:val="26"/>
        </w:rPr>
      </w:pPr>
    </w:p>
    <w:p>
      <w:pPr>
        <w:pStyle w:val="Heading2"/>
        <w:jc w:val="both"/>
      </w:pPr>
      <w:r>
        <w:rPr/>
        <w:t>（六十）肾髓质囊性病</w:t>
      </w:r>
    </w:p>
    <w:p>
      <w:pPr>
        <w:pStyle w:val="BodyText"/>
        <w:jc w:val="both"/>
      </w:pPr>
      <w:r>
        <w:rPr/>
        <w:t>肾髓质囊性病的诊断必须同时符合下列要求：</w:t>
      </w:r>
    </w:p>
    <w:p>
      <w:pPr>
        <w:pStyle w:val="BodyText"/>
        <w:jc w:val="both"/>
      </w:pPr>
      <w:r>
        <w:rPr/>
        <w:t>（1）肾髓质有囊肿、肾小管萎缩及间质纤维化等病理改变；</w:t>
      </w:r>
    </w:p>
    <w:p>
      <w:pPr>
        <w:pStyle w:val="BodyText"/>
        <w:jc w:val="both"/>
      </w:pPr>
      <w:r>
        <w:rPr/>
        <w:t>（2）贫血、多尿及肾功能衰竭等临床表现；</w:t>
      </w:r>
    </w:p>
    <w:p>
      <w:pPr>
        <w:pStyle w:val="BodyText"/>
        <w:jc w:val="both"/>
      </w:pPr>
      <w:r>
        <w:rPr/>
        <w:t>（3）诊断须由肾组织活检确定。</w:t>
      </w:r>
    </w:p>
    <w:p>
      <w:pPr>
        <w:pStyle w:val="BodyText"/>
        <w:spacing w:before="9"/>
        <w:ind w:left="0"/>
        <w:rPr>
          <w:sz w:val="26"/>
        </w:rPr>
      </w:pPr>
    </w:p>
    <w:p>
      <w:pPr>
        <w:pStyle w:val="Heading2"/>
        <w:jc w:val="both"/>
      </w:pPr>
      <w:r>
        <w:rPr/>
        <w:t>（六十一）侵蚀性葡萄胎（或称恶性葡萄胎）</w:t>
      </w:r>
    </w:p>
    <w:p>
      <w:pPr>
        <w:pStyle w:val="BodyText"/>
        <w:spacing w:line="273" w:lineRule="auto"/>
        <w:ind w:right="220"/>
      </w:pPr>
      <w:r>
        <w:rPr/>
        <w:t>该类疾病是指异常增生的绒毛组织浸润性生长侵入子宫肌层或转移至其他器官或组织的葡萄胎，并已经进行化疗或手术治疗的。</w:t>
      </w:r>
    </w:p>
    <w:p>
      <w:pPr>
        <w:pStyle w:val="BodyText"/>
        <w:spacing w:before="5"/>
        <w:ind w:left="0"/>
        <w:rPr>
          <w:sz w:val="24"/>
        </w:rPr>
      </w:pPr>
    </w:p>
    <w:p>
      <w:pPr>
        <w:pStyle w:val="Heading2"/>
      </w:pPr>
      <w:r>
        <w:rPr/>
        <w:t>（六十二）严重肌营养不良症</w:t>
      </w:r>
    </w:p>
    <w:p>
      <w:pPr>
        <w:pStyle w:val="BodyText"/>
        <w:spacing w:line="273" w:lineRule="auto" w:before="36"/>
        <w:ind w:right="216"/>
        <w:jc w:val="both"/>
      </w:pPr>
      <w:r>
        <w:rPr>
          <w:spacing w:val="-5"/>
        </w:rPr>
        <w:t>是一组原发于肌肉的遗传性的肌肉病变。主要临床特征为受累骨骼肌肉的无力</w:t>
      </w:r>
      <w:r>
        <w:rPr/>
        <w:t>和肌肉萎缩。经我们认可的神经专科医生确认符合以下四项诊断指标中的三项：</w:t>
      </w:r>
    </w:p>
    <w:p>
      <w:pPr>
        <w:pStyle w:val="BodyText"/>
        <w:spacing w:before="8"/>
        <w:jc w:val="both"/>
      </w:pPr>
      <w:r>
        <w:rPr/>
        <w:t>（1）家族史中有其他成员患相同疾病；</w:t>
      </w:r>
    </w:p>
    <w:p>
      <w:pPr>
        <w:pStyle w:val="BodyText"/>
        <w:jc w:val="both"/>
      </w:pPr>
      <w:r>
        <w:rPr/>
        <w:t>（2）临床表现包括：无感觉神经紊乱，正常脑脊液及轻微腱反射的减退；</w:t>
      </w:r>
    </w:p>
    <w:p>
      <w:pPr>
        <w:pStyle w:val="BodyText"/>
        <w:jc w:val="both"/>
      </w:pPr>
      <w:r>
        <w:rPr/>
        <w:t>（3）典型的肌电图；</w:t>
      </w:r>
    </w:p>
    <w:p>
      <w:pPr>
        <w:pStyle w:val="BodyText"/>
        <w:jc w:val="both"/>
      </w:pPr>
      <w:r>
        <w:rPr/>
        <w:t>（4）临床推测必须有肌肉或组织检查加以证实。</w:t>
      </w:r>
    </w:p>
    <w:p>
      <w:pPr>
        <w:pStyle w:val="BodyText"/>
        <w:spacing w:before="8"/>
        <w:ind w:left="0"/>
        <w:rPr>
          <w:sz w:val="26"/>
        </w:rPr>
      </w:pPr>
    </w:p>
    <w:p>
      <w:pPr>
        <w:pStyle w:val="Heading2"/>
        <w:jc w:val="both"/>
      </w:pPr>
      <w:r>
        <w:rPr/>
        <w:t>（六十三）慢性复发性胰腺炎</w:t>
      </w:r>
    </w:p>
    <w:p>
      <w:pPr>
        <w:pStyle w:val="BodyText"/>
        <w:spacing w:line="273" w:lineRule="auto" w:before="36"/>
        <w:ind w:right="216"/>
        <w:jc w:val="both"/>
      </w:pPr>
      <w:r>
        <w:rPr>
          <w:spacing w:val="-5"/>
        </w:rPr>
        <w:t>指有腹痛等典型症状的胰腺炎反复发作，导致胰腺进行性破坏，并导致胰腺功</w:t>
      </w:r>
      <w:r>
        <w:rPr>
          <w:spacing w:val="-9"/>
        </w:rPr>
        <w:t>能紊乱而导致严重糖尿病以及营养不良、恶液质。</w:t>
      </w:r>
      <w:r>
        <w:rPr/>
        <w:t>CT</w:t>
      </w:r>
      <w:r>
        <w:rPr>
          <w:spacing w:val="-6"/>
        </w:rPr>
        <w:t> 检查证实胰腺存在广泛钙</w:t>
      </w:r>
      <w:r>
        <w:rPr>
          <w:spacing w:val="-8"/>
        </w:rPr>
        <w:t>化，且必须接受酶替代以及胰岛素替代治疗 </w:t>
      </w:r>
      <w:r>
        <w:rPr/>
        <w:t>6</w:t>
      </w:r>
      <w:r>
        <w:rPr>
          <w:spacing w:val="-9"/>
        </w:rPr>
        <w:t> 个月以上。诊断必须由消化科专</w:t>
      </w:r>
      <w:r>
        <w:rPr>
          <w:spacing w:val="-5"/>
        </w:rPr>
        <w:t>科医生确诊。</w:t>
      </w:r>
    </w:p>
    <w:p>
      <w:pPr>
        <w:pStyle w:val="BodyText"/>
        <w:spacing w:before="7"/>
        <w:jc w:val="both"/>
      </w:pPr>
      <w:r>
        <w:rPr/>
        <w:t>因酒精所致的慢性复发性胰腺炎除外。</w:t>
      </w:r>
    </w:p>
    <w:p>
      <w:pPr>
        <w:pStyle w:val="BodyText"/>
        <w:spacing w:before="8"/>
        <w:ind w:left="0"/>
        <w:rPr>
          <w:sz w:val="26"/>
        </w:rPr>
      </w:pPr>
    </w:p>
    <w:p>
      <w:pPr>
        <w:pStyle w:val="Heading2"/>
        <w:jc w:val="both"/>
      </w:pPr>
      <w:r>
        <w:rPr/>
        <w:t>（六十四）进行性核上性麻痹</w:t>
      </w:r>
    </w:p>
    <w:p>
      <w:pPr>
        <w:spacing w:after="0"/>
        <w:jc w:val="both"/>
        <w:sectPr>
          <w:pgSz w:w="11910" w:h="16840"/>
          <w:pgMar w:top="1080" w:bottom="280" w:left="1680" w:right="800"/>
        </w:sectPr>
      </w:pPr>
    </w:p>
    <w:p>
      <w:pPr>
        <w:pStyle w:val="BodyText"/>
        <w:spacing w:line="273" w:lineRule="auto" w:before="22"/>
        <w:ind w:right="100"/>
        <w:jc w:val="both"/>
      </w:pPr>
      <w:r>
        <w:rPr>
          <w:spacing w:val="-5"/>
        </w:rPr>
        <w:t>进行性核上性麻痹</w:t>
      </w:r>
      <w:r>
        <w:rPr>
          <w:spacing w:val="-4"/>
        </w:rPr>
        <w:t>（PSP）</w:t>
      </w:r>
      <w:r>
        <w:rPr>
          <w:spacing w:val="-16"/>
        </w:rPr>
        <w:t>又称 </w:t>
      </w:r>
      <w:r>
        <w:rPr/>
        <w:t>Steele-Rchardson-Olszewski</w:t>
      </w:r>
      <w:r>
        <w:rPr>
          <w:spacing w:val="-11"/>
        </w:rPr>
        <w:t> 综合症，是一种</w:t>
      </w:r>
      <w:r>
        <w:rPr>
          <w:spacing w:val="-6"/>
        </w:rPr>
        <w:t>神经系统变性疾病，以假球麻痹、垂直性核上性眼肌麻痹、锥体外系肌僵直、</w:t>
      </w:r>
      <w:r>
        <w:rPr>
          <w:spacing w:val="-4"/>
        </w:rPr>
        <w:t>步态共济失调和轻度痴呆为主要临床特征。</w:t>
      </w:r>
      <w:r>
        <w:rPr/>
        <w:t>PSP</w:t>
      </w:r>
      <w:r>
        <w:rPr>
          <w:spacing w:val="-5"/>
        </w:rPr>
        <w:t> 必须由三级甲等医院的神经内</w:t>
      </w:r>
      <w:r>
        <w:rPr>
          <w:spacing w:val="-8"/>
        </w:rPr>
        <w:t>科专科医生确诊，并且被保险人自主生活能力完全丧失，无法独立完成六项基</w:t>
      </w:r>
      <w:r>
        <w:rPr>
          <w:spacing w:val="-5"/>
        </w:rPr>
        <w:t>本日常生活活动中的三项或三项以上。</w:t>
      </w:r>
    </w:p>
    <w:p>
      <w:pPr>
        <w:pStyle w:val="BodyText"/>
        <w:spacing w:before="5"/>
        <w:ind w:left="0"/>
        <w:rPr>
          <w:sz w:val="24"/>
        </w:rPr>
      </w:pPr>
    </w:p>
    <w:p>
      <w:pPr>
        <w:pStyle w:val="Heading2"/>
        <w:spacing w:before="1"/>
      </w:pPr>
      <w:r>
        <w:rPr/>
        <w:t>（六十五）胰腺移植</w:t>
      </w:r>
    </w:p>
    <w:p>
      <w:pPr>
        <w:pStyle w:val="BodyText"/>
        <w:spacing w:line="273" w:lineRule="auto"/>
        <w:ind w:right="137"/>
      </w:pPr>
      <w:r>
        <w:rPr/>
        <w:t>指引胰腺功能衰竭，已经实施了在全身麻醉下进行的胰腺的异体器官移植手术。</w:t>
      </w:r>
    </w:p>
    <w:p>
      <w:pPr>
        <w:pStyle w:val="BodyText"/>
        <w:spacing w:before="7"/>
      </w:pPr>
      <w:r>
        <w:rPr/>
        <w:t>单纯胰岛移植、部分胰腺组织或细胞的移植不在本保障范围内。</w:t>
      </w:r>
    </w:p>
    <w:p>
      <w:pPr>
        <w:pStyle w:val="BodyText"/>
        <w:spacing w:before="8"/>
        <w:ind w:left="0"/>
        <w:rPr>
          <w:sz w:val="26"/>
        </w:rPr>
      </w:pPr>
    </w:p>
    <w:p>
      <w:pPr>
        <w:pStyle w:val="Heading2"/>
      </w:pPr>
      <w:r>
        <w:rPr/>
        <w:t>（六十六）严重雷伊氏综合症</w:t>
      </w:r>
    </w:p>
    <w:p>
      <w:pPr>
        <w:pStyle w:val="BodyText"/>
        <w:spacing w:line="273" w:lineRule="auto"/>
        <w:ind w:right="136"/>
        <w:jc w:val="both"/>
      </w:pPr>
      <w:r>
        <w:rPr>
          <w:spacing w:val="-5"/>
        </w:rPr>
        <w:t>严重雷伊氏综合症是线粒体功能障碍性疾病。导致脂肪代谢障碍，引起短链脂</w:t>
      </w:r>
      <w:r>
        <w:rPr>
          <w:spacing w:val="-9"/>
        </w:rPr>
        <w:t>肪酸、血氨升高，造成脑水肿。主要临床表现为急性发热、反复呕吐、惊厥及意识障碍等等。肝脏活检是确诊的重要手段。严重雷伊氏综合症需由三级医院</w:t>
      </w:r>
      <w:r>
        <w:rPr>
          <w:spacing w:val="-5"/>
        </w:rPr>
        <w:t>的儿科专科医生确诊，并符合下列所有条件：</w:t>
      </w:r>
    </w:p>
    <w:p>
      <w:pPr>
        <w:pStyle w:val="BodyText"/>
        <w:spacing w:before="7"/>
      </w:pPr>
      <w:r>
        <w:rPr/>
        <w:t>（1）有脑水肿和颅内压升高的脑脊液检查和影像学检查证据；</w:t>
      </w:r>
    </w:p>
    <w:p>
      <w:pPr>
        <w:pStyle w:val="BodyText"/>
        <w:spacing w:before="36"/>
      </w:pPr>
      <w:r>
        <w:rPr/>
        <w:t>（2）血氨超过正常值的 3 倍；</w:t>
      </w:r>
    </w:p>
    <w:p>
      <w:pPr>
        <w:pStyle w:val="BodyText"/>
        <w:spacing w:before="36"/>
      </w:pPr>
      <w:r>
        <w:rPr/>
        <w:t>（3）临床出现昏迷，病程至少达到疾病分期第 3 期。</w:t>
      </w:r>
    </w:p>
    <w:p>
      <w:pPr>
        <w:pStyle w:val="BodyText"/>
        <w:spacing w:before="8"/>
        <w:ind w:left="0"/>
        <w:rPr>
          <w:sz w:val="26"/>
        </w:rPr>
      </w:pPr>
    </w:p>
    <w:p>
      <w:pPr>
        <w:pStyle w:val="Heading2"/>
      </w:pPr>
      <w:r>
        <w:rPr/>
        <w:t>（六十七）严重自身免疫性肝炎</w:t>
      </w:r>
    </w:p>
    <w:p>
      <w:pPr>
        <w:pStyle w:val="BodyText"/>
        <w:spacing w:line="273" w:lineRule="auto" w:before="36"/>
        <w:ind w:right="136"/>
        <w:jc w:val="both"/>
      </w:pPr>
      <w:r>
        <w:rPr>
          <w:spacing w:val="-5"/>
        </w:rPr>
        <w:t>是一种原因不明的慢性肝脏的坏死性炎性疾病，机体免疫机制被破坏，产生针</w:t>
      </w:r>
      <w:r>
        <w:rPr/>
        <w:t>对肝脏自身抗原的抗体导致自身免疫反应，从而破坏肝细胞造成肝脏炎症坏</w:t>
      </w:r>
      <w:r>
        <w:rPr>
          <w:spacing w:val="-3"/>
        </w:rPr>
        <w:t>死，进而发展为肝硬化。必须满足所有以下条件：</w:t>
      </w:r>
    </w:p>
    <w:p>
      <w:pPr>
        <w:pStyle w:val="BodyText"/>
        <w:spacing w:before="7"/>
      </w:pPr>
      <w:r>
        <w:rPr/>
        <w:t>（1）高 γ 球蛋白血症；</w:t>
      </w:r>
    </w:p>
    <w:p>
      <w:pPr>
        <w:pStyle w:val="BodyText"/>
        <w:spacing w:line="273" w:lineRule="auto"/>
        <w:ind w:left="2732" w:right="135" w:hanging="632"/>
      </w:pPr>
      <w:r>
        <w:rPr>
          <w:spacing w:val="-7"/>
        </w:rPr>
        <w:t>（2）</w:t>
      </w:r>
      <w:r>
        <w:rPr>
          <w:spacing w:val="-6"/>
        </w:rPr>
        <w:t>血液中存在高水平的自身免疫抗体，如 ANA（</w:t>
      </w:r>
      <w:r>
        <w:rPr>
          <w:spacing w:val="-3"/>
        </w:rPr>
        <w:t>抗核抗体</w:t>
      </w:r>
      <w:r>
        <w:rPr>
          <w:spacing w:val="-108"/>
        </w:rPr>
        <w:t>）</w:t>
      </w:r>
      <w:r>
        <w:rPr>
          <w:spacing w:val="-17"/>
        </w:rPr>
        <w:t>、</w:t>
      </w:r>
      <w:r>
        <w:rPr>
          <w:spacing w:val="-6"/>
        </w:rPr>
        <w:t>SMA（</w:t>
      </w:r>
      <w:r>
        <w:rPr>
          <w:spacing w:val="-2"/>
        </w:rPr>
        <w:t>抗平滑肌抗体</w:t>
      </w:r>
      <w:r>
        <w:rPr>
          <w:spacing w:val="-108"/>
        </w:rPr>
        <w:t>）</w:t>
      </w:r>
      <w:r>
        <w:rPr>
          <w:spacing w:val="-17"/>
        </w:rPr>
        <w:t>、抗 </w:t>
      </w:r>
      <w:r>
        <w:rPr/>
        <w:t>LKM1</w:t>
      </w:r>
      <w:r>
        <w:rPr>
          <w:spacing w:val="-11"/>
        </w:rPr>
        <w:t> 抗体或抗-</w:t>
      </w:r>
      <w:r>
        <w:rPr/>
        <w:t>SLA/LP</w:t>
      </w:r>
      <w:r>
        <w:rPr>
          <w:spacing w:val="-14"/>
        </w:rPr>
        <w:t> 抗体；</w:t>
      </w:r>
    </w:p>
    <w:p>
      <w:pPr>
        <w:pStyle w:val="BodyText"/>
        <w:spacing w:before="7"/>
      </w:pPr>
      <w:r>
        <w:rPr/>
        <w:t>（3）肝脏活检证实免疫性肝炎；</w:t>
      </w:r>
    </w:p>
    <w:p>
      <w:pPr>
        <w:pStyle w:val="BodyText"/>
        <w:spacing w:before="36"/>
      </w:pPr>
      <w:r>
        <w:rPr/>
        <w:t>（4）临床已经出现腹水、食道静脉曲张和脾肿大等肝硬化表现。</w:t>
      </w:r>
    </w:p>
    <w:p>
      <w:pPr>
        <w:pStyle w:val="BodyText"/>
        <w:spacing w:before="12"/>
        <w:ind w:left="0"/>
        <w:rPr>
          <w:sz w:val="25"/>
        </w:rPr>
      </w:pPr>
    </w:p>
    <w:p>
      <w:pPr>
        <w:spacing w:before="0"/>
        <w:ind w:left="2100" w:right="0" w:firstLine="0"/>
        <w:jc w:val="left"/>
        <w:rPr>
          <w:b/>
          <w:sz w:val="22"/>
        </w:rPr>
      </w:pPr>
      <w:r>
        <w:rPr>
          <w:b/>
          <w:sz w:val="21"/>
        </w:rPr>
        <w:t>（六十八）</w:t>
      </w:r>
      <w:r>
        <w:rPr>
          <w:b/>
          <w:sz w:val="22"/>
        </w:rPr>
        <w:t>破裂脑动脉瘤夹闭手术</w:t>
      </w:r>
    </w:p>
    <w:p>
      <w:pPr>
        <w:pStyle w:val="BodyText"/>
        <w:spacing w:line="273" w:lineRule="auto" w:before="33"/>
        <w:ind w:right="91"/>
      </w:pPr>
      <w:r>
        <w:rPr/>
        <w:t>指因脑动脉瘤破裂造成蛛网膜下腔出血，被保险人实际接受了在全麻下进行的开颅动脉夹闭手术。</w:t>
      </w:r>
    </w:p>
    <w:p>
      <w:pPr>
        <w:pStyle w:val="BodyText"/>
        <w:spacing w:line="273" w:lineRule="auto" w:before="8"/>
        <w:ind w:right="96"/>
      </w:pPr>
      <w:r>
        <w:rPr/>
        <w:t>脑动脉瘤（未破裂）预防性手术、颅骨打孔手术、动脉瘤栓塞手术、血管内手术及其他颅脑手术不在本保障范围内。</w:t>
      </w:r>
    </w:p>
    <w:p>
      <w:pPr>
        <w:pStyle w:val="BodyText"/>
        <w:spacing w:before="5"/>
        <w:ind w:left="0"/>
        <w:rPr>
          <w:sz w:val="24"/>
        </w:rPr>
      </w:pPr>
    </w:p>
    <w:p>
      <w:pPr>
        <w:pStyle w:val="Heading2"/>
      </w:pPr>
      <w:r>
        <w:rPr/>
        <w:t>（六十九）肝豆状核变性</w:t>
      </w:r>
    </w:p>
    <w:p>
      <w:pPr>
        <w:pStyle w:val="BodyText"/>
        <w:spacing w:line="273" w:lineRule="auto" w:before="36"/>
        <w:ind w:right="91"/>
      </w:pPr>
      <w:r>
        <w:rPr/>
        <w:t>指一种常染色体隐性遗传的铜代谢缺陷病，以不同程度的肝细胞损害、脑退行性病变和角膜边缘有铜盐沉着环为其临床特征，并须满足下列全部条件：</w:t>
      </w:r>
    </w:p>
    <w:p>
      <w:pPr>
        <w:pStyle w:val="BodyText"/>
        <w:spacing w:before="7"/>
      </w:pPr>
      <w:r>
        <w:rPr/>
        <w:t>（1）典型症状；</w:t>
      </w:r>
    </w:p>
    <w:p>
      <w:pPr>
        <w:pStyle w:val="BodyText"/>
      </w:pPr>
      <w:r>
        <w:rPr>
          <w:w w:val="100"/>
        </w:rPr>
        <w:t>（2</w:t>
      </w:r>
      <w:r>
        <w:rPr>
          <w:spacing w:val="-3"/>
          <w:w w:val="100"/>
        </w:rPr>
        <w:t>）角膜色素环</w:t>
      </w:r>
      <w:r>
        <w:rPr>
          <w:spacing w:val="-1"/>
          <w:w w:val="100"/>
        </w:rPr>
        <w:t>（</w:t>
      </w:r>
      <w:r>
        <w:rPr>
          <w:spacing w:val="-3"/>
          <w:w w:val="100"/>
        </w:rPr>
        <w:t>K</w:t>
      </w:r>
      <w:r>
        <w:rPr>
          <w:w w:val="100"/>
        </w:rPr>
        <w:t>-F</w:t>
      </w:r>
      <w:r>
        <w:rPr>
          <w:spacing w:val="-55"/>
        </w:rPr>
        <w:t> </w:t>
      </w:r>
      <w:r>
        <w:rPr>
          <w:spacing w:val="-3"/>
          <w:w w:val="100"/>
        </w:rPr>
        <w:t>环</w:t>
      </w:r>
      <w:r>
        <w:rPr>
          <w:spacing w:val="-106"/>
          <w:w w:val="100"/>
        </w:rPr>
        <w:t>）</w:t>
      </w:r>
      <w:r>
        <w:rPr>
          <w:w w:val="100"/>
        </w:rPr>
        <w:t>；</w:t>
      </w:r>
    </w:p>
    <w:p>
      <w:pPr>
        <w:pStyle w:val="BodyText"/>
      </w:pPr>
      <w:r>
        <w:rPr/>
        <w:t>（3）血清铜和血清铜蓝蛋白降低，尿铜增加；</w:t>
      </w:r>
    </w:p>
    <w:p>
      <w:pPr>
        <w:pStyle w:val="BodyText"/>
      </w:pPr>
      <w:r>
        <w:rPr/>
        <w:t>（4）经皮做肝脏活检来定量分析肝脏铜的含量。</w:t>
      </w:r>
    </w:p>
    <w:p>
      <w:pPr>
        <w:pStyle w:val="BodyText"/>
        <w:spacing w:before="9"/>
        <w:ind w:left="0"/>
        <w:rPr>
          <w:sz w:val="26"/>
        </w:rPr>
      </w:pPr>
    </w:p>
    <w:p>
      <w:pPr>
        <w:pStyle w:val="Heading2"/>
      </w:pPr>
      <w:r>
        <w:rPr/>
        <w:t>（七十）严重慢性缩窄型心包炎</w:t>
      </w:r>
    </w:p>
    <w:p>
      <w:pPr>
        <w:pStyle w:val="BodyText"/>
        <w:spacing w:before="116"/>
      </w:pPr>
      <w:r>
        <w:rPr/>
        <w:t>由于慢性心包炎症导致心包脏层和壁层广泛瘢痕粘连、增厚和钙化，心包腔闭</w:t>
      </w:r>
    </w:p>
    <w:p>
      <w:pPr>
        <w:spacing w:after="0"/>
        <w:sectPr>
          <w:pgSz w:w="11910" w:h="16840"/>
          <w:pgMar w:top="1080" w:bottom="280" w:left="1680" w:right="880"/>
        </w:sectPr>
      </w:pPr>
    </w:p>
    <w:p>
      <w:pPr>
        <w:pStyle w:val="BodyText"/>
        <w:spacing w:line="273" w:lineRule="auto" w:before="22"/>
        <w:ind w:right="216"/>
      </w:pPr>
      <w:r>
        <w:rPr>
          <w:spacing w:val="-7"/>
        </w:rPr>
        <w:t>塞，形成一个纤维瘢痕外壳，使心脏和大血管根部受压，阻碍心脏的舒张。被</w:t>
      </w:r>
      <w:r>
        <w:rPr>
          <w:spacing w:val="-5"/>
        </w:rPr>
        <w:t>保险人被明确诊断为慢性缩窄性心包炎且必须满足下列全部条件：</w:t>
      </w:r>
    </w:p>
    <w:p>
      <w:pPr>
        <w:pStyle w:val="BodyText"/>
        <w:spacing w:line="273" w:lineRule="auto" w:before="8"/>
        <w:ind w:right="215"/>
      </w:pPr>
      <w:r>
        <w:rPr/>
        <w:t>（1）</w:t>
      </w:r>
      <w:r>
        <w:rPr>
          <w:spacing w:val="-5"/>
        </w:rPr>
        <w:t>心功能衰竭达到美国纽约心脏病学会心功能状态分级 </w:t>
      </w:r>
      <w:r>
        <w:rPr/>
        <w:t>IV</w:t>
      </w:r>
      <w:r>
        <w:rPr>
          <w:spacing w:val="-14"/>
        </w:rPr>
        <w:t> 级，并持续 </w:t>
      </w:r>
      <w:r>
        <w:rPr/>
        <w:t>180 </w:t>
      </w:r>
      <w:r>
        <w:rPr>
          <w:spacing w:val="-1"/>
        </w:rPr>
        <w:t>天以上；</w:t>
      </w:r>
    </w:p>
    <w:p>
      <w:pPr>
        <w:pStyle w:val="BodyText"/>
        <w:spacing w:before="87"/>
      </w:pPr>
      <w:r>
        <w:rPr/>
        <w:t>（2）已经接受了开胸进行的心包剥脱或心包切除手术。</w:t>
      </w:r>
    </w:p>
    <w:p>
      <w:pPr>
        <w:pStyle w:val="BodyText"/>
      </w:pPr>
      <w:r>
        <w:rPr/>
        <w:t>经胸腔镜、胸壁打孔进行的手术、心包粘连松解手术不在保障范围内。</w:t>
      </w:r>
    </w:p>
    <w:p>
      <w:pPr>
        <w:pStyle w:val="BodyText"/>
        <w:spacing w:before="8"/>
        <w:ind w:left="0"/>
        <w:rPr>
          <w:sz w:val="26"/>
        </w:rPr>
      </w:pPr>
    </w:p>
    <w:p>
      <w:pPr>
        <w:pStyle w:val="Heading2"/>
        <w:spacing w:before="1"/>
      </w:pPr>
      <w:r>
        <w:rPr/>
        <w:t>（七十一）糖尿病导致的双脚截除</w:t>
      </w:r>
    </w:p>
    <w:p>
      <w:pPr>
        <w:pStyle w:val="BodyText"/>
        <w:spacing w:line="271" w:lineRule="auto" w:before="116"/>
        <w:ind w:right="216"/>
        <w:jc w:val="both"/>
      </w:pPr>
      <w:r>
        <w:rPr/>
        <w:t>因糖尿病引起的神经及血管病变而经本公司认可的医院的内分泌科专科医生</w:t>
      </w:r>
      <w:r>
        <w:rPr>
          <w:spacing w:val="-6"/>
        </w:rPr>
        <w:t>建议，由足踝或以上位置截除双脚是维持生命的唯一方法。切除一只或多只脚</w:t>
      </w:r>
      <w:r>
        <w:rPr>
          <w:spacing w:val="-4"/>
        </w:rPr>
        <w:t>趾或因任何其他原因引起的截除术并不在保障范围内。</w:t>
      </w:r>
    </w:p>
    <w:p>
      <w:pPr>
        <w:pStyle w:val="BodyText"/>
        <w:spacing w:before="0"/>
        <w:ind w:left="0"/>
        <w:rPr>
          <w:sz w:val="20"/>
        </w:rPr>
      </w:pPr>
    </w:p>
    <w:p>
      <w:pPr>
        <w:pStyle w:val="Heading2"/>
        <w:spacing w:before="139"/>
      </w:pPr>
      <w:r>
        <w:rPr/>
        <w:t>（七十二）弥漫性血管内凝血</w:t>
      </w:r>
    </w:p>
    <w:p>
      <w:pPr>
        <w:pStyle w:val="BodyText"/>
        <w:spacing w:line="273" w:lineRule="auto" w:before="36"/>
        <w:ind w:right="171"/>
      </w:pPr>
      <w:r>
        <w:rPr/>
        <w:t>指血液凝固系统和纤溶系统的过度活动导致微血管血栓形成、血小板及凝血因子耗竭和严重出血，需要输注血浆和浓缩血小板进行治疗。</w:t>
      </w:r>
    </w:p>
    <w:p>
      <w:pPr>
        <w:pStyle w:val="BodyText"/>
        <w:spacing w:before="5"/>
        <w:ind w:left="0"/>
        <w:rPr>
          <w:sz w:val="24"/>
        </w:rPr>
      </w:pPr>
    </w:p>
    <w:p>
      <w:pPr>
        <w:pStyle w:val="Heading2"/>
      </w:pPr>
      <w:r>
        <w:rPr/>
        <w:t>（七十三）多处臂丛神经根性撕脱</w:t>
      </w:r>
    </w:p>
    <w:p>
      <w:pPr>
        <w:pStyle w:val="BodyText"/>
        <w:spacing w:line="273" w:lineRule="auto"/>
        <w:ind w:right="216"/>
        <w:jc w:val="both"/>
      </w:pPr>
      <w:r>
        <w:rPr>
          <w:spacing w:val="-5"/>
        </w:rPr>
        <w:t>由于疾病或意外导致至少两根臂丛神经根性撕脱，所造成的手臂感觉功能与运</w:t>
      </w:r>
      <w:r>
        <w:rPr>
          <w:spacing w:val="-7"/>
        </w:rPr>
        <w:t>动功能完全永久性丧失。该病必须由本公司认可的医院的专科医生确诊，并且</w:t>
      </w:r>
      <w:r>
        <w:rPr>
          <w:spacing w:val="-5"/>
        </w:rPr>
        <w:t>有完整的电生理检查结果证实。</w:t>
      </w:r>
    </w:p>
    <w:p>
      <w:pPr>
        <w:pStyle w:val="BodyText"/>
        <w:spacing w:before="5"/>
        <w:ind w:left="0"/>
        <w:rPr>
          <w:sz w:val="24"/>
        </w:rPr>
      </w:pPr>
    </w:p>
    <w:p>
      <w:pPr>
        <w:pStyle w:val="Heading2"/>
      </w:pPr>
      <w:r>
        <w:rPr/>
        <w:t>（七十四）失去一肢及一眼</w:t>
      </w:r>
    </w:p>
    <w:p>
      <w:pPr>
        <w:pStyle w:val="BodyText"/>
        <w:spacing w:line="273" w:lineRule="auto"/>
        <w:ind w:right="166"/>
      </w:pPr>
      <w:r>
        <w:rPr/>
        <w:t>因疾病或意外伤害导致单眼视力丧失及任何一肢自腕关节或踝关节近端（靠近躯干端）以上完全性断离。</w:t>
      </w:r>
    </w:p>
    <w:p>
      <w:pPr>
        <w:pStyle w:val="BodyText"/>
        <w:spacing w:before="7"/>
      </w:pPr>
      <w:r>
        <w:rPr/>
        <w:t>单眼视力丧失指单眼视力永久不可逆性丧失，患眼须满足下列至少一项条件：</w:t>
      </w:r>
    </w:p>
    <w:p>
      <w:pPr>
        <w:pStyle w:val="ListParagraph"/>
        <w:numPr>
          <w:ilvl w:val="0"/>
          <w:numId w:val="9"/>
        </w:numPr>
        <w:tabs>
          <w:tab w:pos="2733" w:val="left" w:leader="none"/>
        </w:tabs>
        <w:spacing w:line="240" w:lineRule="auto" w:before="36" w:after="0"/>
        <w:ind w:left="2100" w:right="0" w:firstLine="0"/>
        <w:jc w:val="left"/>
        <w:rPr>
          <w:sz w:val="21"/>
        </w:rPr>
      </w:pPr>
      <w:r>
        <w:rPr>
          <w:spacing w:val="-3"/>
          <w:sz w:val="21"/>
        </w:rPr>
        <w:t>眼球缺失或摘除；</w:t>
      </w:r>
    </w:p>
    <w:p>
      <w:pPr>
        <w:pStyle w:val="ListParagraph"/>
        <w:numPr>
          <w:ilvl w:val="0"/>
          <w:numId w:val="9"/>
        </w:numPr>
        <w:tabs>
          <w:tab w:pos="2721" w:val="left" w:leader="none"/>
        </w:tabs>
        <w:spacing w:line="256" w:lineRule="auto" w:before="21" w:after="0"/>
        <w:ind w:left="2100" w:right="216" w:firstLine="0"/>
        <w:jc w:val="left"/>
        <w:rPr>
          <w:sz w:val="21"/>
        </w:rPr>
      </w:pPr>
      <w:r>
        <w:rPr>
          <w:spacing w:val="-7"/>
          <w:sz w:val="21"/>
        </w:rPr>
        <w:t>矫正视力低于 </w:t>
      </w:r>
      <w:r>
        <w:rPr>
          <w:rFonts w:ascii="Times New Roman" w:eastAsia="Times New Roman"/>
          <w:spacing w:val="-3"/>
          <w:sz w:val="21"/>
        </w:rPr>
        <w:t>0.02</w:t>
      </w:r>
      <w:r>
        <w:rPr>
          <w:spacing w:val="-3"/>
          <w:sz w:val="21"/>
        </w:rPr>
        <w:t>（</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p>
      <w:pPr>
        <w:pStyle w:val="ListParagraph"/>
        <w:numPr>
          <w:ilvl w:val="0"/>
          <w:numId w:val="9"/>
        </w:numPr>
        <w:tabs>
          <w:tab w:pos="2733" w:val="left" w:leader="none"/>
        </w:tabs>
        <w:spacing w:line="240" w:lineRule="auto" w:before="22" w:after="0"/>
        <w:ind w:left="2100" w:right="0" w:firstLine="0"/>
        <w:jc w:val="left"/>
        <w:rPr>
          <w:sz w:val="21"/>
        </w:rPr>
      </w:pPr>
      <w:r>
        <w:rPr>
          <w:spacing w:val="-10"/>
          <w:sz w:val="21"/>
        </w:rPr>
        <w:t>视野半径小于 </w:t>
      </w:r>
      <w:r>
        <w:rPr>
          <w:rFonts w:ascii="Times New Roman" w:eastAsia="Times New Roman"/>
          <w:sz w:val="21"/>
        </w:rPr>
        <w:t>5</w:t>
      </w:r>
      <w:r>
        <w:rPr>
          <w:rFonts w:ascii="Times New Roman" w:eastAsia="Times New Roman"/>
          <w:spacing w:val="0"/>
          <w:sz w:val="21"/>
        </w:rPr>
        <w:t>  </w:t>
      </w:r>
      <w:r>
        <w:rPr>
          <w:spacing w:val="-3"/>
          <w:sz w:val="21"/>
        </w:rPr>
        <w:t>度。</w:t>
      </w:r>
    </w:p>
    <w:p>
      <w:pPr>
        <w:pStyle w:val="BodyText"/>
        <w:spacing w:before="20"/>
      </w:pPr>
      <w:r>
        <w:rPr/>
        <w:t>被保险人在 </w:t>
      </w:r>
      <w:r>
        <w:rPr>
          <w:rFonts w:ascii="Times New Roman" w:eastAsia="Times New Roman"/>
        </w:rPr>
        <w:t>3 </w:t>
      </w:r>
      <w:r>
        <w:rPr/>
        <w:t>周岁之前因疾病导致单眼视力丧失不在保障范围内。</w:t>
      </w:r>
    </w:p>
    <w:p>
      <w:pPr>
        <w:pStyle w:val="BodyText"/>
        <w:spacing w:before="5"/>
        <w:ind w:left="0"/>
        <w:rPr>
          <w:sz w:val="25"/>
        </w:rPr>
      </w:pPr>
    </w:p>
    <w:p>
      <w:pPr>
        <w:pStyle w:val="Heading2"/>
      </w:pPr>
      <w:r>
        <w:rPr/>
        <w:t>（七十五）严重传染性心内膜炎</w:t>
      </w:r>
    </w:p>
    <w:p>
      <w:pPr>
        <w:pStyle w:val="BodyText"/>
      </w:pPr>
      <w:r>
        <w:rPr/>
        <w:t>是指由感染性微生物引致的心脏内膜炎症，并须符合下列所有准则：</w:t>
      </w:r>
    </w:p>
    <w:p>
      <w:pPr>
        <w:pStyle w:val="ListParagraph"/>
        <w:numPr>
          <w:ilvl w:val="0"/>
          <w:numId w:val="10"/>
        </w:numPr>
        <w:tabs>
          <w:tab w:pos="2733" w:val="left" w:leader="none"/>
        </w:tabs>
        <w:spacing w:line="240" w:lineRule="auto" w:before="37" w:after="0"/>
        <w:ind w:left="2100" w:right="0" w:firstLine="0"/>
        <w:jc w:val="left"/>
        <w:rPr>
          <w:sz w:val="21"/>
        </w:rPr>
      </w:pPr>
      <w:r>
        <w:rPr>
          <w:spacing w:val="-3"/>
          <w:sz w:val="21"/>
        </w:rPr>
        <w:t>血液培植结果呈阳性反应，证明感染性微生物的存在；</w:t>
      </w:r>
    </w:p>
    <w:p>
      <w:pPr>
        <w:pStyle w:val="ListParagraph"/>
        <w:numPr>
          <w:ilvl w:val="0"/>
          <w:numId w:val="10"/>
        </w:numPr>
        <w:tabs>
          <w:tab w:pos="2733" w:val="left" w:leader="none"/>
        </w:tabs>
        <w:spacing w:line="264" w:lineRule="auto" w:before="21" w:after="0"/>
        <w:ind w:left="2100" w:right="179" w:firstLine="0"/>
        <w:jc w:val="both"/>
        <w:rPr>
          <w:sz w:val="21"/>
        </w:rPr>
      </w:pPr>
      <w:r>
        <w:rPr>
          <w:spacing w:val="-3"/>
          <w:sz w:val="21"/>
        </w:rPr>
        <w:t>出现最少中度之心脏瓣膜功能</w:t>
      </w:r>
      <w:r>
        <w:rPr>
          <w:rFonts w:ascii="Arial" w:eastAsia="Arial"/>
          <w:w w:val="115"/>
          <w:sz w:val="21"/>
        </w:rPr>
        <w:t>不</w:t>
      </w:r>
      <w:r>
        <w:rPr>
          <w:spacing w:val="-3"/>
          <w:sz w:val="21"/>
        </w:rPr>
        <w:t>全</w:t>
      </w:r>
      <w:r>
        <w:rPr>
          <w:sz w:val="21"/>
        </w:rPr>
        <w:t>（</w:t>
      </w:r>
      <w:r>
        <w:rPr>
          <w:spacing w:val="-3"/>
          <w:sz w:val="21"/>
        </w:rPr>
        <w:t>即返流部份达百分之二十或以上</w:t>
      </w:r>
      <w:r>
        <w:rPr>
          <w:spacing w:val="-67"/>
          <w:sz w:val="21"/>
        </w:rPr>
        <w:t>） </w:t>
      </w:r>
      <w:r>
        <w:rPr>
          <w:w w:val="100"/>
          <w:sz w:val="21"/>
        </w:rPr>
        <w:t>或中度之心脏瓣膜狭窄（即心脏瓣面积为正常值的百分之三十或以下</w:t>
      </w:r>
      <w:r>
        <w:rPr>
          <w:spacing w:val="-106"/>
          <w:w w:val="100"/>
          <w:sz w:val="21"/>
        </w:rPr>
        <w:t>）</w:t>
      </w:r>
      <w:r>
        <w:rPr>
          <w:w w:val="100"/>
          <w:sz w:val="21"/>
        </w:rPr>
        <w:t>，导致</w:t>
      </w:r>
      <w:r>
        <w:rPr>
          <w:spacing w:val="-3"/>
          <w:sz w:val="21"/>
        </w:rPr>
        <w:t>传染性心内膜炎；</w:t>
      </w:r>
    </w:p>
    <w:p>
      <w:pPr>
        <w:pStyle w:val="ListParagraph"/>
        <w:numPr>
          <w:ilvl w:val="0"/>
          <w:numId w:val="10"/>
        </w:numPr>
        <w:tabs>
          <w:tab w:pos="2697" w:val="left" w:leader="none"/>
        </w:tabs>
        <w:spacing w:line="256" w:lineRule="auto" w:before="15" w:after="0"/>
        <w:ind w:left="2100" w:right="215" w:firstLine="0"/>
        <w:jc w:val="left"/>
        <w:rPr>
          <w:sz w:val="21"/>
        </w:rPr>
      </w:pPr>
      <w:r>
        <w:rPr>
          <w:spacing w:val="-3"/>
          <w:sz w:val="21"/>
        </w:rPr>
        <w:t>传染性心内膜炎的诊断及瓣膜受损的严重程度必须由心脏病专科医生确定。</w:t>
      </w:r>
    </w:p>
    <w:p>
      <w:pPr>
        <w:pStyle w:val="BodyText"/>
        <w:spacing w:before="6"/>
        <w:ind w:left="0"/>
        <w:rPr>
          <w:sz w:val="25"/>
        </w:rPr>
      </w:pPr>
    </w:p>
    <w:p>
      <w:pPr>
        <w:pStyle w:val="Heading2"/>
      </w:pPr>
      <w:r>
        <w:rPr/>
        <w:t>（七十六）疾病或外伤所致智力障碍</w:t>
      </w:r>
    </w:p>
    <w:p>
      <w:pPr>
        <w:pStyle w:val="BodyText"/>
        <w:spacing w:line="261" w:lineRule="auto" w:before="36"/>
        <w:ind w:right="110"/>
      </w:pPr>
      <w:r>
        <w:rPr>
          <w:spacing w:val="-6"/>
        </w:rPr>
        <w:t>疾病或外伤所致智力障碍：因严重头部创伤或疾病造成被保险人智力低常</w:t>
      </w:r>
      <w:r>
        <w:rPr>
          <w:spacing w:val="-3"/>
        </w:rPr>
        <w:t>（</w:t>
      </w:r>
      <w:r>
        <w:rPr/>
        <w:t>智</w:t>
      </w:r>
      <w:r>
        <w:rPr>
          <w:spacing w:val="-2"/>
          <w:w w:val="100"/>
        </w:rPr>
        <w:t>力低于常态</w:t>
      </w:r>
      <w:r>
        <w:rPr>
          <w:spacing w:val="-108"/>
          <w:w w:val="100"/>
        </w:rPr>
        <w:t>）</w:t>
      </w:r>
      <w:r>
        <w:rPr>
          <w:spacing w:val="-14"/>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spacing w:val="-3"/>
          <w:w w:val="100"/>
        </w:rPr>
        <w:t>5</w:t>
      </w:r>
      <w:r>
        <w:rPr>
          <w:rFonts w:ascii="Times New Roman" w:eastAsia="Times New Roman"/>
          <w:w w:val="100"/>
        </w:rPr>
        <w:t>0</w:t>
      </w:r>
      <w:r>
        <w:rPr>
          <w:rFonts w:ascii="Times New Roman" w:eastAsia="Times New Roman"/>
          <w:spacing w:val="-4"/>
          <w:w w:val="100"/>
        </w:rPr>
        <w:t>-</w:t>
      </w:r>
      <w:r>
        <w:rPr>
          <w:rFonts w:ascii="Times New Roman" w:eastAsia="Times New Roman"/>
          <w:w w:val="100"/>
        </w:rPr>
        <w:t>70</w:t>
      </w:r>
      <w:r>
        <w:rPr>
          <w:spacing w:val="-106"/>
          <w:w w:val="100"/>
        </w:rPr>
        <w:t>）</w:t>
      </w:r>
      <w:r>
        <w:rPr>
          <w:spacing w:val="-32"/>
          <w:w w:val="100"/>
        </w:rPr>
        <w:t>、中度</w:t>
      </w:r>
      <w:r>
        <w:rPr>
          <w:spacing w:val="-1"/>
          <w:w w:val="100"/>
        </w:rPr>
        <w:t>（</w:t>
      </w:r>
      <w:r>
        <w:rPr>
          <w:rFonts w:ascii="Times New Roman" w:eastAsia="Times New Roman"/>
          <w:spacing w:val="-4"/>
          <w:w w:val="100"/>
        </w:rPr>
        <w:t>I</w:t>
      </w:r>
      <w:r>
        <w:rPr>
          <w:rFonts w:ascii="Times New Roman" w:eastAsia="Times New Roman"/>
          <w:w w:val="100"/>
        </w:rPr>
        <w:t>Q35</w:t>
      </w:r>
      <w:r>
        <w:rPr>
          <w:rFonts w:ascii="Times New Roman" w:eastAsia="Times New Roman"/>
          <w:spacing w:val="-4"/>
          <w:w w:val="100"/>
        </w:rPr>
        <w:t>-</w:t>
      </w:r>
      <w:r>
        <w:rPr>
          <w:rFonts w:ascii="Times New Roman" w:eastAsia="Times New Roman"/>
          <w:w w:val="100"/>
        </w:rPr>
        <w:t>50</w:t>
      </w:r>
      <w:r>
        <w:rPr>
          <w:spacing w:val="-108"/>
          <w:w w:val="100"/>
        </w:rPr>
        <w:t>）</w:t>
      </w:r>
      <w:r>
        <w:rPr>
          <w:spacing w:val="-33"/>
          <w:w w:val="100"/>
        </w:rPr>
        <w:t>、重度</w:t>
      </w:r>
      <w:r>
        <w:rPr>
          <w:spacing w:val="-1"/>
          <w:w w:val="100"/>
        </w:rPr>
        <w:t>（</w:t>
      </w:r>
      <w:r>
        <w:rPr>
          <w:rFonts w:ascii="Times New Roman" w:eastAsia="Times New Roman"/>
          <w:spacing w:val="-4"/>
          <w:w w:val="100"/>
        </w:rPr>
        <w:t>I</w:t>
      </w:r>
      <w:r>
        <w:rPr>
          <w:rFonts w:ascii="Times New Roman" w:eastAsia="Times New Roman"/>
          <w:w w:val="100"/>
        </w:rPr>
        <w:t>Q20</w:t>
      </w:r>
      <w:r>
        <w:rPr>
          <w:rFonts w:ascii="Times New Roman" w:eastAsia="Times New Roman"/>
          <w:spacing w:val="-4"/>
          <w:w w:val="100"/>
        </w:rPr>
        <w:t>-</w:t>
      </w:r>
      <w:r>
        <w:rPr>
          <w:rFonts w:ascii="Times New Roman" w:eastAsia="Times New Roman"/>
          <w:w w:val="100"/>
        </w:rPr>
        <w:t>35</w:t>
      </w:r>
      <w:r>
        <w:rPr>
          <w:w w:val="100"/>
        </w:rPr>
        <w:t>）</w:t>
      </w:r>
      <w:r>
        <w:rPr>
          <w:spacing w:val="-22"/>
          <w:w w:val="100"/>
        </w:rPr>
        <w:t>和极重度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spacing w:val="-2"/>
          <w:w w:val="100"/>
        </w:rPr>
        <w:t>&lt;</w:t>
      </w:r>
      <w:r>
        <w:rPr>
          <w:rFonts w:ascii="Times New Roman" w:eastAsia="Times New Roman"/>
          <w:w w:val="100"/>
        </w:rPr>
        <w:t>20</w:t>
      </w:r>
      <w:r>
        <w:rPr>
          <w:spacing w:val="-106"/>
          <w:w w:val="100"/>
        </w:rPr>
        <w:t>）</w:t>
      </w:r>
      <w:r>
        <w:rPr>
          <w:spacing w:val="-11"/>
          <w:w w:val="100"/>
        </w:rPr>
        <w:t>。智商的检测必须由本公司认可的专职心理测验工作者进行，</w:t>
      </w:r>
      <w:r>
        <w:rPr>
          <w:spacing w:val="-8"/>
        </w:rPr>
        <w:t>心理测验工作者必须持有由心理测量专业委员会资格认定书。根据被保险人年</w:t>
      </w:r>
    </w:p>
    <w:p>
      <w:pPr>
        <w:spacing w:after="0" w:line="261" w:lineRule="auto"/>
        <w:sectPr>
          <w:pgSz w:w="11910" w:h="16840"/>
          <w:pgMar w:top="1080" w:bottom="280" w:left="1680" w:right="800"/>
        </w:sectPr>
      </w:pPr>
    </w:p>
    <w:p>
      <w:pPr>
        <w:pStyle w:val="BodyText"/>
        <w:spacing w:line="273" w:lineRule="auto" w:before="22"/>
        <w:ind w:right="110"/>
      </w:pPr>
      <w:r>
        <w:rPr>
          <w:spacing w:val="-5"/>
        </w:rPr>
        <w:t>龄采用对应的智力量表如韦克斯勒智力量表</w:t>
      </w:r>
      <w:r>
        <w:rPr>
          <w:spacing w:val="-3"/>
        </w:rPr>
        <w:t>（儿童智力量表或成人智力量表</w:t>
      </w:r>
      <w:r>
        <w:rPr>
          <w:spacing w:val="-108"/>
        </w:rPr>
        <w:t>）</w:t>
      </w:r>
      <w:r>
        <w:rPr/>
        <w:t>。</w:t>
      </w:r>
      <w:r>
        <w:rPr>
          <w:spacing w:val="-3"/>
        </w:rPr>
        <w:t>必须满足下列全部条件：</w:t>
      </w:r>
    </w:p>
    <w:p>
      <w:pPr>
        <w:pStyle w:val="BodyText"/>
        <w:spacing w:line="256" w:lineRule="auto" w:before="8"/>
        <w:ind w:right="220"/>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5"/>
      </w:pPr>
      <w:r>
        <w:rPr/>
        <w:t>（</w:t>
      </w:r>
      <w:r>
        <w:rPr>
          <w:rFonts w:ascii="Times New Roman" w:eastAsia="Times New Roman"/>
        </w:rPr>
        <w:t>2</w:t>
      </w:r>
      <w:r>
        <w:rPr/>
        <w:t>）专科医师确诊被保险人由于严重头部创伤或疾病造成智力低常；</w:t>
      </w:r>
    </w:p>
    <w:p>
      <w:pPr>
        <w:pStyle w:val="BodyText"/>
        <w:spacing w:line="256" w:lineRule="auto" w:before="21"/>
        <w:ind w:right="220"/>
      </w:pPr>
      <w:r>
        <w:rPr/>
        <w:t>（</w:t>
      </w:r>
      <w:r>
        <w:rPr>
          <w:rFonts w:ascii="Times New Roman" w:eastAsia="Times New Roman"/>
        </w:rPr>
        <w:t>3</w:t>
      </w:r>
      <w:r>
        <w:rPr/>
        <w:t>）专职合格心理检测工作者适时做的心理检测证实被保险人智力低常（轻</w:t>
      </w:r>
      <w:r>
        <w:rPr>
          <w:spacing w:val="-3"/>
          <w:w w:val="100"/>
        </w:rPr>
        <w:t>度、中度、重度或极重度</w:t>
      </w:r>
      <w:r>
        <w:rPr>
          <w:spacing w:val="-108"/>
          <w:w w:val="100"/>
        </w:rPr>
        <w:t>）</w:t>
      </w:r>
      <w:r>
        <w:rPr>
          <w:w w:val="100"/>
        </w:rPr>
        <w:t>；</w:t>
      </w:r>
    </w:p>
    <w:p>
      <w:pPr>
        <w:pStyle w:val="BodyText"/>
        <w:spacing w:before="22"/>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spacing w:before="5"/>
        <w:ind w:left="0"/>
        <w:rPr>
          <w:sz w:val="25"/>
        </w:rPr>
      </w:pPr>
    </w:p>
    <w:p>
      <w:pPr>
        <w:pStyle w:val="Heading2"/>
        <w:spacing w:before="1"/>
      </w:pPr>
      <w:r>
        <w:rPr/>
        <w:t>（七十七）严重瑞氏综合征</w:t>
      </w:r>
    </w:p>
    <w:p>
      <w:pPr>
        <w:pStyle w:val="BodyText"/>
        <w:spacing w:line="273" w:lineRule="auto"/>
        <w:ind w:right="180"/>
        <w:jc w:val="both"/>
      </w:pPr>
      <w:r>
        <w:rPr>
          <w:spacing w:val="-3"/>
        </w:rPr>
        <w:t>瑞氏综合征是线粒体功能障碍性疾病。导致脂肪代谢障碍，引起短链脂肪酸、</w:t>
      </w:r>
      <w:r>
        <w:rPr>
          <w:spacing w:val="-8"/>
        </w:rPr>
        <w:t>血氨升高，造成脑水肿。主要临床表现为急性发热、反复呕吐、惊厥及意识障</w:t>
      </w:r>
      <w:r>
        <w:rPr>
          <w:spacing w:val="-5"/>
        </w:rPr>
        <w:t>碍等等。瑞氏综合征需由三级医院的专科医生确诊，并须满足下列全部条件：</w:t>
      </w:r>
    </w:p>
    <w:p>
      <w:pPr>
        <w:pStyle w:val="ListParagraph"/>
        <w:numPr>
          <w:ilvl w:val="0"/>
          <w:numId w:val="11"/>
        </w:numPr>
        <w:tabs>
          <w:tab w:pos="2733" w:val="left" w:leader="none"/>
        </w:tabs>
        <w:spacing w:line="240" w:lineRule="auto" w:before="7" w:after="0"/>
        <w:ind w:left="2732" w:right="0" w:hanging="632"/>
        <w:jc w:val="left"/>
        <w:rPr>
          <w:sz w:val="21"/>
        </w:rPr>
      </w:pPr>
      <w:r>
        <w:rPr>
          <w:spacing w:val="-3"/>
          <w:sz w:val="21"/>
        </w:rPr>
        <w:t>有脑水肿和颅内压升高的脑脊液检查和影像学检查证据；</w:t>
      </w:r>
    </w:p>
    <w:p>
      <w:pPr>
        <w:pStyle w:val="ListParagraph"/>
        <w:numPr>
          <w:ilvl w:val="0"/>
          <w:numId w:val="11"/>
        </w:numPr>
        <w:tabs>
          <w:tab w:pos="2733" w:val="left" w:leader="none"/>
        </w:tabs>
        <w:spacing w:line="240" w:lineRule="auto" w:before="21" w:after="0"/>
        <w:ind w:left="2732" w:right="0" w:hanging="632"/>
        <w:jc w:val="left"/>
        <w:rPr>
          <w:sz w:val="21"/>
        </w:rPr>
      </w:pPr>
      <w:r>
        <w:rPr>
          <w:spacing w:val="-9"/>
          <w:sz w:val="21"/>
        </w:rPr>
        <w:t>血氨超过正常值的 </w:t>
      </w:r>
      <w:r>
        <w:rPr>
          <w:rFonts w:ascii="Times New Roman" w:eastAsia="Times New Roman"/>
          <w:sz w:val="21"/>
        </w:rPr>
        <w:t>3</w:t>
      </w:r>
      <w:r>
        <w:rPr>
          <w:rFonts w:ascii="Times New Roman" w:eastAsia="Times New Roman"/>
          <w:spacing w:val="5"/>
          <w:sz w:val="21"/>
        </w:rPr>
        <w:t> </w:t>
      </w:r>
      <w:r>
        <w:rPr>
          <w:sz w:val="21"/>
        </w:rPr>
        <w:t>倍；</w:t>
      </w:r>
    </w:p>
    <w:p>
      <w:pPr>
        <w:pStyle w:val="ListParagraph"/>
        <w:numPr>
          <w:ilvl w:val="0"/>
          <w:numId w:val="11"/>
        </w:numPr>
        <w:tabs>
          <w:tab w:pos="2733" w:val="left" w:leader="none"/>
        </w:tabs>
        <w:spacing w:line="240" w:lineRule="auto" w:before="21" w:after="0"/>
        <w:ind w:left="2732" w:right="0" w:hanging="632"/>
        <w:jc w:val="left"/>
        <w:rPr>
          <w:sz w:val="21"/>
        </w:rPr>
      </w:pPr>
      <w:r>
        <w:rPr>
          <w:spacing w:val="-5"/>
          <w:sz w:val="21"/>
        </w:rPr>
        <w:t>临床出现昏迷，病程至少达到疾病分期第 </w:t>
      </w:r>
      <w:r>
        <w:rPr>
          <w:rFonts w:ascii="Times New Roman" w:eastAsia="Times New Roman"/>
          <w:sz w:val="21"/>
        </w:rPr>
        <w:t>3</w:t>
      </w:r>
      <w:r>
        <w:rPr>
          <w:rFonts w:ascii="Times New Roman" w:eastAsia="Times New Roman"/>
          <w:spacing w:val="8"/>
          <w:sz w:val="21"/>
        </w:rPr>
        <w:t> </w:t>
      </w:r>
      <w:r>
        <w:rPr>
          <w:sz w:val="21"/>
        </w:rPr>
        <w:t>期。</w:t>
      </w:r>
    </w:p>
    <w:p>
      <w:pPr>
        <w:pStyle w:val="BodyText"/>
        <w:spacing w:before="5"/>
        <w:ind w:left="0"/>
        <w:rPr>
          <w:sz w:val="25"/>
        </w:rPr>
      </w:pPr>
    </w:p>
    <w:p>
      <w:pPr>
        <w:pStyle w:val="Heading2"/>
      </w:pPr>
      <w:r>
        <w:rPr/>
        <w:t>（七十八）严重幼年型类风湿性关节炎</w:t>
      </w:r>
    </w:p>
    <w:p>
      <w:pPr>
        <w:pStyle w:val="BodyText"/>
        <w:spacing w:before="36"/>
      </w:pPr>
      <w:r>
        <w:rPr/>
        <w:t>指为了治疗幼年型类风湿关节炎，实际实施了膝关节或髋关节置换手术。</w:t>
      </w:r>
    </w:p>
    <w:p>
      <w:pPr>
        <w:pStyle w:val="BodyText"/>
        <w:spacing w:line="273" w:lineRule="auto" w:before="36"/>
        <w:ind w:right="171"/>
      </w:pPr>
      <w:r>
        <w:rPr/>
        <w:t>幼年型类风湿关节炎是一种儿童期发病的慢性关节炎，其特点为在高热和系统性病征出现数月后发生关节炎。</w:t>
      </w:r>
    </w:p>
    <w:p>
      <w:pPr>
        <w:pStyle w:val="BodyText"/>
        <w:spacing w:before="5"/>
        <w:ind w:left="0"/>
        <w:rPr>
          <w:sz w:val="24"/>
        </w:rPr>
      </w:pPr>
    </w:p>
    <w:p>
      <w:pPr>
        <w:pStyle w:val="Heading2"/>
      </w:pPr>
      <w:r>
        <w:rPr/>
        <w:t>（七十九）艾森门格综合征</w:t>
      </w:r>
    </w:p>
    <w:p>
      <w:pPr>
        <w:pStyle w:val="BodyText"/>
        <w:spacing w:line="273" w:lineRule="auto"/>
        <w:ind w:right="171"/>
      </w:pPr>
      <w:r>
        <w:rPr/>
        <w:t>因心脏病导致的严重肺动脉高压及右向左分流。诊断必须由心脏专科医生经超声心动图和心导管检查证实及需符合以下所有标准：</w:t>
      </w:r>
    </w:p>
    <w:p>
      <w:pPr>
        <w:pStyle w:val="BodyText"/>
        <w:spacing w:before="8"/>
      </w:pPr>
      <w:r>
        <w:rPr/>
        <w:t>（</w:t>
      </w:r>
      <w:r>
        <w:rPr>
          <w:rFonts w:ascii="Times New Roman" w:eastAsia="Times New Roman"/>
        </w:rPr>
        <w:t>1</w:t>
      </w:r>
      <w:r>
        <w:rPr/>
        <w:t>）平均肺动脉压高于 </w:t>
      </w:r>
      <w:r>
        <w:rPr>
          <w:rFonts w:ascii="Times New Roman" w:eastAsia="Times New Roman"/>
        </w:rPr>
        <w:t>40mmHg</w:t>
      </w:r>
      <w:r>
        <w:rPr/>
        <w:t>；</w:t>
      </w:r>
    </w:p>
    <w:p>
      <w:pPr>
        <w:pStyle w:val="BodyText"/>
        <w:spacing w:before="21"/>
      </w:pPr>
      <w:r>
        <w:rPr>
          <w:w w:val="100"/>
        </w:rPr>
        <w:t>（</w:t>
      </w:r>
      <w:r>
        <w:rPr>
          <w:rFonts w:ascii="Times New Roman" w:eastAsia="Times New Roman"/>
          <w:w w:val="100"/>
        </w:rPr>
        <w:t>2</w:t>
      </w:r>
      <w:r>
        <w:rPr>
          <w:spacing w:val="-3"/>
          <w:w w:val="100"/>
        </w:rPr>
        <w:t>）肺血管阻力高于</w:t>
      </w:r>
      <w:r>
        <w:rPr>
          <w:spacing w:val="-53"/>
        </w:rPr>
        <w:t> </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2"/>
          <w:w w:val="100"/>
        </w:rPr>
        <w:t>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3"/>
        </w:rPr>
        <w:t> </w:t>
      </w:r>
      <w:r>
        <w:rPr>
          <w:spacing w:val="-2"/>
          <w:w w:val="100"/>
        </w:rPr>
        <w:t>单位</w:t>
      </w:r>
      <w:r>
        <w:rPr>
          <w:spacing w:val="-106"/>
          <w:w w:val="100"/>
        </w:rPr>
        <w:t>）</w:t>
      </w:r>
      <w:r>
        <w:rPr>
          <w:w w:val="100"/>
        </w:rPr>
        <w:t>；</w:t>
      </w:r>
    </w:p>
    <w:p>
      <w:pPr>
        <w:pStyle w:val="BodyText"/>
        <w:spacing w:before="21"/>
      </w:pPr>
      <w:r>
        <w:rPr/>
        <w:t>（</w:t>
      </w:r>
      <w:r>
        <w:rPr>
          <w:rFonts w:ascii="Times New Roman" w:eastAsia="Times New Roman"/>
        </w:rPr>
        <w:t>3</w:t>
      </w:r>
      <w:r>
        <w:rPr/>
        <w:t>）正常肺微血管楔压低于 </w:t>
      </w:r>
      <w:r>
        <w:rPr>
          <w:rFonts w:ascii="Times New Roman" w:eastAsia="Times New Roman"/>
        </w:rPr>
        <w:t>15mmHg</w:t>
      </w:r>
      <w:r>
        <w:rPr/>
        <w:t>。</w:t>
      </w:r>
    </w:p>
    <w:p>
      <w:pPr>
        <w:pStyle w:val="BodyText"/>
        <w:spacing w:before="6"/>
        <w:ind w:left="0"/>
        <w:rPr>
          <w:sz w:val="25"/>
        </w:rPr>
      </w:pPr>
    </w:p>
    <w:p>
      <w:pPr>
        <w:pStyle w:val="Heading2"/>
      </w:pPr>
      <w:r>
        <w:rPr/>
        <w:t>（八十）严重癫痫</w:t>
      </w:r>
    </w:p>
    <w:p>
      <w:pPr>
        <w:pStyle w:val="BodyText"/>
      </w:pPr>
      <w:r>
        <w:rPr/>
        <w:t>本病的诊断须由神经科或儿科专科医生根据典型临床症状和脑电图及 </w:t>
      </w:r>
      <w:r>
        <w:rPr>
          <w:rFonts w:ascii="Times New Roman" w:eastAsia="Times New Roman"/>
        </w:rPr>
        <w:t>MRI</w:t>
      </w:r>
      <w:r>
        <w:rPr/>
        <w:t>、</w:t>
      </w:r>
    </w:p>
    <w:p>
      <w:pPr>
        <w:pStyle w:val="BodyText"/>
        <w:spacing w:line="264" w:lineRule="auto" w:before="21"/>
        <w:ind w:right="216"/>
        <w:jc w:val="both"/>
      </w:pPr>
      <w:r>
        <w:rPr>
          <w:rFonts w:ascii="Times New Roman" w:eastAsia="Times New Roman"/>
        </w:rPr>
        <w:t>PET</w:t>
      </w:r>
      <w:r>
        <w:rPr>
          <w:spacing w:val="-51"/>
        </w:rPr>
        <w:t>、</w:t>
      </w:r>
      <w:r>
        <w:rPr>
          <w:rFonts w:ascii="Times New Roman" w:eastAsia="Times New Roman"/>
        </w:rPr>
        <w:t>CT </w:t>
      </w:r>
      <w:r>
        <w:rPr>
          <w:spacing w:val="-12"/>
        </w:rPr>
        <w:t>等影相学检查做出。理赔时必须提供 </w:t>
      </w:r>
      <w:r>
        <w:rPr>
          <w:rFonts w:ascii="Times New Roman" w:eastAsia="Times New Roman"/>
        </w:rPr>
        <w:t>6 </w:t>
      </w:r>
      <w:r>
        <w:rPr>
          <w:spacing w:val="-3"/>
        </w:rPr>
        <w:t>个月以上的相关病历记录证明</w:t>
      </w:r>
      <w:r>
        <w:rPr/>
        <w:t>被保险人存在经抗癫痫药物治疗无效而反复发作的强直阵挛性发作或癫痫大</w:t>
      </w:r>
      <w:r>
        <w:rPr>
          <w:spacing w:val="-3"/>
        </w:rPr>
        <w:t>发作，且已行神经外科手术以治疗反复发作的癫痫。</w:t>
      </w:r>
    </w:p>
    <w:p>
      <w:pPr>
        <w:pStyle w:val="BodyText"/>
        <w:spacing w:before="16"/>
      </w:pPr>
      <w:r>
        <w:rPr>
          <w:spacing w:val="-7"/>
        </w:rPr>
        <w:t>发热性惊厥以及没有全身性发作的失神发作</w:t>
      </w:r>
      <w:r>
        <w:rPr/>
        <w:t>（</w:t>
      </w:r>
      <w:r>
        <w:rPr>
          <w:spacing w:val="-3"/>
        </w:rPr>
        <w:t>癫痫小发作</w:t>
      </w:r>
      <w:r>
        <w:rPr>
          <w:spacing w:val="-70"/>
        </w:rPr>
        <w:t>）</w:t>
      </w:r>
      <w:r>
        <w:rPr>
          <w:spacing w:val="-3"/>
        </w:rPr>
        <w:t>不在本保障范围内。</w:t>
      </w:r>
    </w:p>
    <w:p>
      <w:pPr>
        <w:pStyle w:val="BodyText"/>
        <w:spacing w:before="9"/>
        <w:ind w:left="0"/>
        <w:rPr>
          <w:sz w:val="26"/>
        </w:rPr>
      </w:pPr>
    </w:p>
    <w:p>
      <w:pPr>
        <w:pStyle w:val="Heading2"/>
      </w:pPr>
      <w:r>
        <w:rPr/>
        <w:t>（八十一）小肠移植</w:t>
      </w:r>
    </w:p>
    <w:p>
      <w:pPr>
        <w:pStyle w:val="BodyText"/>
        <w:spacing w:line="273" w:lineRule="auto"/>
        <w:ind w:right="216"/>
      </w:pPr>
      <w:r>
        <w:rPr>
          <w:spacing w:val="-7"/>
        </w:rPr>
        <w:t>指因肠道疾病或外伤，已经实施了在全身麻醉下进行的小肠的异体器官移植手术。</w:t>
      </w:r>
    </w:p>
    <w:p>
      <w:pPr>
        <w:pStyle w:val="BodyText"/>
        <w:spacing w:before="7"/>
      </w:pPr>
      <w:r>
        <w:rPr/>
        <w:t>此手术必须由专科医生认为是医学上必需的情况下进行。</w:t>
      </w:r>
    </w:p>
    <w:p>
      <w:pPr>
        <w:pStyle w:val="BodyText"/>
        <w:spacing w:before="8"/>
        <w:ind w:left="0"/>
        <w:rPr>
          <w:sz w:val="26"/>
        </w:rPr>
      </w:pPr>
    </w:p>
    <w:p>
      <w:pPr>
        <w:pStyle w:val="Heading2"/>
      </w:pPr>
      <w:r>
        <w:rPr/>
        <w:t>（八十二）器官移植导致的 HIV 感染</w:t>
      </w:r>
    </w:p>
    <w:p>
      <w:pPr>
        <w:pStyle w:val="BodyText"/>
      </w:pPr>
      <w:r>
        <w:rPr>
          <w:spacing w:val="-8"/>
          <w:w w:val="100"/>
        </w:rPr>
        <w:t>指因进行器官移植而感染上人类免疫缺陷病毒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2"/>
          <w:w w:val="100"/>
        </w:rPr>
        <w:t>V</w:t>
      </w:r>
      <w:r>
        <w:rPr>
          <w:spacing w:val="-106"/>
          <w:w w:val="100"/>
        </w:rPr>
        <w:t>）</w:t>
      </w:r>
      <w:r>
        <w:rPr>
          <w:spacing w:val="-12"/>
          <w:w w:val="100"/>
        </w:rPr>
        <w:t>，且须满足下列全部条件：</w:t>
      </w:r>
    </w:p>
    <w:p>
      <w:pPr>
        <w:pStyle w:val="ListParagraph"/>
        <w:numPr>
          <w:ilvl w:val="0"/>
          <w:numId w:val="12"/>
        </w:numPr>
        <w:tabs>
          <w:tab w:pos="2721" w:val="left" w:leader="none"/>
        </w:tabs>
        <w:spacing w:line="256" w:lineRule="auto" w:before="22" w:after="0"/>
        <w:ind w:left="2100" w:right="215" w:firstLine="0"/>
        <w:jc w:val="left"/>
        <w:rPr>
          <w:sz w:val="21"/>
        </w:rPr>
      </w:pPr>
      <w:r>
        <w:rPr>
          <w:spacing w:val="-5"/>
          <w:sz w:val="21"/>
        </w:rPr>
        <w:t>在保障起始日或复效日之后，被保险人因治疗必需而实施器官移植，并</w:t>
      </w:r>
      <w:r>
        <w:rPr>
          <w:spacing w:val="-4"/>
          <w:sz w:val="21"/>
        </w:rPr>
        <w:t>且因器官移植而感染人类免疫缺陷病毒；</w:t>
      </w:r>
    </w:p>
    <w:p>
      <w:pPr>
        <w:pStyle w:val="ListParagraph"/>
        <w:numPr>
          <w:ilvl w:val="0"/>
          <w:numId w:val="12"/>
        </w:numPr>
        <w:tabs>
          <w:tab w:pos="2716" w:val="left" w:leader="none"/>
        </w:tabs>
        <w:spacing w:line="240" w:lineRule="auto" w:before="22" w:after="0"/>
        <w:ind w:left="2715" w:right="0" w:hanging="615"/>
        <w:jc w:val="left"/>
        <w:rPr>
          <w:sz w:val="21"/>
        </w:rPr>
      </w:pPr>
      <w:r>
        <w:rPr>
          <w:spacing w:val="-4"/>
          <w:sz w:val="21"/>
        </w:rPr>
        <w:t>提供器官移植治疗的器官移植中心或医院出具该项器官移植感染，属于</w:t>
      </w:r>
    </w:p>
    <w:p>
      <w:pPr>
        <w:spacing w:after="0" w:line="240" w:lineRule="auto"/>
        <w:jc w:val="left"/>
        <w:rPr>
          <w:sz w:val="21"/>
        </w:rPr>
        <w:sectPr>
          <w:pgSz w:w="11910" w:h="16840"/>
          <w:pgMar w:top="1080" w:bottom="280" w:left="1680" w:right="800"/>
        </w:sectPr>
      </w:pPr>
    </w:p>
    <w:p>
      <w:pPr>
        <w:pStyle w:val="BodyText"/>
        <w:spacing w:before="22"/>
      </w:pPr>
      <w:r>
        <w:rPr/>
        <w:t>医疗责任事故的报告，或者法院终审裁定为医疗责任并且不准上诉；</w:t>
      </w:r>
    </w:p>
    <w:p>
      <w:pPr>
        <w:pStyle w:val="ListParagraph"/>
        <w:numPr>
          <w:ilvl w:val="0"/>
          <w:numId w:val="12"/>
        </w:numPr>
        <w:tabs>
          <w:tab w:pos="2733" w:val="left" w:leader="none"/>
        </w:tabs>
        <w:spacing w:line="240" w:lineRule="auto" w:before="37" w:after="0"/>
        <w:ind w:left="2732" w:right="0" w:hanging="632"/>
        <w:jc w:val="left"/>
        <w:rPr>
          <w:sz w:val="21"/>
        </w:rPr>
      </w:pPr>
      <w:r>
        <w:rPr>
          <w:spacing w:val="-3"/>
          <w:sz w:val="21"/>
        </w:rPr>
        <w:t>提供器官移植治疗的器官移植中心或医院必须拥有合法经营执照；</w:t>
      </w:r>
    </w:p>
    <w:p>
      <w:pPr>
        <w:pStyle w:val="BodyText"/>
        <w:spacing w:line="256" w:lineRule="auto" w:before="20"/>
        <w:ind w:right="178"/>
      </w:pPr>
      <w:r>
        <w:rPr>
          <w:spacing w:val="-7"/>
        </w:rPr>
        <w:t>任何因其他传播方式</w:t>
      </w:r>
      <w:r>
        <w:rPr>
          <w:spacing w:val="-3"/>
        </w:rPr>
        <w:t>（</w:t>
      </w:r>
      <w:r>
        <w:rPr>
          <w:spacing w:val="-7"/>
        </w:rPr>
        <w:t>包括：性传播或静脉注射毒品</w:t>
      </w:r>
      <w:r>
        <w:rPr>
          <w:spacing w:val="-34"/>
        </w:rPr>
        <w:t>）</w:t>
      </w:r>
      <w:r>
        <w:rPr>
          <w:spacing w:val="-11"/>
        </w:rPr>
        <w:t>导致的 </w:t>
      </w:r>
      <w:r>
        <w:rPr>
          <w:rFonts w:ascii="Times New Roman" w:eastAsia="Times New Roman"/>
        </w:rPr>
        <w:t>HIV </w:t>
      </w:r>
      <w:r>
        <w:rPr>
          <w:spacing w:val="-3"/>
        </w:rPr>
        <w:t>感染不在保障范围内。</w:t>
      </w:r>
    </w:p>
    <w:p>
      <w:pPr>
        <w:pStyle w:val="BodyText"/>
        <w:spacing w:line="256" w:lineRule="auto" w:before="22"/>
        <w:ind w:right="173"/>
      </w:pPr>
      <w:r>
        <w:rPr/>
        <w:t>在任何治愈艾滋病（</w:t>
      </w:r>
      <w:r>
        <w:rPr>
          <w:rFonts w:ascii="Times New Roman" w:eastAsia="Times New Roman"/>
        </w:rPr>
        <w:t>AIDS</w:t>
      </w:r>
      <w:r>
        <w:rPr/>
        <w:t>）或阻止 </w:t>
      </w:r>
      <w:r>
        <w:rPr>
          <w:rFonts w:ascii="Times New Roman" w:eastAsia="Times New Roman"/>
        </w:rPr>
        <w:t>HIV </w:t>
      </w:r>
      <w:r>
        <w:rPr/>
        <w:t>病毒作用的疗法被发现以后，或能防止 </w:t>
      </w:r>
      <w:r>
        <w:rPr>
          <w:rFonts w:ascii="Times New Roman" w:eastAsia="Times New Roman"/>
        </w:rPr>
        <w:t>AIDS  </w:t>
      </w:r>
      <w:r>
        <w:rPr/>
        <w:t>发生的医疗方法被研究出来以后，本保障将不再予以赔付。</w:t>
      </w:r>
    </w:p>
    <w:p>
      <w:pPr>
        <w:pStyle w:val="BodyText"/>
        <w:spacing w:line="264" w:lineRule="auto" w:before="5"/>
        <w:ind w:right="176"/>
        <w:jc w:val="both"/>
      </w:pPr>
      <w:r>
        <w:rPr>
          <w:spacing w:val="-7"/>
        </w:rPr>
        <w:t>任何因其他传播方式</w:t>
      </w:r>
      <w:r>
        <w:rPr>
          <w:spacing w:val="-3"/>
        </w:rPr>
        <w:t>（</w:t>
      </w:r>
      <w:r>
        <w:rPr>
          <w:spacing w:val="-7"/>
        </w:rPr>
        <w:t>包括：性传播或静脉注射毒品</w:t>
      </w:r>
      <w:r>
        <w:rPr>
          <w:spacing w:val="-34"/>
        </w:rPr>
        <w:t>）</w:t>
      </w:r>
      <w:r>
        <w:rPr>
          <w:spacing w:val="-11"/>
        </w:rPr>
        <w:t>导致的 </w:t>
      </w:r>
      <w:r>
        <w:rPr>
          <w:rFonts w:ascii="Times New Roman" w:eastAsia="Times New Roman"/>
        </w:rPr>
        <w:t>HIV </w:t>
      </w:r>
      <w:r>
        <w:rPr>
          <w:spacing w:val="-3"/>
        </w:rPr>
        <w:t>感染不在本</w:t>
      </w:r>
      <w:r>
        <w:rPr>
          <w:spacing w:val="-8"/>
        </w:rPr>
        <w:t>合同保障范围内。保险公司必须拥有获得使用被保险人的所有血液样本的权利</w:t>
      </w:r>
      <w:r>
        <w:rPr>
          <w:spacing w:val="-5"/>
        </w:rPr>
        <w:t>和能够对这些样本进行独立检验的权利。</w:t>
      </w:r>
    </w:p>
    <w:p>
      <w:pPr>
        <w:pStyle w:val="BodyText"/>
        <w:spacing w:before="0"/>
        <w:ind w:left="0"/>
        <w:rPr>
          <w:sz w:val="25"/>
        </w:rPr>
      </w:pPr>
    </w:p>
    <w:p>
      <w:pPr>
        <w:pStyle w:val="Heading2"/>
        <w:spacing w:before="1"/>
      </w:pPr>
      <w:r>
        <w:rPr/>
        <w:t>（八十三）肌萎缩性（脊髓）侧索硬化症</w:t>
      </w:r>
    </w:p>
    <w:p>
      <w:pPr>
        <w:pStyle w:val="BodyText"/>
        <w:spacing w:line="273" w:lineRule="auto"/>
        <w:ind w:right="140"/>
        <w:jc w:val="both"/>
      </w:pPr>
      <w:r>
        <w:rPr>
          <w:spacing w:val="-3"/>
        </w:rPr>
        <w:t>是指持续的神经变性累及脊髓神经及脑干运动神经元，出现肌肉无力、挛缩、</w:t>
      </w:r>
      <w:r>
        <w:rPr>
          <w:spacing w:val="-6"/>
        </w:rPr>
        <w:t>肌束颤动及萎缩症状和体征。须经神经专科医师做出明确诊断，且疾病进行性</w:t>
      </w:r>
      <w:r>
        <w:rPr>
          <w:spacing w:val="-4"/>
        </w:rPr>
        <w:t>发展已导致不可逆转的永久性神经系统功能障碍。</w:t>
      </w:r>
    </w:p>
    <w:p>
      <w:pPr>
        <w:pStyle w:val="BodyText"/>
        <w:spacing w:before="7"/>
        <w:jc w:val="both"/>
      </w:pPr>
      <w:r>
        <w:rPr/>
        <w:t>永久性神经系统功能障碍是指以下六项条件中的一项或一项以上：</w:t>
      </w:r>
    </w:p>
    <w:p>
      <w:pPr>
        <w:pStyle w:val="BodyText"/>
        <w:spacing w:before="36"/>
        <w:jc w:val="both"/>
      </w:pPr>
      <w:r>
        <w:rPr/>
        <w:t>（</w:t>
      </w:r>
      <w:r>
        <w:rPr>
          <w:rFonts w:ascii="Times New Roman" w:eastAsia="Times New Roman"/>
        </w:rPr>
        <w:t>1</w:t>
      </w:r>
      <w:r>
        <w:rPr/>
        <w:t>）一上肢或双上肢手腕以上部分的完全及永久瘫痪；</w:t>
      </w:r>
    </w:p>
    <w:p>
      <w:pPr>
        <w:pStyle w:val="BodyText"/>
        <w:spacing w:before="20"/>
        <w:jc w:val="both"/>
      </w:pPr>
      <w:r>
        <w:rPr/>
        <w:t>（</w:t>
      </w:r>
      <w:r>
        <w:rPr>
          <w:rFonts w:ascii="Times New Roman" w:eastAsia="Times New Roman"/>
        </w:rPr>
        <w:t>2</w:t>
      </w:r>
      <w:r>
        <w:rPr/>
        <w:t>）一下肢或双下肢足踝以上部分的完全及永久瘫痪；</w:t>
      </w:r>
    </w:p>
    <w:p>
      <w:pPr>
        <w:pStyle w:val="BodyText"/>
        <w:spacing w:before="20"/>
        <w:jc w:val="both"/>
      </w:pPr>
      <w:r>
        <w:rPr/>
        <w:t>（</w:t>
      </w:r>
      <w:r>
        <w:rPr>
          <w:rFonts w:ascii="Times New Roman" w:eastAsia="Times New Roman"/>
        </w:rPr>
        <w:t>3</w:t>
      </w:r>
      <w:r>
        <w:rPr/>
        <w:t>）四肢机能完全及永久丧失；</w:t>
      </w:r>
    </w:p>
    <w:p>
      <w:pPr>
        <w:pStyle w:val="BodyText"/>
        <w:spacing w:before="20"/>
        <w:jc w:val="both"/>
      </w:pPr>
      <w:r>
        <w:rPr/>
        <w:t>（</w:t>
      </w:r>
      <w:r>
        <w:rPr>
          <w:rFonts w:ascii="Times New Roman" w:eastAsia="Times New Roman"/>
        </w:rPr>
        <w:t>4</w:t>
      </w:r>
      <w:r>
        <w:rPr/>
        <w:t>）完全及永久丧失语言能力；</w:t>
      </w:r>
    </w:p>
    <w:p>
      <w:pPr>
        <w:pStyle w:val="BodyText"/>
        <w:spacing w:before="20"/>
        <w:jc w:val="both"/>
      </w:pPr>
      <w:r>
        <w:rPr>
          <w:w w:val="100"/>
        </w:rPr>
        <w:t>（</w:t>
      </w:r>
      <w:r>
        <w:rPr>
          <w:rFonts w:ascii="Times New Roman" w:eastAsia="Times New Roman"/>
          <w:w w:val="100"/>
        </w:rPr>
        <w:t>5</w:t>
      </w:r>
      <w:r>
        <w:rPr>
          <w:spacing w:val="-3"/>
          <w:w w:val="100"/>
        </w:rPr>
        <w:t>）完全及永久丧失吞咽能力（吞咽困难</w:t>
      </w:r>
      <w:r>
        <w:rPr>
          <w:spacing w:val="-106"/>
          <w:w w:val="100"/>
        </w:rPr>
        <w:t>）</w:t>
      </w:r>
      <w:r>
        <w:rPr>
          <w:spacing w:val="-3"/>
          <w:w w:val="100"/>
        </w:rPr>
        <w:t>，必须永久使用喂饲管；</w:t>
      </w:r>
    </w:p>
    <w:p>
      <w:pPr>
        <w:pStyle w:val="BodyText"/>
        <w:spacing w:line="264" w:lineRule="auto" w:before="20"/>
        <w:ind w:right="176"/>
        <w:jc w:val="both"/>
      </w:pPr>
      <w:r>
        <w:rPr/>
        <w:t>（</w:t>
      </w:r>
      <w:r>
        <w:rPr>
          <w:rFonts w:ascii="Times New Roman" w:eastAsia="Times New Roman"/>
        </w:rPr>
        <w:t>6</w:t>
      </w:r>
      <w:r>
        <w:rPr/>
        <w:t>）无法独立进行六项日常生活活动即穿衣、移动、行动、卫生、进食、洗</w:t>
      </w:r>
      <w:r>
        <w:rPr>
          <w:spacing w:val="-7"/>
        </w:rPr>
        <w:t>澡中三项或三项以上，且上述日常生活活动经过三个月的持续治疗后仍无法完成。</w:t>
      </w:r>
    </w:p>
    <w:p>
      <w:pPr>
        <w:pStyle w:val="BodyText"/>
        <w:spacing w:before="0"/>
        <w:ind w:left="0"/>
        <w:rPr>
          <w:sz w:val="25"/>
        </w:rPr>
      </w:pPr>
    </w:p>
    <w:p>
      <w:pPr>
        <w:pStyle w:val="Heading2"/>
      </w:pPr>
      <w:r>
        <w:rPr/>
        <w:t>（八十四）湿性年龄相关性黄斑变性</w:t>
      </w:r>
    </w:p>
    <w:p>
      <w:pPr>
        <w:pStyle w:val="BodyText"/>
        <w:spacing w:line="266" w:lineRule="auto" w:before="36"/>
        <w:ind w:right="116"/>
        <w:jc w:val="both"/>
      </w:pPr>
      <w:r>
        <w:rPr>
          <w:spacing w:val="-6"/>
        </w:rPr>
        <w:t>又称为新生血管性年龄相关性黄斑变性或“渗出性”年龄相关性黄斑变性，发</w:t>
      </w:r>
      <w:r>
        <w:rPr>
          <w:spacing w:val="-4"/>
        </w:rPr>
        <w:t>生脉络膜新生血管</w:t>
      </w:r>
      <w:r>
        <w:rPr/>
        <w:t>（</w:t>
      </w:r>
      <w:r>
        <w:rPr>
          <w:rFonts w:ascii="Times New Roman" w:hAnsi="Times New Roman" w:eastAsia="Times New Roman"/>
        </w:rPr>
        <w:t>CNV</w:t>
      </w:r>
      <w:r>
        <w:rPr/>
        <w:t>）</w:t>
      </w:r>
      <w:r>
        <w:rPr>
          <w:spacing w:val="-3"/>
        </w:rPr>
        <w:t>异常生长穿透玻璃膜进入视网膜，新生血管渗漏， </w:t>
      </w:r>
      <w:r>
        <w:rPr>
          <w:spacing w:val="-7"/>
        </w:rPr>
        <w:t>渗出、出血及已经出现瘢痕组织。该病必须由荧光素眼底血管造影检查提示黄</w:t>
      </w:r>
      <w:r>
        <w:rPr>
          <w:spacing w:val="-8"/>
        </w:rPr>
        <w:t>斑区新生血管及瘢痕组织形成，并且必须由医院的眼科专科医生确诊为湿性年</w:t>
      </w:r>
      <w:r>
        <w:rPr>
          <w:spacing w:val="-11"/>
        </w:rPr>
        <w:t>龄相关性黄斑变性。被保险人申请理赔时须提供近 </w:t>
      </w:r>
      <w:r>
        <w:rPr>
          <w:rFonts w:ascii="Times New Roman" w:hAnsi="Times New Roman" w:eastAsia="Times New Roman"/>
        </w:rPr>
        <w:t>3 </w:t>
      </w:r>
      <w:r>
        <w:rPr>
          <w:spacing w:val="-3"/>
        </w:rPr>
        <w:t>个月内视力改变显示病情恶化的相关检查报告、诊断证明及病历报告。</w:t>
      </w:r>
    </w:p>
    <w:p>
      <w:pPr>
        <w:pStyle w:val="BodyText"/>
        <w:spacing w:line="256" w:lineRule="auto" w:before="13"/>
        <w:ind w:right="178"/>
      </w:pPr>
      <w:r>
        <w:rPr/>
        <w:t>（</w:t>
      </w:r>
      <w:r>
        <w:rPr>
          <w:rFonts w:ascii="Times New Roman" w:eastAsia="Times New Roman"/>
        </w:rPr>
        <w:t>1</w:t>
      </w:r>
      <w:r>
        <w:rPr/>
        <w:t>）进行性多灶性白质脑病：是一种亚急性脱髓鞘性脑病，常常发现于免疫缺陷的病人。必须根据脑组织活检确诊。</w:t>
      </w:r>
    </w:p>
    <w:p>
      <w:pPr>
        <w:pStyle w:val="BodyText"/>
        <w:spacing w:line="256" w:lineRule="auto" w:before="22"/>
        <w:ind w:right="175"/>
      </w:pPr>
      <w:r>
        <w:rPr>
          <w:spacing w:val="-10"/>
        </w:rPr>
        <w:t>（</w:t>
      </w:r>
      <w:r>
        <w:rPr>
          <w:rFonts w:ascii="Times New Roman" w:eastAsia="Times New Roman"/>
          <w:spacing w:val="-10"/>
        </w:rPr>
        <w:t>2</w:t>
      </w:r>
      <w:r>
        <w:rPr>
          <w:spacing w:val="-10"/>
        </w:rPr>
        <w:t>）</w:t>
      </w:r>
      <w:r>
        <w:rPr>
          <w:spacing w:val="-11"/>
        </w:rPr>
        <w:t>范可尼综合征：也称 </w:t>
      </w:r>
      <w:r>
        <w:rPr>
          <w:rFonts w:ascii="Times New Roman" w:eastAsia="Times New Roman"/>
        </w:rPr>
        <w:t>Fanconi </w:t>
      </w:r>
      <w:r>
        <w:rPr>
          <w:spacing w:val="-7"/>
        </w:rPr>
        <w:t>综合征，指近端肾小管的功能异常引起的一</w:t>
      </w:r>
      <w:r>
        <w:rPr>
          <w:spacing w:val="-5"/>
        </w:rPr>
        <w:t>组症候群。须经专科医生诊断，且须满足下列至少三项条件：</w:t>
      </w:r>
    </w:p>
    <w:p>
      <w:pPr>
        <w:pStyle w:val="BodyText"/>
        <w:spacing w:before="21"/>
      </w:pPr>
      <w:r>
        <w:rPr/>
        <w:t>（</w:t>
      </w:r>
      <w:r>
        <w:rPr>
          <w:rFonts w:ascii="Times New Roman" w:eastAsia="Times New Roman"/>
        </w:rPr>
        <w:t>1</w:t>
      </w:r>
      <w:r>
        <w:rPr/>
        <w:t>）尿液检查出现肾性糖尿、全氨基酸糖尿或磷酸盐尿；</w:t>
      </w:r>
    </w:p>
    <w:p>
      <w:pPr>
        <w:pStyle w:val="BodyText"/>
        <w:spacing w:before="20"/>
      </w:pPr>
      <w:r>
        <w:rPr/>
        <w:t>（</w:t>
      </w:r>
      <w:r>
        <w:rPr>
          <w:rFonts w:ascii="Times New Roman" w:eastAsia="Times New Roman"/>
        </w:rPr>
        <w:t>2</w:t>
      </w:r>
      <w:r>
        <w:rPr/>
        <w:t>）血液检查出现低磷血症、低尿酸血症或近端肾小管酸中毒；</w:t>
      </w:r>
    </w:p>
    <w:p>
      <w:pPr>
        <w:pStyle w:val="BodyText"/>
        <w:spacing w:before="20"/>
      </w:pPr>
      <w:r>
        <w:rPr/>
        <w:t>（</w:t>
      </w:r>
      <w:r>
        <w:rPr>
          <w:rFonts w:ascii="Times New Roman" w:eastAsia="Times New Roman"/>
        </w:rPr>
        <w:t>3</w:t>
      </w:r>
      <w:r>
        <w:rPr/>
        <w:t>）出现骨质疏松、骨骼畸形或尿路结石。</w:t>
      </w:r>
    </w:p>
    <w:p>
      <w:pPr>
        <w:pStyle w:val="BodyText"/>
        <w:spacing w:line="256" w:lineRule="auto" w:before="20"/>
        <w:ind w:right="180"/>
      </w:pPr>
      <w:r>
        <w:rPr/>
        <w:t>（</w:t>
      </w:r>
      <w:r>
        <w:rPr>
          <w:rFonts w:ascii="Times New Roman" w:eastAsia="Times New Roman"/>
        </w:rPr>
        <w:t>4</w:t>
      </w:r>
      <w:r>
        <w:rPr/>
        <w:t>）通过骨髓片、白细胞、直肠黏膜中的结晶分析或裂隙灯检查角膜有胱氨酸结晶。</w:t>
      </w:r>
    </w:p>
    <w:p>
      <w:pPr>
        <w:pStyle w:val="BodyText"/>
        <w:spacing w:before="22"/>
      </w:pPr>
      <w:r>
        <w:rPr/>
        <w:t>保险人在三周岁之前罹患该疾病，本公司不承担保险责任。</w:t>
      </w:r>
    </w:p>
    <w:p>
      <w:pPr>
        <w:pStyle w:val="BodyText"/>
        <w:spacing w:before="9"/>
        <w:ind w:left="0"/>
        <w:rPr>
          <w:sz w:val="26"/>
        </w:rPr>
      </w:pPr>
    </w:p>
    <w:p>
      <w:pPr>
        <w:pStyle w:val="Heading2"/>
      </w:pPr>
      <w:r>
        <w:rPr/>
        <w:t>（八十五）进行性多灶性白质脑病</w:t>
      </w:r>
    </w:p>
    <w:p>
      <w:pPr>
        <w:pStyle w:val="BodyText"/>
        <w:spacing w:line="273" w:lineRule="auto"/>
        <w:ind w:right="148"/>
      </w:pPr>
      <w:r>
        <w:rPr/>
        <w:t>是一种亚急性脱髓鞘性脑病，常常发现于免疫缺陷的病人。必须根据脑组织活检确诊。</w:t>
      </w:r>
    </w:p>
    <w:p>
      <w:pPr>
        <w:spacing w:after="0" w:line="273" w:lineRule="auto"/>
        <w:sectPr>
          <w:pgSz w:w="11910" w:h="16840"/>
          <w:pgMar w:top="1080" w:bottom="280" w:left="1680" w:right="840"/>
        </w:sectPr>
      </w:pPr>
    </w:p>
    <w:p>
      <w:pPr>
        <w:pStyle w:val="Heading2"/>
        <w:spacing w:before="22"/>
      </w:pPr>
      <w:r>
        <w:rPr/>
        <w:t>（八十六）范可尼综合征</w:t>
      </w:r>
    </w:p>
    <w:p>
      <w:pPr>
        <w:pStyle w:val="BodyText"/>
        <w:spacing w:line="256" w:lineRule="auto"/>
        <w:ind w:right="165"/>
      </w:pPr>
      <w:r>
        <w:rPr/>
        <w:t>也称 </w:t>
      </w:r>
      <w:r>
        <w:rPr>
          <w:rFonts w:ascii="Times New Roman" w:eastAsia="Times New Roman"/>
        </w:rPr>
        <w:t>Fanconi </w:t>
      </w:r>
      <w:r>
        <w:rPr/>
        <w:t>综合征，指近端肾小管的功能异常引起的一组症候群。须经专科医生诊断，且须满足下列至少三项条件：</w:t>
      </w:r>
    </w:p>
    <w:p>
      <w:pPr>
        <w:pStyle w:val="BodyText"/>
        <w:spacing w:before="22"/>
      </w:pPr>
      <w:r>
        <w:rPr/>
        <w:t>（</w:t>
      </w:r>
      <w:r>
        <w:rPr>
          <w:rFonts w:ascii="Times New Roman" w:eastAsia="Times New Roman"/>
        </w:rPr>
        <w:t>1</w:t>
      </w:r>
      <w:r>
        <w:rPr/>
        <w:t>）尿液检查出现肾性糖尿、全氨基酸糖尿或磷酸盐尿；</w:t>
      </w:r>
    </w:p>
    <w:p>
      <w:pPr>
        <w:pStyle w:val="BodyText"/>
        <w:spacing w:before="21"/>
      </w:pPr>
      <w:r>
        <w:rPr/>
        <w:t>（</w:t>
      </w:r>
      <w:r>
        <w:rPr>
          <w:rFonts w:ascii="Times New Roman" w:eastAsia="Times New Roman"/>
        </w:rPr>
        <w:t>2</w:t>
      </w:r>
      <w:r>
        <w:rPr/>
        <w:t>）血液检查出现低磷血症、低尿酸血症或近端肾小管酸中毒；</w:t>
      </w:r>
    </w:p>
    <w:p>
      <w:pPr>
        <w:pStyle w:val="BodyText"/>
        <w:spacing w:before="21"/>
      </w:pPr>
      <w:r>
        <w:rPr/>
        <w:t>（</w:t>
      </w:r>
      <w:r>
        <w:rPr>
          <w:rFonts w:ascii="Times New Roman" w:eastAsia="Times New Roman"/>
        </w:rPr>
        <w:t>3</w:t>
      </w:r>
      <w:r>
        <w:rPr/>
        <w:t>）出现骨质疏松、骨骼畸形或尿路结石。</w:t>
      </w:r>
    </w:p>
    <w:p>
      <w:pPr>
        <w:pStyle w:val="BodyText"/>
        <w:spacing w:line="256" w:lineRule="auto" w:before="21"/>
        <w:ind w:right="220"/>
      </w:pPr>
      <w:r>
        <w:rPr/>
        <w:t>（</w:t>
      </w:r>
      <w:r>
        <w:rPr>
          <w:rFonts w:ascii="Times New Roman" w:eastAsia="Times New Roman"/>
        </w:rPr>
        <w:t>4</w:t>
      </w:r>
      <w:r>
        <w:rPr/>
        <w:t>）通过骨髓片、白细胞、直肠黏膜中的结晶分析或裂隙灯检查角膜有胱氨酸结晶。</w:t>
      </w:r>
    </w:p>
    <w:p>
      <w:pPr>
        <w:pStyle w:val="BodyText"/>
        <w:spacing w:before="22"/>
      </w:pPr>
      <w:r>
        <w:rPr/>
        <w:t>保险人在三周岁之前罹患该疾病，本公司不承担保险责任。</w:t>
      </w:r>
    </w:p>
    <w:p>
      <w:pPr>
        <w:pStyle w:val="BodyText"/>
        <w:spacing w:before="8"/>
        <w:ind w:left="0"/>
        <w:rPr>
          <w:sz w:val="26"/>
        </w:rPr>
      </w:pPr>
    </w:p>
    <w:p>
      <w:pPr>
        <w:pStyle w:val="Heading2"/>
        <w:spacing w:before="1"/>
      </w:pPr>
      <w:r>
        <w:rPr/>
        <w:t>（八十七）肾上腺脑白质营养不良</w:t>
      </w:r>
    </w:p>
    <w:p>
      <w:pPr>
        <w:pStyle w:val="BodyText"/>
        <w:spacing w:line="273" w:lineRule="auto"/>
        <w:ind w:right="216"/>
        <w:jc w:val="both"/>
      </w:pPr>
      <w:r>
        <w:rPr>
          <w:spacing w:val="-6"/>
        </w:rPr>
        <w:t>指一种最常见的过氧化物酶体病，主要累及肾上腺和脑白质，主要表现为进行性的精神运动障碍，视力及听力下降和</w:t>
      </w:r>
      <w:r>
        <w:rPr>
          <w:spacing w:val="-3"/>
        </w:rPr>
        <w:t>（</w:t>
      </w:r>
      <w:r>
        <w:rPr/>
        <w:t>或</w:t>
      </w:r>
      <w:r>
        <w:rPr>
          <w:spacing w:val="-10"/>
        </w:rPr>
        <w:t>）</w:t>
      </w:r>
      <w:r>
        <w:rPr>
          <w:spacing w:val="-4"/>
        </w:rPr>
        <w:t>肾上腺皮质功能低下等。须经专</w:t>
      </w:r>
      <w:r>
        <w:rPr>
          <w:spacing w:val="-7"/>
        </w:rPr>
        <w:t>科医生诊断，且已经造成自主生活能力完全丧失，无法独立完成六项基本日常生活活动中的三项或三项以上，持续至少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line="264" w:lineRule="exact" w:before="0"/>
      </w:pPr>
      <w:r>
        <w:rPr/>
        <w:t>保险人在三周岁之前罹患该疾病，本公司不承担保险责任。</w:t>
      </w:r>
    </w:p>
    <w:p>
      <w:pPr>
        <w:pStyle w:val="BodyText"/>
        <w:spacing w:before="9"/>
        <w:ind w:left="0"/>
        <w:rPr>
          <w:sz w:val="26"/>
        </w:rPr>
      </w:pPr>
    </w:p>
    <w:p>
      <w:pPr>
        <w:pStyle w:val="Heading2"/>
      </w:pPr>
      <w:r>
        <w:rPr/>
        <w:t>（八十八）严重面部烧伤</w:t>
      </w:r>
    </w:p>
    <w:p>
      <w:pPr>
        <w:pStyle w:val="BodyText"/>
      </w:pPr>
      <w:r>
        <w:rPr/>
        <w:t>指烧伤程度为Ⅲ度，且Ⅲ度烧伤的面积达到面部表面积的 </w:t>
      </w:r>
      <w:r>
        <w:rPr>
          <w:rFonts w:ascii="Times New Roman" w:hAnsi="Times New Roman" w:eastAsia="Times New Roman"/>
        </w:rPr>
        <w:t>80</w:t>
      </w:r>
      <w:r>
        <w:rPr/>
        <w:t>％或 </w:t>
      </w:r>
      <w:r>
        <w:rPr>
          <w:rFonts w:ascii="Times New Roman" w:hAnsi="Times New Roman" w:eastAsia="Times New Roman"/>
        </w:rPr>
        <w:t>80</w:t>
      </w:r>
      <w:r>
        <w:rPr/>
        <w:t>％以上。</w:t>
      </w:r>
    </w:p>
    <w:p>
      <w:pPr>
        <w:pStyle w:val="BodyText"/>
        <w:spacing w:before="6"/>
        <w:ind w:left="0"/>
        <w:rPr>
          <w:sz w:val="25"/>
        </w:rPr>
      </w:pPr>
    </w:p>
    <w:p>
      <w:pPr>
        <w:pStyle w:val="Heading2"/>
      </w:pPr>
      <w:r>
        <w:rPr/>
        <w:t>（八十九）永久性脑脊液分流术</w:t>
      </w:r>
    </w:p>
    <w:p>
      <w:pPr>
        <w:pStyle w:val="BodyText"/>
        <w:spacing w:line="273" w:lineRule="auto"/>
        <w:ind w:right="216"/>
      </w:pPr>
      <w:r>
        <w:rPr>
          <w:spacing w:val="-6"/>
        </w:rPr>
        <w:t>指因先天性脑积水</w:t>
      </w:r>
      <w:r>
        <w:rPr/>
        <w:t>（</w:t>
      </w:r>
      <w:r>
        <w:rPr>
          <w:spacing w:val="-4"/>
        </w:rPr>
        <w:t>即先天性的脑脊液循环或吸收功能障碍，使脑脊液大量积</w:t>
      </w:r>
      <w:r>
        <w:rPr>
          <w:spacing w:val="-3"/>
          <w:w w:val="100"/>
        </w:rPr>
        <w:t>滞而导致脑室或蛛网膜下腔扩大</w:t>
      </w:r>
      <w:r>
        <w:rPr>
          <w:spacing w:val="-106"/>
          <w:w w:val="100"/>
        </w:rPr>
        <w:t>）</w:t>
      </w:r>
      <w:r>
        <w:rPr>
          <w:spacing w:val="-3"/>
          <w:w w:val="100"/>
        </w:rPr>
        <w:t>，而接受的永久性脑脊液分流手术。</w:t>
      </w:r>
    </w:p>
    <w:p>
      <w:pPr>
        <w:pStyle w:val="BodyText"/>
        <w:spacing w:before="5"/>
        <w:ind w:left="0"/>
        <w:rPr>
          <w:sz w:val="24"/>
        </w:rPr>
      </w:pPr>
    </w:p>
    <w:p>
      <w:pPr>
        <w:pStyle w:val="Heading2"/>
      </w:pPr>
      <w:r>
        <w:rPr/>
        <w:t>（九十）亚历ft大病</w:t>
      </w:r>
    </w:p>
    <w:p>
      <w:pPr>
        <w:pStyle w:val="BodyText"/>
        <w:spacing w:line="268" w:lineRule="auto" w:before="36"/>
        <w:ind w:right="110"/>
      </w:pPr>
      <w:r>
        <w:rPr/>
        <w:t>亚历ft</w:t>
      </w:r>
      <w:r>
        <w:rPr>
          <w:spacing w:val="-16"/>
        </w:rPr>
        <w:t>大病</w:t>
      </w:r>
      <w:r>
        <w:rPr/>
        <w:t>（</w:t>
      </w:r>
      <w:r>
        <w:rPr>
          <w:rFonts w:ascii="Times New Roman" w:hAnsi="Times New Roman" w:eastAsia="Times New Roman"/>
        </w:rPr>
        <w:t>Alexander’s </w:t>
      </w:r>
      <w:r>
        <w:rPr>
          <w:rFonts w:ascii="Times New Roman" w:hAnsi="Times New Roman" w:eastAsia="Times New Roman"/>
          <w:spacing w:val="-5"/>
        </w:rPr>
        <w:t>Disease</w:t>
      </w:r>
      <w:r>
        <w:rPr>
          <w:spacing w:val="-5"/>
        </w:rPr>
        <w:t>）是一种遗传性中枢神经系统退行性病变，特</w:t>
      </w:r>
      <w:r>
        <w:rPr>
          <w:spacing w:val="-12"/>
        </w:rPr>
        <w:t>点为脑白质营养不良性。临床表现为惊厥发作、智力下降、球麻痹、共济失调、</w:t>
      </w:r>
      <w:r>
        <w:rPr>
          <w:spacing w:val="-6"/>
        </w:rPr>
        <w:t>痉性瘫痪。亚历</w:t>
      </w:r>
      <w:r>
        <w:rPr/>
        <w:t>ft</w:t>
      </w:r>
      <w:r>
        <w:rPr>
          <w:spacing w:val="-3"/>
        </w:rPr>
        <w:t>大病必须被明确诊断，并且造成永久性神经系统功能障碍。</w:t>
      </w:r>
      <w:r>
        <w:rPr>
          <w:spacing w:val="-6"/>
        </w:rPr>
        <w:t>被保险人自主生活能力完全丧失，无法独立完成六项基本日常生活活动中的三</w:t>
      </w:r>
      <w:r>
        <w:rPr>
          <w:spacing w:val="-4"/>
        </w:rPr>
        <w:t>项或三项以上，日常生活必须持续接受他人护理。</w:t>
      </w:r>
    </w:p>
    <w:p>
      <w:pPr>
        <w:pStyle w:val="BodyText"/>
        <w:spacing w:before="11"/>
      </w:pPr>
      <w:r>
        <w:rPr/>
        <w:t>未明确诊断的疑似病例不在本保障范围之内。</w:t>
      </w:r>
    </w:p>
    <w:p>
      <w:pPr>
        <w:pStyle w:val="BodyText"/>
        <w:spacing w:before="8"/>
        <w:ind w:left="0"/>
        <w:rPr>
          <w:sz w:val="26"/>
        </w:rPr>
      </w:pPr>
    </w:p>
    <w:p>
      <w:pPr>
        <w:pStyle w:val="Heading2"/>
      </w:pPr>
      <w:r>
        <w:rPr/>
        <w:t>（九十一）脊髓血管病后遗症</w:t>
      </w:r>
    </w:p>
    <w:p>
      <w:pPr>
        <w:pStyle w:val="BodyText"/>
        <w:spacing w:line="264" w:lineRule="auto"/>
        <w:ind w:right="213"/>
        <w:jc w:val="both"/>
      </w:pPr>
      <w:r>
        <w:rPr>
          <w:spacing w:val="-5"/>
        </w:rPr>
        <w:t>指脊髓血管的突发病变引起脊髓梗塞或脊髓出血，导致永久性不可逆的神经系</w:t>
      </w:r>
      <w:r>
        <w:rPr>
          <w:spacing w:val="-19"/>
        </w:rPr>
        <w:t>统功能损害，表现为截瘫或四肢瘫。神经系统永久性的功能障碍指疾病确诊 </w:t>
      </w:r>
      <w:r>
        <w:rPr>
          <w:rFonts w:ascii="Times New Roman" w:eastAsia="Times New Roman"/>
        </w:rPr>
        <w:t>180 </w:t>
      </w:r>
      <w:r>
        <w:rPr>
          <w:spacing w:val="-3"/>
        </w:rPr>
        <w:t>天后，仍然遗留后遗症并且无法独立完成下列基本日常生活活动之一：</w:t>
      </w:r>
    </w:p>
    <w:p>
      <w:pPr>
        <w:pStyle w:val="BodyText"/>
        <w:spacing w:before="16"/>
      </w:pPr>
      <w:r>
        <w:rPr/>
        <w:t>（</w:t>
      </w:r>
      <w:r>
        <w:rPr>
          <w:rFonts w:ascii="Times New Roman" w:eastAsia="Times New Roman"/>
        </w:rPr>
        <w:t>1</w:t>
      </w:r>
      <w:r>
        <w:rPr/>
        <w:t>）移动：自己从一个房间到另一个房间；</w:t>
      </w:r>
    </w:p>
    <w:p>
      <w:pPr>
        <w:pStyle w:val="BodyText"/>
        <w:spacing w:before="21"/>
      </w:pPr>
      <w:r>
        <w:rPr/>
        <w:t>（</w:t>
      </w:r>
      <w:r>
        <w:rPr>
          <w:rFonts w:ascii="Times New Roman" w:eastAsia="Times New Roman"/>
        </w:rPr>
        <w:t>2</w:t>
      </w:r>
      <w:r>
        <w:rPr/>
        <w:t>）进食：自己从已准备好的碗或碟中取食物放入口中。</w:t>
      </w:r>
    </w:p>
    <w:p>
      <w:pPr>
        <w:pStyle w:val="BodyText"/>
        <w:spacing w:before="5"/>
        <w:ind w:left="0"/>
        <w:rPr>
          <w:sz w:val="25"/>
        </w:rPr>
      </w:pPr>
    </w:p>
    <w:p>
      <w:pPr>
        <w:pStyle w:val="Heading2"/>
      </w:pPr>
      <w:r>
        <w:rPr/>
        <w:t>（九十二）急性肺损伤（ALI）或急性呼吸窘迫综合征（ARDS）</w:t>
      </w:r>
    </w:p>
    <w:p>
      <w:pPr>
        <w:pStyle w:val="BodyText"/>
        <w:spacing w:line="273" w:lineRule="auto" w:before="36"/>
        <w:ind w:right="110"/>
      </w:pPr>
      <w:r>
        <w:rPr>
          <w:spacing w:val="-12"/>
        </w:rPr>
        <w:t>一种表现为无心脏衰竭的肺水肿，为创伤、脓毒血症等临床多种疾病的并发症， </w:t>
      </w:r>
      <w:r>
        <w:rPr>
          <w:spacing w:val="-6"/>
        </w:rPr>
        <w:t>造成多器官衰竭，死亡率高。</w:t>
      </w:r>
    </w:p>
    <w:p>
      <w:pPr>
        <w:pStyle w:val="BodyText"/>
        <w:spacing w:line="273" w:lineRule="auto" w:before="7"/>
        <w:ind w:right="171"/>
      </w:pPr>
      <w:r>
        <w:rPr/>
        <w:t>急性肺损伤或急性呼吸窘迫综合征必须由呼吸系统专科医师诊断，被保险人理赔时年龄在二十五周岁以下，并有所有以下临床证据支持。</w:t>
      </w:r>
    </w:p>
    <w:p>
      <w:pPr>
        <w:pStyle w:val="BodyText"/>
        <w:spacing w:before="7"/>
      </w:pPr>
      <w:r>
        <w:rPr>
          <w:w w:val="100"/>
        </w:rPr>
        <w:t>（</w:t>
      </w:r>
      <w:r>
        <w:rPr>
          <w:rFonts w:ascii="Times New Roman" w:eastAsia="Times New Roman"/>
          <w:w w:val="100"/>
        </w:rPr>
        <w:t>1</w:t>
      </w:r>
      <w:r>
        <w:rPr>
          <w:spacing w:val="-3"/>
          <w:w w:val="100"/>
        </w:rPr>
        <w:t>）急性发作</w:t>
      </w:r>
      <w:r>
        <w:rPr>
          <w:w w:val="100"/>
        </w:rPr>
        <w:t>（</w:t>
      </w:r>
      <w:r>
        <w:rPr>
          <w:spacing w:val="-3"/>
          <w:w w:val="100"/>
        </w:rPr>
        <w:t>原发疾病起病后</w:t>
      </w:r>
      <w:r>
        <w:rPr>
          <w:spacing w:val="-53"/>
        </w:rPr>
        <w:t> </w:t>
      </w:r>
      <w:r>
        <w:rPr>
          <w:rFonts w:ascii="Times New Roman" w:eastAsia="Times New Roman"/>
          <w:w w:val="100"/>
        </w:rPr>
        <w:t>6</w:t>
      </w:r>
      <w:r>
        <w:rPr>
          <w:rFonts w:ascii="Times New Roman" w:eastAsia="Times New Roman"/>
          <w:spacing w:val="-3"/>
        </w:rPr>
        <w:t> </w:t>
      </w:r>
      <w:r>
        <w:rPr>
          <w:w w:val="100"/>
        </w:rPr>
        <w:t>至</w:t>
      </w:r>
      <w:r>
        <w:rPr>
          <w:spacing w:val="-53"/>
        </w:rPr>
        <w:t> </w:t>
      </w:r>
      <w:r>
        <w:rPr>
          <w:rFonts w:ascii="Times New Roman" w:eastAsia="Times New Roman"/>
          <w:w w:val="100"/>
        </w:rPr>
        <w:t>72</w:t>
      </w:r>
      <w:r>
        <w:rPr>
          <w:rFonts w:ascii="Times New Roman" w:eastAsia="Times New Roman"/>
          <w:spacing w:val="-3"/>
        </w:rPr>
        <w:t> </w:t>
      </w:r>
      <w:r>
        <w:rPr>
          <w:w w:val="100"/>
        </w:rPr>
        <w:t>小时</w:t>
      </w:r>
      <w:r>
        <w:rPr>
          <w:spacing w:val="-108"/>
          <w:w w:val="100"/>
        </w:rPr>
        <w:t>）</w:t>
      </w:r>
      <w:r>
        <w:rPr>
          <w:w w:val="100"/>
        </w:rPr>
        <w:t>；</w:t>
      </w:r>
    </w:p>
    <w:p>
      <w:pPr>
        <w:pStyle w:val="BodyText"/>
        <w:spacing w:before="21"/>
      </w:pPr>
      <w:r>
        <w:rPr/>
        <w:t>（</w:t>
      </w:r>
      <w:r>
        <w:rPr>
          <w:rFonts w:ascii="Times New Roman" w:eastAsia="Times New Roman"/>
        </w:rPr>
        <w:t>2</w:t>
      </w:r>
      <w:r>
        <w:rPr/>
        <w:t>）急性发作的临床症状体征，包括呼吸急促、呼吸困难、心动过速、大汗、</w:t>
      </w:r>
    </w:p>
    <w:p>
      <w:pPr>
        <w:spacing w:after="0"/>
        <w:sectPr>
          <w:pgSz w:w="11910" w:h="16840"/>
          <w:pgMar w:top="1080" w:bottom="280" w:left="1680" w:right="800"/>
        </w:sectPr>
      </w:pPr>
    </w:p>
    <w:p>
      <w:pPr>
        <w:pStyle w:val="BodyText"/>
        <w:spacing w:before="22"/>
      </w:pPr>
      <w:r>
        <w:rPr>
          <w:spacing w:val="-3"/>
          <w:w w:val="100"/>
        </w:rPr>
        <w:t>面色苍白及辅助呼吸肌活动加强</w:t>
      </w:r>
      <w:r>
        <w:rPr>
          <w:w w:val="100"/>
        </w:rPr>
        <w:t>（</w:t>
      </w:r>
      <w:r>
        <w:rPr>
          <w:spacing w:val="-3"/>
          <w:w w:val="100"/>
        </w:rPr>
        <w:t>点头呼吸、提肩呼吸</w:t>
      </w:r>
      <w:r>
        <w:rPr>
          <w:spacing w:val="-108"/>
          <w:w w:val="100"/>
        </w:rPr>
        <w:t>）</w:t>
      </w:r>
      <w:r>
        <w:rPr>
          <w:w w:val="100"/>
        </w:rPr>
        <w:t>；</w:t>
      </w:r>
    </w:p>
    <w:p>
      <w:pPr>
        <w:pStyle w:val="BodyText"/>
      </w:pPr>
      <w:r>
        <w:rPr/>
        <w:t>（</w:t>
      </w:r>
      <w:r>
        <w:rPr>
          <w:rFonts w:ascii="Times New Roman" w:eastAsia="Times New Roman"/>
        </w:rPr>
        <w:t>3</w:t>
      </w:r>
      <w:r>
        <w:rPr/>
        <w:t>）双肺浸润影；</w:t>
      </w:r>
    </w:p>
    <w:p>
      <w:pPr>
        <w:pStyle w:val="ListParagraph"/>
        <w:numPr>
          <w:ilvl w:val="0"/>
          <w:numId w:val="12"/>
        </w:numPr>
        <w:tabs>
          <w:tab w:pos="2733" w:val="left" w:leader="none"/>
        </w:tabs>
        <w:spacing w:line="240" w:lineRule="auto" w:before="20" w:after="0"/>
        <w:ind w:left="2732" w:right="0" w:hanging="632"/>
        <w:jc w:val="left"/>
        <w:rPr>
          <w:sz w:val="21"/>
        </w:rPr>
      </w:pPr>
      <w:r>
        <w:rPr>
          <w:rFonts w:ascii="Times New Roman" w:eastAsia="Times New Roman"/>
          <w:sz w:val="21"/>
        </w:rPr>
        <w:t>PaO2/FiO2</w:t>
      </w:r>
      <w:r>
        <w:rPr>
          <w:sz w:val="21"/>
        </w:rPr>
        <w:t>（</w:t>
      </w:r>
      <w:r>
        <w:rPr>
          <w:spacing w:val="-3"/>
          <w:sz w:val="21"/>
        </w:rPr>
        <w:t>动脉血压分压</w:t>
      </w:r>
      <w:r>
        <w:rPr>
          <w:rFonts w:ascii="Times New Roman" w:eastAsia="Times New Roman"/>
          <w:spacing w:val="-4"/>
          <w:sz w:val="21"/>
        </w:rPr>
        <w:t>/</w:t>
      </w:r>
      <w:r>
        <w:rPr>
          <w:spacing w:val="-3"/>
          <w:sz w:val="21"/>
        </w:rPr>
        <w:t>吸入气氧分压</w:t>
      </w:r>
      <w:r>
        <w:rPr>
          <w:sz w:val="21"/>
        </w:rPr>
        <w:t>）</w:t>
      </w:r>
      <w:r>
        <w:rPr>
          <w:spacing w:val="-16"/>
          <w:sz w:val="21"/>
        </w:rPr>
        <w:t>低于 </w:t>
      </w:r>
      <w:r>
        <w:rPr>
          <w:rFonts w:ascii="Times New Roman" w:eastAsia="Times New Roman"/>
          <w:sz w:val="21"/>
        </w:rPr>
        <w:t>200mmHg</w:t>
      </w:r>
      <w:r>
        <w:rPr>
          <w:sz w:val="21"/>
        </w:rPr>
        <w:t>；</w:t>
      </w:r>
    </w:p>
    <w:p>
      <w:pPr>
        <w:pStyle w:val="BodyText"/>
        <w:spacing w:before="20"/>
      </w:pPr>
      <w:r>
        <w:rPr/>
        <w:t>（</w:t>
      </w:r>
      <w:r>
        <w:rPr>
          <w:rFonts w:ascii="Times New Roman" w:eastAsia="Times New Roman"/>
        </w:rPr>
        <w:t>5</w:t>
      </w:r>
      <w:r>
        <w:rPr/>
        <w:t>）肺动脉嵌入压低于 </w:t>
      </w:r>
      <w:r>
        <w:rPr>
          <w:rFonts w:ascii="Times New Roman" w:eastAsia="Times New Roman"/>
        </w:rPr>
        <w:t>18mmHg</w:t>
      </w:r>
      <w:r>
        <w:rPr/>
        <w:t>，</w:t>
      </w:r>
    </w:p>
    <w:p>
      <w:pPr>
        <w:pStyle w:val="BodyText"/>
        <w:spacing w:before="20"/>
      </w:pPr>
      <w:r>
        <w:rPr/>
        <w:t>（</w:t>
      </w:r>
      <w:r>
        <w:rPr>
          <w:rFonts w:ascii="Times New Roman" w:eastAsia="Times New Roman"/>
        </w:rPr>
        <w:t>6</w:t>
      </w:r>
      <w:r>
        <w:rPr/>
        <w:t>）临床无左房高压表现。</w:t>
      </w:r>
    </w:p>
    <w:p>
      <w:pPr>
        <w:pStyle w:val="BodyText"/>
        <w:spacing w:before="5"/>
        <w:ind w:left="0"/>
        <w:rPr>
          <w:sz w:val="25"/>
        </w:rPr>
      </w:pPr>
    </w:p>
    <w:p>
      <w:pPr>
        <w:pStyle w:val="Heading2"/>
      </w:pPr>
      <w:r>
        <w:rPr/>
        <w:t>（九十三）头臂动脉型多发性大动脉炎旁路移植手术</w:t>
      </w:r>
    </w:p>
    <w:p>
      <w:pPr>
        <w:pStyle w:val="BodyText"/>
        <w:spacing w:line="268" w:lineRule="auto" w:before="36"/>
        <w:ind w:right="108"/>
      </w:pPr>
      <w:r>
        <w:rPr>
          <w:spacing w:val="-3"/>
        </w:rPr>
        <w:t>头臂动脉型多发性大动脉炎旁路移植手术：多发性大动脉炎（高安氏动脉炎</w:t>
      </w:r>
      <w:r>
        <w:rPr/>
        <w:t>） </w:t>
      </w:r>
      <w:r>
        <w:rPr>
          <w:spacing w:val="-5"/>
        </w:rPr>
        <w:t>是一种发生在主动脉和其主要分支的慢性炎症性动脉疾病，表现为受累动脉狭</w:t>
      </w:r>
      <w:r>
        <w:rPr>
          <w:spacing w:val="-15"/>
          <w:w w:val="100"/>
        </w:rPr>
        <w:t>窄或闭塞。头臂动脉型多发性大动脉炎是指多发性大动脉炎头臂动脉型</w:t>
      </w:r>
      <w:r>
        <w:rPr>
          <w:w w:val="100"/>
        </w:rPr>
        <w:t>（</w:t>
      </w:r>
      <w:r>
        <w:rPr>
          <w:rFonts w:ascii="Times New Roman" w:eastAsia="Times New Roman"/>
          <w:w w:val="100"/>
        </w:rPr>
        <w:t>I</w:t>
      </w:r>
      <w:r>
        <w:rPr>
          <w:rFonts w:ascii="Times New Roman" w:eastAsia="Times New Roman"/>
        </w:rPr>
        <w:t> </w:t>
      </w:r>
      <w:r>
        <w:rPr>
          <w:w w:val="100"/>
        </w:rPr>
        <w:t>型</w:t>
      </w:r>
      <w:r>
        <w:rPr>
          <w:spacing w:val="-106"/>
          <w:w w:val="100"/>
        </w:rPr>
        <w:t>）</w:t>
      </w:r>
      <w:r>
        <w:rPr>
          <w:w w:val="100"/>
        </w:rPr>
        <w:t>，</w:t>
      </w:r>
      <w:r>
        <w:rPr>
          <w:spacing w:val="-7"/>
        </w:rPr>
        <w:t>又称为无脉症。被保险人被明确诊断为头臂动脉型多发性大动脉炎并且实际接受了经胸部切开进行的无名动脉（头臂干</w:t>
      </w:r>
      <w:r>
        <w:rPr>
          <w:spacing w:val="-104"/>
        </w:rPr>
        <w:t>）</w:t>
      </w:r>
      <w:r>
        <w:rPr/>
        <w:t>、颈总动脉、锁骨下动脉旁路移植手术。</w:t>
      </w:r>
    </w:p>
    <w:p>
      <w:pPr>
        <w:pStyle w:val="BodyText"/>
        <w:spacing w:line="273" w:lineRule="auto" w:before="11"/>
        <w:ind w:right="187"/>
      </w:pPr>
      <w:r>
        <w:rPr/>
        <w:t>非开胸的血管旁路移植手术、因其他病因而进行的旁路移植手术，对其他动脉进行的旁路移植手术，经皮经导管进行的血管内手术不在本保障范围内。</w:t>
      </w:r>
    </w:p>
    <w:p>
      <w:pPr>
        <w:pStyle w:val="BodyText"/>
        <w:spacing w:before="5"/>
        <w:ind w:left="0"/>
        <w:rPr>
          <w:sz w:val="24"/>
        </w:rPr>
      </w:pPr>
    </w:p>
    <w:p>
      <w:pPr>
        <w:pStyle w:val="Heading2"/>
      </w:pPr>
      <w:r>
        <w:rPr/>
        <w:t>（九十四）Brugada 综合征</w:t>
      </w:r>
    </w:p>
    <w:p>
      <w:pPr>
        <w:pStyle w:val="BodyText"/>
        <w:spacing w:line="256" w:lineRule="auto" w:before="36"/>
        <w:ind w:right="213"/>
      </w:pPr>
      <w:r>
        <w:rPr>
          <w:spacing w:val="-8"/>
        </w:rPr>
        <w:t>由心脏科专科医生根据临床症状和典型心电图表现，明确诊断为 </w:t>
      </w:r>
      <w:r>
        <w:rPr>
          <w:rFonts w:ascii="Times New Roman" w:eastAsia="Times New Roman"/>
        </w:rPr>
        <w:t>Brugada </w:t>
      </w:r>
      <w:r>
        <w:rPr/>
        <w:t>综合征。</w:t>
      </w:r>
    </w:p>
    <w:p>
      <w:pPr>
        <w:pStyle w:val="BodyText"/>
        <w:spacing w:before="6"/>
        <w:ind w:left="0"/>
        <w:rPr>
          <w:sz w:val="25"/>
        </w:rPr>
      </w:pPr>
    </w:p>
    <w:p>
      <w:pPr>
        <w:pStyle w:val="Heading2"/>
      </w:pPr>
      <w:r>
        <w:rPr/>
        <w:t>（九十五）神经白塞病</w:t>
      </w:r>
    </w:p>
    <w:p>
      <w:pPr>
        <w:pStyle w:val="BodyText"/>
        <w:spacing w:line="273" w:lineRule="auto" w:before="36"/>
        <w:ind w:right="111"/>
      </w:pPr>
      <w:r>
        <w:rPr>
          <w:spacing w:val="-5"/>
        </w:rPr>
        <w:t>白塞病是一种慢性全身性血管炎症性疾病，主要表现为复发性口腔溃疡、生殖</w:t>
      </w:r>
      <w:r>
        <w:rPr>
          <w:spacing w:val="-13"/>
        </w:rPr>
        <w:t>器溃疡、眼炎及皮肤损害，并可累及大血管、神经系统、消化道、肺、肾等等。</w:t>
      </w:r>
      <w:r>
        <w:rPr>
          <w:spacing w:val="-8"/>
        </w:rPr>
        <w:t>累及神经系统损害的白塞病称为神经白塞病。神经白塞病必须明确诊断，并且</w:t>
      </w:r>
      <w:r>
        <w:rPr>
          <w:spacing w:val="-7"/>
        </w:rPr>
        <w:t>已经造成永久不可逆的神经系统功能损害。永久不可逆的神经系统损害指被保</w:t>
      </w:r>
      <w:r>
        <w:rPr>
          <w:spacing w:val="-12"/>
        </w:rPr>
        <w:t>险人持续 </w:t>
      </w:r>
      <w:r>
        <w:rPr>
          <w:rFonts w:ascii="Times New Roman" w:eastAsia="Times New Roman"/>
        </w:rPr>
        <w:t>180 </w:t>
      </w:r>
      <w:r>
        <w:rPr>
          <w:spacing w:val="-3"/>
        </w:rPr>
        <w:t>天无法独立完成下列基本日常生活活动之一：</w:t>
      </w:r>
    </w:p>
    <w:p>
      <w:pPr>
        <w:pStyle w:val="BodyText"/>
        <w:spacing w:line="279" w:lineRule="exact" w:before="0"/>
      </w:pPr>
      <w:r>
        <w:rPr/>
        <w:t>（</w:t>
      </w:r>
      <w:r>
        <w:rPr>
          <w:rFonts w:ascii="Times New Roman" w:eastAsia="Times New Roman"/>
        </w:rPr>
        <w:t>1</w:t>
      </w:r>
      <w:r>
        <w:rPr/>
        <w:t>）移动：自己从一个房间到另一个房间；</w:t>
      </w:r>
    </w:p>
    <w:p>
      <w:pPr>
        <w:pStyle w:val="BodyText"/>
        <w:spacing w:before="22"/>
      </w:pPr>
      <w:r>
        <w:rPr/>
        <w:t>（</w:t>
      </w:r>
      <w:r>
        <w:rPr>
          <w:rFonts w:ascii="Times New Roman" w:eastAsia="Times New Roman"/>
        </w:rPr>
        <w:t>2</w:t>
      </w:r>
      <w:r>
        <w:rPr/>
        <w:t>）进食：自己从已准备好的碗或碟中取食物放入口中。</w:t>
      </w:r>
    </w:p>
    <w:p>
      <w:pPr>
        <w:pStyle w:val="BodyText"/>
        <w:spacing w:before="6"/>
        <w:ind w:left="0"/>
        <w:rPr>
          <w:sz w:val="25"/>
        </w:rPr>
      </w:pPr>
    </w:p>
    <w:p>
      <w:pPr>
        <w:pStyle w:val="Heading2"/>
      </w:pPr>
      <w:r>
        <w:rPr/>
        <w:t>（九十六）败血症导致的多器官功能障碍综合症</w:t>
      </w:r>
    </w:p>
    <w:p>
      <w:pPr>
        <w:pStyle w:val="BodyText"/>
        <w:spacing w:line="273" w:lineRule="auto"/>
        <w:ind w:right="180"/>
      </w:pPr>
      <w:r>
        <w:rPr/>
        <w:t>多器官功能障碍指败血症导致的并发症，一个或多个器官系统生理功能障碍， 因该疾病住院至少 </w:t>
      </w:r>
      <w:r>
        <w:rPr>
          <w:rFonts w:ascii="Times New Roman" w:eastAsia="Times New Roman"/>
        </w:rPr>
        <w:t>96 </w:t>
      </w:r>
      <w:r>
        <w:rPr/>
        <w:t>小时，并至少满足以下一条标准：</w:t>
      </w:r>
    </w:p>
    <w:p>
      <w:pPr>
        <w:pStyle w:val="BodyText"/>
        <w:spacing w:line="279" w:lineRule="exact" w:before="0"/>
      </w:pPr>
      <w:r>
        <w:rPr/>
        <w:t>（</w:t>
      </w:r>
      <w:r>
        <w:rPr>
          <w:rFonts w:ascii="Times New Roman" w:eastAsia="Times New Roman"/>
        </w:rPr>
        <w:t>1</w:t>
      </w:r>
      <w:r>
        <w:rPr/>
        <w:t>）呼吸衰竭，需要进行气管插管机械通气；</w:t>
      </w:r>
    </w:p>
    <w:p>
      <w:pPr>
        <w:pStyle w:val="BodyText"/>
        <w:spacing w:before="22"/>
      </w:pPr>
      <w:r>
        <w:rPr/>
        <w:t>（</w:t>
      </w:r>
      <w:r>
        <w:rPr>
          <w:rFonts w:ascii="Times New Roman" w:hAnsi="Times New Roman" w:eastAsia="Times New Roman"/>
        </w:rPr>
        <w:t>2</w:t>
      </w:r>
      <w:r>
        <w:rPr/>
        <w:t>）凝血血小板计数</w:t>
      </w:r>
      <w:r>
        <w:rPr>
          <w:rFonts w:ascii="Times New Roman" w:hAnsi="Times New Roman" w:eastAsia="Times New Roman"/>
        </w:rPr>
        <w:t>&lt;50x10³/</w:t>
      </w:r>
      <w:r>
        <w:rPr/>
        <w:t>微升；</w:t>
      </w:r>
    </w:p>
    <w:p>
      <w:pPr>
        <w:pStyle w:val="BodyText"/>
        <w:spacing w:before="21"/>
      </w:pPr>
      <w:r>
        <w:rPr/>
        <w:t>（</w:t>
      </w:r>
      <w:r>
        <w:rPr>
          <w:rFonts w:ascii="Times New Roman" w:hAnsi="Times New Roman" w:eastAsia="Times New Roman"/>
        </w:rPr>
        <w:t>3</w:t>
      </w:r>
      <w:r>
        <w:rPr/>
        <w:t>）肝功能不全，胆红素</w:t>
      </w:r>
      <w:r>
        <w:rPr>
          <w:rFonts w:ascii="Times New Roman" w:hAnsi="Times New Roman" w:eastAsia="Times New Roman"/>
        </w:rPr>
        <w:t>&gt; 6mg/ dl </w:t>
      </w:r>
      <w:r>
        <w:rPr/>
        <w:t>或</w:t>
      </w:r>
      <w:r>
        <w:rPr>
          <w:rFonts w:ascii="Times New Roman" w:hAnsi="Times New Roman" w:eastAsia="Times New Roman"/>
        </w:rPr>
        <w:t>&gt; 102μmol/L</w:t>
      </w:r>
      <w:r>
        <w:rPr/>
        <w:t>；</w:t>
      </w:r>
    </w:p>
    <w:p>
      <w:pPr>
        <w:pStyle w:val="BodyText"/>
        <w:spacing w:before="21"/>
      </w:pPr>
      <w:r>
        <w:rPr/>
        <w:t>（</w:t>
      </w:r>
      <w:r>
        <w:rPr>
          <w:rFonts w:ascii="Times New Roman" w:eastAsia="Times New Roman"/>
        </w:rPr>
        <w:t>4</w:t>
      </w:r>
      <w:r>
        <w:rPr/>
        <w:t>）需要用强心剂；</w:t>
      </w:r>
    </w:p>
    <w:p>
      <w:pPr>
        <w:pStyle w:val="BodyText"/>
        <w:spacing w:before="21"/>
      </w:pPr>
      <w:r>
        <w:rPr/>
        <w:t>（</w:t>
      </w:r>
      <w:r>
        <w:rPr>
          <w:rFonts w:ascii="Times New Roman" w:eastAsia="Times New Roman"/>
        </w:rPr>
        <w:t>5</w:t>
      </w:r>
      <w:r>
        <w:rPr/>
        <w:t>）昏迷格拉斯哥昏迷评分（</w:t>
      </w:r>
      <w:r>
        <w:rPr>
          <w:rFonts w:ascii="Times New Roman" w:eastAsia="Times New Roman"/>
        </w:rPr>
        <w:t>GCS</w:t>
      </w:r>
      <w:r>
        <w:rPr/>
        <w:t>）</w:t>
      </w:r>
      <w:r>
        <w:rPr>
          <w:rFonts w:ascii="Times New Roman" w:eastAsia="Times New Roman"/>
        </w:rPr>
        <w:t>&lt;= 9</w:t>
      </w:r>
      <w:r>
        <w:rPr/>
        <w:t>；</w:t>
      </w:r>
    </w:p>
    <w:p>
      <w:pPr>
        <w:pStyle w:val="BodyText"/>
        <w:spacing w:before="21"/>
      </w:pPr>
      <w:r>
        <w:rPr/>
        <w:t>（</w:t>
      </w:r>
      <w:r>
        <w:rPr>
          <w:rFonts w:ascii="Times New Roman" w:hAnsi="Times New Roman" w:eastAsia="Times New Roman"/>
        </w:rPr>
        <w:t>6</w:t>
      </w:r>
      <w:r>
        <w:rPr/>
        <w:t>）肾功能衰竭，血清肌酐</w:t>
      </w:r>
      <w:r>
        <w:rPr>
          <w:rFonts w:ascii="Times New Roman" w:hAnsi="Times New Roman" w:eastAsia="Times New Roman"/>
        </w:rPr>
        <w:t>&gt;300μmol/ L </w:t>
      </w:r>
      <w:r>
        <w:rPr/>
        <w:t>或</w:t>
      </w:r>
      <w:r>
        <w:rPr>
          <w:rFonts w:ascii="Times New Roman" w:hAnsi="Times New Roman" w:eastAsia="Times New Roman"/>
        </w:rPr>
        <w:t>&gt;</w:t>
      </w:r>
      <w:r>
        <w:rPr/>
        <w:t>为 </w:t>
      </w:r>
      <w:r>
        <w:rPr>
          <w:rFonts w:ascii="Times New Roman" w:hAnsi="Times New Roman" w:eastAsia="Times New Roman"/>
        </w:rPr>
        <w:t>3.5mg / dl </w:t>
      </w:r>
      <w:r>
        <w:rPr/>
        <w:t>或尿量</w:t>
      </w:r>
      <w:r>
        <w:rPr>
          <w:rFonts w:ascii="Times New Roman" w:hAnsi="Times New Roman" w:eastAsia="Times New Roman"/>
        </w:rPr>
        <w:t>&lt;500ml/d</w:t>
      </w:r>
      <w:r>
        <w:rPr/>
        <w:t>；</w:t>
      </w:r>
    </w:p>
    <w:p>
      <w:pPr>
        <w:pStyle w:val="BodyText"/>
        <w:spacing w:before="21"/>
      </w:pPr>
      <w:r>
        <w:rPr/>
        <w:t>（</w:t>
      </w:r>
      <w:r>
        <w:rPr>
          <w:rFonts w:ascii="Times New Roman" w:eastAsia="Times New Roman"/>
        </w:rPr>
        <w:t>7</w:t>
      </w:r>
      <w:r>
        <w:rPr/>
        <w:t>）败血症有血液和影像学检查证实；</w:t>
      </w:r>
    </w:p>
    <w:p>
      <w:pPr>
        <w:pStyle w:val="BodyText"/>
        <w:spacing w:before="21"/>
      </w:pPr>
      <w:r>
        <w:rPr/>
        <w:t>（</w:t>
      </w:r>
      <w:r>
        <w:rPr>
          <w:rFonts w:ascii="Times New Roman" w:eastAsia="Times New Roman"/>
        </w:rPr>
        <w:t>8</w:t>
      </w:r>
      <w:r>
        <w:rPr/>
        <w:t>）住院重症监护病房最低 </w:t>
      </w:r>
      <w:r>
        <w:rPr>
          <w:rFonts w:ascii="Times New Roman" w:eastAsia="Times New Roman"/>
        </w:rPr>
        <w:t>96 </w:t>
      </w:r>
      <w:r>
        <w:rPr/>
        <w:t>小时；</w:t>
      </w:r>
    </w:p>
    <w:p>
      <w:pPr>
        <w:pStyle w:val="BodyText"/>
        <w:spacing w:before="21"/>
      </w:pPr>
      <w:r>
        <w:rPr/>
        <w:t>（</w:t>
      </w:r>
      <w:r>
        <w:rPr>
          <w:rFonts w:ascii="Times New Roman" w:eastAsia="Times New Roman"/>
        </w:rPr>
        <w:t>9</w:t>
      </w:r>
      <w:r>
        <w:rPr/>
        <w:t>）器官功能障碍维持至少 </w:t>
      </w:r>
      <w:r>
        <w:rPr>
          <w:rFonts w:ascii="Times New Roman" w:eastAsia="Times New Roman"/>
        </w:rPr>
        <w:t>15 </w:t>
      </w:r>
      <w:r>
        <w:rPr/>
        <w:t>天。</w:t>
      </w:r>
    </w:p>
    <w:p>
      <w:pPr>
        <w:pStyle w:val="BodyText"/>
        <w:spacing w:line="256" w:lineRule="auto" w:before="21"/>
        <w:ind w:right="213"/>
      </w:pPr>
      <w:r>
        <w:rPr>
          <w:spacing w:val="-8"/>
        </w:rPr>
        <w:t>败血症引起的 </w:t>
      </w:r>
      <w:r>
        <w:rPr>
          <w:rFonts w:ascii="Times New Roman" w:eastAsia="Times New Roman"/>
        </w:rPr>
        <w:t>MODS </w:t>
      </w:r>
      <w:r>
        <w:rPr>
          <w:spacing w:val="-6"/>
        </w:rPr>
        <w:t>的诊断应由专科医生证实。非败血症引起的 </w:t>
      </w:r>
      <w:r>
        <w:rPr>
          <w:rFonts w:ascii="Times New Roman" w:eastAsia="Times New Roman"/>
        </w:rPr>
        <w:t>MODS </w:t>
      </w:r>
      <w:r>
        <w:rPr/>
        <w:t>不在</w:t>
      </w:r>
      <w:r>
        <w:rPr>
          <w:spacing w:val="-1"/>
        </w:rPr>
        <w:t>保障范围内</w:t>
      </w:r>
    </w:p>
    <w:p>
      <w:pPr>
        <w:pStyle w:val="BodyText"/>
        <w:spacing w:before="7"/>
        <w:ind w:left="0"/>
        <w:rPr>
          <w:sz w:val="25"/>
        </w:rPr>
      </w:pPr>
    </w:p>
    <w:p>
      <w:pPr>
        <w:pStyle w:val="Heading2"/>
        <w:spacing w:before="1"/>
      </w:pPr>
      <w:r>
        <w:rPr/>
        <w:t>（九十七）脊髓空洞症</w:t>
      </w:r>
    </w:p>
    <w:p>
      <w:pPr>
        <w:pStyle w:val="BodyText"/>
      </w:pPr>
      <w:r>
        <w:rPr/>
        <w:t>脊髓空洞症为慢性进行性的脊髓变性性疾病，其特征为脊髓内空洞形成。表现</w:t>
      </w:r>
    </w:p>
    <w:p>
      <w:pPr>
        <w:spacing w:after="0"/>
        <w:sectPr>
          <w:pgSz w:w="11910" w:h="16840"/>
          <w:pgMar w:top="1080" w:bottom="280" w:left="1680" w:right="800"/>
        </w:sectPr>
      </w:pPr>
    </w:p>
    <w:tbl>
      <w:tblPr>
        <w:tblW w:w="0" w:type="auto"/>
        <w:jc w:val="left"/>
        <w:tblInd w:w="1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3"/>
      </w:tblGrid>
      <w:tr>
        <w:trPr>
          <w:trHeight w:val="10403" w:hRule="atLeast"/>
        </w:trPr>
        <w:tc>
          <w:tcPr>
            <w:tcW w:w="7613" w:type="dxa"/>
          </w:tcPr>
          <w:p>
            <w:pPr>
              <w:pStyle w:val="TableParagraph"/>
              <w:spacing w:line="211" w:lineRule="exact"/>
              <w:ind w:left="200"/>
              <w:rPr>
                <w:sz w:val="21"/>
              </w:rPr>
            </w:pPr>
            <w:r>
              <w:rPr>
                <w:sz w:val="21"/>
              </w:rPr>
              <w:t>为感觉异常、肌萎缩及神经营养障碍。脊髓空洞症累及延髓称为延髓空洞症，</w:t>
            </w:r>
          </w:p>
          <w:p>
            <w:pPr>
              <w:pStyle w:val="TableParagraph"/>
              <w:spacing w:line="273" w:lineRule="auto" w:before="37"/>
              <w:ind w:left="200" w:right="267"/>
              <w:rPr>
                <w:sz w:val="21"/>
              </w:rPr>
            </w:pPr>
            <w:r>
              <w:rPr>
                <w:spacing w:val="-8"/>
                <w:sz w:val="21"/>
              </w:rPr>
              <w:t>表现为延髓麻痹。脊髓空洞症必须明确诊断并且造成永久不可逆的神经系统功能障碍，存在持续至少 </w:t>
            </w:r>
            <w:r>
              <w:rPr>
                <w:rFonts w:ascii="Times New Roman" w:eastAsia="Times New Roman"/>
                <w:sz w:val="21"/>
              </w:rPr>
              <w:t>180 </w:t>
            </w:r>
            <w:r>
              <w:rPr>
                <w:spacing w:val="-3"/>
                <w:sz w:val="21"/>
              </w:rPr>
              <w:t>天以上的神经系统功能缺失并满足下列任一条件：</w:t>
            </w:r>
          </w:p>
          <w:p>
            <w:pPr>
              <w:pStyle w:val="TableParagraph"/>
              <w:spacing w:line="279" w:lineRule="exact"/>
              <w:ind w:left="200"/>
              <w:rPr>
                <w:sz w:val="21"/>
              </w:rPr>
            </w:pPr>
            <w:r>
              <w:rPr>
                <w:sz w:val="21"/>
              </w:rPr>
              <w:t>（</w:t>
            </w:r>
            <w:r>
              <w:rPr>
                <w:rFonts w:ascii="Times New Roman" w:eastAsia="Times New Roman"/>
                <w:sz w:val="21"/>
              </w:rPr>
              <w:t>1</w:t>
            </w:r>
            <w:r>
              <w:rPr>
                <w:sz w:val="21"/>
              </w:rPr>
              <w:t>）延髓麻痹呈现显著舌肌萎缩、构音困难和吞咽困难；或</w:t>
            </w:r>
          </w:p>
          <w:p>
            <w:pPr>
              <w:pStyle w:val="TableParagraph"/>
              <w:spacing w:before="22"/>
              <w:ind w:left="200"/>
              <w:rPr>
                <w:sz w:val="21"/>
              </w:rPr>
            </w:pPr>
            <w:r>
              <w:rPr>
                <w:sz w:val="21"/>
              </w:rPr>
              <w:t>（</w:t>
            </w:r>
            <w:r>
              <w:rPr>
                <w:rFonts w:ascii="Times New Roman" w:hAnsi="Times New Roman" w:eastAsia="Times New Roman"/>
                <w:sz w:val="21"/>
              </w:rPr>
              <w:t>2</w:t>
            </w:r>
            <w:r>
              <w:rPr>
                <w:sz w:val="21"/>
              </w:rPr>
              <w:t>）双手萎缩呈</w:t>
            </w:r>
            <w:r>
              <w:rPr>
                <w:rFonts w:ascii="Times New Roman" w:hAnsi="Times New Roman" w:eastAsia="Times New Roman"/>
                <w:sz w:val="21"/>
              </w:rPr>
              <w:t>“</w:t>
            </w:r>
            <w:r>
              <w:rPr>
                <w:sz w:val="21"/>
              </w:rPr>
              <w:t>爪形手</w:t>
            </w:r>
            <w:r>
              <w:rPr>
                <w:rFonts w:ascii="Times New Roman" w:hAnsi="Times New Roman" w:eastAsia="Times New Roman"/>
                <w:sz w:val="21"/>
              </w:rPr>
              <w:t>”</w:t>
            </w:r>
            <w:r>
              <w:rPr>
                <w:sz w:val="21"/>
              </w:rPr>
              <w:t>，肌力 </w:t>
            </w:r>
            <w:r>
              <w:rPr>
                <w:rFonts w:ascii="Times New Roman" w:hAnsi="Times New Roman" w:eastAsia="Times New Roman"/>
                <w:sz w:val="21"/>
              </w:rPr>
              <w:t>2 </w:t>
            </w:r>
            <w:r>
              <w:rPr>
                <w:sz w:val="21"/>
              </w:rPr>
              <w:t>级或以下。</w:t>
            </w:r>
          </w:p>
          <w:p>
            <w:pPr>
              <w:pStyle w:val="TableParagraph"/>
              <w:spacing w:before="6"/>
              <w:rPr>
                <w:sz w:val="25"/>
              </w:rPr>
            </w:pPr>
          </w:p>
          <w:p>
            <w:pPr>
              <w:pStyle w:val="TableParagraph"/>
              <w:ind w:left="200"/>
              <w:rPr>
                <w:b/>
                <w:sz w:val="21"/>
              </w:rPr>
            </w:pPr>
            <w:r>
              <w:rPr>
                <w:b/>
                <w:sz w:val="21"/>
              </w:rPr>
              <w:t>（九十八）溶血性尿毒综合征</w:t>
            </w:r>
          </w:p>
          <w:p>
            <w:pPr>
              <w:pStyle w:val="TableParagraph"/>
              <w:spacing w:line="273" w:lineRule="auto" w:before="37"/>
              <w:ind w:left="200" w:right="303"/>
              <w:jc w:val="both"/>
              <w:rPr>
                <w:sz w:val="21"/>
              </w:rPr>
            </w:pPr>
            <w:r>
              <w:rPr>
                <w:spacing w:val="-7"/>
                <w:sz w:val="21"/>
              </w:rPr>
              <w:t>溶血性尿毒综合征，一种由于感染导致的急性综合征，引起红细胞溶血，肾功</w:t>
            </w:r>
            <w:r>
              <w:rPr>
                <w:spacing w:val="-9"/>
                <w:sz w:val="21"/>
              </w:rPr>
              <w:t>能衰竭及尿毒症。溶血尿毒综合症必须由血液和肾脏专科医师诊断，并且符合</w:t>
            </w:r>
            <w:r>
              <w:rPr>
                <w:spacing w:val="-5"/>
                <w:sz w:val="21"/>
              </w:rPr>
              <w:t>下列所有条件：</w:t>
            </w:r>
          </w:p>
          <w:p>
            <w:pPr>
              <w:pStyle w:val="TableParagraph"/>
              <w:spacing w:before="8"/>
              <w:ind w:left="200"/>
              <w:rPr>
                <w:sz w:val="21"/>
              </w:rPr>
            </w:pPr>
            <w:r>
              <w:rPr>
                <w:sz w:val="21"/>
              </w:rPr>
              <w:t>（</w:t>
            </w:r>
            <w:r>
              <w:rPr>
                <w:rFonts w:ascii="Times New Roman" w:eastAsia="Times New Roman"/>
                <w:sz w:val="21"/>
              </w:rPr>
              <w:t>1</w:t>
            </w:r>
            <w:r>
              <w:rPr>
                <w:sz w:val="21"/>
              </w:rPr>
              <w:t>）实验室检查确认有溶血性贫血、血尿、尿毒症、血小板减少性紫癜；</w:t>
            </w:r>
          </w:p>
          <w:p>
            <w:pPr>
              <w:pStyle w:val="TableParagraph"/>
              <w:spacing w:before="21"/>
              <w:ind w:left="200"/>
              <w:rPr>
                <w:sz w:val="21"/>
              </w:rPr>
            </w:pPr>
            <w:r>
              <w:rPr>
                <w:sz w:val="21"/>
              </w:rPr>
              <w:t>（</w:t>
            </w:r>
            <w:r>
              <w:rPr>
                <w:rFonts w:ascii="Times New Roman" w:eastAsia="Times New Roman"/>
                <w:sz w:val="21"/>
              </w:rPr>
              <w:t>2</w:t>
            </w:r>
            <w:r>
              <w:rPr>
                <w:sz w:val="21"/>
              </w:rPr>
              <w:t>）因肾脏功能衰竭实施了肾脏透析治疗。</w:t>
            </w:r>
          </w:p>
          <w:p>
            <w:pPr>
              <w:pStyle w:val="TableParagraph"/>
              <w:spacing w:line="273" w:lineRule="auto" w:before="21"/>
              <w:ind w:left="200" w:right="266"/>
              <w:rPr>
                <w:sz w:val="21"/>
              </w:rPr>
            </w:pPr>
            <w:r>
              <w:rPr>
                <w:spacing w:val="-6"/>
                <w:sz w:val="21"/>
              </w:rPr>
              <w:t>任何非因感染导致的溶血性贫血，如：自身免疫性溶血性贫血、与红细胞末缺</w:t>
            </w:r>
            <w:r>
              <w:rPr>
                <w:spacing w:val="-4"/>
                <w:sz w:val="21"/>
              </w:rPr>
              <w:t>陷有关的溶血性贫血、红细胞酶病、血红蛋白病等，不在本保单保障范围内。</w:t>
            </w:r>
          </w:p>
          <w:p>
            <w:pPr>
              <w:pStyle w:val="TableParagraph"/>
              <w:spacing w:before="5"/>
              <w:rPr>
                <w:sz w:val="24"/>
              </w:rPr>
            </w:pPr>
          </w:p>
          <w:p>
            <w:pPr>
              <w:pStyle w:val="TableParagraph"/>
              <w:ind w:left="200"/>
              <w:rPr>
                <w:b/>
                <w:sz w:val="21"/>
              </w:rPr>
            </w:pPr>
            <w:r>
              <w:rPr>
                <w:b/>
                <w:sz w:val="21"/>
              </w:rPr>
              <w:t>（九十九）室壁瘤切除手术</w:t>
            </w:r>
          </w:p>
          <w:p>
            <w:pPr>
              <w:pStyle w:val="TableParagraph"/>
              <w:spacing w:line="273" w:lineRule="auto" w:before="37"/>
              <w:ind w:left="200" w:right="271"/>
              <w:rPr>
                <w:sz w:val="21"/>
              </w:rPr>
            </w:pPr>
            <w:r>
              <w:rPr>
                <w:sz w:val="21"/>
              </w:rPr>
              <w:t>被保险人被明确诊断为左室室壁瘤，并且实际接受了开胸开心进行的室壁瘤切除手术治疗。</w:t>
            </w:r>
          </w:p>
          <w:p>
            <w:pPr>
              <w:pStyle w:val="TableParagraph"/>
              <w:spacing w:before="8"/>
              <w:ind w:left="200"/>
              <w:rPr>
                <w:sz w:val="21"/>
              </w:rPr>
            </w:pPr>
            <w:r>
              <w:rPr>
                <w:sz w:val="21"/>
              </w:rPr>
              <w:t>经导管心室内成型手术治疗不在本保障范围内。</w:t>
            </w:r>
          </w:p>
          <w:p>
            <w:pPr>
              <w:pStyle w:val="TableParagraph"/>
              <w:spacing w:before="9"/>
              <w:rPr>
                <w:sz w:val="26"/>
              </w:rPr>
            </w:pPr>
          </w:p>
          <w:p>
            <w:pPr>
              <w:pStyle w:val="TableParagraph"/>
              <w:ind w:left="200"/>
              <w:rPr>
                <w:b/>
                <w:sz w:val="21"/>
              </w:rPr>
            </w:pPr>
            <w:r>
              <w:rPr>
                <w:b/>
                <w:sz w:val="21"/>
              </w:rPr>
              <w:t>（一百）席汉氏综合征</w:t>
            </w:r>
          </w:p>
          <w:p>
            <w:pPr>
              <w:pStyle w:val="TableParagraph"/>
              <w:spacing w:line="273" w:lineRule="auto" w:before="37"/>
              <w:ind w:left="200" w:right="303"/>
              <w:jc w:val="both"/>
              <w:rPr>
                <w:sz w:val="21"/>
              </w:rPr>
            </w:pPr>
            <w:r>
              <w:rPr>
                <w:spacing w:val="-6"/>
                <w:sz w:val="21"/>
              </w:rPr>
              <w:t>指因产后大出血并发休克、全身循环衰竭、弥漫性血管内凝血导致脑垂体缺血</w:t>
            </w:r>
            <w:r>
              <w:rPr>
                <w:spacing w:val="-8"/>
                <w:sz w:val="21"/>
              </w:rPr>
              <w:t>坏死和垂体分泌激素不足，造成性腺、甲状腺、肾上腺皮质功能减退。必须满</w:t>
            </w:r>
            <w:r>
              <w:rPr>
                <w:spacing w:val="-5"/>
                <w:sz w:val="21"/>
              </w:rPr>
              <w:t>足下列所有条件：</w:t>
            </w:r>
          </w:p>
          <w:p>
            <w:pPr>
              <w:pStyle w:val="TableParagraph"/>
              <w:numPr>
                <w:ilvl w:val="0"/>
                <w:numId w:val="13"/>
              </w:numPr>
              <w:tabs>
                <w:tab w:pos="832" w:val="left" w:leader="none"/>
              </w:tabs>
              <w:spacing w:line="240" w:lineRule="auto" w:before="7" w:after="0"/>
              <w:ind w:left="200" w:right="0" w:firstLine="0"/>
              <w:jc w:val="left"/>
              <w:rPr>
                <w:sz w:val="21"/>
              </w:rPr>
            </w:pPr>
            <w:r>
              <w:rPr>
                <w:spacing w:val="-3"/>
                <w:sz w:val="21"/>
              </w:rPr>
              <w:t>产后大出血休克病史；</w:t>
            </w:r>
          </w:p>
          <w:p>
            <w:pPr>
              <w:pStyle w:val="TableParagraph"/>
              <w:numPr>
                <w:ilvl w:val="0"/>
                <w:numId w:val="13"/>
              </w:numPr>
              <w:tabs>
                <w:tab w:pos="832" w:val="left" w:leader="none"/>
              </w:tabs>
              <w:spacing w:line="240" w:lineRule="auto" w:before="20" w:after="0"/>
              <w:ind w:left="200" w:right="0" w:firstLine="0"/>
              <w:jc w:val="left"/>
              <w:rPr>
                <w:sz w:val="21"/>
              </w:rPr>
            </w:pPr>
            <w:r>
              <w:rPr>
                <w:spacing w:val="-3"/>
                <w:sz w:val="21"/>
              </w:rPr>
              <w:t>严重腺垂体功能破坏，破坏程度</w:t>
            </w:r>
            <w:r>
              <w:rPr>
                <w:rFonts w:ascii="Times New Roman" w:eastAsia="Times New Roman"/>
                <w:sz w:val="21"/>
              </w:rPr>
              <w:t>&gt;95%</w:t>
            </w:r>
            <w:r>
              <w:rPr>
                <w:sz w:val="21"/>
              </w:rPr>
              <w:t>；</w:t>
            </w:r>
          </w:p>
          <w:p>
            <w:pPr>
              <w:pStyle w:val="TableParagraph"/>
              <w:numPr>
                <w:ilvl w:val="0"/>
                <w:numId w:val="13"/>
              </w:numPr>
              <w:tabs>
                <w:tab w:pos="832" w:val="left" w:leader="none"/>
              </w:tabs>
              <w:spacing w:line="240" w:lineRule="auto" w:before="20" w:after="0"/>
              <w:ind w:left="200" w:right="0" w:firstLine="0"/>
              <w:jc w:val="left"/>
              <w:rPr>
                <w:sz w:val="21"/>
              </w:rPr>
            </w:pPr>
            <w:r>
              <w:rPr>
                <w:spacing w:val="-3"/>
                <w:sz w:val="21"/>
              </w:rPr>
              <w:t>影像学检查显示脑垂体严重萎缩或消失；</w:t>
            </w:r>
          </w:p>
          <w:p>
            <w:pPr>
              <w:pStyle w:val="TableParagraph"/>
              <w:numPr>
                <w:ilvl w:val="0"/>
                <w:numId w:val="13"/>
              </w:numPr>
              <w:tabs>
                <w:tab w:pos="832" w:val="left" w:leader="none"/>
              </w:tabs>
              <w:spacing w:line="240" w:lineRule="auto" w:before="20" w:after="0"/>
              <w:ind w:left="200" w:right="0" w:firstLine="0"/>
              <w:jc w:val="left"/>
              <w:rPr>
                <w:sz w:val="21"/>
              </w:rPr>
            </w:pPr>
            <w:r>
              <w:rPr>
                <w:spacing w:val="-3"/>
                <w:sz w:val="21"/>
              </w:rPr>
              <w:t>实验室检查显示：</w:t>
            </w:r>
          </w:p>
          <w:p>
            <w:pPr>
              <w:pStyle w:val="TableParagraph"/>
              <w:spacing w:line="273" w:lineRule="auto" w:before="20"/>
              <w:ind w:left="620" w:right="300"/>
              <w:rPr>
                <w:sz w:val="21"/>
              </w:rPr>
            </w:pPr>
            <w:r>
              <w:rPr>
                <w:spacing w:val="-5"/>
                <w:sz w:val="21"/>
              </w:rPr>
              <w:t>①垂体前叶激素全面低下</w:t>
            </w:r>
            <w:r>
              <w:rPr>
                <w:sz w:val="21"/>
              </w:rPr>
              <w:t>（</w:t>
            </w:r>
            <w:r>
              <w:rPr>
                <w:spacing w:val="-6"/>
                <w:sz w:val="21"/>
              </w:rPr>
              <w:t>包括生长激素、促甲状腺素、促肾上腺皮质激</w:t>
            </w:r>
            <w:r>
              <w:rPr>
                <w:spacing w:val="-4"/>
                <w:w w:val="100"/>
                <w:sz w:val="21"/>
              </w:rPr>
              <w:t>素、卵泡刺激素和黄体生成素</w:t>
            </w:r>
            <w:r>
              <w:rPr>
                <w:spacing w:val="-108"/>
                <w:w w:val="100"/>
                <w:sz w:val="21"/>
              </w:rPr>
              <w:t>）</w:t>
            </w:r>
            <w:r>
              <w:rPr>
                <w:w w:val="100"/>
                <w:sz w:val="21"/>
              </w:rPr>
              <w:t>；和</w:t>
            </w:r>
          </w:p>
          <w:p>
            <w:pPr>
              <w:pStyle w:val="TableParagraph"/>
              <w:spacing w:before="7"/>
              <w:ind w:left="620"/>
              <w:rPr>
                <w:sz w:val="21"/>
              </w:rPr>
            </w:pPr>
            <w:r>
              <w:rPr>
                <w:sz w:val="21"/>
              </w:rPr>
              <w:t>②性激素、甲状腺素、肾上腺皮质激素全面低下；</w:t>
            </w:r>
          </w:p>
          <w:p>
            <w:pPr>
              <w:pStyle w:val="TableParagraph"/>
              <w:numPr>
                <w:ilvl w:val="0"/>
                <w:numId w:val="13"/>
              </w:numPr>
              <w:tabs>
                <w:tab w:pos="815" w:val="left" w:leader="none"/>
              </w:tabs>
              <w:spacing w:line="256" w:lineRule="auto" w:before="37" w:after="0"/>
              <w:ind w:left="200" w:right="302" w:firstLine="0"/>
              <w:jc w:val="left"/>
              <w:rPr>
                <w:sz w:val="21"/>
              </w:rPr>
            </w:pPr>
            <w:r>
              <w:rPr>
                <w:spacing w:val="-4"/>
                <w:sz w:val="21"/>
              </w:rPr>
              <w:t>需要终身激素替代治疗以维持身体功能，持续服用各种替代激素超过一年。</w:t>
            </w:r>
          </w:p>
        </w:tc>
      </w:tr>
      <w:tr>
        <w:trPr>
          <w:trHeight w:val="3850" w:hRule="atLeast"/>
        </w:trPr>
        <w:tc>
          <w:tcPr>
            <w:tcW w:w="7613" w:type="dxa"/>
          </w:tcPr>
          <w:p>
            <w:pPr>
              <w:pStyle w:val="TableParagraph"/>
              <w:spacing w:before="143"/>
              <w:ind w:left="200"/>
              <w:rPr>
                <w:sz w:val="21"/>
              </w:rPr>
            </w:pPr>
            <w:r>
              <w:rPr>
                <w:sz w:val="21"/>
              </w:rPr>
              <w:t>上述释义 9.8 及 9.9 中部分术语释义如下：</w:t>
            </w:r>
          </w:p>
          <w:p>
            <w:pPr>
              <w:pStyle w:val="TableParagraph"/>
              <w:spacing w:before="37"/>
              <w:ind w:left="200"/>
              <w:rPr>
                <w:sz w:val="21"/>
              </w:rPr>
            </w:pPr>
            <w:r>
              <w:rPr>
                <w:sz w:val="21"/>
              </w:rPr>
              <w:t>（一）肢体机能完全丧失</w:t>
            </w:r>
          </w:p>
          <w:p>
            <w:pPr>
              <w:pStyle w:val="TableParagraph"/>
              <w:spacing w:line="273" w:lineRule="auto" w:before="37"/>
              <w:ind w:left="200" w:right="30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spacing w:before="1"/>
              <w:ind w:left="200"/>
              <w:rPr>
                <w:sz w:val="21"/>
              </w:rPr>
            </w:pPr>
            <w:r>
              <w:rPr>
                <w:sz w:val="21"/>
              </w:rPr>
              <w:t>（二）语言能力或咀嚼吞咽能力完全丧失</w:t>
            </w:r>
          </w:p>
          <w:p>
            <w:pPr>
              <w:pStyle w:val="TableParagraph"/>
              <w:spacing w:line="273" w:lineRule="auto" w:before="37"/>
              <w:ind w:left="200" w:right="198"/>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55" w:lineRule="exact"/>
              <w:ind w:left="200"/>
              <w:rPr>
                <w:sz w:val="21"/>
              </w:rPr>
            </w:pPr>
            <w:r>
              <w:rPr>
                <w:sz w:val="21"/>
              </w:rPr>
              <w:t>（三）六项基本日常生活活动</w:t>
            </w:r>
          </w:p>
        </w:tc>
      </w:tr>
    </w:tbl>
    <w:p>
      <w:pPr>
        <w:spacing w:after="0" w:line="255" w:lineRule="exact"/>
        <w:rPr>
          <w:sz w:val="21"/>
        </w:rPr>
        <w:sectPr>
          <w:pgSz w:w="11910" w:h="16840"/>
          <w:pgMar w:top="1160" w:bottom="280" w:left="168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697"/>
        <w:gridCol w:w="7608"/>
      </w:tblGrid>
      <w:tr>
        <w:trPr>
          <w:trHeight w:val="4474" w:hRule="atLeast"/>
        </w:trPr>
        <w:tc>
          <w:tcPr>
            <w:tcW w:w="738" w:type="dxa"/>
          </w:tcPr>
          <w:p>
            <w:pPr>
              <w:pStyle w:val="TableParagraph"/>
              <w:rPr>
                <w:rFonts w:ascii="Times New Roman"/>
                <w:sz w:val="20"/>
              </w:rPr>
            </w:pPr>
          </w:p>
        </w:tc>
        <w:tc>
          <w:tcPr>
            <w:tcW w:w="1697" w:type="dxa"/>
          </w:tcPr>
          <w:p>
            <w:pPr>
              <w:pStyle w:val="TableParagraph"/>
              <w:rPr>
                <w:rFonts w:ascii="Times New Roman"/>
                <w:sz w:val="20"/>
              </w:rPr>
            </w:pPr>
          </w:p>
        </w:tc>
        <w:tc>
          <w:tcPr>
            <w:tcW w:w="7608" w:type="dxa"/>
          </w:tcPr>
          <w:p>
            <w:pPr>
              <w:pStyle w:val="TableParagraph"/>
              <w:spacing w:line="211" w:lineRule="exact"/>
              <w:ind w:left="217"/>
              <w:rPr>
                <w:sz w:val="21"/>
              </w:rPr>
            </w:pPr>
            <w:r>
              <w:rPr>
                <w:sz w:val="21"/>
              </w:rPr>
              <w:t>六项基本日常生活活动是指：</w:t>
            </w:r>
          </w:p>
          <w:p>
            <w:pPr>
              <w:pStyle w:val="TableParagraph"/>
              <w:spacing w:before="37"/>
              <w:ind w:left="217"/>
              <w:rPr>
                <w:sz w:val="21"/>
              </w:rPr>
            </w:pPr>
            <w:r>
              <w:rPr>
                <w:sz w:val="21"/>
              </w:rPr>
              <w:t>（1）穿衣：自己能够穿衣及脱衣；</w:t>
            </w:r>
          </w:p>
          <w:p>
            <w:pPr>
              <w:pStyle w:val="TableParagraph"/>
              <w:spacing w:before="36"/>
              <w:ind w:left="217"/>
              <w:rPr>
                <w:sz w:val="21"/>
              </w:rPr>
            </w:pPr>
            <w:r>
              <w:rPr>
                <w:sz w:val="21"/>
              </w:rPr>
              <w:t>（2）移动：自己从一个房间到另一个房间；</w:t>
            </w:r>
          </w:p>
          <w:p>
            <w:pPr>
              <w:pStyle w:val="TableParagraph"/>
              <w:spacing w:before="36"/>
              <w:ind w:left="217"/>
              <w:rPr>
                <w:sz w:val="21"/>
              </w:rPr>
            </w:pPr>
            <w:r>
              <w:rPr>
                <w:sz w:val="21"/>
              </w:rPr>
              <w:t>（3）行动：自己上下床或上下轮椅；</w:t>
            </w:r>
          </w:p>
          <w:p>
            <w:pPr>
              <w:pStyle w:val="TableParagraph"/>
              <w:spacing w:before="36"/>
              <w:ind w:left="217"/>
              <w:rPr>
                <w:sz w:val="21"/>
              </w:rPr>
            </w:pPr>
            <w:r>
              <w:rPr>
                <w:sz w:val="21"/>
              </w:rPr>
              <w:t>（4）如厕：自己控制进行大小便；</w:t>
            </w:r>
          </w:p>
          <w:p>
            <w:pPr>
              <w:pStyle w:val="TableParagraph"/>
              <w:spacing w:before="36"/>
              <w:ind w:left="217"/>
              <w:rPr>
                <w:sz w:val="21"/>
              </w:rPr>
            </w:pPr>
            <w:r>
              <w:rPr>
                <w:sz w:val="21"/>
              </w:rPr>
              <w:t>（5）进食：自己从已准备好的碗或碟中取食物放入口中；</w:t>
            </w:r>
          </w:p>
          <w:p>
            <w:pPr>
              <w:pStyle w:val="TableParagraph"/>
              <w:spacing w:before="36"/>
              <w:ind w:left="217"/>
              <w:rPr>
                <w:sz w:val="21"/>
              </w:rPr>
            </w:pPr>
            <w:r>
              <w:rPr>
                <w:sz w:val="21"/>
              </w:rPr>
              <w:t>（6）洗澡：自己进行淋浴或盆浴。</w:t>
            </w:r>
          </w:p>
          <w:p>
            <w:pPr>
              <w:pStyle w:val="TableParagraph"/>
              <w:spacing w:before="8"/>
              <w:rPr>
                <w:sz w:val="26"/>
              </w:rPr>
            </w:pPr>
          </w:p>
          <w:p>
            <w:pPr>
              <w:pStyle w:val="TableParagraph"/>
              <w:ind w:left="217"/>
              <w:rPr>
                <w:sz w:val="21"/>
              </w:rPr>
            </w:pPr>
            <w:r>
              <w:rPr>
                <w:sz w:val="21"/>
              </w:rPr>
              <w:t>（四）永久不可逆</w:t>
            </w:r>
          </w:p>
          <w:p>
            <w:pPr>
              <w:pStyle w:val="TableParagraph"/>
              <w:spacing w:line="273" w:lineRule="auto" w:before="37"/>
              <w:ind w:left="217" w:right="246"/>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6"/>
              <w:rPr>
                <w:sz w:val="24"/>
              </w:rPr>
            </w:pPr>
          </w:p>
          <w:p>
            <w:pPr>
              <w:pStyle w:val="TableParagraph"/>
              <w:ind w:left="217"/>
              <w:rPr>
                <w:sz w:val="21"/>
              </w:rPr>
            </w:pPr>
            <w:r>
              <w:rPr>
                <w:sz w:val="21"/>
              </w:rPr>
              <w:t>（五）三大关节</w:t>
            </w:r>
          </w:p>
          <w:p>
            <w:pPr>
              <w:pStyle w:val="TableParagraph"/>
              <w:spacing w:before="36"/>
              <w:ind w:left="217"/>
              <w:rPr>
                <w:sz w:val="21"/>
              </w:rPr>
            </w:pPr>
            <w:r>
              <w:rPr>
                <w:sz w:val="21"/>
              </w:rPr>
              <w:t>上肢三大关节是指肩、肘、腕关节，下肢三大关节是指髋、膝、踝关节。</w:t>
            </w:r>
          </w:p>
        </w:tc>
      </w:tr>
      <w:tr>
        <w:trPr>
          <w:trHeight w:val="6865" w:hRule="atLeast"/>
        </w:trPr>
        <w:tc>
          <w:tcPr>
            <w:tcW w:w="738" w:type="dxa"/>
          </w:tcPr>
          <w:p>
            <w:pPr>
              <w:pStyle w:val="TableParagraph"/>
              <w:spacing w:before="142"/>
              <w:ind w:right="113"/>
              <w:jc w:val="right"/>
              <w:rPr>
                <w:b/>
                <w:sz w:val="21"/>
              </w:rPr>
            </w:pPr>
            <w:r>
              <w:rPr>
                <w:b/>
                <w:w w:val="95"/>
                <w:sz w:val="21"/>
              </w:rPr>
              <w:t>9.10</w:t>
            </w:r>
          </w:p>
        </w:tc>
        <w:tc>
          <w:tcPr>
            <w:tcW w:w="1697" w:type="dxa"/>
          </w:tcPr>
          <w:p>
            <w:pPr>
              <w:pStyle w:val="TableParagraph"/>
              <w:spacing w:before="142"/>
              <w:ind w:left="114"/>
              <w:rPr>
                <w:b/>
                <w:sz w:val="21"/>
              </w:rPr>
            </w:pPr>
            <w:r>
              <w:rPr>
                <w:b/>
                <w:sz w:val="21"/>
              </w:rPr>
              <w:t>全残</w:t>
            </w:r>
          </w:p>
        </w:tc>
        <w:tc>
          <w:tcPr>
            <w:tcW w:w="7608" w:type="dxa"/>
          </w:tcPr>
          <w:p>
            <w:pPr>
              <w:pStyle w:val="TableParagraph"/>
              <w:spacing w:before="142"/>
              <w:ind w:left="217"/>
              <w:rPr>
                <w:sz w:val="21"/>
              </w:rPr>
            </w:pPr>
            <w:r>
              <w:rPr>
                <w:sz w:val="21"/>
              </w:rPr>
              <w:t>指下列情形之一：</w:t>
            </w:r>
          </w:p>
          <w:p>
            <w:pPr>
              <w:pStyle w:val="TableParagraph"/>
              <w:spacing w:before="36"/>
              <w:ind w:left="217"/>
              <w:rPr>
                <w:sz w:val="21"/>
              </w:rPr>
            </w:pPr>
            <w:r>
              <w:rPr>
                <w:sz w:val="21"/>
              </w:rPr>
              <w:t>（1）双目永久完全失明的(注 1)；</w:t>
            </w:r>
          </w:p>
          <w:p>
            <w:pPr>
              <w:pStyle w:val="TableParagraph"/>
              <w:spacing w:before="36"/>
              <w:ind w:left="217"/>
              <w:rPr>
                <w:sz w:val="21"/>
              </w:rPr>
            </w:pPr>
            <w:r>
              <w:rPr>
                <w:sz w:val="21"/>
              </w:rPr>
              <w:t>（2）两上肢腕关节以上或两下肢踝关节以上缺失的；</w:t>
            </w:r>
          </w:p>
          <w:p>
            <w:pPr>
              <w:pStyle w:val="TableParagraph"/>
              <w:spacing w:before="36"/>
              <w:ind w:left="217"/>
              <w:rPr>
                <w:sz w:val="21"/>
              </w:rPr>
            </w:pPr>
            <w:r>
              <w:rPr>
                <w:sz w:val="21"/>
              </w:rPr>
              <w:t>（3）一上肢腕关节以上及一下肢踝关节以上缺失的；</w:t>
            </w:r>
          </w:p>
          <w:p>
            <w:pPr>
              <w:pStyle w:val="TableParagraph"/>
              <w:spacing w:before="36"/>
              <w:ind w:left="217"/>
              <w:rPr>
                <w:sz w:val="21"/>
              </w:rPr>
            </w:pPr>
            <w:r>
              <w:rPr>
                <w:sz w:val="21"/>
              </w:rPr>
              <w:t>（4）一目永久完全失明及一上肢腕关节以上缺失的；</w:t>
            </w:r>
          </w:p>
          <w:p>
            <w:pPr>
              <w:pStyle w:val="TableParagraph"/>
              <w:spacing w:before="36"/>
              <w:ind w:left="217"/>
              <w:rPr>
                <w:sz w:val="21"/>
              </w:rPr>
            </w:pPr>
            <w:r>
              <w:rPr>
                <w:sz w:val="21"/>
              </w:rPr>
              <w:t>（5）一目永久完全失明及一下肢踝关节以上缺失的；</w:t>
            </w:r>
          </w:p>
          <w:p>
            <w:pPr>
              <w:pStyle w:val="TableParagraph"/>
              <w:spacing w:before="36"/>
              <w:ind w:left="217"/>
              <w:rPr>
                <w:sz w:val="21"/>
              </w:rPr>
            </w:pPr>
            <w:r>
              <w:rPr>
                <w:sz w:val="21"/>
              </w:rPr>
              <w:t>（6）四肢关节机能永久完全丧失的（注 2）；</w:t>
            </w:r>
          </w:p>
          <w:p>
            <w:pPr>
              <w:pStyle w:val="TableParagraph"/>
              <w:spacing w:before="37"/>
              <w:ind w:left="217"/>
              <w:rPr>
                <w:sz w:val="21"/>
              </w:rPr>
            </w:pPr>
            <w:r>
              <w:rPr>
                <w:sz w:val="21"/>
              </w:rPr>
              <w:t>（7）咀嚼、吞咽机能永久完全丧失的（注 3）；</w:t>
            </w:r>
          </w:p>
          <w:p>
            <w:pPr>
              <w:pStyle w:val="TableParagraph"/>
              <w:spacing w:line="273" w:lineRule="auto" w:before="37"/>
              <w:ind w:left="739" w:right="284" w:hanging="522"/>
              <w:rPr>
                <w:sz w:val="21"/>
              </w:rPr>
            </w:pPr>
            <w:r>
              <w:rPr>
                <w:sz w:val="21"/>
              </w:rPr>
              <w:t>（8）中枢神经系统机能或胸、腹部脏器机能极度障碍，终身不能从事任何工作，为维持生命必要的日常生活活动，全需他人扶助的（注 4）。</w:t>
            </w:r>
          </w:p>
          <w:p>
            <w:pPr>
              <w:pStyle w:val="TableParagraph"/>
              <w:spacing w:line="273" w:lineRule="auto" w:before="7"/>
              <w:ind w:left="1053" w:right="198" w:hanging="951"/>
              <w:rPr>
                <w:sz w:val="21"/>
              </w:rPr>
            </w:pPr>
            <w:r>
              <w:rPr>
                <w:sz w:val="21"/>
              </w:rPr>
              <w:t>（</w:t>
            </w:r>
            <w:r>
              <w:rPr>
                <w:spacing w:val="-19"/>
                <w:sz w:val="21"/>
              </w:rPr>
              <w:t>注 </w:t>
            </w:r>
            <w:r>
              <w:rPr>
                <w:spacing w:val="-13"/>
                <w:sz w:val="21"/>
              </w:rPr>
              <w:t>1）</w:t>
            </w:r>
            <w:r>
              <w:rPr>
                <w:spacing w:val="-9"/>
                <w:sz w:val="21"/>
              </w:rPr>
              <w:t>：失明：包括眼球缺失或摘除、或不能辨别明暗、或仅能辨别眼前手动</w:t>
            </w:r>
            <w:r>
              <w:rPr>
                <w:spacing w:val="-8"/>
                <w:sz w:val="21"/>
              </w:rPr>
              <w:t>者，最佳矫正视力低于国际标准视力表 </w:t>
            </w:r>
            <w:r>
              <w:rPr>
                <w:sz w:val="21"/>
              </w:rPr>
              <w:t>0.02</w:t>
            </w:r>
            <w:r>
              <w:rPr>
                <w:spacing w:val="-8"/>
                <w:sz w:val="21"/>
              </w:rPr>
              <w:t>，或视野半径小于 </w:t>
            </w:r>
            <w:r>
              <w:rPr>
                <w:sz w:val="21"/>
              </w:rPr>
              <w:t>5</w:t>
            </w:r>
            <w:r>
              <w:rPr>
                <w:spacing w:val="-17"/>
                <w:sz w:val="21"/>
              </w:rPr>
              <w:t> 度， </w:t>
            </w:r>
            <w:r>
              <w:rPr>
                <w:spacing w:val="-3"/>
                <w:sz w:val="21"/>
              </w:rPr>
              <w:t>并由保险公司指定有资格的眼科医师出具医疗诊断证明。</w:t>
            </w:r>
          </w:p>
          <w:p>
            <w:pPr>
              <w:pStyle w:val="TableParagraph"/>
              <w:spacing w:line="273" w:lineRule="auto" w:before="7"/>
              <w:ind w:left="1053" w:right="282" w:hanging="951"/>
              <w:rPr>
                <w:sz w:val="21"/>
              </w:rPr>
            </w:pPr>
            <w:r>
              <w:rPr>
                <w:sz w:val="21"/>
              </w:rPr>
              <w:t>（</w:t>
            </w:r>
            <w:r>
              <w:rPr>
                <w:spacing w:val="-9"/>
                <w:sz w:val="21"/>
              </w:rPr>
              <w:t>注 </w:t>
            </w:r>
            <w:r>
              <w:rPr>
                <w:spacing w:val="-13"/>
                <w:sz w:val="21"/>
              </w:rPr>
              <w:t>2）</w:t>
            </w:r>
            <w:r>
              <w:rPr>
                <w:spacing w:val="-9"/>
                <w:sz w:val="21"/>
              </w:rPr>
              <w:t>：关节机能的丧失：指关节永久完全僵硬、或麻痹、或关节不能随意识活动。</w:t>
            </w:r>
          </w:p>
          <w:p>
            <w:pPr>
              <w:pStyle w:val="TableParagraph"/>
              <w:spacing w:line="273" w:lineRule="auto" w:before="7"/>
              <w:ind w:left="1053" w:right="280" w:hanging="951"/>
              <w:jc w:val="both"/>
              <w:rPr>
                <w:sz w:val="21"/>
              </w:rPr>
            </w:pPr>
            <w:r>
              <w:rPr>
                <w:sz w:val="21"/>
              </w:rPr>
              <w:t>（</w:t>
            </w:r>
            <w:r>
              <w:rPr>
                <w:spacing w:val="-10"/>
                <w:sz w:val="21"/>
              </w:rPr>
              <w:t>注 </w:t>
            </w:r>
            <w:r>
              <w:rPr>
                <w:spacing w:val="-15"/>
                <w:sz w:val="21"/>
              </w:rPr>
              <w:t>3）</w:t>
            </w:r>
            <w:r>
              <w:rPr>
                <w:spacing w:val="-9"/>
                <w:sz w:val="21"/>
              </w:rPr>
              <w:t>：咀嚼、吞咽机能的丧失：指由于牙齿以外的原因引起器质障碍或机能</w:t>
            </w:r>
            <w:r>
              <w:rPr>
                <w:spacing w:val="-8"/>
                <w:sz w:val="21"/>
              </w:rPr>
              <w:t>障碍，以致不能作咀嚼、吞咽运动，除流质食物外不能摄取或吞咽的状态。</w:t>
            </w:r>
          </w:p>
          <w:p>
            <w:pPr>
              <w:pStyle w:val="TableParagraph"/>
              <w:spacing w:line="264" w:lineRule="auto" w:before="8"/>
              <w:ind w:left="943" w:right="280" w:hanging="841"/>
              <w:jc w:val="both"/>
              <w:rPr>
                <w:sz w:val="21"/>
              </w:rPr>
            </w:pPr>
            <w:r>
              <w:rPr>
                <w:w w:val="100"/>
                <w:sz w:val="21"/>
              </w:rPr>
              <w:t>（注</w:t>
            </w:r>
            <w:r>
              <w:rPr>
                <w:sz w:val="21"/>
              </w:rPr>
              <w:t> </w:t>
            </w:r>
            <w:r>
              <w:rPr>
                <w:rFonts w:ascii="Times New Roman" w:eastAsia="Times New Roman"/>
                <w:spacing w:val="-3"/>
                <w:w w:val="100"/>
                <w:sz w:val="21"/>
              </w:rPr>
              <w:t>4</w:t>
            </w:r>
            <w:r>
              <w:rPr>
                <w:spacing w:val="-106"/>
                <w:w w:val="100"/>
                <w:sz w:val="21"/>
              </w:rPr>
              <w:t>）</w:t>
            </w:r>
            <w:r>
              <w:rPr>
                <w:spacing w:val="-3"/>
                <w:w w:val="100"/>
                <w:sz w:val="21"/>
              </w:rPr>
              <w:t>：为维持生命必要之日常生活活动，全需他人扶助：指食物摄取、大小</w:t>
            </w:r>
            <w:r>
              <w:rPr>
                <w:spacing w:val="-3"/>
                <w:sz w:val="21"/>
              </w:rPr>
              <w:t>便始末、穿脱衣服、起居、步行、入浴等，皆不能自理，需要他人帮助。</w:t>
            </w:r>
          </w:p>
        </w:tc>
      </w:tr>
      <w:tr>
        <w:trPr>
          <w:trHeight w:val="624" w:hRule="atLeast"/>
        </w:trPr>
        <w:tc>
          <w:tcPr>
            <w:tcW w:w="738" w:type="dxa"/>
          </w:tcPr>
          <w:p>
            <w:pPr>
              <w:pStyle w:val="TableParagraph"/>
              <w:spacing w:before="142"/>
              <w:ind w:right="113"/>
              <w:jc w:val="right"/>
              <w:rPr>
                <w:b/>
                <w:sz w:val="21"/>
              </w:rPr>
            </w:pPr>
            <w:r>
              <w:rPr>
                <w:b/>
                <w:w w:val="95"/>
                <w:sz w:val="21"/>
              </w:rPr>
              <w:t>9.11</w:t>
            </w:r>
          </w:p>
        </w:tc>
        <w:tc>
          <w:tcPr>
            <w:tcW w:w="1697" w:type="dxa"/>
          </w:tcPr>
          <w:p>
            <w:pPr>
              <w:pStyle w:val="TableParagraph"/>
              <w:spacing w:before="142"/>
              <w:ind w:left="114"/>
              <w:rPr>
                <w:b/>
                <w:sz w:val="21"/>
              </w:rPr>
            </w:pPr>
            <w:r>
              <w:rPr>
                <w:b/>
                <w:sz w:val="21"/>
              </w:rPr>
              <w:t>确诊日或认定日</w:t>
            </w:r>
          </w:p>
        </w:tc>
        <w:tc>
          <w:tcPr>
            <w:tcW w:w="7608" w:type="dxa"/>
          </w:tcPr>
          <w:p>
            <w:pPr>
              <w:pStyle w:val="TableParagraph"/>
              <w:spacing w:before="142"/>
              <w:ind w:left="217"/>
              <w:rPr>
                <w:sz w:val="21"/>
              </w:rPr>
            </w:pPr>
            <w:r>
              <w:rPr>
                <w:sz w:val="21"/>
              </w:rPr>
              <w:t>特定疾病确诊日或认定日指被保险人满足本合同“特定疾病”所有条件之日。</w:t>
            </w:r>
          </w:p>
        </w:tc>
      </w:tr>
      <w:tr>
        <w:trPr>
          <w:trHeight w:val="1560" w:hRule="atLeast"/>
        </w:trPr>
        <w:tc>
          <w:tcPr>
            <w:tcW w:w="738" w:type="dxa"/>
          </w:tcPr>
          <w:p>
            <w:pPr>
              <w:pStyle w:val="TableParagraph"/>
              <w:spacing w:before="142"/>
              <w:ind w:right="113"/>
              <w:jc w:val="right"/>
              <w:rPr>
                <w:b/>
                <w:sz w:val="21"/>
              </w:rPr>
            </w:pPr>
            <w:r>
              <w:rPr>
                <w:b/>
                <w:w w:val="95"/>
                <w:sz w:val="21"/>
              </w:rPr>
              <w:t>9.12</w:t>
            </w:r>
          </w:p>
        </w:tc>
        <w:tc>
          <w:tcPr>
            <w:tcW w:w="1697" w:type="dxa"/>
          </w:tcPr>
          <w:p>
            <w:pPr>
              <w:pStyle w:val="TableParagraph"/>
              <w:spacing w:before="142"/>
              <w:ind w:left="114"/>
              <w:rPr>
                <w:b/>
                <w:sz w:val="21"/>
              </w:rPr>
            </w:pPr>
            <w:r>
              <w:rPr>
                <w:b/>
                <w:sz w:val="21"/>
              </w:rPr>
              <w:t>毒品</w:t>
            </w:r>
          </w:p>
        </w:tc>
        <w:tc>
          <w:tcPr>
            <w:tcW w:w="7608" w:type="dxa"/>
          </w:tcPr>
          <w:p>
            <w:pPr>
              <w:pStyle w:val="TableParagraph"/>
              <w:spacing w:line="273" w:lineRule="auto" w:before="142"/>
              <w:ind w:left="217" w:right="28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729" w:hRule="atLeast"/>
        </w:trPr>
        <w:tc>
          <w:tcPr>
            <w:tcW w:w="738" w:type="dxa"/>
          </w:tcPr>
          <w:p>
            <w:pPr>
              <w:pStyle w:val="TableParagraph"/>
              <w:spacing w:before="143"/>
              <w:ind w:right="113"/>
              <w:jc w:val="right"/>
              <w:rPr>
                <w:b/>
                <w:sz w:val="21"/>
              </w:rPr>
            </w:pPr>
            <w:r>
              <w:rPr>
                <w:b/>
                <w:w w:val="95"/>
                <w:sz w:val="21"/>
              </w:rPr>
              <w:t>9.13</w:t>
            </w:r>
          </w:p>
        </w:tc>
        <w:tc>
          <w:tcPr>
            <w:tcW w:w="1697" w:type="dxa"/>
          </w:tcPr>
          <w:p>
            <w:pPr>
              <w:pStyle w:val="TableParagraph"/>
              <w:spacing w:before="143"/>
              <w:ind w:left="114"/>
              <w:rPr>
                <w:b/>
                <w:sz w:val="21"/>
              </w:rPr>
            </w:pPr>
            <w:r>
              <w:rPr>
                <w:b/>
                <w:sz w:val="21"/>
              </w:rPr>
              <w:t>酒后驾驶</w:t>
            </w:r>
          </w:p>
        </w:tc>
        <w:tc>
          <w:tcPr>
            <w:tcW w:w="7608" w:type="dxa"/>
          </w:tcPr>
          <w:p>
            <w:pPr>
              <w:pStyle w:val="TableParagraph"/>
              <w:spacing w:line="310" w:lineRule="atLeast" w:before="107"/>
              <w:ind w:left="217" w:right="280"/>
              <w:rPr>
                <w:sz w:val="21"/>
              </w:rPr>
            </w:pPr>
            <w:r>
              <w:rPr>
                <w:spacing w:val="-8"/>
                <w:sz w:val="21"/>
              </w:rPr>
              <w:t>指经检测或鉴定，发生事故时车辆驾驶人员每百毫升血液中的酒精含量达到或超过一定的标准，公安机关交通管理部门依据《道路交通安全法》的规定认定</w:t>
            </w:r>
          </w:p>
        </w:tc>
      </w:tr>
    </w:tbl>
    <w:p>
      <w:pPr>
        <w:spacing w:after="0" w:line="310" w:lineRule="atLeast"/>
        <w:rPr>
          <w:sz w:val="21"/>
        </w:rPr>
        <w:sectPr>
          <w:pgSz w:w="11910" w:h="16840"/>
          <w:pgMar w:top="1160" w:bottom="280" w:left="1020" w:right="6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09"/>
        <w:gridCol w:w="7416"/>
      </w:tblGrid>
      <w:tr>
        <w:trPr>
          <w:trHeight w:val="422" w:hRule="atLeast"/>
        </w:trPr>
        <w:tc>
          <w:tcPr>
            <w:tcW w:w="738" w:type="dxa"/>
          </w:tcPr>
          <w:p>
            <w:pPr>
              <w:pStyle w:val="TableParagraph"/>
              <w:rPr>
                <w:rFonts w:ascii="Times New Roman"/>
                <w:sz w:val="20"/>
              </w:rPr>
            </w:pPr>
          </w:p>
        </w:tc>
        <w:tc>
          <w:tcPr>
            <w:tcW w:w="1809" w:type="dxa"/>
          </w:tcPr>
          <w:p>
            <w:pPr>
              <w:pStyle w:val="TableParagraph"/>
              <w:rPr>
                <w:rFonts w:ascii="Times New Roman"/>
                <w:sz w:val="20"/>
              </w:rPr>
            </w:pPr>
          </w:p>
        </w:tc>
        <w:tc>
          <w:tcPr>
            <w:tcW w:w="7416" w:type="dxa"/>
          </w:tcPr>
          <w:p>
            <w:pPr>
              <w:pStyle w:val="TableParagraph"/>
              <w:spacing w:line="211" w:lineRule="exact"/>
              <w:ind w:left="105"/>
              <w:rPr>
                <w:sz w:val="21"/>
              </w:rPr>
            </w:pPr>
            <w:r>
              <w:rPr>
                <w:sz w:val="21"/>
              </w:rPr>
              <w:t>为饮酒后驾驶或醉酒后驾驶。</w:t>
            </w:r>
          </w:p>
        </w:tc>
      </w:tr>
      <w:tr>
        <w:trPr>
          <w:trHeight w:val="2189" w:hRule="atLeast"/>
        </w:trPr>
        <w:tc>
          <w:tcPr>
            <w:tcW w:w="738" w:type="dxa"/>
          </w:tcPr>
          <w:p>
            <w:pPr>
              <w:pStyle w:val="TableParagraph"/>
              <w:spacing w:before="147"/>
              <w:ind w:right="113"/>
              <w:jc w:val="right"/>
              <w:rPr>
                <w:b/>
                <w:sz w:val="21"/>
              </w:rPr>
            </w:pPr>
            <w:r>
              <w:rPr>
                <w:b/>
                <w:w w:val="95"/>
                <w:sz w:val="21"/>
              </w:rPr>
              <w:t>9.14</w:t>
            </w:r>
          </w:p>
        </w:tc>
        <w:tc>
          <w:tcPr>
            <w:tcW w:w="1809" w:type="dxa"/>
          </w:tcPr>
          <w:p>
            <w:pPr>
              <w:pStyle w:val="TableParagraph"/>
              <w:spacing w:line="278" w:lineRule="auto" w:before="171"/>
              <w:ind w:left="114" w:right="213"/>
              <w:rPr>
                <w:b/>
                <w:sz w:val="21"/>
              </w:rPr>
            </w:pPr>
            <w:r>
              <w:rPr>
                <w:b/>
                <w:sz w:val="21"/>
              </w:rPr>
              <w:t>无合法有效驾驶证驾驶</w:t>
            </w:r>
          </w:p>
        </w:tc>
        <w:tc>
          <w:tcPr>
            <w:tcW w:w="7416" w:type="dxa"/>
          </w:tcPr>
          <w:p>
            <w:pPr>
              <w:pStyle w:val="TableParagraph"/>
              <w:spacing w:before="147"/>
              <w:ind w:left="105"/>
              <w:rPr>
                <w:sz w:val="21"/>
              </w:rPr>
            </w:pPr>
            <w:r>
              <w:rPr>
                <w:sz w:val="21"/>
              </w:rPr>
              <w:t>指下列情形之一：</w:t>
            </w:r>
          </w:p>
          <w:p>
            <w:pPr>
              <w:pStyle w:val="TableParagraph"/>
              <w:spacing w:before="36"/>
              <w:ind w:left="105"/>
              <w:rPr>
                <w:sz w:val="21"/>
              </w:rPr>
            </w:pPr>
            <w:r>
              <w:rPr>
                <w:sz w:val="21"/>
              </w:rPr>
              <w:t>（1）没有取得驾驶资格；</w:t>
            </w:r>
          </w:p>
          <w:p>
            <w:pPr>
              <w:pStyle w:val="TableParagraph"/>
              <w:spacing w:before="36"/>
              <w:ind w:left="105"/>
              <w:rPr>
                <w:sz w:val="21"/>
              </w:rPr>
            </w:pPr>
            <w:r>
              <w:rPr>
                <w:sz w:val="21"/>
              </w:rPr>
              <w:t>（2）驾驶与驾驶证准驾车型不相符合的车辆；</w:t>
            </w:r>
          </w:p>
          <w:p>
            <w:pPr>
              <w:pStyle w:val="TableParagraph"/>
              <w:spacing w:before="36"/>
              <w:ind w:left="105"/>
              <w:rPr>
                <w:sz w:val="21"/>
              </w:rPr>
            </w:pPr>
            <w:r>
              <w:rPr>
                <w:sz w:val="21"/>
              </w:rPr>
              <w:t>（3）持审验不合格的驾驶证驾驶；</w:t>
            </w:r>
          </w:p>
          <w:p>
            <w:pPr>
              <w:pStyle w:val="TableParagraph"/>
              <w:spacing w:line="273" w:lineRule="auto" w:before="36"/>
              <w:ind w:left="631" w:right="267" w:hanging="527"/>
              <w:rPr>
                <w:sz w:val="21"/>
              </w:rPr>
            </w:pPr>
            <w:r>
              <w:rPr>
                <w:sz w:val="21"/>
              </w:rPr>
              <w:t>（4）持学习驾驶证学习驾车时，无教练员随车指导，或不按指定时间、路线学习驾车。</w:t>
            </w:r>
          </w:p>
        </w:tc>
      </w:tr>
      <w:tr>
        <w:trPr>
          <w:trHeight w:val="1248" w:hRule="atLeast"/>
        </w:trPr>
        <w:tc>
          <w:tcPr>
            <w:tcW w:w="738" w:type="dxa"/>
          </w:tcPr>
          <w:p>
            <w:pPr>
              <w:pStyle w:val="TableParagraph"/>
              <w:spacing w:before="142"/>
              <w:ind w:right="113"/>
              <w:jc w:val="right"/>
              <w:rPr>
                <w:b/>
                <w:sz w:val="21"/>
              </w:rPr>
            </w:pPr>
            <w:r>
              <w:rPr>
                <w:b/>
                <w:w w:val="95"/>
                <w:sz w:val="21"/>
              </w:rPr>
              <w:t>9.15</w:t>
            </w:r>
          </w:p>
        </w:tc>
        <w:tc>
          <w:tcPr>
            <w:tcW w:w="1809" w:type="dxa"/>
          </w:tcPr>
          <w:p>
            <w:pPr>
              <w:pStyle w:val="TableParagraph"/>
              <w:spacing w:before="142"/>
              <w:ind w:left="114"/>
              <w:rPr>
                <w:b/>
                <w:sz w:val="21"/>
              </w:rPr>
            </w:pPr>
            <w:r>
              <w:rPr>
                <w:b/>
                <w:sz w:val="21"/>
              </w:rPr>
              <w:t>无有效行驶证</w:t>
            </w:r>
          </w:p>
        </w:tc>
        <w:tc>
          <w:tcPr>
            <w:tcW w:w="7416" w:type="dxa"/>
          </w:tcPr>
          <w:p>
            <w:pPr>
              <w:pStyle w:val="TableParagraph"/>
              <w:spacing w:before="142"/>
              <w:ind w:left="105"/>
              <w:rPr>
                <w:sz w:val="21"/>
              </w:rPr>
            </w:pPr>
            <w:r>
              <w:rPr>
                <w:sz w:val="21"/>
              </w:rPr>
              <w:t>指下列情形之一：</w:t>
            </w:r>
          </w:p>
          <w:p>
            <w:pPr>
              <w:pStyle w:val="TableParagraph"/>
              <w:spacing w:before="36"/>
              <w:ind w:left="105"/>
              <w:rPr>
                <w:sz w:val="21"/>
              </w:rPr>
            </w:pPr>
            <w:r>
              <w:rPr>
                <w:sz w:val="21"/>
              </w:rPr>
              <w:t>（1）机动车被依法注销登记的；</w:t>
            </w:r>
          </w:p>
          <w:p>
            <w:pPr>
              <w:pStyle w:val="TableParagraph"/>
              <w:spacing w:before="36"/>
              <w:ind w:left="105"/>
              <w:rPr>
                <w:sz w:val="21"/>
              </w:rPr>
            </w:pPr>
            <w:r>
              <w:rPr>
                <w:sz w:val="21"/>
              </w:rPr>
              <w:t>（2）未依法按时进行或通过机动车安全技术检验。</w:t>
            </w:r>
          </w:p>
        </w:tc>
      </w:tr>
      <w:tr>
        <w:trPr>
          <w:trHeight w:val="2184" w:hRule="atLeast"/>
        </w:trPr>
        <w:tc>
          <w:tcPr>
            <w:tcW w:w="738" w:type="dxa"/>
          </w:tcPr>
          <w:p>
            <w:pPr>
              <w:pStyle w:val="TableParagraph"/>
              <w:spacing w:before="143"/>
              <w:ind w:right="113"/>
              <w:jc w:val="right"/>
              <w:rPr>
                <w:b/>
                <w:sz w:val="21"/>
              </w:rPr>
            </w:pPr>
            <w:r>
              <w:rPr>
                <w:b/>
                <w:w w:val="95"/>
                <w:sz w:val="21"/>
              </w:rPr>
              <w:t>9.16</w:t>
            </w:r>
          </w:p>
        </w:tc>
        <w:tc>
          <w:tcPr>
            <w:tcW w:w="1809" w:type="dxa"/>
          </w:tcPr>
          <w:p>
            <w:pPr>
              <w:pStyle w:val="TableParagraph"/>
              <w:spacing w:line="278" w:lineRule="auto" w:before="167"/>
              <w:ind w:left="114" w:right="213"/>
              <w:rPr>
                <w:b/>
                <w:sz w:val="21"/>
              </w:rPr>
            </w:pPr>
            <w:r>
              <w:rPr>
                <w:b/>
                <w:sz w:val="21"/>
              </w:rPr>
              <w:t>感染艾滋病病毒或患艾滋病</w:t>
            </w:r>
          </w:p>
        </w:tc>
        <w:tc>
          <w:tcPr>
            <w:tcW w:w="7416" w:type="dxa"/>
          </w:tcPr>
          <w:p>
            <w:pPr>
              <w:pStyle w:val="TableParagraph"/>
              <w:spacing w:line="273" w:lineRule="auto" w:before="143"/>
              <w:ind w:left="105" w:right="214"/>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before="1"/>
              <w:ind w:left="105" w:right="200"/>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8" w:type="dxa"/>
          </w:tcPr>
          <w:p>
            <w:pPr>
              <w:pStyle w:val="TableParagraph"/>
              <w:spacing w:before="142"/>
              <w:ind w:right="113"/>
              <w:jc w:val="right"/>
              <w:rPr>
                <w:b/>
                <w:sz w:val="21"/>
              </w:rPr>
            </w:pPr>
            <w:r>
              <w:rPr>
                <w:b/>
                <w:w w:val="95"/>
                <w:sz w:val="21"/>
              </w:rPr>
              <w:t>9.17</w:t>
            </w:r>
          </w:p>
        </w:tc>
        <w:tc>
          <w:tcPr>
            <w:tcW w:w="1809" w:type="dxa"/>
          </w:tcPr>
          <w:p>
            <w:pPr>
              <w:pStyle w:val="TableParagraph"/>
              <w:spacing w:before="142"/>
              <w:ind w:left="114"/>
              <w:rPr>
                <w:b/>
                <w:sz w:val="21"/>
              </w:rPr>
            </w:pPr>
            <w:r>
              <w:rPr>
                <w:b/>
                <w:sz w:val="21"/>
              </w:rPr>
              <w:t>遗传性疾病</w:t>
            </w:r>
          </w:p>
        </w:tc>
        <w:tc>
          <w:tcPr>
            <w:tcW w:w="7416" w:type="dxa"/>
          </w:tcPr>
          <w:p>
            <w:pPr>
              <w:pStyle w:val="TableParagraph"/>
              <w:spacing w:line="273" w:lineRule="auto" w:before="142"/>
              <w:ind w:left="105" w:right="145"/>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8" w:type="dxa"/>
          </w:tcPr>
          <w:p>
            <w:pPr>
              <w:pStyle w:val="TableParagraph"/>
              <w:spacing w:before="143"/>
              <w:ind w:right="113"/>
              <w:jc w:val="right"/>
              <w:rPr>
                <w:b/>
                <w:sz w:val="21"/>
              </w:rPr>
            </w:pPr>
            <w:r>
              <w:rPr>
                <w:b/>
                <w:w w:val="95"/>
                <w:sz w:val="21"/>
              </w:rPr>
              <w:t>9.18</w:t>
            </w:r>
          </w:p>
        </w:tc>
        <w:tc>
          <w:tcPr>
            <w:tcW w:w="1809" w:type="dxa"/>
          </w:tcPr>
          <w:p>
            <w:pPr>
              <w:pStyle w:val="TableParagraph"/>
              <w:spacing w:line="273" w:lineRule="auto" w:before="143"/>
              <w:ind w:left="114" w:right="105"/>
              <w:rPr>
                <w:b/>
                <w:sz w:val="21"/>
              </w:rPr>
            </w:pPr>
            <w:r>
              <w:rPr>
                <w:b/>
                <w:spacing w:val="-14"/>
                <w:sz w:val="21"/>
              </w:rPr>
              <w:t>先天性畸形、变形或染色体异常</w:t>
            </w:r>
          </w:p>
        </w:tc>
        <w:tc>
          <w:tcPr>
            <w:tcW w:w="7416" w:type="dxa"/>
          </w:tcPr>
          <w:p>
            <w:pPr>
              <w:pStyle w:val="TableParagraph"/>
              <w:spacing w:line="273" w:lineRule="auto" w:before="143"/>
              <w:ind w:left="105" w:right="200"/>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2"/>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1041" w:hRule="atLeast"/>
        </w:trPr>
        <w:tc>
          <w:tcPr>
            <w:tcW w:w="738" w:type="dxa"/>
          </w:tcPr>
          <w:p>
            <w:pPr>
              <w:pStyle w:val="TableParagraph"/>
              <w:spacing w:before="142"/>
              <w:ind w:right="113"/>
              <w:jc w:val="right"/>
              <w:rPr>
                <w:b/>
                <w:sz w:val="21"/>
              </w:rPr>
            </w:pPr>
            <w:r>
              <w:rPr>
                <w:b/>
                <w:w w:val="95"/>
                <w:sz w:val="21"/>
              </w:rPr>
              <w:t>9.19</w:t>
            </w:r>
          </w:p>
        </w:tc>
        <w:tc>
          <w:tcPr>
            <w:tcW w:w="1809" w:type="dxa"/>
          </w:tcPr>
          <w:p>
            <w:pPr>
              <w:pStyle w:val="TableParagraph"/>
              <w:spacing w:before="142"/>
              <w:ind w:left="114"/>
              <w:rPr>
                <w:b/>
                <w:sz w:val="21"/>
              </w:rPr>
            </w:pPr>
            <w:r>
              <w:rPr>
                <w:b/>
                <w:sz w:val="21"/>
              </w:rPr>
              <w:t>现金价值</w:t>
            </w:r>
          </w:p>
        </w:tc>
        <w:tc>
          <w:tcPr>
            <w:tcW w:w="7416" w:type="dxa"/>
          </w:tcPr>
          <w:p>
            <w:pPr>
              <w:pStyle w:val="TableParagraph"/>
              <w:spacing w:line="310" w:lineRule="atLeast" w:before="107"/>
              <w:ind w:left="105" w:right="200"/>
              <w:jc w:val="both"/>
              <w:rPr>
                <w:sz w:val="21"/>
              </w:rPr>
            </w:pPr>
            <w:r>
              <w:rPr>
                <w:spacing w:val="-7"/>
                <w:sz w:val="21"/>
              </w:rPr>
              <w:t>指本合同所具有的价值，通常体现为解除合同时，根据精算原理计算的，由我</w:t>
            </w:r>
            <w:r>
              <w:rPr>
                <w:spacing w:val="-8"/>
                <w:sz w:val="21"/>
              </w:rPr>
              <w:t>们退还的那部分金额。本合同保单年度末的现金价值会在保险单上载明。保单</w:t>
            </w:r>
            <w:r>
              <w:rPr>
                <w:spacing w:val="-5"/>
                <w:sz w:val="21"/>
              </w:rPr>
              <w:t>年度内的现金价值，您可以向我们咨询。</w:t>
            </w:r>
          </w:p>
        </w:tc>
      </w:tr>
    </w:tbl>
    <w:sectPr>
      <w:pgSz w:w="11910" w:h="16840"/>
      <w:pgMar w:top="1160" w:bottom="280" w:left="10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200" w:hanging="632"/>
        <w:jc w:val="left"/>
      </w:pPr>
      <w:rPr>
        <w:rFonts w:hint="default" w:ascii="宋体" w:hAnsi="宋体" w:eastAsia="宋体" w:cs="宋体"/>
        <w:w w:val="100"/>
        <w:sz w:val="21"/>
        <w:szCs w:val="21"/>
      </w:rPr>
    </w:lvl>
    <w:lvl w:ilvl="1">
      <w:start w:val="0"/>
      <w:numFmt w:val="bullet"/>
      <w:lvlText w:val="•"/>
      <w:lvlJc w:val="left"/>
      <w:pPr>
        <w:ind w:left="941" w:hanging="632"/>
      </w:pPr>
      <w:rPr>
        <w:rFonts w:hint="default"/>
      </w:rPr>
    </w:lvl>
    <w:lvl w:ilvl="2">
      <w:start w:val="0"/>
      <w:numFmt w:val="bullet"/>
      <w:lvlText w:val="•"/>
      <w:lvlJc w:val="left"/>
      <w:pPr>
        <w:ind w:left="1682" w:hanging="632"/>
      </w:pPr>
      <w:rPr>
        <w:rFonts w:hint="default"/>
      </w:rPr>
    </w:lvl>
    <w:lvl w:ilvl="3">
      <w:start w:val="0"/>
      <w:numFmt w:val="bullet"/>
      <w:lvlText w:val="•"/>
      <w:lvlJc w:val="left"/>
      <w:pPr>
        <w:ind w:left="2423" w:hanging="632"/>
      </w:pPr>
      <w:rPr>
        <w:rFonts w:hint="default"/>
      </w:rPr>
    </w:lvl>
    <w:lvl w:ilvl="4">
      <w:start w:val="0"/>
      <w:numFmt w:val="bullet"/>
      <w:lvlText w:val="•"/>
      <w:lvlJc w:val="left"/>
      <w:pPr>
        <w:ind w:left="3165" w:hanging="632"/>
      </w:pPr>
      <w:rPr>
        <w:rFonts w:hint="default"/>
      </w:rPr>
    </w:lvl>
    <w:lvl w:ilvl="5">
      <w:start w:val="0"/>
      <w:numFmt w:val="bullet"/>
      <w:lvlText w:val="•"/>
      <w:lvlJc w:val="left"/>
      <w:pPr>
        <w:ind w:left="3906" w:hanging="632"/>
      </w:pPr>
      <w:rPr>
        <w:rFonts w:hint="default"/>
      </w:rPr>
    </w:lvl>
    <w:lvl w:ilvl="6">
      <w:start w:val="0"/>
      <w:numFmt w:val="bullet"/>
      <w:lvlText w:val="•"/>
      <w:lvlJc w:val="left"/>
      <w:pPr>
        <w:ind w:left="4647" w:hanging="632"/>
      </w:pPr>
      <w:rPr>
        <w:rFonts w:hint="default"/>
      </w:rPr>
    </w:lvl>
    <w:lvl w:ilvl="7">
      <w:start w:val="0"/>
      <w:numFmt w:val="bullet"/>
      <w:lvlText w:val="•"/>
      <w:lvlJc w:val="left"/>
      <w:pPr>
        <w:ind w:left="5389" w:hanging="632"/>
      </w:pPr>
      <w:rPr>
        <w:rFonts w:hint="default"/>
      </w:rPr>
    </w:lvl>
    <w:lvl w:ilvl="8">
      <w:start w:val="0"/>
      <w:numFmt w:val="bullet"/>
      <w:lvlText w:val="•"/>
      <w:lvlJc w:val="left"/>
      <w:pPr>
        <w:ind w:left="6130" w:hanging="632"/>
      </w:pPr>
      <w:rPr>
        <w:rFonts w:hint="default"/>
      </w:rPr>
    </w:lvl>
  </w:abstractNum>
  <w:abstractNum w:abstractNumId="11">
    <w:multiLevelType w:val="hybridMultilevel"/>
    <w:lvl w:ilvl="0">
      <w:start w:val="1"/>
      <w:numFmt w:val="decimal"/>
      <w:lvlText w:val="（%1）"/>
      <w:lvlJc w:val="left"/>
      <w:pPr>
        <w:ind w:left="2100" w:hanging="620"/>
        <w:jc w:val="left"/>
      </w:pPr>
      <w:rPr>
        <w:rFonts w:hint="default" w:ascii="宋体" w:hAnsi="宋体" w:eastAsia="宋体" w:cs="宋体"/>
        <w:w w:val="100"/>
        <w:sz w:val="21"/>
        <w:szCs w:val="21"/>
      </w:rPr>
    </w:lvl>
    <w:lvl w:ilvl="1">
      <w:start w:val="0"/>
      <w:numFmt w:val="bullet"/>
      <w:lvlText w:val="•"/>
      <w:lvlJc w:val="left"/>
      <w:pPr>
        <w:ind w:left="2832" w:hanging="620"/>
      </w:pPr>
      <w:rPr>
        <w:rFonts w:hint="default"/>
      </w:rPr>
    </w:lvl>
    <w:lvl w:ilvl="2">
      <w:start w:val="0"/>
      <w:numFmt w:val="bullet"/>
      <w:lvlText w:val="•"/>
      <w:lvlJc w:val="left"/>
      <w:pPr>
        <w:ind w:left="3565" w:hanging="620"/>
      </w:pPr>
      <w:rPr>
        <w:rFonts w:hint="default"/>
      </w:rPr>
    </w:lvl>
    <w:lvl w:ilvl="3">
      <w:start w:val="0"/>
      <w:numFmt w:val="bullet"/>
      <w:lvlText w:val="•"/>
      <w:lvlJc w:val="left"/>
      <w:pPr>
        <w:ind w:left="4297" w:hanging="620"/>
      </w:pPr>
      <w:rPr>
        <w:rFonts w:hint="default"/>
      </w:rPr>
    </w:lvl>
    <w:lvl w:ilvl="4">
      <w:start w:val="0"/>
      <w:numFmt w:val="bullet"/>
      <w:lvlText w:val="•"/>
      <w:lvlJc w:val="left"/>
      <w:pPr>
        <w:ind w:left="5030" w:hanging="620"/>
      </w:pPr>
      <w:rPr>
        <w:rFonts w:hint="default"/>
      </w:rPr>
    </w:lvl>
    <w:lvl w:ilvl="5">
      <w:start w:val="0"/>
      <w:numFmt w:val="bullet"/>
      <w:lvlText w:val="•"/>
      <w:lvlJc w:val="left"/>
      <w:pPr>
        <w:ind w:left="5763" w:hanging="620"/>
      </w:pPr>
      <w:rPr>
        <w:rFonts w:hint="default"/>
      </w:rPr>
    </w:lvl>
    <w:lvl w:ilvl="6">
      <w:start w:val="0"/>
      <w:numFmt w:val="bullet"/>
      <w:lvlText w:val="•"/>
      <w:lvlJc w:val="left"/>
      <w:pPr>
        <w:ind w:left="6495" w:hanging="620"/>
      </w:pPr>
      <w:rPr>
        <w:rFonts w:hint="default"/>
      </w:rPr>
    </w:lvl>
    <w:lvl w:ilvl="7">
      <w:start w:val="0"/>
      <w:numFmt w:val="bullet"/>
      <w:lvlText w:val="•"/>
      <w:lvlJc w:val="left"/>
      <w:pPr>
        <w:ind w:left="7228" w:hanging="620"/>
      </w:pPr>
      <w:rPr>
        <w:rFonts w:hint="default"/>
      </w:rPr>
    </w:lvl>
    <w:lvl w:ilvl="8">
      <w:start w:val="0"/>
      <w:numFmt w:val="bullet"/>
      <w:lvlText w:val="•"/>
      <w:lvlJc w:val="left"/>
      <w:pPr>
        <w:ind w:left="7961" w:hanging="620"/>
      </w:pPr>
      <w:rPr>
        <w:rFonts w:hint="default"/>
      </w:rPr>
    </w:lvl>
  </w:abstractNum>
  <w:abstractNum w:abstractNumId="10">
    <w:multiLevelType w:val="hybridMultilevel"/>
    <w:lvl w:ilvl="0">
      <w:start w:val="1"/>
      <w:numFmt w:val="decimal"/>
      <w:lvlText w:val="（%1）"/>
      <w:lvlJc w:val="left"/>
      <w:pPr>
        <w:ind w:left="2732" w:hanging="632"/>
        <w:jc w:val="left"/>
      </w:pPr>
      <w:rPr>
        <w:rFonts w:hint="default" w:ascii="宋体" w:hAnsi="宋体" w:eastAsia="宋体" w:cs="宋体"/>
        <w:w w:val="100"/>
        <w:sz w:val="21"/>
        <w:szCs w:val="21"/>
      </w:rPr>
    </w:lvl>
    <w:lvl w:ilvl="1">
      <w:start w:val="0"/>
      <w:numFmt w:val="bullet"/>
      <w:lvlText w:val="•"/>
      <w:lvlJc w:val="left"/>
      <w:pPr>
        <w:ind w:left="3408" w:hanging="632"/>
      </w:pPr>
      <w:rPr>
        <w:rFonts w:hint="default"/>
      </w:rPr>
    </w:lvl>
    <w:lvl w:ilvl="2">
      <w:start w:val="0"/>
      <w:numFmt w:val="bullet"/>
      <w:lvlText w:val="•"/>
      <w:lvlJc w:val="left"/>
      <w:pPr>
        <w:ind w:left="4077" w:hanging="632"/>
      </w:pPr>
      <w:rPr>
        <w:rFonts w:hint="default"/>
      </w:rPr>
    </w:lvl>
    <w:lvl w:ilvl="3">
      <w:start w:val="0"/>
      <w:numFmt w:val="bullet"/>
      <w:lvlText w:val="•"/>
      <w:lvlJc w:val="left"/>
      <w:pPr>
        <w:ind w:left="4745" w:hanging="632"/>
      </w:pPr>
      <w:rPr>
        <w:rFonts w:hint="default"/>
      </w:rPr>
    </w:lvl>
    <w:lvl w:ilvl="4">
      <w:start w:val="0"/>
      <w:numFmt w:val="bullet"/>
      <w:lvlText w:val="•"/>
      <w:lvlJc w:val="left"/>
      <w:pPr>
        <w:ind w:left="5414" w:hanging="632"/>
      </w:pPr>
      <w:rPr>
        <w:rFonts w:hint="default"/>
      </w:rPr>
    </w:lvl>
    <w:lvl w:ilvl="5">
      <w:start w:val="0"/>
      <w:numFmt w:val="bullet"/>
      <w:lvlText w:val="•"/>
      <w:lvlJc w:val="left"/>
      <w:pPr>
        <w:ind w:left="6083" w:hanging="632"/>
      </w:pPr>
      <w:rPr>
        <w:rFonts w:hint="default"/>
      </w:rPr>
    </w:lvl>
    <w:lvl w:ilvl="6">
      <w:start w:val="0"/>
      <w:numFmt w:val="bullet"/>
      <w:lvlText w:val="•"/>
      <w:lvlJc w:val="left"/>
      <w:pPr>
        <w:ind w:left="6751" w:hanging="632"/>
      </w:pPr>
      <w:rPr>
        <w:rFonts w:hint="default"/>
      </w:rPr>
    </w:lvl>
    <w:lvl w:ilvl="7">
      <w:start w:val="0"/>
      <w:numFmt w:val="bullet"/>
      <w:lvlText w:val="•"/>
      <w:lvlJc w:val="left"/>
      <w:pPr>
        <w:ind w:left="7420" w:hanging="632"/>
      </w:pPr>
      <w:rPr>
        <w:rFonts w:hint="default"/>
      </w:rPr>
    </w:lvl>
    <w:lvl w:ilvl="8">
      <w:start w:val="0"/>
      <w:numFmt w:val="bullet"/>
      <w:lvlText w:val="•"/>
      <w:lvlJc w:val="left"/>
      <w:pPr>
        <w:ind w:left="8089" w:hanging="632"/>
      </w:pPr>
      <w:rPr>
        <w:rFonts w:hint="default"/>
      </w:rPr>
    </w:lvl>
  </w:abstractNum>
  <w:abstractNum w:abstractNumId="9">
    <w:multiLevelType w:val="hybridMultilevel"/>
    <w:lvl w:ilvl="0">
      <w:start w:val="1"/>
      <w:numFmt w:val="decimal"/>
      <w:lvlText w:val="（%1）"/>
      <w:lvlJc w:val="left"/>
      <w:pPr>
        <w:ind w:left="2100" w:hanging="632"/>
        <w:jc w:val="left"/>
      </w:pPr>
      <w:rPr>
        <w:rFonts w:hint="default" w:ascii="宋体" w:hAnsi="宋体" w:eastAsia="宋体" w:cs="宋体"/>
        <w:w w:val="100"/>
        <w:sz w:val="21"/>
        <w:szCs w:val="21"/>
      </w:rPr>
    </w:lvl>
    <w:lvl w:ilvl="1">
      <w:start w:val="0"/>
      <w:numFmt w:val="bullet"/>
      <w:lvlText w:val="•"/>
      <w:lvlJc w:val="left"/>
      <w:pPr>
        <w:ind w:left="2832" w:hanging="632"/>
      </w:pPr>
      <w:rPr>
        <w:rFonts w:hint="default"/>
      </w:rPr>
    </w:lvl>
    <w:lvl w:ilvl="2">
      <w:start w:val="0"/>
      <w:numFmt w:val="bullet"/>
      <w:lvlText w:val="•"/>
      <w:lvlJc w:val="left"/>
      <w:pPr>
        <w:ind w:left="3565" w:hanging="632"/>
      </w:pPr>
      <w:rPr>
        <w:rFonts w:hint="default"/>
      </w:rPr>
    </w:lvl>
    <w:lvl w:ilvl="3">
      <w:start w:val="0"/>
      <w:numFmt w:val="bullet"/>
      <w:lvlText w:val="•"/>
      <w:lvlJc w:val="left"/>
      <w:pPr>
        <w:ind w:left="4297" w:hanging="632"/>
      </w:pPr>
      <w:rPr>
        <w:rFonts w:hint="default"/>
      </w:rPr>
    </w:lvl>
    <w:lvl w:ilvl="4">
      <w:start w:val="0"/>
      <w:numFmt w:val="bullet"/>
      <w:lvlText w:val="•"/>
      <w:lvlJc w:val="left"/>
      <w:pPr>
        <w:ind w:left="5030" w:hanging="632"/>
      </w:pPr>
      <w:rPr>
        <w:rFonts w:hint="default"/>
      </w:rPr>
    </w:lvl>
    <w:lvl w:ilvl="5">
      <w:start w:val="0"/>
      <w:numFmt w:val="bullet"/>
      <w:lvlText w:val="•"/>
      <w:lvlJc w:val="left"/>
      <w:pPr>
        <w:ind w:left="5763" w:hanging="632"/>
      </w:pPr>
      <w:rPr>
        <w:rFonts w:hint="default"/>
      </w:rPr>
    </w:lvl>
    <w:lvl w:ilvl="6">
      <w:start w:val="0"/>
      <w:numFmt w:val="bullet"/>
      <w:lvlText w:val="•"/>
      <w:lvlJc w:val="left"/>
      <w:pPr>
        <w:ind w:left="6495" w:hanging="632"/>
      </w:pPr>
      <w:rPr>
        <w:rFonts w:hint="default"/>
      </w:rPr>
    </w:lvl>
    <w:lvl w:ilvl="7">
      <w:start w:val="0"/>
      <w:numFmt w:val="bullet"/>
      <w:lvlText w:val="•"/>
      <w:lvlJc w:val="left"/>
      <w:pPr>
        <w:ind w:left="7228" w:hanging="632"/>
      </w:pPr>
      <w:rPr>
        <w:rFonts w:hint="default"/>
      </w:rPr>
    </w:lvl>
    <w:lvl w:ilvl="8">
      <w:start w:val="0"/>
      <w:numFmt w:val="bullet"/>
      <w:lvlText w:val="•"/>
      <w:lvlJc w:val="left"/>
      <w:pPr>
        <w:ind w:left="7961" w:hanging="632"/>
      </w:pPr>
      <w:rPr>
        <w:rFonts w:hint="default"/>
      </w:rPr>
    </w:lvl>
  </w:abstractNum>
  <w:abstractNum w:abstractNumId="8">
    <w:multiLevelType w:val="hybridMultilevel"/>
    <w:lvl w:ilvl="0">
      <w:start w:val="1"/>
      <w:numFmt w:val="decimal"/>
      <w:lvlText w:val="（%1）"/>
      <w:lvlJc w:val="left"/>
      <w:pPr>
        <w:ind w:left="2100" w:hanging="632"/>
        <w:jc w:val="left"/>
      </w:pPr>
      <w:rPr>
        <w:rFonts w:hint="default" w:ascii="宋体" w:hAnsi="宋体" w:eastAsia="宋体" w:cs="宋体"/>
        <w:w w:val="100"/>
        <w:sz w:val="21"/>
        <w:szCs w:val="21"/>
      </w:rPr>
    </w:lvl>
    <w:lvl w:ilvl="1">
      <w:start w:val="0"/>
      <w:numFmt w:val="bullet"/>
      <w:lvlText w:val="•"/>
      <w:lvlJc w:val="left"/>
      <w:pPr>
        <w:ind w:left="2832" w:hanging="632"/>
      </w:pPr>
      <w:rPr>
        <w:rFonts w:hint="default"/>
      </w:rPr>
    </w:lvl>
    <w:lvl w:ilvl="2">
      <w:start w:val="0"/>
      <w:numFmt w:val="bullet"/>
      <w:lvlText w:val="•"/>
      <w:lvlJc w:val="left"/>
      <w:pPr>
        <w:ind w:left="3565" w:hanging="632"/>
      </w:pPr>
      <w:rPr>
        <w:rFonts w:hint="default"/>
      </w:rPr>
    </w:lvl>
    <w:lvl w:ilvl="3">
      <w:start w:val="0"/>
      <w:numFmt w:val="bullet"/>
      <w:lvlText w:val="•"/>
      <w:lvlJc w:val="left"/>
      <w:pPr>
        <w:ind w:left="4297" w:hanging="632"/>
      </w:pPr>
      <w:rPr>
        <w:rFonts w:hint="default"/>
      </w:rPr>
    </w:lvl>
    <w:lvl w:ilvl="4">
      <w:start w:val="0"/>
      <w:numFmt w:val="bullet"/>
      <w:lvlText w:val="•"/>
      <w:lvlJc w:val="left"/>
      <w:pPr>
        <w:ind w:left="5030" w:hanging="632"/>
      </w:pPr>
      <w:rPr>
        <w:rFonts w:hint="default"/>
      </w:rPr>
    </w:lvl>
    <w:lvl w:ilvl="5">
      <w:start w:val="0"/>
      <w:numFmt w:val="bullet"/>
      <w:lvlText w:val="•"/>
      <w:lvlJc w:val="left"/>
      <w:pPr>
        <w:ind w:left="5763" w:hanging="632"/>
      </w:pPr>
      <w:rPr>
        <w:rFonts w:hint="default"/>
      </w:rPr>
    </w:lvl>
    <w:lvl w:ilvl="6">
      <w:start w:val="0"/>
      <w:numFmt w:val="bullet"/>
      <w:lvlText w:val="•"/>
      <w:lvlJc w:val="left"/>
      <w:pPr>
        <w:ind w:left="6495" w:hanging="632"/>
      </w:pPr>
      <w:rPr>
        <w:rFonts w:hint="default"/>
      </w:rPr>
    </w:lvl>
    <w:lvl w:ilvl="7">
      <w:start w:val="0"/>
      <w:numFmt w:val="bullet"/>
      <w:lvlText w:val="•"/>
      <w:lvlJc w:val="left"/>
      <w:pPr>
        <w:ind w:left="7228" w:hanging="632"/>
      </w:pPr>
      <w:rPr>
        <w:rFonts w:hint="default"/>
      </w:rPr>
    </w:lvl>
    <w:lvl w:ilvl="8">
      <w:start w:val="0"/>
      <w:numFmt w:val="bullet"/>
      <w:lvlText w:val="•"/>
      <w:lvlJc w:val="left"/>
      <w:pPr>
        <w:ind w:left="7961" w:hanging="632"/>
      </w:pPr>
      <w:rPr>
        <w:rFonts w:hint="default"/>
      </w:rPr>
    </w:lvl>
  </w:abstractNum>
  <w:abstractNum w:abstractNumId="7">
    <w:multiLevelType w:val="hybridMultilevel"/>
    <w:lvl w:ilvl="0">
      <w:start w:val="1"/>
      <w:numFmt w:val="decimal"/>
      <w:lvlText w:val="（%1）"/>
      <w:lvlJc w:val="left"/>
      <w:pPr>
        <w:ind w:left="2732" w:hanging="596"/>
        <w:jc w:val="left"/>
      </w:pPr>
      <w:rPr>
        <w:rFonts w:hint="default" w:ascii="宋体" w:hAnsi="宋体" w:eastAsia="宋体" w:cs="宋体"/>
        <w:w w:val="100"/>
        <w:sz w:val="21"/>
        <w:szCs w:val="21"/>
      </w:rPr>
    </w:lvl>
    <w:lvl w:ilvl="1">
      <w:start w:val="0"/>
      <w:numFmt w:val="bullet"/>
      <w:lvlText w:val="•"/>
      <w:lvlJc w:val="left"/>
      <w:pPr>
        <w:ind w:left="3408" w:hanging="596"/>
      </w:pPr>
      <w:rPr>
        <w:rFonts w:hint="default"/>
      </w:rPr>
    </w:lvl>
    <w:lvl w:ilvl="2">
      <w:start w:val="0"/>
      <w:numFmt w:val="bullet"/>
      <w:lvlText w:val="•"/>
      <w:lvlJc w:val="left"/>
      <w:pPr>
        <w:ind w:left="4077" w:hanging="596"/>
      </w:pPr>
      <w:rPr>
        <w:rFonts w:hint="default"/>
      </w:rPr>
    </w:lvl>
    <w:lvl w:ilvl="3">
      <w:start w:val="0"/>
      <w:numFmt w:val="bullet"/>
      <w:lvlText w:val="•"/>
      <w:lvlJc w:val="left"/>
      <w:pPr>
        <w:ind w:left="4745" w:hanging="596"/>
      </w:pPr>
      <w:rPr>
        <w:rFonts w:hint="default"/>
      </w:rPr>
    </w:lvl>
    <w:lvl w:ilvl="4">
      <w:start w:val="0"/>
      <w:numFmt w:val="bullet"/>
      <w:lvlText w:val="•"/>
      <w:lvlJc w:val="left"/>
      <w:pPr>
        <w:ind w:left="5414" w:hanging="596"/>
      </w:pPr>
      <w:rPr>
        <w:rFonts w:hint="default"/>
      </w:rPr>
    </w:lvl>
    <w:lvl w:ilvl="5">
      <w:start w:val="0"/>
      <w:numFmt w:val="bullet"/>
      <w:lvlText w:val="•"/>
      <w:lvlJc w:val="left"/>
      <w:pPr>
        <w:ind w:left="6083" w:hanging="596"/>
      </w:pPr>
      <w:rPr>
        <w:rFonts w:hint="default"/>
      </w:rPr>
    </w:lvl>
    <w:lvl w:ilvl="6">
      <w:start w:val="0"/>
      <w:numFmt w:val="bullet"/>
      <w:lvlText w:val="•"/>
      <w:lvlJc w:val="left"/>
      <w:pPr>
        <w:ind w:left="6751" w:hanging="596"/>
      </w:pPr>
      <w:rPr>
        <w:rFonts w:hint="default"/>
      </w:rPr>
    </w:lvl>
    <w:lvl w:ilvl="7">
      <w:start w:val="0"/>
      <w:numFmt w:val="bullet"/>
      <w:lvlText w:val="•"/>
      <w:lvlJc w:val="left"/>
      <w:pPr>
        <w:ind w:left="7420" w:hanging="596"/>
      </w:pPr>
      <w:rPr>
        <w:rFonts w:hint="default"/>
      </w:rPr>
    </w:lvl>
    <w:lvl w:ilvl="8">
      <w:start w:val="0"/>
      <w:numFmt w:val="bullet"/>
      <w:lvlText w:val="•"/>
      <w:lvlJc w:val="left"/>
      <w:pPr>
        <w:ind w:left="8089" w:hanging="596"/>
      </w:pPr>
      <w:rPr>
        <w:rFonts w:hint="default"/>
      </w:rPr>
    </w:lvl>
  </w:abstractNum>
  <w:abstractNum w:abstractNumId="6">
    <w:multiLevelType w:val="hybridMultilevel"/>
    <w:lvl w:ilvl="0">
      <w:start w:val="1"/>
      <w:numFmt w:val="decimal"/>
      <w:lvlText w:val="(%1)"/>
      <w:lvlJc w:val="left"/>
      <w:pPr>
        <w:ind w:left="2523" w:hanging="423"/>
        <w:jc w:val="left"/>
      </w:pPr>
      <w:rPr>
        <w:rFonts w:hint="default" w:ascii="宋体" w:hAnsi="宋体" w:eastAsia="宋体" w:cs="宋体"/>
        <w:w w:val="100"/>
        <w:sz w:val="21"/>
        <w:szCs w:val="21"/>
      </w:rPr>
    </w:lvl>
    <w:lvl w:ilvl="1">
      <w:start w:val="0"/>
      <w:numFmt w:val="bullet"/>
      <w:lvlText w:val="•"/>
      <w:lvlJc w:val="left"/>
      <w:pPr>
        <w:ind w:left="3210" w:hanging="423"/>
      </w:pPr>
      <w:rPr>
        <w:rFonts w:hint="default"/>
      </w:rPr>
    </w:lvl>
    <w:lvl w:ilvl="2">
      <w:start w:val="0"/>
      <w:numFmt w:val="bullet"/>
      <w:lvlText w:val="•"/>
      <w:lvlJc w:val="left"/>
      <w:pPr>
        <w:ind w:left="3901" w:hanging="423"/>
      </w:pPr>
      <w:rPr>
        <w:rFonts w:hint="default"/>
      </w:rPr>
    </w:lvl>
    <w:lvl w:ilvl="3">
      <w:start w:val="0"/>
      <w:numFmt w:val="bullet"/>
      <w:lvlText w:val="•"/>
      <w:lvlJc w:val="left"/>
      <w:pPr>
        <w:ind w:left="4591" w:hanging="423"/>
      </w:pPr>
      <w:rPr>
        <w:rFonts w:hint="default"/>
      </w:rPr>
    </w:lvl>
    <w:lvl w:ilvl="4">
      <w:start w:val="0"/>
      <w:numFmt w:val="bullet"/>
      <w:lvlText w:val="•"/>
      <w:lvlJc w:val="left"/>
      <w:pPr>
        <w:ind w:left="5282" w:hanging="423"/>
      </w:pPr>
      <w:rPr>
        <w:rFonts w:hint="default"/>
      </w:rPr>
    </w:lvl>
    <w:lvl w:ilvl="5">
      <w:start w:val="0"/>
      <w:numFmt w:val="bullet"/>
      <w:lvlText w:val="•"/>
      <w:lvlJc w:val="left"/>
      <w:pPr>
        <w:ind w:left="5973" w:hanging="423"/>
      </w:pPr>
      <w:rPr>
        <w:rFonts w:hint="default"/>
      </w:rPr>
    </w:lvl>
    <w:lvl w:ilvl="6">
      <w:start w:val="0"/>
      <w:numFmt w:val="bullet"/>
      <w:lvlText w:val="•"/>
      <w:lvlJc w:val="left"/>
      <w:pPr>
        <w:ind w:left="6663" w:hanging="423"/>
      </w:pPr>
      <w:rPr>
        <w:rFonts w:hint="default"/>
      </w:rPr>
    </w:lvl>
    <w:lvl w:ilvl="7">
      <w:start w:val="0"/>
      <w:numFmt w:val="bullet"/>
      <w:lvlText w:val="•"/>
      <w:lvlJc w:val="left"/>
      <w:pPr>
        <w:ind w:left="7354" w:hanging="423"/>
      </w:pPr>
      <w:rPr>
        <w:rFonts w:hint="default"/>
      </w:rPr>
    </w:lvl>
    <w:lvl w:ilvl="8">
      <w:start w:val="0"/>
      <w:numFmt w:val="bullet"/>
      <w:lvlText w:val="•"/>
      <w:lvlJc w:val="left"/>
      <w:pPr>
        <w:ind w:left="8045" w:hanging="423"/>
      </w:pPr>
      <w:rPr>
        <w:rFonts w:hint="default"/>
      </w:rPr>
    </w:lvl>
  </w:abstractNum>
  <w:abstractNum w:abstractNumId="5">
    <w:multiLevelType w:val="hybridMultilevel"/>
    <w:lvl w:ilvl="0">
      <w:start w:val="1"/>
      <w:numFmt w:val="decimal"/>
      <w:lvlText w:val="(%1)"/>
      <w:lvlJc w:val="left"/>
      <w:pPr>
        <w:ind w:left="2521" w:hanging="423"/>
        <w:jc w:val="left"/>
      </w:pPr>
      <w:rPr>
        <w:rFonts w:hint="default" w:ascii="宋体" w:hAnsi="宋体" w:eastAsia="宋体" w:cs="宋体"/>
        <w:w w:val="100"/>
        <w:sz w:val="21"/>
        <w:szCs w:val="21"/>
      </w:rPr>
    </w:lvl>
    <w:lvl w:ilvl="1">
      <w:start w:val="0"/>
      <w:numFmt w:val="bullet"/>
      <w:lvlText w:val="•"/>
      <w:lvlJc w:val="left"/>
      <w:pPr>
        <w:ind w:left="3210" w:hanging="423"/>
      </w:pPr>
      <w:rPr>
        <w:rFonts w:hint="default"/>
      </w:rPr>
    </w:lvl>
    <w:lvl w:ilvl="2">
      <w:start w:val="0"/>
      <w:numFmt w:val="bullet"/>
      <w:lvlText w:val="•"/>
      <w:lvlJc w:val="left"/>
      <w:pPr>
        <w:ind w:left="3901" w:hanging="423"/>
      </w:pPr>
      <w:rPr>
        <w:rFonts w:hint="default"/>
      </w:rPr>
    </w:lvl>
    <w:lvl w:ilvl="3">
      <w:start w:val="0"/>
      <w:numFmt w:val="bullet"/>
      <w:lvlText w:val="•"/>
      <w:lvlJc w:val="left"/>
      <w:pPr>
        <w:ind w:left="4591" w:hanging="423"/>
      </w:pPr>
      <w:rPr>
        <w:rFonts w:hint="default"/>
      </w:rPr>
    </w:lvl>
    <w:lvl w:ilvl="4">
      <w:start w:val="0"/>
      <w:numFmt w:val="bullet"/>
      <w:lvlText w:val="•"/>
      <w:lvlJc w:val="left"/>
      <w:pPr>
        <w:ind w:left="5282" w:hanging="423"/>
      </w:pPr>
      <w:rPr>
        <w:rFonts w:hint="default"/>
      </w:rPr>
    </w:lvl>
    <w:lvl w:ilvl="5">
      <w:start w:val="0"/>
      <w:numFmt w:val="bullet"/>
      <w:lvlText w:val="•"/>
      <w:lvlJc w:val="left"/>
      <w:pPr>
        <w:ind w:left="5973" w:hanging="423"/>
      </w:pPr>
      <w:rPr>
        <w:rFonts w:hint="default"/>
      </w:rPr>
    </w:lvl>
    <w:lvl w:ilvl="6">
      <w:start w:val="0"/>
      <w:numFmt w:val="bullet"/>
      <w:lvlText w:val="•"/>
      <w:lvlJc w:val="left"/>
      <w:pPr>
        <w:ind w:left="6663" w:hanging="423"/>
      </w:pPr>
      <w:rPr>
        <w:rFonts w:hint="default"/>
      </w:rPr>
    </w:lvl>
    <w:lvl w:ilvl="7">
      <w:start w:val="0"/>
      <w:numFmt w:val="bullet"/>
      <w:lvlText w:val="•"/>
      <w:lvlJc w:val="left"/>
      <w:pPr>
        <w:ind w:left="7354" w:hanging="423"/>
      </w:pPr>
      <w:rPr>
        <w:rFonts w:hint="default"/>
      </w:rPr>
    </w:lvl>
    <w:lvl w:ilvl="8">
      <w:start w:val="0"/>
      <w:numFmt w:val="bullet"/>
      <w:lvlText w:val="•"/>
      <w:lvlJc w:val="left"/>
      <w:pPr>
        <w:ind w:left="8045" w:hanging="423"/>
      </w:pPr>
      <w:rPr>
        <w:rFonts w:hint="default"/>
      </w:rPr>
    </w:lvl>
  </w:abstractNum>
  <w:abstractNum w:abstractNumId="4">
    <w:multiLevelType w:val="hybridMultilevel"/>
    <w:lvl w:ilvl="0">
      <w:start w:val="1"/>
      <w:numFmt w:val="decimal"/>
      <w:lvlText w:val="(%1)"/>
      <w:lvlJc w:val="left"/>
      <w:pPr>
        <w:ind w:left="2523" w:hanging="423"/>
        <w:jc w:val="left"/>
      </w:pPr>
      <w:rPr>
        <w:rFonts w:hint="default" w:ascii="宋体" w:hAnsi="宋体" w:eastAsia="宋体" w:cs="宋体"/>
        <w:w w:val="100"/>
        <w:sz w:val="21"/>
        <w:szCs w:val="21"/>
      </w:rPr>
    </w:lvl>
    <w:lvl w:ilvl="1">
      <w:start w:val="0"/>
      <w:numFmt w:val="bullet"/>
      <w:lvlText w:val="•"/>
      <w:lvlJc w:val="left"/>
      <w:pPr>
        <w:ind w:left="3202" w:hanging="423"/>
      </w:pPr>
      <w:rPr>
        <w:rFonts w:hint="default"/>
      </w:rPr>
    </w:lvl>
    <w:lvl w:ilvl="2">
      <w:start w:val="0"/>
      <w:numFmt w:val="bullet"/>
      <w:lvlText w:val="•"/>
      <w:lvlJc w:val="left"/>
      <w:pPr>
        <w:ind w:left="3885" w:hanging="423"/>
      </w:pPr>
      <w:rPr>
        <w:rFonts w:hint="default"/>
      </w:rPr>
    </w:lvl>
    <w:lvl w:ilvl="3">
      <w:start w:val="0"/>
      <w:numFmt w:val="bullet"/>
      <w:lvlText w:val="•"/>
      <w:lvlJc w:val="left"/>
      <w:pPr>
        <w:ind w:left="4567" w:hanging="423"/>
      </w:pPr>
      <w:rPr>
        <w:rFonts w:hint="default"/>
      </w:rPr>
    </w:lvl>
    <w:lvl w:ilvl="4">
      <w:start w:val="0"/>
      <w:numFmt w:val="bullet"/>
      <w:lvlText w:val="•"/>
      <w:lvlJc w:val="left"/>
      <w:pPr>
        <w:ind w:left="5250" w:hanging="423"/>
      </w:pPr>
      <w:rPr>
        <w:rFonts w:hint="default"/>
      </w:rPr>
    </w:lvl>
    <w:lvl w:ilvl="5">
      <w:start w:val="0"/>
      <w:numFmt w:val="bullet"/>
      <w:lvlText w:val="•"/>
      <w:lvlJc w:val="left"/>
      <w:pPr>
        <w:ind w:left="5933" w:hanging="423"/>
      </w:pPr>
      <w:rPr>
        <w:rFonts w:hint="default"/>
      </w:rPr>
    </w:lvl>
    <w:lvl w:ilvl="6">
      <w:start w:val="0"/>
      <w:numFmt w:val="bullet"/>
      <w:lvlText w:val="•"/>
      <w:lvlJc w:val="left"/>
      <w:pPr>
        <w:ind w:left="6615" w:hanging="423"/>
      </w:pPr>
      <w:rPr>
        <w:rFonts w:hint="default"/>
      </w:rPr>
    </w:lvl>
    <w:lvl w:ilvl="7">
      <w:start w:val="0"/>
      <w:numFmt w:val="bullet"/>
      <w:lvlText w:val="•"/>
      <w:lvlJc w:val="left"/>
      <w:pPr>
        <w:ind w:left="7298" w:hanging="423"/>
      </w:pPr>
      <w:rPr>
        <w:rFonts w:hint="default"/>
      </w:rPr>
    </w:lvl>
    <w:lvl w:ilvl="8">
      <w:start w:val="0"/>
      <w:numFmt w:val="bullet"/>
      <w:lvlText w:val="•"/>
      <w:lvlJc w:val="left"/>
      <w:pPr>
        <w:ind w:left="7981" w:hanging="423"/>
      </w:pPr>
      <w:rPr>
        <w:rFonts w:hint="default"/>
      </w:rPr>
    </w:lvl>
  </w:abstractNum>
  <w:abstractNum w:abstractNumId="3">
    <w:multiLevelType w:val="hybridMultilevel"/>
    <w:lvl w:ilvl="0">
      <w:start w:val="1"/>
      <w:numFmt w:val="decimal"/>
      <w:lvlText w:val="（%1）"/>
      <w:lvlJc w:val="left"/>
      <w:pPr>
        <w:ind w:left="2732" w:hanging="632"/>
        <w:jc w:val="left"/>
      </w:pPr>
      <w:rPr>
        <w:rFonts w:hint="default" w:ascii="宋体" w:hAnsi="宋体" w:eastAsia="宋体" w:cs="宋体"/>
        <w:w w:val="100"/>
        <w:sz w:val="21"/>
        <w:szCs w:val="21"/>
      </w:rPr>
    </w:lvl>
    <w:lvl w:ilvl="1">
      <w:start w:val="0"/>
      <w:numFmt w:val="bullet"/>
      <w:lvlText w:val="•"/>
      <w:lvlJc w:val="left"/>
      <w:pPr>
        <w:ind w:left="3408" w:hanging="632"/>
      </w:pPr>
      <w:rPr>
        <w:rFonts w:hint="default"/>
      </w:rPr>
    </w:lvl>
    <w:lvl w:ilvl="2">
      <w:start w:val="0"/>
      <w:numFmt w:val="bullet"/>
      <w:lvlText w:val="•"/>
      <w:lvlJc w:val="left"/>
      <w:pPr>
        <w:ind w:left="4077" w:hanging="632"/>
      </w:pPr>
      <w:rPr>
        <w:rFonts w:hint="default"/>
      </w:rPr>
    </w:lvl>
    <w:lvl w:ilvl="3">
      <w:start w:val="0"/>
      <w:numFmt w:val="bullet"/>
      <w:lvlText w:val="•"/>
      <w:lvlJc w:val="left"/>
      <w:pPr>
        <w:ind w:left="4745" w:hanging="632"/>
      </w:pPr>
      <w:rPr>
        <w:rFonts w:hint="default"/>
      </w:rPr>
    </w:lvl>
    <w:lvl w:ilvl="4">
      <w:start w:val="0"/>
      <w:numFmt w:val="bullet"/>
      <w:lvlText w:val="•"/>
      <w:lvlJc w:val="left"/>
      <w:pPr>
        <w:ind w:left="5414" w:hanging="632"/>
      </w:pPr>
      <w:rPr>
        <w:rFonts w:hint="default"/>
      </w:rPr>
    </w:lvl>
    <w:lvl w:ilvl="5">
      <w:start w:val="0"/>
      <w:numFmt w:val="bullet"/>
      <w:lvlText w:val="•"/>
      <w:lvlJc w:val="left"/>
      <w:pPr>
        <w:ind w:left="6083" w:hanging="632"/>
      </w:pPr>
      <w:rPr>
        <w:rFonts w:hint="default"/>
      </w:rPr>
    </w:lvl>
    <w:lvl w:ilvl="6">
      <w:start w:val="0"/>
      <w:numFmt w:val="bullet"/>
      <w:lvlText w:val="•"/>
      <w:lvlJc w:val="left"/>
      <w:pPr>
        <w:ind w:left="6751" w:hanging="632"/>
      </w:pPr>
      <w:rPr>
        <w:rFonts w:hint="default"/>
      </w:rPr>
    </w:lvl>
    <w:lvl w:ilvl="7">
      <w:start w:val="0"/>
      <w:numFmt w:val="bullet"/>
      <w:lvlText w:val="•"/>
      <w:lvlJc w:val="left"/>
      <w:pPr>
        <w:ind w:left="7420" w:hanging="632"/>
      </w:pPr>
      <w:rPr>
        <w:rFonts w:hint="default"/>
      </w:rPr>
    </w:lvl>
    <w:lvl w:ilvl="8">
      <w:start w:val="0"/>
      <w:numFmt w:val="bullet"/>
      <w:lvlText w:val="•"/>
      <w:lvlJc w:val="left"/>
      <w:pPr>
        <w:ind w:left="8089" w:hanging="632"/>
      </w:pPr>
      <w:rPr>
        <w:rFonts w:hint="default"/>
      </w:rPr>
    </w:lvl>
  </w:abstractNum>
  <w:abstractNum w:abstractNumId="2">
    <w:multiLevelType w:val="hybridMultilevel"/>
    <w:lvl w:ilvl="0">
      <w:start w:val="1"/>
      <w:numFmt w:val="decimal"/>
      <w:lvlText w:val="（%1）"/>
      <w:lvlJc w:val="left"/>
      <w:pPr>
        <w:ind w:left="2732" w:hanging="632"/>
        <w:jc w:val="left"/>
      </w:pPr>
      <w:rPr>
        <w:rFonts w:hint="default" w:ascii="宋体" w:hAnsi="宋体" w:eastAsia="宋体" w:cs="宋体"/>
        <w:w w:val="100"/>
        <w:sz w:val="21"/>
        <w:szCs w:val="21"/>
      </w:rPr>
    </w:lvl>
    <w:lvl w:ilvl="1">
      <w:start w:val="0"/>
      <w:numFmt w:val="bullet"/>
      <w:lvlText w:val="•"/>
      <w:lvlJc w:val="left"/>
      <w:pPr>
        <w:ind w:left="3408" w:hanging="632"/>
      </w:pPr>
      <w:rPr>
        <w:rFonts w:hint="default"/>
      </w:rPr>
    </w:lvl>
    <w:lvl w:ilvl="2">
      <w:start w:val="0"/>
      <w:numFmt w:val="bullet"/>
      <w:lvlText w:val="•"/>
      <w:lvlJc w:val="left"/>
      <w:pPr>
        <w:ind w:left="4077" w:hanging="632"/>
      </w:pPr>
      <w:rPr>
        <w:rFonts w:hint="default"/>
      </w:rPr>
    </w:lvl>
    <w:lvl w:ilvl="3">
      <w:start w:val="0"/>
      <w:numFmt w:val="bullet"/>
      <w:lvlText w:val="•"/>
      <w:lvlJc w:val="left"/>
      <w:pPr>
        <w:ind w:left="4745" w:hanging="632"/>
      </w:pPr>
      <w:rPr>
        <w:rFonts w:hint="default"/>
      </w:rPr>
    </w:lvl>
    <w:lvl w:ilvl="4">
      <w:start w:val="0"/>
      <w:numFmt w:val="bullet"/>
      <w:lvlText w:val="•"/>
      <w:lvlJc w:val="left"/>
      <w:pPr>
        <w:ind w:left="5414" w:hanging="632"/>
      </w:pPr>
      <w:rPr>
        <w:rFonts w:hint="default"/>
      </w:rPr>
    </w:lvl>
    <w:lvl w:ilvl="5">
      <w:start w:val="0"/>
      <w:numFmt w:val="bullet"/>
      <w:lvlText w:val="•"/>
      <w:lvlJc w:val="left"/>
      <w:pPr>
        <w:ind w:left="6083" w:hanging="632"/>
      </w:pPr>
      <w:rPr>
        <w:rFonts w:hint="default"/>
      </w:rPr>
    </w:lvl>
    <w:lvl w:ilvl="6">
      <w:start w:val="0"/>
      <w:numFmt w:val="bullet"/>
      <w:lvlText w:val="•"/>
      <w:lvlJc w:val="left"/>
      <w:pPr>
        <w:ind w:left="6751" w:hanging="632"/>
      </w:pPr>
      <w:rPr>
        <w:rFonts w:hint="default"/>
      </w:rPr>
    </w:lvl>
    <w:lvl w:ilvl="7">
      <w:start w:val="0"/>
      <w:numFmt w:val="bullet"/>
      <w:lvlText w:val="•"/>
      <w:lvlJc w:val="left"/>
      <w:pPr>
        <w:ind w:left="7420" w:hanging="632"/>
      </w:pPr>
      <w:rPr>
        <w:rFonts w:hint="default"/>
      </w:rPr>
    </w:lvl>
    <w:lvl w:ilvl="8">
      <w:start w:val="0"/>
      <w:numFmt w:val="bullet"/>
      <w:lvlText w:val="•"/>
      <w:lvlJc w:val="left"/>
      <w:pPr>
        <w:ind w:left="8089" w:hanging="632"/>
      </w:pPr>
      <w:rPr>
        <w:rFonts w:hint="default"/>
      </w:rPr>
    </w:lvl>
  </w:abstractNum>
  <w:abstractNum w:abstractNumId="1">
    <w:multiLevelType w:val="hybridMultilevel"/>
    <w:lvl w:ilvl="0">
      <w:start w:val="1"/>
      <w:numFmt w:val="decimal"/>
      <w:lvlText w:val="(%1)"/>
      <w:lvlJc w:val="left"/>
      <w:pPr>
        <w:ind w:left="419" w:hanging="423"/>
        <w:jc w:val="left"/>
      </w:pPr>
      <w:rPr>
        <w:rFonts w:hint="default"/>
        <w:w w:val="100"/>
        <w:highlight w:val="lightGray"/>
      </w:rPr>
    </w:lvl>
    <w:lvl w:ilvl="1">
      <w:start w:val="0"/>
      <w:numFmt w:val="bullet"/>
      <w:lvlText w:val="•"/>
      <w:lvlJc w:val="left"/>
      <w:pPr>
        <w:ind w:left="1122" w:hanging="423"/>
      </w:pPr>
      <w:rPr>
        <w:rFonts w:hint="default"/>
      </w:rPr>
    </w:lvl>
    <w:lvl w:ilvl="2">
      <w:start w:val="0"/>
      <w:numFmt w:val="bullet"/>
      <w:lvlText w:val="•"/>
      <w:lvlJc w:val="left"/>
      <w:pPr>
        <w:ind w:left="1824" w:hanging="423"/>
      </w:pPr>
      <w:rPr>
        <w:rFonts w:hint="default"/>
      </w:rPr>
    </w:lvl>
    <w:lvl w:ilvl="3">
      <w:start w:val="0"/>
      <w:numFmt w:val="bullet"/>
      <w:lvlText w:val="•"/>
      <w:lvlJc w:val="left"/>
      <w:pPr>
        <w:ind w:left="2526" w:hanging="423"/>
      </w:pPr>
      <w:rPr>
        <w:rFonts w:hint="default"/>
      </w:rPr>
    </w:lvl>
    <w:lvl w:ilvl="4">
      <w:start w:val="0"/>
      <w:numFmt w:val="bullet"/>
      <w:lvlText w:val="•"/>
      <w:lvlJc w:val="left"/>
      <w:pPr>
        <w:ind w:left="3228" w:hanging="423"/>
      </w:pPr>
      <w:rPr>
        <w:rFonts w:hint="default"/>
      </w:rPr>
    </w:lvl>
    <w:lvl w:ilvl="5">
      <w:start w:val="0"/>
      <w:numFmt w:val="bullet"/>
      <w:lvlText w:val="•"/>
      <w:lvlJc w:val="left"/>
      <w:pPr>
        <w:ind w:left="3931" w:hanging="423"/>
      </w:pPr>
      <w:rPr>
        <w:rFonts w:hint="default"/>
      </w:rPr>
    </w:lvl>
    <w:lvl w:ilvl="6">
      <w:start w:val="0"/>
      <w:numFmt w:val="bullet"/>
      <w:lvlText w:val="•"/>
      <w:lvlJc w:val="left"/>
      <w:pPr>
        <w:ind w:left="4633" w:hanging="423"/>
      </w:pPr>
      <w:rPr>
        <w:rFonts w:hint="default"/>
      </w:rPr>
    </w:lvl>
    <w:lvl w:ilvl="7">
      <w:start w:val="0"/>
      <w:numFmt w:val="bullet"/>
      <w:lvlText w:val="•"/>
      <w:lvlJc w:val="left"/>
      <w:pPr>
        <w:ind w:left="5335" w:hanging="423"/>
      </w:pPr>
      <w:rPr>
        <w:rFonts w:hint="default"/>
      </w:rPr>
    </w:lvl>
    <w:lvl w:ilvl="8">
      <w:start w:val="0"/>
      <w:numFmt w:val="bullet"/>
      <w:lvlText w:val="•"/>
      <w:lvlJc w:val="left"/>
      <w:pPr>
        <w:ind w:left="6037"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640" w:hanging="420"/>
      </w:pPr>
      <w:rPr>
        <w:rFonts w:hint="default"/>
      </w:rPr>
    </w:lvl>
    <w:lvl w:ilvl="2">
      <w:start w:val="0"/>
      <w:numFmt w:val="bullet"/>
      <w:lvlText w:val="•"/>
      <w:lvlJc w:val="left"/>
      <w:pPr>
        <w:ind w:left="3394" w:hanging="420"/>
      </w:pPr>
      <w:rPr>
        <w:rFonts w:hint="default"/>
      </w:rPr>
    </w:lvl>
    <w:lvl w:ilvl="3">
      <w:start w:val="0"/>
      <w:numFmt w:val="bullet"/>
      <w:lvlText w:val="•"/>
      <w:lvlJc w:val="left"/>
      <w:pPr>
        <w:ind w:left="4148" w:hanging="420"/>
      </w:pPr>
      <w:rPr>
        <w:rFonts w:hint="default"/>
      </w:rPr>
    </w:lvl>
    <w:lvl w:ilvl="4">
      <w:start w:val="0"/>
      <w:numFmt w:val="bullet"/>
      <w:lvlText w:val="•"/>
      <w:lvlJc w:val="left"/>
      <w:pPr>
        <w:ind w:left="4902" w:hanging="420"/>
      </w:pPr>
      <w:rPr>
        <w:rFonts w:hint="default"/>
      </w:rPr>
    </w:lvl>
    <w:lvl w:ilvl="5">
      <w:start w:val="0"/>
      <w:numFmt w:val="bullet"/>
      <w:lvlText w:val="•"/>
      <w:lvlJc w:val="left"/>
      <w:pPr>
        <w:ind w:left="5656" w:hanging="420"/>
      </w:pPr>
      <w:rPr>
        <w:rFonts w:hint="default"/>
      </w:rPr>
    </w:lvl>
    <w:lvl w:ilvl="6">
      <w:start w:val="0"/>
      <w:numFmt w:val="bullet"/>
      <w:lvlText w:val="•"/>
      <w:lvlJc w:val="left"/>
      <w:pPr>
        <w:ind w:left="6410" w:hanging="420"/>
      </w:pPr>
      <w:rPr>
        <w:rFonts w:hint="default"/>
      </w:rPr>
    </w:lvl>
    <w:lvl w:ilvl="7">
      <w:start w:val="0"/>
      <w:numFmt w:val="bullet"/>
      <w:lvlText w:val="•"/>
      <w:lvlJc w:val="left"/>
      <w:pPr>
        <w:ind w:left="7164" w:hanging="420"/>
      </w:pPr>
      <w:rPr>
        <w:rFonts w:hint="default"/>
      </w:rPr>
    </w:lvl>
    <w:lvl w:ilvl="8">
      <w:start w:val="0"/>
      <w:numFmt w:val="bullet"/>
      <w:lvlText w:val="•"/>
      <w:lvlJc w:val="left"/>
      <w:pPr>
        <w:ind w:left="7918"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0"/>
    </w:pPr>
    <w:rPr>
      <w:rFonts w:ascii="宋体" w:hAnsi="宋体" w:eastAsia="宋体" w:cs="宋体"/>
      <w:sz w:val="21"/>
      <w:szCs w:val="21"/>
    </w:rPr>
  </w:style>
  <w:style w:styleId="Heading1" w:type="paragraph">
    <w:name w:val="Heading 1"/>
    <w:basedOn w:val="Normal"/>
    <w:uiPriority w:val="1"/>
    <w:qFormat/>
    <w:pPr>
      <w:spacing w:before="6"/>
      <w:ind w:left="2100"/>
      <w:outlineLvl w:val="1"/>
    </w:pPr>
    <w:rPr>
      <w:rFonts w:ascii="宋体" w:hAnsi="宋体" w:eastAsia="宋体" w:cs="宋体"/>
      <w:sz w:val="22"/>
      <w:szCs w:val="22"/>
    </w:rPr>
  </w:style>
  <w:style w:styleId="Heading2" w:type="paragraph">
    <w:name w:val="Heading 2"/>
    <w:basedOn w:val="Normal"/>
    <w:uiPriority w:val="1"/>
    <w:qFormat/>
    <w:pPr>
      <w:ind w:left="2100"/>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2732" w:hanging="63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2018-10-19T22:06:33Z</dcterms:created>
  <dcterms:modified xsi:type="dcterms:W3CDTF">2018-10-19T22:06:33Z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Microsoft® Word 2010</vt:lpwstr>
  </property>
  <property fmtid="{D5CDD505-2E9C-101B-9397-08002B2CF9AE}" pid="4" name="LastSaved">
    <vt:filetime>2018-10-19T00:00:00Z</vt:filetime>
  </property>
</Properties>
</file>