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262" w:firstLine="0"/>
        <w:jc w:val="right"/>
        <w:rPr>
          <w:sz w:val="16"/>
        </w:rPr>
      </w:pPr>
      <w:r>
        <w:rPr/>
        <w:drawing>
          <wp:anchor distT="0" distB="0" distL="0" distR="0" allowOverlap="1" layoutInCell="1" locked="0" behindDoc="0" simplePos="0" relativeHeight="0">
            <wp:simplePos x="0" y="0"/>
            <wp:positionH relativeFrom="page">
              <wp:posOffset>6184265</wp:posOffset>
            </wp:positionH>
            <wp:positionV relativeFrom="paragraph">
              <wp:posOffset>236140</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君康人寿[2015]疾病保险 071 号</w:t>
      </w:r>
    </w:p>
    <w:p>
      <w:pPr>
        <w:spacing w:line="240" w:lineRule="auto" w:before="0"/>
        <w:rPr>
          <w:sz w:val="20"/>
        </w:rPr>
      </w:pPr>
    </w:p>
    <w:p>
      <w:pPr>
        <w:spacing w:after="0" w:line="240" w:lineRule="auto"/>
        <w:rPr>
          <w:sz w:val="20"/>
        </w:rPr>
        <w:sectPr>
          <w:type w:val="continuous"/>
          <w:pgSz w:w="11910" w:h="16840"/>
          <w:pgMar w:top="660" w:bottom="280" w:left="780" w:right="660"/>
        </w:sectPr>
      </w:pPr>
    </w:p>
    <w:p>
      <w:pPr>
        <w:pStyle w:val="Heading1"/>
        <w:spacing w:line="357" w:lineRule="auto" w:before="167"/>
        <w:ind w:left="4289"/>
      </w:pPr>
      <w:r>
        <w:rPr/>
        <w:t>君康团体重大疾病保险条款阅 读 指 引</w:t>
      </w:r>
    </w:p>
    <w:p>
      <w:pPr>
        <w:spacing w:line="240" w:lineRule="auto" w:before="0"/>
        <w:rPr>
          <w:b/>
          <w:sz w:val="14"/>
        </w:rPr>
      </w:pPr>
      <w:r>
        <w:rPr/>
        <w:br w:type="column"/>
      </w:r>
      <w:r>
        <w:rPr>
          <w:b/>
          <w:sz w:val="14"/>
        </w:rPr>
      </w:r>
    </w:p>
    <w:p>
      <w:pPr>
        <w:spacing w:line="240" w:lineRule="auto" w:before="0"/>
        <w:rPr>
          <w:b/>
          <w:sz w:val="14"/>
        </w:rPr>
      </w:pPr>
    </w:p>
    <w:p>
      <w:pPr>
        <w:spacing w:line="240" w:lineRule="auto" w:before="0"/>
        <w:rPr>
          <w:b/>
          <w:sz w:val="14"/>
        </w:rPr>
      </w:pPr>
    </w:p>
    <w:p>
      <w:pPr>
        <w:spacing w:line="240" w:lineRule="auto" w:before="0"/>
        <w:rPr>
          <w:b/>
          <w:sz w:val="14"/>
        </w:rPr>
      </w:pPr>
    </w:p>
    <w:p>
      <w:pPr>
        <w:spacing w:line="240" w:lineRule="auto" w:before="0"/>
        <w:rPr>
          <w:b/>
          <w:sz w:val="14"/>
        </w:rPr>
      </w:pPr>
    </w:p>
    <w:p>
      <w:pPr>
        <w:spacing w:line="240" w:lineRule="auto" w:before="9"/>
        <w:rPr>
          <w:b/>
          <w:sz w:val="13"/>
        </w:rPr>
      </w:pPr>
    </w:p>
    <w:p>
      <w:pPr>
        <w:spacing w:before="0"/>
        <w:ind w:left="1568" w:right="0" w:firstLine="0"/>
        <w:jc w:val="left"/>
        <w:rPr>
          <w:sz w:val="15"/>
        </w:rPr>
      </w:pPr>
      <w:r>
        <w:rPr>
          <w:sz w:val="15"/>
        </w:rPr>
        <w:t>请扫描以查询验证条款</w:t>
      </w:r>
    </w:p>
    <w:p>
      <w:pPr>
        <w:spacing w:after="0"/>
        <w:jc w:val="left"/>
        <w:rPr>
          <w:sz w:val="15"/>
        </w:rPr>
        <w:sectPr>
          <w:type w:val="continuous"/>
          <w:pgSz w:w="11910" w:h="16840"/>
          <w:pgMar w:top="660" w:bottom="280" w:left="780" w:right="660"/>
          <w:cols w:num="2" w:equalWidth="0">
            <w:col w:w="7104" w:space="40"/>
            <w:col w:w="3326"/>
          </w:cols>
        </w:sectPr>
      </w:pPr>
    </w:p>
    <w:p>
      <w:pPr>
        <w:pStyle w:val="BodyText"/>
        <w:spacing w:line="342" w:lineRule="exact"/>
        <w:ind w:left="864"/>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50"/>
          <w:w w:val="100"/>
        </w:rPr>
        <w:t>有</w:t>
      </w:r>
      <w:r>
        <w:rPr>
          <w:spacing w:val="-63"/>
          <w:w w:val="100"/>
          <w:position w:val="-7"/>
        </w:rPr>
        <w:t>．</w:t>
      </w:r>
      <w:r>
        <w:rPr>
          <w:spacing w:val="-152"/>
          <w:w w:val="100"/>
        </w:rPr>
        <w:t>助</w:t>
      </w:r>
      <w:r>
        <w:rPr>
          <w:spacing w:val="-63"/>
          <w:w w:val="100"/>
          <w:position w:val="-7"/>
        </w:rPr>
        <w:t>．</w:t>
      </w:r>
      <w:r>
        <w:rPr>
          <w:spacing w:val="-150"/>
          <w:w w:val="100"/>
        </w:rPr>
        <w:t>于</w:t>
      </w:r>
      <w:r>
        <w:rPr>
          <w:spacing w:val="-63"/>
          <w:w w:val="100"/>
          <w:position w:val="-7"/>
        </w:rPr>
        <w:t>．</w:t>
      </w:r>
      <w:r>
        <w:rPr>
          <w:spacing w:val="-152"/>
          <w:w w:val="100"/>
        </w:rPr>
        <w:t>您</w:t>
      </w:r>
      <w:r>
        <w:rPr>
          <w:spacing w:val="-63"/>
          <w:w w:val="100"/>
          <w:position w:val="-7"/>
        </w:rPr>
        <w:t>．</w:t>
      </w:r>
      <w:r>
        <w:rPr>
          <w:spacing w:val="-149"/>
          <w:w w:val="100"/>
        </w:rPr>
        <w:t>（</w:t>
      </w:r>
      <w:r>
        <w:rPr>
          <w:spacing w:val="-63"/>
          <w:w w:val="100"/>
          <w:position w:val="-7"/>
        </w:rPr>
        <w:t>．</w:t>
      </w:r>
      <w:r>
        <w:rPr>
          <w:spacing w:val="-151"/>
          <w:w w:val="100"/>
        </w:rPr>
        <w:t>投</w:t>
      </w:r>
      <w:r>
        <w:rPr>
          <w:spacing w:val="-63"/>
          <w:w w:val="100"/>
          <w:position w:val="-7"/>
        </w:rPr>
        <w:t>．</w:t>
      </w:r>
      <w:r>
        <w:rPr>
          <w:spacing w:val="-149"/>
          <w:w w:val="100"/>
        </w:rPr>
        <w:t>保</w:t>
      </w:r>
      <w:r>
        <w:rPr>
          <w:spacing w:val="-63"/>
          <w:w w:val="100"/>
          <w:position w:val="-7"/>
        </w:rPr>
        <w:t>．</w:t>
      </w:r>
      <w:r>
        <w:rPr>
          <w:spacing w:val="-149"/>
          <w:w w:val="100"/>
        </w:rPr>
        <w:t>人</w:t>
      </w:r>
      <w:r>
        <w:rPr>
          <w:spacing w:val="-63"/>
          <w:w w:val="100"/>
          <w:position w:val="-7"/>
        </w:rPr>
        <w:t>．</w:t>
      </w:r>
      <w:r>
        <w:rPr>
          <w:spacing w:val="-151"/>
          <w:w w:val="100"/>
        </w:rPr>
        <w:t>，</w:t>
      </w:r>
      <w:r>
        <w:rPr>
          <w:spacing w:val="-63"/>
          <w:w w:val="100"/>
          <w:position w:val="-7"/>
        </w:rPr>
        <w:t>．</w:t>
      </w:r>
      <w:r>
        <w:rPr>
          <w:spacing w:val="-149"/>
          <w:w w:val="100"/>
        </w:rPr>
        <w:t>以</w:t>
      </w:r>
      <w:r>
        <w:rPr>
          <w:spacing w:val="-63"/>
          <w:w w:val="100"/>
          <w:position w:val="-7"/>
        </w:rPr>
        <w:t>．</w:t>
      </w:r>
      <w:r>
        <w:rPr>
          <w:spacing w:val="-151"/>
          <w:w w:val="100"/>
        </w:rPr>
        <w:t>下</w:t>
      </w:r>
      <w:r>
        <w:rPr>
          <w:spacing w:val="-63"/>
          <w:w w:val="100"/>
          <w:position w:val="-7"/>
        </w:rPr>
        <w:t>．</w:t>
      </w:r>
      <w:r>
        <w:rPr>
          <w:spacing w:val="-149"/>
          <w:w w:val="100"/>
        </w:rPr>
        <w:t>含</w:t>
      </w:r>
      <w:r>
        <w:rPr>
          <w:spacing w:val="-63"/>
          <w:w w:val="100"/>
          <w:position w:val="-7"/>
        </w:rPr>
        <w:t>．</w:t>
      </w:r>
      <w:r>
        <w:rPr>
          <w:spacing w:val="-151"/>
          <w:w w:val="100"/>
        </w:rPr>
        <w:t>义</w:t>
      </w:r>
      <w:r>
        <w:rPr>
          <w:spacing w:val="-63"/>
          <w:w w:val="100"/>
          <w:position w:val="-7"/>
        </w:rPr>
        <w:t>．</w:t>
      </w:r>
      <w:r>
        <w:rPr>
          <w:spacing w:val="-149"/>
          <w:w w:val="100"/>
        </w:rPr>
        <w:t>相</w:t>
      </w:r>
      <w:r>
        <w:rPr>
          <w:spacing w:val="-63"/>
          <w:w w:val="100"/>
          <w:position w:val="-7"/>
        </w:rPr>
        <w:t>．</w:t>
      </w:r>
      <w:r>
        <w:rPr>
          <w:spacing w:val="-151"/>
          <w:w w:val="100"/>
        </w:rPr>
        <w:t>同</w:t>
      </w:r>
      <w:r>
        <w:rPr>
          <w:spacing w:val="-63"/>
          <w:w w:val="100"/>
          <w:position w:val="-7"/>
        </w:rPr>
        <w:t>．</w:t>
      </w:r>
      <w:r>
        <w:rPr>
          <w:spacing w:val="-149"/>
          <w:w w:val="100"/>
        </w:rPr>
        <w:t>）</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49"/>
          <w:w w:val="100"/>
        </w:rPr>
        <w:t>，</w:t>
      </w:r>
      <w:r>
        <w:rPr>
          <w:spacing w:val="-63"/>
          <w:w w:val="100"/>
          <w:position w:val="-7"/>
        </w:rPr>
        <w:t>．</w:t>
      </w:r>
      <w:r>
        <w:rPr>
          <w:spacing w:val="-151"/>
          <w:w w:val="100"/>
        </w:rPr>
        <w:t>对</w:t>
      </w:r>
      <w:r>
        <w:rPr>
          <w:spacing w:val="-63"/>
          <w:w w:val="100"/>
          <w:position w:val="-7"/>
        </w:rPr>
        <w:t>．</w:t>
      </w:r>
      <w:r>
        <w:rPr>
          <w:spacing w:val="-149"/>
          <w:w w:val="100"/>
        </w:rPr>
        <w:t>本</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51"/>
          <w:w w:val="100"/>
        </w:rPr>
        <w:t>以</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49"/>
          <w:w w:val="100"/>
        </w:rPr>
        <w:t>为</w:t>
      </w:r>
      <w:r>
        <w:rPr>
          <w:spacing w:val="-63"/>
          <w:w w:val="100"/>
          <w:position w:val="-7"/>
        </w:rPr>
        <w:t>．</w:t>
      </w:r>
      <w:r>
        <w:rPr>
          <w:spacing w:val="-151"/>
          <w:w w:val="100"/>
        </w:rPr>
        <w:t>准</w:t>
      </w:r>
      <w:r>
        <w:rPr>
          <w:spacing w:val="-63"/>
          <w:w w:val="100"/>
          <w:position w:val="-7"/>
        </w:rPr>
        <w:t>．</w:t>
      </w:r>
      <w:r>
        <w:rPr>
          <w:w w:val="100"/>
        </w:rPr>
        <w:t>。</w:t>
      </w:r>
    </w:p>
    <w:p>
      <w:pPr>
        <w:tabs>
          <w:tab w:pos="1250" w:val="left" w:leader="none"/>
        </w:tabs>
        <w:spacing w:before="170"/>
        <w:ind w:left="240" w:right="0" w:firstLine="0"/>
        <w:jc w:val="left"/>
        <w:rPr>
          <w:rFonts w:ascii="宋体" w:hAnsi="宋体" w:eastAsia="宋体" w:hint="eastAsia"/>
          <w:b/>
          <w:sz w:val="21"/>
        </w:rPr>
      </w:pPr>
      <w:r>
        <w:rPr/>
        <w:pict>
          <v:group style="position:absolute;margin-left:44.040001pt;margin-top:6.138683pt;width:512.65pt;height:631.050pt;mso-position-horizontal-relative:page;mso-position-vertical-relative:paragraph;z-index:-27856" coordorigin="881,123" coordsize="10253,12621">
            <v:line style="position:absolute" from="1810,5300" to="1810,12684" stroked="true" strokeweight=".48pt" strokecolor="#000000">
              <v:stroke dashstyle="shortdot"/>
            </v:line>
            <v:shape style="position:absolute;left:1814;top:12678;width:9177;height:2" coordorigin="1815,12679" coordsize="9177,0" path="m1815,12679l4873,12679m4859,12679l4868,12679m4868,12679l7933,12679m7919,12679l7929,12679m7929,12679l10992,12679e" filled="false" stroked="true" strokeweight=".48pt" strokecolor="#000000">
              <v:path arrowok="t"/>
              <v:stroke dashstyle="shortdot"/>
            </v:shape>
            <v:line style="position:absolute" from="10996,5300" to="10996,12684" stroked="true" strokeweight=".48pt" strokecolor="#000000">
              <v:stroke dashstyle="shortdot"/>
            </v:line>
            <v:shape style="position:absolute;left:880;top:122;width:10253;height:12621" type="#_x0000_t75" stroked="false">
              <v:imagedata r:id="rId6" o:title=""/>
            </v:shape>
            <w10:wrap type="none"/>
          </v:group>
        </w:pict>
      </w:r>
      <w:r>
        <w:rPr>
          <w:rFonts w:ascii="Arial" w:hAnsi="Arial" w:eastAsia="Arial"/>
          <w:b/>
          <w:w w:val="105"/>
          <w:position w:val="-11"/>
          <w:sz w:val="52"/>
        </w:rPr>
        <w:t></w:t>
        <w:tab/>
      </w:r>
      <w:r>
        <w:rPr>
          <w:rFonts w:ascii="宋体" w:hAnsi="宋体" w:eastAsia="宋体" w:hint="eastAsia"/>
          <w:b/>
          <w:spacing w:val="-1"/>
          <w:sz w:val="21"/>
        </w:rPr>
        <w:t>您拥有的重要权益</w:t>
      </w:r>
    </w:p>
    <w:p>
      <w:pPr>
        <w:pStyle w:val="ListParagraph"/>
        <w:numPr>
          <w:ilvl w:val="0"/>
          <w:numId w:val="1"/>
        </w:numPr>
        <w:tabs>
          <w:tab w:pos="1632" w:val="left" w:leader="none"/>
          <w:tab w:pos="1633" w:val="left" w:leader="none"/>
          <w:tab w:pos="10141" w:val="right" w:leader="dot"/>
        </w:tabs>
        <w:spacing w:line="240" w:lineRule="auto" w:before="56" w:after="0"/>
        <w:ind w:left="16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1"/>
        </w:numPr>
        <w:tabs>
          <w:tab w:pos="1632" w:val="left" w:leader="none"/>
          <w:tab w:pos="1633" w:val="left" w:leader="none"/>
          <w:tab w:pos="10139" w:val="right" w:leader="dot"/>
        </w:tabs>
        <w:spacing w:line="240" w:lineRule="auto" w:before="84" w:after="0"/>
        <w:ind w:left="1632" w:right="0" w:hanging="420"/>
        <w:jc w:val="left"/>
        <w:rPr>
          <w:rFonts w:ascii="宋体" w:eastAsia="宋体" w:hint="eastAsia"/>
          <w:sz w:val="21"/>
        </w:rPr>
      </w:pPr>
      <w:r>
        <w:rPr>
          <w:sz w:val="21"/>
        </w:rPr>
        <w:t>您有</w:t>
      </w:r>
      <w:r>
        <w:rPr>
          <w:spacing w:val="-3"/>
          <w:sz w:val="21"/>
        </w:rPr>
        <w:t>解</w:t>
      </w:r>
      <w:r>
        <w:rPr>
          <w:sz w:val="21"/>
        </w:rPr>
        <w:t>除</w:t>
      </w:r>
      <w:r>
        <w:rPr>
          <w:spacing w:val="-3"/>
          <w:sz w:val="21"/>
        </w:rPr>
        <w:t>合</w:t>
      </w:r>
      <w:r>
        <w:rPr>
          <w:sz w:val="21"/>
        </w:rPr>
        <w:t>同</w:t>
      </w:r>
      <w:r>
        <w:rPr>
          <w:spacing w:val="-3"/>
          <w:sz w:val="21"/>
        </w:rPr>
        <w:t>的</w:t>
      </w:r>
      <w:r>
        <w:rPr>
          <w:sz w:val="21"/>
        </w:rPr>
        <w:t>权利</w:t>
        <w:tab/>
      </w:r>
      <w:r>
        <w:rPr>
          <w:rFonts w:ascii="宋体" w:eastAsia="宋体" w:hint="eastAsia"/>
          <w:sz w:val="21"/>
        </w:rPr>
        <w:t>5.1</w:t>
      </w:r>
    </w:p>
    <w:p>
      <w:pPr>
        <w:tabs>
          <w:tab w:pos="1250" w:val="left" w:leader="none"/>
        </w:tabs>
        <w:spacing w:before="54"/>
        <w:ind w:left="240"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1"/>
          <w:sz w:val="21"/>
        </w:rPr>
        <w:t>您应当特别注意的事项</w:t>
      </w:r>
    </w:p>
    <w:p>
      <w:pPr>
        <w:pStyle w:val="ListParagraph"/>
        <w:numPr>
          <w:ilvl w:val="0"/>
          <w:numId w:val="1"/>
        </w:numPr>
        <w:tabs>
          <w:tab w:pos="1632" w:val="left" w:leader="none"/>
          <w:tab w:pos="1633" w:val="left" w:leader="none"/>
          <w:tab w:pos="10141" w:val="right" w:leader="dot"/>
        </w:tabs>
        <w:spacing w:line="240" w:lineRule="auto" w:before="57" w:after="0"/>
        <w:ind w:left="1632"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本</w:t>
      </w:r>
      <w:r>
        <w:rPr>
          <w:spacing w:val="-3"/>
          <w:sz w:val="21"/>
        </w:rPr>
        <w:t>公</w:t>
      </w:r>
      <w:r>
        <w:rPr>
          <w:sz w:val="21"/>
        </w:rPr>
        <w:t>司</w:t>
      </w:r>
      <w:r>
        <w:rPr>
          <w:spacing w:val="-3"/>
          <w:sz w:val="21"/>
        </w:rPr>
        <w:t>不</w:t>
      </w:r>
      <w:r>
        <w:rPr>
          <w:sz w:val="21"/>
        </w:rPr>
        <w:t>承担</w:t>
      </w:r>
      <w:r>
        <w:rPr>
          <w:spacing w:val="-3"/>
          <w:sz w:val="21"/>
        </w:rPr>
        <w:t>保</w:t>
      </w:r>
      <w:r>
        <w:rPr>
          <w:sz w:val="21"/>
        </w:rPr>
        <w:t>险</w:t>
      </w:r>
      <w:r>
        <w:rPr>
          <w:spacing w:val="-3"/>
          <w:sz w:val="21"/>
        </w:rPr>
        <w:t>责</w:t>
      </w:r>
      <w:r>
        <w:rPr>
          <w:sz w:val="21"/>
        </w:rPr>
        <w:t>任</w:t>
        <w:tab/>
        <w:t>2.2</w:t>
      </w:r>
    </w:p>
    <w:p>
      <w:pPr>
        <w:pStyle w:val="ListParagraph"/>
        <w:numPr>
          <w:ilvl w:val="0"/>
          <w:numId w:val="1"/>
        </w:numPr>
        <w:tabs>
          <w:tab w:pos="1632" w:val="left" w:leader="none"/>
          <w:tab w:pos="1633" w:val="left" w:leader="none"/>
          <w:tab w:pos="10141" w:val="right" w:leader="dot"/>
        </w:tabs>
        <w:spacing w:line="240" w:lineRule="auto" w:before="84" w:after="0"/>
        <w:ind w:left="1632"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本</w:t>
      </w:r>
      <w:r>
        <w:rPr>
          <w:sz w:val="21"/>
        </w:rPr>
        <w:t>公司</w:t>
        <w:tab/>
        <w:t>3.2</w:t>
      </w:r>
    </w:p>
    <w:p>
      <w:pPr>
        <w:pStyle w:val="ListParagraph"/>
        <w:numPr>
          <w:ilvl w:val="0"/>
          <w:numId w:val="1"/>
        </w:numPr>
        <w:tabs>
          <w:tab w:pos="1632" w:val="left" w:leader="none"/>
          <w:tab w:pos="1633" w:val="left" w:leader="none"/>
          <w:tab w:pos="10139" w:val="right" w:leader="dot"/>
        </w:tabs>
        <w:spacing w:line="240" w:lineRule="auto" w:before="84" w:after="0"/>
        <w:ind w:left="1632" w:right="0" w:hanging="420"/>
        <w:jc w:val="left"/>
        <w:rPr>
          <w:sz w:val="21"/>
        </w:rPr>
      </w:pPr>
      <w:r>
        <w:rPr>
          <w:sz w:val="21"/>
        </w:rPr>
        <w:t>您如</w:t>
      </w:r>
      <w:r>
        <w:rPr>
          <w:spacing w:val="-3"/>
          <w:sz w:val="21"/>
        </w:rPr>
        <w:t>何</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32" w:val="left" w:leader="none"/>
          <w:tab w:pos="1633" w:val="left" w:leader="none"/>
          <w:tab w:pos="10139" w:val="right" w:leader="dot"/>
        </w:tabs>
        <w:spacing w:line="240" w:lineRule="auto" w:before="84" w:after="0"/>
        <w:ind w:left="1632"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6.1</w:t>
      </w:r>
    </w:p>
    <w:p>
      <w:pPr>
        <w:pStyle w:val="ListParagraph"/>
        <w:numPr>
          <w:ilvl w:val="0"/>
          <w:numId w:val="1"/>
        </w:numPr>
        <w:tabs>
          <w:tab w:pos="1632" w:val="left" w:leader="none"/>
          <w:tab w:pos="1633" w:val="left" w:leader="none"/>
          <w:tab w:pos="9933" w:val="right" w:leader="dot"/>
        </w:tabs>
        <w:spacing w:line="240" w:lineRule="auto" w:before="84" w:after="0"/>
        <w:ind w:left="1632" w:right="0" w:hanging="420"/>
        <w:jc w:val="left"/>
        <w:rPr>
          <w:sz w:val="21"/>
        </w:rPr>
      </w:pPr>
      <w:r>
        <w:rPr>
          <w:sz w:val="21"/>
        </w:rPr>
        <w:t>本公</w:t>
      </w:r>
      <w:r>
        <w:rPr>
          <w:spacing w:val="-3"/>
          <w:sz w:val="21"/>
        </w:rPr>
        <w:t>司</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w:t>
      </w:r>
      <w:r>
        <w:rPr>
          <w:sz w:val="21"/>
        </w:rPr>
        <w:t>行了</w:t>
      </w:r>
      <w:r>
        <w:rPr>
          <w:spacing w:val="-3"/>
          <w:sz w:val="21"/>
        </w:rPr>
        <w:t>解</w:t>
      </w:r>
      <w:r>
        <w:rPr>
          <w:sz w:val="21"/>
        </w:rPr>
        <w:t>释</w:t>
      </w:r>
      <w:r>
        <w:rPr>
          <w:spacing w:val="-3"/>
          <w:sz w:val="21"/>
        </w:rPr>
        <w:t>，</w:t>
      </w:r>
      <w:r>
        <w:rPr>
          <w:sz w:val="21"/>
        </w:rPr>
        <w:t>并</w:t>
      </w:r>
      <w:r>
        <w:rPr>
          <w:spacing w:val="-3"/>
          <w:sz w:val="21"/>
        </w:rPr>
        <w:t>作</w:t>
      </w:r>
      <w:r>
        <w:rPr>
          <w:sz w:val="21"/>
        </w:rPr>
        <w:t>了</w:t>
      </w:r>
      <w:r>
        <w:rPr>
          <w:spacing w:val="-3"/>
          <w:sz w:val="21"/>
        </w:rPr>
        <w:t>显</w:t>
      </w:r>
      <w:r>
        <w:rPr>
          <w:sz w:val="21"/>
        </w:rPr>
        <w:t>著</w:t>
      </w:r>
      <w:r>
        <w:rPr>
          <w:spacing w:val="-3"/>
          <w:sz w:val="21"/>
        </w:rPr>
        <w:t>标</w:t>
      </w:r>
      <w:r>
        <w:rPr>
          <w:sz w:val="21"/>
        </w:rPr>
        <w:t>识，</w:t>
      </w:r>
      <w:r>
        <w:rPr>
          <w:spacing w:val="-3"/>
          <w:sz w:val="21"/>
        </w:rPr>
        <w:t>请</w:t>
      </w:r>
      <w:r>
        <w:rPr>
          <w:sz w:val="21"/>
        </w:rPr>
        <w:t>您</w:t>
      </w:r>
      <w:r>
        <w:rPr>
          <w:spacing w:val="-3"/>
          <w:sz w:val="21"/>
        </w:rPr>
        <w:t>注</w:t>
      </w:r>
      <w:r>
        <w:rPr>
          <w:sz w:val="21"/>
        </w:rPr>
        <w:t>意</w:t>
        <w:tab/>
        <w:t>7</w:t>
      </w:r>
    </w:p>
    <w:p>
      <w:pPr>
        <w:tabs>
          <w:tab w:pos="1250" w:val="left" w:leader="none"/>
        </w:tabs>
        <w:spacing w:before="53"/>
        <w:ind w:left="240" w:right="0" w:firstLine="0"/>
        <w:jc w:val="left"/>
        <w:rPr>
          <w:rFonts w:ascii="宋体" w:hAnsi="宋体" w:eastAsia="宋体" w:hint="eastAsia"/>
          <w:b/>
          <w:sz w:val="21"/>
        </w:rPr>
      </w:pPr>
      <w:r>
        <w:rPr>
          <w:rFonts w:ascii="Arial" w:hAnsi="Arial" w:eastAsia="Arial"/>
          <w:b/>
          <w:w w:val="105"/>
          <w:position w:val="-11"/>
          <w:sz w:val="52"/>
        </w:rPr>
        <w:t></w:t>
        <w:tab/>
      </w:r>
      <w:r>
        <w:rPr>
          <w:rFonts w:ascii="宋体" w:hAnsi="宋体" w:eastAsia="宋体" w:hint="eastAsia"/>
          <w:b/>
          <w:spacing w:val="-3"/>
          <w:sz w:val="21"/>
        </w:rPr>
        <w:t>条款是保险合同的重要内容，为充分保障您的权益，请您仔细阅读本条款。</w:t>
      </w:r>
    </w:p>
    <w:p>
      <w:pPr>
        <w:tabs>
          <w:tab w:pos="1250" w:val="left" w:leader="none"/>
        </w:tabs>
        <w:spacing w:before="26" w:after="39"/>
        <w:ind w:left="240" w:right="0" w:firstLine="0"/>
        <w:jc w:val="left"/>
        <w:rPr>
          <w:rFonts w:ascii="宋体" w:hAnsi="宋体" w:eastAsia="宋体" w:hint="eastAsia"/>
          <w:b/>
          <w:sz w:val="21"/>
        </w:rPr>
      </w:pPr>
      <w:r>
        <w:rPr>
          <w:rFonts w:ascii="Arial" w:hAnsi="Arial" w:eastAsia="Arial"/>
          <w:b/>
          <w:w w:val="110"/>
          <w:position w:val="-11"/>
          <w:sz w:val="52"/>
        </w:rPr>
        <w:t></w:t>
        <w:tab/>
      </w:r>
      <w:r>
        <w:rPr>
          <w:rFonts w:ascii="宋体" w:hAnsi="宋体" w:eastAsia="宋体" w:hint="eastAsia"/>
          <w:b/>
          <w:sz w:val="21"/>
        </w:rPr>
        <w:t>条款目录</w:t>
      </w:r>
    </w:p>
    <w:tbl>
      <w:tblPr>
        <w:tblW w:w="0" w:type="auto"/>
        <w:jc w:val="left"/>
        <w:tblInd w:w="10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3"/>
        <w:gridCol w:w="3218"/>
        <w:gridCol w:w="3116"/>
      </w:tblGrid>
      <w:tr>
        <w:trPr>
          <w:trHeight w:val="6512" w:hRule="atLeast"/>
        </w:trPr>
        <w:tc>
          <w:tcPr>
            <w:tcW w:w="2853" w:type="dxa"/>
            <w:tcBorders>
              <w:top w:val="dotted" w:sz="4" w:space="0" w:color="000000"/>
            </w:tcBorders>
          </w:tcPr>
          <w:p>
            <w:pPr>
              <w:pStyle w:val="TableParagraph"/>
              <w:spacing w:line="272" w:lineRule="exact" w:before="0"/>
              <w:ind w:left="108"/>
              <w:rPr>
                <w:b/>
                <w:sz w:val="21"/>
              </w:rPr>
            </w:pPr>
            <w:r>
              <w:rPr>
                <w:b/>
                <w:sz w:val="21"/>
              </w:rPr>
              <w:t>1．投保人与本公司的合同</w:t>
            </w:r>
          </w:p>
          <w:p>
            <w:pPr>
              <w:pStyle w:val="TableParagraph"/>
              <w:numPr>
                <w:ilvl w:val="1"/>
                <w:numId w:val="2"/>
              </w:numPr>
              <w:tabs>
                <w:tab w:pos="740" w:val="left" w:leader="none"/>
              </w:tabs>
              <w:spacing w:line="240" w:lineRule="auto" w:before="51" w:after="0"/>
              <w:ind w:left="739" w:right="0" w:hanging="420"/>
              <w:jc w:val="left"/>
              <w:rPr>
                <w:sz w:val="21"/>
              </w:rPr>
            </w:pPr>
            <w:r>
              <w:rPr>
                <w:spacing w:val="-1"/>
                <w:sz w:val="21"/>
              </w:rPr>
              <w:t>合同构成</w:t>
            </w:r>
          </w:p>
          <w:p>
            <w:pPr>
              <w:pStyle w:val="TableParagraph"/>
              <w:numPr>
                <w:ilvl w:val="1"/>
                <w:numId w:val="2"/>
              </w:numPr>
              <w:tabs>
                <w:tab w:pos="740" w:val="left" w:leader="none"/>
              </w:tabs>
              <w:spacing w:line="240" w:lineRule="auto" w:before="53" w:after="0"/>
              <w:ind w:left="739" w:right="0" w:hanging="420"/>
              <w:jc w:val="left"/>
              <w:rPr>
                <w:sz w:val="21"/>
              </w:rPr>
            </w:pPr>
            <w:r>
              <w:rPr>
                <w:spacing w:val="-2"/>
                <w:sz w:val="21"/>
              </w:rPr>
              <w:t>合同成立与生效</w:t>
            </w:r>
          </w:p>
          <w:p>
            <w:pPr>
              <w:pStyle w:val="TableParagraph"/>
              <w:numPr>
                <w:ilvl w:val="1"/>
                <w:numId w:val="2"/>
              </w:numPr>
              <w:tabs>
                <w:tab w:pos="740" w:val="left" w:leader="none"/>
              </w:tabs>
              <w:spacing w:line="240" w:lineRule="auto" w:before="51" w:after="0"/>
              <w:ind w:left="739" w:right="0" w:hanging="420"/>
              <w:jc w:val="left"/>
              <w:rPr>
                <w:sz w:val="21"/>
              </w:rPr>
            </w:pPr>
            <w:r>
              <w:rPr>
                <w:spacing w:val="-1"/>
                <w:sz w:val="21"/>
              </w:rPr>
              <w:t>投保范围</w:t>
            </w:r>
          </w:p>
          <w:p>
            <w:pPr>
              <w:pStyle w:val="TableParagraph"/>
              <w:spacing w:before="0"/>
              <w:ind w:left="0"/>
              <w:rPr>
                <w:rFonts w:ascii="宋体"/>
                <w:b/>
                <w:sz w:val="29"/>
              </w:rPr>
            </w:pPr>
          </w:p>
          <w:p>
            <w:pPr>
              <w:pStyle w:val="TableParagraph"/>
              <w:spacing w:before="0"/>
              <w:ind w:left="108"/>
              <w:rPr>
                <w:b/>
                <w:sz w:val="21"/>
              </w:rPr>
            </w:pPr>
            <w:r>
              <w:rPr>
                <w:b/>
                <w:sz w:val="21"/>
              </w:rPr>
              <w:t>2．本公司提供的保障</w:t>
            </w:r>
          </w:p>
          <w:p>
            <w:pPr>
              <w:pStyle w:val="TableParagraph"/>
              <w:numPr>
                <w:ilvl w:val="1"/>
                <w:numId w:val="3"/>
              </w:numPr>
              <w:tabs>
                <w:tab w:pos="740" w:val="left" w:leader="none"/>
              </w:tabs>
              <w:spacing w:line="240" w:lineRule="auto" w:before="53" w:after="0"/>
              <w:ind w:left="739" w:right="0" w:hanging="420"/>
              <w:jc w:val="left"/>
              <w:rPr>
                <w:sz w:val="21"/>
              </w:rPr>
            </w:pPr>
            <w:r>
              <w:rPr>
                <w:spacing w:val="-1"/>
                <w:sz w:val="21"/>
              </w:rPr>
              <w:t>保险责任</w:t>
            </w:r>
          </w:p>
          <w:p>
            <w:pPr>
              <w:pStyle w:val="TableParagraph"/>
              <w:numPr>
                <w:ilvl w:val="1"/>
                <w:numId w:val="3"/>
              </w:numPr>
              <w:tabs>
                <w:tab w:pos="740" w:val="left" w:leader="none"/>
              </w:tabs>
              <w:spacing w:line="240" w:lineRule="auto" w:before="51" w:after="0"/>
              <w:ind w:left="739" w:right="0" w:hanging="420"/>
              <w:jc w:val="left"/>
              <w:rPr>
                <w:sz w:val="21"/>
              </w:rPr>
            </w:pPr>
            <w:r>
              <w:rPr>
                <w:spacing w:val="-1"/>
                <w:sz w:val="21"/>
              </w:rPr>
              <w:t>责任免除</w:t>
            </w:r>
          </w:p>
          <w:p>
            <w:pPr>
              <w:pStyle w:val="TableParagraph"/>
              <w:numPr>
                <w:ilvl w:val="1"/>
                <w:numId w:val="3"/>
              </w:numPr>
              <w:tabs>
                <w:tab w:pos="740" w:val="left" w:leader="none"/>
              </w:tabs>
              <w:spacing w:line="240" w:lineRule="auto" w:before="53" w:after="0"/>
              <w:ind w:left="739" w:right="0" w:hanging="420"/>
              <w:jc w:val="left"/>
              <w:rPr>
                <w:sz w:val="21"/>
              </w:rPr>
            </w:pPr>
            <w:r>
              <w:rPr>
                <w:spacing w:val="-1"/>
                <w:sz w:val="21"/>
              </w:rPr>
              <w:t>保险期间</w:t>
            </w:r>
          </w:p>
          <w:p>
            <w:pPr>
              <w:pStyle w:val="TableParagraph"/>
              <w:numPr>
                <w:ilvl w:val="1"/>
                <w:numId w:val="3"/>
              </w:numPr>
              <w:tabs>
                <w:tab w:pos="740" w:val="left" w:leader="none"/>
              </w:tabs>
              <w:spacing w:line="240" w:lineRule="auto" w:before="51" w:after="0"/>
              <w:ind w:left="739" w:right="0" w:hanging="420"/>
              <w:jc w:val="left"/>
              <w:rPr>
                <w:sz w:val="21"/>
              </w:rPr>
            </w:pPr>
            <w:r>
              <w:rPr>
                <w:spacing w:val="-1"/>
                <w:sz w:val="21"/>
              </w:rPr>
              <w:t>保险金额</w:t>
            </w:r>
          </w:p>
          <w:p>
            <w:pPr>
              <w:pStyle w:val="TableParagraph"/>
              <w:spacing w:before="0"/>
              <w:ind w:left="0"/>
              <w:rPr>
                <w:rFonts w:ascii="宋体"/>
                <w:b/>
                <w:sz w:val="29"/>
              </w:rPr>
            </w:pPr>
          </w:p>
          <w:p>
            <w:pPr>
              <w:pStyle w:val="TableParagraph"/>
              <w:spacing w:before="0"/>
              <w:ind w:left="108"/>
              <w:rPr>
                <w:b/>
                <w:sz w:val="21"/>
              </w:rPr>
            </w:pPr>
            <w:r>
              <w:rPr>
                <w:b/>
                <w:sz w:val="21"/>
              </w:rPr>
              <w:t>3．如何申请领取保险金</w:t>
            </w:r>
          </w:p>
          <w:p>
            <w:pPr>
              <w:pStyle w:val="TableParagraph"/>
              <w:numPr>
                <w:ilvl w:val="1"/>
                <w:numId w:val="4"/>
              </w:numPr>
              <w:tabs>
                <w:tab w:pos="740" w:val="left" w:leader="none"/>
              </w:tabs>
              <w:spacing w:line="240" w:lineRule="auto" w:before="53" w:after="0"/>
              <w:ind w:left="739" w:right="0" w:hanging="420"/>
              <w:jc w:val="left"/>
              <w:rPr>
                <w:sz w:val="21"/>
              </w:rPr>
            </w:pPr>
            <w:r>
              <w:rPr>
                <w:sz w:val="21"/>
              </w:rPr>
              <w:t>受益人</w:t>
            </w:r>
          </w:p>
          <w:p>
            <w:pPr>
              <w:pStyle w:val="TableParagraph"/>
              <w:numPr>
                <w:ilvl w:val="1"/>
                <w:numId w:val="4"/>
              </w:numPr>
              <w:tabs>
                <w:tab w:pos="740" w:val="left" w:leader="none"/>
              </w:tabs>
              <w:spacing w:line="240" w:lineRule="auto" w:before="51" w:after="0"/>
              <w:ind w:left="739" w:right="0" w:hanging="420"/>
              <w:jc w:val="left"/>
              <w:rPr>
                <w:sz w:val="21"/>
              </w:rPr>
            </w:pPr>
            <w:r>
              <w:rPr>
                <w:spacing w:val="-2"/>
                <w:sz w:val="21"/>
              </w:rPr>
              <w:t>保险事故通知</w:t>
            </w:r>
          </w:p>
          <w:p>
            <w:pPr>
              <w:pStyle w:val="TableParagraph"/>
              <w:numPr>
                <w:ilvl w:val="1"/>
                <w:numId w:val="4"/>
              </w:numPr>
              <w:tabs>
                <w:tab w:pos="740" w:val="left" w:leader="none"/>
              </w:tabs>
              <w:spacing w:line="240" w:lineRule="auto" w:before="54" w:after="0"/>
              <w:ind w:left="739" w:right="0" w:hanging="420"/>
              <w:jc w:val="left"/>
              <w:rPr>
                <w:sz w:val="21"/>
              </w:rPr>
            </w:pPr>
            <w:r>
              <w:rPr>
                <w:spacing w:val="-1"/>
                <w:sz w:val="21"/>
              </w:rPr>
              <w:t>保险金申请</w:t>
            </w:r>
          </w:p>
          <w:p>
            <w:pPr>
              <w:pStyle w:val="TableParagraph"/>
              <w:numPr>
                <w:ilvl w:val="1"/>
                <w:numId w:val="4"/>
              </w:numPr>
              <w:tabs>
                <w:tab w:pos="740" w:val="left" w:leader="none"/>
              </w:tabs>
              <w:spacing w:line="240" w:lineRule="auto" w:before="51" w:after="0"/>
              <w:ind w:left="739" w:right="0" w:hanging="420"/>
              <w:jc w:val="left"/>
              <w:rPr>
                <w:sz w:val="21"/>
              </w:rPr>
            </w:pPr>
            <w:r>
              <w:rPr>
                <w:spacing w:val="-1"/>
                <w:sz w:val="21"/>
              </w:rPr>
              <w:t>保险金给付</w:t>
            </w:r>
          </w:p>
          <w:p>
            <w:pPr>
              <w:pStyle w:val="TableParagraph"/>
              <w:numPr>
                <w:ilvl w:val="1"/>
                <w:numId w:val="4"/>
              </w:numPr>
              <w:tabs>
                <w:tab w:pos="740" w:val="left" w:leader="none"/>
              </w:tabs>
              <w:spacing w:line="240" w:lineRule="auto" w:before="53" w:after="0"/>
              <w:ind w:left="739" w:right="0" w:hanging="420"/>
              <w:jc w:val="left"/>
              <w:rPr>
                <w:sz w:val="21"/>
              </w:rPr>
            </w:pPr>
            <w:r>
              <w:rPr>
                <w:spacing w:val="-2"/>
                <w:sz w:val="21"/>
              </w:rPr>
              <w:t>保险金申请时效</w:t>
            </w:r>
          </w:p>
          <w:p>
            <w:pPr>
              <w:pStyle w:val="TableParagraph"/>
              <w:spacing w:before="0"/>
              <w:ind w:left="0"/>
              <w:rPr>
                <w:rFonts w:ascii="宋体"/>
                <w:b/>
                <w:sz w:val="29"/>
              </w:rPr>
            </w:pPr>
          </w:p>
          <w:p>
            <w:pPr>
              <w:pStyle w:val="TableParagraph"/>
              <w:spacing w:before="0"/>
              <w:ind w:left="108"/>
              <w:rPr>
                <w:b/>
                <w:sz w:val="21"/>
              </w:rPr>
            </w:pPr>
            <w:r>
              <w:rPr>
                <w:b/>
                <w:sz w:val="21"/>
              </w:rPr>
              <w:t>4．如何交纳保险费</w:t>
            </w:r>
          </w:p>
          <w:p>
            <w:pPr>
              <w:pStyle w:val="TableParagraph"/>
              <w:spacing w:line="271" w:lineRule="exact" w:before="51"/>
              <w:ind w:left="319"/>
              <w:rPr>
                <w:sz w:val="21"/>
              </w:rPr>
            </w:pPr>
            <w:r>
              <w:rPr>
                <w:rFonts w:ascii="Times New Roman" w:eastAsia="Times New Roman"/>
                <w:sz w:val="21"/>
              </w:rPr>
              <w:t>4.1   </w:t>
            </w:r>
            <w:r>
              <w:rPr>
                <w:sz w:val="21"/>
              </w:rPr>
              <w:t>保险费</w:t>
            </w:r>
          </w:p>
        </w:tc>
        <w:tc>
          <w:tcPr>
            <w:tcW w:w="3218" w:type="dxa"/>
            <w:tcBorders>
              <w:top w:val="dotted" w:sz="4" w:space="0" w:color="000000"/>
            </w:tcBorders>
          </w:tcPr>
          <w:p>
            <w:pPr>
              <w:pStyle w:val="TableParagraph"/>
              <w:spacing w:line="272" w:lineRule="exact" w:before="0"/>
              <w:ind w:left="317"/>
              <w:rPr>
                <w:b/>
                <w:sz w:val="21"/>
              </w:rPr>
            </w:pPr>
            <w:r>
              <w:rPr>
                <w:b/>
                <w:sz w:val="21"/>
              </w:rPr>
              <w:t>5．如何解除保险合同</w:t>
            </w:r>
          </w:p>
          <w:p>
            <w:pPr>
              <w:pStyle w:val="TableParagraph"/>
              <w:spacing w:before="51"/>
              <w:ind w:left="529"/>
              <w:rPr>
                <w:sz w:val="21"/>
              </w:rPr>
            </w:pPr>
            <w:r>
              <w:rPr>
                <w:sz w:val="21"/>
              </w:rPr>
              <w:t>5.1 合同解除</w:t>
            </w:r>
          </w:p>
          <w:p>
            <w:pPr>
              <w:pStyle w:val="TableParagraph"/>
              <w:spacing w:before="0"/>
              <w:ind w:left="0"/>
              <w:rPr>
                <w:rFonts w:ascii="宋体"/>
                <w:b/>
                <w:sz w:val="29"/>
              </w:rPr>
            </w:pPr>
          </w:p>
          <w:p>
            <w:pPr>
              <w:pStyle w:val="TableParagraph"/>
              <w:spacing w:before="0"/>
              <w:ind w:left="317"/>
              <w:rPr>
                <w:b/>
                <w:sz w:val="21"/>
              </w:rPr>
            </w:pPr>
            <w:r>
              <w:rPr>
                <w:b/>
                <w:sz w:val="21"/>
              </w:rPr>
              <w:t>6．其他需要关注的事项</w:t>
            </w:r>
          </w:p>
          <w:p>
            <w:pPr>
              <w:pStyle w:val="TableParagraph"/>
              <w:numPr>
                <w:ilvl w:val="1"/>
                <w:numId w:val="5"/>
              </w:numPr>
              <w:tabs>
                <w:tab w:pos="950" w:val="left" w:leader="none"/>
              </w:tabs>
              <w:spacing w:line="240" w:lineRule="auto" w:before="53" w:after="0"/>
              <w:ind w:left="949" w:right="0" w:hanging="420"/>
              <w:jc w:val="left"/>
              <w:rPr>
                <w:sz w:val="21"/>
              </w:rPr>
            </w:pPr>
            <w:r>
              <w:rPr>
                <w:spacing w:val="-1"/>
                <w:sz w:val="21"/>
              </w:rPr>
              <w:t>如实告知</w:t>
            </w:r>
          </w:p>
          <w:p>
            <w:pPr>
              <w:pStyle w:val="TableParagraph"/>
              <w:numPr>
                <w:ilvl w:val="1"/>
                <w:numId w:val="5"/>
              </w:numPr>
              <w:tabs>
                <w:tab w:pos="950" w:val="left" w:leader="none"/>
              </w:tabs>
              <w:spacing w:line="240" w:lineRule="auto" w:before="51" w:after="0"/>
              <w:ind w:left="949" w:right="0" w:hanging="420"/>
              <w:jc w:val="left"/>
              <w:rPr>
                <w:sz w:val="21"/>
              </w:rPr>
            </w:pPr>
            <w:r>
              <w:rPr>
                <w:spacing w:val="-2"/>
                <w:sz w:val="21"/>
              </w:rPr>
              <w:t>被保险人的变动</w:t>
            </w:r>
          </w:p>
          <w:p>
            <w:pPr>
              <w:pStyle w:val="TableParagraph"/>
              <w:numPr>
                <w:ilvl w:val="1"/>
                <w:numId w:val="5"/>
              </w:numPr>
              <w:tabs>
                <w:tab w:pos="950" w:val="left" w:leader="none"/>
              </w:tabs>
              <w:spacing w:line="240" w:lineRule="auto" w:before="54" w:after="0"/>
              <w:ind w:left="949" w:right="0" w:hanging="420"/>
              <w:jc w:val="left"/>
              <w:rPr>
                <w:sz w:val="21"/>
              </w:rPr>
            </w:pPr>
            <w:r>
              <w:rPr>
                <w:spacing w:val="-1"/>
                <w:sz w:val="21"/>
              </w:rPr>
              <w:t>身体检查</w:t>
            </w:r>
          </w:p>
          <w:p>
            <w:pPr>
              <w:pStyle w:val="TableParagraph"/>
              <w:numPr>
                <w:ilvl w:val="1"/>
                <w:numId w:val="5"/>
              </w:numPr>
              <w:tabs>
                <w:tab w:pos="950" w:val="left" w:leader="none"/>
              </w:tabs>
              <w:spacing w:line="240" w:lineRule="auto" w:before="51" w:after="0"/>
              <w:ind w:left="949" w:right="0" w:hanging="420"/>
              <w:jc w:val="left"/>
              <w:rPr>
                <w:sz w:val="21"/>
              </w:rPr>
            </w:pPr>
            <w:r>
              <w:rPr>
                <w:sz w:val="21"/>
              </w:rPr>
              <w:t>续保</w:t>
            </w:r>
          </w:p>
          <w:p>
            <w:pPr>
              <w:pStyle w:val="TableParagraph"/>
              <w:numPr>
                <w:ilvl w:val="1"/>
                <w:numId w:val="5"/>
              </w:numPr>
              <w:tabs>
                <w:tab w:pos="950" w:val="left" w:leader="none"/>
              </w:tabs>
              <w:spacing w:line="240" w:lineRule="auto" w:before="53" w:after="0"/>
              <w:ind w:left="949" w:right="0" w:hanging="420"/>
              <w:jc w:val="left"/>
              <w:rPr>
                <w:sz w:val="21"/>
              </w:rPr>
            </w:pPr>
            <w:r>
              <w:rPr>
                <w:spacing w:val="-3"/>
                <w:sz w:val="21"/>
              </w:rPr>
              <w:t>联系方式变更</w:t>
            </w:r>
          </w:p>
          <w:p>
            <w:pPr>
              <w:pStyle w:val="TableParagraph"/>
              <w:numPr>
                <w:ilvl w:val="1"/>
                <w:numId w:val="5"/>
              </w:numPr>
              <w:tabs>
                <w:tab w:pos="950" w:val="left" w:leader="none"/>
              </w:tabs>
              <w:spacing w:line="240" w:lineRule="auto" w:before="51" w:after="0"/>
              <w:ind w:left="949" w:right="0" w:hanging="420"/>
              <w:jc w:val="left"/>
              <w:rPr>
                <w:sz w:val="21"/>
              </w:rPr>
            </w:pPr>
            <w:r>
              <w:rPr>
                <w:spacing w:val="-2"/>
                <w:sz w:val="21"/>
              </w:rPr>
              <w:t>合同内容变更</w:t>
            </w:r>
          </w:p>
          <w:p>
            <w:pPr>
              <w:pStyle w:val="TableParagraph"/>
              <w:numPr>
                <w:ilvl w:val="1"/>
                <w:numId w:val="5"/>
              </w:numPr>
              <w:tabs>
                <w:tab w:pos="950" w:val="left" w:leader="none"/>
              </w:tabs>
              <w:spacing w:line="240" w:lineRule="auto" w:before="53" w:after="0"/>
              <w:ind w:left="949" w:right="0" w:hanging="420"/>
              <w:jc w:val="left"/>
              <w:rPr>
                <w:sz w:val="21"/>
              </w:rPr>
            </w:pPr>
            <w:r>
              <w:rPr>
                <w:spacing w:val="-3"/>
                <w:sz w:val="21"/>
              </w:rPr>
              <w:t>年龄确定与错误处理</w:t>
            </w:r>
          </w:p>
          <w:p>
            <w:pPr>
              <w:pStyle w:val="TableParagraph"/>
              <w:numPr>
                <w:ilvl w:val="1"/>
                <w:numId w:val="5"/>
              </w:numPr>
              <w:tabs>
                <w:tab w:pos="950" w:val="left" w:leader="none"/>
              </w:tabs>
              <w:spacing w:line="240" w:lineRule="auto" w:before="51" w:after="0"/>
              <w:ind w:left="949" w:right="0" w:hanging="420"/>
              <w:jc w:val="left"/>
              <w:rPr>
                <w:sz w:val="21"/>
              </w:rPr>
            </w:pPr>
            <w:r>
              <w:rPr>
                <w:spacing w:val="-1"/>
                <w:sz w:val="21"/>
              </w:rPr>
              <w:t>争议处理</w:t>
            </w:r>
          </w:p>
          <w:p>
            <w:pPr>
              <w:pStyle w:val="TableParagraph"/>
              <w:spacing w:before="0"/>
              <w:ind w:left="0"/>
              <w:rPr>
                <w:rFonts w:ascii="宋体"/>
                <w:b/>
                <w:sz w:val="29"/>
              </w:rPr>
            </w:pPr>
          </w:p>
          <w:p>
            <w:pPr>
              <w:pStyle w:val="TableParagraph"/>
              <w:spacing w:before="0"/>
              <w:ind w:left="317"/>
              <w:rPr>
                <w:b/>
                <w:sz w:val="21"/>
              </w:rPr>
            </w:pPr>
            <w:r>
              <w:rPr>
                <w:b/>
                <w:sz w:val="21"/>
              </w:rPr>
              <w:t>7．释义</w:t>
            </w:r>
          </w:p>
          <w:p>
            <w:pPr>
              <w:pStyle w:val="TableParagraph"/>
              <w:numPr>
                <w:ilvl w:val="1"/>
                <w:numId w:val="6"/>
              </w:numPr>
              <w:tabs>
                <w:tab w:pos="950" w:val="left" w:leader="none"/>
              </w:tabs>
              <w:spacing w:line="240" w:lineRule="auto" w:before="53" w:after="0"/>
              <w:ind w:left="949" w:right="0" w:hanging="420"/>
              <w:jc w:val="left"/>
              <w:rPr>
                <w:sz w:val="21"/>
              </w:rPr>
            </w:pPr>
            <w:r>
              <w:rPr>
                <w:sz w:val="21"/>
              </w:rPr>
              <w:t>本公司</w:t>
            </w:r>
          </w:p>
          <w:p>
            <w:pPr>
              <w:pStyle w:val="TableParagraph"/>
              <w:numPr>
                <w:ilvl w:val="1"/>
                <w:numId w:val="6"/>
              </w:numPr>
              <w:tabs>
                <w:tab w:pos="950" w:val="left" w:leader="none"/>
              </w:tabs>
              <w:spacing w:line="240" w:lineRule="auto" w:before="51" w:after="0"/>
              <w:ind w:left="949" w:right="0" w:hanging="420"/>
              <w:jc w:val="left"/>
              <w:rPr>
                <w:sz w:val="21"/>
              </w:rPr>
            </w:pPr>
            <w:r>
              <w:rPr>
                <w:sz w:val="21"/>
              </w:rPr>
              <w:t>周岁</w:t>
            </w:r>
          </w:p>
          <w:p>
            <w:pPr>
              <w:pStyle w:val="TableParagraph"/>
              <w:numPr>
                <w:ilvl w:val="1"/>
                <w:numId w:val="6"/>
              </w:numPr>
              <w:tabs>
                <w:tab w:pos="950" w:val="left" w:leader="none"/>
              </w:tabs>
              <w:spacing w:line="240" w:lineRule="auto" w:before="53" w:after="0"/>
              <w:ind w:left="949" w:right="0" w:hanging="420"/>
              <w:jc w:val="left"/>
              <w:rPr>
                <w:sz w:val="21"/>
              </w:rPr>
            </w:pPr>
            <w:r>
              <w:rPr>
                <w:sz w:val="21"/>
              </w:rPr>
              <w:t>团体</w:t>
            </w:r>
          </w:p>
          <w:p>
            <w:pPr>
              <w:pStyle w:val="TableParagraph"/>
              <w:numPr>
                <w:ilvl w:val="1"/>
                <w:numId w:val="6"/>
              </w:numPr>
              <w:tabs>
                <w:tab w:pos="950" w:val="left" w:leader="none"/>
              </w:tabs>
              <w:spacing w:line="240" w:lineRule="auto" w:before="50" w:after="0"/>
              <w:ind w:left="949" w:right="0" w:hanging="420"/>
              <w:jc w:val="left"/>
              <w:rPr>
                <w:sz w:val="21"/>
              </w:rPr>
            </w:pPr>
            <w:r>
              <w:rPr>
                <w:spacing w:val="-3"/>
                <w:sz w:val="21"/>
              </w:rPr>
              <w:t>初次患有重大疾病</w:t>
            </w:r>
          </w:p>
          <w:p>
            <w:pPr>
              <w:pStyle w:val="TableParagraph"/>
              <w:numPr>
                <w:ilvl w:val="1"/>
                <w:numId w:val="6"/>
              </w:numPr>
              <w:tabs>
                <w:tab w:pos="950" w:val="left" w:leader="none"/>
              </w:tabs>
              <w:spacing w:line="240" w:lineRule="auto" w:before="53" w:after="0"/>
              <w:ind w:left="949" w:right="0" w:hanging="420"/>
              <w:jc w:val="left"/>
              <w:rPr>
                <w:sz w:val="21"/>
              </w:rPr>
            </w:pPr>
            <w:r>
              <w:rPr>
                <w:spacing w:val="-1"/>
                <w:sz w:val="21"/>
              </w:rPr>
              <w:t>重大疾病</w:t>
            </w:r>
          </w:p>
          <w:p>
            <w:pPr>
              <w:pStyle w:val="TableParagraph"/>
              <w:numPr>
                <w:ilvl w:val="1"/>
                <w:numId w:val="6"/>
              </w:numPr>
              <w:tabs>
                <w:tab w:pos="950" w:val="left" w:leader="none"/>
              </w:tabs>
              <w:spacing w:line="271" w:lineRule="exact" w:before="51" w:after="0"/>
              <w:ind w:left="949" w:right="0" w:hanging="420"/>
              <w:jc w:val="left"/>
              <w:rPr>
                <w:sz w:val="21"/>
              </w:rPr>
            </w:pPr>
            <w:r>
              <w:rPr>
                <w:sz w:val="21"/>
              </w:rPr>
              <w:t>毒品</w:t>
            </w:r>
          </w:p>
        </w:tc>
        <w:tc>
          <w:tcPr>
            <w:tcW w:w="3116" w:type="dxa"/>
            <w:tcBorders>
              <w:top w:val="dotted" w:sz="4" w:space="0" w:color="000000"/>
            </w:tcBorders>
          </w:tcPr>
          <w:p>
            <w:pPr>
              <w:pStyle w:val="TableParagraph"/>
              <w:numPr>
                <w:ilvl w:val="1"/>
                <w:numId w:val="7"/>
              </w:numPr>
              <w:tabs>
                <w:tab w:pos="794" w:val="left" w:leader="none"/>
              </w:tabs>
              <w:spacing w:line="272" w:lineRule="exact" w:before="0" w:after="0"/>
              <w:ind w:left="793" w:right="0" w:hanging="420"/>
              <w:jc w:val="left"/>
              <w:rPr>
                <w:sz w:val="21"/>
              </w:rPr>
            </w:pPr>
            <w:r>
              <w:rPr>
                <w:spacing w:val="-1"/>
                <w:sz w:val="21"/>
              </w:rPr>
              <w:t>酒后驾驶</w:t>
            </w:r>
          </w:p>
          <w:p>
            <w:pPr>
              <w:pStyle w:val="TableParagraph"/>
              <w:numPr>
                <w:ilvl w:val="1"/>
                <w:numId w:val="7"/>
              </w:numPr>
              <w:tabs>
                <w:tab w:pos="794" w:val="left" w:leader="none"/>
              </w:tabs>
              <w:spacing w:line="240" w:lineRule="auto" w:before="51" w:after="0"/>
              <w:ind w:left="793" w:right="0" w:hanging="420"/>
              <w:jc w:val="left"/>
              <w:rPr>
                <w:sz w:val="21"/>
              </w:rPr>
            </w:pPr>
            <w:r>
              <w:rPr>
                <w:spacing w:val="-3"/>
                <w:sz w:val="21"/>
              </w:rPr>
              <w:t>无合法有效驾驶证驾驶</w:t>
            </w:r>
          </w:p>
          <w:p>
            <w:pPr>
              <w:pStyle w:val="TableParagraph"/>
              <w:numPr>
                <w:ilvl w:val="1"/>
                <w:numId w:val="7"/>
              </w:numPr>
              <w:tabs>
                <w:tab w:pos="794" w:val="left" w:leader="none"/>
              </w:tabs>
              <w:spacing w:line="240" w:lineRule="auto" w:before="53" w:after="0"/>
              <w:ind w:left="793" w:right="0" w:hanging="420"/>
              <w:jc w:val="left"/>
              <w:rPr>
                <w:sz w:val="21"/>
              </w:rPr>
            </w:pPr>
            <w:r>
              <w:rPr>
                <w:spacing w:val="-2"/>
                <w:sz w:val="21"/>
              </w:rPr>
              <w:t>无有效行驶证</w:t>
            </w:r>
          </w:p>
          <w:p>
            <w:pPr>
              <w:pStyle w:val="TableParagraph"/>
              <w:numPr>
                <w:ilvl w:val="1"/>
                <w:numId w:val="7"/>
              </w:numPr>
              <w:tabs>
                <w:tab w:pos="798" w:val="left" w:leader="none"/>
              </w:tabs>
              <w:spacing w:line="240" w:lineRule="auto" w:before="51" w:after="0"/>
              <w:ind w:left="797" w:right="0" w:hanging="424"/>
              <w:jc w:val="left"/>
              <w:rPr>
                <w:sz w:val="21"/>
              </w:rPr>
            </w:pPr>
            <w:r>
              <w:rPr>
                <w:sz w:val="21"/>
              </w:rPr>
              <w:t>机动车</w:t>
            </w:r>
          </w:p>
          <w:p>
            <w:pPr>
              <w:pStyle w:val="TableParagraph"/>
              <w:numPr>
                <w:ilvl w:val="1"/>
                <w:numId w:val="7"/>
              </w:numPr>
              <w:tabs>
                <w:tab w:pos="798" w:val="left" w:leader="none"/>
              </w:tabs>
              <w:spacing w:line="285" w:lineRule="auto" w:before="53" w:after="0"/>
              <w:ind w:left="793" w:right="217" w:hanging="420"/>
              <w:jc w:val="left"/>
              <w:rPr>
                <w:sz w:val="21"/>
              </w:rPr>
            </w:pPr>
            <w:r>
              <w:rPr>
                <w:spacing w:val="-3"/>
                <w:sz w:val="21"/>
              </w:rPr>
              <w:t>感染艾滋病病毒或患艾滋病</w:t>
            </w:r>
          </w:p>
          <w:p>
            <w:pPr>
              <w:pStyle w:val="TableParagraph"/>
              <w:numPr>
                <w:ilvl w:val="1"/>
                <w:numId w:val="7"/>
              </w:numPr>
              <w:tabs>
                <w:tab w:pos="798" w:val="left" w:leader="none"/>
              </w:tabs>
              <w:spacing w:line="240" w:lineRule="auto" w:before="13" w:after="0"/>
              <w:ind w:left="797" w:right="0" w:hanging="424"/>
              <w:jc w:val="left"/>
              <w:rPr>
                <w:sz w:val="21"/>
              </w:rPr>
            </w:pPr>
            <w:r>
              <w:rPr>
                <w:spacing w:val="-1"/>
                <w:sz w:val="21"/>
              </w:rPr>
              <w:t>现金价值</w:t>
            </w:r>
          </w:p>
          <w:p>
            <w:pPr>
              <w:pStyle w:val="TableParagraph"/>
              <w:numPr>
                <w:ilvl w:val="1"/>
                <w:numId w:val="7"/>
              </w:numPr>
              <w:tabs>
                <w:tab w:pos="798" w:val="left" w:leader="none"/>
              </w:tabs>
              <w:spacing w:line="240" w:lineRule="auto" w:before="51" w:after="0"/>
              <w:ind w:left="797" w:right="0" w:hanging="424"/>
              <w:jc w:val="left"/>
              <w:rPr>
                <w:sz w:val="21"/>
              </w:rPr>
            </w:pPr>
            <w:r>
              <w:rPr>
                <w:spacing w:val="-1"/>
                <w:sz w:val="21"/>
              </w:rPr>
              <w:t>保险事故</w:t>
            </w:r>
          </w:p>
          <w:p>
            <w:pPr>
              <w:pStyle w:val="TableParagraph"/>
              <w:numPr>
                <w:ilvl w:val="1"/>
                <w:numId w:val="7"/>
              </w:numPr>
              <w:tabs>
                <w:tab w:pos="798" w:val="left" w:leader="none"/>
              </w:tabs>
              <w:spacing w:line="240" w:lineRule="auto" w:before="53" w:after="0"/>
              <w:ind w:left="797" w:right="0" w:hanging="424"/>
              <w:jc w:val="left"/>
              <w:rPr>
                <w:sz w:val="21"/>
              </w:rPr>
            </w:pPr>
            <w:r>
              <w:rPr>
                <w:spacing w:val="-1"/>
                <w:sz w:val="21"/>
              </w:rPr>
              <w:t>不可抗力</w:t>
            </w:r>
          </w:p>
          <w:p>
            <w:pPr>
              <w:pStyle w:val="TableParagraph"/>
              <w:numPr>
                <w:ilvl w:val="1"/>
                <w:numId w:val="7"/>
              </w:numPr>
              <w:tabs>
                <w:tab w:pos="798" w:val="left" w:leader="none"/>
              </w:tabs>
              <w:spacing w:line="240" w:lineRule="auto" w:before="51" w:after="0"/>
              <w:ind w:left="797" w:right="0" w:hanging="424"/>
              <w:jc w:val="left"/>
              <w:rPr>
                <w:sz w:val="21"/>
              </w:rPr>
            </w:pPr>
            <w:r>
              <w:rPr>
                <w:spacing w:val="-2"/>
                <w:sz w:val="21"/>
              </w:rPr>
              <w:t>法定身份证明</w:t>
            </w:r>
          </w:p>
        </w:tc>
      </w:tr>
    </w:tbl>
    <w:p>
      <w:pPr>
        <w:spacing w:after="0" w:line="240" w:lineRule="auto"/>
        <w:jc w:val="left"/>
        <w:rPr>
          <w:sz w:val="21"/>
        </w:rPr>
        <w:sectPr>
          <w:type w:val="continuous"/>
          <w:pgSz w:w="11910" w:h="16840"/>
          <w:pgMar w:top="660" w:bottom="280" w:left="780" w:right="660"/>
        </w:sectPr>
      </w:pPr>
    </w:p>
    <w:p>
      <w:pPr>
        <w:pStyle w:val="Heading1"/>
        <w:spacing w:line="357" w:lineRule="auto"/>
        <w:ind w:right="3221" w:firstLine="0"/>
      </w:pPr>
      <w:r>
        <w:rPr/>
        <w:t>君康人寿保险股份有限公司</w:t>
      </w:r>
      <w:r>
        <w:rPr>
          <w:w w:val="95"/>
        </w:rPr>
        <w:t>君康团体重大疾病保险条款</w:t>
      </w:r>
    </w:p>
    <w:p>
      <w:pPr>
        <w:spacing w:line="240" w:lineRule="auto" w:before="0"/>
        <w:rPr>
          <w:b/>
          <w:sz w:val="20"/>
        </w:rPr>
      </w:pPr>
    </w:p>
    <w:p>
      <w:pPr>
        <w:spacing w:line="240" w:lineRule="auto" w:before="6" w:after="1"/>
        <w:rPr>
          <w:b/>
          <w:sz w:val="1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440"/>
        <w:gridCol w:w="8011"/>
      </w:tblGrid>
      <w:tr>
        <w:trPr>
          <w:trHeight w:val="478" w:hRule="atLeast"/>
        </w:trPr>
        <w:tc>
          <w:tcPr>
            <w:tcW w:w="630" w:type="dxa"/>
            <w:tcBorders>
              <w:bottom w:val="single" w:sz="4" w:space="0" w:color="000000"/>
            </w:tcBorders>
          </w:tcPr>
          <w:p>
            <w:pPr>
              <w:pStyle w:val="TableParagraph"/>
              <w:spacing w:line="354" w:lineRule="exact" w:before="0"/>
              <w:ind w:left="107"/>
              <w:rPr>
                <w:rFonts w:ascii="Times New Roman"/>
                <w:b/>
                <w:sz w:val="32"/>
              </w:rPr>
            </w:pPr>
            <w:r>
              <w:rPr>
                <w:rFonts w:ascii="Times New Roman"/>
                <w:b/>
                <w:w w:val="99"/>
                <w:sz w:val="32"/>
              </w:rPr>
              <w:t>1</w:t>
            </w:r>
          </w:p>
        </w:tc>
        <w:tc>
          <w:tcPr>
            <w:tcW w:w="9451" w:type="dxa"/>
            <w:gridSpan w:val="2"/>
            <w:tcBorders>
              <w:bottom w:val="single" w:sz="4" w:space="0" w:color="000000"/>
            </w:tcBorders>
          </w:tcPr>
          <w:p>
            <w:pPr>
              <w:pStyle w:val="TableParagraph"/>
              <w:spacing w:line="287" w:lineRule="exact" w:before="0"/>
              <w:ind w:left="205"/>
              <w:rPr>
                <w:b/>
                <w:sz w:val="24"/>
              </w:rPr>
            </w:pPr>
            <w:r>
              <w:rPr>
                <w:b/>
                <w:w w:val="95"/>
                <w:sz w:val="24"/>
              </w:rPr>
              <w:t>投保人与本公司的合同</w:t>
            </w:r>
          </w:p>
        </w:tc>
      </w:tr>
      <w:tr>
        <w:trPr>
          <w:trHeight w:val="1737" w:hRule="atLeast"/>
        </w:trPr>
        <w:tc>
          <w:tcPr>
            <w:tcW w:w="630" w:type="dxa"/>
            <w:tcBorders>
              <w:top w:val="single" w:sz="4" w:space="0" w:color="000000"/>
            </w:tcBorders>
          </w:tcPr>
          <w:p>
            <w:pPr>
              <w:pStyle w:val="TableParagraph"/>
              <w:spacing w:before="174"/>
              <w:ind w:left="107"/>
              <w:rPr>
                <w:b/>
                <w:sz w:val="21"/>
              </w:rPr>
            </w:pPr>
            <w:r>
              <w:rPr>
                <w:b/>
                <w:sz w:val="21"/>
              </w:rPr>
              <w:t>1.1</w:t>
            </w:r>
          </w:p>
        </w:tc>
        <w:tc>
          <w:tcPr>
            <w:tcW w:w="1440" w:type="dxa"/>
            <w:tcBorders>
              <w:top w:val="single" w:sz="4" w:space="0" w:color="000000"/>
            </w:tcBorders>
          </w:tcPr>
          <w:p>
            <w:pPr>
              <w:pStyle w:val="TableParagraph"/>
              <w:spacing w:before="174"/>
              <w:ind w:left="205"/>
              <w:rPr>
                <w:b/>
                <w:sz w:val="21"/>
              </w:rPr>
            </w:pPr>
            <w:r>
              <w:rPr>
                <w:b/>
                <w:sz w:val="21"/>
              </w:rPr>
              <w:t>合同构成</w:t>
            </w:r>
          </w:p>
        </w:tc>
        <w:tc>
          <w:tcPr>
            <w:tcW w:w="8011" w:type="dxa"/>
            <w:tcBorders>
              <w:top w:val="single" w:sz="4" w:space="0" w:color="000000"/>
            </w:tcBorders>
          </w:tcPr>
          <w:p>
            <w:pPr>
              <w:pStyle w:val="TableParagraph"/>
              <w:spacing w:line="326" w:lineRule="auto" w:before="174"/>
              <w:ind w:left="179" w:right="100"/>
              <w:jc w:val="both"/>
              <w:rPr>
                <w:sz w:val="21"/>
              </w:rPr>
            </w:pPr>
            <w:r>
              <w:rPr>
                <w:spacing w:val="-7"/>
                <w:sz w:val="21"/>
              </w:rPr>
              <w:t>本保险条款、保险单或其他保险凭证、投保书、与保险合同有关的投保文件、合法有</w:t>
            </w:r>
            <w:r>
              <w:rPr>
                <w:spacing w:val="-5"/>
                <w:sz w:val="21"/>
              </w:rPr>
              <w:t>效的声明、批注、批单、其他经投保人与</w:t>
            </w:r>
            <w:r>
              <w:rPr>
                <w:b/>
                <w:sz w:val="21"/>
              </w:rPr>
              <w:t>本公司</w:t>
            </w:r>
            <w:r>
              <w:rPr>
                <w:spacing w:val="-3"/>
                <w:sz w:val="21"/>
              </w:rPr>
              <w:t>（</w:t>
            </w:r>
            <w:r>
              <w:rPr>
                <w:spacing w:val="-11"/>
                <w:sz w:val="21"/>
              </w:rPr>
              <w:t>见 </w:t>
            </w:r>
            <w:r>
              <w:rPr>
                <w:sz w:val="21"/>
              </w:rPr>
              <w:t>7.1）</w:t>
            </w:r>
            <w:r>
              <w:rPr>
                <w:spacing w:val="-3"/>
                <w:sz w:val="21"/>
              </w:rPr>
              <w:t>共同认可的与本合同有关</w:t>
            </w:r>
            <w:r>
              <w:rPr>
                <w:spacing w:val="-5"/>
                <w:sz w:val="21"/>
              </w:rPr>
              <w:t>的书面协议都是投保人与本公司之间订立的“君康团体重大疾病保险合同”</w:t>
            </w:r>
            <w:r>
              <w:rPr>
                <w:spacing w:val="-18"/>
                <w:sz w:val="21"/>
              </w:rPr>
              <w:t>（</w:t>
            </w:r>
            <w:r>
              <w:rPr>
                <w:sz w:val="21"/>
              </w:rPr>
              <w:t>以下简</w:t>
            </w:r>
            <w:r>
              <w:rPr>
                <w:spacing w:val="-3"/>
                <w:sz w:val="21"/>
              </w:rPr>
              <w:t>称为“本主险合同”</w:t>
            </w:r>
            <w:r>
              <w:rPr>
                <w:sz w:val="21"/>
              </w:rPr>
              <w:t>）</w:t>
            </w:r>
            <w:r>
              <w:rPr>
                <w:spacing w:val="-3"/>
                <w:sz w:val="21"/>
              </w:rPr>
              <w:t>的构成部分。</w:t>
            </w:r>
          </w:p>
        </w:tc>
      </w:tr>
      <w:tr>
        <w:trPr>
          <w:trHeight w:val="1663" w:hRule="atLeast"/>
        </w:trPr>
        <w:tc>
          <w:tcPr>
            <w:tcW w:w="630" w:type="dxa"/>
          </w:tcPr>
          <w:p>
            <w:pPr>
              <w:pStyle w:val="TableParagraph"/>
              <w:spacing w:before="100"/>
              <w:ind w:left="107"/>
              <w:rPr>
                <w:b/>
                <w:sz w:val="21"/>
              </w:rPr>
            </w:pPr>
            <w:r>
              <w:rPr>
                <w:b/>
                <w:sz w:val="21"/>
              </w:rPr>
              <w:t>1.2</w:t>
            </w:r>
          </w:p>
        </w:tc>
        <w:tc>
          <w:tcPr>
            <w:tcW w:w="1440" w:type="dxa"/>
          </w:tcPr>
          <w:p>
            <w:pPr>
              <w:pStyle w:val="TableParagraph"/>
              <w:spacing w:line="326" w:lineRule="auto" w:before="100"/>
              <w:ind w:left="205" w:right="176"/>
              <w:rPr>
                <w:b/>
                <w:sz w:val="21"/>
              </w:rPr>
            </w:pPr>
            <w:r>
              <w:rPr>
                <w:b/>
                <w:sz w:val="21"/>
              </w:rPr>
              <w:t>合同成立与生效</w:t>
            </w:r>
          </w:p>
        </w:tc>
        <w:tc>
          <w:tcPr>
            <w:tcW w:w="8011" w:type="dxa"/>
          </w:tcPr>
          <w:p>
            <w:pPr>
              <w:pStyle w:val="TableParagraph"/>
              <w:spacing w:before="100"/>
              <w:ind w:left="179"/>
              <w:rPr>
                <w:sz w:val="21"/>
              </w:rPr>
            </w:pPr>
            <w:r>
              <w:rPr>
                <w:sz w:val="21"/>
              </w:rPr>
              <w:t>投保人提出保险申请，本公司同意承保，本主险合同成立。</w:t>
            </w:r>
          </w:p>
          <w:p>
            <w:pPr>
              <w:pStyle w:val="TableParagraph"/>
              <w:spacing w:line="326" w:lineRule="auto"/>
              <w:ind w:left="179" w:right="100"/>
              <w:jc w:val="both"/>
              <w:rPr>
                <w:sz w:val="21"/>
              </w:rPr>
            </w:pPr>
            <w:r>
              <w:rPr>
                <w:spacing w:val="-8"/>
                <w:sz w:val="21"/>
              </w:rPr>
              <w:t>除另有约定外，自本主险合同成立、本公司收取保险费并签发保险单后次日零时起本</w:t>
            </w:r>
            <w:r>
              <w:rPr>
                <w:spacing w:val="-9"/>
                <w:sz w:val="21"/>
              </w:rPr>
              <w:t>主险合同生效，生效日载于保险单上。本公司自生效日的零时起开始承担本主险合同</w:t>
            </w:r>
            <w:r>
              <w:rPr>
                <w:spacing w:val="-5"/>
                <w:sz w:val="21"/>
              </w:rPr>
              <w:t>约定的保险责任。</w:t>
            </w:r>
          </w:p>
        </w:tc>
      </w:tr>
      <w:tr>
        <w:trPr>
          <w:trHeight w:val="1694" w:hRule="atLeast"/>
        </w:trPr>
        <w:tc>
          <w:tcPr>
            <w:tcW w:w="630" w:type="dxa"/>
          </w:tcPr>
          <w:p>
            <w:pPr>
              <w:pStyle w:val="TableParagraph"/>
              <w:spacing w:before="100"/>
              <w:ind w:left="107"/>
              <w:rPr>
                <w:b/>
                <w:sz w:val="21"/>
              </w:rPr>
            </w:pPr>
            <w:r>
              <w:rPr>
                <w:b/>
                <w:sz w:val="21"/>
              </w:rPr>
              <w:t>1.3</w:t>
            </w:r>
          </w:p>
        </w:tc>
        <w:tc>
          <w:tcPr>
            <w:tcW w:w="1440" w:type="dxa"/>
          </w:tcPr>
          <w:p>
            <w:pPr>
              <w:pStyle w:val="TableParagraph"/>
              <w:spacing w:before="100"/>
              <w:ind w:left="205"/>
              <w:rPr>
                <w:b/>
                <w:sz w:val="21"/>
              </w:rPr>
            </w:pPr>
            <w:r>
              <w:rPr>
                <w:b/>
                <w:sz w:val="21"/>
              </w:rPr>
              <w:t>投保范围</w:t>
            </w:r>
          </w:p>
        </w:tc>
        <w:tc>
          <w:tcPr>
            <w:tcW w:w="8011" w:type="dxa"/>
          </w:tcPr>
          <w:p>
            <w:pPr>
              <w:pStyle w:val="TableParagraph"/>
              <w:spacing w:line="326" w:lineRule="auto" w:before="100"/>
              <w:ind w:left="179" w:right="40"/>
              <w:rPr>
                <w:sz w:val="21"/>
              </w:rPr>
            </w:pPr>
            <w:r>
              <w:rPr>
                <w:sz w:val="21"/>
              </w:rPr>
              <w:t>被保险人：凡年满十六周岁至六十五</w:t>
            </w:r>
            <w:r>
              <w:rPr>
                <w:b/>
                <w:sz w:val="21"/>
              </w:rPr>
              <w:t>周岁</w:t>
            </w:r>
            <w:r>
              <w:rPr>
                <w:sz w:val="21"/>
              </w:rPr>
              <w:t>（见 7.2），身体健康的人，均可作为本主险合同的被保险人。</w:t>
            </w:r>
          </w:p>
          <w:p>
            <w:pPr>
              <w:pStyle w:val="TableParagraph"/>
              <w:spacing w:line="326" w:lineRule="auto" w:before="23"/>
              <w:ind w:left="179" w:right="40"/>
              <w:rPr>
                <w:sz w:val="21"/>
              </w:rPr>
            </w:pPr>
            <w:r>
              <w:rPr>
                <w:sz w:val="21"/>
              </w:rPr>
              <w:t>投保人：经被保险人同意，被保险人所在的</w:t>
            </w:r>
            <w:r>
              <w:rPr>
                <w:b/>
                <w:sz w:val="21"/>
              </w:rPr>
              <w:t>团体</w:t>
            </w:r>
            <w:r>
              <w:rPr>
                <w:sz w:val="21"/>
              </w:rPr>
              <w:t>（见 7.3）可作为投保人。被保险人人数不得少于 3 人，投保时必须经被保险人书面同意。</w:t>
            </w:r>
          </w:p>
        </w:tc>
      </w:tr>
      <w:tr>
        <w:trPr>
          <w:trHeight w:val="674" w:hRule="atLeast"/>
        </w:trPr>
        <w:tc>
          <w:tcPr>
            <w:tcW w:w="630" w:type="dxa"/>
            <w:tcBorders>
              <w:bottom w:val="single" w:sz="4" w:space="0" w:color="000000"/>
            </w:tcBorders>
          </w:tcPr>
          <w:p>
            <w:pPr>
              <w:pStyle w:val="TableParagraph"/>
              <w:spacing w:before="181"/>
              <w:ind w:left="107"/>
              <w:rPr>
                <w:rFonts w:ascii="Times New Roman"/>
                <w:b/>
                <w:sz w:val="32"/>
              </w:rPr>
            </w:pPr>
            <w:r>
              <w:rPr>
                <w:rFonts w:ascii="Times New Roman"/>
                <w:b/>
                <w:w w:val="99"/>
                <w:sz w:val="32"/>
              </w:rPr>
              <w:t>2</w:t>
            </w:r>
          </w:p>
        </w:tc>
        <w:tc>
          <w:tcPr>
            <w:tcW w:w="9451" w:type="dxa"/>
            <w:gridSpan w:val="2"/>
            <w:tcBorders>
              <w:bottom w:val="single" w:sz="4" w:space="0" w:color="000000"/>
            </w:tcBorders>
          </w:tcPr>
          <w:p>
            <w:pPr>
              <w:pStyle w:val="TableParagraph"/>
              <w:spacing w:before="168"/>
              <w:ind w:left="205"/>
              <w:rPr>
                <w:b/>
                <w:sz w:val="24"/>
              </w:rPr>
            </w:pPr>
            <w:r>
              <w:rPr>
                <w:b/>
                <w:w w:val="95"/>
                <w:sz w:val="24"/>
              </w:rPr>
              <w:t>本公司提供的保障</w:t>
            </w:r>
          </w:p>
        </w:tc>
      </w:tr>
      <w:tr>
        <w:trPr>
          <w:trHeight w:val="3230" w:hRule="atLeast"/>
        </w:trPr>
        <w:tc>
          <w:tcPr>
            <w:tcW w:w="630" w:type="dxa"/>
            <w:tcBorders>
              <w:top w:val="single" w:sz="4" w:space="0" w:color="000000"/>
            </w:tcBorders>
          </w:tcPr>
          <w:p>
            <w:pPr>
              <w:pStyle w:val="TableParagraph"/>
              <w:spacing w:before="174"/>
              <w:ind w:left="107"/>
              <w:rPr>
                <w:b/>
                <w:sz w:val="21"/>
              </w:rPr>
            </w:pPr>
            <w:r>
              <w:rPr>
                <w:b/>
                <w:sz w:val="21"/>
              </w:rPr>
              <w:t>2.1</w:t>
            </w:r>
          </w:p>
        </w:tc>
        <w:tc>
          <w:tcPr>
            <w:tcW w:w="1440" w:type="dxa"/>
            <w:tcBorders>
              <w:top w:val="single" w:sz="4" w:space="0" w:color="000000"/>
            </w:tcBorders>
          </w:tcPr>
          <w:p>
            <w:pPr>
              <w:pStyle w:val="TableParagraph"/>
              <w:spacing w:before="174"/>
              <w:ind w:left="205"/>
              <w:rPr>
                <w:b/>
                <w:sz w:val="21"/>
              </w:rPr>
            </w:pPr>
            <w:r>
              <w:rPr>
                <w:b/>
                <w:sz w:val="21"/>
              </w:rPr>
              <w:t>保险责任</w:t>
            </w:r>
          </w:p>
        </w:tc>
        <w:tc>
          <w:tcPr>
            <w:tcW w:w="8011" w:type="dxa"/>
            <w:tcBorders>
              <w:top w:val="single" w:sz="4" w:space="0" w:color="000000"/>
            </w:tcBorders>
          </w:tcPr>
          <w:p>
            <w:pPr>
              <w:pStyle w:val="TableParagraph"/>
              <w:spacing w:before="174"/>
              <w:ind w:left="179"/>
              <w:rPr>
                <w:sz w:val="21"/>
              </w:rPr>
            </w:pPr>
            <w:r>
              <w:rPr>
                <w:sz w:val="21"/>
              </w:rPr>
              <w:t>在本主险合同保险期间内，对每个被保险人，本公司承担下列保险责任：</w:t>
            </w:r>
          </w:p>
          <w:p>
            <w:pPr>
              <w:pStyle w:val="TableParagraph"/>
              <w:spacing w:line="326" w:lineRule="auto"/>
              <w:ind w:left="179" w:right="-15"/>
              <w:rPr>
                <w:sz w:val="21"/>
              </w:rPr>
            </w:pPr>
            <w:r>
              <w:rPr>
                <w:spacing w:val="-7"/>
                <w:sz w:val="21"/>
              </w:rPr>
              <w:t>被保险人在本主险合同生效 </w:t>
            </w:r>
            <w:r>
              <w:rPr>
                <w:sz w:val="21"/>
              </w:rPr>
              <w:t>60</w:t>
            </w:r>
            <w:r>
              <w:rPr>
                <w:spacing w:val="-12"/>
                <w:sz w:val="21"/>
              </w:rPr>
              <w:t> 日后，生存时确诊</w:t>
            </w:r>
            <w:r>
              <w:rPr>
                <w:b/>
                <w:spacing w:val="-4"/>
                <w:sz w:val="21"/>
              </w:rPr>
              <w:t>初次患有重大疾病</w:t>
            </w:r>
            <w:r>
              <w:rPr>
                <w:spacing w:val="-3"/>
                <w:sz w:val="21"/>
              </w:rPr>
              <w:t>（</w:t>
            </w:r>
            <w:r>
              <w:rPr>
                <w:spacing w:val="-22"/>
                <w:sz w:val="21"/>
              </w:rPr>
              <w:t>见 </w:t>
            </w:r>
            <w:r>
              <w:rPr>
                <w:sz w:val="21"/>
              </w:rPr>
              <w:t>7.4</w:t>
            </w:r>
            <w:r>
              <w:rPr>
                <w:spacing w:val="-29"/>
                <w:sz w:val="21"/>
              </w:rPr>
              <w:t>、</w:t>
            </w:r>
            <w:r>
              <w:rPr>
                <w:spacing w:val="-6"/>
                <w:sz w:val="21"/>
              </w:rPr>
              <w:t>7.5）， </w:t>
            </w:r>
            <w:r>
              <w:rPr>
                <w:spacing w:val="-7"/>
                <w:sz w:val="21"/>
              </w:rPr>
              <w:t>经本公司查核属实，且确在本主险合同保险责任范围以内，本公司按照约定的该被保</w:t>
            </w:r>
            <w:r>
              <w:rPr>
                <w:spacing w:val="-5"/>
                <w:sz w:val="21"/>
              </w:rPr>
              <w:t>险人的保险金额给付重大疾病保险金，本主险合同对该被保险人的保险责任终止。  被保险人在本主险合同生效 </w:t>
            </w:r>
            <w:r>
              <w:rPr>
                <w:sz w:val="21"/>
              </w:rPr>
              <w:t>60</w:t>
            </w:r>
            <w:r>
              <w:rPr>
                <w:spacing w:val="-5"/>
                <w:sz w:val="21"/>
              </w:rPr>
              <w:t> 日内，生存时确诊初次患有重大疾病，经本公司查核</w:t>
            </w:r>
            <w:r>
              <w:rPr>
                <w:spacing w:val="-8"/>
                <w:sz w:val="21"/>
              </w:rPr>
              <w:t>属实，且确在本主险合同保险责任范围以内，本公司无息返还该被保险人对应的保险</w:t>
            </w:r>
            <w:r>
              <w:rPr>
                <w:spacing w:val="-5"/>
                <w:sz w:val="21"/>
              </w:rPr>
              <w:t>费，本主险合同对该被保险人的保险责任终止。</w:t>
            </w:r>
          </w:p>
          <w:p>
            <w:pPr>
              <w:pStyle w:val="TableParagraph"/>
              <w:spacing w:before="24"/>
              <w:ind w:left="179"/>
              <w:rPr>
                <w:sz w:val="21"/>
              </w:rPr>
            </w:pPr>
            <w:r>
              <w:rPr>
                <w:sz w:val="21"/>
              </w:rPr>
              <w:t>投保人按期续保的，续保期间的保险责任不受本条规定的 60 日的限制。</w:t>
            </w:r>
          </w:p>
        </w:tc>
      </w:tr>
      <w:tr>
        <w:trPr>
          <w:trHeight w:val="2617" w:hRule="atLeast"/>
        </w:trPr>
        <w:tc>
          <w:tcPr>
            <w:tcW w:w="630" w:type="dxa"/>
          </w:tcPr>
          <w:p>
            <w:pPr>
              <w:pStyle w:val="TableParagraph"/>
              <w:spacing w:before="96"/>
              <w:ind w:left="107"/>
              <w:rPr>
                <w:b/>
                <w:sz w:val="21"/>
              </w:rPr>
            </w:pPr>
            <w:r>
              <w:rPr>
                <w:b/>
                <w:sz w:val="21"/>
              </w:rPr>
              <w:t>2.2</w:t>
            </w:r>
          </w:p>
        </w:tc>
        <w:tc>
          <w:tcPr>
            <w:tcW w:w="1440" w:type="dxa"/>
          </w:tcPr>
          <w:p>
            <w:pPr>
              <w:pStyle w:val="TableParagraph"/>
              <w:spacing w:before="96"/>
              <w:ind w:left="205"/>
              <w:rPr>
                <w:rFonts w:ascii="黑体" w:eastAsia="黑体" w:hint="eastAsia"/>
                <w:b/>
                <w:sz w:val="21"/>
              </w:rPr>
            </w:pPr>
            <w:r>
              <w:rPr>
                <w:rFonts w:ascii="黑体" w:eastAsia="黑体" w:hint="eastAsia"/>
                <w:b/>
                <w:sz w:val="21"/>
              </w:rPr>
              <w:t>责任免除</w:t>
            </w:r>
          </w:p>
        </w:tc>
        <w:tc>
          <w:tcPr>
            <w:tcW w:w="8011" w:type="dxa"/>
          </w:tcPr>
          <w:p>
            <w:pPr>
              <w:pStyle w:val="TableParagraph"/>
              <w:spacing w:line="326" w:lineRule="auto" w:before="96"/>
              <w:ind w:left="179" w:right="100"/>
              <w:rPr>
                <w:rFonts w:ascii="黑体" w:eastAsia="黑体" w:hint="eastAsia"/>
                <w:sz w:val="21"/>
              </w:rPr>
            </w:pPr>
            <w:r>
              <w:rPr>
                <w:rFonts w:ascii="黑体" w:eastAsia="黑体" w:hint="eastAsia"/>
                <w:spacing w:val="-7"/>
                <w:sz w:val="21"/>
              </w:rPr>
              <w:t>因下列情形之一，造成被保险人患有本主险合同所指重大疾病的，本公司不负保险责任：</w:t>
            </w:r>
          </w:p>
          <w:p>
            <w:pPr>
              <w:pStyle w:val="TableParagraph"/>
              <w:numPr>
                <w:ilvl w:val="0"/>
                <w:numId w:val="8"/>
              </w:numPr>
              <w:tabs>
                <w:tab w:pos="747" w:val="left" w:leader="none"/>
              </w:tabs>
              <w:spacing w:line="240" w:lineRule="auto" w:before="24" w:after="0"/>
              <w:ind w:left="746" w:right="0" w:hanging="567"/>
              <w:jc w:val="left"/>
              <w:rPr>
                <w:rFonts w:ascii="黑体" w:eastAsia="黑体" w:hint="eastAsia"/>
                <w:sz w:val="21"/>
              </w:rPr>
            </w:pPr>
            <w:r>
              <w:rPr>
                <w:rFonts w:ascii="黑体" w:eastAsia="黑体" w:hint="eastAsia"/>
                <w:spacing w:val="-3"/>
                <w:sz w:val="21"/>
              </w:rPr>
              <w:t>投保人的故意行为；</w:t>
            </w:r>
          </w:p>
          <w:p>
            <w:pPr>
              <w:pStyle w:val="TableParagraph"/>
              <w:numPr>
                <w:ilvl w:val="0"/>
                <w:numId w:val="8"/>
              </w:numPr>
              <w:tabs>
                <w:tab w:pos="747" w:val="left" w:leader="none"/>
              </w:tabs>
              <w:spacing w:line="240" w:lineRule="auto" w:before="99" w:after="0"/>
              <w:ind w:left="746" w:right="0" w:hanging="567"/>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TableParagraph"/>
              <w:numPr>
                <w:ilvl w:val="0"/>
                <w:numId w:val="8"/>
              </w:numPr>
              <w:tabs>
                <w:tab w:pos="747" w:val="left" w:leader="none"/>
              </w:tabs>
              <w:spacing w:line="240" w:lineRule="auto" w:before="99" w:after="0"/>
              <w:ind w:left="746" w:right="0" w:hanging="567"/>
              <w:jc w:val="left"/>
              <w:rPr>
                <w:rFonts w:ascii="黑体" w:eastAsia="黑体" w:hint="eastAsia"/>
                <w:sz w:val="21"/>
              </w:rPr>
            </w:pPr>
            <w:r>
              <w:rPr>
                <w:rFonts w:ascii="黑体" w:eastAsia="黑体" w:hint="eastAsia"/>
                <w:spacing w:val="-3"/>
                <w:sz w:val="21"/>
              </w:rPr>
              <w:t>被保险人故意自伤；</w:t>
            </w:r>
          </w:p>
          <w:p>
            <w:pPr>
              <w:pStyle w:val="TableParagraph"/>
              <w:numPr>
                <w:ilvl w:val="0"/>
                <w:numId w:val="8"/>
              </w:numPr>
              <w:tabs>
                <w:tab w:pos="747" w:val="left" w:leader="none"/>
              </w:tabs>
              <w:spacing w:line="240" w:lineRule="auto" w:before="99" w:after="0"/>
              <w:ind w:left="746" w:right="0" w:hanging="567"/>
              <w:jc w:val="left"/>
              <w:rPr>
                <w:rFonts w:ascii="黑体" w:eastAsia="黑体" w:hint="eastAsia"/>
                <w:sz w:val="21"/>
              </w:rPr>
            </w:pPr>
            <w:r>
              <w:rPr>
                <w:rFonts w:ascii="黑体" w:eastAsia="黑体" w:hint="eastAsia"/>
                <w:spacing w:val="-3"/>
                <w:w w:val="100"/>
                <w:sz w:val="21"/>
              </w:rPr>
              <w:t>被保险人服用、吸食或注射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6</w:t>
            </w:r>
            <w:r>
              <w:rPr>
                <w:rFonts w:ascii="黑体" w:eastAsia="黑体" w:hint="eastAsia"/>
                <w:spacing w:val="-106"/>
                <w:w w:val="100"/>
                <w:sz w:val="21"/>
              </w:rPr>
              <w:t>）；</w:t>
            </w:r>
          </w:p>
          <w:p>
            <w:pPr>
              <w:pStyle w:val="TableParagraph"/>
              <w:numPr>
                <w:ilvl w:val="0"/>
                <w:numId w:val="8"/>
              </w:numPr>
              <w:tabs>
                <w:tab w:pos="747" w:val="left" w:leader="none"/>
              </w:tabs>
              <w:spacing w:line="255" w:lineRule="exact" w:before="99" w:after="0"/>
              <w:ind w:left="746" w:right="0" w:hanging="567"/>
              <w:jc w:val="left"/>
              <w:rPr>
                <w:rFonts w:ascii="黑体" w:eastAsia="黑体" w:hint="eastAsia"/>
                <w:b/>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7</w:t>
            </w:r>
            <w:r>
              <w:rPr>
                <w:rFonts w:ascii="黑体" w:eastAsia="黑体" w:hint="eastAsia"/>
                <w:spacing w:val="-106"/>
                <w:w w:val="100"/>
                <w:sz w:val="21"/>
              </w:rPr>
              <w:t>）</w:t>
            </w:r>
            <w:r>
              <w:rPr>
                <w:rFonts w:ascii="黑体" w:eastAsia="黑体" w:hint="eastAsia"/>
                <w:spacing w:val="-2"/>
                <w:w w:val="100"/>
                <w:sz w:val="21"/>
              </w:rPr>
              <w:t>、</w:t>
            </w:r>
            <w:r>
              <w:rPr>
                <w:rFonts w:ascii="黑体" w:eastAsia="黑体" w:hint="eastAsia"/>
                <w:b/>
                <w:spacing w:val="-1"/>
                <w:w w:val="100"/>
                <w:sz w:val="21"/>
              </w:rPr>
              <w:t>无合法有效驾驶证驾驶</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8</w:t>
            </w:r>
            <w:r>
              <w:rPr>
                <w:rFonts w:ascii="黑体" w:eastAsia="黑体" w:hint="eastAsia"/>
                <w:spacing w:val="-3"/>
                <w:w w:val="100"/>
                <w:sz w:val="21"/>
              </w:rPr>
              <w:t>）或驾驶</w:t>
            </w:r>
            <w:r>
              <w:rPr>
                <w:rFonts w:ascii="黑体" w:eastAsia="黑体" w:hint="eastAsia"/>
                <w:b/>
                <w:w w:val="100"/>
                <w:sz w:val="21"/>
              </w:rPr>
              <w:t>无有效</w:t>
            </w:r>
          </w:p>
        </w:tc>
      </w:tr>
    </w:tbl>
    <w:p>
      <w:pPr>
        <w:spacing w:after="0" w:line="255" w:lineRule="exact"/>
        <w:jc w:val="left"/>
        <w:rPr>
          <w:rFonts w:ascii="黑体" w:eastAsia="黑体" w:hint="eastAsia"/>
          <w:sz w:val="21"/>
        </w:rPr>
        <w:sectPr>
          <w:footerReference w:type="default" r:id="rId7"/>
          <w:pgSz w:w="11910" w:h="16840"/>
          <w:pgMar w:footer="375" w:header="0" w:top="1580" w:bottom="560" w:left="800" w:right="80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439"/>
        <w:gridCol w:w="8010"/>
      </w:tblGrid>
      <w:tr>
        <w:trPr>
          <w:trHeight w:val="3371" w:hRule="atLeast"/>
        </w:trPr>
        <w:tc>
          <w:tcPr>
            <w:tcW w:w="630" w:type="dxa"/>
          </w:tcPr>
          <w:p>
            <w:pPr>
              <w:pStyle w:val="TableParagraph"/>
              <w:spacing w:before="0"/>
              <w:ind w:left="0"/>
              <w:rPr>
                <w:rFonts w:ascii="Times New Roman"/>
                <w:sz w:val="20"/>
              </w:rPr>
            </w:pPr>
          </w:p>
        </w:tc>
        <w:tc>
          <w:tcPr>
            <w:tcW w:w="1439" w:type="dxa"/>
          </w:tcPr>
          <w:p>
            <w:pPr>
              <w:pStyle w:val="TableParagraph"/>
              <w:spacing w:before="0"/>
              <w:ind w:left="0"/>
              <w:rPr>
                <w:rFonts w:ascii="Times New Roman"/>
                <w:sz w:val="20"/>
              </w:rPr>
            </w:pPr>
          </w:p>
        </w:tc>
        <w:tc>
          <w:tcPr>
            <w:tcW w:w="8010" w:type="dxa"/>
          </w:tcPr>
          <w:p>
            <w:pPr>
              <w:pStyle w:val="TableParagraph"/>
              <w:spacing w:line="211" w:lineRule="exact" w:before="0"/>
              <w:ind w:left="731" w:right="3670"/>
              <w:jc w:val="center"/>
              <w:rPr>
                <w:rFonts w:ascii="黑体" w:eastAsia="黑体" w:hint="eastAsia"/>
                <w:sz w:val="21"/>
              </w:rPr>
            </w:pPr>
            <w:r>
              <w:rPr>
                <w:rFonts w:ascii="黑体" w:eastAsia="黑体" w:hint="eastAsia"/>
                <w:b/>
                <w:w w:val="100"/>
                <w:sz w:val="21"/>
              </w:rPr>
              <w:t>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9</w:t>
            </w:r>
            <w:r>
              <w:rPr>
                <w:rFonts w:ascii="黑体" w:eastAsia="黑体" w:hint="eastAsia"/>
                <w:w w:val="100"/>
                <w:sz w:val="21"/>
              </w:rPr>
              <w:t>）</w:t>
            </w:r>
            <w:r>
              <w:rPr>
                <w:rFonts w:ascii="黑体" w:eastAsia="黑体" w:hint="eastAsia"/>
                <w:spacing w:val="-3"/>
                <w:w w:val="100"/>
                <w:sz w:val="21"/>
              </w:rPr>
              <w:t>的</w:t>
            </w:r>
            <w:r>
              <w:rPr>
                <w:rFonts w:ascii="黑体" w:eastAsia="黑体" w:hint="eastAsia"/>
                <w:b/>
                <w:spacing w:val="-2"/>
                <w:w w:val="100"/>
                <w:sz w:val="21"/>
              </w:rPr>
              <w:t>机动车</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7.10</w:t>
            </w:r>
            <w:r>
              <w:rPr>
                <w:rFonts w:ascii="黑体" w:eastAsia="黑体" w:hint="eastAsia"/>
                <w:spacing w:val="-108"/>
                <w:w w:val="100"/>
                <w:sz w:val="21"/>
              </w:rPr>
              <w:t>）；</w:t>
            </w:r>
          </w:p>
          <w:p>
            <w:pPr>
              <w:pStyle w:val="TableParagraph"/>
              <w:numPr>
                <w:ilvl w:val="0"/>
                <w:numId w:val="9"/>
              </w:numPr>
              <w:tabs>
                <w:tab w:pos="748" w:val="left" w:leader="none"/>
              </w:tabs>
              <w:spacing w:line="240" w:lineRule="auto" w:before="99" w:after="0"/>
              <w:ind w:left="747" w:right="0" w:hanging="567"/>
              <w:jc w:val="left"/>
              <w:rPr>
                <w:rFonts w:ascii="黑体" w:eastAsia="黑体" w:hint="eastAsia"/>
                <w:sz w:val="21"/>
              </w:rPr>
            </w:pPr>
            <w:r>
              <w:rPr>
                <w:rFonts w:ascii="黑体" w:eastAsia="黑体" w:hint="eastAsia"/>
                <w:spacing w:val="-2"/>
                <w:w w:val="100"/>
                <w:sz w:val="21"/>
              </w:rPr>
              <w:t>被保险人</w:t>
            </w:r>
            <w:r>
              <w:rPr>
                <w:rFonts w:ascii="黑体" w:eastAsia="黑体" w:hint="eastAsia"/>
                <w:b/>
                <w:spacing w:val="-1"/>
                <w:w w:val="100"/>
                <w:sz w:val="21"/>
              </w:rPr>
              <w:t>感染艾滋病病毒或患艾滋病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7</w:t>
            </w:r>
            <w:r>
              <w:rPr>
                <w:rFonts w:ascii="黑体" w:eastAsia="黑体" w:hint="eastAsia"/>
                <w:spacing w:val="-3"/>
                <w:w w:val="100"/>
                <w:sz w:val="21"/>
              </w:rPr>
              <w:t>.</w:t>
            </w:r>
            <w:r>
              <w:rPr>
                <w:rFonts w:ascii="黑体" w:eastAsia="黑体" w:hint="eastAsia"/>
                <w:w w:val="100"/>
                <w:sz w:val="21"/>
              </w:rPr>
              <w:t>1</w:t>
            </w:r>
            <w:r>
              <w:rPr>
                <w:rFonts w:ascii="黑体" w:eastAsia="黑体" w:hint="eastAsia"/>
                <w:spacing w:val="-1"/>
                <w:w w:val="100"/>
                <w:sz w:val="21"/>
              </w:rPr>
              <w:t>1</w:t>
            </w:r>
            <w:r>
              <w:rPr>
                <w:rFonts w:ascii="黑体" w:eastAsia="黑体" w:hint="eastAsia"/>
                <w:spacing w:val="-108"/>
                <w:w w:val="100"/>
                <w:sz w:val="21"/>
              </w:rPr>
              <w:t>）；</w:t>
            </w:r>
          </w:p>
          <w:p>
            <w:pPr>
              <w:pStyle w:val="TableParagraph"/>
              <w:numPr>
                <w:ilvl w:val="0"/>
                <w:numId w:val="9"/>
              </w:numPr>
              <w:tabs>
                <w:tab w:pos="748" w:val="left" w:leader="none"/>
              </w:tabs>
              <w:spacing w:line="240" w:lineRule="auto" w:before="99" w:after="0"/>
              <w:ind w:left="747" w:right="0" w:hanging="567"/>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9"/>
              </w:numPr>
              <w:tabs>
                <w:tab w:pos="748" w:val="left" w:leader="none"/>
              </w:tabs>
              <w:spacing w:line="240" w:lineRule="auto" w:before="99" w:after="0"/>
              <w:ind w:left="747" w:right="0" w:hanging="567"/>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9"/>
              </w:numPr>
              <w:tabs>
                <w:tab w:pos="748" w:val="left" w:leader="none"/>
              </w:tabs>
              <w:spacing w:line="240" w:lineRule="auto" w:before="99" w:after="0"/>
              <w:ind w:left="747" w:right="0" w:hanging="567"/>
              <w:jc w:val="left"/>
              <w:rPr>
                <w:rFonts w:ascii="黑体" w:eastAsia="黑体" w:hint="eastAsia"/>
                <w:sz w:val="21"/>
              </w:rPr>
            </w:pPr>
            <w:r>
              <w:rPr>
                <w:rFonts w:ascii="黑体" w:eastAsia="黑体" w:hint="eastAsia"/>
                <w:spacing w:val="-3"/>
                <w:sz w:val="21"/>
              </w:rPr>
              <w:t>遗传性疾病,先天性畸形、变形或染色体异常。</w:t>
            </w:r>
          </w:p>
          <w:p>
            <w:pPr>
              <w:pStyle w:val="TableParagraph"/>
              <w:spacing w:line="326" w:lineRule="auto"/>
              <w:ind w:left="180" w:right="101"/>
              <w:rPr>
                <w:rFonts w:ascii="黑体" w:eastAsia="黑体" w:hint="eastAsia"/>
                <w:sz w:val="21"/>
              </w:rPr>
            </w:pPr>
            <w:r>
              <w:rPr>
                <w:rFonts w:ascii="黑体" w:eastAsia="黑体" w:hint="eastAsia"/>
                <w:sz w:val="21"/>
              </w:rPr>
              <w:t>发Th上述第（1）项情形导致被保险人身故的，本主险合同效力即行终止，本公司向</w:t>
            </w:r>
            <w:r>
              <w:rPr>
                <w:rFonts w:ascii="黑体" w:eastAsia="黑体" w:hint="eastAsia"/>
                <w:spacing w:val="-3"/>
                <w:w w:val="100"/>
                <w:sz w:val="21"/>
              </w:rPr>
              <w:t>保险金受益人退还本主险合同的</w:t>
            </w:r>
            <w:r>
              <w:rPr>
                <w:rFonts w:ascii="黑体" w:eastAsia="黑体" w:hint="eastAsia"/>
                <w:b/>
                <w:w w:val="100"/>
                <w:sz w:val="21"/>
              </w:rPr>
              <w:t>现金价值</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7</w:t>
            </w:r>
            <w:r>
              <w:rPr>
                <w:rFonts w:ascii="黑体" w:eastAsia="黑体" w:hint="eastAsia"/>
                <w:w w:val="100"/>
                <w:sz w:val="21"/>
              </w:rPr>
              <w:t>.1</w:t>
            </w:r>
            <w:r>
              <w:rPr>
                <w:rFonts w:ascii="黑体" w:eastAsia="黑体" w:hint="eastAsia"/>
                <w:spacing w:val="-3"/>
                <w:w w:val="100"/>
                <w:sz w:val="21"/>
              </w:rPr>
              <w:t>2</w:t>
            </w:r>
            <w:r>
              <w:rPr>
                <w:rFonts w:ascii="黑体" w:eastAsia="黑体" w:hint="eastAsia"/>
                <w:spacing w:val="-106"/>
                <w:w w:val="100"/>
                <w:sz w:val="21"/>
              </w:rPr>
              <w:t>）。</w:t>
            </w:r>
          </w:p>
          <w:p>
            <w:pPr>
              <w:pStyle w:val="TableParagraph"/>
              <w:spacing w:line="326" w:lineRule="auto" w:before="23"/>
              <w:ind w:left="180" w:right="98"/>
              <w:rPr>
                <w:rFonts w:ascii="黑体" w:eastAsia="黑体" w:hint="eastAsia"/>
                <w:sz w:val="21"/>
              </w:rPr>
            </w:pPr>
            <w:r>
              <w:rPr>
                <w:rFonts w:ascii="黑体" w:eastAsia="黑体" w:hint="eastAsia"/>
                <w:sz w:val="21"/>
              </w:rPr>
              <w:t>发Th</w:t>
            </w:r>
            <w:r>
              <w:rPr>
                <w:rFonts w:ascii="黑体" w:eastAsia="黑体" w:hint="eastAsia"/>
                <w:spacing w:val="-6"/>
                <w:sz w:val="21"/>
              </w:rPr>
              <w:t>上述其他情形导致被保险人身故的，本主险合同效力即行终止，本公司向投保人</w:t>
            </w:r>
            <w:r>
              <w:rPr>
                <w:rFonts w:ascii="黑体" w:eastAsia="黑体" w:hint="eastAsia"/>
                <w:spacing w:val="-3"/>
                <w:sz w:val="21"/>
              </w:rPr>
              <w:t>退还本主险合同的现金价值。</w:t>
            </w:r>
          </w:p>
        </w:tc>
      </w:tr>
      <w:tr>
        <w:trPr>
          <w:trHeight w:val="540" w:hRule="atLeast"/>
        </w:trPr>
        <w:tc>
          <w:tcPr>
            <w:tcW w:w="630" w:type="dxa"/>
          </w:tcPr>
          <w:p>
            <w:pPr>
              <w:pStyle w:val="TableParagraph"/>
              <w:spacing w:before="101"/>
              <w:ind w:left="107"/>
              <w:rPr>
                <w:b/>
                <w:sz w:val="21"/>
              </w:rPr>
            </w:pPr>
            <w:r>
              <w:rPr>
                <w:b/>
                <w:sz w:val="21"/>
              </w:rPr>
              <w:t>2.3</w:t>
            </w:r>
          </w:p>
        </w:tc>
        <w:tc>
          <w:tcPr>
            <w:tcW w:w="1439" w:type="dxa"/>
          </w:tcPr>
          <w:p>
            <w:pPr>
              <w:pStyle w:val="TableParagraph"/>
              <w:spacing w:before="101"/>
              <w:ind w:left="205"/>
              <w:rPr>
                <w:b/>
                <w:sz w:val="21"/>
              </w:rPr>
            </w:pPr>
            <w:r>
              <w:rPr>
                <w:b/>
                <w:sz w:val="21"/>
              </w:rPr>
              <w:t>保险期间</w:t>
            </w:r>
          </w:p>
        </w:tc>
        <w:tc>
          <w:tcPr>
            <w:tcW w:w="8010" w:type="dxa"/>
          </w:tcPr>
          <w:p>
            <w:pPr>
              <w:pStyle w:val="TableParagraph"/>
              <w:spacing w:before="101"/>
              <w:ind w:left="180"/>
              <w:rPr>
                <w:sz w:val="21"/>
              </w:rPr>
            </w:pPr>
            <w:r>
              <w:rPr>
                <w:sz w:val="21"/>
              </w:rPr>
              <w:t>本主险合同的保险期间最长为 1 年。</w:t>
            </w:r>
          </w:p>
        </w:tc>
      </w:tr>
      <w:tr>
        <w:trPr>
          <w:trHeight w:val="583" w:hRule="atLeast"/>
        </w:trPr>
        <w:tc>
          <w:tcPr>
            <w:tcW w:w="630" w:type="dxa"/>
          </w:tcPr>
          <w:p>
            <w:pPr>
              <w:pStyle w:val="TableParagraph"/>
              <w:spacing w:before="108"/>
              <w:ind w:left="107"/>
              <w:rPr>
                <w:b/>
                <w:sz w:val="21"/>
              </w:rPr>
            </w:pPr>
            <w:r>
              <w:rPr>
                <w:b/>
                <w:sz w:val="21"/>
              </w:rPr>
              <w:t>2.4</w:t>
            </w:r>
          </w:p>
        </w:tc>
        <w:tc>
          <w:tcPr>
            <w:tcW w:w="1439" w:type="dxa"/>
          </w:tcPr>
          <w:p>
            <w:pPr>
              <w:pStyle w:val="TableParagraph"/>
              <w:spacing w:before="108"/>
              <w:ind w:left="205"/>
              <w:rPr>
                <w:b/>
                <w:sz w:val="21"/>
              </w:rPr>
            </w:pPr>
            <w:r>
              <w:rPr>
                <w:b/>
                <w:sz w:val="21"/>
              </w:rPr>
              <w:t>保险金额</w:t>
            </w:r>
          </w:p>
        </w:tc>
        <w:tc>
          <w:tcPr>
            <w:tcW w:w="8010" w:type="dxa"/>
          </w:tcPr>
          <w:p>
            <w:pPr>
              <w:pStyle w:val="TableParagraph"/>
              <w:spacing w:before="100"/>
              <w:ind w:left="180"/>
              <w:rPr>
                <w:sz w:val="21"/>
              </w:rPr>
            </w:pPr>
            <w:r>
              <w:rPr>
                <w:sz w:val="21"/>
              </w:rPr>
              <w:t>本主险合同保险金额由投保人和本公司约定。</w:t>
            </w:r>
          </w:p>
        </w:tc>
      </w:tr>
      <w:tr>
        <w:trPr>
          <w:trHeight w:val="679" w:hRule="atLeast"/>
        </w:trPr>
        <w:tc>
          <w:tcPr>
            <w:tcW w:w="630" w:type="dxa"/>
            <w:tcBorders>
              <w:bottom w:val="single" w:sz="4" w:space="0" w:color="000000"/>
            </w:tcBorders>
          </w:tcPr>
          <w:p>
            <w:pPr>
              <w:pStyle w:val="TableParagraph"/>
              <w:spacing w:before="186"/>
              <w:ind w:left="107"/>
              <w:rPr>
                <w:rFonts w:ascii="Times New Roman"/>
                <w:b/>
                <w:sz w:val="32"/>
              </w:rPr>
            </w:pPr>
            <w:r>
              <w:rPr>
                <w:rFonts w:ascii="Times New Roman"/>
                <w:b/>
                <w:w w:val="99"/>
                <w:sz w:val="32"/>
              </w:rPr>
              <w:t>3</w:t>
            </w:r>
          </w:p>
        </w:tc>
        <w:tc>
          <w:tcPr>
            <w:tcW w:w="9449" w:type="dxa"/>
            <w:gridSpan w:val="2"/>
            <w:tcBorders>
              <w:bottom w:val="single" w:sz="4" w:space="0" w:color="000000"/>
            </w:tcBorders>
          </w:tcPr>
          <w:p>
            <w:pPr>
              <w:pStyle w:val="TableParagraph"/>
              <w:spacing w:before="173"/>
              <w:ind w:left="205"/>
              <w:rPr>
                <w:b/>
                <w:sz w:val="24"/>
              </w:rPr>
            </w:pPr>
            <w:r>
              <w:rPr>
                <w:b/>
                <w:w w:val="95"/>
                <w:sz w:val="24"/>
              </w:rPr>
              <w:t>如何申请领取保险金</w:t>
            </w:r>
          </w:p>
        </w:tc>
      </w:tr>
      <w:tr>
        <w:trPr>
          <w:trHeight w:val="606" w:hRule="atLeast"/>
        </w:trPr>
        <w:tc>
          <w:tcPr>
            <w:tcW w:w="630" w:type="dxa"/>
            <w:tcBorders>
              <w:top w:val="single" w:sz="4" w:space="0" w:color="000000"/>
            </w:tcBorders>
          </w:tcPr>
          <w:p>
            <w:pPr>
              <w:pStyle w:val="TableParagraph"/>
              <w:spacing w:before="167"/>
              <w:ind w:left="107"/>
              <w:rPr>
                <w:b/>
                <w:sz w:val="21"/>
              </w:rPr>
            </w:pPr>
            <w:r>
              <w:rPr>
                <w:b/>
                <w:sz w:val="21"/>
              </w:rPr>
              <w:t>3.1</w:t>
            </w:r>
          </w:p>
        </w:tc>
        <w:tc>
          <w:tcPr>
            <w:tcW w:w="1439" w:type="dxa"/>
            <w:tcBorders>
              <w:top w:val="single" w:sz="4" w:space="0" w:color="000000"/>
            </w:tcBorders>
          </w:tcPr>
          <w:p>
            <w:pPr>
              <w:pStyle w:val="TableParagraph"/>
              <w:spacing w:before="167"/>
              <w:ind w:left="205"/>
              <w:rPr>
                <w:b/>
                <w:sz w:val="21"/>
              </w:rPr>
            </w:pPr>
            <w:r>
              <w:rPr>
                <w:b/>
                <w:sz w:val="21"/>
              </w:rPr>
              <w:t>受益人</w:t>
            </w:r>
          </w:p>
        </w:tc>
        <w:tc>
          <w:tcPr>
            <w:tcW w:w="8010" w:type="dxa"/>
            <w:tcBorders>
              <w:top w:val="single" w:sz="4" w:space="0" w:color="000000"/>
            </w:tcBorders>
          </w:tcPr>
          <w:p>
            <w:pPr>
              <w:pStyle w:val="TableParagraph"/>
              <w:spacing w:before="167"/>
              <w:ind w:left="180"/>
              <w:rPr>
                <w:sz w:val="21"/>
              </w:rPr>
            </w:pPr>
            <w:r>
              <w:rPr>
                <w:sz w:val="21"/>
              </w:rPr>
              <w:t>除另有约定外，本主险合同的重大疾病保险金受益人为被保险人本人。</w:t>
            </w:r>
          </w:p>
        </w:tc>
      </w:tr>
      <w:tr>
        <w:trPr>
          <w:trHeight w:val="2786" w:hRule="atLeast"/>
        </w:trPr>
        <w:tc>
          <w:tcPr>
            <w:tcW w:w="630" w:type="dxa"/>
          </w:tcPr>
          <w:p>
            <w:pPr>
              <w:pStyle w:val="TableParagraph"/>
              <w:spacing w:before="100"/>
              <w:ind w:left="107"/>
              <w:rPr>
                <w:b/>
                <w:sz w:val="21"/>
              </w:rPr>
            </w:pPr>
            <w:r>
              <w:rPr>
                <w:b/>
                <w:sz w:val="21"/>
              </w:rPr>
              <w:t>3.2</w:t>
            </w:r>
          </w:p>
        </w:tc>
        <w:tc>
          <w:tcPr>
            <w:tcW w:w="1439" w:type="dxa"/>
          </w:tcPr>
          <w:p>
            <w:pPr>
              <w:pStyle w:val="TableParagraph"/>
              <w:spacing w:line="326" w:lineRule="auto" w:before="100"/>
              <w:ind w:left="205" w:right="175"/>
              <w:rPr>
                <w:b/>
                <w:sz w:val="21"/>
              </w:rPr>
            </w:pPr>
            <w:r>
              <w:rPr>
                <w:b/>
                <w:sz w:val="21"/>
              </w:rPr>
              <w:t>保险事故通知</w:t>
            </w:r>
          </w:p>
        </w:tc>
        <w:tc>
          <w:tcPr>
            <w:tcW w:w="8010" w:type="dxa"/>
          </w:tcPr>
          <w:p>
            <w:pPr>
              <w:pStyle w:val="TableParagraph"/>
              <w:spacing w:line="326" w:lineRule="auto" w:before="100"/>
              <w:ind w:left="180" w:right="98"/>
              <w:rPr>
                <w:sz w:val="21"/>
              </w:rPr>
            </w:pPr>
            <w:r>
              <w:rPr>
                <w:spacing w:val="-3"/>
                <w:sz w:val="21"/>
              </w:rPr>
              <w:t>投保人、被保险人或受益人自其知道或应当知道</w:t>
            </w:r>
            <w:r>
              <w:rPr>
                <w:b/>
                <w:sz w:val="21"/>
              </w:rPr>
              <w:t>保险事故</w:t>
            </w:r>
            <w:r>
              <w:rPr>
                <w:spacing w:val="-3"/>
                <w:sz w:val="21"/>
              </w:rPr>
              <w:t>（</w:t>
            </w:r>
            <w:r>
              <w:rPr>
                <w:spacing w:val="-23"/>
                <w:sz w:val="21"/>
              </w:rPr>
              <w:t>见 </w:t>
            </w:r>
            <w:r>
              <w:rPr>
                <w:sz w:val="21"/>
              </w:rPr>
              <w:t>7.13）</w:t>
            </w:r>
            <w:r>
              <w:rPr>
                <w:spacing w:val="-11"/>
                <w:sz w:val="21"/>
              </w:rPr>
              <w:t>发生之日起 </w:t>
            </w:r>
            <w:r>
              <w:rPr>
                <w:sz w:val="21"/>
              </w:rPr>
              <w:t>7 </w:t>
            </w:r>
            <w:r>
              <w:rPr>
                <w:spacing w:val="-8"/>
                <w:sz w:val="21"/>
              </w:rPr>
              <w:t>日内通知本公司。否则投保人、被保险人或受益人应承担由于通知迟延致使本公司增</w:t>
            </w:r>
            <w:r>
              <w:rPr>
                <w:spacing w:val="-10"/>
                <w:sz w:val="21"/>
              </w:rPr>
              <w:t>加的勘查、检验等各项费用，但因</w:t>
            </w:r>
            <w:r>
              <w:rPr>
                <w:b/>
                <w:spacing w:val="-5"/>
                <w:sz w:val="21"/>
              </w:rPr>
              <w:t>不可抗力</w:t>
            </w:r>
            <w:r>
              <w:rPr>
                <w:spacing w:val="-3"/>
                <w:sz w:val="21"/>
              </w:rPr>
              <w:t>（</w:t>
            </w:r>
            <w:r>
              <w:rPr>
                <w:spacing w:val="-12"/>
                <w:sz w:val="21"/>
              </w:rPr>
              <w:t>见 </w:t>
            </w:r>
            <w:r>
              <w:rPr>
                <w:spacing w:val="-6"/>
                <w:sz w:val="21"/>
              </w:rPr>
              <w:t>7.14）导致的迟延除外。通知内容包</w:t>
            </w:r>
            <w:r>
              <w:rPr>
                <w:spacing w:val="-4"/>
                <w:sz w:val="21"/>
              </w:rPr>
              <w:t>括：事故情况、原因、伤亡情况以及本公司需要了解的其他情况。</w:t>
            </w:r>
          </w:p>
          <w:p>
            <w:pPr>
              <w:pStyle w:val="TableParagraph"/>
              <w:spacing w:line="326" w:lineRule="auto" w:before="23"/>
              <w:ind w:left="180" w:right="50"/>
              <w:jc w:val="both"/>
              <w:rPr>
                <w:rFonts w:ascii="黑体" w:eastAsia="黑体" w:hint="eastAsia"/>
                <w:sz w:val="21"/>
              </w:rPr>
            </w:pPr>
            <w:r>
              <w:rPr>
                <w:rFonts w:ascii="黑体" w:eastAsia="黑体" w:hint="eastAsia"/>
                <w:spacing w:val="-3"/>
                <w:sz w:val="21"/>
              </w:rPr>
              <w:t>投保人、被保险人或受益人故意或者因重大过失未及时通知，致使保险事故的性质、</w:t>
            </w:r>
            <w:r>
              <w:rPr>
                <w:rFonts w:ascii="黑体" w:eastAsia="黑体" w:hint="eastAsia"/>
                <w:spacing w:val="-7"/>
                <w:sz w:val="21"/>
              </w:rPr>
              <w:t>原因等难以确定的，本公司对无法确定的部分，不承担给付保险金的责任，但本公司</w:t>
            </w:r>
            <w:r>
              <w:rPr>
                <w:rFonts w:ascii="黑体" w:eastAsia="黑体" w:hint="eastAsia"/>
                <w:spacing w:val="-5"/>
                <w:sz w:val="21"/>
              </w:rPr>
              <w:t>通过其他途径已经及时知道或者应当及时知道保险事故发</w:t>
            </w:r>
            <w:r>
              <w:rPr>
                <w:rFonts w:ascii="黑体" w:eastAsia="黑体" w:hint="eastAsia"/>
                <w:sz w:val="21"/>
              </w:rPr>
              <w:t>Th</w:t>
            </w:r>
            <w:r>
              <w:rPr>
                <w:rFonts w:ascii="黑体" w:eastAsia="黑体" w:hint="eastAsia"/>
                <w:spacing w:val="-3"/>
                <w:sz w:val="21"/>
              </w:rPr>
              <w:t>的除外。</w:t>
            </w:r>
          </w:p>
        </w:tc>
      </w:tr>
      <w:tr>
        <w:trPr>
          <w:trHeight w:val="540" w:hRule="atLeast"/>
        </w:trPr>
        <w:tc>
          <w:tcPr>
            <w:tcW w:w="630" w:type="dxa"/>
          </w:tcPr>
          <w:p>
            <w:pPr>
              <w:pStyle w:val="TableParagraph"/>
              <w:spacing w:before="100"/>
              <w:ind w:left="107"/>
              <w:rPr>
                <w:b/>
                <w:sz w:val="21"/>
              </w:rPr>
            </w:pPr>
            <w:r>
              <w:rPr>
                <w:b/>
                <w:sz w:val="21"/>
              </w:rPr>
              <w:t>3.3</w:t>
            </w:r>
          </w:p>
        </w:tc>
        <w:tc>
          <w:tcPr>
            <w:tcW w:w="1439" w:type="dxa"/>
          </w:tcPr>
          <w:p>
            <w:pPr>
              <w:pStyle w:val="TableParagraph"/>
              <w:spacing w:before="100"/>
              <w:ind w:left="205"/>
              <w:rPr>
                <w:b/>
                <w:sz w:val="21"/>
              </w:rPr>
            </w:pPr>
            <w:r>
              <w:rPr>
                <w:b/>
                <w:sz w:val="21"/>
              </w:rPr>
              <w:t>保险金申请</w:t>
            </w:r>
          </w:p>
        </w:tc>
        <w:tc>
          <w:tcPr>
            <w:tcW w:w="8010" w:type="dxa"/>
          </w:tcPr>
          <w:p>
            <w:pPr>
              <w:pStyle w:val="TableParagraph"/>
              <w:spacing w:before="100"/>
              <w:ind w:left="180"/>
              <w:rPr>
                <w:sz w:val="21"/>
              </w:rPr>
            </w:pPr>
            <w:r>
              <w:rPr>
                <w:sz w:val="21"/>
              </w:rPr>
              <w:t>在申请保险金时，请按照下列方式办理：</w:t>
            </w:r>
          </w:p>
        </w:tc>
      </w:tr>
      <w:tr>
        <w:trPr>
          <w:trHeight w:val="2413" w:hRule="atLeast"/>
        </w:trPr>
        <w:tc>
          <w:tcPr>
            <w:tcW w:w="630" w:type="dxa"/>
          </w:tcPr>
          <w:p>
            <w:pPr>
              <w:pStyle w:val="TableParagraph"/>
              <w:spacing w:before="0"/>
              <w:ind w:left="0"/>
              <w:rPr>
                <w:rFonts w:ascii="Times New Roman"/>
                <w:sz w:val="20"/>
              </w:rPr>
            </w:pPr>
          </w:p>
        </w:tc>
        <w:tc>
          <w:tcPr>
            <w:tcW w:w="1439" w:type="dxa"/>
          </w:tcPr>
          <w:p>
            <w:pPr>
              <w:pStyle w:val="TableParagraph"/>
              <w:spacing w:before="0"/>
              <w:ind w:left="0"/>
              <w:rPr>
                <w:rFonts w:ascii="Times New Roman"/>
                <w:sz w:val="20"/>
              </w:rPr>
            </w:pPr>
          </w:p>
        </w:tc>
        <w:tc>
          <w:tcPr>
            <w:tcW w:w="8010" w:type="dxa"/>
          </w:tcPr>
          <w:p>
            <w:pPr>
              <w:pStyle w:val="TableParagraph"/>
              <w:spacing w:before="100"/>
              <w:ind w:left="180"/>
              <w:rPr>
                <w:sz w:val="21"/>
              </w:rPr>
            </w:pPr>
            <w:r>
              <w:rPr>
                <w:sz w:val="21"/>
              </w:rPr>
              <w:t>由被保险人作为申请人填写保险金给付申请书，并须提供下列证明和资料：</w:t>
            </w:r>
          </w:p>
          <w:p>
            <w:pPr>
              <w:pStyle w:val="TableParagraph"/>
              <w:numPr>
                <w:ilvl w:val="0"/>
                <w:numId w:val="10"/>
              </w:numPr>
              <w:tabs>
                <w:tab w:pos="748" w:val="left" w:leader="none"/>
              </w:tabs>
              <w:spacing w:line="240" w:lineRule="auto" w:before="99" w:after="0"/>
              <w:ind w:left="747" w:right="0" w:hanging="567"/>
              <w:jc w:val="left"/>
              <w:rPr>
                <w:sz w:val="21"/>
              </w:rPr>
            </w:pPr>
            <w:r>
              <w:rPr>
                <w:spacing w:val="-3"/>
                <w:sz w:val="21"/>
              </w:rPr>
              <w:t>保险合同及投保单位证明；</w:t>
            </w:r>
          </w:p>
          <w:p>
            <w:pPr>
              <w:pStyle w:val="TableParagraph"/>
              <w:numPr>
                <w:ilvl w:val="0"/>
                <w:numId w:val="10"/>
              </w:numPr>
              <w:tabs>
                <w:tab w:pos="748" w:val="left" w:leader="none"/>
              </w:tabs>
              <w:spacing w:line="240" w:lineRule="auto" w:before="100" w:after="0"/>
              <w:ind w:left="747" w:right="0" w:hanging="567"/>
              <w:jc w:val="left"/>
              <w:rPr>
                <w:sz w:val="21"/>
              </w:rPr>
            </w:pPr>
            <w:r>
              <w:rPr>
                <w:spacing w:val="-2"/>
                <w:sz w:val="21"/>
              </w:rPr>
              <w:t>申请人的</w:t>
            </w:r>
            <w:r>
              <w:rPr>
                <w:b/>
                <w:sz w:val="21"/>
              </w:rPr>
              <w:t>法定身份证明</w:t>
            </w:r>
            <w:r>
              <w:rPr>
                <w:spacing w:val="-16"/>
                <w:sz w:val="21"/>
              </w:rPr>
              <w:t>(见 </w:t>
            </w:r>
            <w:r>
              <w:rPr>
                <w:sz w:val="21"/>
              </w:rPr>
              <w:t>7.15)；</w:t>
            </w:r>
          </w:p>
          <w:p>
            <w:pPr>
              <w:pStyle w:val="TableParagraph"/>
              <w:numPr>
                <w:ilvl w:val="0"/>
                <w:numId w:val="10"/>
              </w:numPr>
              <w:tabs>
                <w:tab w:pos="748" w:val="left" w:leader="none"/>
              </w:tabs>
              <w:spacing w:line="326" w:lineRule="auto" w:before="99" w:after="0"/>
              <w:ind w:left="747" w:right="101" w:hanging="567"/>
              <w:jc w:val="left"/>
              <w:rPr>
                <w:sz w:val="21"/>
              </w:rPr>
            </w:pPr>
            <w:r>
              <w:rPr>
                <w:spacing w:val="-3"/>
                <w:sz w:val="21"/>
              </w:rPr>
              <w:t>本公司指定或认可的医院出具的附有病历、必要病理检验、血液检验及其它科学方法检验报告的疾病诊断书；</w:t>
            </w:r>
          </w:p>
          <w:p>
            <w:pPr>
              <w:pStyle w:val="TableParagraph"/>
              <w:numPr>
                <w:ilvl w:val="0"/>
                <w:numId w:val="10"/>
              </w:numPr>
              <w:tabs>
                <w:tab w:pos="748" w:val="left" w:leader="none"/>
              </w:tabs>
              <w:spacing w:line="240" w:lineRule="auto" w:before="23" w:after="0"/>
              <w:ind w:left="747" w:right="0" w:hanging="567"/>
              <w:jc w:val="left"/>
              <w:rPr>
                <w:sz w:val="21"/>
              </w:rPr>
            </w:pPr>
            <w:r>
              <w:rPr>
                <w:spacing w:val="-3"/>
                <w:sz w:val="21"/>
              </w:rPr>
              <w:t>与确认保险事故的性质、原因、经过等有关的其他证明和资料。</w:t>
            </w:r>
          </w:p>
        </w:tc>
      </w:tr>
      <w:tr>
        <w:trPr>
          <w:trHeight w:val="1581" w:hRule="atLeast"/>
        </w:trPr>
        <w:tc>
          <w:tcPr>
            <w:tcW w:w="630" w:type="dxa"/>
          </w:tcPr>
          <w:p>
            <w:pPr>
              <w:pStyle w:val="TableParagraph"/>
              <w:spacing w:before="0"/>
              <w:ind w:left="0"/>
              <w:rPr>
                <w:rFonts w:ascii="Times New Roman"/>
                <w:sz w:val="20"/>
              </w:rPr>
            </w:pPr>
          </w:p>
        </w:tc>
        <w:tc>
          <w:tcPr>
            <w:tcW w:w="1439" w:type="dxa"/>
          </w:tcPr>
          <w:p>
            <w:pPr>
              <w:pStyle w:val="TableParagraph"/>
              <w:spacing w:line="326" w:lineRule="auto" w:before="102"/>
              <w:ind w:left="205" w:right="175"/>
              <w:jc w:val="both"/>
              <w:rPr>
                <w:b/>
                <w:sz w:val="21"/>
              </w:rPr>
            </w:pPr>
            <w:r>
              <w:rPr>
                <w:b/>
                <w:sz w:val="21"/>
              </w:rPr>
              <w:t>委托他人代为申请保险金</w:t>
            </w:r>
          </w:p>
        </w:tc>
        <w:tc>
          <w:tcPr>
            <w:tcW w:w="8010" w:type="dxa"/>
          </w:tcPr>
          <w:p>
            <w:pPr>
              <w:pStyle w:val="TableParagraph"/>
              <w:spacing w:line="370" w:lineRule="atLeast" w:before="6"/>
              <w:ind w:left="180" w:right="97"/>
              <w:jc w:val="both"/>
              <w:rPr>
                <w:sz w:val="21"/>
              </w:rPr>
            </w:pPr>
            <w:r>
              <w:rPr>
                <w:spacing w:val="-6"/>
                <w:sz w:val="21"/>
              </w:rPr>
              <w:t>若委托他人代为申请保险金，被委托人还应提供保险金受益人签字的授权委托书、被</w:t>
            </w:r>
            <w:r>
              <w:rPr>
                <w:spacing w:val="-7"/>
                <w:sz w:val="21"/>
              </w:rPr>
              <w:t>委托人的有效身份证件等相关证明文件。受益人或继承人为未成年人或无民事行为能</w:t>
            </w:r>
            <w:r>
              <w:rPr>
                <w:spacing w:val="-9"/>
                <w:sz w:val="21"/>
              </w:rPr>
              <w:t>力人时，由其合法监护人代其申请领取保险金，其合法监护人还必须提供受益人或继</w:t>
            </w:r>
            <w:r>
              <w:rPr>
                <w:spacing w:val="-5"/>
                <w:sz w:val="21"/>
              </w:rPr>
              <w:t>承人为未成年人或无民事行为能力人的证明和监护人具有合法监护权的证明。</w:t>
            </w:r>
          </w:p>
        </w:tc>
      </w:tr>
      <w:tr>
        <w:trPr>
          <w:trHeight w:val="667" w:hRule="atLeast"/>
        </w:trPr>
        <w:tc>
          <w:tcPr>
            <w:tcW w:w="630" w:type="dxa"/>
          </w:tcPr>
          <w:p>
            <w:pPr>
              <w:pStyle w:val="TableParagraph"/>
              <w:spacing w:before="0"/>
              <w:ind w:left="0"/>
              <w:rPr>
                <w:rFonts w:ascii="Times New Roman"/>
                <w:sz w:val="20"/>
              </w:rPr>
            </w:pPr>
          </w:p>
        </w:tc>
        <w:tc>
          <w:tcPr>
            <w:tcW w:w="1439" w:type="dxa"/>
          </w:tcPr>
          <w:p>
            <w:pPr>
              <w:pStyle w:val="TableParagraph"/>
              <w:spacing w:before="18"/>
              <w:ind w:left="205"/>
              <w:rPr>
                <w:b/>
                <w:sz w:val="21"/>
              </w:rPr>
            </w:pPr>
            <w:r>
              <w:rPr>
                <w:b/>
                <w:sz w:val="21"/>
              </w:rPr>
              <w:t>补充通知</w:t>
            </w:r>
          </w:p>
        </w:tc>
        <w:tc>
          <w:tcPr>
            <w:tcW w:w="8010" w:type="dxa"/>
          </w:tcPr>
          <w:p>
            <w:pPr>
              <w:pStyle w:val="TableParagraph"/>
              <w:spacing w:before="18"/>
              <w:ind w:left="180"/>
              <w:rPr>
                <w:sz w:val="21"/>
              </w:rPr>
            </w:pPr>
            <w:r>
              <w:rPr>
                <w:sz w:val="21"/>
              </w:rPr>
              <w:t>以上证明和资料不完整的，本公司将及时一次性通知申请人补充提供有关的证明和资</w:t>
            </w:r>
          </w:p>
          <w:p>
            <w:pPr>
              <w:pStyle w:val="TableParagraph"/>
              <w:spacing w:line="255" w:lineRule="exact"/>
              <w:ind w:left="180"/>
              <w:rPr>
                <w:sz w:val="21"/>
              </w:rPr>
            </w:pPr>
            <w:r>
              <w:rPr>
                <w:sz w:val="21"/>
              </w:rPr>
              <w:t>料。</w:t>
            </w:r>
          </w:p>
        </w:tc>
      </w:tr>
    </w:tbl>
    <w:p>
      <w:pPr>
        <w:spacing w:after="0" w:line="255" w:lineRule="exact"/>
        <w:rPr>
          <w:sz w:val="21"/>
        </w:rPr>
        <w:sectPr>
          <w:pgSz w:w="11910" w:h="16840"/>
          <w:pgMar w:header="0" w:footer="375" w:top="1360" w:bottom="56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440"/>
        <w:gridCol w:w="8011"/>
      </w:tblGrid>
      <w:tr>
        <w:trPr>
          <w:trHeight w:val="1498" w:hRule="atLeast"/>
        </w:trPr>
        <w:tc>
          <w:tcPr>
            <w:tcW w:w="630" w:type="dxa"/>
          </w:tcPr>
          <w:p>
            <w:pPr>
              <w:pStyle w:val="TableParagraph"/>
              <w:spacing w:before="0"/>
              <w:ind w:left="0"/>
              <w:rPr>
                <w:rFonts w:ascii="Times New Roman"/>
                <w:sz w:val="20"/>
              </w:rPr>
            </w:pPr>
          </w:p>
        </w:tc>
        <w:tc>
          <w:tcPr>
            <w:tcW w:w="1440" w:type="dxa"/>
          </w:tcPr>
          <w:p>
            <w:pPr>
              <w:pStyle w:val="TableParagraph"/>
              <w:spacing w:line="211" w:lineRule="exact" w:before="0"/>
              <w:ind w:left="205"/>
              <w:rPr>
                <w:b/>
                <w:sz w:val="21"/>
              </w:rPr>
            </w:pPr>
            <w:r>
              <w:rPr>
                <w:b/>
                <w:sz w:val="21"/>
              </w:rPr>
              <w:t>特别注意事</w:t>
            </w:r>
          </w:p>
          <w:p>
            <w:pPr>
              <w:pStyle w:val="TableParagraph"/>
              <w:ind w:left="205"/>
              <w:rPr>
                <w:b/>
                <w:sz w:val="21"/>
              </w:rPr>
            </w:pPr>
            <w:r>
              <w:rPr>
                <w:b/>
                <w:w w:val="100"/>
                <w:sz w:val="21"/>
              </w:rPr>
              <w:t>项</w:t>
            </w:r>
          </w:p>
        </w:tc>
        <w:tc>
          <w:tcPr>
            <w:tcW w:w="8011" w:type="dxa"/>
          </w:tcPr>
          <w:p>
            <w:pPr>
              <w:pStyle w:val="TableParagraph"/>
              <w:spacing w:line="211" w:lineRule="exact" w:before="0"/>
              <w:ind w:left="179"/>
              <w:rPr>
                <w:sz w:val="21"/>
              </w:rPr>
            </w:pPr>
            <w:r>
              <w:rPr>
                <w:sz w:val="21"/>
              </w:rPr>
              <w:t>除上述相关证明和资料外，本公司如认为必要，在保险事故发生后可以对被保险人的</w:t>
            </w:r>
          </w:p>
          <w:p>
            <w:pPr>
              <w:pStyle w:val="TableParagraph"/>
              <w:ind w:left="179"/>
              <w:rPr>
                <w:sz w:val="21"/>
              </w:rPr>
            </w:pPr>
            <w:r>
              <w:rPr>
                <w:sz w:val="21"/>
              </w:rPr>
              <w:t>身体状况进行检查或鉴定。</w:t>
            </w:r>
          </w:p>
          <w:p>
            <w:pPr>
              <w:pStyle w:val="TableParagraph"/>
              <w:spacing w:line="326" w:lineRule="auto"/>
              <w:ind w:left="179" w:right="112"/>
              <w:rPr>
                <w:sz w:val="21"/>
              </w:rPr>
            </w:pPr>
            <w:r>
              <w:rPr>
                <w:sz w:val="21"/>
              </w:rPr>
              <w:t>保险金作为被保险人遗产时，继承人还必须提供可证明其合法继承权的相关权利文件。</w:t>
            </w:r>
          </w:p>
        </w:tc>
      </w:tr>
      <w:tr>
        <w:trPr>
          <w:trHeight w:val="2891" w:hRule="atLeast"/>
        </w:trPr>
        <w:tc>
          <w:tcPr>
            <w:tcW w:w="630" w:type="dxa"/>
          </w:tcPr>
          <w:p>
            <w:pPr>
              <w:pStyle w:val="TableParagraph"/>
              <w:spacing w:before="100"/>
              <w:ind w:left="107"/>
              <w:rPr>
                <w:b/>
                <w:sz w:val="21"/>
              </w:rPr>
            </w:pPr>
            <w:r>
              <w:rPr>
                <w:b/>
                <w:sz w:val="21"/>
              </w:rPr>
              <w:t>3.4</w:t>
            </w:r>
          </w:p>
        </w:tc>
        <w:tc>
          <w:tcPr>
            <w:tcW w:w="1440" w:type="dxa"/>
          </w:tcPr>
          <w:p>
            <w:pPr>
              <w:pStyle w:val="TableParagraph"/>
              <w:spacing w:before="100"/>
              <w:ind w:left="205"/>
              <w:rPr>
                <w:b/>
                <w:sz w:val="21"/>
              </w:rPr>
            </w:pPr>
            <w:r>
              <w:rPr>
                <w:b/>
                <w:sz w:val="21"/>
              </w:rPr>
              <w:t>保险金给付</w:t>
            </w:r>
          </w:p>
        </w:tc>
        <w:tc>
          <w:tcPr>
            <w:tcW w:w="8011" w:type="dxa"/>
          </w:tcPr>
          <w:p>
            <w:pPr>
              <w:pStyle w:val="TableParagraph"/>
              <w:spacing w:line="340" w:lineRule="auto" w:before="108"/>
              <w:ind w:left="179" w:right="100"/>
              <w:jc w:val="both"/>
              <w:rPr>
                <w:sz w:val="21"/>
              </w:rPr>
            </w:pPr>
            <w:r>
              <w:rPr>
                <w:spacing w:val="-5"/>
                <w:sz w:val="21"/>
              </w:rPr>
              <w:t>本公司在收到保险金给付申请书及上述完整齐全的有关证明和资料后，会及时做出核</w:t>
            </w:r>
            <w:r>
              <w:rPr>
                <w:spacing w:val="-9"/>
                <w:sz w:val="21"/>
              </w:rPr>
              <w:t>定，对确定属于保险责任的，在与被保险人或受益人达成有关给付保险金数额的协议</w:t>
            </w:r>
            <w:r>
              <w:rPr>
                <w:spacing w:val="-25"/>
                <w:sz w:val="21"/>
              </w:rPr>
              <w:t>后 </w:t>
            </w:r>
            <w:r>
              <w:rPr>
                <w:sz w:val="21"/>
              </w:rPr>
              <w:t>10</w:t>
            </w:r>
            <w:r>
              <w:rPr>
                <w:spacing w:val="-8"/>
                <w:sz w:val="21"/>
              </w:rPr>
              <w:t> 日内，履行给付保险金责任。对不属于保险责任的，自作出核定之日起三日内</w:t>
            </w:r>
            <w:r>
              <w:rPr>
                <w:spacing w:val="-5"/>
                <w:sz w:val="21"/>
              </w:rPr>
              <w:t>向被保险人或者受益人发出拒绝给付保险金通知书并说明理由。</w:t>
            </w:r>
          </w:p>
          <w:p>
            <w:pPr>
              <w:pStyle w:val="TableParagraph"/>
              <w:spacing w:line="340" w:lineRule="auto" w:before="28"/>
              <w:ind w:left="179" w:right="100"/>
              <w:jc w:val="both"/>
              <w:rPr>
                <w:sz w:val="21"/>
              </w:rPr>
            </w:pPr>
            <w:r>
              <w:rPr>
                <w:spacing w:val="-5"/>
                <w:sz w:val="21"/>
              </w:rPr>
              <w:t>本公司在收到保险金给付申请书及上述完整齐全的有关证明和资料之日起 </w:t>
            </w:r>
            <w:r>
              <w:rPr>
                <w:sz w:val="21"/>
              </w:rPr>
              <w:t>60</w:t>
            </w:r>
            <w:r>
              <w:rPr>
                <w:spacing w:val="-12"/>
                <w:sz w:val="21"/>
              </w:rPr>
              <w:t> 日内， </w:t>
            </w:r>
            <w:r>
              <w:rPr>
                <w:spacing w:val="-8"/>
                <w:sz w:val="21"/>
              </w:rPr>
              <w:t>对属于保险责任而给付保险金的数额不能确定的，根据已有证明和资料，按可以确定</w:t>
            </w:r>
            <w:r>
              <w:rPr>
                <w:spacing w:val="-5"/>
                <w:sz w:val="21"/>
              </w:rPr>
              <w:t>的数额先予以支付；本公司最终确定给付保险金的数额后，给付相应的差额。</w:t>
            </w:r>
          </w:p>
        </w:tc>
      </w:tr>
      <w:tr>
        <w:trPr>
          <w:trHeight w:val="969" w:hRule="atLeast"/>
        </w:trPr>
        <w:tc>
          <w:tcPr>
            <w:tcW w:w="630" w:type="dxa"/>
          </w:tcPr>
          <w:p>
            <w:pPr>
              <w:pStyle w:val="TableParagraph"/>
              <w:spacing w:before="104"/>
              <w:ind w:left="107"/>
              <w:rPr>
                <w:b/>
                <w:sz w:val="21"/>
              </w:rPr>
            </w:pPr>
            <w:r>
              <w:rPr>
                <w:b/>
                <w:sz w:val="21"/>
              </w:rPr>
              <w:t>3.5</w:t>
            </w:r>
          </w:p>
        </w:tc>
        <w:tc>
          <w:tcPr>
            <w:tcW w:w="1440" w:type="dxa"/>
          </w:tcPr>
          <w:p>
            <w:pPr>
              <w:pStyle w:val="TableParagraph"/>
              <w:spacing w:line="326" w:lineRule="auto" w:before="104"/>
              <w:ind w:left="205" w:right="176"/>
              <w:rPr>
                <w:b/>
                <w:sz w:val="21"/>
              </w:rPr>
            </w:pPr>
            <w:r>
              <w:rPr>
                <w:b/>
                <w:sz w:val="21"/>
              </w:rPr>
              <w:t>保险金申请时效</w:t>
            </w:r>
          </w:p>
        </w:tc>
        <w:tc>
          <w:tcPr>
            <w:tcW w:w="8011" w:type="dxa"/>
          </w:tcPr>
          <w:p>
            <w:pPr>
              <w:pStyle w:val="TableParagraph"/>
              <w:spacing w:line="340" w:lineRule="auto" w:before="111"/>
              <w:ind w:left="179" w:right="50"/>
              <w:rPr>
                <w:sz w:val="21"/>
              </w:rPr>
            </w:pPr>
            <w:r>
              <w:rPr>
                <w:sz w:val="21"/>
              </w:rPr>
              <w:t>被保险人或者受益人向本公司请求给付保险金的诉讼时效期间为二年，自其知道或者应当知道保险事故发生之日起计算。</w:t>
            </w:r>
          </w:p>
        </w:tc>
      </w:tr>
      <w:tr>
        <w:trPr>
          <w:trHeight w:val="670" w:hRule="atLeast"/>
        </w:trPr>
        <w:tc>
          <w:tcPr>
            <w:tcW w:w="630" w:type="dxa"/>
            <w:tcBorders>
              <w:bottom w:val="single" w:sz="4" w:space="0" w:color="000000"/>
            </w:tcBorders>
          </w:tcPr>
          <w:p>
            <w:pPr>
              <w:pStyle w:val="TableParagraph"/>
              <w:spacing w:before="178"/>
              <w:ind w:left="107"/>
              <w:rPr>
                <w:rFonts w:ascii="Times New Roman"/>
                <w:b/>
                <w:sz w:val="32"/>
              </w:rPr>
            </w:pPr>
            <w:r>
              <w:rPr>
                <w:rFonts w:ascii="Times New Roman"/>
                <w:b/>
                <w:w w:val="99"/>
                <w:sz w:val="32"/>
              </w:rPr>
              <w:t>4</w:t>
            </w:r>
          </w:p>
        </w:tc>
        <w:tc>
          <w:tcPr>
            <w:tcW w:w="9451" w:type="dxa"/>
            <w:gridSpan w:val="2"/>
            <w:tcBorders>
              <w:bottom w:val="single" w:sz="4" w:space="0" w:color="000000"/>
            </w:tcBorders>
          </w:tcPr>
          <w:p>
            <w:pPr>
              <w:pStyle w:val="TableParagraph"/>
              <w:spacing w:before="165"/>
              <w:ind w:left="205"/>
              <w:rPr>
                <w:b/>
                <w:sz w:val="24"/>
              </w:rPr>
            </w:pPr>
            <w:r>
              <w:rPr>
                <w:b/>
                <w:w w:val="95"/>
                <w:sz w:val="24"/>
              </w:rPr>
              <w:t>如何交纳保险费</w:t>
            </w:r>
          </w:p>
        </w:tc>
      </w:tr>
      <w:tr>
        <w:trPr>
          <w:trHeight w:val="645" w:hRule="atLeast"/>
        </w:trPr>
        <w:tc>
          <w:tcPr>
            <w:tcW w:w="630" w:type="dxa"/>
            <w:tcBorders>
              <w:top w:val="single" w:sz="4" w:space="0" w:color="000000"/>
            </w:tcBorders>
          </w:tcPr>
          <w:p>
            <w:pPr>
              <w:pStyle w:val="TableParagraph"/>
              <w:spacing w:before="174"/>
              <w:ind w:left="107"/>
              <w:rPr>
                <w:b/>
                <w:sz w:val="21"/>
              </w:rPr>
            </w:pPr>
            <w:r>
              <w:rPr>
                <w:b/>
                <w:sz w:val="21"/>
              </w:rPr>
              <w:t>4.1</w:t>
            </w:r>
          </w:p>
        </w:tc>
        <w:tc>
          <w:tcPr>
            <w:tcW w:w="1440" w:type="dxa"/>
            <w:tcBorders>
              <w:top w:val="single" w:sz="4" w:space="0" w:color="000000"/>
            </w:tcBorders>
          </w:tcPr>
          <w:p>
            <w:pPr>
              <w:pStyle w:val="TableParagraph"/>
              <w:spacing w:before="174"/>
              <w:ind w:left="205"/>
              <w:rPr>
                <w:b/>
                <w:sz w:val="21"/>
              </w:rPr>
            </w:pPr>
            <w:r>
              <w:rPr>
                <w:b/>
                <w:sz w:val="21"/>
              </w:rPr>
              <w:t>保险费</w:t>
            </w:r>
          </w:p>
        </w:tc>
        <w:tc>
          <w:tcPr>
            <w:tcW w:w="8011" w:type="dxa"/>
            <w:tcBorders>
              <w:top w:val="single" w:sz="4" w:space="0" w:color="000000"/>
            </w:tcBorders>
          </w:tcPr>
          <w:p>
            <w:pPr>
              <w:pStyle w:val="TableParagraph"/>
              <w:spacing w:before="174"/>
              <w:ind w:left="179"/>
              <w:rPr>
                <w:sz w:val="21"/>
              </w:rPr>
            </w:pPr>
            <w:r>
              <w:rPr>
                <w:sz w:val="21"/>
              </w:rPr>
              <w:t>本主险合同的保险费采取一次性交付方式。</w:t>
            </w:r>
          </w:p>
        </w:tc>
      </w:tr>
      <w:tr>
        <w:trPr>
          <w:trHeight w:val="674" w:hRule="atLeast"/>
        </w:trPr>
        <w:tc>
          <w:tcPr>
            <w:tcW w:w="630" w:type="dxa"/>
            <w:tcBorders>
              <w:bottom w:val="single" w:sz="4" w:space="0" w:color="000000"/>
            </w:tcBorders>
          </w:tcPr>
          <w:p>
            <w:pPr>
              <w:pStyle w:val="TableParagraph"/>
              <w:spacing w:before="181"/>
              <w:ind w:left="107"/>
              <w:rPr>
                <w:rFonts w:ascii="Times New Roman"/>
                <w:b/>
                <w:sz w:val="32"/>
              </w:rPr>
            </w:pPr>
            <w:r>
              <w:rPr>
                <w:rFonts w:ascii="Times New Roman"/>
                <w:b/>
                <w:w w:val="99"/>
                <w:sz w:val="32"/>
              </w:rPr>
              <w:t>5</w:t>
            </w:r>
          </w:p>
        </w:tc>
        <w:tc>
          <w:tcPr>
            <w:tcW w:w="9451" w:type="dxa"/>
            <w:gridSpan w:val="2"/>
            <w:tcBorders>
              <w:bottom w:val="single" w:sz="4" w:space="0" w:color="000000"/>
            </w:tcBorders>
          </w:tcPr>
          <w:p>
            <w:pPr>
              <w:pStyle w:val="TableParagraph"/>
              <w:spacing w:before="169"/>
              <w:ind w:left="205"/>
              <w:rPr>
                <w:b/>
                <w:sz w:val="24"/>
              </w:rPr>
            </w:pPr>
            <w:r>
              <w:rPr>
                <w:b/>
                <w:w w:val="95"/>
                <w:sz w:val="24"/>
              </w:rPr>
              <w:t>如何解除保险合同</w:t>
            </w:r>
          </w:p>
        </w:tc>
      </w:tr>
      <w:tr>
        <w:trPr>
          <w:trHeight w:val="3777" w:hRule="atLeast"/>
        </w:trPr>
        <w:tc>
          <w:tcPr>
            <w:tcW w:w="630" w:type="dxa"/>
            <w:tcBorders>
              <w:top w:val="single" w:sz="4" w:space="0" w:color="000000"/>
            </w:tcBorders>
          </w:tcPr>
          <w:p>
            <w:pPr>
              <w:pStyle w:val="TableParagraph"/>
              <w:spacing w:before="174"/>
              <w:ind w:left="107"/>
              <w:rPr>
                <w:b/>
                <w:sz w:val="21"/>
              </w:rPr>
            </w:pPr>
            <w:r>
              <w:rPr>
                <w:b/>
                <w:sz w:val="21"/>
              </w:rPr>
              <w:t>5.1</w:t>
            </w:r>
          </w:p>
        </w:tc>
        <w:tc>
          <w:tcPr>
            <w:tcW w:w="1440" w:type="dxa"/>
            <w:tcBorders>
              <w:top w:val="single" w:sz="4" w:space="0" w:color="000000"/>
            </w:tcBorders>
          </w:tcPr>
          <w:p>
            <w:pPr>
              <w:pStyle w:val="TableParagraph"/>
              <w:spacing w:before="174"/>
              <w:ind w:left="205"/>
              <w:rPr>
                <w:b/>
                <w:sz w:val="21"/>
              </w:rPr>
            </w:pPr>
            <w:r>
              <w:rPr>
                <w:b/>
                <w:sz w:val="21"/>
              </w:rPr>
              <w:t>合同解除</w:t>
            </w:r>
          </w:p>
        </w:tc>
        <w:tc>
          <w:tcPr>
            <w:tcW w:w="8011" w:type="dxa"/>
            <w:tcBorders>
              <w:top w:val="single" w:sz="4" w:space="0" w:color="000000"/>
            </w:tcBorders>
          </w:tcPr>
          <w:p>
            <w:pPr>
              <w:pStyle w:val="TableParagraph"/>
              <w:spacing w:before="11"/>
              <w:ind w:left="0"/>
              <w:rPr>
                <w:b/>
                <w:sz w:val="13"/>
              </w:rPr>
            </w:pPr>
          </w:p>
          <w:p>
            <w:pPr>
              <w:pStyle w:val="TableParagraph"/>
              <w:spacing w:line="340" w:lineRule="auto" w:before="0"/>
              <w:ind w:left="179" w:right="-15"/>
              <w:rPr>
                <w:sz w:val="21"/>
              </w:rPr>
            </w:pPr>
            <w:r>
              <w:rPr>
                <w:spacing w:val="-15"/>
                <w:sz w:val="21"/>
              </w:rPr>
              <w:t>本主险合同有效期内，在发生保险金给付前，投保人可以书面通知要求解除保险合同。</w:t>
            </w:r>
            <w:r>
              <w:rPr>
                <w:spacing w:val="-7"/>
                <w:sz w:val="21"/>
              </w:rPr>
              <w:t>投保人要求解除本主险合同时，应提供下列证明和材料：</w:t>
            </w:r>
          </w:p>
          <w:p>
            <w:pPr>
              <w:pStyle w:val="TableParagraph"/>
              <w:numPr>
                <w:ilvl w:val="0"/>
                <w:numId w:val="11"/>
              </w:numPr>
              <w:tabs>
                <w:tab w:pos="747" w:val="left" w:leader="none"/>
              </w:tabs>
              <w:spacing w:line="240" w:lineRule="auto" w:before="25" w:after="0"/>
              <w:ind w:left="746" w:right="0" w:hanging="567"/>
              <w:jc w:val="left"/>
              <w:rPr>
                <w:sz w:val="21"/>
              </w:rPr>
            </w:pPr>
            <w:r>
              <w:rPr>
                <w:spacing w:val="-3"/>
                <w:sz w:val="21"/>
              </w:rPr>
              <w:t>保险单及其它保险凭证；</w:t>
            </w:r>
          </w:p>
          <w:p>
            <w:pPr>
              <w:pStyle w:val="TableParagraph"/>
              <w:numPr>
                <w:ilvl w:val="0"/>
                <w:numId w:val="11"/>
              </w:numPr>
              <w:tabs>
                <w:tab w:pos="747" w:val="left" w:leader="none"/>
              </w:tabs>
              <w:spacing w:line="240" w:lineRule="auto" w:before="116" w:after="0"/>
              <w:ind w:left="746" w:right="0" w:hanging="567"/>
              <w:jc w:val="left"/>
              <w:rPr>
                <w:sz w:val="21"/>
              </w:rPr>
            </w:pPr>
            <w:r>
              <w:rPr>
                <w:spacing w:val="-3"/>
                <w:sz w:val="21"/>
              </w:rPr>
              <w:t>保险费交费凭证；</w:t>
            </w:r>
          </w:p>
          <w:p>
            <w:pPr>
              <w:pStyle w:val="TableParagraph"/>
              <w:numPr>
                <w:ilvl w:val="0"/>
                <w:numId w:val="11"/>
              </w:numPr>
              <w:tabs>
                <w:tab w:pos="747" w:val="left" w:leader="none"/>
              </w:tabs>
              <w:spacing w:line="240" w:lineRule="auto" w:before="113" w:after="0"/>
              <w:ind w:left="746" w:right="0" w:hanging="567"/>
              <w:jc w:val="left"/>
              <w:rPr>
                <w:sz w:val="21"/>
              </w:rPr>
            </w:pPr>
            <w:r>
              <w:rPr>
                <w:spacing w:val="-3"/>
                <w:sz w:val="21"/>
              </w:rPr>
              <w:t>解除合同申请书；</w:t>
            </w:r>
          </w:p>
          <w:p>
            <w:pPr>
              <w:pStyle w:val="TableParagraph"/>
              <w:numPr>
                <w:ilvl w:val="0"/>
                <w:numId w:val="11"/>
              </w:numPr>
              <w:tabs>
                <w:tab w:pos="747" w:val="left" w:leader="none"/>
              </w:tabs>
              <w:spacing w:line="240" w:lineRule="auto" w:before="115" w:after="0"/>
              <w:ind w:left="746" w:right="0" w:hanging="567"/>
              <w:jc w:val="left"/>
              <w:rPr>
                <w:sz w:val="21"/>
              </w:rPr>
            </w:pPr>
            <w:r>
              <w:rPr>
                <w:spacing w:val="-3"/>
                <w:sz w:val="21"/>
              </w:rPr>
              <w:t>投保人法定身份证明；</w:t>
            </w:r>
          </w:p>
          <w:p>
            <w:pPr>
              <w:pStyle w:val="TableParagraph"/>
              <w:numPr>
                <w:ilvl w:val="0"/>
                <w:numId w:val="11"/>
              </w:numPr>
              <w:tabs>
                <w:tab w:pos="747" w:val="left" w:leader="none"/>
              </w:tabs>
              <w:spacing w:line="240" w:lineRule="auto" w:before="114" w:after="0"/>
              <w:ind w:left="746" w:right="0" w:hanging="567"/>
              <w:jc w:val="left"/>
              <w:rPr>
                <w:sz w:val="21"/>
              </w:rPr>
            </w:pPr>
            <w:r>
              <w:rPr>
                <w:spacing w:val="-3"/>
                <w:sz w:val="21"/>
              </w:rPr>
              <w:t>本公司要求的其他证明或资料。</w:t>
            </w:r>
          </w:p>
          <w:p>
            <w:pPr>
              <w:pStyle w:val="TableParagraph"/>
              <w:spacing w:line="338" w:lineRule="auto" w:before="116"/>
              <w:ind w:left="179" w:right="100"/>
              <w:rPr>
                <w:sz w:val="21"/>
              </w:rPr>
            </w:pPr>
            <w:r>
              <w:rPr>
                <w:spacing w:val="-6"/>
                <w:sz w:val="21"/>
              </w:rPr>
              <w:t>自本公司收到解除合同申请书之日起，本主险合同终止。本公司在收到上述证明和资</w:t>
            </w:r>
            <w:r>
              <w:rPr>
                <w:spacing w:val="-12"/>
                <w:sz w:val="21"/>
              </w:rPr>
              <w:t>料之日起 </w:t>
            </w:r>
            <w:r>
              <w:rPr>
                <w:sz w:val="21"/>
              </w:rPr>
              <w:t>30</w:t>
            </w:r>
            <w:r>
              <w:rPr>
                <w:spacing w:val="-8"/>
                <w:sz w:val="21"/>
              </w:rPr>
              <w:t> 日内退还本主险合同的现金价值。</w:t>
            </w:r>
          </w:p>
        </w:tc>
      </w:tr>
      <w:tr>
        <w:trPr>
          <w:trHeight w:val="683" w:hRule="atLeast"/>
        </w:trPr>
        <w:tc>
          <w:tcPr>
            <w:tcW w:w="630" w:type="dxa"/>
            <w:tcBorders>
              <w:bottom w:val="single" w:sz="4" w:space="0" w:color="000000"/>
            </w:tcBorders>
          </w:tcPr>
          <w:p>
            <w:pPr>
              <w:pStyle w:val="TableParagraph"/>
              <w:spacing w:before="186"/>
              <w:ind w:left="107"/>
              <w:rPr>
                <w:rFonts w:ascii="Times New Roman"/>
                <w:b/>
                <w:sz w:val="32"/>
              </w:rPr>
            </w:pPr>
            <w:r>
              <w:rPr>
                <w:rFonts w:ascii="Times New Roman"/>
                <w:b/>
                <w:w w:val="99"/>
                <w:sz w:val="32"/>
              </w:rPr>
              <w:t>6</w:t>
            </w:r>
          </w:p>
        </w:tc>
        <w:tc>
          <w:tcPr>
            <w:tcW w:w="9451" w:type="dxa"/>
            <w:gridSpan w:val="2"/>
            <w:tcBorders>
              <w:bottom w:val="single" w:sz="4" w:space="0" w:color="000000"/>
            </w:tcBorders>
          </w:tcPr>
          <w:p>
            <w:pPr>
              <w:pStyle w:val="TableParagraph"/>
              <w:spacing w:before="176"/>
              <w:ind w:left="205"/>
              <w:rPr>
                <w:b/>
                <w:sz w:val="24"/>
              </w:rPr>
            </w:pPr>
            <w:r>
              <w:rPr>
                <w:b/>
                <w:sz w:val="24"/>
              </w:rPr>
              <w:t>其他需要关注的事项</w:t>
            </w:r>
          </w:p>
        </w:tc>
      </w:tr>
      <w:tr>
        <w:trPr>
          <w:trHeight w:val="2307" w:hRule="atLeast"/>
        </w:trPr>
        <w:tc>
          <w:tcPr>
            <w:tcW w:w="630" w:type="dxa"/>
            <w:tcBorders>
              <w:top w:val="single" w:sz="4" w:space="0" w:color="000000"/>
            </w:tcBorders>
          </w:tcPr>
          <w:p>
            <w:pPr>
              <w:pStyle w:val="TableParagraph"/>
              <w:spacing w:before="160"/>
              <w:ind w:left="107"/>
              <w:rPr>
                <w:b/>
                <w:sz w:val="21"/>
              </w:rPr>
            </w:pPr>
            <w:r>
              <w:rPr>
                <w:b/>
                <w:sz w:val="21"/>
              </w:rPr>
              <w:t>6.1</w:t>
            </w:r>
          </w:p>
        </w:tc>
        <w:tc>
          <w:tcPr>
            <w:tcW w:w="1440" w:type="dxa"/>
            <w:tcBorders>
              <w:top w:val="single" w:sz="4" w:space="0" w:color="000000"/>
            </w:tcBorders>
          </w:tcPr>
          <w:p>
            <w:pPr>
              <w:pStyle w:val="TableParagraph"/>
              <w:spacing w:before="160"/>
              <w:ind w:left="205"/>
              <w:rPr>
                <w:b/>
                <w:sz w:val="21"/>
              </w:rPr>
            </w:pPr>
            <w:r>
              <w:rPr>
                <w:b/>
                <w:sz w:val="21"/>
              </w:rPr>
              <w:t>如实告知</w:t>
            </w:r>
          </w:p>
        </w:tc>
        <w:tc>
          <w:tcPr>
            <w:tcW w:w="8011" w:type="dxa"/>
            <w:tcBorders>
              <w:top w:val="single" w:sz="4" w:space="0" w:color="000000"/>
            </w:tcBorders>
          </w:tcPr>
          <w:p>
            <w:pPr>
              <w:pStyle w:val="TableParagraph"/>
              <w:spacing w:line="326" w:lineRule="auto" w:before="160"/>
              <w:ind w:left="179" w:right="100"/>
              <w:rPr>
                <w:sz w:val="21"/>
              </w:rPr>
            </w:pPr>
            <w:r>
              <w:rPr>
                <w:spacing w:val="-7"/>
                <w:sz w:val="21"/>
              </w:rPr>
              <w:t>订立本主险合同时，本公司应向投保人明确说明合同的内容，并可以就投保人、被保</w:t>
            </w:r>
            <w:r>
              <w:rPr>
                <w:spacing w:val="-5"/>
                <w:sz w:val="21"/>
              </w:rPr>
              <w:t>险人的有关情况提出询问，投保人应当如实告知。</w:t>
            </w:r>
          </w:p>
          <w:p>
            <w:pPr>
              <w:pStyle w:val="TableParagraph"/>
              <w:spacing w:line="326" w:lineRule="auto" w:before="24"/>
              <w:ind w:left="179" w:right="51"/>
              <w:rPr>
                <w:rFonts w:ascii="黑体" w:eastAsia="黑体" w:hint="eastAsia"/>
                <w:sz w:val="21"/>
              </w:rPr>
            </w:pPr>
            <w:r>
              <w:rPr>
                <w:rFonts w:ascii="黑体" w:eastAsia="黑体" w:hint="eastAsia"/>
                <w:sz w:val="21"/>
              </w:rPr>
              <w:t>投保人故意或者因重大过失未履行前款规定的如实告知义务，足以影响本公司决定是否同意承保或者提高保险费率的，本公司有权解除合同。</w:t>
            </w:r>
          </w:p>
          <w:p>
            <w:pPr>
              <w:pStyle w:val="TableParagraph"/>
              <w:spacing w:before="24"/>
              <w:ind w:left="179" w:right="-15"/>
              <w:rPr>
                <w:sz w:val="21"/>
              </w:rPr>
            </w:pPr>
            <w:r>
              <w:rPr>
                <w:spacing w:val="-13"/>
                <w:sz w:val="21"/>
              </w:rPr>
              <w:t>前款规定的合同解除权，自本公司知道有解除事由之日起，超过三十日不行使而消灭。</w:t>
            </w:r>
          </w:p>
          <w:p>
            <w:pPr>
              <w:pStyle w:val="TableParagraph"/>
              <w:spacing w:line="255" w:lineRule="exact"/>
              <w:ind w:left="179"/>
              <w:rPr>
                <w:sz w:val="21"/>
              </w:rPr>
            </w:pPr>
            <w:r>
              <w:rPr>
                <w:sz w:val="21"/>
              </w:rPr>
              <w:t>自本主险合同成立之日起超过二年的，本公司不得解除合同；发生保险事故的，本公</w:t>
            </w:r>
          </w:p>
        </w:tc>
      </w:tr>
    </w:tbl>
    <w:p>
      <w:pPr>
        <w:spacing w:after="0" w:line="255" w:lineRule="exact"/>
        <w:rPr>
          <w:sz w:val="21"/>
        </w:rPr>
        <w:sectPr>
          <w:pgSz w:w="11910" w:h="16840"/>
          <w:pgMar w:header="0" w:footer="375" w:top="1360" w:bottom="560" w:left="800" w:right="8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1529"/>
        <w:gridCol w:w="8018"/>
      </w:tblGrid>
      <w:tr>
        <w:trPr>
          <w:trHeight w:val="2622" w:hRule="atLeast"/>
        </w:trPr>
        <w:tc>
          <w:tcPr>
            <w:tcW w:w="722" w:type="dxa"/>
          </w:tcPr>
          <w:p>
            <w:pPr>
              <w:pStyle w:val="TableParagraph"/>
              <w:spacing w:before="0"/>
              <w:ind w:left="0"/>
              <w:rPr>
                <w:rFonts w:ascii="Times New Roman"/>
                <w:sz w:val="20"/>
              </w:rPr>
            </w:pPr>
          </w:p>
        </w:tc>
        <w:tc>
          <w:tcPr>
            <w:tcW w:w="1529" w:type="dxa"/>
          </w:tcPr>
          <w:p>
            <w:pPr>
              <w:pStyle w:val="TableParagraph"/>
              <w:spacing w:before="0"/>
              <w:ind w:left="0"/>
              <w:rPr>
                <w:rFonts w:ascii="Times New Roman"/>
                <w:sz w:val="20"/>
              </w:rPr>
            </w:pPr>
          </w:p>
        </w:tc>
        <w:tc>
          <w:tcPr>
            <w:tcW w:w="8018" w:type="dxa"/>
          </w:tcPr>
          <w:p>
            <w:pPr>
              <w:pStyle w:val="TableParagraph"/>
              <w:spacing w:line="211" w:lineRule="exact" w:before="0"/>
              <w:ind w:left="90"/>
              <w:rPr>
                <w:sz w:val="21"/>
              </w:rPr>
            </w:pPr>
            <w:r>
              <w:rPr>
                <w:sz w:val="21"/>
              </w:rPr>
              <w:t>司承担给付保险金的责任。</w:t>
            </w:r>
          </w:p>
          <w:p>
            <w:pPr>
              <w:pStyle w:val="TableParagraph"/>
              <w:spacing w:line="326" w:lineRule="auto"/>
              <w:ind w:left="90" w:right="148"/>
              <w:rPr>
                <w:rFonts w:ascii="黑体" w:eastAsia="黑体" w:hint="eastAsia"/>
                <w:sz w:val="21"/>
              </w:rPr>
            </w:pPr>
            <w:r>
              <w:rPr>
                <w:rFonts w:ascii="黑体" w:eastAsia="黑体" w:hint="eastAsia"/>
                <w:sz w:val="21"/>
              </w:rPr>
              <w:t>投保人故意不履行如实告知义务的，本公司对于合同解除前发Th的保险事故，不承担给付保险金的责任，并不退还保险费。</w:t>
            </w:r>
          </w:p>
          <w:p>
            <w:pPr>
              <w:pStyle w:val="TableParagraph"/>
              <w:spacing w:line="326" w:lineRule="auto" w:before="23"/>
              <w:ind w:left="90" w:right="155"/>
              <w:rPr>
                <w:rFonts w:ascii="黑体" w:eastAsia="黑体" w:hint="eastAsia"/>
                <w:sz w:val="21"/>
              </w:rPr>
            </w:pPr>
            <w:r>
              <w:rPr>
                <w:rFonts w:ascii="黑体" w:eastAsia="黑体" w:hint="eastAsia"/>
                <w:sz w:val="21"/>
              </w:rPr>
              <w:t>投保人因重大过失未履行如实告知义务，对保险事故的发Th有严重影响的，本公司对于合同解除前发Th的保险事故，不承担给付保险金的责任，但退还保险费。</w:t>
            </w:r>
          </w:p>
          <w:p>
            <w:pPr>
              <w:pStyle w:val="TableParagraph"/>
              <w:spacing w:line="326" w:lineRule="auto" w:before="23"/>
              <w:ind w:left="90" w:right="147"/>
              <w:rPr>
                <w:sz w:val="21"/>
              </w:rPr>
            </w:pPr>
            <w:r>
              <w:rPr>
                <w:sz w:val="21"/>
              </w:rPr>
              <w:t>本公司在本主险合同订立时已经知道投保人未如实告知的情况的，本公司不得解除合同；发生保险事故的，本公司承担给付保险金的责任。</w:t>
            </w:r>
          </w:p>
        </w:tc>
      </w:tr>
      <w:tr>
        <w:trPr>
          <w:trHeight w:val="3161" w:hRule="atLeast"/>
        </w:trPr>
        <w:tc>
          <w:tcPr>
            <w:tcW w:w="722" w:type="dxa"/>
          </w:tcPr>
          <w:p>
            <w:pPr>
              <w:pStyle w:val="TableParagraph"/>
              <w:spacing w:before="100"/>
              <w:ind w:left="0" w:right="203"/>
              <w:jc w:val="right"/>
              <w:rPr>
                <w:b/>
                <w:sz w:val="21"/>
              </w:rPr>
            </w:pPr>
            <w:r>
              <w:rPr>
                <w:b/>
                <w:sz w:val="21"/>
              </w:rPr>
              <w:t>6.2</w:t>
            </w:r>
          </w:p>
        </w:tc>
        <w:tc>
          <w:tcPr>
            <w:tcW w:w="1529" w:type="dxa"/>
          </w:tcPr>
          <w:p>
            <w:pPr>
              <w:pStyle w:val="TableParagraph"/>
              <w:spacing w:line="326" w:lineRule="auto" w:before="100"/>
              <w:ind w:left="205" w:right="85"/>
              <w:rPr>
                <w:b/>
                <w:sz w:val="21"/>
              </w:rPr>
            </w:pPr>
            <w:r>
              <w:rPr>
                <w:b/>
                <w:sz w:val="21"/>
              </w:rPr>
              <w:t>被保险人的变动</w:t>
            </w:r>
          </w:p>
        </w:tc>
        <w:tc>
          <w:tcPr>
            <w:tcW w:w="8018" w:type="dxa"/>
          </w:tcPr>
          <w:p>
            <w:pPr>
              <w:pStyle w:val="TableParagraph"/>
              <w:spacing w:line="326" w:lineRule="auto" w:before="100"/>
              <w:ind w:left="90" w:right="196"/>
              <w:jc w:val="both"/>
              <w:rPr>
                <w:sz w:val="21"/>
              </w:rPr>
            </w:pPr>
            <w:r>
              <w:rPr>
                <w:spacing w:val="-6"/>
                <w:sz w:val="21"/>
              </w:rPr>
              <w:t>投保人因所属人员变动需要增加被保险人的，应书面通知本公司，本公司审核同意并</w:t>
            </w:r>
            <w:r>
              <w:rPr>
                <w:spacing w:val="-7"/>
                <w:sz w:val="21"/>
              </w:rPr>
              <w:t>按照极短期费率收取相应的保险费的次日零时起，开始承担保险责任。新增加的被保</w:t>
            </w:r>
            <w:r>
              <w:rPr>
                <w:spacing w:val="-3"/>
                <w:sz w:val="21"/>
              </w:rPr>
              <w:t>险人的保险期间终止日与本主险合同的保险期间终止日相同。</w:t>
            </w:r>
          </w:p>
          <w:p>
            <w:pPr>
              <w:pStyle w:val="TableParagraph"/>
              <w:spacing w:line="326" w:lineRule="auto" w:before="23"/>
              <w:ind w:left="90" w:right="196"/>
              <w:jc w:val="both"/>
              <w:rPr>
                <w:sz w:val="21"/>
              </w:rPr>
            </w:pPr>
            <w:r>
              <w:rPr>
                <w:spacing w:val="-5"/>
                <w:sz w:val="21"/>
              </w:rPr>
              <w:t>投保人因被保险人离职或其它原因需要减少被保险人的，应书面通知本公司，本公司</w:t>
            </w:r>
            <w:r>
              <w:rPr>
                <w:spacing w:val="-6"/>
                <w:sz w:val="21"/>
              </w:rPr>
              <w:t>对该被保险人的保险责任自本公司收到通知的次日零时起终止，并退还该被保险人的</w:t>
            </w:r>
            <w:r>
              <w:rPr>
                <w:spacing w:val="-4"/>
                <w:sz w:val="21"/>
              </w:rPr>
              <w:t>现金价值。</w:t>
            </w:r>
          </w:p>
          <w:p>
            <w:pPr>
              <w:pStyle w:val="TableParagraph"/>
              <w:spacing w:line="326" w:lineRule="auto" w:before="23"/>
              <w:ind w:left="90" w:right="196"/>
              <w:jc w:val="both"/>
              <w:rPr>
                <w:sz w:val="21"/>
              </w:rPr>
            </w:pPr>
            <w:r>
              <w:rPr>
                <w:spacing w:val="-5"/>
                <w:sz w:val="21"/>
              </w:rPr>
              <w:t>如果本主险合同被保险人人数减少到 </w:t>
            </w:r>
            <w:r>
              <w:rPr>
                <w:sz w:val="21"/>
              </w:rPr>
              <w:t>3</w:t>
            </w:r>
            <w:r>
              <w:rPr>
                <w:spacing w:val="-10"/>
                <w:sz w:val="21"/>
              </w:rPr>
              <w:t> 人以下时，本公司有权解除本主险合同，并退</w:t>
            </w:r>
            <w:r>
              <w:rPr>
                <w:spacing w:val="-5"/>
                <w:sz w:val="21"/>
              </w:rPr>
              <w:t>还本主险合同的现金价值。</w:t>
            </w:r>
          </w:p>
        </w:tc>
      </w:tr>
      <w:tr>
        <w:trPr>
          <w:trHeight w:val="540" w:hRule="atLeast"/>
        </w:trPr>
        <w:tc>
          <w:tcPr>
            <w:tcW w:w="722" w:type="dxa"/>
          </w:tcPr>
          <w:p>
            <w:pPr>
              <w:pStyle w:val="TableParagraph"/>
              <w:spacing w:before="100"/>
              <w:ind w:left="0" w:right="203"/>
              <w:jc w:val="right"/>
              <w:rPr>
                <w:b/>
                <w:sz w:val="21"/>
              </w:rPr>
            </w:pPr>
            <w:r>
              <w:rPr>
                <w:b/>
                <w:sz w:val="21"/>
              </w:rPr>
              <w:t>6.3</w:t>
            </w:r>
          </w:p>
        </w:tc>
        <w:tc>
          <w:tcPr>
            <w:tcW w:w="1529" w:type="dxa"/>
          </w:tcPr>
          <w:p>
            <w:pPr>
              <w:pStyle w:val="TableParagraph"/>
              <w:spacing w:before="100"/>
              <w:ind w:left="205"/>
              <w:rPr>
                <w:b/>
                <w:sz w:val="21"/>
              </w:rPr>
            </w:pPr>
            <w:r>
              <w:rPr>
                <w:b/>
                <w:sz w:val="21"/>
              </w:rPr>
              <w:t>身体检查</w:t>
            </w:r>
          </w:p>
        </w:tc>
        <w:tc>
          <w:tcPr>
            <w:tcW w:w="8018" w:type="dxa"/>
          </w:tcPr>
          <w:p>
            <w:pPr>
              <w:pStyle w:val="TableParagraph"/>
              <w:spacing w:before="100"/>
              <w:ind w:left="90"/>
              <w:rPr>
                <w:sz w:val="21"/>
              </w:rPr>
            </w:pPr>
            <w:r>
              <w:rPr>
                <w:sz w:val="21"/>
              </w:rPr>
              <w:t>如本公司认为必要，可要求对被保险人进行体检，体检费用由本公司支付。</w:t>
            </w:r>
          </w:p>
        </w:tc>
      </w:tr>
      <w:tr>
        <w:trPr>
          <w:trHeight w:val="540" w:hRule="atLeast"/>
        </w:trPr>
        <w:tc>
          <w:tcPr>
            <w:tcW w:w="722" w:type="dxa"/>
          </w:tcPr>
          <w:p>
            <w:pPr>
              <w:pStyle w:val="TableParagraph"/>
              <w:spacing w:before="100"/>
              <w:ind w:left="0" w:right="202"/>
              <w:jc w:val="right"/>
              <w:rPr>
                <w:b/>
                <w:sz w:val="21"/>
              </w:rPr>
            </w:pPr>
            <w:r>
              <w:rPr>
                <w:b/>
                <w:sz w:val="21"/>
              </w:rPr>
              <w:t>6.4</w:t>
            </w:r>
          </w:p>
        </w:tc>
        <w:tc>
          <w:tcPr>
            <w:tcW w:w="1529" w:type="dxa"/>
          </w:tcPr>
          <w:p>
            <w:pPr>
              <w:pStyle w:val="TableParagraph"/>
              <w:spacing w:before="100"/>
              <w:ind w:left="205"/>
              <w:rPr>
                <w:b/>
                <w:sz w:val="21"/>
              </w:rPr>
            </w:pPr>
            <w:r>
              <w:rPr>
                <w:b/>
                <w:sz w:val="21"/>
              </w:rPr>
              <w:t>续保</w:t>
            </w:r>
          </w:p>
        </w:tc>
        <w:tc>
          <w:tcPr>
            <w:tcW w:w="8018" w:type="dxa"/>
          </w:tcPr>
          <w:p>
            <w:pPr>
              <w:pStyle w:val="TableParagraph"/>
              <w:spacing w:before="100"/>
              <w:ind w:left="90"/>
              <w:rPr>
                <w:sz w:val="21"/>
              </w:rPr>
            </w:pPr>
            <w:r>
              <w:rPr>
                <w:sz w:val="21"/>
              </w:rPr>
              <w:t>保险期间届满前 30 日内，投保人提出申请，经本公司同意后可续保本保险。</w:t>
            </w:r>
          </w:p>
        </w:tc>
      </w:tr>
      <w:tr>
        <w:trPr>
          <w:trHeight w:val="1663" w:hRule="atLeast"/>
        </w:trPr>
        <w:tc>
          <w:tcPr>
            <w:tcW w:w="722" w:type="dxa"/>
          </w:tcPr>
          <w:p>
            <w:pPr>
              <w:pStyle w:val="TableParagraph"/>
              <w:spacing w:before="101"/>
              <w:ind w:left="0" w:right="202"/>
              <w:jc w:val="right"/>
              <w:rPr>
                <w:b/>
                <w:sz w:val="21"/>
              </w:rPr>
            </w:pPr>
            <w:r>
              <w:rPr>
                <w:b/>
                <w:sz w:val="21"/>
              </w:rPr>
              <w:t>6.5</w:t>
            </w:r>
          </w:p>
        </w:tc>
        <w:tc>
          <w:tcPr>
            <w:tcW w:w="1529" w:type="dxa"/>
          </w:tcPr>
          <w:p>
            <w:pPr>
              <w:pStyle w:val="TableParagraph"/>
              <w:spacing w:line="326" w:lineRule="auto" w:before="101"/>
              <w:ind w:left="205" w:right="121"/>
              <w:rPr>
                <w:b/>
                <w:sz w:val="21"/>
              </w:rPr>
            </w:pPr>
            <w:r>
              <w:rPr>
                <w:b/>
                <w:sz w:val="21"/>
              </w:rPr>
              <w:t>联系方式变更</w:t>
            </w:r>
          </w:p>
        </w:tc>
        <w:tc>
          <w:tcPr>
            <w:tcW w:w="8018" w:type="dxa"/>
          </w:tcPr>
          <w:p>
            <w:pPr>
              <w:pStyle w:val="TableParagraph"/>
              <w:spacing w:line="326" w:lineRule="auto" w:before="101"/>
              <w:ind w:left="90" w:right="196"/>
              <w:jc w:val="both"/>
              <w:rPr>
                <w:sz w:val="21"/>
              </w:rPr>
            </w:pPr>
            <w:r>
              <w:rPr>
                <w:spacing w:val="-7"/>
                <w:sz w:val="21"/>
              </w:rPr>
              <w:t>投保人住所、通讯地址或电话等联系方式变更时，应及时以书面形式或双方认可的其</w:t>
            </w:r>
            <w:r>
              <w:rPr>
                <w:spacing w:val="-9"/>
                <w:sz w:val="21"/>
              </w:rPr>
              <w:t>他形式通知本公司。投保人未以书面形式或双方认可的其他形式通知的，本公司将按本主险合同载明的最后住所或通讯地址等联系方式发送有关通知，并视为已送达给投保人。</w:t>
            </w:r>
          </w:p>
        </w:tc>
      </w:tr>
      <w:tr>
        <w:trPr>
          <w:trHeight w:val="1290" w:hRule="atLeast"/>
        </w:trPr>
        <w:tc>
          <w:tcPr>
            <w:tcW w:w="722" w:type="dxa"/>
          </w:tcPr>
          <w:p>
            <w:pPr>
              <w:pStyle w:val="TableParagraph"/>
              <w:spacing w:before="100"/>
              <w:ind w:left="0" w:right="202"/>
              <w:jc w:val="right"/>
              <w:rPr>
                <w:b/>
                <w:sz w:val="21"/>
              </w:rPr>
            </w:pPr>
            <w:r>
              <w:rPr>
                <w:b/>
                <w:sz w:val="21"/>
              </w:rPr>
              <w:t>6.6</w:t>
            </w:r>
          </w:p>
        </w:tc>
        <w:tc>
          <w:tcPr>
            <w:tcW w:w="1529" w:type="dxa"/>
          </w:tcPr>
          <w:p>
            <w:pPr>
              <w:pStyle w:val="TableParagraph"/>
              <w:spacing w:line="326" w:lineRule="auto" w:before="100"/>
              <w:ind w:left="205" w:right="85"/>
              <w:rPr>
                <w:b/>
                <w:sz w:val="21"/>
              </w:rPr>
            </w:pPr>
            <w:r>
              <w:rPr>
                <w:b/>
                <w:sz w:val="21"/>
              </w:rPr>
              <w:t>合同内容变更</w:t>
            </w:r>
          </w:p>
        </w:tc>
        <w:tc>
          <w:tcPr>
            <w:tcW w:w="8018" w:type="dxa"/>
          </w:tcPr>
          <w:p>
            <w:pPr>
              <w:pStyle w:val="TableParagraph"/>
              <w:spacing w:line="326" w:lineRule="auto" w:before="100"/>
              <w:ind w:left="90" w:right="196"/>
              <w:jc w:val="both"/>
              <w:rPr>
                <w:sz w:val="21"/>
              </w:rPr>
            </w:pPr>
            <w:r>
              <w:rPr>
                <w:spacing w:val="-6"/>
                <w:sz w:val="21"/>
              </w:rPr>
              <w:t>投保人和本公司可以协商变更本主险合同的内容。变更本主险合同的，应当由本公司</w:t>
            </w:r>
            <w:r>
              <w:rPr>
                <w:spacing w:val="-7"/>
                <w:sz w:val="21"/>
              </w:rPr>
              <w:t>在保险单或者其他保险凭证上批注或者附贴批单，或者由投保人与本公司订立书面的</w:t>
            </w:r>
            <w:r>
              <w:rPr>
                <w:spacing w:val="-4"/>
                <w:sz w:val="21"/>
              </w:rPr>
              <w:t>变更协议。</w:t>
            </w:r>
          </w:p>
        </w:tc>
      </w:tr>
      <w:tr>
        <w:trPr>
          <w:trHeight w:val="4121" w:hRule="atLeast"/>
        </w:trPr>
        <w:tc>
          <w:tcPr>
            <w:tcW w:w="722" w:type="dxa"/>
          </w:tcPr>
          <w:p>
            <w:pPr>
              <w:pStyle w:val="TableParagraph"/>
              <w:spacing w:before="102"/>
              <w:ind w:left="0" w:right="202"/>
              <w:jc w:val="right"/>
              <w:rPr>
                <w:b/>
                <w:sz w:val="21"/>
              </w:rPr>
            </w:pPr>
            <w:r>
              <w:rPr>
                <w:b/>
                <w:sz w:val="21"/>
              </w:rPr>
              <w:t>6.7</w:t>
            </w:r>
          </w:p>
        </w:tc>
        <w:tc>
          <w:tcPr>
            <w:tcW w:w="1529" w:type="dxa"/>
          </w:tcPr>
          <w:p>
            <w:pPr>
              <w:pStyle w:val="TableParagraph"/>
              <w:spacing w:line="326" w:lineRule="auto" w:before="102"/>
              <w:ind w:left="205" w:right="85"/>
              <w:rPr>
                <w:b/>
                <w:sz w:val="21"/>
              </w:rPr>
            </w:pPr>
            <w:r>
              <w:rPr>
                <w:b/>
                <w:sz w:val="21"/>
              </w:rPr>
              <w:t>年龄确定与错误处理</w:t>
            </w:r>
          </w:p>
        </w:tc>
        <w:tc>
          <w:tcPr>
            <w:tcW w:w="8018" w:type="dxa"/>
          </w:tcPr>
          <w:p>
            <w:pPr>
              <w:pStyle w:val="TableParagraph"/>
              <w:spacing w:line="326" w:lineRule="auto" w:before="102"/>
              <w:ind w:left="90" w:right="196"/>
              <w:rPr>
                <w:sz w:val="21"/>
              </w:rPr>
            </w:pPr>
            <w:r>
              <w:rPr>
                <w:spacing w:val="-6"/>
                <w:sz w:val="21"/>
              </w:rPr>
              <w:t>被保险人的投保年龄按周岁计算。投保人应在投保本保险时将被保险人的真实年龄在</w:t>
            </w:r>
            <w:r>
              <w:rPr>
                <w:spacing w:val="-4"/>
                <w:sz w:val="21"/>
              </w:rPr>
              <w:t>投保单上填明，如果发生错误，本公司按照下列规定办理：</w:t>
            </w:r>
          </w:p>
          <w:p>
            <w:pPr>
              <w:pStyle w:val="TableParagraph"/>
              <w:numPr>
                <w:ilvl w:val="0"/>
                <w:numId w:val="12"/>
              </w:numPr>
              <w:tabs>
                <w:tab w:pos="658" w:val="left" w:leader="none"/>
              </w:tabs>
              <w:spacing w:line="326" w:lineRule="auto" w:before="24" w:after="0"/>
              <w:ind w:left="657" w:right="212" w:hanging="567"/>
              <w:jc w:val="both"/>
              <w:rPr>
                <w:rFonts w:ascii="黑体" w:eastAsia="黑体" w:hint="eastAsia"/>
                <w:sz w:val="21"/>
              </w:rPr>
            </w:pPr>
            <w:r>
              <w:rPr>
                <w:rFonts w:ascii="黑体" w:eastAsia="黑体" w:hint="eastAsia"/>
                <w:spacing w:val="-3"/>
                <w:sz w:val="21"/>
              </w:rPr>
              <w:t>投保人申报的被保险人年龄不真实，并且其真实年龄不符合本主险合同约定的年龄限制的，本公司有权在知道有解除事由之日起三十日内解除本主险合同， 并向投保人退还本主险合同的现金价值，但自本主险合同成立之日起超过二年的除外。</w:t>
            </w:r>
          </w:p>
          <w:p>
            <w:pPr>
              <w:pStyle w:val="TableParagraph"/>
              <w:numPr>
                <w:ilvl w:val="0"/>
                <w:numId w:val="12"/>
              </w:numPr>
              <w:tabs>
                <w:tab w:pos="658" w:val="left" w:leader="none"/>
              </w:tabs>
              <w:spacing w:line="326" w:lineRule="auto" w:before="24" w:after="0"/>
              <w:ind w:left="657" w:right="212" w:hanging="567"/>
              <w:jc w:val="both"/>
              <w:rPr>
                <w:rFonts w:ascii="黑体" w:eastAsia="黑体" w:hint="eastAsia"/>
                <w:sz w:val="21"/>
              </w:rPr>
            </w:pPr>
            <w:r>
              <w:rPr>
                <w:rFonts w:ascii="黑体" w:eastAsia="黑体" w:hint="eastAsia"/>
                <w:spacing w:val="-3"/>
                <w:sz w:val="21"/>
              </w:rPr>
              <w:t>投保人申报的被保险人年龄不真实，致使投保人支付的保险费少于应付保险费的，本公司有权更正并要求投保人补交保险费，或在给付保险金时按照实付保险费与应付保险费的比例支付。</w:t>
            </w:r>
          </w:p>
          <w:p>
            <w:pPr>
              <w:pStyle w:val="TableParagraph"/>
              <w:numPr>
                <w:ilvl w:val="0"/>
                <w:numId w:val="12"/>
              </w:numPr>
              <w:tabs>
                <w:tab w:pos="658" w:val="left" w:leader="none"/>
              </w:tabs>
              <w:spacing w:line="240" w:lineRule="auto" w:before="24" w:after="0"/>
              <w:ind w:left="657" w:right="0" w:hanging="567"/>
              <w:jc w:val="left"/>
              <w:rPr>
                <w:sz w:val="21"/>
              </w:rPr>
            </w:pPr>
            <w:r>
              <w:rPr>
                <w:spacing w:val="-3"/>
                <w:sz w:val="21"/>
              </w:rPr>
              <w:t>投保人申报的被保险人年龄不真实，致使投保人支付的保险费多于应付保险费</w:t>
            </w:r>
          </w:p>
          <w:p>
            <w:pPr>
              <w:pStyle w:val="TableParagraph"/>
              <w:spacing w:line="255" w:lineRule="exact"/>
              <w:ind w:left="657"/>
              <w:rPr>
                <w:sz w:val="21"/>
              </w:rPr>
            </w:pPr>
            <w:r>
              <w:rPr>
                <w:sz w:val="21"/>
              </w:rPr>
              <w:t>的，本公司应将多收的保险费无息退还投保人。</w:t>
            </w:r>
          </w:p>
        </w:tc>
      </w:tr>
    </w:tbl>
    <w:p>
      <w:pPr>
        <w:spacing w:after="0" w:line="255" w:lineRule="exact"/>
        <w:rPr>
          <w:sz w:val="21"/>
        </w:rPr>
        <w:sectPr>
          <w:pgSz w:w="11910" w:h="16840"/>
          <w:pgMar w:header="0" w:footer="375" w:top="1360" w:bottom="560" w:left="720" w:right="7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439"/>
        <w:gridCol w:w="8010"/>
      </w:tblGrid>
      <w:tr>
        <w:trPr>
          <w:trHeight w:val="1911" w:hRule="atLeast"/>
        </w:trPr>
        <w:tc>
          <w:tcPr>
            <w:tcW w:w="630" w:type="dxa"/>
          </w:tcPr>
          <w:p>
            <w:pPr>
              <w:pStyle w:val="TableParagraph"/>
              <w:spacing w:line="211" w:lineRule="exact" w:before="0"/>
              <w:ind w:left="107"/>
              <w:rPr>
                <w:b/>
                <w:sz w:val="21"/>
              </w:rPr>
            </w:pPr>
            <w:r>
              <w:rPr>
                <w:b/>
                <w:sz w:val="21"/>
              </w:rPr>
              <w:t>6.8</w:t>
            </w:r>
          </w:p>
        </w:tc>
        <w:tc>
          <w:tcPr>
            <w:tcW w:w="1439" w:type="dxa"/>
          </w:tcPr>
          <w:p>
            <w:pPr>
              <w:pStyle w:val="TableParagraph"/>
              <w:spacing w:line="211" w:lineRule="exact" w:before="0"/>
              <w:ind w:left="205"/>
              <w:rPr>
                <w:b/>
                <w:sz w:val="21"/>
              </w:rPr>
            </w:pPr>
            <w:r>
              <w:rPr>
                <w:b/>
                <w:sz w:val="21"/>
              </w:rPr>
              <w:t>争议处理</w:t>
            </w:r>
          </w:p>
        </w:tc>
        <w:tc>
          <w:tcPr>
            <w:tcW w:w="8010" w:type="dxa"/>
          </w:tcPr>
          <w:p>
            <w:pPr>
              <w:pStyle w:val="TableParagraph"/>
              <w:spacing w:line="211" w:lineRule="exact" w:before="0"/>
              <w:ind w:left="180"/>
              <w:rPr>
                <w:sz w:val="21"/>
              </w:rPr>
            </w:pPr>
            <w:r>
              <w:rPr>
                <w:sz w:val="21"/>
              </w:rPr>
              <w:t>本主险合同争议的解决方式，由当事人在合同中约定从下列两种方式中选择一种：</w:t>
            </w:r>
          </w:p>
          <w:p>
            <w:pPr>
              <w:pStyle w:val="TableParagraph"/>
              <w:numPr>
                <w:ilvl w:val="0"/>
                <w:numId w:val="13"/>
              </w:numPr>
              <w:tabs>
                <w:tab w:pos="748" w:val="left" w:leader="none"/>
              </w:tabs>
              <w:spacing w:line="326" w:lineRule="auto" w:before="99" w:after="0"/>
              <w:ind w:left="747" w:right="116" w:hanging="567"/>
              <w:jc w:val="left"/>
              <w:rPr>
                <w:sz w:val="21"/>
              </w:rPr>
            </w:pPr>
            <w:r>
              <w:rPr>
                <w:spacing w:val="-3"/>
                <w:sz w:val="21"/>
              </w:rPr>
              <w:t>因履行本主险合同发生的争议，由当事人协商解决，协商不成的，提交××× 仲裁委员会仲裁；</w:t>
            </w:r>
          </w:p>
          <w:p>
            <w:pPr>
              <w:pStyle w:val="TableParagraph"/>
              <w:numPr>
                <w:ilvl w:val="0"/>
                <w:numId w:val="13"/>
              </w:numPr>
              <w:tabs>
                <w:tab w:pos="748" w:val="left" w:leader="none"/>
              </w:tabs>
              <w:spacing w:line="326" w:lineRule="auto" w:before="23" w:after="0"/>
              <w:ind w:left="747" w:right="115" w:hanging="567"/>
              <w:jc w:val="left"/>
              <w:rPr>
                <w:sz w:val="21"/>
              </w:rPr>
            </w:pPr>
            <w:r>
              <w:rPr>
                <w:spacing w:val="-3"/>
                <w:sz w:val="21"/>
              </w:rPr>
              <w:t>因履行本主险合同发生的争议，由当事人协商解决，协商不成的，依法向人民法院提起诉讼。</w:t>
            </w:r>
          </w:p>
        </w:tc>
      </w:tr>
      <w:tr>
        <w:trPr>
          <w:trHeight w:val="693" w:hRule="atLeast"/>
        </w:trPr>
        <w:tc>
          <w:tcPr>
            <w:tcW w:w="630" w:type="dxa"/>
            <w:tcBorders>
              <w:bottom w:val="single" w:sz="4" w:space="0" w:color="000000"/>
            </w:tcBorders>
          </w:tcPr>
          <w:p>
            <w:pPr>
              <w:pStyle w:val="TableParagraph"/>
              <w:spacing w:before="188"/>
              <w:ind w:left="107"/>
              <w:rPr>
                <w:rFonts w:ascii="Times New Roman"/>
                <w:b/>
                <w:sz w:val="32"/>
              </w:rPr>
            </w:pPr>
            <w:r>
              <w:rPr>
                <w:rFonts w:ascii="Times New Roman"/>
                <w:b/>
                <w:w w:val="99"/>
                <w:sz w:val="32"/>
              </w:rPr>
              <w:t>7</w:t>
            </w:r>
          </w:p>
        </w:tc>
        <w:tc>
          <w:tcPr>
            <w:tcW w:w="1439" w:type="dxa"/>
            <w:tcBorders>
              <w:bottom w:val="single" w:sz="4" w:space="0" w:color="000000"/>
            </w:tcBorders>
          </w:tcPr>
          <w:p>
            <w:pPr>
              <w:pStyle w:val="TableParagraph"/>
              <w:spacing w:before="176"/>
              <w:ind w:left="205"/>
              <w:rPr>
                <w:b/>
                <w:sz w:val="24"/>
              </w:rPr>
            </w:pPr>
            <w:r>
              <w:rPr>
                <w:b/>
                <w:sz w:val="24"/>
              </w:rPr>
              <w:t>释义</w:t>
            </w:r>
          </w:p>
        </w:tc>
        <w:tc>
          <w:tcPr>
            <w:tcW w:w="8010" w:type="dxa"/>
            <w:tcBorders>
              <w:bottom w:val="single" w:sz="4" w:space="0" w:color="000000"/>
            </w:tcBorders>
          </w:tcPr>
          <w:p>
            <w:pPr>
              <w:pStyle w:val="TableParagraph"/>
              <w:spacing w:before="0"/>
              <w:ind w:left="0"/>
              <w:rPr>
                <w:rFonts w:ascii="Times New Roman"/>
                <w:sz w:val="20"/>
              </w:rPr>
            </w:pPr>
          </w:p>
        </w:tc>
      </w:tr>
      <w:tr>
        <w:trPr>
          <w:trHeight w:val="600" w:hRule="atLeast"/>
        </w:trPr>
        <w:tc>
          <w:tcPr>
            <w:tcW w:w="630" w:type="dxa"/>
            <w:tcBorders>
              <w:top w:val="single" w:sz="4" w:space="0" w:color="000000"/>
            </w:tcBorders>
          </w:tcPr>
          <w:p>
            <w:pPr>
              <w:pStyle w:val="TableParagraph"/>
              <w:spacing w:before="177"/>
              <w:ind w:left="107"/>
              <w:rPr>
                <w:b/>
                <w:sz w:val="21"/>
              </w:rPr>
            </w:pPr>
            <w:r>
              <w:rPr>
                <w:b/>
                <w:sz w:val="21"/>
              </w:rPr>
              <w:t>7.1</w:t>
            </w:r>
          </w:p>
        </w:tc>
        <w:tc>
          <w:tcPr>
            <w:tcW w:w="1439" w:type="dxa"/>
            <w:tcBorders>
              <w:top w:val="single" w:sz="4" w:space="0" w:color="000000"/>
            </w:tcBorders>
          </w:tcPr>
          <w:p>
            <w:pPr>
              <w:pStyle w:val="TableParagraph"/>
              <w:spacing w:before="177"/>
              <w:ind w:left="205"/>
              <w:rPr>
                <w:b/>
                <w:sz w:val="21"/>
              </w:rPr>
            </w:pPr>
            <w:r>
              <w:rPr>
                <w:b/>
                <w:sz w:val="21"/>
              </w:rPr>
              <w:t>本公司</w:t>
            </w:r>
          </w:p>
        </w:tc>
        <w:tc>
          <w:tcPr>
            <w:tcW w:w="8010" w:type="dxa"/>
            <w:tcBorders>
              <w:top w:val="single" w:sz="4" w:space="0" w:color="000000"/>
            </w:tcBorders>
          </w:tcPr>
          <w:p>
            <w:pPr>
              <w:pStyle w:val="TableParagraph"/>
              <w:spacing w:before="177"/>
              <w:ind w:left="180"/>
              <w:rPr>
                <w:sz w:val="21"/>
              </w:rPr>
            </w:pPr>
            <w:r>
              <w:rPr>
                <w:sz w:val="21"/>
              </w:rPr>
              <w:t>君康人寿保险股份有限公司。</w:t>
            </w:r>
          </w:p>
        </w:tc>
      </w:tr>
      <w:tr>
        <w:trPr>
          <w:trHeight w:val="914" w:hRule="atLeast"/>
        </w:trPr>
        <w:tc>
          <w:tcPr>
            <w:tcW w:w="630" w:type="dxa"/>
          </w:tcPr>
          <w:p>
            <w:pPr>
              <w:pStyle w:val="TableParagraph"/>
              <w:spacing w:before="85"/>
              <w:ind w:left="107"/>
              <w:rPr>
                <w:b/>
                <w:sz w:val="21"/>
              </w:rPr>
            </w:pPr>
            <w:r>
              <w:rPr>
                <w:b/>
                <w:sz w:val="21"/>
              </w:rPr>
              <w:t>7.2</w:t>
            </w:r>
          </w:p>
        </w:tc>
        <w:tc>
          <w:tcPr>
            <w:tcW w:w="1439" w:type="dxa"/>
          </w:tcPr>
          <w:p>
            <w:pPr>
              <w:pStyle w:val="TableParagraph"/>
              <w:spacing w:before="85"/>
              <w:ind w:left="205"/>
              <w:rPr>
                <w:b/>
                <w:sz w:val="21"/>
              </w:rPr>
            </w:pPr>
            <w:r>
              <w:rPr>
                <w:b/>
                <w:sz w:val="21"/>
              </w:rPr>
              <w:t>周岁</w:t>
            </w:r>
          </w:p>
        </w:tc>
        <w:tc>
          <w:tcPr>
            <w:tcW w:w="8010" w:type="dxa"/>
          </w:tcPr>
          <w:p>
            <w:pPr>
              <w:pStyle w:val="TableParagraph"/>
              <w:spacing w:line="326" w:lineRule="auto" w:before="116"/>
              <w:ind w:left="180" w:right="98"/>
              <w:rPr>
                <w:sz w:val="21"/>
              </w:rPr>
            </w:pPr>
            <w:r>
              <w:rPr>
                <w:spacing w:val="-5"/>
                <w:sz w:val="21"/>
              </w:rPr>
              <w:t>指按法定身份证明文件中记载的出生日期计算的年龄，自出生之日起为零周岁，每经</w:t>
            </w:r>
            <w:r>
              <w:rPr>
                <w:spacing w:val="-28"/>
                <w:sz w:val="21"/>
              </w:rPr>
              <w:t>过 </w:t>
            </w:r>
            <w:r>
              <w:rPr>
                <w:sz w:val="21"/>
              </w:rPr>
              <w:t>1</w:t>
            </w:r>
            <w:r>
              <w:rPr>
                <w:spacing w:val="-22"/>
                <w:sz w:val="21"/>
              </w:rPr>
              <w:t> 年增加 </w:t>
            </w:r>
            <w:r>
              <w:rPr>
                <w:sz w:val="21"/>
              </w:rPr>
              <w:t>1</w:t>
            </w:r>
            <w:r>
              <w:rPr>
                <w:spacing w:val="-17"/>
                <w:sz w:val="21"/>
              </w:rPr>
              <w:t> 周岁，不足 </w:t>
            </w:r>
            <w:r>
              <w:rPr>
                <w:sz w:val="21"/>
              </w:rPr>
              <w:t>1</w:t>
            </w:r>
            <w:r>
              <w:rPr>
                <w:spacing w:val="-10"/>
                <w:sz w:val="21"/>
              </w:rPr>
              <w:t> 年的不计。</w:t>
            </w:r>
          </w:p>
        </w:tc>
      </w:tr>
      <w:tr>
        <w:trPr>
          <w:trHeight w:val="930" w:hRule="atLeast"/>
        </w:trPr>
        <w:tc>
          <w:tcPr>
            <w:tcW w:w="630" w:type="dxa"/>
          </w:tcPr>
          <w:p>
            <w:pPr>
              <w:pStyle w:val="TableParagraph"/>
              <w:spacing w:before="85"/>
              <w:ind w:left="107"/>
              <w:rPr>
                <w:b/>
                <w:sz w:val="21"/>
              </w:rPr>
            </w:pPr>
            <w:r>
              <w:rPr>
                <w:b/>
                <w:sz w:val="21"/>
              </w:rPr>
              <w:t>7.3</w:t>
            </w:r>
          </w:p>
        </w:tc>
        <w:tc>
          <w:tcPr>
            <w:tcW w:w="1439" w:type="dxa"/>
          </w:tcPr>
          <w:p>
            <w:pPr>
              <w:pStyle w:val="TableParagraph"/>
              <w:spacing w:before="85"/>
              <w:ind w:left="205"/>
              <w:rPr>
                <w:b/>
                <w:sz w:val="21"/>
              </w:rPr>
            </w:pPr>
            <w:r>
              <w:rPr>
                <w:b/>
                <w:sz w:val="21"/>
              </w:rPr>
              <w:t>团体</w:t>
            </w:r>
          </w:p>
        </w:tc>
        <w:tc>
          <w:tcPr>
            <w:tcW w:w="8010" w:type="dxa"/>
          </w:tcPr>
          <w:p>
            <w:pPr>
              <w:pStyle w:val="TableParagraph"/>
              <w:spacing w:line="326" w:lineRule="auto" w:before="116"/>
              <w:ind w:left="180" w:right="98"/>
              <w:rPr>
                <w:sz w:val="21"/>
              </w:rPr>
            </w:pPr>
            <w:r>
              <w:rPr>
                <w:spacing w:val="-7"/>
                <w:sz w:val="21"/>
              </w:rPr>
              <w:t>指中华人民共和国境内具有 </w:t>
            </w:r>
            <w:r>
              <w:rPr>
                <w:sz w:val="21"/>
              </w:rPr>
              <w:t>3</w:t>
            </w:r>
            <w:r>
              <w:rPr>
                <w:spacing w:val="-26"/>
                <w:sz w:val="21"/>
              </w:rPr>
              <w:t> 名以上</w:t>
            </w:r>
            <w:r>
              <w:rPr>
                <w:sz w:val="21"/>
              </w:rPr>
              <w:t>（</w:t>
            </w:r>
            <w:r>
              <w:rPr>
                <w:spacing w:val="-24"/>
                <w:sz w:val="21"/>
              </w:rPr>
              <w:t>含 </w:t>
            </w:r>
            <w:r>
              <w:rPr>
                <w:sz w:val="21"/>
              </w:rPr>
              <w:t>3</w:t>
            </w:r>
            <w:r>
              <w:rPr>
                <w:spacing w:val="5"/>
                <w:sz w:val="21"/>
              </w:rPr>
              <w:t> 名</w:t>
            </w:r>
            <w:r>
              <w:rPr>
                <w:spacing w:val="-51"/>
                <w:sz w:val="21"/>
              </w:rPr>
              <w:t>）</w:t>
            </w:r>
            <w:r>
              <w:rPr>
                <w:spacing w:val="-3"/>
                <w:sz w:val="21"/>
              </w:rPr>
              <w:t>成员且非因购买保险而组织的合法团体,包括机关、企事业单位和社会团体等。</w:t>
            </w:r>
          </w:p>
        </w:tc>
      </w:tr>
      <w:tr>
        <w:trPr>
          <w:trHeight w:val="1644" w:hRule="atLeast"/>
        </w:trPr>
        <w:tc>
          <w:tcPr>
            <w:tcW w:w="630" w:type="dxa"/>
          </w:tcPr>
          <w:p>
            <w:pPr>
              <w:pStyle w:val="TableParagraph"/>
              <w:spacing w:before="100"/>
              <w:ind w:left="107"/>
              <w:rPr>
                <w:b/>
                <w:sz w:val="21"/>
              </w:rPr>
            </w:pPr>
            <w:r>
              <w:rPr>
                <w:b/>
                <w:sz w:val="21"/>
              </w:rPr>
              <w:t>7.4</w:t>
            </w:r>
          </w:p>
        </w:tc>
        <w:tc>
          <w:tcPr>
            <w:tcW w:w="1439" w:type="dxa"/>
          </w:tcPr>
          <w:p>
            <w:pPr>
              <w:pStyle w:val="TableParagraph"/>
              <w:spacing w:line="326" w:lineRule="auto" w:before="100"/>
              <w:ind w:left="205" w:right="175"/>
              <w:rPr>
                <w:b/>
                <w:sz w:val="21"/>
              </w:rPr>
            </w:pPr>
            <w:r>
              <w:rPr>
                <w:b/>
                <w:sz w:val="21"/>
              </w:rPr>
              <w:t>初次患有重大疾病</w:t>
            </w:r>
          </w:p>
        </w:tc>
        <w:tc>
          <w:tcPr>
            <w:tcW w:w="8010" w:type="dxa"/>
          </w:tcPr>
          <w:p>
            <w:pPr>
              <w:pStyle w:val="TableParagraph"/>
              <w:spacing w:line="326" w:lineRule="auto" w:before="100"/>
              <w:ind w:left="180" w:right="98"/>
              <w:jc w:val="both"/>
              <w:rPr>
                <w:sz w:val="21"/>
              </w:rPr>
            </w:pPr>
            <w:r>
              <w:rPr>
                <w:spacing w:val="-5"/>
                <w:sz w:val="21"/>
              </w:rPr>
              <w:t>指被保险人自本主险合同生效或最后复效之日起 </w:t>
            </w:r>
            <w:r>
              <w:rPr>
                <w:sz w:val="21"/>
              </w:rPr>
              <w:t>60</w:t>
            </w:r>
            <w:r>
              <w:rPr>
                <w:spacing w:val="-8"/>
                <w:sz w:val="21"/>
              </w:rPr>
              <w:t> 日后初次患有本主险合同所指的</w:t>
            </w:r>
            <w:r>
              <w:rPr>
                <w:spacing w:val="-5"/>
                <w:sz w:val="21"/>
              </w:rPr>
              <w:t>重大疾病，不包括被保险人在本主险合同生效前所患或出现的疾病</w:t>
            </w:r>
            <w:r>
              <w:rPr>
                <w:sz w:val="21"/>
              </w:rPr>
              <w:t>（</w:t>
            </w:r>
            <w:r>
              <w:rPr>
                <w:spacing w:val="-3"/>
                <w:sz w:val="21"/>
              </w:rPr>
              <w:t>或其并发症</w:t>
            </w:r>
            <w:r>
              <w:rPr>
                <w:spacing w:val="-108"/>
                <w:sz w:val="21"/>
              </w:rPr>
              <w:t>）</w:t>
            </w:r>
            <w:r>
              <w:rPr>
                <w:sz w:val="21"/>
              </w:rPr>
              <w:t>、</w:t>
            </w:r>
            <w:r>
              <w:rPr>
                <w:spacing w:val="-8"/>
                <w:sz w:val="21"/>
              </w:rPr>
              <w:t>症状、体征、生理缺陷、残疾，但本公司在同意承保时或复效时已知晓并书面认可的</w:t>
            </w:r>
            <w:r>
              <w:rPr>
                <w:spacing w:val="-5"/>
                <w:sz w:val="21"/>
              </w:rPr>
              <w:t>不在此限。</w:t>
            </w:r>
          </w:p>
        </w:tc>
      </w:tr>
      <w:tr>
        <w:trPr>
          <w:trHeight w:val="549" w:hRule="atLeast"/>
        </w:trPr>
        <w:tc>
          <w:tcPr>
            <w:tcW w:w="630" w:type="dxa"/>
          </w:tcPr>
          <w:p>
            <w:pPr>
              <w:pStyle w:val="TableParagraph"/>
              <w:spacing w:before="81"/>
              <w:ind w:left="107"/>
              <w:rPr>
                <w:b/>
                <w:sz w:val="21"/>
              </w:rPr>
            </w:pPr>
            <w:r>
              <w:rPr>
                <w:b/>
                <w:sz w:val="21"/>
              </w:rPr>
              <w:t>7.5</w:t>
            </w:r>
          </w:p>
        </w:tc>
        <w:tc>
          <w:tcPr>
            <w:tcW w:w="1439" w:type="dxa"/>
          </w:tcPr>
          <w:p>
            <w:pPr>
              <w:pStyle w:val="TableParagraph"/>
              <w:spacing w:before="113"/>
              <w:ind w:left="205"/>
              <w:rPr>
                <w:b/>
                <w:sz w:val="21"/>
              </w:rPr>
            </w:pPr>
            <w:r>
              <w:rPr>
                <w:b/>
                <w:sz w:val="21"/>
              </w:rPr>
              <w:t>重大疾病</w:t>
            </w:r>
          </w:p>
        </w:tc>
        <w:tc>
          <w:tcPr>
            <w:tcW w:w="8010" w:type="dxa"/>
          </w:tcPr>
          <w:p>
            <w:pPr>
              <w:pStyle w:val="TableParagraph"/>
              <w:spacing w:before="113"/>
              <w:ind w:left="180"/>
              <w:rPr>
                <w:sz w:val="21"/>
              </w:rPr>
            </w:pPr>
            <w:r>
              <w:rPr>
                <w:sz w:val="21"/>
              </w:rPr>
              <w:t>被保险人发生符合以下疾病定义所述条件的疾病，应当由专科医生明确诊断。</w:t>
            </w:r>
          </w:p>
        </w:tc>
      </w:tr>
      <w:tr>
        <w:trPr>
          <w:trHeight w:val="892" w:hRule="atLeast"/>
        </w:trPr>
        <w:tc>
          <w:tcPr>
            <w:tcW w:w="630" w:type="dxa"/>
          </w:tcPr>
          <w:p>
            <w:pPr>
              <w:pStyle w:val="TableParagraph"/>
              <w:spacing w:before="0"/>
              <w:ind w:left="0"/>
              <w:rPr>
                <w:rFonts w:ascii="Times New Roman"/>
                <w:sz w:val="20"/>
              </w:rPr>
            </w:pPr>
          </w:p>
        </w:tc>
        <w:tc>
          <w:tcPr>
            <w:tcW w:w="1439" w:type="dxa"/>
          </w:tcPr>
          <w:p>
            <w:pPr>
              <w:pStyle w:val="TableParagraph"/>
              <w:spacing w:before="0"/>
              <w:ind w:left="0"/>
              <w:rPr>
                <w:rFonts w:ascii="Times New Roman"/>
                <w:sz w:val="20"/>
              </w:rPr>
            </w:pPr>
          </w:p>
        </w:tc>
        <w:tc>
          <w:tcPr>
            <w:tcW w:w="8010" w:type="dxa"/>
          </w:tcPr>
          <w:p>
            <w:pPr>
              <w:pStyle w:val="TableParagraph"/>
              <w:spacing w:line="326" w:lineRule="auto" w:before="98"/>
              <w:ind w:left="180" w:right="103"/>
              <w:rPr>
                <w:sz w:val="21"/>
              </w:rPr>
            </w:pPr>
            <w:r>
              <w:rPr>
                <w:sz w:val="21"/>
              </w:rPr>
              <w:t>（1-21</w:t>
            </w:r>
            <w:r>
              <w:rPr>
                <w:spacing w:val="-32"/>
                <w:sz w:val="21"/>
              </w:rPr>
              <w:t> 为 </w:t>
            </w:r>
            <w:r>
              <w:rPr>
                <w:sz w:val="21"/>
              </w:rPr>
              <w:t>2007</w:t>
            </w:r>
            <w:r>
              <w:rPr>
                <w:spacing w:val="-34"/>
                <w:sz w:val="21"/>
              </w:rPr>
              <w:t> 年 </w:t>
            </w:r>
            <w:r>
              <w:rPr>
                <w:sz w:val="21"/>
              </w:rPr>
              <w:t>4</w:t>
            </w:r>
            <w:r>
              <w:rPr>
                <w:spacing w:val="-34"/>
                <w:sz w:val="21"/>
              </w:rPr>
              <w:t> 月 </w:t>
            </w:r>
            <w:r>
              <w:rPr>
                <w:sz w:val="21"/>
              </w:rPr>
              <w:t>3</w:t>
            </w:r>
            <w:r>
              <w:rPr>
                <w:spacing w:val="-9"/>
                <w:sz w:val="21"/>
              </w:rPr>
              <w:t> 日正式启用的《重大疾病保险的疾病定义使用规范》的规范</w:t>
            </w:r>
            <w:r>
              <w:rPr>
                <w:spacing w:val="-5"/>
                <w:sz w:val="21"/>
              </w:rPr>
              <w:t>定义疾病，该规范由中国保险行业协会制定</w:t>
            </w:r>
            <w:r>
              <w:rPr>
                <w:sz w:val="21"/>
              </w:rPr>
              <w:t>）</w:t>
            </w:r>
          </w:p>
        </w:tc>
      </w:tr>
      <w:tr>
        <w:trPr>
          <w:trHeight w:val="4277" w:hRule="atLeast"/>
        </w:trPr>
        <w:tc>
          <w:tcPr>
            <w:tcW w:w="630" w:type="dxa"/>
          </w:tcPr>
          <w:p>
            <w:pPr>
              <w:pStyle w:val="TableParagraph"/>
              <w:spacing w:before="0"/>
              <w:ind w:left="0"/>
              <w:rPr>
                <w:rFonts w:ascii="Times New Roman"/>
                <w:sz w:val="20"/>
              </w:rPr>
            </w:pPr>
          </w:p>
        </w:tc>
        <w:tc>
          <w:tcPr>
            <w:tcW w:w="1439" w:type="dxa"/>
          </w:tcPr>
          <w:p>
            <w:pPr>
              <w:pStyle w:val="TableParagraph"/>
              <w:spacing w:before="81"/>
              <w:ind w:left="205"/>
              <w:rPr>
                <w:b/>
                <w:sz w:val="21"/>
              </w:rPr>
            </w:pPr>
            <w:r>
              <w:rPr>
                <w:b/>
                <w:sz w:val="21"/>
              </w:rPr>
              <w:t>1.恶性肿瘤</w:t>
            </w:r>
          </w:p>
        </w:tc>
        <w:tc>
          <w:tcPr>
            <w:tcW w:w="8010" w:type="dxa"/>
          </w:tcPr>
          <w:p>
            <w:pPr>
              <w:pStyle w:val="TableParagraph"/>
              <w:spacing w:line="326" w:lineRule="auto" w:before="112"/>
              <w:ind w:left="180" w:right="50"/>
              <w:rPr>
                <w:sz w:val="21"/>
              </w:rPr>
            </w:pPr>
            <w:r>
              <w:rPr>
                <w:spacing w:val="-3"/>
                <w:sz w:val="21"/>
              </w:rPr>
              <w:t>指恶性细胞不受控制的进行性增长和扩散，浸润和破坏周围正常组织，可以经血管、</w:t>
            </w:r>
            <w:r>
              <w:rPr>
                <w:spacing w:val="-6"/>
                <w:sz w:val="21"/>
              </w:rPr>
              <w:t>淋巴管和体腔扩散转移到身体其它部位的疾病。经病理学检查结果明确诊断，临床诊</w:t>
            </w:r>
            <w:r>
              <w:rPr>
                <w:spacing w:val="-8"/>
                <w:sz w:val="21"/>
              </w:rPr>
              <w:t>断属于世界卫生组织《疾病和有关健康问题的国际统计分类》</w:t>
            </w:r>
            <w:r>
              <w:rPr>
                <w:sz w:val="21"/>
              </w:rPr>
              <w:t>（ICD-10）</w:t>
            </w:r>
            <w:r>
              <w:rPr>
                <w:spacing w:val="-2"/>
                <w:sz w:val="21"/>
              </w:rPr>
              <w:t>的恶性肿瘤范畴。</w:t>
            </w:r>
          </w:p>
          <w:p>
            <w:pPr>
              <w:pStyle w:val="TableParagraph"/>
              <w:spacing w:before="24"/>
              <w:ind w:left="180"/>
              <w:rPr>
                <w:sz w:val="21"/>
              </w:rPr>
            </w:pPr>
            <w:r>
              <w:rPr>
                <w:sz w:val="21"/>
              </w:rPr>
              <w:t>下列疾病不在保障范围内：</w:t>
            </w:r>
          </w:p>
          <w:p>
            <w:pPr>
              <w:pStyle w:val="TableParagraph"/>
              <w:numPr>
                <w:ilvl w:val="0"/>
                <w:numId w:val="14"/>
              </w:numPr>
              <w:tabs>
                <w:tab w:pos="748" w:val="left" w:leader="none"/>
              </w:tabs>
              <w:spacing w:line="240" w:lineRule="auto" w:before="99" w:after="0"/>
              <w:ind w:left="747" w:right="0" w:hanging="567"/>
              <w:jc w:val="left"/>
              <w:rPr>
                <w:sz w:val="21"/>
              </w:rPr>
            </w:pPr>
            <w:r>
              <w:rPr>
                <w:spacing w:val="-1"/>
                <w:sz w:val="21"/>
              </w:rPr>
              <w:t>原位癌；</w:t>
            </w:r>
          </w:p>
          <w:p>
            <w:pPr>
              <w:pStyle w:val="TableParagraph"/>
              <w:numPr>
                <w:ilvl w:val="0"/>
                <w:numId w:val="14"/>
              </w:numPr>
              <w:tabs>
                <w:tab w:pos="748" w:val="left" w:leader="none"/>
              </w:tabs>
              <w:spacing w:line="240" w:lineRule="auto" w:before="99" w:after="0"/>
              <w:ind w:left="747" w:right="0" w:hanging="567"/>
              <w:jc w:val="left"/>
              <w:rPr>
                <w:sz w:val="21"/>
              </w:rPr>
            </w:pPr>
            <w:r>
              <w:rPr>
                <w:spacing w:val="-14"/>
                <w:sz w:val="21"/>
              </w:rPr>
              <w:t>相当于 </w:t>
            </w:r>
            <w:r>
              <w:rPr>
                <w:sz w:val="21"/>
              </w:rPr>
              <w:t>Binet</w:t>
            </w:r>
            <w:r>
              <w:rPr>
                <w:spacing w:val="-18"/>
                <w:sz w:val="21"/>
              </w:rPr>
              <w:t> 分期方案 </w:t>
            </w:r>
            <w:r>
              <w:rPr>
                <w:sz w:val="21"/>
              </w:rPr>
              <w:t>A</w:t>
            </w:r>
            <w:r>
              <w:rPr>
                <w:spacing w:val="-9"/>
                <w:sz w:val="21"/>
              </w:rPr>
              <w:t> 期程度的慢性淋巴细胞白血病；</w:t>
            </w:r>
          </w:p>
          <w:p>
            <w:pPr>
              <w:pStyle w:val="TableParagraph"/>
              <w:numPr>
                <w:ilvl w:val="0"/>
                <w:numId w:val="14"/>
              </w:numPr>
              <w:tabs>
                <w:tab w:pos="748" w:val="left" w:leader="none"/>
              </w:tabs>
              <w:spacing w:line="240" w:lineRule="auto" w:before="99" w:after="0"/>
              <w:ind w:left="747" w:right="0" w:hanging="567"/>
              <w:jc w:val="left"/>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numPr>
                <w:ilvl w:val="0"/>
                <w:numId w:val="14"/>
              </w:numPr>
              <w:tabs>
                <w:tab w:pos="748" w:val="left" w:leader="none"/>
              </w:tabs>
              <w:spacing w:line="240" w:lineRule="auto" w:before="99" w:after="0"/>
              <w:ind w:left="747" w:right="0" w:hanging="567"/>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numPr>
                <w:ilvl w:val="0"/>
                <w:numId w:val="14"/>
              </w:numPr>
              <w:tabs>
                <w:tab w:pos="748" w:val="left" w:leader="none"/>
              </w:tabs>
              <w:spacing w:line="240" w:lineRule="auto" w:before="99" w:after="0"/>
              <w:ind w:left="747" w:right="0" w:hanging="567"/>
              <w:jc w:val="left"/>
              <w:rPr>
                <w:sz w:val="21"/>
              </w:rPr>
            </w:pPr>
            <w:r>
              <w:rPr>
                <w:sz w:val="21"/>
              </w:rPr>
              <w:t>TNM</w:t>
            </w:r>
            <w:r>
              <w:rPr>
                <w:spacing w:val="-21"/>
                <w:sz w:val="21"/>
              </w:rPr>
              <w:t> 分期为 </w:t>
            </w:r>
            <w:r>
              <w:rPr>
                <w:sz w:val="21"/>
              </w:rPr>
              <w:t>T1N0M0</w:t>
            </w:r>
            <w:r>
              <w:rPr>
                <w:spacing w:val="-8"/>
                <w:sz w:val="21"/>
              </w:rPr>
              <w:t> 期或更轻分期的前列腺癌；</w:t>
            </w:r>
          </w:p>
          <w:p>
            <w:pPr>
              <w:pStyle w:val="TableParagraph"/>
              <w:numPr>
                <w:ilvl w:val="0"/>
                <w:numId w:val="14"/>
              </w:numPr>
              <w:tabs>
                <w:tab w:pos="748" w:val="left" w:leader="none"/>
              </w:tabs>
              <w:spacing w:line="240" w:lineRule="auto" w:before="99" w:after="0"/>
              <w:ind w:left="747" w:right="0" w:hanging="567"/>
              <w:jc w:val="left"/>
              <w:rPr>
                <w:sz w:val="21"/>
              </w:rPr>
            </w:pPr>
            <w:r>
              <w:rPr>
                <w:spacing w:val="-3"/>
                <w:sz w:val="21"/>
              </w:rPr>
              <w:t>感染艾滋病病毒或患艾滋病期间所患恶性肿瘤。</w:t>
            </w:r>
          </w:p>
        </w:tc>
      </w:tr>
      <w:tr>
        <w:trPr>
          <w:trHeight w:val="1885" w:hRule="atLeast"/>
        </w:trPr>
        <w:tc>
          <w:tcPr>
            <w:tcW w:w="630" w:type="dxa"/>
          </w:tcPr>
          <w:p>
            <w:pPr>
              <w:pStyle w:val="TableParagraph"/>
              <w:spacing w:before="0"/>
              <w:ind w:left="0"/>
              <w:rPr>
                <w:rFonts w:ascii="Times New Roman"/>
                <w:sz w:val="20"/>
              </w:rPr>
            </w:pPr>
          </w:p>
        </w:tc>
        <w:tc>
          <w:tcPr>
            <w:tcW w:w="1439" w:type="dxa"/>
          </w:tcPr>
          <w:p>
            <w:pPr>
              <w:pStyle w:val="TableParagraph"/>
              <w:spacing w:line="273" w:lineRule="auto" w:before="81"/>
              <w:ind w:left="205" w:right="175"/>
              <w:rPr>
                <w:b/>
                <w:sz w:val="21"/>
              </w:rPr>
            </w:pPr>
            <w:r>
              <w:rPr>
                <w:b/>
                <w:sz w:val="21"/>
              </w:rPr>
              <w:t>2.急性心肌梗塞</w:t>
            </w:r>
          </w:p>
        </w:tc>
        <w:tc>
          <w:tcPr>
            <w:tcW w:w="8010" w:type="dxa"/>
          </w:tcPr>
          <w:p>
            <w:pPr>
              <w:pStyle w:val="TableParagraph"/>
              <w:spacing w:line="326" w:lineRule="auto" w:before="112"/>
              <w:ind w:left="180" w:right="50"/>
              <w:rPr>
                <w:sz w:val="21"/>
              </w:rPr>
            </w:pPr>
            <w:r>
              <w:rPr>
                <w:sz w:val="21"/>
              </w:rPr>
              <w:t>指因冠状动脉阻塞导致的相应区域供血不足造成部分心肌坏死。须满足下列至少三项条件：</w:t>
            </w:r>
          </w:p>
          <w:p>
            <w:pPr>
              <w:pStyle w:val="TableParagraph"/>
              <w:numPr>
                <w:ilvl w:val="0"/>
                <w:numId w:val="15"/>
              </w:numPr>
              <w:tabs>
                <w:tab w:pos="748" w:val="left" w:leader="none"/>
              </w:tabs>
              <w:spacing w:line="240" w:lineRule="auto" w:before="23" w:after="0"/>
              <w:ind w:left="747" w:right="0" w:hanging="567"/>
              <w:jc w:val="left"/>
              <w:rPr>
                <w:sz w:val="21"/>
              </w:rPr>
            </w:pPr>
            <w:r>
              <w:rPr>
                <w:spacing w:val="-3"/>
                <w:sz w:val="21"/>
              </w:rPr>
              <w:t>典型临床表现，例如急性胸痛等；</w:t>
            </w:r>
          </w:p>
          <w:p>
            <w:pPr>
              <w:pStyle w:val="TableParagraph"/>
              <w:numPr>
                <w:ilvl w:val="0"/>
                <w:numId w:val="15"/>
              </w:numPr>
              <w:tabs>
                <w:tab w:pos="748" w:val="left" w:leader="none"/>
              </w:tabs>
              <w:spacing w:line="240" w:lineRule="auto" w:before="99" w:after="0"/>
              <w:ind w:left="747" w:right="0" w:hanging="567"/>
              <w:jc w:val="left"/>
              <w:rPr>
                <w:sz w:val="21"/>
              </w:rPr>
            </w:pPr>
            <w:r>
              <w:rPr>
                <w:spacing w:val="-3"/>
                <w:sz w:val="21"/>
              </w:rPr>
              <w:t>新近的心电图改变提示急性心肌梗塞；</w:t>
            </w:r>
          </w:p>
          <w:p>
            <w:pPr>
              <w:pStyle w:val="TableParagraph"/>
              <w:numPr>
                <w:ilvl w:val="0"/>
                <w:numId w:val="15"/>
              </w:numPr>
              <w:tabs>
                <w:tab w:pos="748" w:val="left" w:leader="none"/>
              </w:tabs>
              <w:spacing w:line="255" w:lineRule="exact" w:before="99" w:after="0"/>
              <w:ind w:left="747" w:right="0" w:hanging="567"/>
              <w:jc w:val="left"/>
              <w:rPr>
                <w:sz w:val="21"/>
              </w:rPr>
            </w:pPr>
            <w:r>
              <w:rPr>
                <w:spacing w:val="-3"/>
                <w:sz w:val="21"/>
              </w:rPr>
              <w:t>心肌酶或肌钙蛋白有诊断意义的升高，或呈符合急性心肌梗塞的动态性变化；</w:t>
            </w:r>
          </w:p>
        </w:tc>
      </w:tr>
    </w:tbl>
    <w:p>
      <w:pPr>
        <w:spacing w:after="0" w:line="255" w:lineRule="exact"/>
        <w:jc w:val="left"/>
        <w:rPr>
          <w:sz w:val="21"/>
        </w:rPr>
        <w:sectPr>
          <w:pgSz w:w="11910" w:h="16840"/>
          <w:pgMar w:header="0" w:footer="375" w:top="1360" w:bottom="560" w:left="80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5"/>
        <w:gridCol w:w="8067"/>
      </w:tblGrid>
      <w:tr>
        <w:trPr>
          <w:trHeight w:val="356" w:hRule="atLeast"/>
        </w:trPr>
        <w:tc>
          <w:tcPr>
            <w:tcW w:w="1525" w:type="dxa"/>
          </w:tcPr>
          <w:p>
            <w:pPr>
              <w:pStyle w:val="TableParagraph"/>
              <w:spacing w:before="0"/>
              <w:ind w:left="0"/>
              <w:rPr>
                <w:rFonts w:ascii="Times New Roman"/>
                <w:sz w:val="20"/>
              </w:rPr>
            </w:pPr>
          </w:p>
        </w:tc>
        <w:tc>
          <w:tcPr>
            <w:tcW w:w="8067" w:type="dxa"/>
          </w:tcPr>
          <w:p>
            <w:pPr>
              <w:pStyle w:val="TableParagraph"/>
              <w:spacing w:line="211" w:lineRule="exact" w:before="0"/>
              <w:rPr>
                <w:sz w:val="21"/>
              </w:rPr>
            </w:pPr>
            <w:r>
              <w:rPr>
                <w:sz w:val="21"/>
              </w:rPr>
              <w:t>（4） 发病 90 天后，经检查证实左心室功能降低，如左心室射血分数低于 50%。</w:t>
            </w:r>
          </w:p>
        </w:tc>
      </w:tr>
      <w:tr>
        <w:trPr>
          <w:trHeight w:val="2779" w:hRule="atLeast"/>
        </w:trPr>
        <w:tc>
          <w:tcPr>
            <w:tcW w:w="1525" w:type="dxa"/>
          </w:tcPr>
          <w:p>
            <w:pPr>
              <w:pStyle w:val="TableParagraph"/>
              <w:spacing w:line="273" w:lineRule="auto" w:before="81"/>
              <w:ind w:left="200" w:right="88"/>
              <w:rPr>
                <w:b/>
                <w:sz w:val="21"/>
              </w:rPr>
            </w:pPr>
            <w:r>
              <w:rPr>
                <w:b/>
                <w:sz w:val="21"/>
              </w:rPr>
              <w:t>3. 脑中风后遗症</w:t>
            </w:r>
          </w:p>
        </w:tc>
        <w:tc>
          <w:tcPr>
            <w:tcW w:w="8067" w:type="dxa"/>
          </w:tcPr>
          <w:p>
            <w:pPr>
              <w:pStyle w:val="TableParagraph"/>
              <w:spacing w:line="326" w:lineRule="auto" w:before="112"/>
              <w:ind w:right="247"/>
              <w:jc w:val="both"/>
              <w:rPr>
                <w:sz w:val="21"/>
              </w:rPr>
            </w:pPr>
            <w:r>
              <w:rPr>
                <w:spacing w:val="-6"/>
                <w:sz w:val="21"/>
              </w:rPr>
              <w:t>指因脑血管的突发病变引起脑血管出血、栓塞或梗塞，并导致神经系统永久性的功能</w:t>
            </w:r>
            <w:r>
              <w:rPr>
                <w:spacing w:val="-10"/>
                <w:sz w:val="21"/>
              </w:rPr>
              <w:t>障碍。神经系统永久性的功能障碍，指疾病确诊 </w:t>
            </w:r>
            <w:r>
              <w:rPr>
                <w:sz w:val="21"/>
              </w:rPr>
              <w:t>180</w:t>
            </w:r>
            <w:r>
              <w:rPr>
                <w:spacing w:val="-9"/>
                <w:sz w:val="21"/>
              </w:rPr>
              <w:t> 天后，仍遗留下列一种或一种以</w:t>
            </w:r>
            <w:r>
              <w:rPr>
                <w:spacing w:val="-6"/>
                <w:sz w:val="21"/>
              </w:rPr>
              <w:t>上障碍：</w:t>
            </w:r>
          </w:p>
          <w:p>
            <w:pPr>
              <w:pStyle w:val="TableParagraph"/>
              <w:numPr>
                <w:ilvl w:val="0"/>
                <w:numId w:val="16"/>
              </w:numPr>
              <w:tabs>
                <w:tab w:pos="656" w:val="left" w:leader="none"/>
              </w:tabs>
              <w:spacing w:line="240" w:lineRule="auto" w:before="23" w:after="0"/>
              <w:ind w:left="655" w:right="0" w:hanging="567"/>
              <w:jc w:val="left"/>
              <w:rPr>
                <w:sz w:val="21"/>
              </w:rPr>
            </w:pPr>
            <w:r>
              <w:rPr>
                <w:spacing w:val="-3"/>
                <w:sz w:val="21"/>
              </w:rPr>
              <w:t>一肢或一肢以上肢体机能完全丧失；</w:t>
            </w:r>
          </w:p>
          <w:p>
            <w:pPr>
              <w:pStyle w:val="TableParagraph"/>
              <w:numPr>
                <w:ilvl w:val="0"/>
                <w:numId w:val="16"/>
              </w:numPr>
              <w:tabs>
                <w:tab w:pos="656" w:val="left" w:leader="none"/>
              </w:tabs>
              <w:spacing w:line="240" w:lineRule="auto" w:before="99" w:after="0"/>
              <w:ind w:left="655" w:right="0" w:hanging="567"/>
              <w:jc w:val="left"/>
              <w:rPr>
                <w:sz w:val="21"/>
              </w:rPr>
            </w:pPr>
            <w:r>
              <w:rPr>
                <w:spacing w:val="-3"/>
                <w:sz w:val="21"/>
              </w:rPr>
              <w:t>语言能力或咀嚼吞咽能力完全丧失；</w:t>
            </w:r>
          </w:p>
          <w:p>
            <w:pPr>
              <w:pStyle w:val="TableParagraph"/>
              <w:numPr>
                <w:ilvl w:val="0"/>
                <w:numId w:val="16"/>
              </w:numPr>
              <w:tabs>
                <w:tab w:pos="656" w:val="left" w:leader="none"/>
              </w:tabs>
              <w:spacing w:line="326" w:lineRule="auto" w:before="99" w:after="0"/>
              <w:ind w:left="655" w:right="249" w:hanging="567"/>
              <w:jc w:val="left"/>
              <w:rPr>
                <w:sz w:val="21"/>
              </w:rPr>
            </w:pPr>
            <w:r>
              <w:rPr>
                <w:spacing w:val="-3"/>
                <w:sz w:val="21"/>
              </w:rPr>
              <w:t>自主生活能力完全丧失，无法独立完成六项基本日常生活活动中的三项或三项以上。</w:t>
            </w:r>
          </w:p>
        </w:tc>
      </w:tr>
      <w:tr>
        <w:trPr>
          <w:trHeight w:val="1656" w:hRule="atLeast"/>
        </w:trPr>
        <w:tc>
          <w:tcPr>
            <w:tcW w:w="1525" w:type="dxa"/>
          </w:tcPr>
          <w:p>
            <w:pPr>
              <w:pStyle w:val="TableParagraph"/>
              <w:spacing w:line="273" w:lineRule="auto" w:before="81"/>
              <w:ind w:left="200" w:right="88"/>
              <w:jc w:val="both"/>
              <w:rPr>
                <w:b/>
                <w:sz w:val="21"/>
              </w:rPr>
            </w:pPr>
            <w:r>
              <w:rPr>
                <w:b/>
                <w:sz w:val="21"/>
              </w:rPr>
              <w:t>4. 重大器官移植术或造血干细胞移植术</w:t>
            </w:r>
          </w:p>
        </w:tc>
        <w:tc>
          <w:tcPr>
            <w:tcW w:w="8067" w:type="dxa"/>
          </w:tcPr>
          <w:p>
            <w:pPr>
              <w:pStyle w:val="TableParagraph"/>
              <w:spacing w:line="326" w:lineRule="auto" w:before="113"/>
              <w:ind w:right="247"/>
              <w:rPr>
                <w:sz w:val="21"/>
              </w:rPr>
            </w:pPr>
            <w:r>
              <w:rPr>
                <w:spacing w:val="-8"/>
                <w:sz w:val="21"/>
              </w:rPr>
              <w:t>重大器官移植术，指因相应器官功能衰竭，已经实施了肾脏、肝脏、心脏或肺脏的异</w:t>
            </w:r>
            <w:r>
              <w:rPr>
                <w:spacing w:val="-5"/>
                <w:sz w:val="21"/>
              </w:rPr>
              <w:t>体移植手术。</w:t>
            </w:r>
          </w:p>
          <w:p>
            <w:pPr>
              <w:pStyle w:val="TableParagraph"/>
              <w:spacing w:before="24"/>
              <w:rPr>
                <w:sz w:val="21"/>
              </w:rPr>
            </w:pPr>
            <w:r>
              <w:rPr>
                <w:sz w:val="21"/>
              </w:rPr>
              <w:t>造血干细胞移植术，指因造血功能损害或造血系统恶性肿瘤，已经实施了造血干细胞</w:t>
            </w:r>
          </w:p>
          <w:p>
            <w:pPr>
              <w:pStyle w:val="TableParagraph"/>
              <w:rPr>
                <w:sz w:val="21"/>
              </w:rPr>
            </w:pPr>
            <w:r>
              <w:rPr>
                <w:sz w:val="21"/>
              </w:rPr>
              <w:t>（包括骨髓造血干细胞、外周血造血干细胞和脐血造血干细胞）的异体移植手术。</w:t>
            </w:r>
          </w:p>
        </w:tc>
      </w:tr>
      <w:tr>
        <w:trPr>
          <w:trHeight w:val="1423" w:hRule="atLeast"/>
        </w:trPr>
        <w:tc>
          <w:tcPr>
            <w:tcW w:w="1525" w:type="dxa"/>
          </w:tcPr>
          <w:p>
            <w:pPr>
              <w:pStyle w:val="TableParagraph"/>
              <w:spacing w:line="273" w:lineRule="auto" w:before="81"/>
              <w:ind w:left="200" w:right="88"/>
              <w:jc w:val="both"/>
              <w:rPr>
                <w:b/>
                <w:sz w:val="21"/>
              </w:rPr>
            </w:pPr>
            <w:r>
              <w:rPr>
                <w:b/>
                <w:sz w:val="21"/>
              </w:rPr>
              <w:t>5.</w:t>
            </w:r>
            <w:r>
              <w:rPr>
                <w:b/>
                <w:spacing w:val="13"/>
                <w:sz w:val="21"/>
              </w:rPr>
              <w:t> 冠状动脉</w:t>
            </w:r>
            <w:r>
              <w:rPr>
                <w:b/>
                <w:spacing w:val="-22"/>
                <w:sz w:val="21"/>
              </w:rPr>
              <w:t>搭桥术</w:t>
            </w:r>
            <w:r>
              <w:rPr>
                <w:b/>
                <w:sz w:val="21"/>
              </w:rPr>
              <w:t>（或称</w:t>
            </w:r>
            <w:r>
              <w:rPr>
                <w:b/>
                <w:spacing w:val="35"/>
                <w:sz w:val="21"/>
              </w:rPr>
              <w:t>冠状动脉旁</w:t>
            </w:r>
            <w:r>
              <w:rPr>
                <w:b/>
                <w:sz w:val="21"/>
              </w:rPr>
              <w:t>路移植术）</w:t>
            </w:r>
          </w:p>
        </w:tc>
        <w:tc>
          <w:tcPr>
            <w:tcW w:w="8067" w:type="dxa"/>
          </w:tcPr>
          <w:p>
            <w:pPr>
              <w:pStyle w:val="TableParagraph"/>
              <w:spacing w:before="112"/>
              <w:rPr>
                <w:sz w:val="21"/>
              </w:rPr>
            </w:pPr>
            <w:r>
              <w:rPr>
                <w:sz w:val="21"/>
              </w:rPr>
              <w:t>指为治疗严重的冠心病，实际实施了开胸进行的冠状动脉血管旁路移植的手术。</w:t>
            </w:r>
          </w:p>
          <w:p>
            <w:pPr>
              <w:pStyle w:val="TableParagraph"/>
              <w:spacing w:line="326" w:lineRule="auto"/>
              <w:ind w:right="199"/>
              <w:rPr>
                <w:sz w:val="21"/>
              </w:rPr>
            </w:pPr>
            <w:r>
              <w:rPr>
                <w:sz w:val="21"/>
              </w:rPr>
              <w:t>冠状动脉支架植入术、心导管球囊扩张术、激光射频技术及其它非开胸的介入手术、腔镜手术不在保障范围内。</w:t>
            </w:r>
          </w:p>
        </w:tc>
      </w:tr>
      <w:tr>
        <w:trPr>
          <w:trHeight w:val="1408" w:hRule="atLeast"/>
        </w:trPr>
        <w:tc>
          <w:tcPr>
            <w:tcW w:w="1525" w:type="dxa"/>
          </w:tcPr>
          <w:p>
            <w:pPr>
              <w:pStyle w:val="TableParagraph"/>
              <w:spacing w:line="273" w:lineRule="auto" w:before="67"/>
              <w:ind w:left="200" w:right="88"/>
              <w:jc w:val="both"/>
              <w:rPr>
                <w:b/>
                <w:sz w:val="21"/>
              </w:rPr>
            </w:pPr>
            <w:r>
              <w:rPr>
                <w:b/>
                <w:sz w:val="21"/>
              </w:rPr>
              <w:t>6.</w:t>
            </w:r>
            <w:r>
              <w:rPr>
                <w:b/>
                <w:spacing w:val="13"/>
                <w:sz w:val="21"/>
              </w:rPr>
              <w:t> 终末期肾</w:t>
            </w:r>
            <w:r>
              <w:rPr>
                <w:b/>
                <w:spacing w:val="-65"/>
                <w:sz w:val="21"/>
              </w:rPr>
              <w:t>病</w:t>
            </w:r>
            <w:r>
              <w:rPr>
                <w:b/>
                <w:sz w:val="21"/>
              </w:rPr>
              <w:t>（或称慢性</w:t>
            </w:r>
            <w:r>
              <w:rPr>
                <w:b/>
                <w:spacing w:val="35"/>
                <w:sz w:val="21"/>
              </w:rPr>
              <w:t>肾功能衰竭</w:t>
            </w:r>
            <w:r>
              <w:rPr>
                <w:b/>
                <w:sz w:val="21"/>
              </w:rPr>
              <w:t>尿毒症期）</w:t>
            </w:r>
          </w:p>
        </w:tc>
        <w:tc>
          <w:tcPr>
            <w:tcW w:w="8067" w:type="dxa"/>
          </w:tcPr>
          <w:p>
            <w:pPr>
              <w:pStyle w:val="TableParagraph"/>
              <w:spacing w:line="326" w:lineRule="auto" w:before="98"/>
              <w:ind w:right="187"/>
              <w:rPr>
                <w:sz w:val="21"/>
              </w:rPr>
            </w:pPr>
            <w:r>
              <w:rPr>
                <w:sz w:val="21"/>
              </w:rPr>
              <w:t>指双肾功能慢性不可逆性衰竭，达到尿毒症期，经诊断后已经进行了至少 90 天的规律性透析治疗或实施了肾脏移植手术。</w:t>
            </w:r>
          </w:p>
        </w:tc>
      </w:tr>
      <w:tr>
        <w:trPr>
          <w:trHeight w:val="2389" w:hRule="atLeast"/>
        </w:trPr>
        <w:tc>
          <w:tcPr>
            <w:tcW w:w="1525" w:type="dxa"/>
          </w:tcPr>
          <w:p>
            <w:pPr>
              <w:pStyle w:val="TableParagraph"/>
              <w:spacing w:line="273" w:lineRule="auto" w:before="66"/>
              <w:ind w:left="200" w:right="88"/>
              <w:jc w:val="both"/>
              <w:rPr>
                <w:b/>
                <w:sz w:val="21"/>
              </w:rPr>
            </w:pPr>
            <w:r>
              <w:rPr>
                <w:b/>
                <w:sz w:val="21"/>
              </w:rPr>
              <w:t>7. 急性或亚急性重症肝炎</w:t>
            </w:r>
          </w:p>
        </w:tc>
        <w:tc>
          <w:tcPr>
            <w:tcW w:w="8067" w:type="dxa"/>
          </w:tcPr>
          <w:p>
            <w:pPr>
              <w:pStyle w:val="TableParagraph"/>
              <w:spacing w:line="326" w:lineRule="auto" w:before="97"/>
              <w:ind w:right="247"/>
              <w:rPr>
                <w:sz w:val="21"/>
              </w:rPr>
            </w:pPr>
            <w:r>
              <w:rPr>
                <w:spacing w:val="-6"/>
                <w:sz w:val="21"/>
              </w:rPr>
              <w:t>指因肝炎病毒感染引起肝脏组织弥漫性坏死，导致急性肝功能衰竭，且经血清学或病</w:t>
            </w:r>
            <w:r>
              <w:rPr>
                <w:spacing w:val="-4"/>
                <w:sz w:val="21"/>
              </w:rPr>
              <w:t>毒学检查证实，并须满足下列全部条件：</w:t>
            </w:r>
          </w:p>
          <w:p>
            <w:pPr>
              <w:pStyle w:val="TableParagraph"/>
              <w:numPr>
                <w:ilvl w:val="0"/>
                <w:numId w:val="17"/>
              </w:numPr>
              <w:tabs>
                <w:tab w:pos="656" w:val="left" w:leader="none"/>
              </w:tabs>
              <w:spacing w:line="240" w:lineRule="auto" w:before="24" w:after="0"/>
              <w:ind w:left="655" w:right="0" w:hanging="567"/>
              <w:jc w:val="left"/>
              <w:rPr>
                <w:sz w:val="21"/>
              </w:rPr>
            </w:pPr>
            <w:r>
              <w:rPr>
                <w:spacing w:val="-3"/>
                <w:sz w:val="21"/>
              </w:rPr>
              <w:t>重度黄疸或黄疸迅速加重；</w:t>
            </w:r>
          </w:p>
          <w:p>
            <w:pPr>
              <w:pStyle w:val="TableParagraph"/>
              <w:numPr>
                <w:ilvl w:val="0"/>
                <w:numId w:val="17"/>
              </w:numPr>
              <w:tabs>
                <w:tab w:pos="656" w:val="left" w:leader="none"/>
              </w:tabs>
              <w:spacing w:line="240" w:lineRule="auto" w:before="99" w:after="0"/>
              <w:ind w:left="655" w:right="0" w:hanging="567"/>
              <w:jc w:val="left"/>
              <w:rPr>
                <w:sz w:val="21"/>
              </w:rPr>
            </w:pPr>
            <w:r>
              <w:rPr>
                <w:spacing w:val="-1"/>
                <w:sz w:val="21"/>
              </w:rPr>
              <w:t>肝性脑病；</w:t>
            </w:r>
          </w:p>
          <w:p>
            <w:pPr>
              <w:pStyle w:val="TableParagraph"/>
              <w:numPr>
                <w:ilvl w:val="0"/>
                <w:numId w:val="17"/>
              </w:numPr>
              <w:tabs>
                <w:tab w:pos="656" w:val="left" w:leader="none"/>
              </w:tabs>
              <w:spacing w:line="240" w:lineRule="auto" w:before="99" w:after="0"/>
              <w:ind w:left="655" w:right="0" w:hanging="567"/>
              <w:jc w:val="left"/>
              <w:rPr>
                <w:sz w:val="21"/>
              </w:rPr>
            </w:pPr>
            <w:r>
              <w:rPr>
                <w:sz w:val="21"/>
              </w:rPr>
              <w:t>B</w:t>
            </w:r>
            <w:r>
              <w:rPr>
                <w:spacing w:val="-7"/>
                <w:sz w:val="21"/>
              </w:rPr>
              <w:t> 超或其它影像学检查显示肝脏体积急速萎缩；</w:t>
            </w:r>
          </w:p>
          <w:p>
            <w:pPr>
              <w:pStyle w:val="TableParagraph"/>
              <w:numPr>
                <w:ilvl w:val="0"/>
                <w:numId w:val="17"/>
              </w:numPr>
              <w:tabs>
                <w:tab w:pos="656" w:val="left" w:leader="none"/>
              </w:tabs>
              <w:spacing w:line="240" w:lineRule="auto" w:before="99" w:after="0"/>
              <w:ind w:left="655" w:right="0" w:hanging="567"/>
              <w:jc w:val="left"/>
              <w:rPr>
                <w:sz w:val="21"/>
              </w:rPr>
            </w:pPr>
            <w:r>
              <w:rPr>
                <w:spacing w:val="-3"/>
                <w:sz w:val="21"/>
              </w:rPr>
              <w:t>肝功能指标进行性恶化。</w:t>
            </w:r>
          </w:p>
        </w:tc>
      </w:tr>
      <w:tr>
        <w:trPr>
          <w:trHeight w:val="2405" w:hRule="atLeast"/>
        </w:trPr>
        <w:tc>
          <w:tcPr>
            <w:tcW w:w="1525" w:type="dxa"/>
          </w:tcPr>
          <w:p>
            <w:pPr>
              <w:pStyle w:val="TableParagraph"/>
              <w:spacing w:line="273" w:lineRule="auto" w:before="81"/>
              <w:ind w:left="200" w:right="88"/>
              <w:rPr>
                <w:b/>
                <w:sz w:val="21"/>
              </w:rPr>
            </w:pPr>
            <w:r>
              <w:rPr>
                <w:b/>
                <w:sz w:val="21"/>
              </w:rPr>
              <w:t>8. 良性脑肿瘤</w:t>
            </w:r>
          </w:p>
        </w:tc>
        <w:tc>
          <w:tcPr>
            <w:tcW w:w="8067" w:type="dxa"/>
          </w:tcPr>
          <w:p>
            <w:pPr>
              <w:pStyle w:val="TableParagraph"/>
              <w:spacing w:line="326" w:lineRule="auto" w:before="113"/>
              <w:ind w:right="198"/>
              <w:jc w:val="both"/>
              <w:rPr>
                <w:sz w:val="21"/>
              </w:rPr>
            </w:pPr>
            <w:r>
              <w:rPr>
                <w:spacing w:val="-8"/>
                <w:sz w:val="21"/>
              </w:rPr>
              <w:t>指脑的良性肿瘤，已经引起颅内压增高，临床表现为视神经乳头水肿、精神症状、癫</w:t>
            </w:r>
            <w:r>
              <w:rPr>
                <w:spacing w:val="-5"/>
                <w:w w:val="100"/>
                <w:sz w:val="21"/>
              </w:rPr>
              <w:t>痫及运动感觉障碍等，并危及生命。须由头颅断层扫描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8"/>
              </w:numPr>
              <w:tabs>
                <w:tab w:pos="721" w:val="left" w:leader="none"/>
              </w:tabs>
              <w:spacing w:line="240" w:lineRule="auto" w:before="24" w:after="0"/>
              <w:ind w:left="720" w:right="0" w:hanging="632"/>
              <w:jc w:val="both"/>
              <w:rPr>
                <w:sz w:val="21"/>
              </w:rPr>
            </w:pPr>
            <w:r>
              <w:rPr>
                <w:spacing w:val="-3"/>
                <w:sz w:val="21"/>
              </w:rPr>
              <w:t>实际实施了开颅进行的脑肿瘤完全切除或部分切除的手术；</w:t>
            </w:r>
          </w:p>
          <w:p>
            <w:pPr>
              <w:pStyle w:val="TableParagraph"/>
              <w:numPr>
                <w:ilvl w:val="0"/>
                <w:numId w:val="18"/>
              </w:numPr>
              <w:tabs>
                <w:tab w:pos="721" w:val="left" w:leader="none"/>
              </w:tabs>
              <w:spacing w:line="240" w:lineRule="auto" w:before="99" w:after="0"/>
              <w:ind w:left="720" w:right="0" w:hanging="632"/>
              <w:jc w:val="both"/>
              <w:rPr>
                <w:sz w:val="21"/>
              </w:rPr>
            </w:pPr>
            <w:r>
              <w:rPr>
                <w:spacing w:val="-3"/>
                <w:sz w:val="21"/>
              </w:rPr>
              <w:t>实际实施了对脑肿瘤进行的放射治疗。</w:t>
            </w:r>
          </w:p>
          <w:p>
            <w:pPr>
              <w:pStyle w:val="TableParagraph"/>
              <w:jc w:val="both"/>
              <w:rPr>
                <w:sz w:val="21"/>
              </w:rPr>
            </w:pPr>
            <w:r>
              <w:rPr>
                <w:sz w:val="21"/>
              </w:rPr>
              <w:t>脑垂体瘤、脑囊肿、脑血管性疾病不在保障范围内。</w:t>
            </w:r>
          </w:p>
        </w:tc>
      </w:tr>
      <w:tr>
        <w:trPr>
          <w:trHeight w:val="1885" w:hRule="atLeast"/>
        </w:trPr>
        <w:tc>
          <w:tcPr>
            <w:tcW w:w="1525" w:type="dxa"/>
          </w:tcPr>
          <w:p>
            <w:pPr>
              <w:pStyle w:val="TableParagraph"/>
              <w:spacing w:line="273" w:lineRule="auto" w:before="81"/>
              <w:ind w:left="200" w:right="88"/>
              <w:jc w:val="both"/>
              <w:rPr>
                <w:b/>
                <w:sz w:val="21"/>
              </w:rPr>
            </w:pPr>
            <w:r>
              <w:rPr>
                <w:b/>
                <w:sz w:val="21"/>
              </w:rPr>
              <w:t>9. 慢性肝功能衰竭失代偿期</w:t>
            </w:r>
          </w:p>
        </w:tc>
        <w:tc>
          <w:tcPr>
            <w:tcW w:w="8067" w:type="dxa"/>
          </w:tcPr>
          <w:p>
            <w:pPr>
              <w:pStyle w:val="TableParagraph"/>
              <w:spacing w:before="112"/>
              <w:rPr>
                <w:sz w:val="21"/>
              </w:rPr>
            </w:pPr>
            <w:r>
              <w:rPr>
                <w:sz w:val="21"/>
              </w:rPr>
              <w:t>指因慢性肝脏疾病导致肝功能衰竭。须满足下列全部条件：</w:t>
            </w:r>
          </w:p>
          <w:p>
            <w:pPr>
              <w:pStyle w:val="TableParagraph"/>
              <w:numPr>
                <w:ilvl w:val="0"/>
                <w:numId w:val="19"/>
              </w:numPr>
              <w:tabs>
                <w:tab w:pos="721" w:val="left" w:leader="none"/>
              </w:tabs>
              <w:spacing w:line="240" w:lineRule="auto" w:before="99" w:after="0"/>
              <w:ind w:left="720" w:right="0" w:hanging="632"/>
              <w:jc w:val="left"/>
              <w:rPr>
                <w:sz w:val="21"/>
              </w:rPr>
            </w:pPr>
            <w:r>
              <w:rPr>
                <w:spacing w:val="-2"/>
                <w:sz w:val="21"/>
              </w:rPr>
              <w:t>持续性黄疸；</w:t>
            </w:r>
          </w:p>
          <w:p>
            <w:pPr>
              <w:pStyle w:val="TableParagraph"/>
              <w:numPr>
                <w:ilvl w:val="0"/>
                <w:numId w:val="19"/>
              </w:numPr>
              <w:tabs>
                <w:tab w:pos="721" w:val="left" w:leader="none"/>
              </w:tabs>
              <w:spacing w:line="240" w:lineRule="auto" w:before="100" w:after="0"/>
              <w:ind w:left="720" w:right="0" w:hanging="632"/>
              <w:jc w:val="left"/>
              <w:rPr>
                <w:sz w:val="21"/>
              </w:rPr>
            </w:pPr>
            <w:r>
              <w:rPr>
                <w:sz w:val="21"/>
              </w:rPr>
              <w:t>腹水；</w:t>
            </w:r>
          </w:p>
          <w:p>
            <w:pPr>
              <w:pStyle w:val="TableParagraph"/>
              <w:numPr>
                <w:ilvl w:val="0"/>
                <w:numId w:val="19"/>
              </w:numPr>
              <w:tabs>
                <w:tab w:pos="721" w:val="left" w:leader="none"/>
              </w:tabs>
              <w:spacing w:line="240" w:lineRule="auto" w:before="99" w:after="0"/>
              <w:ind w:left="720" w:right="0" w:hanging="632"/>
              <w:jc w:val="left"/>
              <w:rPr>
                <w:sz w:val="21"/>
              </w:rPr>
            </w:pPr>
            <w:r>
              <w:rPr>
                <w:spacing w:val="-1"/>
                <w:sz w:val="21"/>
              </w:rPr>
              <w:t>肝性脑病；</w:t>
            </w:r>
          </w:p>
          <w:p>
            <w:pPr>
              <w:pStyle w:val="TableParagraph"/>
              <w:numPr>
                <w:ilvl w:val="0"/>
                <w:numId w:val="19"/>
              </w:numPr>
              <w:tabs>
                <w:tab w:pos="721" w:val="left" w:leader="none"/>
              </w:tabs>
              <w:spacing w:line="255" w:lineRule="exact" w:before="99" w:after="0"/>
              <w:ind w:left="720" w:right="0" w:hanging="632"/>
              <w:jc w:val="left"/>
              <w:rPr>
                <w:sz w:val="21"/>
              </w:rPr>
            </w:pPr>
            <w:r>
              <w:rPr>
                <w:spacing w:val="-3"/>
                <w:sz w:val="21"/>
              </w:rPr>
              <w:t>充血性脾肿大伴脾功能亢进或食管胃底静脉曲张。</w:t>
            </w:r>
          </w:p>
        </w:tc>
      </w:tr>
    </w:tbl>
    <w:p>
      <w:pPr>
        <w:spacing w:after="0" w:line="255" w:lineRule="exact"/>
        <w:jc w:val="left"/>
        <w:rPr>
          <w:sz w:val="21"/>
        </w:rPr>
        <w:sectPr>
          <w:pgSz w:w="11910" w:h="16840"/>
          <w:pgMar w:header="0" w:footer="375" w:top="1360" w:bottom="560" w:left="1440" w:right="6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5"/>
        <w:gridCol w:w="8066"/>
      </w:tblGrid>
      <w:tr>
        <w:trPr>
          <w:trHeight w:val="356" w:hRule="atLeast"/>
        </w:trPr>
        <w:tc>
          <w:tcPr>
            <w:tcW w:w="1525" w:type="dxa"/>
          </w:tcPr>
          <w:p>
            <w:pPr>
              <w:pStyle w:val="TableParagraph"/>
              <w:spacing w:before="0"/>
              <w:ind w:left="0"/>
              <w:rPr>
                <w:rFonts w:ascii="Times New Roman"/>
                <w:sz w:val="20"/>
              </w:rPr>
            </w:pPr>
          </w:p>
        </w:tc>
        <w:tc>
          <w:tcPr>
            <w:tcW w:w="8066" w:type="dxa"/>
          </w:tcPr>
          <w:p>
            <w:pPr>
              <w:pStyle w:val="TableParagraph"/>
              <w:spacing w:line="211" w:lineRule="exact" w:before="0"/>
              <w:rPr>
                <w:sz w:val="21"/>
              </w:rPr>
            </w:pPr>
            <w:r>
              <w:rPr>
                <w:sz w:val="21"/>
              </w:rPr>
              <w:t>因酗酒或药物滥用导致的肝功能衰竭不在保障范围内。</w:t>
            </w:r>
          </w:p>
        </w:tc>
      </w:tr>
      <w:tr>
        <w:trPr>
          <w:trHeight w:val="2404" w:hRule="atLeast"/>
        </w:trPr>
        <w:tc>
          <w:tcPr>
            <w:tcW w:w="1525" w:type="dxa"/>
          </w:tcPr>
          <w:p>
            <w:pPr>
              <w:pStyle w:val="TableParagraph"/>
              <w:spacing w:line="273" w:lineRule="auto" w:before="81"/>
              <w:ind w:left="200" w:right="88"/>
              <w:jc w:val="both"/>
              <w:rPr>
                <w:b/>
                <w:sz w:val="21"/>
              </w:rPr>
            </w:pPr>
            <w:r>
              <w:rPr>
                <w:b/>
                <w:sz w:val="21"/>
              </w:rPr>
              <w:t>10.脑炎后遗症或脑膜炎后遗症</w:t>
            </w:r>
          </w:p>
        </w:tc>
        <w:tc>
          <w:tcPr>
            <w:tcW w:w="8066" w:type="dxa"/>
          </w:tcPr>
          <w:p>
            <w:pPr>
              <w:pStyle w:val="TableParagraph"/>
              <w:spacing w:line="326" w:lineRule="auto" w:before="112"/>
              <w:ind w:right="407"/>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20"/>
              </w:numPr>
              <w:tabs>
                <w:tab w:pos="721" w:val="left" w:leader="none"/>
              </w:tabs>
              <w:spacing w:line="240" w:lineRule="auto" w:before="23" w:after="0"/>
              <w:ind w:left="720" w:right="0" w:hanging="632"/>
              <w:jc w:val="left"/>
              <w:rPr>
                <w:sz w:val="21"/>
              </w:rPr>
            </w:pPr>
            <w:r>
              <w:rPr>
                <w:spacing w:val="-3"/>
                <w:sz w:val="21"/>
              </w:rPr>
              <w:t>一肢或一肢以上肢体机能完全丧失；</w:t>
            </w:r>
          </w:p>
          <w:p>
            <w:pPr>
              <w:pStyle w:val="TableParagraph"/>
              <w:numPr>
                <w:ilvl w:val="0"/>
                <w:numId w:val="20"/>
              </w:numPr>
              <w:tabs>
                <w:tab w:pos="721" w:val="left" w:leader="none"/>
              </w:tabs>
              <w:spacing w:line="240" w:lineRule="auto" w:before="99" w:after="0"/>
              <w:ind w:left="720" w:right="0" w:hanging="632"/>
              <w:jc w:val="left"/>
              <w:rPr>
                <w:sz w:val="21"/>
              </w:rPr>
            </w:pPr>
            <w:r>
              <w:rPr>
                <w:spacing w:val="-3"/>
                <w:sz w:val="21"/>
              </w:rPr>
              <w:t>语言能力或咀嚼吞咽能力完全丧失；</w:t>
            </w:r>
          </w:p>
          <w:p>
            <w:pPr>
              <w:pStyle w:val="TableParagraph"/>
              <w:numPr>
                <w:ilvl w:val="0"/>
                <w:numId w:val="20"/>
              </w:numPr>
              <w:tabs>
                <w:tab w:pos="721" w:val="left" w:leader="none"/>
              </w:tabs>
              <w:spacing w:line="326" w:lineRule="auto" w:before="99" w:after="0"/>
              <w:ind w:left="720" w:right="248" w:hanging="632"/>
              <w:jc w:val="left"/>
              <w:rPr>
                <w:sz w:val="21"/>
              </w:rPr>
            </w:pPr>
            <w:r>
              <w:rPr>
                <w:spacing w:val="-8"/>
                <w:sz w:val="21"/>
              </w:rPr>
              <w:t>自主生活能力完全丧失，无法独立完成六项基本日常生活活动中的三项或三项以上。</w:t>
            </w:r>
          </w:p>
        </w:tc>
      </w:tr>
      <w:tr>
        <w:trPr>
          <w:trHeight w:val="1656" w:hRule="atLeast"/>
        </w:trPr>
        <w:tc>
          <w:tcPr>
            <w:tcW w:w="1525" w:type="dxa"/>
          </w:tcPr>
          <w:p>
            <w:pPr>
              <w:pStyle w:val="TableParagraph"/>
              <w:spacing w:before="81"/>
              <w:ind w:left="0" w:right="161"/>
              <w:jc w:val="right"/>
              <w:rPr>
                <w:b/>
                <w:sz w:val="21"/>
              </w:rPr>
            </w:pPr>
            <w:r>
              <w:rPr>
                <w:b/>
                <w:sz w:val="21"/>
              </w:rPr>
              <w:t>11.深度昏迷</w:t>
            </w:r>
          </w:p>
        </w:tc>
        <w:tc>
          <w:tcPr>
            <w:tcW w:w="8066" w:type="dxa"/>
          </w:tcPr>
          <w:p>
            <w:pPr>
              <w:pStyle w:val="TableParagraph"/>
              <w:spacing w:line="326" w:lineRule="auto" w:before="112"/>
              <w:ind w:right="246"/>
              <w:rPr>
                <w:sz w:val="21"/>
              </w:rPr>
            </w:pPr>
            <w:r>
              <w:rPr>
                <w:spacing w:val="-3"/>
                <w:sz w:val="21"/>
              </w:rPr>
              <w:t>指因疾病或意外伤害导致意识丧失,对外界刺激和体内需求均无反应,昏迷程度按照 格拉斯哥昏迷分级</w:t>
            </w:r>
            <w:r>
              <w:rPr>
                <w:sz w:val="21"/>
              </w:rPr>
              <w:t>（Glasgow</w:t>
            </w:r>
            <w:r>
              <w:rPr>
                <w:spacing w:val="-19"/>
                <w:sz w:val="21"/>
              </w:rPr>
              <w:t> </w:t>
            </w:r>
            <w:r>
              <w:rPr>
                <w:sz w:val="21"/>
              </w:rPr>
              <w:t>coma</w:t>
            </w:r>
            <w:r>
              <w:rPr>
                <w:spacing w:val="-19"/>
                <w:sz w:val="21"/>
              </w:rPr>
              <w:t> </w:t>
            </w:r>
            <w:r>
              <w:rPr>
                <w:sz w:val="21"/>
              </w:rPr>
              <w:t>scale）</w:t>
            </w:r>
            <w:r>
              <w:rPr>
                <w:spacing w:val="-14"/>
                <w:sz w:val="21"/>
              </w:rPr>
              <w:t>结果为 </w:t>
            </w:r>
            <w:r>
              <w:rPr>
                <w:sz w:val="21"/>
              </w:rPr>
              <w:t>5</w:t>
            </w:r>
            <w:r>
              <w:rPr>
                <w:spacing w:val="-26"/>
                <w:sz w:val="21"/>
              </w:rPr>
              <w:t> 分或 </w:t>
            </w:r>
            <w:r>
              <w:rPr>
                <w:sz w:val="21"/>
              </w:rPr>
              <w:t>5</w:t>
            </w:r>
            <w:r>
              <w:rPr>
                <w:spacing w:val="-9"/>
                <w:sz w:val="21"/>
              </w:rPr>
              <w:t> 分以下，且已经持续使用</w:t>
            </w:r>
            <w:r>
              <w:rPr>
                <w:spacing w:val="-8"/>
                <w:sz w:val="21"/>
              </w:rPr>
              <w:t>呼吸机及其它生命维持系统 </w:t>
            </w:r>
            <w:r>
              <w:rPr>
                <w:sz w:val="21"/>
              </w:rPr>
              <w:t>96</w:t>
            </w:r>
            <w:r>
              <w:rPr>
                <w:spacing w:val="-10"/>
                <w:sz w:val="21"/>
              </w:rPr>
              <w:t> 小时以上。</w:t>
            </w:r>
          </w:p>
          <w:p>
            <w:pPr>
              <w:pStyle w:val="TableParagraph"/>
              <w:spacing w:before="23"/>
              <w:rPr>
                <w:sz w:val="21"/>
              </w:rPr>
            </w:pPr>
            <w:r>
              <w:rPr>
                <w:sz w:val="21"/>
              </w:rPr>
              <w:t>因酗酒或药物滥用导致的深度昏迷不在保障范围内。</w:t>
            </w:r>
          </w:p>
        </w:tc>
      </w:tr>
      <w:tr>
        <w:trPr>
          <w:trHeight w:val="1282" w:hRule="atLeast"/>
        </w:trPr>
        <w:tc>
          <w:tcPr>
            <w:tcW w:w="1525" w:type="dxa"/>
          </w:tcPr>
          <w:p>
            <w:pPr>
              <w:pStyle w:val="TableParagraph"/>
              <w:spacing w:before="81"/>
              <w:ind w:left="0" w:right="161"/>
              <w:jc w:val="right"/>
              <w:rPr>
                <w:b/>
                <w:sz w:val="21"/>
              </w:rPr>
            </w:pPr>
            <w:r>
              <w:rPr>
                <w:b/>
                <w:sz w:val="21"/>
              </w:rPr>
              <w:t>12.双耳失聪</w:t>
            </w:r>
          </w:p>
        </w:tc>
        <w:tc>
          <w:tcPr>
            <w:tcW w:w="8066" w:type="dxa"/>
          </w:tcPr>
          <w:p>
            <w:pPr>
              <w:pStyle w:val="TableParagraph"/>
              <w:spacing w:before="112"/>
              <w:rPr>
                <w:sz w:val="21"/>
              </w:rPr>
            </w:pPr>
            <w:r>
              <w:rPr>
                <w:spacing w:val="-9"/>
                <w:sz w:val="21"/>
              </w:rPr>
              <w:t>指因疾病或意外伤害导致双耳听力永久不可逆性丧失，在 </w:t>
            </w:r>
            <w:r>
              <w:rPr>
                <w:sz w:val="21"/>
              </w:rPr>
              <w:t>500</w:t>
            </w:r>
            <w:r>
              <w:rPr>
                <w:spacing w:val="-32"/>
                <w:sz w:val="21"/>
              </w:rPr>
              <w:t> 赫兹、</w:t>
            </w:r>
            <w:r>
              <w:rPr>
                <w:sz w:val="21"/>
              </w:rPr>
              <w:t>1000</w:t>
            </w:r>
            <w:r>
              <w:rPr>
                <w:spacing w:val="-19"/>
                <w:sz w:val="21"/>
              </w:rPr>
              <w:t> 赫兹和 </w:t>
            </w:r>
            <w:r>
              <w:rPr>
                <w:sz w:val="21"/>
              </w:rPr>
              <w:t>2000</w:t>
            </w:r>
          </w:p>
          <w:p>
            <w:pPr>
              <w:pStyle w:val="TableParagraph"/>
              <w:spacing w:line="326" w:lineRule="auto"/>
              <w:ind w:right="303"/>
              <w:rPr>
                <w:sz w:val="21"/>
              </w:rPr>
            </w:pPr>
            <w:r>
              <w:rPr>
                <w:spacing w:val="-6"/>
                <w:sz w:val="21"/>
              </w:rPr>
              <w:t>赫兹语音频率下，平均听阈大于 </w:t>
            </w:r>
            <w:r>
              <w:rPr>
                <w:sz w:val="21"/>
              </w:rPr>
              <w:t>90</w:t>
            </w:r>
            <w:r>
              <w:rPr>
                <w:spacing w:val="-8"/>
                <w:sz w:val="21"/>
              </w:rPr>
              <w:t> 分贝，且经纯音听力测试、声导抗检测或听觉诱</w:t>
            </w:r>
            <w:r>
              <w:rPr>
                <w:spacing w:val="-5"/>
                <w:sz w:val="21"/>
              </w:rPr>
              <w:t>发电位检测等证实。</w:t>
            </w:r>
          </w:p>
        </w:tc>
      </w:tr>
      <w:tr>
        <w:trPr>
          <w:trHeight w:val="799" w:hRule="atLeast"/>
        </w:trPr>
        <w:tc>
          <w:tcPr>
            <w:tcW w:w="1525" w:type="dxa"/>
          </w:tcPr>
          <w:p>
            <w:pPr>
              <w:pStyle w:val="TableParagraph"/>
              <w:spacing w:line="273" w:lineRule="auto" w:before="82"/>
              <w:ind w:left="200" w:right="113"/>
              <w:rPr>
                <w:b/>
                <w:sz w:val="21"/>
              </w:rPr>
            </w:pPr>
            <w:r>
              <w:rPr>
                <w:b/>
                <w:sz w:val="21"/>
              </w:rPr>
              <w:t>13.心脏瓣膜手术</w:t>
            </w:r>
          </w:p>
        </w:tc>
        <w:tc>
          <w:tcPr>
            <w:tcW w:w="8066" w:type="dxa"/>
          </w:tcPr>
          <w:p>
            <w:pPr>
              <w:pStyle w:val="TableParagraph"/>
              <w:spacing w:before="114"/>
              <w:rPr>
                <w:sz w:val="21"/>
              </w:rPr>
            </w:pPr>
            <w:r>
              <w:rPr>
                <w:sz w:val="21"/>
              </w:rPr>
              <w:t>指为治疗心脏瓣膜疾病，实际实施了开胸进行的心脏瓣膜置换或修复的手术。</w:t>
            </w:r>
          </w:p>
        </w:tc>
      </w:tr>
      <w:tr>
        <w:trPr>
          <w:trHeight w:val="2389" w:hRule="atLeast"/>
        </w:trPr>
        <w:tc>
          <w:tcPr>
            <w:tcW w:w="1525" w:type="dxa"/>
          </w:tcPr>
          <w:p>
            <w:pPr>
              <w:pStyle w:val="TableParagraph"/>
              <w:spacing w:line="273" w:lineRule="auto" w:before="66"/>
              <w:ind w:left="200" w:right="113"/>
              <w:rPr>
                <w:b/>
                <w:sz w:val="21"/>
              </w:rPr>
            </w:pPr>
            <w:r>
              <w:rPr>
                <w:b/>
                <w:sz w:val="21"/>
              </w:rPr>
              <w:t>14.严重阿尔茨海默病</w:t>
            </w:r>
          </w:p>
        </w:tc>
        <w:tc>
          <w:tcPr>
            <w:tcW w:w="8066" w:type="dxa"/>
          </w:tcPr>
          <w:p>
            <w:pPr>
              <w:pStyle w:val="TableParagraph"/>
              <w:spacing w:line="326" w:lineRule="auto" w:before="97"/>
              <w:ind w:right="246"/>
              <w:jc w:val="both"/>
              <w:rPr>
                <w:sz w:val="21"/>
              </w:rPr>
            </w:pPr>
            <w:r>
              <w:rPr>
                <w:spacing w:val="-7"/>
                <w:sz w:val="21"/>
              </w:rPr>
              <w:t>指因大脑进行性、不可逆性改变导致智能严重衰退或丧失，临床表现为明显的认知能</w:t>
            </w:r>
            <w:r>
              <w:rPr>
                <w:spacing w:val="-9"/>
                <w:sz w:val="21"/>
              </w:rPr>
              <w:t>力障碍、行为异常和社交能力减退，其日常生活必须持续受到他人监护。须由头颅断</w:t>
            </w:r>
            <w:r>
              <w:rPr>
                <w:spacing w:val="-7"/>
                <w:w w:val="100"/>
                <w:sz w:val="21"/>
              </w:rPr>
              <w:t>层扫描</w:t>
            </w:r>
            <w:r>
              <w:rPr>
                <w:w w:val="100"/>
                <w:sz w:val="21"/>
              </w:rPr>
              <w:t>（C</w:t>
            </w:r>
            <w:r>
              <w:rPr>
                <w:spacing w:val="-3"/>
                <w:w w:val="100"/>
                <w:sz w:val="21"/>
              </w:rPr>
              <w:t>T</w:t>
            </w:r>
            <w:r>
              <w:rPr>
                <w:spacing w:val="-106"/>
                <w:w w:val="100"/>
                <w:sz w:val="21"/>
              </w:rPr>
              <w:t>）</w:t>
            </w:r>
            <w:r>
              <w:rPr>
                <w:spacing w:val="-3"/>
                <w:w w:val="100"/>
                <w:sz w:val="21"/>
              </w:rPr>
              <w:t>、核磁共振检查</w:t>
            </w:r>
            <w:r>
              <w:rPr>
                <w:spacing w:val="-1"/>
                <w:w w:val="100"/>
                <w:sz w:val="21"/>
              </w:rPr>
              <w:t>（</w:t>
            </w:r>
            <w:r>
              <w:rPr>
                <w:w w:val="100"/>
                <w:sz w:val="21"/>
              </w:rPr>
              <w:t>M</w:t>
            </w:r>
            <w:r>
              <w:rPr>
                <w:spacing w:val="-3"/>
                <w:w w:val="100"/>
                <w:sz w:val="21"/>
              </w:rPr>
              <w:t>R</w:t>
            </w:r>
            <w:r>
              <w:rPr>
                <w:w w:val="100"/>
                <w:sz w:val="21"/>
              </w:rPr>
              <w:t>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）等影像学检查证</w:t>
            </w:r>
            <w:r>
              <w:rPr>
                <w:spacing w:val="-9"/>
                <w:sz w:val="21"/>
              </w:rPr>
              <w:t>实，且自主生活能力完全丧失，无法独立完成六项基本日常生活活动中的三项或三项以上。</w:t>
            </w:r>
          </w:p>
          <w:p>
            <w:pPr>
              <w:pStyle w:val="TableParagraph"/>
              <w:spacing w:before="23"/>
              <w:jc w:val="both"/>
              <w:rPr>
                <w:sz w:val="21"/>
              </w:rPr>
            </w:pPr>
            <w:r>
              <w:rPr>
                <w:sz w:val="21"/>
              </w:rPr>
              <w:t>神经官能症和精神疾病不在保障范围内。</w:t>
            </w:r>
          </w:p>
        </w:tc>
      </w:tr>
      <w:tr>
        <w:trPr>
          <w:trHeight w:val="3154" w:hRule="atLeast"/>
        </w:trPr>
        <w:tc>
          <w:tcPr>
            <w:tcW w:w="1525" w:type="dxa"/>
          </w:tcPr>
          <w:p>
            <w:pPr>
              <w:pStyle w:val="TableParagraph"/>
              <w:spacing w:line="273" w:lineRule="auto" w:before="81"/>
              <w:ind w:left="200" w:right="113"/>
              <w:rPr>
                <w:b/>
                <w:sz w:val="21"/>
              </w:rPr>
            </w:pPr>
            <w:r>
              <w:rPr>
                <w:b/>
                <w:sz w:val="21"/>
              </w:rPr>
              <w:t>15.严重脑损伤</w:t>
            </w:r>
          </w:p>
        </w:tc>
        <w:tc>
          <w:tcPr>
            <w:tcW w:w="8066" w:type="dxa"/>
          </w:tcPr>
          <w:p>
            <w:pPr>
              <w:pStyle w:val="TableParagraph"/>
              <w:spacing w:line="326" w:lineRule="auto" w:before="112"/>
              <w:ind w:right="198"/>
              <w:rPr>
                <w:sz w:val="21"/>
              </w:rPr>
            </w:pPr>
            <w:r>
              <w:rPr>
                <w:spacing w:val="-3"/>
                <w:sz w:val="21"/>
              </w:rPr>
              <w:t>指因头部遭受机械性外力，引起脑重要部位损伤，导致神经系统永久性的功能障碍。</w:t>
            </w:r>
            <w:r>
              <w:rPr>
                <w:spacing w:val="-3"/>
                <w:w w:val="100"/>
                <w:sz w:val="21"/>
              </w:rPr>
              <w:t>须由头颅断层扫描（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w:t>
            </w:r>
            <w:r>
              <w:rPr>
                <w:w w:val="100"/>
                <w:sz w:val="21"/>
              </w:rPr>
              <w:t>等影</w:t>
            </w:r>
            <w:r>
              <w:rPr>
                <w:spacing w:val="-8"/>
                <w:sz w:val="21"/>
              </w:rPr>
              <w:t>像学检查证实。神经系统永久性的功能障碍，指脑损伤 </w:t>
            </w:r>
            <w:r>
              <w:rPr>
                <w:sz w:val="21"/>
              </w:rPr>
              <w:t>180</w:t>
            </w:r>
            <w:r>
              <w:rPr>
                <w:spacing w:val="-9"/>
                <w:sz w:val="21"/>
              </w:rPr>
              <w:t> 天后，仍遗留下列一种或</w:t>
            </w:r>
            <w:r>
              <w:rPr>
                <w:spacing w:val="-5"/>
                <w:sz w:val="21"/>
              </w:rPr>
              <w:t>一种以上障碍：</w:t>
            </w:r>
          </w:p>
          <w:p>
            <w:pPr>
              <w:pStyle w:val="TableParagraph"/>
              <w:numPr>
                <w:ilvl w:val="0"/>
                <w:numId w:val="21"/>
              </w:numPr>
              <w:tabs>
                <w:tab w:pos="721" w:val="left" w:leader="none"/>
              </w:tabs>
              <w:spacing w:line="240" w:lineRule="auto" w:before="23" w:after="0"/>
              <w:ind w:left="720" w:right="0" w:hanging="632"/>
              <w:jc w:val="left"/>
              <w:rPr>
                <w:sz w:val="21"/>
              </w:rPr>
            </w:pPr>
            <w:r>
              <w:rPr>
                <w:spacing w:val="-3"/>
                <w:sz w:val="21"/>
              </w:rPr>
              <w:t>一肢或一肢以上肢体机能完全丧失；</w:t>
            </w:r>
          </w:p>
          <w:p>
            <w:pPr>
              <w:pStyle w:val="TableParagraph"/>
              <w:numPr>
                <w:ilvl w:val="0"/>
                <w:numId w:val="21"/>
              </w:numPr>
              <w:tabs>
                <w:tab w:pos="721" w:val="left" w:leader="none"/>
              </w:tabs>
              <w:spacing w:line="240" w:lineRule="auto" w:before="99" w:after="0"/>
              <w:ind w:left="720" w:right="0" w:hanging="632"/>
              <w:jc w:val="left"/>
              <w:rPr>
                <w:sz w:val="21"/>
              </w:rPr>
            </w:pPr>
            <w:r>
              <w:rPr>
                <w:spacing w:val="-3"/>
                <w:sz w:val="21"/>
              </w:rPr>
              <w:t>语言能力或咀嚼吞咽能力完全丧失；</w:t>
            </w:r>
          </w:p>
          <w:p>
            <w:pPr>
              <w:pStyle w:val="TableParagraph"/>
              <w:numPr>
                <w:ilvl w:val="0"/>
                <w:numId w:val="21"/>
              </w:numPr>
              <w:tabs>
                <w:tab w:pos="721" w:val="left" w:leader="none"/>
              </w:tabs>
              <w:spacing w:line="326" w:lineRule="auto" w:before="99" w:after="0"/>
              <w:ind w:left="720" w:right="248" w:hanging="632"/>
              <w:jc w:val="left"/>
              <w:rPr>
                <w:sz w:val="21"/>
              </w:rPr>
            </w:pPr>
            <w:r>
              <w:rPr>
                <w:spacing w:val="-8"/>
                <w:sz w:val="21"/>
              </w:rPr>
              <w:t>自主生活能力完全丧失，无法独立完成六项基本日常生活活动中的三项或三项以上。</w:t>
            </w:r>
          </w:p>
        </w:tc>
      </w:tr>
      <w:tr>
        <w:trPr>
          <w:trHeight w:val="2260" w:hRule="atLeast"/>
        </w:trPr>
        <w:tc>
          <w:tcPr>
            <w:tcW w:w="1525" w:type="dxa"/>
          </w:tcPr>
          <w:p>
            <w:pPr>
              <w:pStyle w:val="TableParagraph"/>
              <w:spacing w:line="273" w:lineRule="auto" w:before="81"/>
              <w:ind w:left="200" w:right="113"/>
              <w:rPr>
                <w:b/>
                <w:sz w:val="21"/>
              </w:rPr>
            </w:pPr>
            <w:r>
              <w:rPr>
                <w:b/>
                <w:sz w:val="21"/>
              </w:rPr>
              <w:t>16.严重帕金森病</w:t>
            </w:r>
          </w:p>
        </w:tc>
        <w:tc>
          <w:tcPr>
            <w:tcW w:w="8066" w:type="dxa"/>
          </w:tcPr>
          <w:p>
            <w:pPr>
              <w:pStyle w:val="TableParagraph"/>
              <w:spacing w:line="326" w:lineRule="auto" w:before="112"/>
              <w:ind w:right="246"/>
              <w:rPr>
                <w:sz w:val="21"/>
              </w:rPr>
            </w:pPr>
            <w:r>
              <w:rPr>
                <w:spacing w:val="-6"/>
                <w:sz w:val="21"/>
              </w:rPr>
              <w:t>是一种中枢神经系统的退行性疾病，临床表现为震颤麻痹、共济失调等。须满足下列</w:t>
            </w:r>
            <w:r>
              <w:rPr>
                <w:spacing w:val="-4"/>
                <w:sz w:val="21"/>
              </w:rPr>
              <w:t>全部条件：</w:t>
            </w:r>
          </w:p>
          <w:p>
            <w:pPr>
              <w:pStyle w:val="TableParagraph"/>
              <w:numPr>
                <w:ilvl w:val="0"/>
                <w:numId w:val="22"/>
              </w:numPr>
              <w:tabs>
                <w:tab w:pos="721" w:val="left" w:leader="none"/>
              </w:tabs>
              <w:spacing w:line="240" w:lineRule="auto" w:before="23" w:after="0"/>
              <w:ind w:left="720" w:right="0" w:hanging="632"/>
              <w:jc w:val="left"/>
              <w:rPr>
                <w:sz w:val="21"/>
              </w:rPr>
            </w:pPr>
            <w:r>
              <w:rPr>
                <w:spacing w:val="-3"/>
                <w:sz w:val="21"/>
              </w:rPr>
              <w:t>药物治疗无法控制病情；</w:t>
            </w:r>
          </w:p>
          <w:p>
            <w:pPr>
              <w:pStyle w:val="TableParagraph"/>
              <w:numPr>
                <w:ilvl w:val="0"/>
                <w:numId w:val="22"/>
              </w:numPr>
              <w:tabs>
                <w:tab w:pos="721" w:val="left" w:leader="none"/>
              </w:tabs>
              <w:spacing w:line="326" w:lineRule="auto" w:before="99" w:after="0"/>
              <w:ind w:left="720" w:right="248" w:hanging="632"/>
              <w:jc w:val="left"/>
              <w:rPr>
                <w:sz w:val="21"/>
              </w:rPr>
            </w:pPr>
            <w:r>
              <w:rPr>
                <w:spacing w:val="-8"/>
                <w:sz w:val="21"/>
              </w:rPr>
              <w:t>自主生活能力完全丧失，无法独立完成六项基本日常生活活动中的三项或三项以上。</w:t>
            </w:r>
          </w:p>
          <w:p>
            <w:pPr>
              <w:pStyle w:val="TableParagraph"/>
              <w:spacing w:line="255" w:lineRule="exact" w:before="23"/>
              <w:rPr>
                <w:sz w:val="21"/>
              </w:rPr>
            </w:pPr>
            <w:r>
              <w:rPr>
                <w:sz w:val="21"/>
              </w:rPr>
              <w:t>继发性帕金森综合征不在保障范围内。</w:t>
            </w:r>
          </w:p>
        </w:tc>
      </w:tr>
    </w:tbl>
    <w:p>
      <w:pPr>
        <w:spacing w:after="0" w:line="255" w:lineRule="exact"/>
        <w:rPr>
          <w:sz w:val="21"/>
        </w:rPr>
        <w:sectPr>
          <w:pgSz w:w="11910" w:h="16840"/>
          <w:pgMar w:header="0" w:footer="375" w:top="1360" w:bottom="560" w:left="1440" w:right="6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5"/>
        <w:gridCol w:w="8064"/>
      </w:tblGrid>
      <w:tr>
        <w:trPr>
          <w:trHeight w:val="761" w:hRule="atLeast"/>
        </w:trPr>
        <w:tc>
          <w:tcPr>
            <w:tcW w:w="1525" w:type="dxa"/>
          </w:tcPr>
          <w:p>
            <w:pPr>
              <w:pStyle w:val="TableParagraph"/>
              <w:spacing w:line="204" w:lineRule="exact" w:before="0"/>
              <w:ind w:left="200"/>
              <w:rPr>
                <w:b/>
                <w:sz w:val="21"/>
              </w:rPr>
            </w:pPr>
            <w:r>
              <w:rPr>
                <w:b/>
                <w:sz w:val="21"/>
              </w:rPr>
              <w:t>17.严重</w:t>
            </w:r>
            <w:r>
              <w:rPr>
                <w:rFonts w:ascii="宋体" w:hAnsi="宋体" w:eastAsia="宋体" w:hint="eastAsia"/>
                <w:b/>
                <w:sz w:val="21"/>
              </w:rPr>
              <w:t>Ⅲ</w:t>
            </w:r>
            <w:r>
              <w:rPr>
                <w:b/>
                <w:sz w:val="21"/>
              </w:rPr>
              <w:t>度</w:t>
            </w:r>
          </w:p>
          <w:p>
            <w:pPr>
              <w:pStyle w:val="TableParagraph"/>
              <w:spacing w:before="37"/>
              <w:ind w:left="200"/>
              <w:rPr>
                <w:b/>
                <w:sz w:val="21"/>
              </w:rPr>
            </w:pPr>
            <w:r>
              <w:rPr>
                <w:b/>
                <w:sz w:val="21"/>
              </w:rPr>
              <w:t>烧伤</w:t>
            </w:r>
          </w:p>
        </w:tc>
        <w:tc>
          <w:tcPr>
            <w:tcW w:w="8064" w:type="dxa"/>
          </w:tcPr>
          <w:p>
            <w:pPr>
              <w:pStyle w:val="TableParagraph"/>
              <w:spacing w:line="235" w:lineRule="exact" w:before="0"/>
              <w:rPr>
                <w:sz w:val="21"/>
              </w:rPr>
            </w:pPr>
            <w:r>
              <w:rPr>
                <w:sz w:val="21"/>
              </w:rPr>
              <w:t>指烧伤程度为Ⅲ度，且Ⅲ度烧伤的面积达到全身体表面积的 20％或 20％以上。体表</w:t>
            </w:r>
          </w:p>
          <w:p>
            <w:pPr>
              <w:pStyle w:val="TableParagraph"/>
              <w:rPr>
                <w:sz w:val="21"/>
              </w:rPr>
            </w:pPr>
            <w:r>
              <w:rPr>
                <w:sz w:val="21"/>
              </w:rPr>
              <w:t>面积根据《中国新九分法》计算。</w:t>
            </w:r>
          </w:p>
        </w:tc>
      </w:tr>
      <w:tr>
        <w:trPr>
          <w:trHeight w:val="1281" w:hRule="atLeast"/>
        </w:trPr>
        <w:tc>
          <w:tcPr>
            <w:tcW w:w="1525" w:type="dxa"/>
          </w:tcPr>
          <w:p>
            <w:pPr>
              <w:pStyle w:val="TableParagraph"/>
              <w:spacing w:line="273" w:lineRule="auto" w:before="74"/>
              <w:ind w:left="200" w:right="88"/>
              <w:jc w:val="both"/>
              <w:rPr>
                <w:b/>
                <w:sz w:val="21"/>
              </w:rPr>
            </w:pPr>
            <w:r>
              <w:rPr>
                <w:b/>
                <w:sz w:val="21"/>
              </w:rPr>
              <w:t>18.严重原发性肺动脉高压</w:t>
            </w:r>
          </w:p>
        </w:tc>
        <w:tc>
          <w:tcPr>
            <w:tcW w:w="8064" w:type="dxa"/>
          </w:tcPr>
          <w:p>
            <w:pPr>
              <w:pStyle w:val="TableParagraph"/>
              <w:spacing w:line="326" w:lineRule="auto" w:before="105"/>
              <w:ind w:right="244"/>
              <w:jc w:val="both"/>
              <w:rPr>
                <w:sz w:val="21"/>
              </w:rPr>
            </w:pPr>
            <w:r>
              <w:rPr>
                <w:spacing w:val="-6"/>
                <w:sz w:val="21"/>
              </w:rPr>
              <w:t>指不明原因的肺动脉压力持续性增高，进行性发展而导致的慢性疾病，已经造成永久不可逆性的体力活动能力受限，达到美国纽约心脏病学会心功能状态分级 </w:t>
            </w:r>
            <w:r>
              <w:rPr>
                <w:sz w:val="21"/>
              </w:rPr>
              <w:t>IV</w:t>
            </w:r>
            <w:r>
              <w:rPr>
                <w:spacing w:val="-12"/>
                <w:sz w:val="21"/>
              </w:rPr>
              <w:t> 级，且</w:t>
            </w:r>
            <w:r>
              <w:rPr>
                <w:spacing w:val="-9"/>
                <w:sz w:val="21"/>
              </w:rPr>
              <w:t>静息状态下肺动脉平均压超过 </w:t>
            </w:r>
            <w:r>
              <w:rPr>
                <w:sz w:val="21"/>
              </w:rPr>
              <w:t>30mmHg。</w:t>
            </w:r>
          </w:p>
        </w:tc>
      </w:tr>
      <w:tr>
        <w:trPr>
          <w:trHeight w:val="1283" w:hRule="atLeast"/>
        </w:trPr>
        <w:tc>
          <w:tcPr>
            <w:tcW w:w="1525" w:type="dxa"/>
          </w:tcPr>
          <w:p>
            <w:pPr>
              <w:pStyle w:val="TableParagraph"/>
              <w:spacing w:line="273" w:lineRule="auto" w:before="74"/>
              <w:ind w:left="200" w:right="113"/>
              <w:rPr>
                <w:b/>
                <w:sz w:val="21"/>
              </w:rPr>
            </w:pPr>
            <w:r>
              <w:rPr>
                <w:b/>
                <w:sz w:val="21"/>
              </w:rPr>
              <w:t>19.语言能力丧失</w:t>
            </w:r>
          </w:p>
        </w:tc>
        <w:tc>
          <w:tcPr>
            <w:tcW w:w="8064" w:type="dxa"/>
          </w:tcPr>
          <w:p>
            <w:pPr>
              <w:pStyle w:val="TableParagraph"/>
              <w:spacing w:line="326" w:lineRule="auto" w:before="105"/>
              <w:ind w:right="301"/>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pacing w:val="-2"/>
                <w:sz w:val="21"/>
              </w:rPr>
              <w:t>声带完全</w:t>
            </w:r>
            <w:r>
              <w:rPr>
                <w:spacing w:val="-3"/>
                <w:w w:val="100"/>
                <w:sz w:val="21"/>
              </w:rPr>
              <w:t>切除不受此时间限制</w:t>
            </w:r>
            <w:r>
              <w:rPr>
                <w:spacing w:val="-106"/>
                <w:w w:val="100"/>
                <w:sz w:val="21"/>
              </w:rPr>
              <w:t>）</w:t>
            </w:r>
            <w:r>
              <w:rPr>
                <w:spacing w:val="-3"/>
                <w:w w:val="100"/>
                <w:sz w:val="21"/>
              </w:rPr>
              <w:t>，仍无法通过现有医疗手段恢复。</w:t>
            </w:r>
          </w:p>
          <w:p>
            <w:pPr>
              <w:pStyle w:val="TableParagraph"/>
              <w:spacing w:before="24"/>
              <w:rPr>
                <w:sz w:val="21"/>
              </w:rPr>
            </w:pPr>
            <w:r>
              <w:rPr>
                <w:sz w:val="21"/>
              </w:rPr>
              <w:t>精神心理因素所致的语言能力丧失不在保障范围内。</w:t>
            </w:r>
          </w:p>
        </w:tc>
      </w:tr>
      <w:tr>
        <w:trPr>
          <w:trHeight w:val="2780" w:hRule="atLeast"/>
        </w:trPr>
        <w:tc>
          <w:tcPr>
            <w:tcW w:w="1525" w:type="dxa"/>
          </w:tcPr>
          <w:p>
            <w:pPr>
              <w:pStyle w:val="TableParagraph"/>
              <w:spacing w:line="273" w:lineRule="auto" w:before="75"/>
              <w:ind w:left="200" w:right="113"/>
              <w:rPr>
                <w:b/>
                <w:sz w:val="21"/>
              </w:rPr>
            </w:pPr>
            <w:r>
              <w:rPr>
                <w:b/>
                <w:sz w:val="21"/>
              </w:rPr>
              <w:t>20.重型再生障碍性贫血</w:t>
            </w:r>
          </w:p>
        </w:tc>
        <w:tc>
          <w:tcPr>
            <w:tcW w:w="8064" w:type="dxa"/>
          </w:tcPr>
          <w:p>
            <w:pPr>
              <w:pStyle w:val="TableParagraph"/>
              <w:spacing w:line="326" w:lineRule="auto" w:before="106"/>
              <w:ind w:right="244"/>
              <w:rPr>
                <w:sz w:val="21"/>
              </w:rPr>
            </w:pPr>
            <w:r>
              <w:rPr>
                <w:spacing w:val="-6"/>
                <w:sz w:val="21"/>
              </w:rPr>
              <w:t>指因骨髓造血功能慢性持续性衰竭导致的贫血、中性粒细胞减少及血小板减少。须满</w:t>
            </w:r>
            <w:r>
              <w:rPr>
                <w:spacing w:val="-4"/>
                <w:sz w:val="21"/>
              </w:rPr>
              <w:t>足下列全部条件：</w:t>
            </w:r>
          </w:p>
          <w:p>
            <w:pPr>
              <w:pStyle w:val="TableParagraph"/>
              <w:numPr>
                <w:ilvl w:val="0"/>
                <w:numId w:val="23"/>
              </w:numPr>
              <w:tabs>
                <w:tab w:pos="721" w:val="left" w:leader="none"/>
              </w:tabs>
              <w:spacing w:line="240" w:lineRule="auto" w:before="23" w:after="0"/>
              <w:ind w:left="720" w:right="0" w:hanging="632"/>
              <w:jc w:val="left"/>
              <w:rPr>
                <w:sz w:val="21"/>
              </w:rPr>
            </w:pPr>
            <w:r>
              <w:rPr>
                <w:spacing w:val="-3"/>
                <w:sz w:val="21"/>
              </w:rPr>
              <w:t>骨髓穿刺检查或骨髓活检结果支持诊断；</w:t>
            </w:r>
          </w:p>
          <w:p>
            <w:pPr>
              <w:pStyle w:val="TableParagraph"/>
              <w:numPr>
                <w:ilvl w:val="0"/>
                <w:numId w:val="23"/>
              </w:numPr>
              <w:tabs>
                <w:tab w:pos="721" w:val="left" w:leader="none"/>
              </w:tabs>
              <w:spacing w:line="240" w:lineRule="auto" w:before="99" w:after="0"/>
              <w:ind w:left="720" w:right="0" w:hanging="632"/>
              <w:jc w:val="left"/>
              <w:rPr>
                <w:sz w:val="21"/>
              </w:rPr>
            </w:pPr>
            <w:r>
              <w:rPr>
                <w:spacing w:val="-3"/>
                <w:sz w:val="21"/>
              </w:rPr>
              <w:t>外周血象须具备以下三项条件：</w:t>
            </w:r>
          </w:p>
          <w:p>
            <w:pPr>
              <w:pStyle w:val="TableParagraph"/>
              <w:ind w:left="720"/>
              <w:rPr>
                <w:sz w:val="21"/>
              </w:rPr>
            </w:pPr>
            <w:r>
              <w:rPr>
                <w:sz w:val="21"/>
              </w:rPr>
              <w:t>① 中性粒细胞绝对值≤0.5×10</w:t>
            </w:r>
            <w:r>
              <w:rPr>
                <w:position w:val="11"/>
                <w:sz w:val="11"/>
              </w:rPr>
              <w:t>9</w:t>
            </w:r>
            <w:r>
              <w:rPr>
                <w:sz w:val="21"/>
              </w:rPr>
              <w:t>/L；</w:t>
            </w:r>
          </w:p>
          <w:p>
            <w:pPr>
              <w:pStyle w:val="TableParagraph"/>
              <w:ind w:left="720"/>
              <w:rPr>
                <w:sz w:val="21"/>
              </w:rPr>
            </w:pPr>
            <w:r>
              <w:rPr>
                <w:sz w:val="21"/>
              </w:rPr>
              <w:t>② 网织红细胞＜1%；</w:t>
            </w:r>
          </w:p>
          <w:p>
            <w:pPr>
              <w:pStyle w:val="TableParagraph"/>
              <w:ind w:left="720"/>
              <w:rPr>
                <w:sz w:val="21"/>
              </w:rPr>
            </w:pPr>
            <w:r>
              <w:rPr>
                <w:sz w:val="21"/>
              </w:rPr>
              <w:t>③ 血小板绝对值≤20×10</w:t>
            </w:r>
            <w:r>
              <w:rPr>
                <w:position w:val="11"/>
                <w:sz w:val="11"/>
              </w:rPr>
              <w:t>9</w:t>
            </w:r>
            <w:r>
              <w:rPr>
                <w:sz w:val="21"/>
              </w:rPr>
              <w:t>/L。</w:t>
            </w:r>
          </w:p>
        </w:tc>
      </w:tr>
      <w:tr>
        <w:trPr>
          <w:trHeight w:val="1297" w:hRule="atLeast"/>
        </w:trPr>
        <w:tc>
          <w:tcPr>
            <w:tcW w:w="1525" w:type="dxa"/>
          </w:tcPr>
          <w:p>
            <w:pPr>
              <w:pStyle w:val="TableParagraph"/>
              <w:spacing w:line="273" w:lineRule="auto" w:before="74"/>
              <w:ind w:left="200" w:right="113"/>
              <w:rPr>
                <w:b/>
                <w:sz w:val="21"/>
              </w:rPr>
            </w:pPr>
            <w:r>
              <w:rPr>
                <w:b/>
                <w:sz w:val="21"/>
              </w:rPr>
              <w:t>21.主动脉手术</w:t>
            </w:r>
          </w:p>
        </w:tc>
        <w:tc>
          <w:tcPr>
            <w:tcW w:w="8064" w:type="dxa"/>
          </w:tcPr>
          <w:p>
            <w:pPr>
              <w:pStyle w:val="TableParagraph"/>
              <w:spacing w:line="326" w:lineRule="auto" w:before="105"/>
              <w:ind w:right="198"/>
              <w:jc w:val="both"/>
              <w:rPr>
                <w:sz w:val="21"/>
              </w:rPr>
            </w:pPr>
            <w:r>
              <w:rPr>
                <w:spacing w:val="-7"/>
                <w:sz w:val="21"/>
              </w:rPr>
              <w:t>指为治疗主动脉疾病，实际实施了开胸或开腹进行的切除、置换、修补病损主动脉血</w:t>
            </w:r>
            <w:r>
              <w:rPr>
                <w:spacing w:val="-3"/>
                <w:sz w:val="21"/>
              </w:rPr>
              <w:t>管的手术。主动脉指胸主动脉和腹主动脉，不包括胸主动脉和腹主动脉的分支血管。动脉内血管成形术不在保障范围内。</w:t>
            </w:r>
          </w:p>
        </w:tc>
      </w:tr>
      <w:tr>
        <w:trPr>
          <w:trHeight w:val="517" w:hRule="atLeast"/>
        </w:trPr>
        <w:tc>
          <w:tcPr>
            <w:tcW w:w="1525" w:type="dxa"/>
          </w:tcPr>
          <w:p>
            <w:pPr>
              <w:pStyle w:val="TableParagraph"/>
              <w:spacing w:before="0"/>
              <w:ind w:left="0"/>
              <w:rPr>
                <w:rFonts w:ascii="Times New Roman"/>
                <w:sz w:val="20"/>
              </w:rPr>
            </w:pPr>
          </w:p>
        </w:tc>
        <w:tc>
          <w:tcPr>
            <w:tcW w:w="8064" w:type="dxa"/>
          </w:tcPr>
          <w:p>
            <w:pPr>
              <w:pStyle w:val="TableParagraph"/>
              <w:spacing w:before="89"/>
              <w:rPr>
                <w:sz w:val="21"/>
              </w:rPr>
            </w:pPr>
            <w:r>
              <w:rPr>
                <w:sz w:val="21"/>
              </w:rPr>
              <w:t>（22-36 为本公司增加的疾病）</w:t>
            </w:r>
          </w:p>
        </w:tc>
      </w:tr>
      <w:tr>
        <w:trPr>
          <w:trHeight w:val="6379" w:hRule="atLeast"/>
        </w:trPr>
        <w:tc>
          <w:tcPr>
            <w:tcW w:w="1525" w:type="dxa"/>
          </w:tcPr>
          <w:p>
            <w:pPr>
              <w:pStyle w:val="TableParagraph"/>
              <w:spacing w:line="273" w:lineRule="auto" w:before="74"/>
              <w:ind w:left="200" w:right="113"/>
              <w:rPr>
                <w:b/>
                <w:sz w:val="21"/>
              </w:rPr>
            </w:pPr>
            <w:r>
              <w:rPr>
                <w:b/>
                <w:sz w:val="21"/>
              </w:rPr>
              <w:t>22.系统性红斑狼疮</w:t>
            </w:r>
          </w:p>
        </w:tc>
        <w:tc>
          <w:tcPr>
            <w:tcW w:w="8064" w:type="dxa"/>
          </w:tcPr>
          <w:p>
            <w:pPr>
              <w:pStyle w:val="TableParagraph"/>
              <w:spacing w:line="326" w:lineRule="auto" w:before="105"/>
              <w:ind w:right="243"/>
              <w:jc w:val="both"/>
              <w:rPr>
                <w:sz w:val="21"/>
              </w:rPr>
            </w:pPr>
            <w:r>
              <w:rPr>
                <w:spacing w:val="-7"/>
                <w:sz w:val="21"/>
              </w:rPr>
              <w:t>是由多种因素引起，累及多系统和脏器的自身免疫性疾病，以青年女性多见。其特点</w:t>
            </w:r>
            <w:r>
              <w:rPr>
                <w:spacing w:val="-8"/>
                <w:sz w:val="21"/>
              </w:rPr>
              <w:t>是生成自身抗体对抗多种自身抗原。本主险合同所指的系统性红斑狼疮仅限于累及肾</w:t>
            </w:r>
            <w:r>
              <w:rPr>
                <w:spacing w:val="-11"/>
                <w:sz w:val="21"/>
              </w:rPr>
              <w:t>脏(经肾脏活检确认的，并符合下列 </w:t>
            </w:r>
            <w:r>
              <w:rPr>
                <w:sz w:val="21"/>
              </w:rPr>
              <w:t>2003</w:t>
            </w:r>
            <w:r>
              <w:rPr>
                <w:spacing w:val="-7"/>
                <w:sz w:val="21"/>
              </w:rPr>
              <w:t> 年国际肾脏病学会和肾脏病理学会修订分类标准定义Ⅲ型至Ⅵ型狼疮性肾炎)的系统性红斑狼疮，临床主要表现为蛋白尿、血尿, </w:t>
            </w:r>
            <w:r>
              <w:rPr>
                <w:spacing w:val="-8"/>
                <w:sz w:val="21"/>
              </w:rPr>
              <w:t>伴或不伴肾功能异常。其他类型的红斑性狼疮</w:t>
            </w:r>
            <w:r>
              <w:rPr>
                <w:spacing w:val="-3"/>
                <w:sz w:val="21"/>
              </w:rPr>
              <w:t>（</w:t>
            </w:r>
            <w:r>
              <w:rPr>
                <w:spacing w:val="-5"/>
                <w:sz w:val="21"/>
              </w:rPr>
              <w:t>如盘状红斑狼疮、亚急性皮肤型红斑狼疮等</w:t>
            </w:r>
            <w:r>
              <w:rPr>
                <w:spacing w:val="-106"/>
                <w:sz w:val="21"/>
              </w:rPr>
              <w:t>）</w:t>
            </w:r>
            <w:r>
              <w:rPr>
                <w:spacing w:val="-3"/>
                <w:sz w:val="21"/>
              </w:rPr>
              <w:t>、仅累及血液及关节等其他系统的系统性红斑狼疮不属于本主险合同所说的</w:t>
            </w:r>
            <w:r>
              <w:rPr>
                <w:spacing w:val="-7"/>
                <w:sz w:val="21"/>
              </w:rPr>
              <w:t>系统性红斑狼疮。本病的诊断必须由本公司认可的免疫科、风湿科或肾内科主任级医</w:t>
            </w:r>
            <w:r>
              <w:rPr>
                <w:spacing w:val="-5"/>
                <w:sz w:val="21"/>
              </w:rPr>
              <w:t>师作出。</w:t>
            </w:r>
          </w:p>
          <w:p>
            <w:pPr>
              <w:pStyle w:val="TableParagraph"/>
              <w:tabs>
                <w:tab w:pos="4133" w:val="left" w:leader="none"/>
              </w:tabs>
              <w:spacing w:line="326" w:lineRule="auto" w:before="24"/>
              <w:ind w:right="251"/>
              <w:rPr>
                <w:sz w:val="21"/>
              </w:rPr>
            </w:pPr>
            <w:r>
              <w:rPr>
                <w:sz w:val="21"/>
              </w:rPr>
              <w:t>2003</w:t>
            </w:r>
            <w:r>
              <w:rPr>
                <w:spacing w:val="-50"/>
                <w:sz w:val="21"/>
              </w:rPr>
              <w:t> </w:t>
            </w:r>
            <w:r>
              <w:rPr>
                <w:sz w:val="21"/>
              </w:rPr>
              <w:t>年</w:t>
            </w:r>
            <w:r>
              <w:rPr>
                <w:spacing w:val="-3"/>
                <w:sz w:val="21"/>
              </w:rPr>
              <w:t>由</w:t>
            </w:r>
            <w:r>
              <w:rPr>
                <w:sz w:val="21"/>
              </w:rPr>
              <w:t>国</w:t>
            </w:r>
            <w:r>
              <w:rPr>
                <w:spacing w:val="-3"/>
                <w:sz w:val="21"/>
              </w:rPr>
              <w:t>际</w:t>
            </w:r>
            <w:r>
              <w:rPr>
                <w:sz w:val="21"/>
              </w:rPr>
              <w:t>肾</w:t>
            </w:r>
            <w:r>
              <w:rPr>
                <w:spacing w:val="-3"/>
                <w:sz w:val="21"/>
              </w:rPr>
              <w:t>脏</w:t>
            </w:r>
            <w:r>
              <w:rPr>
                <w:sz w:val="21"/>
              </w:rPr>
              <w:t>病</w:t>
            </w:r>
            <w:r>
              <w:rPr>
                <w:spacing w:val="-3"/>
                <w:sz w:val="21"/>
              </w:rPr>
              <w:t>学会</w:t>
            </w:r>
            <w:r>
              <w:rPr>
                <w:sz w:val="21"/>
              </w:rPr>
              <w:t>和肾</w:t>
            </w:r>
            <w:r>
              <w:rPr>
                <w:spacing w:val="-3"/>
                <w:sz w:val="21"/>
              </w:rPr>
              <w:t>脏</w:t>
            </w:r>
            <w:r>
              <w:rPr>
                <w:sz w:val="21"/>
              </w:rPr>
              <w:t>病</w:t>
            </w:r>
            <w:r>
              <w:rPr>
                <w:spacing w:val="-3"/>
                <w:sz w:val="21"/>
              </w:rPr>
              <w:t>理</w:t>
            </w:r>
            <w:r>
              <w:rPr>
                <w:sz w:val="21"/>
              </w:rPr>
              <w:t>学会</w:t>
              <w:tab/>
            </w:r>
            <w:r>
              <w:rPr>
                <w:spacing w:val="-1"/>
                <w:sz w:val="21"/>
              </w:rPr>
              <w:t>(ISN/RPS)修</w:t>
            </w:r>
            <w:r>
              <w:rPr>
                <w:spacing w:val="-3"/>
                <w:sz w:val="21"/>
              </w:rPr>
              <w:t>订</w:t>
            </w:r>
            <w:r>
              <w:rPr>
                <w:spacing w:val="-1"/>
                <w:sz w:val="21"/>
              </w:rPr>
              <w:t>的</w:t>
            </w:r>
            <w:r>
              <w:rPr>
                <w:spacing w:val="-3"/>
                <w:sz w:val="21"/>
              </w:rPr>
              <w:t>狼</w:t>
            </w:r>
            <w:r>
              <w:rPr>
                <w:spacing w:val="-1"/>
                <w:sz w:val="21"/>
              </w:rPr>
              <w:t>疮</w:t>
            </w:r>
            <w:r>
              <w:rPr>
                <w:spacing w:val="-3"/>
                <w:sz w:val="21"/>
              </w:rPr>
              <w:t>性</w:t>
            </w:r>
            <w:r>
              <w:rPr>
                <w:spacing w:val="-1"/>
                <w:sz w:val="21"/>
              </w:rPr>
              <w:t>肾</w:t>
            </w:r>
            <w:r>
              <w:rPr>
                <w:spacing w:val="-3"/>
                <w:sz w:val="21"/>
              </w:rPr>
              <w:t>炎</w:t>
            </w:r>
            <w:r>
              <w:rPr>
                <w:sz w:val="21"/>
              </w:rPr>
              <w:t>(LN)的分类 标准：</w:t>
            </w:r>
          </w:p>
          <w:p>
            <w:pPr>
              <w:pStyle w:val="TableParagraph"/>
              <w:spacing w:line="326" w:lineRule="auto" w:before="24"/>
              <w:ind w:right="292"/>
              <w:rPr>
                <w:sz w:val="21"/>
              </w:rPr>
            </w:pPr>
            <w:r>
              <w:rPr>
                <w:sz w:val="21"/>
              </w:rPr>
              <w:t>Ⅰ型为系膜轻微病变性 LN:光镜下表现基本正常,免疫荧光可见系膜区免疫复合物沉积。</w:t>
            </w:r>
          </w:p>
          <w:p>
            <w:pPr>
              <w:pStyle w:val="TableParagraph"/>
              <w:spacing w:line="326" w:lineRule="auto" w:before="24"/>
              <w:ind w:right="292"/>
              <w:rPr>
                <w:sz w:val="21"/>
              </w:rPr>
            </w:pPr>
            <w:r>
              <w:rPr>
                <w:sz w:val="21"/>
              </w:rPr>
              <w:t>Ⅱ型为系膜增生性 LN:光镜下可见系膜细胞增生或系膜基质增多,伴系膜区免疫复合物沉积,免疫荧光或电镜下可见少量孤立的上皮下或内皮下沉积物。</w:t>
            </w:r>
          </w:p>
          <w:p>
            <w:pPr>
              <w:pStyle w:val="TableParagraph"/>
              <w:spacing w:before="24"/>
              <w:rPr>
                <w:sz w:val="21"/>
              </w:rPr>
            </w:pPr>
            <w:r>
              <w:rPr>
                <w:sz w:val="21"/>
              </w:rPr>
              <w:t>Ⅲ型为局灶 LN:受累肾小球少于全部肾小球的 50%,可表现为活动或非活动性病变,局</w:t>
            </w:r>
          </w:p>
          <w:p>
            <w:pPr>
              <w:pStyle w:val="TableParagraph"/>
              <w:tabs>
                <w:tab w:pos="3607" w:val="left" w:leader="none"/>
                <w:tab w:pos="6766" w:val="left" w:leader="none"/>
              </w:tabs>
              <w:spacing w:line="370" w:lineRule="atLeast" w:before="4"/>
              <w:ind w:right="243"/>
              <w:rPr>
                <w:sz w:val="21"/>
              </w:rPr>
            </w:pPr>
            <w:r>
              <w:rPr>
                <w:sz w:val="21"/>
              </w:rPr>
              <w:t>灶</w:t>
            </w:r>
            <w:r>
              <w:rPr>
                <w:spacing w:val="-25"/>
                <w:sz w:val="21"/>
              </w:rPr>
              <w:t>、</w:t>
            </w:r>
            <w:r>
              <w:rPr>
                <w:spacing w:val="-3"/>
                <w:sz w:val="21"/>
              </w:rPr>
              <w:t>节</w:t>
            </w:r>
            <w:r>
              <w:rPr>
                <w:sz w:val="21"/>
              </w:rPr>
              <w:t>段</w:t>
            </w:r>
            <w:r>
              <w:rPr>
                <w:spacing w:val="-3"/>
                <w:sz w:val="21"/>
              </w:rPr>
              <w:t>或</w:t>
            </w:r>
            <w:r>
              <w:rPr>
                <w:sz w:val="21"/>
              </w:rPr>
              <w:t>球</w:t>
            </w:r>
            <w:r>
              <w:rPr>
                <w:spacing w:val="-3"/>
                <w:sz w:val="21"/>
              </w:rPr>
              <w:t>性</w:t>
            </w:r>
            <w:r>
              <w:rPr>
                <w:sz w:val="21"/>
              </w:rPr>
              <w:t>病变</w:t>
            </w:r>
            <w:r>
              <w:rPr>
                <w:spacing w:val="-3"/>
                <w:sz w:val="21"/>
              </w:rPr>
              <w:t>,</w:t>
            </w:r>
            <w:r>
              <w:rPr>
                <w:sz w:val="21"/>
              </w:rPr>
              <w:t>毛</w:t>
            </w:r>
            <w:r>
              <w:rPr>
                <w:spacing w:val="-3"/>
                <w:sz w:val="21"/>
              </w:rPr>
              <w:t>细</w:t>
            </w:r>
            <w:r>
              <w:rPr>
                <w:sz w:val="21"/>
              </w:rPr>
              <w:t>血管</w:t>
            </w:r>
            <w:r>
              <w:rPr>
                <w:spacing w:val="-3"/>
                <w:sz w:val="21"/>
              </w:rPr>
              <w:t>内</w:t>
            </w:r>
            <w:r>
              <w:rPr>
                <w:sz w:val="21"/>
              </w:rPr>
              <w:t>或</w:t>
            </w:r>
            <w:r>
              <w:rPr>
                <w:spacing w:val="-3"/>
                <w:sz w:val="21"/>
              </w:rPr>
              <w:t>毛</w:t>
            </w:r>
            <w:r>
              <w:rPr>
                <w:sz w:val="21"/>
              </w:rPr>
              <w:t>细</w:t>
            </w:r>
            <w:r>
              <w:rPr>
                <w:spacing w:val="-3"/>
                <w:sz w:val="21"/>
              </w:rPr>
              <w:t>血</w:t>
            </w:r>
            <w:r>
              <w:rPr>
                <w:sz w:val="21"/>
              </w:rPr>
              <w:t>管</w:t>
            </w:r>
            <w:r>
              <w:rPr>
                <w:spacing w:val="-3"/>
                <w:sz w:val="21"/>
              </w:rPr>
              <w:t>外</w:t>
            </w:r>
            <w:r>
              <w:rPr>
                <w:sz w:val="21"/>
              </w:rPr>
              <w:t>增</w:t>
            </w:r>
            <w:r>
              <w:rPr>
                <w:spacing w:val="-3"/>
                <w:sz w:val="21"/>
              </w:rPr>
              <w:t>生</w:t>
            </w:r>
            <w:r>
              <w:rPr>
                <w:sz w:val="21"/>
              </w:rPr>
              <w:t>性病</w:t>
            </w:r>
            <w:r>
              <w:rPr>
                <w:spacing w:val="-3"/>
                <w:sz w:val="21"/>
              </w:rPr>
              <w:t>变</w:t>
            </w:r>
            <w:r>
              <w:rPr>
                <w:spacing w:val="-25"/>
                <w:sz w:val="21"/>
              </w:rPr>
              <w:t>。</w:t>
            </w:r>
            <w:r>
              <w:rPr>
                <w:spacing w:val="-3"/>
                <w:sz w:val="21"/>
              </w:rPr>
              <w:t>其</w:t>
            </w:r>
            <w:r>
              <w:rPr>
                <w:sz w:val="21"/>
              </w:rPr>
              <w:t>中Ⅲ(A)</w:t>
              <w:tab/>
              <w:t>型</w:t>
            </w:r>
            <w:r>
              <w:rPr>
                <w:spacing w:val="-3"/>
                <w:sz w:val="21"/>
              </w:rPr>
              <w:t>为</w:t>
            </w:r>
            <w:r>
              <w:rPr>
                <w:sz w:val="21"/>
              </w:rPr>
              <w:t>活</w:t>
            </w:r>
            <w:r>
              <w:rPr>
                <w:spacing w:val="-3"/>
                <w:sz w:val="21"/>
              </w:rPr>
              <w:t>动</w:t>
            </w:r>
            <w:r>
              <w:rPr>
                <w:sz w:val="21"/>
              </w:rPr>
              <w:t>性 病变</w:t>
            </w:r>
            <w:r>
              <w:rPr>
                <w:spacing w:val="-3"/>
                <w:sz w:val="21"/>
              </w:rPr>
              <w:t>,</w:t>
            </w:r>
            <w:r>
              <w:rPr>
                <w:sz w:val="21"/>
              </w:rPr>
              <w:t>表</w:t>
            </w:r>
            <w:r>
              <w:rPr>
                <w:spacing w:val="-3"/>
                <w:sz w:val="21"/>
              </w:rPr>
              <w:t>现</w:t>
            </w:r>
            <w:r>
              <w:rPr>
                <w:sz w:val="21"/>
              </w:rPr>
              <w:t>为</w:t>
            </w:r>
            <w:r>
              <w:rPr>
                <w:spacing w:val="-3"/>
                <w:sz w:val="21"/>
              </w:rPr>
              <w:t>局</w:t>
            </w:r>
            <w:r>
              <w:rPr>
                <w:sz w:val="21"/>
              </w:rPr>
              <w:t>灶</w:t>
            </w:r>
            <w:r>
              <w:rPr>
                <w:spacing w:val="-3"/>
                <w:sz w:val="21"/>
              </w:rPr>
              <w:t>增</w:t>
            </w:r>
            <w:r>
              <w:rPr>
                <w:sz w:val="21"/>
              </w:rPr>
              <w:t>生型</w:t>
            </w:r>
            <w:r>
              <w:rPr>
                <w:spacing w:val="-52"/>
                <w:sz w:val="21"/>
              </w:rPr>
              <w:t> </w:t>
            </w:r>
            <w:r>
              <w:rPr>
                <w:sz w:val="21"/>
              </w:rPr>
              <w:t>LN;Ⅲ(A/C)</w:t>
              <w:tab/>
            </w:r>
            <w:r>
              <w:rPr>
                <w:spacing w:val="-3"/>
                <w:sz w:val="21"/>
              </w:rPr>
              <w:t>型</w:t>
            </w:r>
            <w:r>
              <w:rPr>
                <w:spacing w:val="-1"/>
                <w:sz w:val="21"/>
              </w:rPr>
              <w:t>为</w:t>
            </w:r>
            <w:r>
              <w:rPr>
                <w:spacing w:val="-3"/>
                <w:sz w:val="21"/>
              </w:rPr>
              <w:t>活</w:t>
            </w:r>
            <w:r>
              <w:rPr>
                <w:spacing w:val="-1"/>
                <w:sz w:val="21"/>
              </w:rPr>
              <w:t>动</w:t>
            </w:r>
            <w:r>
              <w:rPr>
                <w:spacing w:val="-3"/>
                <w:sz w:val="21"/>
              </w:rPr>
              <w:t>性伴</w:t>
            </w:r>
            <w:r>
              <w:rPr>
                <w:spacing w:val="-1"/>
                <w:sz w:val="21"/>
              </w:rPr>
              <w:t>慢</w:t>
            </w:r>
            <w:r>
              <w:rPr>
                <w:sz w:val="21"/>
              </w:rPr>
              <w:t>性</w:t>
            </w:r>
            <w:r>
              <w:rPr>
                <w:spacing w:val="-3"/>
                <w:sz w:val="21"/>
              </w:rPr>
              <w:t>病</w:t>
            </w:r>
            <w:r>
              <w:rPr>
                <w:sz w:val="21"/>
              </w:rPr>
              <w:t>变,表</w:t>
            </w:r>
            <w:r>
              <w:rPr>
                <w:spacing w:val="-3"/>
                <w:sz w:val="21"/>
              </w:rPr>
              <w:t>现</w:t>
            </w:r>
            <w:r>
              <w:rPr>
                <w:sz w:val="21"/>
              </w:rPr>
              <w:t>为</w:t>
            </w:r>
            <w:r>
              <w:rPr>
                <w:spacing w:val="-3"/>
                <w:sz w:val="21"/>
              </w:rPr>
              <w:t>局</w:t>
            </w:r>
            <w:r>
              <w:rPr>
                <w:sz w:val="21"/>
              </w:rPr>
              <w:t>灶</w:t>
            </w:r>
            <w:r>
              <w:rPr>
                <w:spacing w:val="-3"/>
                <w:sz w:val="21"/>
              </w:rPr>
              <w:t>增生</w:t>
            </w:r>
            <w:r>
              <w:rPr>
                <w:sz w:val="21"/>
              </w:rPr>
              <w:t>硬化</w:t>
            </w:r>
          </w:p>
        </w:tc>
      </w:tr>
    </w:tbl>
    <w:p>
      <w:pPr>
        <w:spacing w:after="0" w:line="370" w:lineRule="atLeast"/>
        <w:rPr>
          <w:sz w:val="21"/>
        </w:rPr>
        <w:sectPr>
          <w:pgSz w:w="11910" w:h="16840"/>
          <w:pgMar w:header="0" w:footer="375" w:top="1500" w:bottom="560" w:left="1440" w:right="66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2"/>
        <w:gridCol w:w="8135"/>
      </w:tblGrid>
      <w:tr>
        <w:trPr>
          <w:trHeight w:val="5239" w:hRule="atLeast"/>
        </w:trPr>
        <w:tc>
          <w:tcPr>
            <w:tcW w:w="1512" w:type="dxa"/>
          </w:tcPr>
          <w:p>
            <w:pPr>
              <w:pStyle w:val="TableParagraph"/>
              <w:spacing w:before="0"/>
              <w:ind w:left="0"/>
              <w:rPr>
                <w:rFonts w:ascii="Times New Roman"/>
                <w:sz w:val="20"/>
              </w:rPr>
            </w:pPr>
          </w:p>
        </w:tc>
        <w:tc>
          <w:tcPr>
            <w:tcW w:w="8135" w:type="dxa"/>
          </w:tcPr>
          <w:p>
            <w:pPr>
              <w:pStyle w:val="TableParagraph"/>
              <w:tabs>
                <w:tab w:pos="1573" w:val="left" w:leader="none"/>
              </w:tabs>
              <w:spacing w:line="211" w:lineRule="exact" w:before="0"/>
              <w:ind w:left="101"/>
              <w:rPr>
                <w:sz w:val="21"/>
              </w:rPr>
            </w:pPr>
            <w:r>
              <w:rPr>
                <w:sz w:val="21"/>
              </w:rPr>
              <w:t>性肾炎;Ⅲ(C)</w:t>
              <w:tab/>
            </w:r>
            <w:r>
              <w:rPr>
                <w:spacing w:val="-1"/>
                <w:sz w:val="21"/>
              </w:rPr>
              <w:t>型</w:t>
            </w:r>
            <w:r>
              <w:rPr>
                <w:spacing w:val="-3"/>
                <w:sz w:val="21"/>
              </w:rPr>
              <w:t>为</w:t>
            </w:r>
            <w:r>
              <w:rPr>
                <w:sz w:val="21"/>
              </w:rPr>
              <w:t>慢</w:t>
            </w:r>
            <w:r>
              <w:rPr>
                <w:spacing w:val="-3"/>
                <w:sz w:val="21"/>
              </w:rPr>
              <w:t>性</w:t>
            </w:r>
            <w:r>
              <w:rPr>
                <w:sz w:val="21"/>
              </w:rPr>
              <w:t>病变</w:t>
            </w:r>
            <w:r>
              <w:rPr>
                <w:spacing w:val="-3"/>
                <w:sz w:val="21"/>
              </w:rPr>
              <w:t>,</w:t>
            </w:r>
            <w:r>
              <w:rPr>
                <w:sz w:val="21"/>
              </w:rPr>
              <w:t>表</w:t>
            </w:r>
            <w:r>
              <w:rPr>
                <w:spacing w:val="-3"/>
                <w:sz w:val="21"/>
              </w:rPr>
              <w:t>现</w:t>
            </w:r>
            <w:r>
              <w:rPr>
                <w:sz w:val="21"/>
              </w:rPr>
              <w:t>为</w:t>
            </w:r>
            <w:r>
              <w:rPr>
                <w:spacing w:val="-3"/>
                <w:sz w:val="21"/>
              </w:rPr>
              <w:t>局</w:t>
            </w:r>
            <w:r>
              <w:rPr>
                <w:sz w:val="21"/>
              </w:rPr>
              <w:t>灶</w:t>
            </w:r>
            <w:r>
              <w:rPr>
                <w:spacing w:val="-3"/>
                <w:sz w:val="21"/>
              </w:rPr>
              <w:t>硬</w:t>
            </w:r>
            <w:r>
              <w:rPr>
                <w:sz w:val="21"/>
              </w:rPr>
              <w:t>化</w:t>
            </w:r>
            <w:r>
              <w:rPr>
                <w:spacing w:val="-3"/>
                <w:sz w:val="21"/>
              </w:rPr>
              <w:t>性肾</w:t>
            </w:r>
            <w:r>
              <w:rPr>
                <w:sz w:val="21"/>
              </w:rPr>
              <w:t>炎。</w:t>
            </w:r>
          </w:p>
          <w:p>
            <w:pPr>
              <w:pStyle w:val="TableParagraph"/>
              <w:spacing w:line="326" w:lineRule="auto"/>
              <w:ind w:left="101" w:right="301"/>
              <w:jc w:val="both"/>
              <w:rPr>
                <w:sz w:val="21"/>
              </w:rPr>
            </w:pPr>
            <w:r>
              <w:rPr>
                <w:spacing w:val="2"/>
                <w:sz w:val="21"/>
              </w:rPr>
              <w:t>Ⅳ型为弥漫性</w:t>
            </w:r>
            <w:r>
              <w:rPr>
                <w:sz w:val="21"/>
              </w:rPr>
              <w:t>LN</w:t>
            </w:r>
            <w:r>
              <w:rPr>
                <w:spacing w:val="-1"/>
                <w:sz w:val="21"/>
              </w:rPr>
              <w:t>:受累肾小球占全部肾小球的</w:t>
            </w:r>
            <w:r>
              <w:rPr>
                <w:sz w:val="21"/>
              </w:rPr>
              <w:t>50</w:t>
            </w:r>
            <w:r>
              <w:rPr>
                <w:spacing w:val="-3"/>
                <w:sz w:val="21"/>
              </w:rPr>
              <w:t> %以上,典型病例常有弥漫性内皮下</w:t>
            </w:r>
            <w:r>
              <w:rPr>
                <w:spacing w:val="-5"/>
                <w:sz w:val="21"/>
              </w:rPr>
              <w:t>免疫复合物沉积,伴或不伴系膜病变。 根据肾小球的病变分为弥漫节段型 </w:t>
            </w:r>
            <w:r>
              <w:rPr>
                <w:sz w:val="21"/>
              </w:rPr>
              <w:t>LN(受累肾</w:t>
            </w:r>
            <w:r>
              <w:rPr>
                <w:spacing w:val="-6"/>
                <w:sz w:val="21"/>
              </w:rPr>
              <w:t>小球表现为节段性病变)和弥漫性球型 </w:t>
            </w:r>
            <w:r>
              <w:rPr>
                <w:sz w:val="21"/>
              </w:rPr>
              <w:t>LN</w:t>
            </w:r>
            <w:r>
              <w:rPr>
                <w:spacing w:val="-3"/>
                <w:sz w:val="21"/>
              </w:rPr>
              <w:t>(受累肾小球表现为球性病变)。Ⅳ</w:t>
            </w:r>
            <w:r>
              <w:rPr>
                <w:sz w:val="21"/>
              </w:rPr>
              <w:t>S(A)</w:t>
            </w:r>
            <w:r>
              <w:rPr>
                <w:spacing w:val="11"/>
                <w:sz w:val="21"/>
              </w:rPr>
              <w:t> 为</w:t>
            </w:r>
            <w:r>
              <w:rPr>
                <w:spacing w:val="-6"/>
                <w:sz w:val="21"/>
              </w:rPr>
              <w:t>活动性节段增生性 </w:t>
            </w:r>
            <w:r>
              <w:rPr>
                <w:sz w:val="21"/>
              </w:rPr>
              <w:t>LN,ⅣG(A)</w:t>
            </w:r>
            <w:r>
              <w:rPr>
                <w:spacing w:val="-7"/>
                <w:sz w:val="21"/>
              </w:rPr>
              <w:t> 为活动性球性增生性 </w:t>
            </w:r>
            <w:r>
              <w:rPr>
                <w:sz w:val="21"/>
              </w:rPr>
              <w:t>LN,ⅣS(A/C</w:t>
            </w:r>
            <w:r>
              <w:rPr>
                <w:spacing w:val="-3"/>
                <w:sz w:val="21"/>
              </w:rPr>
              <w:t>)为活动性伴慢性节</w:t>
            </w:r>
            <w:r>
              <w:rPr>
                <w:spacing w:val="-10"/>
                <w:sz w:val="21"/>
              </w:rPr>
              <w:t>段增生硬化性 </w:t>
            </w:r>
            <w:r>
              <w:rPr>
                <w:sz w:val="21"/>
              </w:rPr>
              <w:t>LN,ⅣG(A/C</w:t>
            </w:r>
            <w:r>
              <w:rPr>
                <w:spacing w:val="-6"/>
                <w:sz w:val="21"/>
              </w:rPr>
              <w:t>)为活动性伴慢性球性增生硬化性 </w:t>
            </w:r>
            <w:r>
              <w:rPr>
                <w:sz w:val="21"/>
              </w:rPr>
              <w:t>LN,ⅣS(C</w:t>
            </w:r>
            <w:r>
              <w:rPr>
                <w:spacing w:val="-3"/>
                <w:sz w:val="21"/>
              </w:rPr>
              <w:t>)为慢性节段硬</w:t>
            </w:r>
            <w:r>
              <w:rPr>
                <w:spacing w:val="-20"/>
                <w:sz w:val="21"/>
              </w:rPr>
              <w:t>化性 </w:t>
            </w:r>
            <w:r>
              <w:rPr>
                <w:sz w:val="21"/>
              </w:rPr>
              <w:t>LN,ⅣG(C)</w:t>
            </w:r>
            <w:r>
              <w:rPr>
                <w:spacing w:val="-8"/>
                <w:sz w:val="21"/>
              </w:rPr>
              <w:t>  慢性球性硬化性 </w:t>
            </w:r>
            <w:r>
              <w:rPr>
                <w:sz w:val="21"/>
              </w:rPr>
              <w:t>LN。</w:t>
            </w:r>
          </w:p>
          <w:p>
            <w:pPr>
              <w:pStyle w:val="TableParagraph"/>
              <w:spacing w:line="326" w:lineRule="auto" w:before="23"/>
              <w:ind w:left="101" w:right="302"/>
              <w:rPr>
                <w:sz w:val="21"/>
              </w:rPr>
            </w:pPr>
            <w:r>
              <w:rPr>
                <w:spacing w:val="-5"/>
                <w:sz w:val="21"/>
              </w:rPr>
              <w:t>Ⅴ型为膜性 </w:t>
            </w:r>
            <w:r>
              <w:rPr>
                <w:sz w:val="21"/>
              </w:rPr>
              <w:t>LN</w:t>
            </w:r>
            <w:r>
              <w:rPr>
                <w:spacing w:val="-7"/>
                <w:sz w:val="21"/>
              </w:rPr>
              <w:t>:光镜下可见上皮下免疫复合物沉积,伴或不伴系膜病变。免疫荧光或电</w:t>
            </w:r>
            <w:r>
              <w:rPr>
                <w:spacing w:val="-5"/>
                <w:sz w:val="21"/>
              </w:rPr>
              <w:t>镜下可见球性或节段性上皮下连续性免疫复合物沉积,Ⅴ型常与Ⅲ型或Ⅳ型共同存  在。</w:t>
            </w:r>
          </w:p>
          <w:p>
            <w:pPr>
              <w:pStyle w:val="TableParagraph"/>
              <w:tabs>
                <w:tab w:pos="2780" w:val="left" w:leader="none"/>
              </w:tabs>
              <w:spacing w:before="23"/>
              <w:ind w:left="101"/>
              <w:rPr>
                <w:sz w:val="21"/>
              </w:rPr>
            </w:pPr>
            <w:r>
              <w:rPr>
                <w:sz w:val="21"/>
              </w:rPr>
              <w:t>Ⅵ型</w:t>
            </w:r>
            <w:r>
              <w:rPr>
                <w:spacing w:val="-3"/>
                <w:sz w:val="21"/>
              </w:rPr>
              <w:t>为</w:t>
            </w:r>
            <w:r>
              <w:rPr>
                <w:sz w:val="21"/>
              </w:rPr>
              <w:t>进</w:t>
            </w:r>
            <w:r>
              <w:rPr>
                <w:spacing w:val="-3"/>
                <w:sz w:val="21"/>
              </w:rPr>
              <w:t>行</w:t>
            </w:r>
            <w:r>
              <w:rPr>
                <w:sz w:val="21"/>
              </w:rPr>
              <w:t>性</w:t>
            </w:r>
            <w:r>
              <w:rPr>
                <w:spacing w:val="-3"/>
                <w:sz w:val="21"/>
              </w:rPr>
              <w:t>硬化</w:t>
            </w:r>
            <w:r>
              <w:rPr>
                <w:sz w:val="21"/>
              </w:rPr>
              <w:t>性</w:t>
            </w:r>
            <w:r>
              <w:rPr>
                <w:spacing w:val="-50"/>
                <w:sz w:val="21"/>
              </w:rPr>
              <w:t> </w:t>
            </w:r>
            <w:r>
              <w:rPr>
                <w:sz w:val="21"/>
              </w:rPr>
              <w:t>LN:90</w:t>
              <w:tab/>
              <w:t>%</w:t>
            </w:r>
            <w:r>
              <w:rPr>
                <w:spacing w:val="-3"/>
                <w:sz w:val="21"/>
              </w:rPr>
              <w:t>以</w:t>
            </w:r>
            <w:r>
              <w:rPr>
                <w:sz w:val="21"/>
              </w:rPr>
              <w:t>上</w:t>
            </w:r>
            <w:r>
              <w:rPr>
                <w:spacing w:val="-3"/>
                <w:sz w:val="21"/>
              </w:rPr>
              <w:t>的</w:t>
            </w:r>
            <w:r>
              <w:rPr>
                <w:sz w:val="21"/>
              </w:rPr>
              <w:t>肾</w:t>
            </w:r>
            <w:r>
              <w:rPr>
                <w:spacing w:val="-3"/>
                <w:sz w:val="21"/>
              </w:rPr>
              <w:t>小</w:t>
            </w:r>
            <w:r>
              <w:rPr>
                <w:sz w:val="21"/>
              </w:rPr>
              <w:t>球</w:t>
            </w:r>
            <w:r>
              <w:rPr>
                <w:spacing w:val="-3"/>
                <w:sz w:val="21"/>
              </w:rPr>
              <w:t>呈</w:t>
            </w:r>
            <w:r>
              <w:rPr>
                <w:sz w:val="21"/>
              </w:rPr>
              <w:t>球</w:t>
            </w:r>
            <w:r>
              <w:rPr>
                <w:spacing w:val="-3"/>
                <w:sz w:val="21"/>
              </w:rPr>
              <w:t>性</w:t>
            </w:r>
            <w:r>
              <w:rPr>
                <w:sz w:val="21"/>
              </w:rPr>
              <w:t>硬化。</w:t>
            </w:r>
          </w:p>
          <w:p>
            <w:pPr>
              <w:pStyle w:val="TableParagraph"/>
              <w:spacing w:line="326" w:lineRule="auto"/>
              <w:ind w:left="101" w:right="467"/>
              <w:rPr>
                <w:sz w:val="21"/>
              </w:rPr>
            </w:pPr>
            <w:r>
              <w:rPr>
                <w:sz w:val="21"/>
              </w:rPr>
              <w:t>活动性病变是指下列情形:毛细血管内细胞增生,核碎裂,纤维素样坏死,肾小球基底膜破坏,细胞性或纤维细胞性新月体形成、白金耳等。</w:t>
            </w:r>
          </w:p>
          <w:p>
            <w:pPr>
              <w:pStyle w:val="TableParagraph"/>
              <w:spacing w:before="24"/>
              <w:ind w:left="101"/>
              <w:rPr>
                <w:sz w:val="21"/>
              </w:rPr>
            </w:pPr>
            <w:r>
              <w:rPr>
                <w:sz w:val="21"/>
              </w:rPr>
              <w:t>慢性病变是指存在节段性或全球性肾小球硬化、纤维性粘连、纤维性新月体形成。</w:t>
            </w:r>
          </w:p>
        </w:tc>
      </w:tr>
      <w:tr>
        <w:trPr>
          <w:trHeight w:val="891" w:hRule="atLeast"/>
        </w:trPr>
        <w:tc>
          <w:tcPr>
            <w:tcW w:w="1512" w:type="dxa"/>
          </w:tcPr>
          <w:p>
            <w:pPr>
              <w:pStyle w:val="TableParagraph"/>
              <w:spacing w:line="326" w:lineRule="auto" w:before="97"/>
              <w:ind w:left="200" w:right="148"/>
              <w:rPr>
                <w:b/>
                <w:sz w:val="21"/>
              </w:rPr>
            </w:pPr>
            <w:r>
              <w:rPr>
                <w:b/>
                <w:sz w:val="21"/>
              </w:rPr>
              <w:t>23.急性坏死性胰腺炎</w:t>
            </w:r>
          </w:p>
        </w:tc>
        <w:tc>
          <w:tcPr>
            <w:tcW w:w="8135" w:type="dxa"/>
          </w:tcPr>
          <w:p>
            <w:pPr>
              <w:pStyle w:val="TableParagraph"/>
              <w:spacing w:line="326" w:lineRule="auto" w:before="97"/>
              <w:ind w:left="101" w:right="253"/>
              <w:rPr>
                <w:sz w:val="21"/>
              </w:rPr>
            </w:pPr>
            <w:r>
              <w:rPr>
                <w:sz w:val="21"/>
              </w:rPr>
              <w:t>是指由本公司认可的专科医师确诊为急性坏死性胰腺炎，需进行坏死组织清除、病灶切除或胰腺部分切除的手术治疗，但不包括因酒精中毒引起的急性坏死性胰腺炎。</w:t>
            </w:r>
          </w:p>
        </w:tc>
      </w:tr>
      <w:tr>
        <w:trPr>
          <w:trHeight w:val="3154" w:hRule="atLeast"/>
        </w:trPr>
        <w:tc>
          <w:tcPr>
            <w:tcW w:w="1512" w:type="dxa"/>
          </w:tcPr>
          <w:p>
            <w:pPr>
              <w:pStyle w:val="TableParagraph"/>
              <w:spacing w:line="273" w:lineRule="auto" w:before="81"/>
              <w:ind w:left="200" w:right="100"/>
              <w:rPr>
                <w:b/>
                <w:sz w:val="21"/>
              </w:rPr>
            </w:pPr>
            <w:r>
              <w:rPr>
                <w:b/>
                <w:sz w:val="21"/>
              </w:rPr>
              <w:t>24.多发性硬化症</w:t>
            </w:r>
          </w:p>
        </w:tc>
        <w:tc>
          <w:tcPr>
            <w:tcW w:w="8135" w:type="dxa"/>
          </w:tcPr>
          <w:p>
            <w:pPr>
              <w:pStyle w:val="TableParagraph"/>
              <w:spacing w:line="326" w:lineRule="auto" w:before="112"/>
              <w:ind w:left="101" w:right="301"/>
              <w:jc w:val="both"/>
              <w:rPr>
                <w:sz w:val="21"/>
              </w:rPr>
            </w:pPr>
            <w:r>
              <w:rPr>
                <w:spacing w:val="-6"/>
                <w:sz w:val="21"/>
              </w:rPr>
              <w:t>是指一种中枢神经系统脱髓鞘疾病，造成身体部位不可逆的功能障碍。临床表现为视</w:t>
            </w:r>
            <w:r>
              <w:rPr>
                <w:spacing w:val="-10"/>
                <w:sz w:val="21"/>
              </w:rPr>
              <w:t>力受损、截瘫、平衡失调、构音障碍、大小便机能失调等症状，须经本公司认可的神</w:t>
            </w:r>
            <w:r>
              <w:rPr>
                <w:spacing w:val="-9"/>
                <w:sz w:val="21"/>
              </w:rPr>
              <w:t>经专科医师确诊，并有 </w:t>
            </w:r>
            <w:r>
              <w:rPr>
                <w:sz w:val="21"/>
              </w:rPr>
              <w:t>CT</w:t>
            </w:r>
            <w:r>
              <w:rPr>
                <w:spacing w:val="-8"/>
                <w:sz w:val="21"/>
              </w:rPr>
              <w:t> 或核磁共振检查结果诊断报告。所谓身体部位不可逆的功</w:t>
            </w:r>
            <w:r>
              <w:rPr>
                <w:spacing w:val="-7"/>
                <w:sz w:val="21"/>
              </w:rPr>
              <w:t>能障碍指初次诊断为功能障碍后需持续一百八十日以上。其诊断必须包含以下全部内容：</w:t>
            </w:r>
          </w:p>
          <w:p>
            <w:pPr>
              <w:pStyle w:val="TableParagraph"/>
              <w:numPr>
                <w:ilvl w:val="0"/>
                <w:numId w:val="24"/>
              </w:numPr>
              <w:tabs>
                <w:tab w:pos="734" w:val="left" w:leader="none"/>
              </w:tabs>
              <w:spacing w:line="240" w:lineRule="auto" w:before="23" w:after="0"/>
              <w:ind w:left="733" w:right="0" w:hanging="632"/>
              <w:jc w:val="both"/>
              <w:rPr>
                <w:sz w:val="21"/>
              </w:rPr>
            </w:pPr>
            <w:r>
              <w:rPr>
                <w:spacing w:val="-3"/>
                <w:sz w:val="21"/>
              </w:rPr>
              <w:t>由于视神经、脑干和脊髓损伤而导致的临床表现；</w:t>
            </w:r>
          </w:p>
          <w:p>
            <w:pPr>
              <w:pStyle w:val="TableParagraph"/>
              <w:numPr>
                <w:ilvl w:val="0"/>
                <w:numId w:val="24"/>
              </w:numPr>
              <w:tabs>
                <w:tab w:pos="734" w:val="left" w:leader="none"/>
              </w:tabs>
              <w:spacing w:line="240" w:lineRule="auto" w:before="99" w:after="0"/>
              <w:ind w:left="733" w:right="0" w:hanging="632"/>
              <w:jc w:val="both"/>
              <w:rPr>
                <w:sz w:val="21"/>
              </w:rPr>
            </w:pPr>
            <w:r>
              <w:rPr>
                <w:spacing w:val="-3"/>
                <w:sz w:val="21"/>
              </w:rPr>
              <w:t>散在的身体损害的多样性；</w:t>
            </w:r>
          </w:p>
          <w:p>
            <w:pPr>
              <w:pStyle w:val="TableParagraph"/>
              <w:numPr>
                <w:ilvl w:val="0"/>
                <w:numId w:val="24"/>
              </w:numPr>
              <w:tabs>
                <w:tab w:pos="734" w:val="left" w:leader="none"/>
              </w:tabs>
              <w:spacing w:line="240" w:lineRule="auto" w:before="99" w:after="0"/>
              <w:ind w:left="733" w:right="0" w:hanging="632"/>
              <w:jc w:val="both"/>
              <w:rPr>
                <w:sz w:val="21"/>
              </w:rPr>
            </w:pPr>
            <w:r>
              <w:rPr>
                <w:spacing w:val="-3"/>
                <w:sz w:val="21"/>
              </w:rPr>
              <w:t>上述症状反复发作、恶化及神经损伤的病史记录。</w:t>
            </w:r>
          </w:p>
        </w:tc>
      </w:tr>
      <w:tr>
        <w:trPr>
          <w:trHeight w:val="3155" w:hRule="atLeast"/>
        </w:trPr>
        <w:tc>
          <w:tcPr>
            <w:tcW w:w="1512" w:type="dxa"/>
          </w:tcPr>
          <w:p>
            <w:pPr>
              <w:pStyle w:val="TableParagraph"/>
              <w:spacing w:line="273" w:lineRule="auto" w:before="81"/>
              <w:ind w:left="200" w:right="100"/>
              <w:rPr>
                <w:b/>
                <w:sz w:val="21"/>
              </w:rPr>
            </w:pPr>
            <w:r>
              <w:rPr>
                <w:b/>
                <w:sz w:val="21"/>
              </w:rPr>
              <w:t>25.重症肌无力</w:t>
            </w:r>
          </w:p>
        </w:tc>
        <w:tc>
          <w:tcPr>
            <w:tcW w:w="8135" w:type="dxa"/>
          </w:tcPr>
          <w:p>
            <w:pPr>
              <w:pStyle w:val="TableParagraph"/>
              <w:spacing w:line="326" w:lineRule="auto" w:before="112"/>
              <w:ind w:left="101" w:right="198"/>
              <w:jc w:val="both"/>
              <w:rPr>
                <w:sz w:val="21"/>
              </w:rPr>
            </w:pPr>
            <w:r>
              <w:rPr>
                <w:spacing w:val="-5"/>
                <w:sz w:val="21"/>
              </w:rPr>
              <w:t>是指一种神经与肌肉接头部位传递障碍的自身免疫性疾病，临床特征是局部或全身横</w:t>
            </w:r>
            <w:r>
              <w:rPr>
                <w:spacing w:val="-7"/>
                <w:sz w:val="21"/>
              </w:rPr>
              <w:t>纹肌于活动时易于疲劳无力，颅神经眼外肌最易累及，也可涉及呼吸肌、下肢近端肌</w:t>
            </w:r>
            <w:r>
              <w:rPr>
                <w:spacing w:val="-15"/>
                <w:sz w:val="21"/>
              </w:rPr>
              <w:t>群以至全身肌肉，须经本公司认可的神经科医师确诊。其诊断必须同时具有下列情况：</w:t>
            </w:r>
          </w:p>
          <w:p>
            <w:pPr>
              <w:pStyle w:val="TableParagraph"/>
              <w:numPr>
                <w:ilvl w:val="0"/>
                <w:numId w:val="25"/>
              </w:numPr>
              <w:tabs>
                <w:tab w:pos="734" w:val="left" w:leader="none"/>
              </w:tabs>
              <w:spacing w:line="240" w:lineRule="auto" w:before="23" w:after="0"/>
              <w:ind w:left="733" w:right="0" w:hanging="632"/>
              <w:jc w:val="left"/>
              <w:rPr>
                <w:sz w:val="21"/>
              </w:rPr>
            </w:pPr>
            <w:r>
              <w:rPr>
                <w:spacing w:val="-3"/>
                <w:sz w:val="21"/>
              </w:rPr>
              <w:t>经药物、胸腺手术治疗一年以上无法控制病情，丧失正常工作能力；</w:t>
            </w:r>
          </w:p>
          <w:p>
            <w:pPr>
              <w:pStyle w:val="TableParagraph"/>
              <w:numPr>
                <w:ilvl w:val="0"/>
                <w:numId w:val="25"/>
              </w:numPr>
              <w:tabs>
                <w:tab w:pos="734" w:val="left" w:leader="none"/>
              </w:tabs>
              <w:spacing w:line="326" w:lineRule="auto" w:before="99" w:after="0"/>
              <w:ind w:left="733" w:right="304" w:hanging="632"/>
              <w:jc w:val="left"/>
              <w:rPr>
                <w:sz w:val="21"/>
              </w:rPr>
            </w:pPr>
            <w:r>
              <w:rPr>
                <w:spacing w:val="-7"/>
                <w:sz w:val="21"/>
              </w:rPr>
              <w:t>出现眼险下垂，或延髓肌受累引起的构音困难、进食呛咳，或由于肌无力累及</w:t>
            </w:r>
            <w:r>
              <w:rPr>
                <w:spacing w:val="-5"/>
                <w:sz w:val="21"/>
              </w:rPr>
              <w:t>延髓肌、呼吸肌而致机体呼吸功能不正常的危急状态即肌无力危象；</w:t>
            </w:r>
          </w:p>
          <w:p>
            <w:pPr>
              <w:pStyle w:val="TableParagraph"/>
              <w:numPr>
                <w:ilvl w:val="0"/>
                <w:numId w:val="25"/>
              </w:numPr>
              <w:tabs>
                <w:tab w:pos="734" w:val="left" w:leader="none"/>
              </w:tabs>
              <w:spacing w:line="326" w:lineRule="auto" w:before="23" w:after="0"/>
              <w:ind w:left="733" w:right="306" w:hanging="632"/>
              <w:jc w:val="left"/>
              <w:rPr>
                <w:sz w:val="21"/>
              </w:rPr>
            </w:pPr>
            <w:r>
              <w:rPr>
                <w:spacing w:val="-8"/>
                <w:sz w:val="21"/>
              </w:rPr>
              <w:t>症状缓解、复发及恶化交替出现，临床接受新斯的明等抗胆碱酯酶药物治疗的病史。</w:t>
            </w:r>
          </w:p>
        </w:tc>
      </w:tr>
      <w:tr>
        <w:trPr>
          <w:trHeight w:val="1512" w:hRule="atLeast"/>
        </w:trPr>
        <w:tc>
          <w:tcPr>
            <w:tcW w:w="1512" w:type="dxa"/>
          </w:tcPr>
          <w:p>
            <w:pPr>
              <w:pStyle w:val="TableParagraph"/>
              <w:spacing w:line="273" w:lineRule="auto" w:before="82"/>
              <w:ind w:left="200" w:right="100"/>
              <w:rPr>
                <w:b/>
                <w:sz w:val="21"/>
              </w:rPr>
            </w:pPr>
            <w:r>
              <w:rPr>
                <w:b/>
                <w:sz w:val="21"/>
              </w:rPr>
              <w:t>26.脊髓灰质炎</w:t>
            </w:r>
          </w:p>
        </w:tc>
        <w:tc>
          <w:tcPr>
            <w:tcW w:w="8135" w:type="dxa"/>
          </w:tcPr>
          <w:p>
            <w:pPr>
              <w:pStyle w:val="TableParagraph"/>
              <w:spacing w:line="326" w:lineRule="auto" w:before="114"/>
              <w:ind w:left="101" w:right="301"/>
              <w:rPr>
                <w:sz w:val="21"/>
              </w:rPr>
            </w:pPr>
            <w:r>
              <w:rPr>
                <w:spacing w:val="-3"/>
                <w:sz w:val="21"/>
              </w:rPr>
              <w:t>经由本公司认可的神经专科医生确认是由于脊髓灰质炎病毒感染所导致的运动功能 障碍或呼吸功能减弱麻痹性瘫痪的疾病。若无因此感染而导致麻痹性瘫痪的事实结 </w:t>
            </w:r>
            <w:r>
              <w:rPr>
                <w:spacing w:val="-9"/>
                <w:sz w:val="21"/>
              </w:rPr>
              <w:t>果，以及其它病因所致的麻痹，例如格林巴利综合征则不属于本主险合同所说的脊髓</w:t>
            </w:r>
          </w:p>
          <w:p>
            <w:pPr>
              <w:pStyle w:val="TableParagraph"/>
              <w:spacing w:line="255" w:lineRule="exact" w:before="24"/>
              <w:ind w:left="101"/>
              <w:rPr>
                <w:sz w:val="21"/>
              </w:rPr>
            </w:pPr>
            <w:r>
              <w:rPr>
                <w:sz w:val="21"/>
              </w:rPr>
              <w:t>灰质炎。</w:t>
            </w:r>
          </w:p>
        </w:tc>
      </w:tr>
    </w:tbl>
    <w:p>
      <w:pPr>
        <w:spacing w:after="0" w:line="255" w:lineRule="exact"/>
        <w:rPr>
          <w:sz w:val="21"/>
        </w:rPr>
        <w:sectPr>
          <w:pgSz w:w="11910" w:h="16840"/>
          <w:pgMar w:header="0" w:footer="375" w:top="1360" w:bottom="560" w:left="1440" w:right="6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5"/>
        <w:gridCol w:w="8122"/>
      </w:tblGrid>
      <w:tr>
        <w:trPr>
          <w:trHeight w:val="1900" w:hRule="atLeast"/>
        </w:trPr>
        <w:tc>
          <w:tcPr>
            <w:tcW w:w="1525" w:type="dxa"/>
          </w:tcPr>
          <w:p>
            <w:pPr>
              <w:pStyle w:val="TableParagraph"/>
              <w:spacing w:line="205" w:lineRule="exact" w:before="0"/>
              <w:ind w:left="200"/>
              <w:rPr>
                <w:b/>
                <w:sz w:val="21"/>
              </w:rPr>
            </w:pPr>
            <w:r>
              <w:rPr>
                <w:b/>
                <w:sz w:val="21"/>
              </w:rPr>
              <w:t>27.终末期肺</w:t>
            </w:r>
          </w:p>
          <w:p>
            <w:pPr>
              <w:pStyle w:val="TableParagraph"/>
              <w:spacing w:before="37"/>
              <w:ind w:left="200"/>
              <w:rPr>
                <w:b/>
                <w:sz w:val="21"/>
              </w:rPr>
            </w:pPr>
            <w:r>
              <w:rPr>
                <w:b/>
                <w:w w:val="100"/>
                <w:sz w:val="21"/>
              </w:rPr>
              <w:t>病</w:t>
            </w:r>
          </w:p>
        </w:tc>
        <w:tc>
          <w:tcPr>
            <w:tcW w:w="8122" w:type="dxa"/>
          </w:tcPr>
          <w:p>
            <w:pPr>
              <w:pStyle w:val="TableParagraph"/>
              <w:spacing w:line="236" w:lineRule="exact" w:before="0"/>
              <w:rPr>
                <w:sz w:val="21"/>
              </w:rPr>
            </w:pPr>
            <w:r>
              <w:rPr>
                <w:sz w:val="21"/>
              </w:rPr>
              <w:t>由本公司认可的呼吸专科医生确诊被保险人患有终末期肺病而出现慢性呼吸功能衰</w:t>
            </w:r>
          </w:p>
          <w:p>
            <w:pPr>
              <w:pStyle w:val="TableParagraph"/>
              <w:rPr>
                <w:sz w:val="21"/>
              </w:rPr>
            </w:pPr>
            <w:r>
              <w:rPr>
                <w:sz w:val="21"/>
              </w:rPr>
              <w:t>竭，其诊断标准包括以下各项：</w:t>
            </w:r>
          </w:p>
          <w:p>
            <w:pPr>
              <w:pStyle w:val="TableParagraph"/>
              <w:numPr>
                <w:ilvl w:val="0"/>
                <w:numId w:val="26"/>
              </w:numPr>
              <w:tabs>
                <w:tab w:pos="721" w:val="left" w:leader="none"/>
              </w:tabs>
              <w:spacing w:line="240" w:lineRule="auto" w:before="99" w:after="0"/>
              <w:ind w:left="720" w:right="0" w:hanging="632"/>
              <w:jc w:val="left"/>
              <w:rPr>
                <w:sz w:val="21"/>
              </w:rPr>
            </w:pPr>
            <w:r>
              <w:rPr>
                <w:spacing w:val="-9"/>
                <w:sz w:val="21"/>
              </w:rPr>
              <w:t>肺功能测试其 </w:t>
            </w:r>
            <w:r>
              <w:rPr>
                <w:sz w:val="21"/>
              </w:rPr>
              <w:t>FEVl</w:t>
            </w:r>
            <w:r>
              <w:rPr>
                <w:spacing w:val="-19"/>
                <w:sz w:val="21"/>
              </w:rPr>
              <w:t> 持续低于 </w:t>
            </w:r>
            <w:r>
              <w:rPr>
                <w:sz w:val="21"/>
              </w:rPr>
              <w:t>0．75</w:t>
            </w:r>
            <w:r>
              <w:rPr>
                <w:spacing w:val="-19"/>
                <w:sz w:val="21"/>
              </w:rPr>
              <w:t> 升；</w:t>
            </w:r>
          </w:p>
          <w:p>
            <w:pPr>
              <w:pStyle w:val="TableParagraph"/>
              <w:numPr>
                <w:ilvl w:val="0"/>
                <w:numId w:val="26"/>
              </w:numPr>
              <w:tabs>
                <w:tab w:pos="721" w:val="left" w:leader="none"/>
              </w:tabs>
              <w:spacing w:line="240" w:lineRule="auto" w:before="99" w:after="0"/>
              <w:ind w:left="720" w:right="0" w:hanging="632"/>
              <w:jc w:val="left"/>
              <w:rPr>
                <w:sz w:val="21"/>
              </w:rPr>
            </w:pPr>
            <w:r>
              <w:rPr>
                <w:spacing w:val="-3"/>
                <w:sz w:val="21"/>
              </w:rPr>
              <w:t>病人缺氧必须广泛而持续地进行输氧治疗；</w:t>
            </w:r>
          </w:p>
          <w:p>
            <w:pPr>
              <w:pStyle w:val="TableParagraph"/>
              <w:numPr>
                <w:ilvl w:val="0"/>
                <w:numId w:val="26"/>
              </w:numPr>
              <w:tabs>
                <w:tab w:pos="721" w:val="left" w:leader="none"/>
              </w:tabs>
              <w:spacing w:line="240" w:lineRule="auto" w:before="99" w:after="0"/>
              <w:ind w:left="720" w:right="0" w:hanging="632"/>
              <w:jc w:val="left"/>
              <w:rPr>
                <w:sz w:val="21"/>
              </w:rPr>
            </w:pPr>
            <w:r>
              <w:rPr>
                <w:spacing w:val="-6"/>
                <w:sz w:val="21"/>
              </w:rPr>
              <w:t>动脉血气分析氧分压低于 </w:t>
            </w:r>
            <w:r>
              <w:rPr>
                <w:sz w:val="21"/>
              </w:rPr>
              <w:t>55mmHg。</w:t>
            </w:r>
          </w:p>
        </w:tc>
      </w:tr>
      <w:tr>
        <w:trPr>
          <w:trHeight w:val="1266" w:hRule="atLeast"/>
        </w:trPr>
        <w:tc>
          <w:tcPr>
            <w:tcW w:w="1525" w:type="dxa"/>
          </w:tcPr>
          <w:p>
            <w:pPr>
              <w:pStyle w:val="TableParagraph"/>
              <w:spacing w:before="91"/>
              <w:ind w:left="200"/>
              <w:rPr>
                <w:b/>
                <w:sz w:val="21"/>
              </w:rPr>
            </w:pPr>
            <w:r>
              <w:rPr>
                <w:b/>
                <w:sz w:val="21"/>
              </w:rPr>
              <w:t>28.象皮病</w:t>
            </w:r>
          </w:p>
        </w:tc>
        <w:tc>
          <w:tcPr>
            <w:tcW w:w="8122" w:type="dxa"/>
          </w:tcPr>
          <w:p>
            <w:pPr>
              <w:pStyle w:val="TableParagraph"/>
              <w:spacing w:line="326" w:lineRule="auto" w:before="91"/>
              <w:ind w:right="302"/>
              <w:jc w:val="both"/>
              <w:rPr>
                <w:sz w:val="21"/>
              </w:rPr>
            </w:pPr>
            <w:r>
              <w:rPr>
                <w:spacing w:val="-7"/>
                <w:sz w:val="21"/>
              </w:rPr>
              <w:t>指末期丝虫病，按国际淋巴学会分级为三度淋巴液肿，其临床表现为肢体非凹陷性水</w:t>
            </w:r>
            <w:r>
              <w:rPr>
                <w:spacing w:val="-10"/>
                <w:sz w:val="21"/>
              </w:rPr>
              <w:t>肿伴畸形增大、硬皮症和疣状增生。此病症须经本公司认可的专科医生根据临床表现</w:t>
            </w:r>
            <w:r>
              <w:rPr>
                <w:spacing w:val="-5"/>
                <w:sz w:val="21"/>
              </w:rPr>
              <w:t>和微丝蚴的化验结果确诊。</w:t>
            </w:r>
          </w:p>
        </w:tc>
      </w:tr>
      <w:tr>
        <w:trPr>
          <w:trHeight w:val="1656" w:hRule="atLeast"/>
        </w:trPr>
        <w:tc>
          <w:tcPr>
            <w:tcW w:w="1525" w:type="dxa"/>
          </w:tcPr>
          <w:p>
            <w:pPr>
              <w:pStyle w:val="TableParagraph"/>
              <w:spacing w:line="273" w:lineRule="auto" w:before="76"/>
              <w:ind w:left="200" w:right="113"/>
              <w:rPr>
                <w:b/>
                <w:sz w:val="21"/>
              </w:rPr>
            </w:pPr>
            <w:r>
              <w:rPr>
                <w:b/>
                <w:sz w:val="21"/>
              </w:rPr>
              <w:t>29.肾髓质囊性病</w:t>
            </w:r>
          </w:p>
        </w:tc>
        <w:tc>
          <w:tcPr>
            <w:tcW w:w="8122" w:type="dxa"/>
          </w:tcPr>
          <w:p>
            <w:pPr>
              <w:pStyle w:val="TableParagraph"/>
              <w:spacing w:before="107"/>
              <w:rPr>
                <w:sz w:val="21"/>
              </w:rPr>
            </w:pPr>
            <w:r>
              <w:rPr>
                <w:sz w:val="21"/>
              </w:rPr>
              <w:t>肾髓质囊性病的诊断必须同时符合下列要求：</w:t>
            </w:r>
          </w:p>
          <w:p>
            <w:pPr>
              <w:pStyle w:val="TableParagraph"/>
              <w:numPr>
                <w:ilvl w:val="0"/>
                <w:numId w:val="27"/>
              </w:numPr>
              <w:tabs>
                <w:tab w:pos="721" w:val="left" w:leader="none"/>
              </w:tabs>
              <w:spacing w:line="240" w:lineRule="auto" w:before="99" w:after="0"/>
              <w:ind w:left="720" w:right="0" w:hanging="632"/>
              <w:jc w:val="left"/>
              <w:rPr>
                <w:sz w:val="21"/>
              </w:rPr>
            </w:pPr>
            <w:r>
              <w:rPr>
                <w:spacing w:val="-3"/>
                <w:sz w:val="21"/>
              </w:rPr>
              <w:t>肾髓质有囊肿、肾小管萎缩及间质纤维化等病理改变；</w:t>
            </w:r>
          </w:p>
          <w:p>
            <w:pPr>
              <w:pStyle w:val="TableParagraph"/>
              <w:numPr>
                <w:ilvl w:val="0"/>
                <w:numId w:val="27"/>
              </w:numPr>
              <w:tabs>
                <w:tab w:pos="721" w:val="left" w:leader="none"/>
              </w:tabs>
              <w:spacing w:line="240" w:lineRule="auto" w:before="99" w:after="0"/>
              <w:ind w:left="720" w:right="0" w:hanging="632"/>
              <w:jc w:val="left"/>
              <w:rPr>
                <w:sz w:val="21"/>
              </w:rPr>
            </w:pPr>
            <w:r>
              <w:rPr>
                <w:spacing w:val="-3"/>
                <w:sz w:val="21"/>
              </w:rPr>
              <w:t>贫血、多尿及肾功能衰竭等临床表现；</w:t>
            </w:r>
          </w:p>
          <w:p>
            <w:pPr>
              <w:pStyle w:val="TableParagraph"/>
              <w:numPr>
                <w:ilvl w:val="0"/>
                <w:numId w:val="27"/>
              </w:numPr>
              <w:tabs>
                <w:tab w:pos="721" w:val="left" w:leader="none"/>
              </w:tabs>
              <w:spacing w:line="240" w:lineRule="auto" w:before="99" w:after="0"/>
              <w:ind w:left="720" w:right="0" w:hanging="632"/>
              <w:jc w:val="left"/>
              <w:rPr>
                <w:sz w:val="21"/>
              </w:rPr>
            </w:pPr>
            <w:r>
              <w:rPr>
                <w:spacing w:val="-3"/>
                <w:sz w:val="21"/>
              </w:rPr>
              <w:t>诊断须由肾组织活检确定。</w:t>
            </w:r>
          </w:p>
        </w:tc>
      </w:tr>
      <w:tr>
        <w:trPr>
          <w:trHeight w:val="2047" w:hRule="atLeast"/>
        </w:trPr>
        <w:tc>
          <w:tcPr>
            <w:tcW w:w="1525" w:type="dxa"/>
          </w:tcPr>
          <w:p>
            <w:pPr>
              <w:pStyle w:val="TableParagraph"/>
              <w:spacing w:line="273" w:lineRule="auto" w:before="75"/>
              <w:ind w:left="200" w:right="113"/>
              <w:rPr>
                <w:b/>
                <w:sz w:val="21"/>
              </w:rPr>
            </w:pPr>
            <w:r>
              <w:rPr>
                <w:b/>
                <w:sz w:val="21"/>
              </w:rPr>
              <w:t>30.坏死性筋膜炎</w:t>
            </w:r>
          </w:p>
        </w:tc>
        <w:tc>
          <w:tcPr>
            <w:tcW w:w="8122" w:type="dxa"/>
          </w:tcPr>
          <w:p>
            <w:pPr>
              <w:pStyle w:val="TableParagraph"/>
              <w:spacing w:before="106"/>
              <w:rPr>
                <w:sz w:val="21"/>
              </w:rPr>
            </w:pPr>
            <w:r>
              <w:rPr>
                <w:sz w:val="21"/>
              </w:rPr>
              <w:t>坏死性筋膜炎的诊断须同时符合下列要求：</w:t>
            </w:r>
          </w:p>
          <w:p>
            <w:pPr>
              <w:pStyle w:val="TableParagraph"/>
              <w:numPr>
                <w:ilvl w:val="0"/>
                <w:numId w:val="28"/>
              </w:numPr>
              <w:tabs>
                <w:tab w:pos="721" w:val="left" w:leader="none"/>
              </w:tabs>
              <w:spacing w:line="240" w:lineRule="auto" w:before="99" w:after="0"/>
              <w:ind w:left="88" w:right="0" w:firstLine="0"/>
              <w:jc w:val="left"/>
              <w:rPr>
                <w:sz w:val="21"/>
              </w:rPr>
            </w:pPr>
            <w:r>
              <w:rPr>
                <w:spacing w:val="-3"/>
                <w:sz w:val="21"/>
              </w:rPr>
              <w:t>符合坏死性筋膜炎的一般临床表现；</w:t>
            </w:r>
          </w:p>
          <w:p>
            <w:pPr>
              <w:pStyle w:val="TableParagraph"/>
              <w:numPr>
                <w:ilvl w:val="0"/>
                <w:numId w:val="28"/>
              </w:numPr>
              <w:tabs>
                <w:tab w:pos="721" w:val="left" w:leader="none"/>
              </w:tabs>
              <w:spacing w:line="240" w:lineRule="auto" w:before="99" w:after="0"/>
              <w:ind w:left="88" w:right="0" w:firstLine="0"/>
              <w:jc w:val="left"/>
              <w:rPr>
                <w:sz w:val="21"/>
              </w:rPr>
            </w:pPr>
            <w:r>
              <w:rPr>
                <w:spacing w:val="-3"/>
                <w:sz w:val="21"/>
              </w:rPr>
              <w:t>细菌培养检出致病菌；</w:t>
            </w:r>
          </w:p>
          <w:p>
            <w:pPr>
              <w:pStyle w:val="TableParagraph"/>
              <w:numPr>
                <w:ilvl w:val="0"/>
                <w:numId w:val="28"/>
              </w:numPr>
              <w:tabs>
                <w:tab w:pos="721" w:val="left" w:leader="none"/>
              </w:tabs>
              <w:spacing w:line="326" w:lineRule="auto" w:before="99" w:after="0"/>
              <w:ind w:left="88" w:right="462" w:firstLine="0"/>
              <w:jc w:val="left"/>
              <w:rPr>
                <w:sz w:val="21"/>
              </w:rPr>
            </w:pPr>
            <w:r>
              <w:rPr>
                <w:spacing w:val="-3"/>
                <w:sz w:val="21"/>
              </w:rPr>
              <w:t>出现广泛性肌肉及软组织坏死，并导致身体受影响部位永久完全失去功能。所谓永久完全失去功能是指受影响部位的功能丧失超过六个月。</w:t>
            </w:r>
          </w:p>
        </w:tc>
      </w:tr>
      <w:tr>
        <w:trPr>
          <w:trHeight w:val="2763" w:hRule="atLeast"/>
        </w:trPr>
        <w:tc>
          <w:tcPr>
            <w:tcW w:w="1525" w:type="dxa"/>
          </w:tcPr>
          <w:p>
            <w:pPr>
              <w:pStyle w:val="TableParagraph"/>
              <w:spacing w:line="326" w:lineRule="auto" w:before="92"/>
              <w:ind w:left="200" w:right="267"/>
              <w:rPr>
                <w:b/>
                <w:sz w:val="21"/>
              </w:rPr>
            </w:pPr>
            <w:r>
              <w:rPr>
                <w:b/>
                <w:sz w:val="21"/>
              </w:rPr>
              <w:t>31. 肝豆状核变性</w:t>
            </w:r>
          </w:p>
          <w:p>
            <w:pPr>
              <w:pStyle w:val="TableParagraph"/>
              <w:spacing w:before="23"/>
              <w:ind w:left="200"/>
              <w:rPr>
                <w:b/>
                <w:sz w:val="21"/>
              </w:rPr>
            </w:pPr>
            <w:r>
              <w:rPr>
                <w:b/>
                <w:sz w:val="21"/>
              </w:rPr>
              <w:t>(Wilson 病)</w:t>
            </w:r>
          </w:p>
        </w:tc>
        <w:tc>
          <w:tcPr>
            <w:tcW w:w="8122" w:type="dxa"/>
          </w:tcPr>
          <w:p>
            <w:pPr>
              <w:pStyle w:val="TableParagraph"/>
              <w:spacing w:line="326" w:lineRule="auto" w:before="92"/>
              <w:ind w:right="301"/>
              <w:rPr>
                <w:sz w:val="21"/>
              </w:rPr>
            </w:pPr>
            <w:r>
              <w:rPr>
                <w:spacing w:val="-6"/>
                <w:sz w:val="21"/>
              </w:rPr>
              <w:t>由于先天性铜代谢障碍所引起的一种疾病，其特点为肝硬化与双侧脑基底神经节变性</w:t>
            </w:r>
            <w:r>
              <w:rPr>
                <w:spacing w:val="-4"/>
                <w:sz w:val="21"/>
              </w:rPr>
              <w:t>同时存在。理赔须经本公司认可的专科医生确认并同时具备下列情况：</w:t>
            </w:r>
          </w:p>
          <w:p>
            <w:pPr>
              <w:pStyle w:val="TableParagraph"/>
              <w:numPr>
                <w:ilvl w:val="0"/>
                <w:numId w:val="29"/>
              </w:numPr>
              <w:tabs>
                <w:tab w:pos="721" w:val="left" w:leader="none"/>
              </w:tabs>
              <w:spacing w:line="240" w:lineRule="auto" w:before="23" w:after="0"/>
              <w:ind w:left="720" w:right="0" w:hanging="632"/>
              <w:jc w:val="left"/>
              <w:rPr>
                <w:sz w:val="21"/>
              </w:rPr>
            </w:pPr>
            <w:r>
              <w:rPr>
                <w:spacing w:val="-12"/>
                <w:sz w:val="21"/>
              </w:rPr>
              <w:t>临床表现包括：进行性加剧的肢体震颤，肌强直，吞咽及发音困难，精神异常；</w:t>
            </w:r>
          </w:p>
          <w:p>
            <w:pPr>
              <w:pStyle w:val="TableParagraph"/>
              <w:numPr>
                <w:ilvl w:val="0"/>
                <w:numId w:val="29"/>
              </w:numPr>
              <w:tabs>
                <w:tab w:pos="721" w:val="left" w:leader="none"/>
              </w:tabs>
              <w:spacing w:line="240" w:lineRule="auto" w:before="99" w:after="0"/>
              <w:ind w:left="720" w:right="0" w:hanging="632"/>
              <w:jc w:val="left"/>
              <w:rPr>
                <w:sz w:val="21"/>
              </w:rPr>
            </w:pPr>
            <w:r>
              <w:rPr>
                <w:spacing w:val="-2"/>
                <w:w w:val="100"/>
                <w:sz w:val="21"/>
              </w:rPr>
              <w:t>角膜色素环</w:t>
            </w:r>
            <w:r>
              <w:rPr>
                <w:spacing w:val="-1"/>
                <w:w w:val="100"/>
                <w:sz w:val="21"/>
              </w:rPr>
              <w:t>（</w:t>
            </w:r>
            <w:r>
              <w:rPr>
                <w:w w:val="100"/>
                <w:sz w:val="21"/>
              </w:rPr>
              <w:t>K</w:t>
            </w:r>
            <w:r>
              <w:rPr>
                <w:spacing w:val="-3"/>
                <w:w w:val="100"/>
                <w:sz w:val="21"/>
              </w:rPr>
              <w:t>-</w:t>
            </w:r>
            <w:r>
              <w:rPr>
                <w:w w:val="100"/>
                <w:sz w:val="21"/>
              </w:rPr>
              <w:t>F</w:t>
            </w:r>
            <w:r>
              <w:rPr>
                <w:spacing w:val="-53"/>
                <w:sz w:val="21"/>
              </w:rPr>
              <w:t> </w:t>
            </w:r>
            <w:r>
              <w:rPr>
                <w:spacing w:val="-3"/>
                <w:w w:val="100"/>
                <w:sz w:val="21"/>
              </w:rPr>
              <w:t>环</w:t>
            </w:r>
            <w:r>
              <w:rPr>
                <w:spacing w:val="-106"/>
                <w:w w:val="100"/>
                <w:sz w:val="21"/>
              </w:rPr>
              <w:t>）</w:t>
            </w:r>
            <w:r>
              <w:rPr>
                <w:w w:val="100"/>
                <w:sz w:val="21"/>
              </w:rPr>
              <w:t>；</w:t>
            </w:r>
          </w:p>
          <w:p>
            <w:pPr>
              <w:pStyle w:val="TableParagraph"/>
              <w:numPr>
                <w:ilvl w:val="0"/>
                <w:numId w:val="29"/>
              </w:numPr>
              <w:tabs>
                <w:tab w:pos="721" w:val="left" w:leader="none"/>
              </w:tabs>
              <w:spacing w:line="240" w:lineRule="auto" w:before="99" w:after="0"/>
              <w:ind w:left="720" w:right="0" w:hanging="632"/>
              <w:jc w:val="left"/>
              <w:rPr>
                <w:sz w:val="21"/>
              </w:rPr>
            </w:pPr>
            <w:r>
              <w:rPr>
                <w:spacing w:val="-3"/>
                <w:sz w:val="21"/>
              </w:rPr>
              <w:t>血清铜和血清铜蓝蛋白降低，尿铜增加；</w:t>
            </w:r>
          </w:p>
          <w:p>
            <w:pPr>
              <w:pStyle w:val="TableParagraph"/>
              <w:numPr>
                <w:ilvl w:val="0"/>
                <w:numId w:val="29"/>
              </w:numPr>
              <w:tabs>
                <w:tab w:pos="721" w:val="left" w:leader="none"/>
              </w:tabs>
              <w:spacing w:line="240" w:lineRule="auto" w:before="99" w:after="0"/>
              <w:ind w:left="720" w:right="0" w:hanging="632"/>
              <w:jc w:val="left"/>
              <w:rPr>
                <w:sz w:val="21"/>
              </w:rPr>
            </w:pPr>
            <w:r>
              <w:rPr>
                <w:spacing w:val="-1"/>
                <w:sz w:val="21"/>
              </w:rPr>
              <w:t>食管静脉曲张 ；</w:t>
            </w:r>
          </w:p>
          <w:p>
            <w:pPr>
              <w:pStyle w:val="TableParagraph"/>
              <w:numPr>
                <w:ilvl w:val="0"/>
                <w:numId w:val="29"/>
              </w:numPr>
              <w:tabs>
                <w:tab w:pos="721" w:val="left" w:leader="none"/>
              </w:tabs>
              <w:spacing w:line="240" w:lineRule="auto" w:before="99" w:after="0"/>
              <w:ind w:left="720" w:right="0" w:hanging="632"/>
              <w:jc w:val="left"/>
              <w:rPr>
                <w:sz w:val="21"/>
              </w:rPr>
            </w:pPr>
            <w:r>
              <w:rPr>
                <w:sz w:val="21"/>
              </w:rPr>
              <w:t>腹水。</w:t>
            </w:r>
          </w:p>
        </w:tc>
      </w:tr>
      <w:tr>
        <w:trPr>
          <w:trHeight w:val="2404" w:hRule="atLeast"/>
        </w:trPr>
        <w:tc>
          <w:tcPr>
            <w:tcW w:w="1525" w:type="dxa"/>
          </w:tcPr>
          <w:p>
            <w:pPr>
              <w:pStyle w:val="TableParagraph"/>
              <w:spacing w:line="273" w:lineRule="auto" w:before="74"/>
              <w:ind w:left="200" w:right="88"/>
              <w:rPr>
                <w:b/>
                <w:sz w:val="21"/>
              </w:rPr>
            </w:pPr>
            <w:r>
              <w:rPr>
                <w:b/>
                <w:sz w:val="21"/>
              </w:rPr>
              <w:t>32.胰岛素依赖型糖尿病</w:t>
            </w:r>
          </w:p>
          <w:p>
            <w:pPr>
              <w:pStyle w:val="TableParagraph"/>
              <w:spacing w:line="273" w:lineRule="auto" w:before="7"/>
              <w:ind w:left="200" w:right="88"/>
              <w:rPr>
                <w:b/>
                <w:sz w:val="21"/>
              </w:rPr>
            </w:pPr>
            <w:r>
              <w:rPr>
                <w:b/>
                <w:sz w:val="21"/>
              </w:rPr>
              <w:t>（Ｉ型糖尿病）</w:t>
            </w:r>
          </w:p>
        </w:tc>
        <w:tc>
          <w:tcPr>
            <w:tcW w:w="8122" w:type="dxa"/>
          </w:tcPr>
          <w:p>
            <w:pPr>
              <w:pStyle w:val="TableParagraph"/>
              <w:spacing w:line="326" w:lineRule="auto" w:before="106"/>
              <w:ind w:right="302"/>
              <w:jc w:val="both"/>
              <w:rPr>
                <w:sz w:val="21"/>
              </w:rPr>
            </w:pPr>
            <w:r>
              <w:rPr>
                <w:spacing w:val="-5"/>
                <w:sz w:val="21"/>
              </w:rPr>
              <w:t>胰岛素依赖型糖尿病是由于胰岛素分泌不足引起的慢性血糖升高，并需持续性地依赖</w:t>
            </w:r>
            <w:r>
              <w:rPr>
                <w:spacing w:val="-7"/>
                <w:sz w:val="21"/>
              </w:rPr>
              <w:t>外源性胰岛素维持一百八十天以上，须由本公司认可的有资格的内分泌医生确诊并在</w:t>
            </w:r>
            <w:r>
              <w:rPr>
                <w:spacing w:val="-3"/>
                <w:sz w:val="21"/>
              </w:rPr>
              <w:t>本主险合同保险责任有效期内，满足下述至少一个条件。</w:t>
            </w:r>
          </w:p>
          <w:p>
            <w:pPr>
              <w:pStyle w:val="TableParagraph"/>
              <w:numPr>
                <w:ilvl w:val="0"/>
                <w:numId w:val="30"/>
              </w:numPr>
              <w:tabs>
                <w:tab w:pos="721" w:val="left" w:leader="none"/>
              </w:tabs>
              <w:spacing w:line="240" w:lineRule="auto" w:before="24" w:after="0"/>
              <w:ind w:left="720" w:right="0" w:hanging="632"/>
              <w:jc w:val="both"/>
              <w:rPr>
                <w:sz w:val="21"/>
              </w:rPr>
            </w:pPr>
            <w:r>
              <w:rPr>
                <w:spacing w:val="-3"/>
                <w:sz w:val="21"/>
              </w:rPr>
              <w:t>本公司认可的内分泌医生确定已出现增殖性视网膜病变；</w:t>
            </w:r>
          </w:p>
          <w:p>
            <w:pPr>
              <w:pStyle w:val="TableParagraph"/>
              <w:numPr>
                <w:ilvl w:val="0"/>
                <w:numId w:val="30"/>
              </w:numPr>
              <w:tabs>
                <w:tab w:pos="721" w:val="left" w:leader="none"/>
              </w:tabs>
              <w:spacing w:line="240" w:lineRule="auto" w:before="99" w:after="0"/>
              <w:ind w:left="720" w:right="0" w:hanging="632"/>
              <w:jc w:val="both"/>
              <w:rPr>
                <w:sz w:val="21"/>
              </w:rPr>
            </w:pPr>
            <w:r>
              <w:rPr>
                <w:spacing w:val="-3"/>
                <w:sz w:val="21"/>
              </w:rPr>
              <w:t>须植入心脏起搏器治疗心脏病；</w:t>
            </w:r>
          </w:p>
          <w:p>
            <w:pPr>
              <w:pStyle w:val="TableParagraph"/>
              <w:numPr>
                <w:ilvl w:val="0"/>
                <w:numId w:val="30"/>
              </w:numPr>
              <w:tabs>
                <w:tab w:pos="721" w:val="left" w:leader="none"/>
              </w:tabs>
              <w:spacing w:line="240" w:lineRule="auto" w:before="99" w:after="0"/>
              <w:ind w:left="720" w:right="0" w:hanging="632"/>
              <w:jc w:val="both"/>
              <w:rPr>
                <w:sz w:val="21"/>
              </w:rPr>
            </w:pPr>
            <w:r>
              <w:rPr>
                <w:spacing w:val="-3"/>
                <w:sz w:val="21"/>
              </w:rPr>
              <w:t>因坏疽需切除一只或以上脚趾。</w:t>
            </w:r>
          </w:p>
        </w:tc>
      </w:tr>
      <w:tr>
        <w:trPr>
          <w:trHeight w:val="798" w:hRule="atLeast"/>
        </w:trPr>
        <w:tc>
          <w:tcPr>
            <w:tcW w:w="1525" w:type="dxa"/>
          </w:tcPr>
          <w:p>
            <w:pPr>
              <w:pStyle w:val="TableParagraph"/>
              <w:spacing w:line="273" w:lineRule="auto" w:before="75"/>
              <w:ind w:left="200" w:right="113"/>
              <w:rPr>
                <w:b/>
                <w:sz w:val="21"/>
              </w:rPr>
            </w:pPr>
            <w:r>
              <w:rPr>
                <w:b/>
                <w:sz w:val="21"/>
              </w:rPr>
              <w:t>33.脑动脉瘤开颅手术</w:t>
            </w:r>
          </w:p>
        </w:tc>
        <w:tc>
          <w:tcPr>
            <w:tcW w:w="8122" w:type="dxa"/>
          </w:tcPr>
          <w:p>
            <w:pPr>
              <w:pStyle w:val="TableParagraph"/>
              <w:spacing w:before="106"/>
              <w:rPr>
                <w:sz w:val="21"/>
              </w:rPr>
            </w:pPr>
            <w:r>
              <w:rPr>
                <w:sz w:val="21"/>
              </w:rPr>
              <w:t>指确已进行开颅手术以夹闭、修复或切除脑动脉瘤。但不包括导管及血管内手术。</w:t>
            </w:r>
          </w:p>
        </w:tc>
      </w:tr>
      <w:tr>
        <w:trPr>
          <w:trHeight w:val="1094" w:hRule="atLeast"/>
        </w:trPr>
        <w:tc>
          <w:tcPr>
            <w:tcW w:w="1525" w:type="dxa"/>
          </w:tcPr>
          <w:p>
            <w:pPr>
              <w:pStyle w:val="TableParagraph"/>
              <w:spacing w:line="273" w:lineRule="auto" w:before="60"/>
              <w:ind w:left="200" w:right="113"/>
              <w:jc w:val="both"/>
              <w:rPr>
                <w:b/>
                <w:sz w:val="21"/>
              </w:rPr>
            </w:pPr>
            <w:r>
              <w:rPr>
                <w:b/>
                <w:spacing w:val="1"/>
                <w:sz w:val="21"/>
              </w:rPr>
              <w:t>34</w:t>
            </w:r>
            <w:r>
              <w:rPr>
                <w:b/>
                <w:spacing w:val="5"/>
                <w:sz w:val="21"/>
              </w:rPr>
              <w:t>.侵蚀性葡</w:t>
            </w:r>
            <w:r>
              <w:rPr>
                <w:b/>
                <w:spacing w:val="-33"/>
                <w:sz w:val="21"/>
              </w:rPr>
              <w:t>萄胎</w:t>
            </w:r>
            <w:r>
              <w:rPr>
                <w:b/>
                <w:sz w:val="21"/>
              </w:rPr>
              <w:t>（恶性葡萄胎）</w:t>
            </w:r>
          </w:p>
        </w:tc>
        <w:tc>
          <w:tcPr>
            <w:tcW w:w="8122" w:type="dxa"/>
          </w:tcPr>
          <w:p>
            <w:pPr>
              <w:pStyle w:val="TableParagraph"/>
              <w:spacing w:line="326" w:lineRule="auto" w:before="91"/>
              <w:ind w:right="463"/>
              <w:rPr>
                <w:sz w:val="21"/>
              </w:rPr>
            </w:pPr>
            <w:r>
              <w:rPr>
                <w:sz w:val="21"/>
              </w:rPr>
              <w:t>该类疾病是指异常增生的绒毛组织浸润性生长浸入子宫肌层或转移至其他器官或组织的葡萄胎，并已经进行化疗或手术切除治疗的。</w:t>
            </w:r>
          </w:p>
        </w:tc>
      </w:tr>
      <w:tr>
        <w:trPr>
          <w:trHeight w:val="372" w:hRule="atLeast"/>
        </w:trPr>
        <w:tc>
          <w:tcPr>
            <w:tcW w:w="1525" w:type="dxa"/>
          </w:tcPr>
          <w:p>
            <w:pPr>
              <w:pStyle w:val="TableParagraph"/>
              <w:spacing w:before="60"/>
              <w:ind w:left="200"/>
              <w:rPr>
                <w:b/>
                <w:sz w:val="21"/>
              </w:rPr>
            </w:pPr>
            <w:r>
              <w:rPr>
                <w:b/>
                <w:sz w:val="21"/>
              </w:rPr>
              <w:t>35.原发性心</w:t>
            </w:r>
          </w:p>
        </w:tc>
        <w:tc>
          <w:tcPr>
            <w:tcW w:w="8122" w:type="dxa"/>
          </w:tcPr>
          <w:p>
            <w:pPr>
              <w:pStyle w:val="TableParagraph"/>
              <w:spacing w:line="261" w:lineRule="exact" w:before="91"/>
              <w:rPr>
                <w:sz w:val="21"/>
              </w:rPr>
            </w:pPr>
            <w:r>
              <w:rPr>
                <w:sz w:val="21"/>
              </w:rPr>
              <w:t>指不明原因引起的一类心肌病变，包括原发性扩张型心肌病、原发性肥厚型心肌病及</w:t>
            </w:r>
          </w:p>
        </w:tc>
      </w:tr>
    </w:tbl>
    <w:p>
      <w:pPr>
        <w:spacing w:after="0" w:line="261" w:lineRule="exact"/>
        <w:rPr>
          <w:sz w:val="21"/>
        </w:rPr>
        <w:sectPr>
          <w:pgSz w:w="11910" w:h="16840"/>
          <w:pgMar w:header="0" w:footer="375" w:top="1340" w:bottom="560" w:left="144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
        <w:gridCol w:w="1546"/>
        <w:gridCol w:w="8108"/>
      </w:tblGrid>
      <w:tr>
        <w:trPr>
          <w:trHeight w:val="2634" w:hRule="atLeast"/>
        </w:trPr>
        <w:tc>
          <w:tcPr>
            <w:tcW w:w="722" w:type="dxa"/>
          </w:tcPr>
          <w:p>
            <w:pPr>
              <w:pStyle w:val="TableParagraph"/>
              <w:spacing w:before="0"/>
              <w:ind w:left="0"/>
              <w:rPr>
                <w:rFonts w:ascii="Times New Roman"/>
                <w:sz w:val="20"/>
              </w:rPr>
            </w:pPr>
          </w:p>
        </w:tc>
        <w:tc>
          <w:tcPr>
            <w:tcW w:w="1546" w:type="dxa"/>
          </w:tcPr>
          <w:p>
            <w:pPr>
              <w:pStyle w:val="TableParagraph"/>
              <w:spacing w:line="205" w:lineRule="exact" w:before="0"/>
              <w:ind w:left="205"/>
              <w:rPr>
                <w:b/>
                <w:sz w:val="21"/>
              </w:rPr>
            </w:pPr>
            <w:r>
              <w:rPr>
                <w:b/>
                <w:sz w:val="21"/>
              </w:rPr>
              <w:t>肌病</w:t>
            </w:r>
          </w:p>
        </w:tc>
        <w:tc>
          <w:tcPr>
            <w:tcW w:w="8108" w:type="dxa"/>
          </w:tcPr>
          <w:p>
            <w:pPr>
              <w:pStyle w:val="TableParagraph"/>
              <w:spacing w:line="236" w:lineRule="exact" w:before="0"/>
              <w:ind w:left="73"/>
              <w:rPr>
                <w:sz w:val="21"/>
              </w:rPr>
            </w:pPr>
            <w:r>
              <w:rPr>
                <w:sz w:val="21"/>
              </w:rPr>
              <w:t>原发性限制型心肌病三种，病变必须已造成事实上心室功能障碍而出现明显的心功能</w:t>
            </w:r>
          </w:p>
          <w:p>
            <w:pPr>
              <w:pStyle w:val="TableParagraph"/>
              <w:spacing w:line="326" w:lineRule="auto"/>
              <w:ind w:left="73" w:right="361"/>
              <w:rPr>
                <w:sz w:val="21"/>
              </w:rPr>
            </w:pPr>
            <w:r>
              <w:rPr>
                <w:w w:val="100"/>
                <w:sz w:val="21"/>
              </w:rPr>
              <w:t>衰竭</w:t>
            </w:r>
            <w:r>
              <w:rPr>
                <w:spacing w:val="-3"/>
                <w:w w:val="100"/>
                <w:sz w:val="21"/>
              </w:rPr>
              <w:t>（美国纽约心脏协会心功能分类标准心功能达四级</w:t>
            </w:r>
            <w:r>
              <w:rPr>
                <w:spacing w:val="-108"/>
                <w:w w:val="100"/>
                <w:sz w:val="21"/>
              </w:rPr>
              <w:t>）</w:t>
            </w:r>
            <w:r>
              <w:rPr>
                <w:spacing w:val="-3"/>
                <w:w w:val="100"/>
                <w:sz w:val="21"/>
              </w:rPr>
              <w:t>，且有相关住院医疗记录显</w:t>
            </w:r>
            <w:r>
              <w:rPr>
                <w:spacing w:val="-6"/>
                <w:sz w:val="21"/>
              </w:rPr>
              <w:t>示四级心功能衰竭状态持续至少 </w:t>
            </w:r>
            <w:r>
              <w:rPr>
                <w:sz w:val="21"/>
              </w:rPr>
              <w:t>180</w:t>
            </w:r>
            <w:r>
              <w:rPr>
                <w:spacing w:val="-16"/>
                <w:sz w:val="21"/>
              </w:rPr>
              <w:t> 天。</w:t>
            </w:r>
          </w:p>
          <w:p>
            <w:pPr>
              <w:pStyle w:val="TableParagraph"/>
              <w:spacing w:line="326" w:lineRule="auto" w:before="23"/>
              <w:ind w:left="73" w:right="303"/>
              <w:rPr>
                <w:sz w:val="21"/>
              </w:rPr>
            </w:pPr>
            <w:r>
              <w:rPr>
                <w:spacing w:val="-7"/>
                <w:sz w:val="21"/>
              </w:rPr>
              <w:t>本病须经专科医师明确诊断。继发于全身性疾病或其它器官系统疾病造成的心肌病变除外。</w:t>
            </w:r>
          </w:p>
          <w:p>
            <w:pPr>
              <w:pStyle w:val="TableParagraph"/>
              <w:spacing w:line="326" w:lineRule="auto" w:before="23"/>
              <w:ind w:left="73" w:right="464"/>
              <w:rPr>
                <w:sz w:val="21"/>
              </w:rPr>
            </w:pPr>
            <w:r>
              <w:rPr>
                <w:sz w:val="21"/>
              </w:rPr>
              <w:t>美国纽约心脏协会分类标准心功能四级是指有医院的医疗记录显示病人不能进行任何活动，休息时仍有心悸、呼吸困难等心力衰竭表现。</w:t>
            </w:r>
          </w:p>
        </w:tc>
      </w:tr>
      <w:tr>
        <w:trPr>
          <w:trHeight w:val="1271" w:hRule="atLeast"/>
        </w:trPr>
        <w:tc>
          <w:tcPr>
            <w:tcW w:w="722" w:type="dxa"/>
          </w:tcPr>
          <w:p>
            <w:pPr>
              <w:pStyle w:val="TableParagraph"/>
              <w:spacing w:before="0"/>
              <w:ind w:left="0"/>
              <w:rPr>
                <w:rFonts w:ascii="Times New Roman"/>
                <w:sz w:val="20"/>
              </w:rPr>
            </w:pPr>
          </w:p>
        </w:tc>
        <w:tc>
          <w:tcPr>
            <w:tcW w:w="1546" w:type="dxa"/>
          </w:tcPr>
          <w:p>
            <w:pPr>
              <w:pStyle w:val="TableParagraph"/>
              <w:spacing w:line="273" w:lineRule="auto" w:before="75"/>
              <w:ind w:left="205" w:right="90"/>
              <w:rPr>
                <w:b/>
                <w:sz w:val="21"/>
              </w:rPr>
            </w:pPr>
            <w:r>
              <w:rPr>
                <w:b/>
                <w:sz w:val="21"/>
              </w:rPr>
              <w:t>36. 埃博拉病毒感染</w:t>
            </w:r>
          </w:p>
        </w:tc>
        <w:tc>
          <w:tcPr>
            <w:tcW w:w="8108" w:type="dxa"/>
          </w:tcPr>
          <w:p>
            <w:pPr>
              <w:pStyle w:val="TableParagraph"/>
              <w:spacing w:before="106"/>
              <w:ind w:left="73"/>
              <w:rPr>
                <w:sz w:val="21"/>
              </w:rPr>
            </w:pPr>
            <w:r>
              <w:rPr>
                <w:sz w:val="21"/>
              </w:rPr>
              <w:t>埃博拉病毒感染的诊断须同时符合下列要求：</w:t>
            </w:r>
          </w:p>
          <w:p>
            <w:pPr>
              <w:pStyle w:val="TableParagraph"/>
              <w:numPr>
                <w:ilvl w:val="0"/>
                <w:numId w:val="31"/>
              </w:numPr>
              <w:tabs>
                <w:tab w:pos="641" w:val="left" w:leader="none"/>
              </w:tabs>
              <w:spacing w:line="240" w:lineRule="auto" w:before="99" w:after="0"/>
              <w:ind w:left="640" w:right="0" w:hanging="567"/>
              <w:jc w:val="left"/>
              <w:rPr>
                <w:sz w:val="21"/>
              </w:rPr>
            </w:pPr>
            <w:r>
              <w:rPr>
                <w:spacing w:val="-3"/>
                <w:sz w:val="21"/>
              </w:rPr>
              <w:t>实验室检查证实埃博拉病毒的存在；</w:t>
            </w:r>
          </w:p>
          <w:p>
            <w:pPr>
              <w:pStyle w:val="TableParagraph"/>
              <w:numPr>
                <w:ilvl w:val="0"/>
                <w:numId w:val="31"/>
              </w:numPr>
              <w:tabs>
                <w:tab w:pos="641" w:val="left" w:leader="none"/>
              </w:tabs>
              <w:spacing w:line="240" w:lineRule="auto" w:before="100" w:after="0"/>
              <w:ind w:left="640" w:right="0" w:hanging="567"/>
              <w:jc w:val="left"/>
              <w:rPr>
                <w:sz w:val="21"/>
              </w:rPr>
            </w:pPr>
            <w:r>
              <w:rPr>
                <w:spacing w:val="-8"/>
                <w:sz w:val="21"/>
              </w:rPr>
              <w:t>从发病开始有超过 </w:t>
            </w:r>
            <w:r>
              <w:rPr>
                <w:sz w:val="21"/>
              </w:rPr>
              <w:t>30</w:t>
            </w:r>
            <w:r>
              <w:rPr>
                <w:spacing w:val="-8"/>
                <w:sz w:val="21"/>
              </w:rPr>
              <w:t> 天的进行性感染症状。</w:t>
            </w:r>
          </w:p>
        </w:tc>
      </w:tr>
      <w:tr>
        <w:trPr>
          <w:trHeight w:val="10185" w:hRule="atLeast"/>
        </w:trPr>
        <w:tc>
          <w:tcPr>
            <w:tcW w:w="722" w:type="dxa"/>
          </w:tcPr>
          <w:p>
            <w:pPr>
              <w:pStyle w:val="TableParagraph"/>
              <w:spacing w:before="0"/>
              <w:ind w:left="0"/>
              <w:rPr>
                <w:rFonts w:ascii="Times New Roman"/>
                <w:sz w:val="20"/>
              </w:rPr>
            </w:pPr>
          </w:p>
        </w:tc>
        <w:tc>
          <w:tcPr>
            <w:tcW w:w="1546" w:type="dxa"/>
          </w:tcPr>
          <w:p>
            <w:pPr>
              <w:pStyle w:val="TableParagraph"/>
              <w:spacing w:line="326" w:lineRule="auto" w:before="117"/>
              <w:ind w:left="205" w:right="71"/>
              <w:rPr>
                <w:b/>
                <w:sz w:val="21"/>
              </w:rPr>
            </w:pPr>
            <w:r>
              <w:rPr>
                <w:b/>
                <w:sz w:val="21"/>
              </w:rPr>
              <w:t>重大疾病定 义中所用到 的术语定义：</w:t>
            </w:r>
          </w:p>
        </w:tc>
        <w:tc>
          <w:tcPr>
            <w:tcW w:w="8108" w:type="dxa"/>
          </w:tcPr>
          <w:p>
            <w:pPr>
              <w:pStyle w:val="TableParagraph"/>
              <w:numPr>
                <w:ilvl w:val="0"/>
                <w:numId w:val="32"/>
              </w:numPr>
              <w:tabs>
                <w:tab w:pos="414" w:val="left" w:leader="none"/>
              </w:tabs>
              <w:spacing w:line="240" w:lineRule="auto" w:before="64" w:after="0"/>
              <w:ind w:left="414" w:right="0" w:hanging="341"/>
              <w:jc w:val="left"/>
              <w:rPr>
                <w:sz w:val="21"/>
              </w:rPr>
            </w:pPr>
            <w:r>
              <w:rPr>
                <w:spacing w:val="-3"/>
                <w:sz w:val="21"/>
              </w:rPr>
              <w:t>六项基本日常生活活动</w:t>
            </w:r>
          </w:p>
          <w:p>
            <w:pPr>
              <w:pStyle w:val="TableParagraph"/>
              <w:spacing w:line="326" w:lineRule="auto" w:before="51"/>
              <w:ind w:left="414" w:right="305"/>
              <w:jc w:val="both"/>
              <w:rPr>
                <w:sz w:val="21"/>
              </w:rPr>
            </w:pPr>
            <w:r>
              <w:rPr>
                <w:spacing w:val="-9"/>
                <w:w w:val="100"/>
                <w:sz w:val="21"/>
              </w:rPr>
              <w:t>六项基本日常生活活动是指：</w:t>
            </w:r>
            <w:r>
              <w:rPr>
                <w:w w:val="100"/>
                <w:sz w:val="21"/>
              </w:rPr>
              <w:t>（1）</w:t>
            </w:r>
            <w:r>
              <w:rPr>
                <w:spacing w:val="-10"/>
                <w:w w:val="100"/>
                <w:sz w:val="21"/>
              </w:rPr>
              <w:t>穿衣：自己能够穿衣及脱衣；</w:t>
            </w:r>
            <w:r>
              <w:rPr>
                <w:w w:val="100"/>
                <w:sz w:val="21"/>
              </w:rPr>
              <w:t>（2）</w:t>
            </w:r>
            <w:r>
              <w:rPr>
                <w:spacing w:val="-1"/>
                <w:w w:val="100"/>
                <w:sz w:val="21"/>
              </w:rPr>
              <w:t>移动：自己</w:t>
            </w:r>
            <w:r>
              <w:rPr>
                <w:spacing w:val="-11"/>
                <w:w w:val="100"/>
                <w:sz w:val="21"/>
              </w:rPr>
              <w:t>从一个房间到另一个房间；</w:t>
            </w:r>
            <w:r>
              <w:rPr>
                <w:w w:val="100"/>
                <w:sz w:val="21"/>
              </w:rPr>
              <w:t>（3）</w:t>
            </w:r>
            <w:r>
              <w:rPr>
                <w:spacing w:val="-9"/>
                <w:w w:val="100"/>
                <w:sz w:val="21"/>
              </w:rPr>
              <w:t>行动：自己上下床或上下轮椅；</w:t>
            </w:r>
            <w:r>
              <w:rPr>
                <w:spacing w:val="0"/>
                <w:w w:val="100"/>
                <w:sz w:val="21"/>
              </w:rPr>
              <w:t>（</w:t>
            </w:r>
            <w:r>
              <w:rPr>
                <w:w w:val="100"/>
                <w:sz w:val="21"/>
              </w:rPr>
              <w:t>4</w:t>
            </w:r>
            <w:r>
              <w:rPr>
                <w:spacing w:val="-3"/>
                <w:w w:val="100"/>
                <w:sz w:val="21"/>
              </w:rPr>
              <w:t>）</w:t>
            </w:r>
            <w:r>
              <w:rPr>
                <w:spacing w:val="-1"/>
                <w:w w:val="100"/>
                <w:sz w:val="21"/>
              </w:rPr>
              <w:t>如厕：自己</w:t>
            </w:r>
            <w:r>
              <w:rPr>
                <w:spacing w:val="-15"/>
                <w:w w:val="100"/>
                <w:sz w:val="21"/>
              </w:rPr>
              <w:t>控制进行大小便；</w:t>
            </w:r>
            <w:r>
              <w:rPr>
                <w:w w:val="100"/>
                <w:sz w:val="21"/>
              </w:rPr>
              <w:t>（5）</w:t>
            </w:r>
            <w:r>
              <w:rPr>
                <w:spacing w:val="-8"/>
                <w:w w:val="100"/>
                <w:sz w:val="21"/>
              </w:rPr>
              <w:t>进食：自己从已准备好的碗或碟中取食物放入口中；</w:t>
            </w:r>
            <w:r>
              <w:rPr>
                <w:spacing w:val="-2"/>
                <w:w w:val="100"/>
                <w:sz w:val="21"/>
              </w:rPr>
              <w:t>（</w:t>
            </w:r>
            <w:r>
              <w:rPr>
                <w:w w:val="100"/>
                <w:sz w:val="21"/>
              </w:rPr>
              <w:t>6）</w:t>
            </w:r>
            <w:r>
              <w:rPr>
                <w:spacing w:val="-3"/>
                <w:sz w:val="21"/>
              </w:rPr>
              <w:t>洗澡：自己进行淋浴或盆浴。</w:t>
            </w:r>
          </w:p>
          <w:p>
            <w:pPr>
              <w:pStyle w:val="TableParagraph"/>
              <w:numPr>
                <w:ilvl w:val="0"/>
                <w:numId w:val="32"/>
              </w:numPr>
              <w:tabs>
                <w:tab w:pos="414" w:val="left" w:leader="none"/>
              </w:tabs>
              <w:spacing w:line="240" w:lineRule="auto" w:before="24" w:after="0"/>
              <w:ind w:left="414" w:right="0" w:hanging="341"/>
              <w:jc w:val="left"/>
              <w:rPr>
                <w:sz w:val="21"/>
              </w:rPr>
            </w:pPr>
            <w:r>
              <w:rPr>
                <w:spacing w:val="-3"/>
                <w:sz w:val="21"/>
              </w:rPr>
              <w:t>肢体机能完全丧失</w:t>
            </w:r>
          </w:p>
          <w:p>
            <w:pPr>
              <w:pStyle w:val="TableParagraph"/>
              <w:spacing w:line="326" w:lineRule="auto"/>
              <w:ind w:left="414" w:right="306"/>
              <w:rPr>
                <w:sz w:val="21"/>
              </w:rPr>
            </w:pPr>
            <w:r>
              <w:rPr>
                <w:sz w:val="21"/>
              </w:rPr>
              <w:t>指肢体的三大关节中的两大关节僵硬，或不能随意识活动。肢体是指包括肩关节的整个上肢或包括髋关节的整个下肢。</w:t>
            </w:r>
          </w:p>
          <w:p>
            <w:pPr>
              <w:pStyle w:val="TableParagraph"/>
              <w:numPr>
                <w:ilvl w:val="0"/>
                <w:numId w:val="32"/>
              </w:numPr>
              <w:tabs>
                <w:tab w:pos="414" w:val="left" w:leader="none"/>
              </w:tabs>
              <w:spacing w:line="240" w:lineRule="auto" w:before="23" w:after="0"/>
              <w:ind w:left="414" w:right="0" w:hanging="341"/>
              <w:jc w:val="left"/>
              <w:rPr>
                <w:sz w:val="21"/>
              </w:rPr>
            </w:pPr>
            <w:r>
              <w:rPr>
                <w:spacing w:val="-3"/>
                <w:sz w:val="21"/>
              </w:rPr>
              <w:t>语言能力或咀嚼吞咽能力完全丧失</w:t>
            </w:r>
          </w:p>
          <w:p>
            <w:pPr>
              <w:pStyle w:val="TableParagraph"/>
              <w:spacing w:line="326" w:lineRule="auto"/>
              <w:ind w:left="414" w:right="306"/>
              <w:rPr>
                <w:sz w:val="21"/>
              </w:rPr>
            </w:pPr>
            <w:r>
              <w:rPr>
                <w:spacing w:val="-1"/>
                <w:sz w:val="21"/>
              </w:rPr>
              <w:t>语言能力完全丧失，指无法发出四种语音</w:t>
            </w:r>
            <w:r>
              <w:rPr>
                <w:sz w:val="21"/>
              </w:rPr>
              <w:t>（</w:t>
            </w:r>
            <w:r>
              <w:rPr>
                <w:spacing w:val="-2"/>
                <w:sz w:val="21"/>
              </w:rPr>
              <w:t>包括口唇音、齿舌音、口盖音和喉头音）</w:t>
            </w:r>
            <w:r>
              <w:rPr>
                <w:spacing w:val="-3"/>
                <w:sz w:val="21"/>
              </w:rPr>
              <w:t>中的任何三种、或声带全部切除，或因大脑语言中枢受伤害而患失语症。 咀嚼吞咽能力完全丧失，指因牙齿以外的原因导致器质障碍或机能障碍，以致不能作咀嚼吞咽运动，除流质食物外不能摄取或吞咽的状态。</w:t>
            </w:r>
          </w:p>
          <w:p>
            <w:pPr>
              <w:pStyle w:val="TableParagraph"/>
              <w:numPr>
                <w:ilvl w:val="0"/>
                <w:numId w:val="32"/>
              </w:numPr>
              <w:tabs>
                <w:tab w:pos="414" w:val="left" w:leader="none"/>
              </w:tabs>
              <w:spacing w:line="240" w:lineRule="auto" w:before="24" w:after="0"/>
              <w:ind w:left="414" w:right="0" w:hanging="341"/>
              <w:jc w:val="left"/>
              <w:rPr>
                <w:sz w:val="21"/>
              </w:rPr>
            </w:pPr>
            <w:r>
              <w:rPr>
                <w:spacing w:val="-1"/>
                <w:sz w:val="21"/>
              </w:rPr>
              <w:t>永久不可逆</w:t>
            </w:r>
          </w:p>
          <w:p>
            <w:pPr>
              <w:pStyle w:val="TableParagraph"/>
              <w:spacing w:line="326" w:lineRule="auto"/>
              <w:ind w:left="414" w:right="230"/>
              <w:rPr>
                <w:sz w:val="21"/>
              </w:rPr>
            </w:pPr>
            <w:r>
              <w:rPr>
                <w:sz w:val="21"/>
              </w:rPr>
              <w:t>指自疾病确诊或意外伤害发生之日起，经过积极治疗 180 天后，仍无法通过现有医疗手段恢复。</w:t>
            </w:r>
          </w:p>
          <w:p>
            <w:pPr>
              <w:pStyle w:val="TableParagraph"/>
              <w:numPr>
                <w:ilvl w:val="0"/>
                <w:numId w:val="32"/>
              </w:numPr>
              <w:tabs>
                <w:tab w:pos="414" w:val="left" w:leader="none"/>
              </w:tabs>
              <w:spacing w:line="240" w:lineRule="auto" w:before="24" w:after="0"/>
              <w:ind w:left="414" w:right="0" w:hanging="341"/>
              <w:jc w:val="left"/>
              <w:rPr>
                <w:sz w:val="21"/>
              </w:rPr>
            </w:pPr>
            <w:r>
              <w:rPr>
                <w:spacing w:val="-1"/>
                <w:sz w:val="21"/>
              </w:rPr>
              <w:t>专科医生</w:t>
            </w:r>
          </w:p>
          <w:p>
            <w:pPr>
              <w:pStyle w:val="TableParagraph"/>
              <w:spacing w:line="326" w:lineRule="auto"/>
              <w:ind w:left="414" w:right="305"/>
              <w:jc w:val="both"/>
              <w:rPr>
                <w:sz w:val="21"/>
              </w:rPr>
            </w:pPr>
            <w:r>
              <w:rPr>
                <w:spacing w:val="-8"/>
                <w:w w:val="100"/>
                <w:sz w:val="21"/>
              </w:rPr>
              <w:t>专科医生应当同时满足以下四项资格条件：</w:t>
            </w:r>
            <w:r>
              <w:rPr>
                <w:w w:val="100"/>
                <w:sz w:val="21"/>
              </w:rPr>
              <w:t>（1）</w:t>
            </w:r>
            <w:r>
              <w:rPr>
                <w:spacing w:val="-3"/>
                <w:w w:val="100"/>
                <w:sz w:val="21"/>
              </w:rPr>
              <w:t>具有有效的中华人民共和国《医</w:t>
            </w:r>
            <w:r>
              <w:rPr>
                <w:spacing w:val="-33"/>
                <w:w w:val="100"/>
                <w:sz w:val="21"/>
              </w:rPr>
              <w:t>师资格证书》；</w:t>
            </w:r>
            <w:r>
              <w:rPr>
                <w:w w:val="100"/>
                <w:sz w:val="21"/>
              </w:rPr>
              <w:t>（2）</w:t>
            </w:r>
            <w:r>
              <w:rPr>
                <w:spacing w:val="-9"/>
                <w:w w:val="100"/>
                <w:sz w:val="21"/>
              </w:rPr>
              <w:t>具有有效的中华人民共和国《医师执业证书》，并按期到相关</w:t>
            </w:r>
            <w:r>
              <w:rPr>
                <w:spacing w:val="-23"/>
                <w:w w:val="100"/>
                <w:sz w:val="21"/>
              </w:rPr>
              <w:t>部门登记注册；</w:t>
            </w:r>
            <w:r>
              <w:rPr>
                <w:w w:val="100"/>
                <w:sz w:val="21"/>
              </w:rPr>
              <w:t>（3）</w:t>
            </w:r>
            <w:r>
              <w:rPr>
                <w:spacing w:val="-3"/>
                <w:w w:val="100"/>
                <w:sz w:val="21"/>
              </w:rPr>
              <w:t>具有有效的中华人民共和国主治医师或主治医师以上职称的</w:t>
            </w:r>
          </w:p>
          <w:p>
            <w:pPr>
              <w:pStyle w:val="TableParagraph"/>
              <w:spacing w:before="23"/>
              <w:ind w:left="414"/>
              <w:rPr>
                <w:sz w:val="21"/>
              </w:rPr>
            </w:pPr>
            <w:r>
              <w:rPr>
                <w:spacing w:val="-16"/>
                <w:w w:val="100"/>
                <w:sz w:val="21"/>
              </w:rPr>
              <w:t>《医师职称证书》</w:t>
            </w:r>
            <w:r>
              <w:rPr>
                <w:spacing w:val="-195"/>
                <w:w w:val="100"/>
                <w:sz w:val="21"/>
              </w:rPr>
              <w:t>；</w:t>
            </w:r>
            <w:r>
              <w:rPr>
                <w:spacing w:val="-3"/>
                <w:w w:val="100"/>
                <w:sz w:val="21"/>
              </w:rPr>
              <w:t>（</w:t>
            </w:r>
            <w:r>
              <w:rPr>
                <w:w w:val="100"/>
                <w:sz w:val="21"/>
              </w:rPr>
              <w:t>4</w:t>
            </w:r>
            <w:r>
              <w:rPr>
                <w:spacing w:val="-89"/>
                <w:w w:val="100"/>
                <w:sz w:val="21"/>
              </w:rPr>
              <w:t>）</w:t>
            </w:r>
            <w:r>
              <w:rPr>
                <w:spacing w:val="-3"/>
                <w:w w:val="100"/>
                <w:sz w:val="21"/>
              </w:rPr>
              <w:t>在二级或二级以上医院的相应科室从事临床工作三年以上。</w:t>
            </w:r>
          </w:p>
          <w:p>
            <w:pPr>
              <w:pStyle w:val="TableParagraph"/>
              <w:numPr>
                <w:ilvl w:val="0"/>
                <w:numId w:val="32"/>
              </w:numPr>
              <w:tabs>
                <w:tab w:pos="414" w:val="left" w:leader="none"/>
              </w:tabs>
              <w:spacing w:line="240" w:lineRule="auto" w:before="99" w:after="0"/>
              <w:ind w:left="414" w:right="0" w:hanging="341"/>
              <w:jc w:val="left"/>
              <w:rPr>
                <w:sz w:val="21"/>
              </w:rPr>
            </w:pPr>
            <w:r>
              <w:rPr>
                <w:spacing w:val="-1"/>
                <w:sz w:val="21"/>
              </w:rPr>
              <w:t>遗传性疾病</w:t>
            </w:r>
          </w:p>
          <w:p>
            <w:pPr>
              <w:pStyle w:val="TableParagraph"/>
              <w:spacing w:line="326" w:lineRule="auto"/>
              <w:ind w:left="414" w:right="125"/>
              <w:rPr>
                <w:sz w:val="21"/>
              </w:rPr>
            </w:pPr>
            <w:r>
              <w:rPr>
                <w:sz w:val="21"/>
              </w:rPr>
              <w:t>指生殖细胞或受精卵的遗传物质（染色体和基因）发生突变或畸变所引起的疾病， 通常具有由亲代传至后代的垂直传递的特征。</w:t>
            </w:r>
          </w:p>
          <w:p>
            <w:pPr>
              <w:pStyle w:val="TableParagraph"/>
              <w:numPr>
                <w:ilvl w:val="0"/>
                <w:numId w:val="32"/>
              </w:numPr>
              <w:tabs>
                <w:tab w:pos="414" w:val="left" w:leader="none"/>
              </w:tabs>
              <w:spacing w:line="240" w:lineRule="auto" w:before="23" w:after="0"/>
              <w:ind w:left="414" w:right="0" w:hanging="341"/>
              <w:jc w:val="left"/>
              <w:rPr>
                <w:sz w:val="21"/>
              </w:rPr>
            </w:pPr>
            <w:r>
              <w:rPr>
                <w:spacing w:val="-3"/>
                <w:sz w:val="21"/>
              </w:rPr>
              <w:t>先天性畸形、变形和染色体异常</w:t>
            </w:r>
          </w:p>
          <w:p>
            <w:pPr>
              <w:pStyle w:val="TableParagraph"/>
              <w:spacing w:line="326" w:lineRule="auto"/>
              <w:ind w:left="414" w:right="199"/>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363" w:hRule="atLeast"/>
        </w:trPr>
        <w:tc>
          <w:tcPr>
            <w:tcW w:w="722" w:type="dxa"/>
          </w:tcPr>
          <w:p>
            <w:pPr>
              <w:pStyle w:val="TableParagraph"/>
              <w:spacing w:line="261" w:lineRule="exact" w:before="82"/>
              <w:ind w:left="200"/>
              <w:rPr>
                <w:b/>
                <w:sz w:val="21"/>
              </w:rPr>
            </w:pPr>
            <w:r>
              <w:rPr>
                <w:b/>
                <w:sz w:val="21"/>
              </w:rPr>
              <w:t>7.6</w:t>
            </w:r>
          </w:p>
        </w:tc>
        <w:tc>
          <w:tcPr>
            <w:tcW w:w="1546" w:type="dxa"/>
          </w:tcPr>
          <w:p>
            <w:pPr>
              <w:pStyle w:val="TableParagraph"/>
              <w:spacing w:line="261" w:lineRule="exact" w:before="82"/>
              <w:ind w:left="205"/>
              <w:rPr>
                <w:b/>
                <w:sz w:val="21"/>
              </w:rPr>
            </w:pPr>
            <w:r>
              <w:rPr>
                <w:b/>
                <w:sz w:val="21"/>
              </w:rPr>
              <w:t>毒品</w:t>
            </w:r>
          </w:p>
        </w:tc>
        <w:tc>
          <w:tcPr>
            <w:tcW w:w="8108" w:type="dxa"/>
          </w:tcPr>
          <w:p>
            <w:pPr>
              <w:pStyle w:val="TableParagraph"/>
              <w:spacing w:line="261" w:lineRule="exact" w:before="82"/>
              <w:ind w:left="73"/>
              <w:rPr>
                <w:sz w:val="21"/>
              </w:rPr>
            </w:pPr>
            <w:r>
              <w:rPr>
                <w:sz w:val="21"/>
              </w:rPr>
              <w:t>指鸦片、海洛因、甲基苯丙胺（冰毒</w:t>
            </w:r>
            <w:r>
              <w:rPr>
                <w:spacing w:val="-106"/>
                <w:sz w:val="21"/>
              </w:rPr>
              <w:t>）</w:t>
            </w:r>
            <w:r>
              <w:rPr>
                <w:sz w:val="21"/>
              </w:rPr>
              <w:t>、吗啡、大麻、可卡因以及索赔当时政府规定</w:t>
            </w:r>
          </w:p>
        </w:tc>
      </w:tr>
    </w:tbl>
    <w:p>
      <w:pPr>
        <w:spacing w:after="0" w:line="261" w:lineRule="exact"/>
        <w:rPr>
          <w:sz w:val="21"/>
        </w:rPr>
        <w:sectPr>
          <w:pgSz w:w="11910" w:h="16840"/>
          <w:pgMar w:header="0" w:footer="375" w:top="1340" w:bottom="560" w:left="720" w:right="6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5"/>
        <w:gridCol w:w="1387"/>
        <w:gridCol w:w="8213"/>
      </w:tblGrid>
      <w:tr>
        <w:trPr>
          <w:trHeight w:val="363" w:hRule="atLeast"/>
        </w:trPr>
        <w:tc>
          <w:tcPr>
            <w:tcW w:w="775" w:type="dxa"/>
          </w:tcPr>
          <w:p>
            <w:pPr>
              <w:pStyle w:val="TableParagraph"/>
              <w:spacing w:before="0"/>
              <w:ind w:left="0"/>
              <w:rPr>
                <w:rFonts w:ascii="Times New Roman"/>
                <w:sz w:val="20"/>
              </w:rPr>
            </w:pPr>
          </w:p>
        </w:tc>
        <w:tc>
          <w:tcPr>
            <w:tcW w:w="1387" w:type="dxa"/>
          </w:tcPr>
          <w:p>
            <w:pPr>
              <w:pStyle w:val="TableParagraph"/>
              <w:spacing w:before="0"/>
              <w:ind w:left="0"/>
              <w:rPr>
                <w:rFonts w:ascii="Times New Roman"/>
                <w:sz w:val="20"/>
              </w:rPr>
            </w:pPr>
          </w:p>
        </w:tc>
        <w:tc>
          <w:tcPr>
            <w:tcW w:w="8213" w:type="dxa"/>
          </w:tcPr>
          <w:p>
            <w:pPr>
              <w:pStyle w:val="TableParagraph"/>
              <w:spacing w:line="211" w:lineRule="exact" w:before="0"/>
              <w:ind w:left="179"/>
              <w:rPr>
                <w:sz w:val="21"/>
              </w:rPr>
            </w:pPr>
            <w:r>
              <w:rPr>
                <w:sz w:val="21"/>
              </w:rPr>
              <w:t>管制的其他能够使人形成瘾癖的麻醉药品和精神药品。</w:t>
            </w:r>
          </w:p>
        </w:tc>
      </w:tr>
      <w:tr>
        <w:trPr>
          <w:trHeight w:val="819" w:hRule="atLeast"/>
        </w:trPr>
        <w:tc>
          <w:tcPr>
            <w:tcW w:w="775" w:type="dxa"/>
          </w:tcPr>
          <w:p>
            <w:pPr>
              <w:pStyle w:val="TableParagraph"/>
              <w:spacing w:before="88"/>
              <w:ind w:left="200"/>
              <w:rPr>
                <w:b/>
                <w:sz w:val="21"/>
              </w:rPr>
            </w:pPr>
            <w:r>
              <w:rPr>
                <w:b/>
                <w:sz w:val="21"/>
              </w:rPr>
              <w:t>7.7</w:t>
            </w:r>
          </w:p>
        </w:tc>
        <w:tc>
          <w:tcPr>
            <w:tcW w:w="1387" w:type="dxa"/>
          </w:tcPr>
          <w:p>
            <w:pPr>
              <w:pStyle w:val="TableParagraph"/>
              <w:spacing w:before="88"/>
              <w:ind w:left="152"/>
              <w:rPr>
                <w:b/>
                <w:sz w:val="21"/>
              </w:rPr>
            </w:pPr>
            <w:r>
              <w:rPr>
                <w:b/>
                <w:sz w:val="21"/>
              </w:rPr>
              <w:t>酒后驾驶</w:t>
            </w:r>
          </w:p>
        </w:tc>
        <w:tc>
          <w:tcPr>
            <w:tcW w:w="8213" w:type="dxa"/>
          </w:tcPr>
          <w:p>
            <w:pPr>
              <w:pStyle w:val="TableParagraph"/>
              <w:spacing w:line="374" w:lineRule="exact" w:before="34"/>
              <w:ind w:left="179" w:right="302"/>
              <w:rPr>
                <w:sz w:val="21"/>
              </w:rPr>
            </w:pPr>
            <w:r>
              <w:rPr>
                <w:spacing w:val="-9"/>
                <w:sz w:val="21"/>
              </w:rPr>
              <w:t>指经检测或鉴定，发生保险事故时车辆驾驶人员每百毫升血液中的酒精含量大于或等</w:t>
            </w:r>
            <w:r>
              <w:rPr>
                <w:spacing w:val="-30"/>
                <w:sz w:val="21"/>
              </w:rPr>
              <w:t>于 </w:t>
            </w:r>
            <w:r>
              <w:rPr>
                <w:sz w:val="21"/>
              </w:rPr>
              <w:t>20</w:t>
            </w:r>
            <w:r>
              <w:rPr>
                <w:spacing w:val="-15"/>
                <w:sz w:val="21"/>
              </w:rPr>
              <w:t> 毫克。</w:t>
            </w:r>
          </w:p>
        </w:tc>
      </w:tr>
      <w:tr>
        <w:trPr>
          <w:trHeight w:val="3075" w:hRule="atLeast"/>
        </w:trPr>
        <w:tc>
          <w:tcPr>
            <w:tcW w:w="775" w:type="dxa"/>
          </w:tcPr>
          <w:p>
            <w:pPr>
              <w:pStyle w:val="TableParagraph"/>
              <w:spacing w:before="18"/>
              <w:ind w:left="200"/>
              <w:rPr>
                <w:b/>
                <w:sz w:val="21"/>
              </w:rPr>
            </w:pPr>
            <w:r>
              <w:rPr>
                <w:b/>
                <w:sz w:val="21"/>
              </w:rPr>
              <w:t>7.8</w:t>
            </w:r>
          </w:p>
        </w:tc>
        <w:tc>
          <w:tcPr>
            <w:tcW w:w="1387" w:type="dxa"/>
          </w:tcPr>
          <w:p>
            <w:pPr>
              <w:pStyle w:val="TableParagraph"/>
              <w:spacing w:line="326" w:lineRule="auto" w:before="18"/>
              <w:ind w:left="152" w:right="176"/>
              <w:rPr>
                <w:b/>
                <w:sz w:val="21"/>
              </w:rPr>
            </w:pPr>
            <w:r>
              <w:rPr>
                <w:b/>
                <w:sz w:val="21"/>
              </w:rPr>
              <w:t>无合法有效驾驶证驾驶</w:t>
            </w:r>
          </w:p>
        </w:tc>
        <w:tc>
          <w:tcPr>
            <w:tcW w:w="8213" w:type="dxa"/>
          </w:tcPr>
          <w:p>
            <w:pPr>
              <w:pStyle w:val="TableParagraph"/>
              <w:spacing w:before="18"/>
              <w:ind w:left="179"/>
              <w:rPr>
                <w:sz w:val="21"/>
              </w:rPr>
            </w:pPr>
            <w:r>
              <w:rPr>
                <w:sz w:val="21"/>
              </w:rPr>
              <w:t>指下列情形之一：</w:t>
            </w:r>
          </w:p>
          <w:p>
            <w:pPr>
              <w:pStyle w:val="TableParagraph"/>
              <w:ind w:left="179"/>
              <w:rPr>
                <w:sz w:val="21"/>
              </w:rPr>
            </w:pPr>
            <w:r>
              <w:rPr>
                <w:sz w:val="21"/>
              </w:rPr>
              <w:t>（1）没有驾驶证驾驶；</w:t>
            </w:r>
          </w:p>
          <w:p>
            <w:pPr>
              <w:pStyle w:val="TableParagraph"/>
              <w:ind w:left="179"/>
              <w:rPr>
                <w:sz w:val="21"/>
              </w:rPr>
            </w:pPr>
            <w:r>
              <w:rPr>
                <w:sz w:val="21"/>
              </w:rPr>
              <w:t>（2）驾驶与驾驶证准驾车型不相符合的车辆；</w:t>
            </w:r>
          </w:p>
          <w:p>
            <w:pPr>
              <w:pStyle w:val="TableParagraph"/>
              <w:ind w:left="179"/>
              <w:rPr>
                <w:sz w:val="21"/>
              </w:rPr>
            </w:pPr>
            <w:r>
              <w:rPr>
                <w:sz w:val="21"/>
              </w:rPr>
              <w:t>（3）驾驶员持审验不合格的驾驶证驾驶；</w:t>
            </w:r>
          </w:p>
          <w:p>
            <w:pPr>
              <w:pStyle w:val="TableParagraph"/>
              <w:ind w:left="179"/>
              <w:rPr>
                <w:sz w:val="21"/>
              </w:rPr>
            </w:pPr>
            <w:r>
              <w:rPr>
                <w:sz w:val="21"/>
              </w:rPr>
              <w:t>（4）未经公安交通管理部门同意，持未审验的驾驶证驾驶；</w:t>
            </w:r>
          </w:p>
          <w:p>
            <w:pPr>
              <w:pStyle w:val="TableParagraph"/>
              <w:spacing w:line="326" w:lineRule="auto"/>
              <w:ind w:left="704" w:right="360" w:hanging="526"/>
              <w:rPr>
                <w:sz w:val="21"/>
              </w:rPr>
            </w:pPr>
            <w:r>
              <w:rPr>
                <w:sz w:val="21"/>
              </w:rPr>
              <w:t>（5）持学习驾驶证学习驾车时，无教练员随车指导，或不按指定时间、路线学习驾车；</w:t>
            </w:r>
          </w:p>
          <w:p>
            <w:pPr>
              <w:pStyle w:val="TableParagraph"/>
              <w:spacing w:before="23"/>
              <w:ind w:left="179"/>
              <w:rPr>
                <w:sz w:val="21"/>
              </w:rPr>
            </w:pPr>
            <w:r>
              <w:rPr>
                <w:sz w:val="21"/>
              </w:rPr>
              <w:t>（6）公安交通管理部门规定的其他无有效驾驶证驾驶的情况。</w:t>
            </w:r>
          </w:p>
        </w:tc>
      </w:tr>
      <w:tr>
        <w:trPr>
          <w:trHeight w:val="1282" w:hRule="atLeast"/>
        </w:trPr>
        <w:tc>
          <w:tcPr>
            <w:tcW w:w="775" w:type="dxa"/>
          </w:tcPr>
          <w:p>
            <w:pPr>
              <w:pStyle w:val="TableParagraph"/>
              <w:spacing w:before="97"/>
              <w:ind w:left="200"/>
              <w:rPr>
                <w:b/>
                <w:sz w:val="21"/>
              </w:rPr>
            </w:pPr>
            <w:r>
              <w:rPr>
                <w:b/>
                <w:sz w:val="21"/>
              </w:rPr>
              <w:t>7.9</w:t>
            </w:r>
          </w:p>
        </w:tc>
        <w:tc>
          <w:tcPr>
            <w:tcW w:w="1387" w:type="dxa"/>
          </w:tcPr>
          <w:p>
            <w:pPr>
              <w:pStyle w:val="TableParagraph"/>
              <w:spacing w:line="326" w:lineRule="auto" w:before="97"/>
              <w:ind w:left="152" w:right="176"/>
              <w:rPr>
                <w:b/>
                <w:sz w:val="21"/>
              </w:rPr>
            </w:pPr>
            <w:r>
              <w:rPr>
                <w:b/>
                <w:sz w:val="21"/>
              </w:rPr>
              <w:t>无有效行驶证</w:t>
            </w:r>
          </w:p>
        </w:tc>
        <w:tc>
          <w:tcPr>
            <w:tcW w:w="8213" w:type="dxa"/>
          </w:tcPr>
          <w:p>
            <w:pPr>
              <w:pStyle w:val="TableParagraph"/>
              <w:spacing w:before="97"/>
              <w:ind w:left="179"/>
              <w:rPr>
                <w:sz w:val="21"/>
              </w:rPr>
            </w:pPr>
            <w:r>
              <w:rPr>
                <w:sz w:val="21"/>
              </w:rPr>
              <w:t>指下列情形之一：</w:t>
            </w:r>
          </w:p>
          <w:p>
            <w:pPr>
              <w:pStyle w:val="TableParagraph"/>
              <w:ind w:left="179"/>
              <w:rPr>
                <w:sz w:val="21"/>
              </w:rPr>
            </w:pPr>
            <w:r>
              <w:rPr>
                <w:sz w:val="21"/>
              </w:rPr>
              <w:t>（1）没有机动车行驶证；</w:t>
            </w:r>
          </w:p>
          <w:p>
            <w:pPr>
              <w:pStyle w:val="TableParagraph"/>
              <w:ind w:left="179"/>
              <w:rPr>
                <w:sz w:val="21"/>
              </w:rPr>
            </w:pPr>
            <w:r>
              <w:rPr>
                <w:sz w:val="21"/>
              </w:rPr>
              <w:t>（2）未在法律规定期限内按时进行或通过安全技术检验。</w:t>
            </w:r>
          </w:p>
        </w:tc>
      </w:tr>
      <w:tr>
        <w:trPr>
          <w:trHeight w:val="1657" w:hRule="atLeast"/>
        </w:trPr>
        <w:tc>
          <w:tcPr>
            <w:tcW w:w="775" w:type="dxa"/>
          </w:tcPr>
          <w:p>
            <w:pPr>
              <w:pStyle w:val="TableParagraph"/>
              <w:spacing w:before="98"/>
              <w:ind w:left="200"/>
              <w:rPr>
                <w:b/>
                <w:sz w:val="21"/>
              </w:rPr>
            </w:pPr>
            <w:r>
              <w:rPr>
                <w:b/>
                <w:sz w:val="21"/>
              </w:rPr>
              <w:t>7.10</w:t>
            </w:r>
          </w:p>
        </w:tc>
        <w:tc>
          <w:tcPr>
            <w:tcW w:w="1387" w:type="dxa"/>
          </w:tcPr>
          <w:p>
            <w:pPr>
              <w:pStyle w:val="TableParagraph"/>
              <w:spacing w:before="98"/>
              <w:ind w:left="152"/>
              <w:rPr>
                <w:b/>
                <w:sz w:val="21"/>
              </w:rPr>
            </w:pPr>
            <w:r>
              <w:rPr>
                <w:b/>
                <w:sz w:val="21"/>
              </w:rPr>
              <w:t>机动车</w:t>
            </w:r>
          </w:p>
        </w:tc>
        <w:tc>
          <w:tcPr>
            <w:tcW w:w="8213" w:type="dxa"/>
          </w:tcPr>
          <w:p>
            <w:pPr>
              <w:pStyle w:val="TableParagraph"/>
              <w:spacing w:line="326" w:lineRule="auto" w:before="98"/>
              <w:ind w:left="179" w:right="302"/>
              <w:jc w:val="both"/>
              <w:rPr>
                <w:sz w:val="21"/>
              </w:rPr>
            </w:pPr>
            <w:r>
              <w:rPr>
                <w:spacing w:val="-7"/>
                <w:sz w:val="21"/>
              </w:rPr>
              <w:t>指以动力装置驱动或者牵引，能合法上道路行驶的供人员乘用的四轮及四轮以上轮式</w:t>
            </w:r>
            <w:r>
              <w:rPr>
                <w:spacing w:val="-9"/>
                <w:sz w:val="21"/>
              </w:rPr>
              <w:t>车辆，并不包括以下车辆：轨道交通车辆、警车、救护车、消防车、工程抢险车、工程作业车、公路监督检查专用车、公路养护车、清障车、救援车、洒水车、清扫车以</w:t>
            </w:r>
            <w:r>
              <w:rPr>
                <w:spacing w:val="-5"/>
                <w:sz w:val="21"/>
              </w:rPr>
              <w:t>及拖拉机等农业用途车辆。</w:t>
            </w:r>
          </w:p>
        </w:tc>
      </w:tr>
      <w:tr>
        <w:trPr>
          <w:trHeight w:val="1657" w:hRule="atLeast"/>
        </w:trPr>
        <w:tc>
          <w:tcPr>
            <w:tcW w:w="775" w:type="dxa"/>
          </w:tcPr>
          <w:p>
            <w:pPr>
              <w:pStyle w:val="TableParagraph"/>
              <w:spacing w:before="97"/>
              <w:ind w:left="200"/>
              <w:rPr>
                <w:b/>
                <w:sz w:val="21"/>
              </w:rPr>
            </w:pPr>
            <w:r>
              <w:rPr>
                <w:b/>
                <w:sz w:val="21"/>
              </w:rPr>
              <w:t>7.11</w:t>
            </w:r>
          </w:p>
        </w:tc>
        <w:tc>
          <w:tcPr>
            <w:tcW w:w="1387" w:type="dxa"/>
          </w:tcPr>
          <w:p>
            <w:pPr>
              <w:pStyle w:val="TableParagraph"/>
              <w:spacing w:line="326" w:lineRule="auto" w:before="97"/>
              <w:ind w:left="152" w:right="176"/>
              <w:jc w:val="both"/>
              <w:rPr>
                <w:b/>
                <w:sz w:val="21"/>
              </w:rPr>
            </w:pPr>
            <w:r>
              <w:rPr>
                <w:b/>
                <w:sz w:val="21"/>
              </w:rPr>
              <w:t>感染艾滋病病毒或患艾滋病</w:t>
            </w:r>
          </w:p>
        </w:tc>
        <w:tc>
          <w:tcPr>
            <w:tcW w:w="8213" w:type="dxa"/>
          </w:tcPr>
          <w:p>
            <w:pPr>
              <w:pStyle w:val="TableParagraph"/>
              <w:spacing w:line="326" w:lineRule="auto" w:before="97"/>
              <w:ind w:left="179" w:right="302"/>
              <w:jc w:val="both"/>
              <w:rPr>
                <w:sz w:val="21"/>
              </w:rPr>
            </w:pPr>
            <w:r>
              <w:rPr>
                <w:spacing w:val="-4"/>
                <w:sz w:val="21"/>
              </w:rPr>
              <w:t>艾滋病病毒指人类免疫缺陷病毒，英文缩写为 </w:t>
            </w:r>
            <w:r>
              <w:rPr>
                <w:sz w:val="21"/>
              </w:rPr>
              <w:t>HIV</w:t>
            </w:r>
            <w:r>
              <w:rPr>
                <w:spacing w:val="-3"/>
                <w:sz w:val="21"/>
              </w:rPr>
              <w:t>。艾滋病指人类免疫缺陷病毒引起</w:t>
            </w:r>
            <w:r>
              <w:rPr>
                <w:spacing w:val="-8"/>
                <w:sz w:val="21"/>
              </w:rPr>
              <w:t>的获得性免疫缺陷综合征，英文缩写为 </w:t>
            </w:r>
            <w:r>
              <w:rPr>
                <w:sz w:val="21"/>
              </w:rPr>
              <w:t>AIDS</w:t>
            </w:r>
            <w:r>
              <w:rPr>
                <w:spacing w:val="-9"/>
                <w:sz w:val="21"/>
              </w:rPr>
              <w:t>。在人体血液或其他样本中检测到艾滋病病毒或其抗体呈阳性，没有出现临床症状或体征的，为感染艾滋病病毒；如果同时出</w:t>
            </w:r>
            <w:r>
              <w:rPr>
                <w:spacing w:val="-5"/>
                <w:sz w:val="21"/>
              </w:rPr>
              <w:t>现了明显临床症状或体征的，为患艾滋病。</w:t>
            </w:r>
          </w:p>
        </w:tc>
      </w:tr>
      <w:tr>
        <w:trPr>
          <w:trHeight w:val="533" w:hRule="atLeast"/>
        </w:trPr>
        <w:tc>
          <w:tcPr>
            <w:tcW w:w="775" w:type="dxa"/>
          </w:tcPr>
          <w:p>
            <w:pPr>
              <w:pStyle w:val="TableParagraph"/>
              <w:spacing w:before="98"/>
              <w:ind w:left="200"/>
              <w:rPr>
                <w:b/>
                <w:sz w:val="21"/>
              </w:rPr>
            </w:pPr>
            <w:r>
              <w:rPr>
                <w:b/>
                <w:sz w:val="21"/>
              </w:rPr>
              <w:t>7.12</w:t>
            </w:r>
          </w:p>
        </w:tc>
        <w:tc>
          <w:tcPr>
            <w:tcW w:w="1387" w:type="dxa"/>
          </w:tcPr>
          <w:p>
            <w:pPr>
              <w:pStyle w:val="TableParagraph"/>
              <w:spacing w:before="98"/>
              <w:ind w:left="152"/>
              <w:rPr>
                <w:b/>
                <w:sz w:val="21"/>
              </w:rPr>
            </w:pPr>
            <w:r>
              <w:rPr>
                <w:b/>
                <w:sz w:val="21"/>
              </w:rPr>
              <w:t>现金价值</w:t>
            </w:r>
          </w:p>
        </w:tc>
        <w:tc>
          <w:tcPr>
            <w:tcW w:w="8213" w:type="dxa"/>
          </w:tcPr>
          <w:p>
            <w:pPr>
              <w:pStyle w:val="TableParagraph"/>
              <w:spacing w:before="98"/>
              <w:ind w:left="179"/>
              <w:rPr>
                <w:sz w:val="21"/>
              </w:rPr>
            </w:pPr>
            <w:r>
              <w:rPr>
                <w:spacing w:val="-2"/>
                <w:sz w:val="21"/>
              </w:rPr>
              <w:t>现金价值</w:t>
            </w:r>
            <w:r>
              <w:rPr>
                <w:spacing w:val="-3"/>
                <w:sz w:val="21"/>
              </w:rPr>
              <w:t>＝</w:t>
            </w:r>
            <w:r>
              <w:rPr>
                <w:spacing w:val="-2"/>
                <w:sz w:val="21"/>
              </w:rPr>
              <w:t>保险费×</w:t>
            </w:r>
            <w:r>
              <w:rPr>
                <w:spacing w:val="-1"/>
                <w:sz w:val="21"/>
              </w:rPr>
              <w:t>（1－25％）×（1</w:t>
            </w:r>
            <w:r>
              <w:rPr>
                <w:spacing w:val="-3"/>
                <w:sz w:val="21"/>
              </w:rPr>
              <w:t>－本主险合同经历的天数</w:t>
            </w:r>
            <w:r>
              <w:rPr>
                <w:sz w:val="21"/>
              </w:rPr>
              <w:t>/</w:t>
            </w:r>
            <w:r>
              <w:rPr>
                <w:spacing w:val="-3"/>
                <w:sz w:val="21"/>
              </w:rPr>
              <w:t>保险期间</w:t>
            </w:r>
            <w:r>
              <w:rPr>
                <w:spacing w:val="-106"/>
                <w:sz w:val="21"/>
              </w:rPr>
              <w:t>）</w:t>
            </w:r>
            <w:r>
              <w:rPr>
                <w:sz w:val="21"/>
              </w:rPr>
              <w:t>。</w:t>
            </w:r>
          </w:p>
        </w:tc>
      </w:tr>
      <w:tr>
        <w:trPr>
          <w:trHeight w:val="534" w:hRule="atLeast"/>
        </w:trPr>
        <w:tc>
          <w:tcPr>
            <w:tcW w:w="775" w:type="dxa"/>
          </w:tcPr>
          <w:p>
            <w:pPr>
              <w:pStyle w:val="TableParagraph"/>
              <w:spacing w:before="97"/>
              <w:ind w:left="200"/>
              <w:rPr>
                <w:b/>
                <w:sz w:val="21"/>
              </w:rPr>
            </w:pPr>
            <w:r>
              <w:rPr>
                <w:b/>
                <w:sz w:val="21"/>
              </w:rPr>
              <w:t>7.13</w:t>
            </w:r>
          </w:p>
        </w:tc>
        <w:tc>
          <w:tcPr>
            <w:tcW w:w="1387" w:type="dxa"/>
          </w:tcPr>
          <w:p>
            <w:pPr>
              <w:pStyle w:val="TableParagraph"/>
              <w:spacing w:before="97"/>
              <w:ind w:left="152"/>
              <w:rPr>
                <w:b/>
                <w:sz w:val="21"/>
              </w:rPr>
            </w:pPr>
            <w:r>
              <w:rPr>
                <w:b/>
                <w:sz w:val="21"/>
              </w:rPr>
              <w:t>保险事故</w:t>
            </w:r>
          </w:p>
        </w:tc>
        <w:tc>
          <w:tcPr>
            <w:tcW w:w="8213" w:type="dxa"/>
          </w:tcPr>
          <w:p>
            <w:pPr>
              <w:pStyle w:val="TableParagraph"/>
              <w:spacing w:before="97"/>
              <w:ind w:left="179"/>
              <w:rPr>
                <w:sz w:val="21"/>
              </w:rPr>
            </w:pPr>
            <w:r>
              <w:rPr>
                <w:sz w:val="21"/>
              </w:rPr>
              <w:t>指本主险合同约定的保险责任范围内的事故。</w:t>
            </w:r>
          </w:p>
        </w:tc>
      </w:tr>
      <w:tr>
        <w:trPr>
          <w:trHeight w:val="511" w:hRule="atLeast"/>
        </w:trPr>
        <w:tc>
          <w:tcPr>
            <w:tcW w:w="775" w:type="dxa"/>
          </w:tcPr>
          <w:p>
            <w:pPr>
              <w:pStyle w:val="TableParagraph"/>
              <w:spacing w:before="98"/>
              <w:ind w:left="200"/>
              <w:rPr>
                <w:b/>
                <w:sz w:val="21"/>
              </w:rPr>
            </w:pPr>
            <w:r>
              <w:rPr>
                <w:b/>
                <w:sz w:val="21"/>
              </w:rPr>
              <w:t>7.14</w:t>
            </w:r>
          </w:p>
        </w:tc>
        <w:tc>
          <w:tcPr>
            <w:tcW w:w="1387" w:type="dxa"/>
          </w:tcPr>
          <w:p>
            <w:pPr>
              <w:pStyle w:val="TableParagraph"/>
              <w:spacing w:before="98"/>
              <w:ind w:left="152"/>
              <w:rPr>
                <w:b/>
                <w:sz w:val="21"/>
              </w:rPr>
            </w:pPr>
            <w:r>
              <w:rPr>
                <w:b/>
                <w:sz w:val="21"/>
              </w:rPr>
              <w:t>不可抗力</w:t>
            </w:r>
          </w:p>
        </w:tc>
        <w:tc>
          <w:tcPr>
            <w:tcW w:w="8213" w:type="dxa"/>
          </w:tcPr>
          <w:p>
            <w:pPr>
              <w:pStyle w:val="TableParagraph"/>
              <w:spacing w:before="98"/>
              <w:ind w:left="179"/>
              <w:rPr>
                <w:sz w:val="21"/>
              </w:rPr>
            </w:pPr>
            <w:r>
              <w:rPr>
                <w:sz w:val="21"/>
              </w:rPr>
              <w:t>指不能预见、不能避免、不能克服的客观情况。</w:t>
            </w:r>
          </w:p>
        </w:tc>
      </w:tr>
      <w:tr>
        <w:trPr>
          <w:trHeight w:val="723" w:hRule="atLeast"/>
        </w:trPr>
        <w:tc>
          <w:tcPr>
            <w:tcW w:w="775" w:type="dxa"/>
          </w:tcPr>
          <w:p>
            <w:pPr>
              <w:pStyle w:val="TableParagraph"/>
              <w:spacing w:before="74"/>
              <w:ind w:left="200"/>
              <w:rPr>
                <w:b/>
                <w:sz w:val="21"/>
              </w:rPr>
            </w:pPr>
            <w:r>
              <w:rPr>
                <w:b/>
                <w:sz w:val="21"/>
              </w:rPr>
              <w:t>7.15</w:t>
            </w:r>
          </w:p>
        </w:tc>
        <w:tc>
          <w:tcPr>
            <w:tcW w:w="1387" w:type="dxa"/>
          </w:tcPr>
          <w:p>
            <w:pPr>
              <w:pStyle w:val="TableParagraph"/>
              <w:spacing w:line="374" w:lineRule="exact" w:before="20"/>
              <w:ind w:left="152" w:right="176"/>
              <w:rPr>
                <w:b/>
                <w:sz w:val="21"/>
              </w:rPr>
            </w:pPr>
            <w:r>
              <w:rPr>
                <w:b/>
                <w:sz w:val="21"/>
              </w:rPr>
              <w:t>法定身份证明</w:t>
            </w:r>
          </w:p>
        </w:tc>
        <w:tc>
          <w:tcPr>
            <w:tcW w:w="8213" w:type="dxa"/>
          </w:tcPr>
          <w:p>
            <w:pPr>
              <w:pStyle w:val="TableParagraph"/>
              <w:spacing w:line="374" w:lineRule="exact" w:before="20"/>
              <w:ind w:left="179" w:right="197"/>
              <w:rPr>
                <w:sz w:val="21"/>
              </w:rPr>
            </w:pPr>
            <w:r>
              <w:rPr>
                <w:spacing w:val="-12"/>
                <w:sz w:val="21"/>
              </w:rPr>
              <w:t>指依据法律规定，由有权机构制作颁发的证明身份的证件、文件等，如：居民身份证、</w:t>
            </w:r>
            <w:r>
              <w:rPr>
                <w:spacing w:val="-6"/>
                <w:sz w:val="21"/>
              </w:rPr>
              <w:t>户口簿、护照、军人证等。</w:t>
            </w:r>
          </w:p>
        </w:tc>
      </w:tr>
    </w:tbl>
    <w:sectPr>
      <w:pgSz w:w="11910" w:h="16840"/>
      <w:pgMar w:header="0" w:footer="375" w:top="1360" w:bottom="560" w:left="72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089996pt;margin-top:808.179993pt;width:13.15pt;height:12pt;mso-position-horizontal-relative:page;mso-position-vertical-relative:page;z-index:-278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414" w:hanging="341"/>
        <w:jc w:val="left"/>
      </w:pPr>
      <w:rPr>
        <w:rFonts w:hint="default" w:ascii="仿宋" w:hAnsi="仿宋" w:eastAsia="仿宋" w:cs="仿宋"/>
        <w:w w:val="100"/>
        <w:sz w:val="21"/>
        <w:szCs w:val="21"/>
      </w:rPr>
    </w:lvl>
    <w:lvl w:ilvl="1">
      <w:start w:val="0"/>
      <w:numFmt w:val="bullet"/>
      <w:lvlText w:val="•"/>
      <w:lvlJc w:val="left"/>
      <w:pPr>
        <w:ind w:left="1188" w:hanging="341"/>
      </w:pPr>
      <w:rPr>
        <w:rFonts w:hint="default"/>
      </w:rPr>
    </w:lvl>
    <w:lvl w:ilvl="2">
      <w:start w:val="0"/>
      <w:numFmt w:val="bullet"/>
      <w:lvlText w:val="•"/>
      <w:lvlJc w:val="left"/>
      <w:pPr>
        <w:ind w:left="1957" w:hanging="341"/>
      </w:pPr>
      <w:rPr>
        <w:rFonts w:hint="default"/>
      </w:rPr>
    </w:lvl>
    <w:lvl w:ilvl="3">
      <w:start w:val="0"/>
      <w:numFmt w:val="bullet"/>
      <w:lvlText w:val="•"/>
      <w:lvlJc w:val="left"/>
      <w:pPr>
        <w:ind w:left="2726" w:hanging="341"/>
      </w:pPr>
      <w:rPr>
        <w:rFonts w:hint="default"/>
      </w:rPr>
    </w:lvl>
    <w:lvl w:ilvl="4">
      <w:start w:val="0"/>
      <w:numFmt w:val="bullet"/>
      <w:lvlText w:val="•"/>
      <w:lvlJc w:val="left"/>
      <w:pPr>
        <w:ind w:left="3495" w:hanging="341"/>
      </w:pPr>
      <w:rPr>
        <w:rFonts w:hint="default"/>
      </w:rPr>
    </w:lvl>
    <w:lvl w:ilvl="5">
      <w:start w:val="0"/>
      <w:numFmt w:val="bullet"/>
      <w:lvlText w:val="•"/>
      <w:lvlJc w:val="left"/>
      <w:pPr>
        <w:ind w:left="4264" w:hanging="341"/>
      </w:pPr>
      <w:rPr>
        <w:rFonts w:hint="default"/>
      </w:rPr>
    </w:lvl>
    <w:lvl w:ilvl="6">
      <w:start w:val="0"/>
      <w:numFmt w:val="bullet"/>
      <w:lvlText w:val="•"/>
      <w:lvlJc w:val="left"/>
      <w:pPr>
        <w:ind w:left="5032" w:hanging="341"/>
      </w:pPr>
      <w:rPr>
        <w:rFonts w:hint="default"/>
      </w:rPr>
    </w:lvl>
    <w:lvl w:ilvl="7">
      <w:start w:val="0"/>
      <w:numFmt w:val="bullet"/>
      <w:lvlText w:val="•"/>
      <w:lvlJc w:val="left"/>
      <w:pPr>
        <w:ind w:left="5801" w:hanging="341"/>
      </w:pPr>
      <w:rPr>
        <w:rFonts w:hint="default"/>
      </w:rPr>
    </w:lvl>
    <w:lvl w:ilvl="8">
      <w:start w:val="0"/>
      <w:numFmt w:val="bullet"/>
      <w:lvlText w:val="•"/>
      <w:lvlJc w:val="left"/>
      <w:pPr>
        <w:ind w:left="6570" w:hanging="341"/>
      </w:pPr>
      <w:rPr>
        <w:rFonts w:hint="default"/>
      </w:rPr>
    </w:lvl>
  </w:abstractNum>
  <w:abstractNum w:abstractNumId="30">
    <w:multiLevelType w:val="hybridMultilevel"/>
    <w:lvl w:ilvl="0">
      <w:start w:val="1"/>
      <w:numFmt w:val="decimal"/>
      <w:lvlText w:val="（%1）"/>
      <w:lvlJc w:val="left"/>
      <w:pPr>
        <w:ind w:left="640" w:hanging="567"/>
        <w:jc w:val="left"/>
      </w:pPr>
      <w:rPr>
        <w:rFonts w:hint="default" w:ascii="仿宋" w:hAnsi="仿宋" w:eastAsia="仿宋" w:cs="仿宋"/>
        <w:w w:val="100"/>
        <w:sz w:val="21"/>
        <w:szCs w:val="21"/>
      </w:rPr>
    </w:lvl>
    <w:lvl w:ilvl="1">
      <w:start w:val="0"/>
      <w:numFmt w:val="bullet"/>
      <w:lvlText w:val="•"/>
      <w:lvlJc w:val="left"/>
      <w:pPr>
        <w:ind w:left="1386" w:hanging="567"/>
      </w:pPr>
      <w:rPr>
        <w:rFonts w:hint="default"/>
      </w:rPr>
    </w:lvl>
    <w:lvl w:ilvl="2">
      <w:start w:val="0"/>
      <w:numFmt w:val="bullet"/>
      <w:lvlText w:val="•"/>
      <w:lvlJc w:val="left"/>
      <w:pPr>
        <w:ind w:left="2133" w:hanging="567"/>
      </w:pPr>
      <w:rPr>
        <w:rFonts w:hint="default"/>
      </w:rPr>
    </w:lvl>
    <w:lvl w:ilvl="3">
      <w:start w:val="0"/>
      <w:numFmt w:val="bullet"/>
      <w:lvlText w:val="•"/>
      <w:lvlJc w:val="left"/>
      <w:pPr>
        <w:ind w:left="2880" w:hanging="567"/>
      </w:pPr>
      <w:rPr>
        <w:rFonts w:hint="default"/>
      </w:rPr>
    </w:lvl>
    <w:lvl w:ilvl="4">
      <w:start w:val="0"/>
      <w:numFmt w:val="bullet"/>
      <w:lvlText w:val="•"/>
      <w:lvlJc w:val="left"/>
      <w:pPr>
        <w:ind w:left="3627" w:hanging="567"/>
      </w:pPr>
      <w:rPr>
        <w:rFonts w:hint="default"/>
      </w:rPr>
    </w:lvl>
    <w:lvl w:ilvl="5">
      <w:start w:val="0"/>
      <w:numFmt w:val="bullet"/>
      <w:lvlText w:val="•"/>
      <w:lvlJc w:val="left"/>
      <w:pPr>
        <w:ind w:left="4374" w:hanging="567"/>
      </w:pPr>
      <w:rPr>
        <w:rFonts w:hint="default"/>
      </w:rPr>
    </w:lvl>
    <w:lvl w:ilvl="6">
      <w:start w:val="0"/>
      <w:numFmt w:val="bullet"/>
      <w:lvlText w:val="•"/>
      <w:lvlJc w:val="left"/>
      <w:pPr>
        <w:ind w:left="5120" w:hanging="567"/>
      </w:pPr>
      <w:rPr>
        <w:rFonts w:hint="default"/>
      </w:rPr>
    </w:lvl>
    <w:lvl w:ilvl="7">
      <w:start w:val="0"/>
      <w:numFmt w:val="bullet"/>
      <w:lvlText w:val="•"/>
      <w:lvlJc w:val="left"/>
      <w:pPr>
        <w:ind w:left="5867" w:hanging="567"/>
      </w:pPr>
      <w:rPr>
        <w:rFonts w:hint="default"/>
      </w:rPr>
    </w:lvl>
    <w:lvl w:ilvl="8">
      <w:start w:val="0"/>
      <w:numFmt w:val="bullet"/>
      <w:lvlText w:val="•"/>
      <w:lvlJc w:val="left"/>
      <w:pPr>
        <w:ind w:left="6614" w:hanging="567"/>
      </w:pPr>
      <w:rPr>
        <w:rFonts w:hint="default"/>
      </w:rPr>
    </w:lvl>
  </w:abstractNum>
  <w:abstractNum w:abstractNumId="29">
    <w:multiLevelType w:val="hybridMultilevel"/>
    <w:lvl w:ilvl="0">
      <w:start w:val="1"/>
      <w:numFmt w:val="decimal"/>
      <w:lvlText w:val="（%1）"/>
      <w:lvlJc w:val="left"/>
      <w:pPr>
        <w:ind w:left="720" w:hanging="632"/>
        <w:jc w:val="left"/>
      </w:pPr>
      <w:rPr>
        <w:rFonts w:hint="default" w:ascii="仿宋" w:hAnsi="仿宋" w:eastAsia="仿宋" w:cs="仿宋"/>
        <w:w w:val="100"/>
        <w:sz w:val="21"/>
        <w:szCs w:val="21"/>
      </w:rPr>
    </w:lvl>
    <w:lvl w:ilvl="1">
      <w:start w:val="0"/>
      <w:numFmt w:val="bullet"/>
      <w:lvlText w:val="•"/>
      <w:lvlJc w:val="left"/>
      <w:pPr>
        <w:ind w:left="1460" w:hanging="632"/>
      </w:pPr>
      <w:rPr>
        <w:rFonts w:hint="default"/>
      </w:rPr>
    </w:lvl>
    <w:lvl w:ilvl="2">
      <w:start w:val="0"/>
      <w:numFmt w:val="bullet"/>
      <w:lvlText w:val="•"/>
      <w:lvlJc w:val="left"/>
      <w:pPr>
        <w:ind w:left="2200" w:hanging="632"/>
      </w:pPr>
      <w:rPr>
        <w:rFonts w:hint="default"/>
      </w:rPr>
    </w:lvl>
    <w:lvl w:ilvl="3">
      <w:start w:val="0"/>
      <w:numFmt w:val="bullet"/>
      <w:lvlText w:val="•"/>
      <w:lvlJc w:val="left"/>
      <w:pPr>
        <w:ind w:left="2940" w:hanging="632"/>
      </w:pPr>
      <w:rPr>
        <w:rFonts w:hint="default"/>
      </w:rPr>
    </w:lvl>
    <w:lvl w:ilvl="4">
      <w:start w:val="0"/>
      <w:numFmt w:val="bullet"/>
      <w:lvlText w:val="•"/>
      <w:lvlJc w:val="left"/>
      <w:pPr>
        <w:ind w:left="3680" w:hanging="632"/>
      </w:pPr>
      <w:rPr>
        <w:rFonts w:hint="default"/>
      </w:rPr>
    </w:lvl>
    <w:lvl w:ilvl="5">
      <w:start w:val="0"/>
      <w:numFmt w:val="bullet"/>
      <w:lvlText w:val="•"/>
      <w:lvlJc w:val="left"/>
      <w:pPr>
        <w:ind w:left="4421" w:hanging="632"/>
      </w:pPr>
      <w:rPr>
        <w:rFonts w:hint="default"/>
      </w:rPr>
    </w:lvl>
    <w:lvl w:ilvl="6">
      <w:start w:val="0"/>
      <w:numFmt w:val="bullet"/>
      <w:lvlText w:val="•"/>
      <w:lvlJc w:val="left"/>
      <w:pPr>
        <w:ind w:left="5161" w:hanging="632"/>
      </w:pPr>
      <w:rPr>
        <w:rFonts w:hint="default"/>
      </w:rPr>
    </w:lvl>
    <w:lvl w:ilvl="7">
      <w:start w:val="0"/>
      <w:numFmt w:val="bullet"/>
      <w:lvlText w:val="•"/>
      <w:lvlJc w:val="left"/>
      <w:pPr>
        <w:ind w:left="5901" w:hanging="632"/>
      </w:pPr>
      <w:rPr>
        <w:rFonts w:hint="default"/>
      </w:rPr>
    </w:lvl>
    <w:lvl w:ilvl="8">
      <w:start w:val="0"/>
      <w:numFmt w:val="bullet"/>
      <w:lvlText w:val="•"/>
      <w:lvlJc w:val="left"/>
      <w:pPr>
        <w:ind w:left="6641" w:hanging="632"/>
      </w:pPr>
      <w:rPr>
        <w:rFonts w:hint="default"/>
      </w:rPr>
    </w:lvl>
  </w:abstractNum>
  <w:abstractNum w:abstractNumId="28">
    <w:multiLevelType w:val="hybridMultilevel"/>
    <w:lvl w:ilvl="0">
      <w:start w:val="1"/>
      <w:numFmt w:val="decimal"/>
      <w:lvlText w:val="（%1）"/>
      <w:lvlJc w:val="left"/>
      <w:pPr>
        <w:ind w:left="720" w:hanging="632"/>
        <w:jc w:val="left"/>
      </w:pPr>
      <w:rPr>
        <w:rFonts w:hint="default" w:ascii="仿宋" w:hAnsi="仿宋" w:eastAsia="仿宋" w:cs="仿宋"/>
        <w:w w:val="100"/>
        <w:sz w:val="21"/>
        <w:szCs w:val="21"/>
      </w:rPr>
    </w:lvl>
    <w:lvl w:ilvl="1">
      <w:start w:val="0"/>
      <w:numFmt w:val="bullet"/>
      <w:lvlText w:val="•"/>
      <w:lvlJc w:val="left"/>
      <w:pPr>
        <w:ind w:left="1460" w:hanging="632"/>
      </w:pPr>
      <w:rPr>
        <w:rFonts w:hint="default"/>
      </w:rPr>
    </w:lvl>
    <w:lvl w:ilvl="2">
      <w:start w:val="0"/>
      <w:numFmt w:val="bullet"/>
      <w:lvlText w:val="•"/>
      <w:lvlJc w:val="left"/>
      <w:pPr>
        <w:ind w:left="2200" w:hanging="632"/>
      </w:pPr>
      <w:rPr>
        <w:rFonts w:hint="default"/>
      </w:rPr>
    </w:lvl>
    <w:lvl w:ilvl="3">
      <w:start w:val="0"/>
      <w:numFmt w:val="bullet"/>
      <w:lvlText w:val="•"/>
      <w:lvlJc w:val="left"/>
      <w:pPr>
        <w:ind w:left="2940" w:hanging="632"/>
      </w:pPr>
      <w:rPr>
        <w:rFonts w:hint="default"/>
      </w:rPr>
    </w:lvl>
    <w:lvl w:ilvl="4">
      <w:start w:val="0"/>
      <w:numFmt w:val="bullet"/>
      <w:lvlText w:val="•"/>
      <w:lvlJc w:val="left"/>
      <w:pPr>
        <w:ind w:left="3680" w:hanging="632"/>
      </w:pPr>
      <w:rPr>
        <w:rFonts w:hint="default"/>
      </w:rPr>
    </w:lvl>
    <w:lvl w:ilvl="5">
      <w:start w:val="0"/>
      <w:numFmt w:val="bullet"/>
      <w:lvlText w:val="•"/>
      <w:lvlJc w:val="left"/>
      <w:pPr>
        <w:ind w:left="4421" w:hanging="632"/>
      </w:pPr>
      <w:rPr>
        <w:rFonts w:hint="default"/>
      </w:rPr>
    </w:lvl>
    <w:lvl w:ilvl="6">
      <w:start w:val="0"/>
      <w:numFmt w:val="bullet"/>
      <w:lvlText w:val="•"/>
      <w:lvlJc w:val="left"/>
      <w:pPr>
        <w:ind w:left="5161" w:hanging="632"/>
      </w:pPr>
      <w:rPr>
        <w:rFonts w:hint="default"/>
      </w:rPr>
    </w:lvl>
    <w:lvl w:ilvl="7">
      <w:start w:val="0"/>
      <w:numFmt w:val="bullet"/>
      <w:lvlText w:val="•"/>
      <w:lvlJc w:val="left"/>
      <w:pPr>
        <w:ind w:left="5901" w:hanging="632"/>
      </w:pPr>
      <w:rPr>
        <w:rFonts w:hint="default"/>
      </w:rPr>
    </w:lvl>
    <w:lvl w:ilvl="8">
      <w:start w:val="0"/>
      <w:numFmt w:val="bullet"/>
      <w:lvlText w:val="•"/>
      <w:lvlJc w:val="left"/>
      <w:pPr>
        <w:ind w:left="6641" w:hanging="632"/>
      </w:pPr>
      <w:rPr>
        <w:rFonts w:hint="default"/>
      </w:rPr>
    </w:lvl>
  </w:abstractNum>
  <w:abstractNum w:abstractNumId="27">
    <w:multiLevelType w:val="hybridMultilevel"/>
    <w:lvl w:ilvl="0">
      <w:start w:val="1"/>
      <w:numFmt w:val="decimal"/>
      <w:lvlText w:val="（%1）"/>
      <w:lvlJc w:val="left"/>
      <w:pPr>
        <w:ind w:left="88" w:hanging="632"/>
        <w:jc w:val="left"/>
      </w:pPr>
      <w:rPr>
        <w:rFonts w:hint="default" w:ascii="仿宋" w:hAnsi="仿宋" w:eastAsia="仿宋" w:cs="仿宋"/>
        <w:w w:val="100"/>
        <w:sz w:val="21"/>
        <w:szCs w:val="21"/>
      </w:rPr>
    </w:lvl>
    <w:lvl w:ilvl="1">
      <w:start w:val="0"/>
      <w:numFmt w:val="bullet"/>
      <w:lvlText w:val="•"/>
      <w:lvlJc w:val="left"/>
      <w:pPr>
        <w:ind w:left="884" w:hanging="632"/>
      </w:pPr>
      <w:rPr>
        <w:rFonts w:hint="default"/>
      </w:rPr>
    </w:lvl>
    <w:lvl w:ilvl="2">
      <w:start w:val="0"/>
      <w:numFmt w:val="bullet"/>
      <w:lvlText w:val="•"/>
      <w:lvlJc w:val="left"/>
      <w:pPr>
        <w:ind w:left="1688" w:hanging="632"/>
      </w:pPr>
      <w:rPr>
        <w:rFonts w:hint="default"/>
      </w:rPr>
    </w:lvl>
    <w:lvl w:ilvl="3">
      <w:start w:val="0"/>
      <w:numFmt w:val="bullet"/>
      <w:lvlText w:val="•"/>
      <w:lvlJc w:val="left"/>
      <w:pPr>
        <w:ind w:left="2492" w:hanging="632"/>
      </w:pPr>
      <w:rPr>
        <w:rFonts w:hint="default"/>
      </w:rPr>
    </w:lvl>
    <w:lvl w:ilvl="4">
      <w:start w:val="0"/>
      <w:numFmt w:val="bullet"/>
      <w:lvlText w:val="•"/>
      <w:lvlJc w:val="left"/>
      <w:pPr>
        <w:ind w:left="3296" w:hanging="632"/>
      </w:pPr>
      <w:rPr>
        <w:rFonts w:hint="default"/>
      </w:rPr>
    </w:lvl>
    <w:lvl w:ilvl="5">
      <w:start w:val="0"/>
      <w:numFmt w:val="bullet"/>
      <w:lvlText w:val="•"/>
      <w:lvlJc w:val="left"/>
      <w:pPr>
        <w:ind w:left="4101" w:hanging="632"/>
      </w:pPr>
      <w:rPr>
        <w:rFonts w:hint="default"/>
      </w:rPr>
    </w:lvl>
    <w:lvl w:ilvl="6">
      <w:start w:val="0"/>
      <w:numFmt w:val="bullet"/>
      <w:lvlText w:val="•"/>
      <w:lvlJc w:val="left"/>
      <w:pPr>
        <w:ind w:left="4905" w:hanging="632"/>
      </w:pPr>
      <w:rPr>
        <w:rFonts w:hint="default"/>
      </w:rPr>
    </w:lvl>
    <w:lvl w:ilvl="7">
      <w:start w:val="0"/>
      <w:numFmt w:val="bullet"/>
      <w:lvlText w:val="•"/>
      <w:lvlJc w:val="left"/>
      <w:pPr>
        <w:ind w:left="5709" w:hanging="632"/>
      </w:pPr>
      <w:rPr>
        <w:rFonts w:hint="default"/>
      </w:rPr>
    </w:lvl>
    <w:lvl w:ilvl="8">
      <w:start w:val="0"/>
      <w:numFmt w:val="bullet"/>
      <w:lvlText w:val="•"/>
      <w:lvlJc w:val="left"/>
      <w:pPr>
        <w:ind w:left="6513" w:hanging="632"/>
      </w:pPr>
      <w:rPr>
        <w:rFonts w:hint="default"/>
      </w:rPr>
    </w:lvl>
  </w:abstractNum>
  <w:abstractNum w:abstractNumId="26">
    <w:multiLevelType w:val="hybridMultilevel"/>
    <w:lvl w:ilvl="0">
      <w:start w:val="1"/>
      <w:numFmt w:val="decimal"/>
      <w:lvlText w:val="（%1）"/>
      <w:lvlJc w:val="left"/>
      <w:pPr>
        <w:ind w:left="720" w:hanging="632"/>
        <w:jc w:val="left"/>
      </w:pPr>
      <w:rPr>
        <w:rFonts w:hint="default" w:ascii="仿宋" w:hAnsi="仿宋" w:eastAsia="仿宋" w:cs="仿宋"/>
        <w:w w:val="100"/>
        <w:sz w:val="21"/>
        <w:szCs w:val="21"/>
      </w:rPr>
    </w:lvl>
    <w:lvl w:ilvl="1">
      <w:start w:val="0"/>
      <w:numFmt w:val="bullet"/>
      <w:lvlText w:val="•"/>
      <w:lvlJc w:val="left"/>
      <w:pPr>
        <w:ind w:left="1460" w:hanging="632"/>
      </w:pPr>
      <w:rPr>
        <w:rFonts w:hint="default"/>
      </w:rPr>
    </w:lvl>
    <w:lvl w:ilvl="2">
      <w:start w:val="0"/>
      <w:numFmt w:val="bullet"/>
      <w:lvlText w:val="•"/>
      <w:lvlJc w:val="left"/>
      <w:pPr>
        <w:ind w:left="2200" w:hanging="632"/>
      </w:pPr>
      <w:rPr>
        <w:rFonts w:hint="default"/>
      </w:rPr>
    </w:lvl>
    <w:lvl w:ilvl="3">
      <w:start w:val="0"/>
      <w:numFmt w:val="bullet"/>
      <w:lvlText w:val="•"/>
      <w:lvlJc w:val="left"/>
      <w:pPr>
        <w:ind w:left="2940" w:hanging="632"/>
      </w:pPr>
      <w:rPr>
        <w:rFonts w:hint="default"/>
      </w:rPr>
    </w:lvl>
    <w:lvl w:ilvl="4">
      <w:start w:val="0"/>
      <w:numFmt w:val="bullet"/>
      <w:lvlText w:val="•"/>
      <w:lvlJc w:val="left"/>
      <w:pPr>
        <w:ind w:left="3680" w:hanging="632"/>
      </w:pPr>
      <w:rPr>
        <w:rFonts w:hint="default"/>
      </w:rPr>
    </w:lvl>
    <w:lvl w:ilvl="5">
      <w:start w:val="0"/>
      <w:numFmt w:val="bullet"/>
      <w:lvlText w:val="•"/>
      <w:lvlJc w:val="left"/>
      <w:pPr>
        <w:ind w:left="4421" w:hanging="632"/>
      </w:pPr>
      <w:rPr>
        <w:rFonts w:hint="default"/>
      </w:rPr>
    </w:lvl>
    <w:lvl w:ilvl="6">
      <w:start w:val="0"/>
      <w:numFmt w:val="bullet"/>
      <w:lvlText w:val="•"/>
      <w:lvlJc w:val="left"/>
      <w:pPr>
        <w:ind w:left="5161" w:hanging="632"/>
      </w:pPr>
      <w:rPr>
        <w:rFonts w:hint="default"/>
      </w:rPr>
    </w:lvl>
    <w:lvl w:ilvl="7">
      <w:start w:val="0"/>
      <w:numFmt w:val="bullet"/>
      <w:lvlText w:val="•"/>
      <w:lvlJc w:val="left"/>
      <w:pPr>
        <w:ind w:left="5901" w:hanging="632"/>
      </w:pPr>
      <w:rPr>
        <w:rFonts w:hint="default"/>
      </w:rPr>
    </w:lvl>
    <w:lvl w:ilvl="8">
      <w:start w:val="0"/>
      <w:numFmt w:val="bullet"/>
      <w:lvlText w:val="•"/>
      <w:lvlJc w:val="left"/>
      <w:pPr>
        <w:ind w:left="6641" w:hanging="632"/>
      </w:pPr>
      <w:rPr>
        <w:rFonts w:hint="default"/>
      </w:rPr>
    </w:lvl>
  </w:abstractNum>
  <w:abstractNum w:abstractNumId="25">
    <w:multiLevelType w:val="hybridMultilevel"/>
    <w:lvl w:ilvl="0">
      <w:start w:val="1"/>
      <w:numFmt w:val="decimal"/>
      <w:lvlText w:val="（%1）"/>
      <w:lvlJc w:val="left"/>
      <w:pPr>
        <w:ind w:left="720" w:hanging="632"/>
        <w:jc w:val="left"/>
      </w:pPr>
      <w:rPr>
        <w:rFonts w:hint="default" w:ascii="仿宋" w:hAnsi="仿宋" w:eastAsia="仿宋" w:cs="仿宋"/>
        <w:w w:val="100"/>
        <w:sz w:val="21"/>
        <w:szCs w:val="21"/>
      </w:rPr>
    </w:lvl>
    <w:lvl w:ilvl="1">
      <w:start w:val="0"/>
      <w:numFmt w:val="bullet"/>
      <w:lvlText w:val="•"/>
      <w:lvlJc w:val="left"/>
      <w:pPr>
        <w:ind w:left="1460" w:hanging="632"/>
      </w:pPr>
      <w:rPr>
        <w:rFonts w:hint="default"/>
      </w:rPr>
    </w:lvl>
    <w:lvl w:ilvl="2">
      <w:start w:val="0"/>
      <w:numFmt w:val="bullet"/>
      <w:lvlText w:val="•"/>
      <w:lvlJc w:val="left"/>
      <w:pPr>
        <w:ind w:left="2200" w:hanging="632"/>
      </w:pPr>
      <w:rPr>
        <w:rFonts w:hint="default"/>
      </w:rPr>
    </w:lvl>
    <w:lvl w:ilvl="3">
      <w:start w:val="0"/>
      <w:numFmt w:val="bullet"/>
      <w:lvlText w:val="•"/>
      <w:lvlJc w:val="left"/>
      <w:pPr>
        <w:ind w:left="2940" w:hanging="632"/>
      </w:pPr>
      <w:rPr>
        <w:rFonts w:hint="default"/>
      </w:rPr>
    </w:lvl>
    <w:lvl w:ilvl="4">
      <w:start w:val="0"/>
      <w:numFmt w:val="bullet"/>
      <w:lvlText w:val="•"/>
      <w:lvlJc w:val="left"/>
      <w:pPr>
        <w:ind w:left="3680" w:hanging="632"/>
      </w:pPr>
      <w:rPr>
        <w:rFonts w:hint="default"/>
      </w:rPr>
    </w:lvl>
    <w:lvl w:ilvl="5">
      <w:start w:val="0"/>
      <w:numFmt w:val="bullet"/>
      <w:lvlText w:val="•"/>
      <w:lvlJc w:val="left"/>
      <w:pPr>
        <w:ind w:left="4421" w:hanging="632"/>
      </w:pPr>
      <w:rPr>
        <w:rFonts w:hint="default"/>
      </w:rPr>
    </w:lvl>
    <w:lvl w:ilvl="6">
      <w:start w:val="0"/>
      <w:numFmt w:val="bullet"/>
      <w:lvlText w:val="•"/>
      <w:lvlJc w:val="left"/>
      <w:pPr>
        <w:ind w:left="5161" w:hanging="632"/>
      </w:pPr>
      <w:rPr>
        <w:rFonts w:hint="default"/>
      </w:rPr>
    </w:lvl>
    <w:lvl w:ilvl="7">
      <w:start w:val="0"/>
      <w:numFmt w:val="bullet"/>
      <w:lvlText w:val="•"/>
      <w:lvlJc w:val="left"/>
      <w:pPr>
        <w:ind w:left="5901" w:hanging="632"/>
      </w:pPr>
      <w:rPr>
        <w:rFonts w:hint="default"/>
      </w:rPr>
    </w:lvl>
    <w:lvl w:ilvl="8">
      <w:start w:val="0"/>
      <w:numFmt w:val="bullet"/>
      <w:lvlText w:val="•"/>
      <w:lvlJc w:val="left"/>
      <w:pPr>
        <w:ind w:left="6641" w:hanging="632"/>
      </w:pPr>
      <w:rPr>
        <w:rFonts w:hint="default"/>
      </w:rPr>
    </w:lvl>
  </w:abstractNum>
  <w:abstractNum w:abstractNumId="24">
    <w:multiLevelType w:val="hybridMultilevel"/>
    <w:lvl w:ilvl="0">
      <w:start w:val="1"/>
      <w:numFmt w:val="decimal"/>
      <w:lvlText w:val="（%1）"/>
      <w:lvlJc w:val="left"/>
      <w:pPr>
        <w:ind w:left="733" w:hanging="632"/>
        <w:jc w:val="left"/>
      </w:pPr>
      <w:rPr>
        <w:rFonts w:hint="default" w:ascii="仿宋" w:hAnsi="仿宋" w:eastAsia="仿宋" w:cs="仿宋"/>
        <w:w w:val="100"/>
        <w:sz w:val="21"/>
        <w:szCs w:val="21"/>
      </w:rPr>
    </w:lvl>
    <w:lvl w:ilvl="1">
      <w:start w:val="0"/>
      <w:numFmt w:val="bullet"/>
      <w:lvlText w:val="•"/>
      <w:lvlJc w:val="left"/>
      <w:pPr>
        <w:ind w:left="1479" w:hanging="632"/>
      </w:pPr>
      <w:rPr>
        <w:rFonts w:hint="default"/>
      </w:rPr>
    </w:lvl>
    <w:lvl w:ilvl="2">
      <w:start w:val="0"/>
      <w:numFmt w:val="bullet"/>
      <w:lvlText w:val="•"/>
      <w:lvlJc w:val="left"/>
      <w:pPr>
        <w:ind w:left="2219" w:hanging="632"/>
      </w:pPr>
      <w:rPr>
        <w:rFonts w:hint="default"/>
      </w:rPr>
    </w:lvl>
    <w:lvl w:ilvl="3">
      <w:start w:val="0"/>
      <w:numFmt w:val="bullet"/>
      <w:lvlText w:val="•"/>
      <w:lvlJc w:val="left"/>
      <w:pPr>
        <w:ind w:left="2958" w:hanging="632"/>
      </w:pPr>
      <w:rPr>
        <w:rFonts w:hint="default"/>
      </w:rPr>
    </w:lvl>
    <w:lvl w:ilvl="4">
      <w:start w:val="0"/>
      <w:numFmt w:val="bullet"/>
      <w:lvlText w:val="•"/>
      <w:lvlJc w:val="left"/>
      <w:pPr>
        <w:ind w:left="3698" w:hanging="632"/>
      </w:pPr>
      <w:rPr>
        <w:rFonts w:hint="default"/>
      </w:rPr>
    </w:lvl>
    <w:lvl w:ilvl="5">
      <w:start w:val="0"/>
      <w:numFmt w:val="bullet"/>
      <w:lvlText w:val="•"/>
      <w:lvlJc w:val="left"/>
      <w:pPr>
        <w:ind w:left="4437" w:hanging="632"/>
      </w:pPr>
      <w:rPr>
        <w:rFonts w:hint="default"/>
      </w:rPr>
    </w:lvl>
    <w:lvl w:ilvl="6">
      <w:start w:val="0"/>
      <w:numFmt w:val="bullet"/>
      <w:lvlText w:val="•"/>
      <w:lvlJc w:val="left"/>
      <w:pPr>
        <w:ind w:left="5177" w:hanging="632"/>
      </w:pPr>
      <w:rPr>
        <w:rFonts w:hint="default"/>
      </w:rPr>
    </w:lvl>
    <w:lvl w:ilvl="7">
      <w:start w:val="0"/>
      <w:numFmt w:val="bullet"/>
      <w:lvlText w:val="•"/>
      <w:lvlJc w:val="left"/>
      <w:pPr>
        <w:ind w:left="5916" w:hanging="632"/>
      </w:pPr>
      <w:rPr>
        <w:rFonts w:hint="default"/>
      </w:rPr>
    </w:lvl>
    <w:lvl w:ilvl="8">
      <w:start w:val="0"/>
      <w:numFmt w:val="bullet"/>
      <w:lvlText w:val="•"/>
      <w:lvlJc w:val="left"/>
      <w:pPr>
        <w:ind w:left="6656" w:hanging="632"/>
      </w:pPr>
      <w:rPr>
        <w:rFonts w:hint="default"/>
      </w:rPr>
    </w:lvl>
  </w:abstractNum>
  <w:abstractNum w:abstractNumId="23">
    <w:multiLevelType w:val="hybridMultilevel"/>
    <w:lvl w:ilvl="0">
      <w:start w:val="1"/>
      <w:numFmt w:val="decimal"/>
      <w:lvlText w:val="（%1）"/>
      <w:lvlJc w:val="left"/>
      <w:pPr>
        <w:ind w:left="733" w:hanging="632"/>
        <w:jc w:val="left"/>
      </w:pPr>
      <w:rPr>
        <w:rFonts w:hint="default" w:ascii="仿宋" w:hAnsi="仿宋" w:eastAsia="仿宋" w:cs="仿宋"/>
        <w:w w:val="100"/>
        <w:sz w:val="21"/>
        <w:szCs w:val="21"/>
      </w:rPr>
    </w:lvl>
    <w:lvl w:ilvl="1">
      <w:start w:val="0"/>
      <w:numFmt w:val="bullet"/>
      <w:lvlText w:val="•"/>
      <w:lvlJc w:val="left"/>
      <w:pPr>
        <w:ind w:left="1479" w:hanging="632"/>
      </w:pPr>
      <w:rPr>
        <w:rFonts w:hint="default"/>
      </w:rPr>
    </w:lvl>
    <w:lvl w:ilvl="2">
      <w:start w:val="0"/>
      <w:numFmt w:val="bullet"/>
      <w:lvlText w:val="•"/>
      <w:lvlJc w:val="left"/>
      <w:pPr>
        <w:ind w:left="2219" w:hanging="632"/>
      </w:pPr>
      <w:rPr>
        <w:rFonts w:hint="default"/>
      </w:rPr>
    </w:lvl>
    <w:lvl w:ilvl="3">
      <w:start w:val="0"/>
      <w:numFmt w:val="bullet"/>
      <w:lvlText w:val="•"/>
      <w:lvlJc w:val="left"/>
      <w:pPr>
        <w:ind w:left="2958" w:hanging="632"/>
      </w:pPr>
      <w:rPr>
        <w:rFonts w:hint="default"/>
      </w:rPr>
    </w:lvl>
    <w:lvl w:ilvl="4">
      <w:start w:val="0"/>
      <w:numFmt w:val="bullet"/>
      <w:lvlText w:val="•"/>
      <w:lvlJc w:val="left"/>
      <w:pPr>
        <w:ind w:left="3698" w:hanging="632"/>
      </w:pPr>
      <w:rPr>
        <w:rFonts w:hint="default"/>
      </w:rPr>
    </w:lvl>
    <w:lvl w:ilvl="5">
      <w:start w:val="0"/>
      <w:numFmt w:val="bullet"/>
      <w:lvlText w:val="•"/>
      <w:lvlJc w:val="left"/>
      <w:pPr>
        <w:ind w:left="4437" w:hanging="632"/>
      </w:pPr>
      <w:rPr>
        <w:rFonts w:hint="default"/>
      </w:rPr>
    </w:lvl>
    <w:lvl w:ilvl="6">
      <w:start w:val="0"/>
      <w:numFmt w:val="bullet"/>
      <w:lvlText w:val="•"/>
      <w:lvlJc w:val="left"/>
      <w:pPr>
        <w:ind w:left="5177" w:hanging="632"/>
      </w:pPr>
      <w:rPr>
        <w:rFonts w:hint="default"/>
      </w:rPr>
    </w:lvl>
    <w:lvl w:ilvl="7">
      <w:start w:val="0"/>
      <w:numFmt w:val="bullet"/>
      <w:lvlText w:val="•"/>
      <w:lvlJc w:val="left"/>
      <w:pPr>
        <w:ind w:left="5916" w:hanging="632"/>
      </w:pPr>
      <w:rPr>
        <w:rFonts w:hint="default"/>
      </w:rPr>
    </w:lvl>
    <w:lvl w:ilvl="8">
      <w:start w:val="0"/>
      <w:numFmt w:val="bullet"/>
      <w:lvlText w:val="•"/>
      <w:lvlJc w:val="left"/>
      <w:pPr>
        <w:ind w:left="6656" w:hanging="632"/>
      </w:pPr>
      <w:rPr>
        <w:rFonts w:hint="default"/>
      </w:rPr>
    </w:lvl>
  </w:abstractNum>
  <w:abstractNum w:abstractNumId="22">
    <w:multiLevelType w:val="hybridMultilevel"/>
    <w:lvl w:ilvl="0">
      <w:start w:val="1"/>
      <w:numFmt w:val="decimal"/>
      <w:lvlText w:val="（%1）"/>
      <w:lvlJc w:val="left"/>
      <w:pPr>
        <w:ind w:left="720" w:hanging="632"/>
        <w:jc w:val="left"/>
      </w:pPr>
      <w:rPr>
        <w:rFonts w:hint="default" w:ascii="仿宋" w:hAnsi="仿宋" w:eastAsia="仿宋" w:cs="仿宋"/>
        <w:w w:val="100"/>
        <w:sz w:val="21"/>
        <w:szCs w:val="21"/>
      </w:rPr>
    </w:lvl>
    <w:lvl w:ilvl="1">
      <w:start w:val="0"/>
      <w:numFmt w:val="bullet"/>
      <w:lvlText w:val="•"/>
      <w:lvlJc w:val="left"/>
      <w:pPr>
        <w:ind w:left="1454" w:hanging="632"/>
      </w:pPr>
      <w:rPr>
        <w:rFonts w:hint="default"/>
      </w:rPr>
    </w:lvl>
    <w:lvl w:ilvl="2">
      <w:start w:val="0"/>
      <w:numFmt w:val="bullet"/>
      <w:lvlText w:val="•"/>
      <w:lvlJc w:val="left"/>
      <w:pPr>
        <w:ind w:left="2188" w:hanging="632"/>
      </w:pPr>
      <w:rPr>
        <w:rFonts w:hint="default"/>
      </w:rPr>
    </w:lvl>
    <w:lvl w:ilvl="3">
      <w:start w:val="0"/>
      <w:numFmt w:val="bullet"/>
      <w:lvlText w:val="•"/>
      <w:lvlJc w:val="left"/>
      <w:pPr>
        <w:ind w:left="2923" w:hanging="632"/>
      </w:pPr>
      <w:rPr>
        <w:rFonts w:hint="default"/>
      </w:rPr>
    </w:lvl>
    <w:lvl w:ilvl="4">
      <w:start w:val="0"/>
      <w:numFmt w:val="bullet"/>
      <w:lvlText w:val="•"/>
      <w:lvlJc w:val="left"/>
      <w:pPr>
        <w:ind w:left="3657" w:hanging="632"/>
      </w:pPr>
      <w:rPr>
        <w:rFonts w:hint="default"/>
      </w:rPr>
    </w:lvl>
    <w:lvl w:ilvl="5">
      <w:start w:val="0"/>
      <w:numFmt w:val="bullet"/>
      <w:lvlText w:val="•"/>
      <w:lvlJc w:val="left"/>
      <w:pPr>
        <w:ind w:left="4392" w:hanging="632"/>
      </w:pPr>
      <w:rPr>
        <w:rFonts w:hint="default"/>
      </w:rPr>
    </w:lvl>
    <w:lvl w:ilvl="6">
      <w:start w:val="0"/>
      <w:numFmt w:val="bullet"/>
      <w:lvlText w:val="•"/>
      <w:lvlJc w:val="left"/>
      <w:pPr>
        <w:ind w:left="5126" w:hanging="632"/>
      </w:pPr>
      <w:rPr>
        <w:rFonts w:hint="default"/>
      </w:rPr>
    </w:lvl>
    <w:lvl w:ilvl="7">
      <w:start w:val="0"/>
      <w:numFmt w:val="bullet"/>
      <w:lvlText w:val="•"/>
      <w:lvlJc w:val="left"/>
      <w:pPr>
        <w:ind w:left="5860" w:hanging="632"/>
      </w:pPr>
      <w:rPr>
        <w:rFonts w:hint="default"/>
      </w:rPr>
    </w:lvl>
    <w:lvl w:ilvl="8">
      <w:start w:val="0"/>
      <w:numFmt w:val="bullet"/>
      <w:lvlText w:val="•"/>
      <w:lvlJc w:val="left"/>
      <w:pPr>
        <w:ind w:left="6595" w:hanging="632"/>
      </w:pPr>
      <w:rPr>
        <w:rFonts w:hint="default"/>
      </w:rPr>
    </w:lvl>
  </w:abstractNum>
  <w:abstractNum w:abstractNumId="21">
    <w:multiLevelType w:val="hybridMultilevel"/>
    <w:lvl w:ilvl="0">
      <w:start w:val="1"/>
      <w:numFmt w:val="decimal"/>
      <w:lvlText w:val="（%1）"/>
      <w:lvlJc w:val="left"/>
      <w:pPr>
        <w:ind w:left="720" w:hanging="632"/>
        <w:jc w:val="left"/>
      </w:pPr>
      <w:rPr>
        <w:rFonts w:hint="default" w:ascii="仿宋" w:hAnsi="仿宋" w:eastAsia="仿宋" w:cs="仿宋"/>
        <w:w w:val="100"/>
        <w:sz w:val="21"/>
        <w:szCs w:val="21"/>
      </w:rPr>
    </w:lvl>
    <w:lvl w:ilvl="1">
      <w:start w:val="0"/>
      <w:numFmt w:val="bullet"/>
      <w:lvlText w:val="•"/>
      <w:lvlJc w:val="left"/>
      <w:pPr>
        <w:ind w:left="1454" w:hanging="632"/>
      </w:pPr>
      <w:rPr>
        <w:rFonts w:hint="default"/>
      </w:rPr>
    </w:lvl>
    <w:lvl w:ilvl="2">
      <w:start w:val="0"/>
      <w:numFmt w:val="bullet"/>
      <w:lvlText w:val="•"/>
      <w:lvlJc w:val="left"/>
      <w:pPr>
        <w:ind w:left="2189" w:hanging="632"/>
      </w:pPr>
      <w:rPr>
        <w:rFonts w:hint="default"/>
      </w:rPr>
    </w:lvl>
    <w:lvl w:ilvl="3">
      <w:start w:val="0"/>
      <w:numFmt w:val="bullet"/>
      <w:lvlText w:val="•"/>
      <w:lvlJc w:val="left"/>
      <w:pPr>
        <w:ind w:left="2923" w:hanging="632"/>
      </w:pPr>
      <w:rPr>
        <w:rFonts w:hint="default"/>
      </w:rPr>
    </w:lvl>
    <w:lvl w:ilvl="4">
      <w:start w:val="0"/>
      <w:numFmt w:val="bullet"/>
      <w:lvlText w:val="•"/>
      <w:lvlJc w:val="left"/>
      <w:pPr>
        <w:ind w:left="3658" w:hanging="632"/>
      </w:pPr>
      <w:rPr>
        <w:rFonts w:hint="default"/>
      </w:rPr>
    </w:lvl>
    <w:lvl w:ilvl="5">
      <w:start w:val="0"/>
      <w:numFmt w:val="bullet"/>
      <w:lvlText w:val="•"/>
      <w:lvlJc w:val="left"/>
      <w:pPr>
        <w:ind w:left="4393" w:hanging="632"/>
      </w:pPr>
      <w:rPr>
        <w:rFonts w:hint="default"/>
      </w:rPr>
    </w:lvl>
    <w:lvl w:ilvl="6">
      <w:start w:val="0"/>
      <w:numFmt w:val="bullet"/>
      <w:lvlText w:val="•"/>
      <w:lvlJc w:val="left"/>
      <w:pPr>
        <w:ind w:left="5127" w:hanging="632"/>
      </w:pPr>
      <w:rPr>
        <w:rFonts w:hint="default"/>
      </w:rPr>
    </w:lvl>
    <w:lvl w:ilvl="7">
      <w:start w:val="0"/>
      <w:numFmt w:val="bullet"/>
      <w:lvlText w:val="•"/>
      <w:lvlJc w:val="left"/>
      <w:pPr>
        <w:ind w:left="5862" w:hanging="632"/>
      </w:pPr>
      <w:rPr>
        <w:rFonts w:hint="default"/>
      </w:rPr>
    </w:lvl>
    <w:lvl w:ilvl="8">
      <w:start w:val="0"/>
      <w:numFmt w:val="bullet"/>
      <w:lvlText w:val="•"/>
      <w:lvlJc w:val="left"/>
      <w:pPr>
        <w:ind w:left="6596" w:hanging="632"/>
      </w:pPr>
      <w:rPr>
        <w:rFonts w:hint="default"/>
      </w:rPr>
    </w:lvl>
  </w:abstractNum>
  <w:abstractNum w:abstractNumId="20">
    <w:multiLevelType w:val="hybridMultilevel"/>
    <w:lvl w:ilvl="0">
      <w:start w:val="1"/>
      <w:numFmt w:val="decimal"/>
      <w:lvlText w:val="（%1）"/>
      <w:lvlJc w:val="left"/>
      <w:pPr>
        <w:ind w:left="720" w:hanging="632"/>
        <w:jc w:val="left"/>
      </w:pPr>
      <w:rPr>
        <w:rFonts w:hint="default" w:ascii="仿宋" w:hAnsi="仿宋" w:eastAsia="仿宋" w:cs="仿宋"/>
        <w:w w:val="100"/>
        <w:sz w:val="21"/>
        <w:szCs w:val="21"/>
      </w:rPr>
    </w:lvl>
    <w:lvl w:ilvl="1">
      <w:start w:val="0"/>
      <w:numFmt w:val="bullet"/>
      <w:lvlText w:val="•"/>
      <w:lvlJc w:val="left"/>
      <w:pPr>
        <w:ind w:left="1454" w:hanging="632"/>
      </w:pPr>
      <w:rPr>
        <w:rFonts w:hint="default"/>
      </w:rPr>
    </w:lvl>
    <w:lvl w:ilvl="2">
      <w:start w:val="0"/>
      <w:numFmt w:val="bullet"/>
      <w:lvlText w:val="•"/>
      <w:lvlJc w:val="left"/>
      <w:pPr>
        <w:ind w:left="2189" w:hanging="632"/>
      </w:pPr>
      <w:rPr>
        <w:rFonts w:hint="default"/>
      </w:rPr>
    </w:lvl>
    <w:lvl w:ilvl="3">
      <w:start w:val="0"/>
      <w:numFmt w:val="bullet"/>
      <w:lvlText w:val="•"/>
      <w:lvlJc w:val="left"/>
      <w:pPr>
        <w:ind w:left="2923" w:hanging="632"/>
      </w:pPr>
      <w:rPr>
        <w:rFonts w:hint="default"/>
      </w:rPr>
    </w:lvl>
    <w:lvl w:ilvl="4">
      <w:start w:val="0"/>
      <w:numFmt w:val="bullet"/>
      <w:lvlText w:val="•"/>
      <w:lvlJc w:val="left"/>
      <w:pPr>
        <w:ind w:left="3658" w:hanging="632"/>
      </w:pPr>
      <w:rPr>
        <w:rFonts w:hint="default"/>
      </w:rPr>
    </w:lvl>
    <w:lvl w:ilvl="5">
      <w:start w:val="0"/>
      <w:numFmt w:val="bullet"/>
      <w:lvlText w:val="•"/>
      <w:lvlJc w:val="left"/>
      <w:pPr>
        <w:ind w:left="4393" w:hanging="632"/>
      </w:pPr>
      <w:rPr>
        <w:rFonts w:hint="default"/>
      </w:rPr>
    </w:lvl>
    <w:lvl w:ilvl="6">
      <w:start w:val="0"/>
      <w:numFmt w:val="bullet"/>
      <w:lvlText w:val="•"/>
      <w:lvlJc w:val="left"/>
      <w:pPr>
        <w:ind w:left="5127" w:hanging="632"/>
      </w:pPr>
      <w:rPr>
        <w:rFonts w:hint="default"/>
      </w:rPr>
    </w:lvl>
    <w:lvl w:ilvl="7">
      <w:start w:val="0"/>
      <w:numFmt w:val="bullet"/>
      <w:lvlText w:val="•"/>
      <w:lvlJc w:val="left"/>
      <w:pPr>
        <w:ind w:left="5862" w:hanging="632"/>
      </w:pPr>
      <w:rPr>
        <w:rFonts w:hint="default"/>
      </w:rPr>
    </w:lvl>
    <w:lvl w:ilvl="8">
      <w:start w:val="0"/>
      <w:numFmt w:val="bullet"/>
      <w:lvlText w:val="•"/>
      <w:lvlJc w:val="left"/>
      <w:pPr>
        <w:ind w:left="6596" w:hanging="632"/>
      </w:pPr>
      <w:rPr>
        <w:rFonts w:hint="default"/>
      </w:rPr>
    </w:lvl>
  </w:abstractNum>
  <w:abstractNum w:abstractNumId="19">
    <w:multiLevelType w:val="hybridMultilevel"/>
    <w:lvl w:ilvl="0">
      <w:start w:val="1"/>
      <w:numFmt w:val="decimal"/>
      <w:lvlText w:val="（%1）"/>
      <w:lvlJc w:val="left"/>
      <w:pPr>
        <w:ind w:left="720" w:hanging="632"/>
        <w:jc w:val="left"/>
      </w:pPr>
      <w:rPr>
        <w:rFonts w:hint="default" w:ascii="仿宋" w:hAnsi="仿宋" w:eastAsia="仿宋" w:cs="仿宋"/>
        <w:w w:val="100"/>
        <w:sz w:val="21"/>
        <w:szCs w:val="21"/>
      </w:rPr>
    </w:lvl>
    <w:lvl w:ilvl="1">
      <w:start w:val="0"/>
      <w:numFmt w:val="bullet"/>
      <w:lvlText w:val="•"/>
      <w:lvlJc w:val="left"/>
      <w:pPr>
        <w:ind w:left="1454" w:hanging="632"/>
      </w:pPr>
      <w:rPr>
        <w:rFonts w:hint="default"/>
      </w:rPr>
    </w:lvl>
    <w:lvl w:ilvl="2">
      <w:start w:val="0"/>
      <w:numFmt w:val="bullet"/>
      <w:lvlText w:val="•"/>
      <w:lvlJc w:val="left"/>
      <w:pPr>
        <w:ind w:left="2189" w:hanging="632"/>
      </w:pPr>
      <w:rPr>
        <w:rFonts w:hint="default"/>
      </w:rPr>
    </w:lvl>
    <w:lvl w:ilvl="3">
      <w:start w:val="0"/>
      <w:numFmt w:val="bullet"/>
      <w:lvlText w:val="•"/>
      <w:lvlJc w:val="left"/>
      <w:pPr>
        <w:ind w:left="2923" w:hanging="632"/>
      </w:pPr>
      <w:rPr>
        <w:rFonts w:hint="default"/>
      </w:rPr>
    </w:lvl>
    <w:lvl w:ilvl="4">
      <w:start w:val="0"/>
      <w:numFmt w:val="bullet"/>
      <w:lvlText w:val="•"/>
      <w:lvlJc w:val="left"/>
      <w:pPr>
        <w:ind w:left="3658" w:hanging="632"/>
      </w:pPr>
      <w:rPr>
        <w:rFonts w:hint="default"/>
      </w:rPr>
    </w:lvl>
    <w:lvl w:ilvl="5">
      <w:start w:val="0"/>
      <w:numFmt w:val="bullet"/>
      <w:lvlText w:val="•"/>
      <w:lvlJc w:val="left"/>
      <w:pPr>
        <w:ind w:left="4393" w:hanging="632"/>
      </w:pPr>
      <w:rPr>
        <w:rFonts w:hint="default"/>
      </w:rPr>
    </w:lvl>
    <w:lvl w:ilvl="6">
      <w:start w:val="0"/>
      <w:numFmt w:val="bullet"/>
      <w:lvlText w:val="•"/>
      <w:lvlJc w:val="left"/>
      <w:pPr>
        <w:ind w:left="5127" w:hanging="632"/>
      </w:pPr>
      <w:rPr>
        <w:rFonts w:hint="default"/>
      </w:rPr>
    </w:lvl>
    <w:lvl w:ilvl="7">
      <w:start w:val="0"/>
      <w:numFmt w:val="bullet"/>
      <w:lvlText w:val="•"/>
      <w:lvlJc w:val="left"/>
      <w:pPr>
        <w:ind w:left="5862" w:hanging="632"/>
      </w:pPr>
      <w:rPr>
        <w:rFonts w:hint="default"/>
      </w:rPr>
    </w:lvl>
    <w:lvl w:ilvl="8">
      <w:start w:val="0"/>
      <w:numFmt w:val="bullet"/>
      <w:lvlText w:val="•"/>
      <w:lvlJc w:val="left"/>
      <w:pPr>
        <w:ind w:left="6596" w:hanging="632"/>
      </w:pPr>
      <w:rPr>
        <w:rFonts w:hint="default"/>
      </w:rPr>
    </w:lvl>
  </w:abstractNum>
  <w:abstractNum w:abstractNumId="18">
    <w:multiLevelType w:val="hybridMultilevel"/>
    <w:lvl w:ilvl="0">
      <w:start w:val="1"/>
      <w:numFmt w:val="decimal"/>
      <w:lvlText w:val="（%1）"/>
      <w:lvlJc w:val="left"/>
      <w:pPr>
        <w:ind w:left="720" w:hanging="632"/>
        <w:jc w:val="left"/>
      </w:pPr>
      <w:rPr>
        <w:rFonts w:hint="default" w:ascii="仿宋" w:hAnsi="仿宋" w:eastAsia="仿宋" w:cs="仿宋"/>
        <w:w w:val="100"/>
        <w:sz w:val="21"/>
        <w:szCs w:val="21"/>
      </w:rPr>
    </w:lvl>
    <w:lvl w:ilvl="1">
      <w:start w:val="0"/>
      <w:numFmt w:val="bullet"/>
      <w:lvlText w:val="•"/>
      <w:lvlJc w:val="left"/>
      <w:pPr>
        <w:ind w:left="1454" w:hanging="632"/>
      </w:pPr>
      <w:rPr>
        <w:rFonts w:hint="default"/>
      </w:rPr>
    </w:lvl>
    <w:lvl w:ilvl="2">
      <w:start w:val="0"/>
      <w:numFmt w:val="bullet"/>
      <w:lvlText w:val="•"/>
      <w:lvlJc w:val="left"/>
      <w:pPr>
        <w:ind w:left="2189" w:hanging="632"/>
      </w:pPr>
      <w:rPr>
        <w:rFonts w:hint="default"/>
      </w:rPr>
    </w:lvl>
    <w:lvl w:ilvl="3">
      <w:start w:val="0"/>
      <w:numFmt w:val="bullet"/>
      <w:lvlText w:val="•"/>
      <w:lvlJc w:val="left"/>
      <w:pPr>
        <w:ind w:left="2924" w:hanging="632"/>
      </w:pPr>
      <w:rPr>
        <w:rFonts w:hint="default"/>
      </w:rPr>
    </w:lvl>
    <w:lvl w:ilvl="4">
      <w:start w:val="0"/>
      <w:numFmt w:val="bullet"/>
      <w:lvlText w:val="•"/>
      <w:lvlJc w:val="left"/>
      <w:pPr>
        <w:ind w:left="3658" w:hanging="632"/>
      </w:pPr>
      <w:rPr>
        <w:rFonts w:hint="default"/>
      </w:rPr>
    </w:lvl>
    <w:lvl w:ilvl="5">
      <w:start w:val="0"/>
      <w:numFmt w:val="bullet"/>
      <w:lvlText w:val="•"/>
      <w:lvlJc w:val="left"/>
      <w:pPr>
        <w:ind w:left="4393" w:hanging="632"/>
      </w:pPr>
      <w:rPr>
        <w:rFonts w:hint="default"/>
      </w:rPr>
    </w:lvl>
    <w:lvl w:ilvl="6">
      <w:start w:val="0"/>
      <w:numFmt w:val="bullet"/>
      <w:lvlText w:val="•"/>
      <w:lvlJc w:val="left"/>
      <w:pPr>
        <w:ind w:left="5128" w:hanging="632"/>
      </w:pPr>
      <w:rPr>
        <w:rFonts w:hint="default"/>
      </w:rPr>
    </w:lvl>
    <w:lvl w:ilvl="7">
      <w:start w:val="0"/>
      <w:numFmt w:val="bullet"/>
      <w:lvlText w:val="•"/>
      <w:lvlJc w:val="left"/>
      <w:pPr>
        <w:ind w:left="5862" w:hanging="632"/>
      </w:pPr>
      <w:rPr>
        <w:rFonts w:hint="default"/>
      </w:rPr>
    </w:lvl>
    <w:lvl w:ilvl="8">
      <w:start w:val="0"/>
      <w:numFmt w:val="bullet"/>
      <w:lvlText w:val="•"/>
      <w:lvlJc w:val="left"/>
      <w:pPr>
        <w:ind w:left="6597" w:hanging="632"/>
      </w:pPr>
      <w:rPr>
        <w:rFonts w:hint="default"/>
      </w:rPr>
    </w:lvl>
  </w:abstractNum>
  <w:abstractNum w:abstractNumId="17">
    <w:multiLevelType w:val="hybridMultilevel"/>
    <w:lvl w:ilvl="0">
      <w:start w:val="1"/>
      <w:numFmt w:val="decimal"/>
      <w:lvlText w:val="（%1）"/>
      <w:lvlJc w:val="left"/>
      <w:pPr>
        <w:ind w:left="720" w:hanging="632"/>
        <w:jc w:val="left"/>
      </w:pPr>
      <w:rPr>
        <w:rFonts w:hint="default" w:ascii="仿宋" w:hAnsi="仿宋" w:eastAsia="仿宋" w:cs="仿宋"/>
        <w:w w:val="100"/>
        <w:sz w:val="21"/>
        <w:szCs w:val="21"/>
      </w:rPr>
    </w:lvl>
    <w:lvl w:ilvl="1">
      <w:start w:val="0"/>
      <w:numFmt w:val="bullet"/>
      <w:lvlText w:val="•"/>
      <w:lvlJc w:val="left"/>
      <w:pPr>
        <w:ind w:left="1454" w:hanging="632"/>
      </w:pPr>
      <w:rPr>
        <w:rFonts w:hint="default"/>
      </w:rPr>
    </w:lvl>
    <w:lvl w:ilvl="2">
      <w:start w:val="0"/>
      <w:numFmt w:val="bullet"/>
      <w:lvlText w:val="•"/>
      <w:lvlJc w:val="left"/>
      <w:pPr>
        <w:ind w:left="2189" w:hanging="632"/>
      </w:pPr>
      <w:rPr>
        <w:rFonts w:hint="default"/>
      </w:rPr>
    </w:lvl>
    <w:lvl w:ilvl="3">
      <w:start w:val="0"/>
      <w:numFmt w:val="bullet"/>
      <w:lvlText w:val="•"/>
      <w:lvlJc w:val="left"/>
      <w:pPr>
        <w:ind w:left="2924" w:hanging="632"/>
      </w:pPr>
      <w:rPr>
        <w:rFonts w:hint="default"/>
      </w:rPr>
    </w:lvl>
    <w:lvl w:ilvl="4">
      <w:start w:val="0"/>
      <w:numFmt w:val="bullet"/>
      <w:lvlText w:val="•"/>
      <w:lvlJc w:val="left"/>
      <w:pPr>
        <w:ind w:left="3658" w:hanging="632"/>
      </w:pPr>
      <w:rPr>
        <w:rFonts w:hint="default"/>
      </w:rPr>
    </w:lvl>
    <w:lvl w:ilvl="5">
      <w:start w:val="0"/>
      <w:numFmt w:val="bullet"/>
      <w:lvlText w:val="•"/>
      <w:lvlJc w:val="left"/>
      <w:pPr>
        <w:ind w:left="4393" w:hanging="632"/>
      </w:pPr>
      <w:rPr>
        <w:rFonts w:hint="default"/>
      </w:rPr>
    </w:lvl>
    <w:lvl w:ilvl="6">
      <w:start w:val="0"/>
      <w:numFmt w:val="bullet"/>
      <w:lvlText w:val="•"/>
      <w:lvlJc w:val="left"/>
      <w:pPr>
        <w:ind w:left="5128" w:hanging="632"/>
      </w:pPr>
      <w:rPr>
        <w:rFonts w:hint="default"/>
      </w:rPr>
    </w:lvl>
    <w:lvl w:ilvl="7">
      <w:start w:val="0"/>
      <w:numFmt w:val="bullet"/>
      <w:lvlText w:val="•"/>
      <w:lvlJc w:val="left"/>
      <w:pPr>
        <w:ind w:left="5862" w:hanging="632"/>
      </w:pPr>
      <w:rPr>
        <w:rFonts w:hint="default"/>
      </w:rPr>
    </w:lvl>
    <w:lvl w:ilvl="8">
      <w:start w:val="0"/>
      <w:numFmt w:val="bullet"/>
      <w:lvlText w:val="•"/>
      <w:lvlJc w:val="left"/>
      <w:pPr>
        <w:ind w:left="6597" w:hanging="632"/>
      </w:pPr>
      <w:rPr>
        <w:rFonts w:hint="default"/>
      </w:rPr>
    </w:lvl>
  </w:abstractNum>
  <w:abstractNum w:abstractNumId="16">
    <w:multiLevelType w:val="hybridMultilevel"/>
    <w:lvl w:ilvl="0">
      <w:start w:val="1"/>
      <w:numFmt w:val="decimal"/>
      <w:lvlText w:val="（%1）"/>
      <w:lvlJc w:val="left"/>
      <w:pPr>
        <w:ind w:left="655" w:hanging="567"/>
        <w:jc w:val="left"/>
      </w:pPr>
      <w:rPr>
        <w:rFonts w:hint="default" w:ascii="仿宋" w:hAnsi="仿宋" w:eastAsia="仿宋" w:cs="仿宋"/>
        <w:w w:val="100"/>
        <w:sz w:val="21"/>
        <w:szCs w:val="21"/>
      </w:rPr>
    </w:lvl>
    <w:lvl w:ilvl="1">
      <w:start w:val="0"/>
      <w:numFmt w:val="bullet"/>
      <w:lvlText w:val="•"/>
      <w:lvlJc w:val="left"/>
      <w:pPr>
        <w:ind w:left="1400" w:hanging="567"/>
      </w:pPr>
      <w:rPr>
        <w:rFonts w:hint="default"/>
      </w:rPr>
    </w:lvl>
    <w:lvl w:ilvl="2">
      <w:start w:val="0"/>
      <w:numFmt w:val="bullet"/>
      <w:lvlText w:val="•"/>
      <w:lvlJc w:val="left"/>
      <w:pPr>
        <w:ind w:left="2141" w:hanging="567"/>
      </w:pPr>
      <w:rPr>
        <w:rFonts w:hint="default"/>
      </w:rPr>
    </w:lvl>
    <w:lvl w:ilvl="3">
      <w:start w:val="0"/>
      <w:numFmt w:val="bullet"/>
      <w:lvlText w:val="•"/>
      <w:lvlJc w:val="left"/>
      <w:pPr>
        <w:ind w:left="2882" w:hanging="567"/>
      </w:pPr>
      <w:rPr>
        <w:rFonts w:hint="default"/>
      </w:rPr>
    </w:lvl>
    <w:lvl w:ilvl="4">
      <w:start w:val="0"/>
      <w:numFmt w:val="bullet"/>
      <w:lvlText w:val="•"/>
      <w:lvlJc w:val="left"/>
      <w:pPr>
        <w:ind w:left="3622" w:hanging="567"/>
      </w:pPr>
      <w:rPr>
        <w:rFonts w:hint="default"/>
      </w:rPr>
    </w:lvl>
    <w:lvl w:ilvl="5">
      <w:start w:val="0"/>
      <w:numFmt w:val="bullet"/>
      <w:lvlText w:val="•"/>
      <w:lvlJc w:val="left"/>
      <w:pPr>
        <w:ind w:left="4363" w:hanging="567"/>
      </w:pPr>
      <w:rPr>
        <w:rFonts w:hint="default"/>
      </w:rPr>
    </w:lvl>
    <w:lvl w:ilvl="6">
      <w:start w:val="0"/>
      <w:numFmt w:val="bullet"/>
      <w:lvlText w:val="•"/>
      <w:lvlJc w:val="left"/>
      <w:pPr>
        <w:ind w:left="5104" w:hanging="567"/>
      </w:pPr>
      <w:rPr>
        <w:rFonts w:hint="default"/>
      </w:rPr>
    </w:lvl>
    <w:lvl w:ilvl="7">
      <w:start w:val="0"/>
      <w:numFmt w:val="bullet"/>
      <w:lvlText w:val="•"/>
      <w:lvlJc w:val="left"/>
      <w:pPr>
        <w:ind w:left="5844" w:hanging="567"/>
      </w:pPr>
      <w:rPr>
        <w:rFonts w:hint="default"/>
      </w:rPr>
    </w:lvl>
    <w:lvl w:ilvl="8">
      <w:start w:val="0"/>
      <w:numFmt w:val="bullet"/>
      <w:lvlText w:val="•"/>
      <w:lvlJc w:val="left"/>
      <w:pPr>
        <w:ind w:left="6585" w:hanging="567"/>
      </w:pPr>
      <w:rPr>
        <w:rFonts w:hint="default"/>
      </w:rPr>
    </w:lvl>
  </w:abstractNum>
  <w:abstractNum w:abstractNumId="15">
    <w:multiLevelType w:val="hybridMultilevel"/>
    <w:lvl w:ilvl="0">
      <w:start w:val="1"/>
      <w:numFmt w:val="decimal"/>
      <w:lvlText w:val="（%1）"/>
      <w:lvlJc w:val="left"/>
      <w:pPr>
        <w:ind w:left="655" w:hanging="567"/>
        <w:jc w:val="left"/>
      </w:pPr>
      <w:rPr>
        <w:rFonts w:hint="default" w:ascii="仿宋" w:hAnsi="仿宋" w:eastAsia="仿宋" w:cs="仿宋"/>
        <w:w w:val="100"/>
        <w:sz w:val="21"/>
        <w:szCs w:val="21"/>
      </w:rPr>
    </w:lvl>
    <w:lvl w:ilvl="1">
      <w:start w:val="0"/>
      <w:numFmt w:val="bullet"/>
      <w:lvlText w:val="•"/>
      <w:lvlJc w:val="left"/>
      <w:pPr>
        <w:ind w:left="1400" w:hanging="567"/>
      </w:pPr>
      <w:rPr>
        <w:rFonts w:hint="default"/>
      </w:rPr>
    </w:lvl>
    <w:lvl w:ilvl="2">
      <w:start w:val="0"/>
      <w:numFmt w:val="bullet"/>
      <w:lvlText w:val="•"/>
      <w:lvlJc w:val="left"/>
      <w:pPr>
        <w:ind w:left="2141" w:hanging="567"/>
      </w:pPr>
      <w:rPr>
        <w:rFonts w:hint="default"/>
      </w:rPr>
    </w:lvl>
    <w:lvl w:ilvl="3">
      <w:start w:val="0"/>
      <w:numFmt w:val="bullet"/>
      <w:lvlText w:val="•"/>
      <w:lvlJc w:val="left"/>
      <w:pPr>
        <w:ind w:left="2882" w:hanging="567"/>
      </w:pPr>
      <w:rPr>
        <w:rFonts w:hint="default"/>
      </w:rPr>
    </w:lvl>
    <w:lvl w:ilvl="4">
      <w:start w:val="0"/>
      <w:numFmt w:val="bullet"/>
      <w:lvlText w:val="•"/>
      <w:lvlJc w:val="left"/>
      <w:pPr>
        <w:ind w:left="3622" w:hanging="567"/>
      </w:pPr>
      <w:rPr>
        <w:rFonts w:hint="default"/>
      </w:rPr>
    </w:lvl>
    <w:lvl w:ilvl="5">
      <w:start w:val="0"/>
      <w:numFmt w:val="bullet"/>
      <w:lvlText w:val="•"/>
      <w:lvlJc w:val="left"/>
      <w:pPr>
        <w:ind w:left="4363" w:hanging="567"/>
      </w:pPr>
      <w:rPr>
        <w:rFonts w:hint="default"/>
      </w:rPr>
    </w:lvl>
    <w:lvl w:ilvl="6">
      <w:start w:val="0"/>
      <w:numFmt w:val="bullet"/>
      <w:lvlText w:val="•"/>
      <w:lvlJc w:val="left"/>
      <w:pPr>
        <w:ind w:left="5104" w:hanging="567"/>
      </w:pPr>
      <w:rPr>
        <w:rFonts w:hint="default"/>
      </w:rPr>
    </w:lvl>
    <w:lvl w:ilvl="7">
      <w:start w:val="0"/>
      <w:numFmt w:val="bullet"/>
      <w:lvlText w:val="•"/>
      <w:lvlJc w:val="left"/>
      <w:pPr>
        <w:ind w:left="5844" w:hanging="567"/>
      </w:pPr>
      <w:rPr>
        <w:rFonts w:hint="default"/>
      </w:rPr>
    </w:lvl>
    <w:lvl w:ilvl="8">
      <w:start w:val="0"/>
      <w:numFmt w:val="bullet"/>
      <w:lvlText w:val="•"/>
      <w:lvlJc w:val="left"/>
      <w:pPr>
        <w:ind w:left="6585" w:hanging="567"/>
      </w:pPr>
      <w:rPr>
        <w:rFonts w:hint="default"/>
      </w:rPr>
    </w:lvl>
  </w:abstractNum>
  <w:abstractNum w:abstractNumId="14">
    <w:multiLevelType w:val="hybridMultilevel"/>
    <w:lvl w:ilvl="0">
      <w:start w:val="1"/>
      <w:numFmt w:val="decimal"/>
      <w:lvlText w:val="（%1）"/>
      <w:lvlJc w:val="left"/>
      <w:pPr>
        <w:ind w:left="747" w:hanging="567"/>
        <w:jc w:val="left"/>
      </w:pPr>
      <w:rPr>
        <w:rFonts w:hint="default" w:ascii="仿宋" w:hAnsi="仿宋" w:eastAsia="仿宋" w:cs="仿宋"/>
        <w:w w:val="100"/>
        <w:sz w:val="21"/>
        <w:szCs w:val="21"/>
      </w:rPr>
    </w:lvl>
    <w:lvl w:ilvl="1">
      <w:start w:val="0"/>
      <w:numFmt w:val="bullet"/>
      <w:lvlText w:val="•"/>
      <w:lvlJc w:val="left"/>
      <w:pPr>
        <w:ind w:left="1467" w:hanging="567"/>
      </w:pPr>
      <w:rPr>
        <w:rFonts w:hint="default"/>
      </w:rPr>
    </w:lvl>
    <w:lvl w:ilvl="2">
      <w:start w:val="0"/>
      <w:numFmt w:val="bullet"/>
      <w:lvlText w:val="•"/>
      <w:lvlJc w:val="left"/>
      <w:pPr>
        <w:ind w:left="2194" w:hanging="567"/>
      </w:pPr>
      <w:rPr>
        <w:rFonts w:hint="default"/>
      </w:rPr>
    </w:lvl>
    <w:lvl w:ilvl="3">
      <w:start w:val="0"/>
      <w:numFmt w:val="bullet"/>
      <w:lvlText w:val="•"/>
      <w:lvlJc w:val="left"/>
      <w:pPr>
        <w:ind w:left="2921" w:hanging="567"/>
      </w:pPr>
      <w:rPr>
        <w:rFonts w:hint="default"/>
      </w:rPr>
    </w:lvl>
    <w:lvl w:ilvl="4">
      <w:start w:val="0"/>
      <w:numFmt w:val="bullet"/>
      <w:lvlText w:val="•"/>
      <w:lvlJc w:val="left"/>
      <w:pPr>
        <w:ind w:left="3648" w:hanging="567"/>
      </w:pPr>
      <w:rPr>
        <w:rFonts w:hint="default"/>
      </w:rPr>
    </w:lvl>
    <w:lvl w:ilvl="5">
      <w:start w:val="0"/>
      <w:numFmt w:val="bullet"/>
      <w:lvlText w:val="•"/>
      <w:lvlJc w:val="left"/>
      <w:pPr>
        <w:ind w:left="4375" w:hanging="567"/>
      </w:pPr>
      <w:rPr>
        <w:rFonts w:hint="default"/>
      </w:rPr>
    </w:lvl>
    <w:lvl w:ilvl="6">
      <w:start w:val="0"/>
      <w:numFmt w:val="bullet"/>
      <w:lvlText w:val="•"/>
      <w:lvlJc w:val="left"/>
      <w:pPr>
        <w:ind w:left="5102" w:hanging="567"/>
      </w:pPr>
      <w:rPr>
        <w:rFonts w:hint="default"/>
      </w:rPr>
    </w:lvl>
    <w:lvl w:ilvl="7">
      <w:start w:val="0"/>
      <w:numFmt w:val="bullet"/>
      <w:lvlText w:val="•"/>
      <w:lvlJc w:val="left"/>
      <w:pPr>
        <w:ind w:left="5829" w:hanging="567"/>
      </w:pPr>
      <w:rPr>
        <w:rFonts w:hint="default"/>
      </w:rPr>
    </w:lvl>
    <w:lvl w:ilvl="8">
      <w:start w:val="0"/>
      <w:numFmt w:val="bullet"/>
      <w:lvlText w:val="•"/>
      <w:lvlJc w:val="left"/>
      <w:pPr>
        <w:ind w:left="6556" w:hanging="567"/>
      </w:pPr>
      <w:rPr>
        <w:rFonts w:hint="default"/>
      </w:rPr>
    </w:lvl>
  </w:abstractNum>
  <w:abstractNum w:abstractNumId="13">
    <w:multiLevelType w:val="hybridMultilevel"/>
    <w:lvl w:ilvl="0">
      <w:start w:val="1"/>
      <w:numFmt w:val="decimal"/>
      <w:lvlText w:val="（%1）"/>
      <w:lvlJc w:val="left"/>
      <w:pPr>
        <w:ind w:left="747" w:hanging="567"/>
        <w:jc w:val="left"/>
      </w:pPr>
      <w:rPr>
        <w:rFonts w:hint="default" w:ascii="仿宋" w:hAnsi="仿宋" w:eastAsia="仿宋" w:cs="仿宋"/>
        <w:w w:val="100"/>
        <w:sz w:val="21"/>
        <w:szCs w:val="21"/>
      </w:rPr>
    </w:lvl>
    <w:lvl w:ilvl="1">
      <w:start w:val="0"/>
      <w:numFmt w:val="bullet"/>
      <w:lvlText w:val="•"/>
      <w:lvlJc w:val="left"/>
      <w:pPr>
        <w:ind w:left="1467" w:hanging="567"/>
      </w:pPr>
      <w:rPr>
        <w:rFonts w:hint="default"/>
      </w:rPr>
    </w:lvl>
    <w:lvl w:ilvl="2">
      <w:start w:val="0"/>
      <w:numFmt w:val="bullet"/>
      <w:lvlText w:val="•"/>
      <w:lvlJc w:val="left"/>
      <w:pPr>
        <w:ind w:left="2194" w:hanging="567"/>
      </w:pPr>
      <w:rPr>
        <w:rFonts w:hint="default"/>
      </w:rPr>
    </w:lvl>
    <w:lvl w:ilvl="3">
      <w:start w:val="0"/>
      <w:numFmt w:val="bullet"/>
      <w:lvlText w:val="•"/>
      <w:lvlJc w:val="left"/>
      <w:pPr>
        <w:ind w:left="2921" w:hanging="567"/>
      </w:pPr>
      <w:rPr>
        <w:rFonts w:hint="default"/>
      </w:rPr>
    </w:lvl>
    <w:lvl w:ilvl="4">
      <w:start w:val="0"/>
      <w:numFmt w:val="bullet"/>
      <w:lvlText w:val="•"/>
      <w:lvlJc w:val="left"/>
      <w:pPr>
        <w:ind w:left="3648" w:hanging="567"/>
      </w:pPr>
      <w:rPr>
        <w:rFonts w:hint="default"/>
      </w:rPr>
    </w:lvl>
    <w:lvl w:ilvl="5">
      <w:start w:val="0"/>
      <w:numFmt w:val="bullet"/>
      <w:lvlText w:val="•"/>
      <w:lvlJc w:val="left"/>
      <w:pPr>
        <w:ind w:left="4375" w:hanging="567"/>
      </w:pPr>
      <w:rPr>
        <w:rFonts w:hint="default"/>
      </w:rPr>
    </w:lvl>
    <w:lvl w:ilvl="6">
      <w:start w:val="0"/>
      <w:numFmt w:val="bullet"/>
      <w:lvlText w:val="•"/>
      <w:lvlJc w:val="left"/>
      <w:pPr>
        <w:ind w:left="5102" w:hanging="567"/>
      </w:pPr>
      <w:rPr>
        <w:rFonts w:hint="default"/>
      </w:rPr>
    </w:lvl>
    <w:lvl w:ilvl="7">
      <w:start w:val="0"/>
      <w:numFmt w:val="bullet"/>
      <w:lvlText w:val="•"/>
      <w:lvlJc w:val="left"/>
      <w:pPr>
        <w:ind w:left="5829" w:hanging="567"/>
      </w:pPr>
      <w:rPr>
        <w:rFonts w:hint="default"/>
      </w:rPr>
    </w:lvl>
    <w:lvl w:ilvl="8">
      <w:start w:val="0"/>
      <w:numFmt w:val="bullet"/>
      <w:lvlText w:val="•"/>
      <w:lvlJc w:val="left"/>
      <w:pPr>
        <w:ind w:left="6556" w:hanging="567"/>
      </w:pPr>
      <w:rPr>
        <w:rFonts w:hint="default"/>
      </w:rPr>
    </w:lvl>
  </w:abstractNum>
  <w:abstractNum w:abstractNumId="12">
    <w:multiLevelType w:val="hybridMultilevel"/>
    <w:lvl w:ilvl="0">
      <w:start w:val="1"/>
      <w:numFmt w:val="decimal"/>
      <w:lvlText w:val="（%1）"/>
      <w:lvlJc w:val="left"/>
      <w:pPr>
        <w:ind w:left="747" w:hanging="567"/>
        <w:jc w:val="left"/>
      </w:pPr>
      <w:rPr>
        <w:rFonts w:hint="default" w:ascii="仿宋" w:hAnsi="仿宋" w:eastAsia="仿宋" w:cs="仿宋"/>
        <w:w w:val="100"/>
        <w:sz w:val="21"/>
        <w:szCs w:val="21"/>
      </w:rPr>
    </w:lvl>
    <w:lvl w:ilvl="1">
      <w:start w:val="0"/>
      <w:numFmt w:val="bullet"/>
      <w:lvlText w:val="•"/>
      <w:lvlJc w:val="left"/>
      <w:pPr>
        <w:ind w:left="1467" w:hanging="567"/>
      </w:pPr>
      <w:rPr>
        <w:rFonts w:hint="default"/>
      </w:rPr>
    </w:lvl>
    <w:lvl w:ilvl="2">
      <w:start w:val="0"/>
      <w:numFmt w:val="bullet"/>
      <w:lvlText w:val="•"/>
      <w:lvlJc w:val="left"/>
      <w:pPr>
        <w:ind w:left="2194" w:hanging="567"/>
      </w:pPr>
      <w:rPr>
        <w:rFonts w:hint="default"/>
      </w:rPr>
    </w:lvl>
    <w:lvl w:ilvl="3">
      <w:start w:val="0"/>
      <w:numFmt w:val="bullet"/>
      <w:lvlText w:val="•"/>
      <w:lvlJc w:val="left"/>
      <w:pPr>
        <w:ind w:left="2921" w:hanging="567"/>
      </w:pPr>
      <w:rPr>
        <w:rFonts w:hint="default"/>
      </w:rPr>
    </w:lvl>
    <w:lvl w:ilvl="4">
      <w:start w:val="0"/>
      <w:numFmt w:val="bullet"/>
      <w:lvlText w:val="•"/>
      <w:lvlJc w:val="left"/>
      <w:pPr>
        <w:ind w:left="3648" w:hanging="567"/>
      </w:pPr>
      <w:rPr>
        <w:rFonts w:hint="default"/>
      </w:rPr>
    </w:lvl>
    <w:lvl w:ilvl="5">
      <w:start w:val="0"/>
      <w:numFmt w:val="bullet"/>
      <w:lvlText w:val="•"/>
      <w:lvlJc w:val="left"/>
      <w:pPr>
        <w:ind w:left="4375" w:hanging="567"/>
      </w:pPr>
      <w:rPr>
        <w:rFonts w:hint="default"/>
      </w:rPr>
    </w:lvl>
    <w:lvl w:ilvl="6">
      <w:start w:val="0"/>
      <w:numFmt w:val="bullet"/>
      <w:lvlText w:val="•"/>
      <w:lvlJc w:val="left"/>
      <w:pPr>
        <w:ind w:left="5102" w:hanging="567"/>
      </w:pPr>
      <w:rPr>
        <w:rFonts w:hint="default"/>
      </w:rPr>
    </w:lvl>
    <w:lvl w:ilvl="7">
      <w:start w:val="0"/>
      <w:numFmt w:val="bullet"/>
      <w:lvlText w:val="•"/>
      <w:lvlJc w:val="left"/>
      <w:pPr>
        <w:ind w:left="5829" w:hanging="567"/>
      </w:pPr>
      <w:rPr>
        <w:rFonts w:hint="default"/>
      </w:rPr>
    </w:lvl>
    <w:lvl w:ilvl="8">
      <w:start w:val="0"/>
      <w:numFmt w:val="bullet"/>
      <w:lvlText w:val="•"/>
      <w:lvlJc w:val="left"/>
      <w:pPr>
        <w:ind w:left="6556" w:hanging="567"/>
      </w:pPr>
      <w:rPr>
        <w:rFonts w:hint="default"/>
      </w:rPr>
    </w:lvl>
  </w:abstractNum>
  <w:abstractNum w:abstractNumId="11">
    <w:multiLevelType w:val="hybridMultilevel"/>
    <w:lvl w:ilvl="0">
      <w:start w:val="1"/>
      <w:numFmt w:val="decimal"/>
      <w:lvlText w:val="（%1）"/>
      <w:lvlJc w:val="left"/>
      <w:pPr>
        <w:ind w:left="657" w:hanging="567"/>
        <w:jc w:val="left"/>
      </w:pPr>
      <w:rPr>
        <w:rFonts w:hint="default"/>
        <w:w w:val="100"/>
      </w:rPr>
    </w:lvl>
    <w:lvl w:ilvl="1">
      <w:start w:val="0"/>
      <w:numFmt w:val="bullet"/>
      <w:lvlText w:val="•"/>
      <w:lvlJc w:val="left"/>
      <w:pPr>
        <w:ind w:left="1395" w:hanging="567"/>
      </w:pPr>
      <w:rPr>
        <w:rFonts w:hint="default"/>
      </w:rPr>
    </w:lvl>
    <w:lvl w:ilvl="2">
      <w:start w:val="0"/>
      <w:numFmt w:val="bullet"/>
      <w:lvlText w:val="•"/>
      <w:lvlJc w:val="left"/>
      <w:pPr>
        <w:ind w:left="2131" w:hanging="567"/>
      </w:pPr>
      <w:rPr>
        <w:rFonts w:hint="default"/>
      </w:rPr>
    </w:lvl>
    <w:lvl w:ilvl="3">
      <w:start w:val="0"/>
      <w:numFmt w:val="bullet"/>
      <w:lvlText w:val="•"/>
      <w:lvlJc w:val="left"/>
      <w:pPr>
        <w:ind w:left="2867" w:hanging="567"/>
      </w:pPr>
      <w:rPr>
        <w:rFonts w:hint="default"/>
      </w:rPr>
    </w:lvl>
    <w:lvl w:ilvl="4">
      <w:start w:val="0"/>
      <w:numFmt w:val="bullet"/>
      <w:lvlText w:val="•"/>
      <w:lvlJc w:val="left"/>
      <w:pPr>
        <w:ind w:left="3603" w:hanging="567"/>
      </w:pPr>
      <w:rPr>
        <w:rFonts w:hint="default"/>
      </w:rPr>
    </w:lvl>
    <w:lvl w:ilvl="5">
      <w:start w:val="0"/>
      <w:numFmt w:val="bullet"/>
      <w:lvlText w:val="•"/>
      <w:lvlJc w:val="left"/>
      <w:pPr>
        <w:ind w:left="4339" w:hanging="567"/>
      </w:pPr>
      <w:rPr>
        <w:rFonts w:hint="default"/>
      </w:rPr>
    </w:lvl>
    <w:lvl w:ilvl="6">
      <w:start w:val="0"/>
      <w:numFmt w:val="bullet"/>
      <w:lvlText w:val="•"/>
      <w:lvlJc w:val="left"/>
      <w:pPr>
        <w:ind w:left="5074" w:hanging="567"/>
      </w:pPr>
      <w:rPr>
        <w:rFonts w:hint="default"/>
      </w:rPr>
    </w:lvl>
    <w:lvl w:ilvl="7">
      <w:start w:val="0"/>
      <w:numFmt w:val="bullet"/>
      <w:lvlText w:val="•"/>
      <w:lvlJc w:val="left"/>
      <w:pPr>
        <w:ind w:left="5810" w:hanging="567"/>
      </w:pPr>
      <w:rPr>
        <w:rFonts w:hint="default"/>
      </w:rPr>
    </w:lvl>
    <w:lvl w:ilvl="8">
      <w:start w:val="0"/>
      <w:numFmt w:val="bullet"/>
      <w:lvlText w:val="•"/>
      <w:lvlJc w:val="left"/>
      <w:pPr>
        <w:ind w:left="6546" w:hanging="567"/>
      </w:pPr>
      <w:rPr>
        <w:rFonts w:hint="default"/>
      </w:rPr>
    </w:lvl>
  </w:abstractNum>
  <w:abstractNum w:abstractNumId="10">
    <w:multiLevelType w:val="hybridMultilevel"/>
    <w:lvl w:ilvl="0">
      <w:start w:val="1"/>
      <w:numFmt w:val="decimal"/>
      <w:lvlText w:val="（%1）"/>
      <w:lvlJc w:val="left"/>
      <w:pPr>
        <w:ind w:left="746" w:hanging="567"/>
        <w:jc w:val="left"/>
      </w:pPr>
      <w:rPr>
        <w:rFonts w:hint="default" w:ascii="仿宋" w:hAnsi="仿宋" w:eastAsia="仿宋" w:cs="仿宋"/>
        <w:w w:val="100"/>
        <w:sz w:val="21"/>
        <w:szCs w:val="21"/>
      </w:rPr>
    </w:lvl>
    <w:lvl w:ilvl="1">
      <w:start w:val="0"/>
      <w:numFmt w:val="bullet"/>
      <w:lvlText w:val="•"/>
      <w:lvlJc w:val="left"/>
      <w:pPr>
        <w:ind w:left="1467" w:hanging="567"/>
      </w:pPr>
      <w:rPr>
        <w:rFonts w:hint="default"/>
      </w:rPr>
    </w:lvl>
    <w:lvl w:ilvl="2">
      <w:start w:val="0"/>
      <w:numFmt w:val="bullet"/>
      <w:lvlText w:val="•"/>
      <w:lvlJc w:val="left"/>
      <w:pPr>
        <w:ind w:left="2194" w:hanging="567"/>
      </w:pPr>
      <w:rPr>
        <w:rFonts w:hint="default"/>
      </w:rPr>
    </w:lvl>
    <w:lvl w:ilvl="3">
      <w:start w:val="0"/>
      <w:numFmt w:val="bullet"/>
      <w:lvlText w:val="•"/>
      <w:lvlJc w:val="left"/>
      <w:pPr>
        <w:ind w:left="2921" w:hanging="567"/>
      </w:pPr>
      <w:rPr>
        <w:rFonts w:hint="default"/>
      </w:rPr>
    </w:lvl>
    <w:lvl w:ilvl="4">
      <w:start w:val="0"/>
      <w:numFmt w:val="bullet"/>
      <w:lvlText w:val="•"/>
      <w:lvlJc w:val="left"/>
      <w:pPr>
        <w:ind w:left="3648" w:hanging="567"/>
      </w:pPr>
      <w:rPr>
        <w:rFonts w:hint="default"/>
      </w:rPr>
    </w:lvl>
    <w:lvl w:ilvl="5">
      <w:start w:val="0"/>
      <w:numFmt w:val="bullet"/>
      <w:lvlText w:val="•"/>
      <w:lvlJc w:val="left"/>
      <w:pPr>
        <w:ind w:left="4375" w:hanging="567"/>
      </w:pPr>
      <w:rPr>
        <w:rFonts w:hint="default"/>
      </w:rPr>
    </w:lvl>
    <w:lvl w:ilvl="6">
      <w:start w:val="0"/>
      <w:numFmt w:val="bullet"/>
      <w:lvlText w:val="•"/>
      <w:lvlJc w:val="left"/>
      <w:pPr>
        <w:ind w:left="5102" w:hanging="567"/>
      </w:pPr>
      <w:rPr>
        <w:rFonts w:hint="default"/>
      </w:rPr>
    </w:lvl>
    <w:lvl w:ilvl="7">
      <w:start w:val="0"/>
      <w:numFmt w:val="bullet"/>
      <w:lvlText w:val="•"/>
      <w:lvlJc w:val="left"/>
      <w:pPr>
        <w:ind w:left="5829" w:hanging="567"/>
      </w:pPr>
      <w:rPr>
        <w:rFonts w:hint="default"/>
      </w:rPr>
    </w:lvl>
    <w:lvl w:ilvl="8">
      <w:start w:val="0"/>
      <w:numFmt w:val="bullet"/>
      <w:lvlText w:val="•"/>
      <w:lvlJc w:val="left"/>
      <w:pPr>
        <w:ind w:left="6556" w:hanging="567"/>
      </w:pPr>
      <w:rPr>
        <w:rFonts w:hint="default"/>
      </w:rPr>
    </w:lvl>
  </w:abstractNum>
  <w:abstractNum w:abstractNumId="9">
    <w:multiLevelType w:val="hybridMultilevel"/>
    <w:lvl w:ilvl="0">
      <w:start w:val="1"/>
      <w:numFmt w:val="decimal"/>
      <w:lvlText w:val="（%1）"/>
      <w:lvlJc w:val="left"/>
      <w:pPr>
        <w:ind w:left="747" w:hanging="567"/>
        <w:jc w:val="left"/>
      </w:pPr>
      <w:rPr>
        <w:rFonts w:hint="default" w:ascii="仿宋" w:hAnsi="仿宋" w:eastAsia="仿宋" w:cs="仿宋"/>
        <w:w w:val="100"/>
        <w:sz w:val="21"/>
        <w:szCs w:val="21"/>
      </w:rPr>
    </w:lvl>
    <w:lvl w:ilvl="1">
      <w:start w:val="0"/>
      <w:numFmt w:val="bullet"/>
      <w:lvlText w:val="•"/>
      <w:lvlJc w:val="left"/>
      <w:pPr>
        <w:ind w:left="1467" w:hanging="567"/>
      </w:pPr>
      <w:rPr>
        <w:rFonts w:hint="default"/>
      </w:rPr>
    </w:lvl>
    <w:lvl w:ilvl="2">
      <w:start w:val="0"/>
      <w:numFmt w:val="bullet"/>
      <w:lvlText w:val="•"/>
      <w:lvlJc w:val="left"/>
      <w:pPr>
        <w:ind w:left="2194" w:hanging="567"/>
      </w:pPr>
      <w:rPr>
        <w:rFonts w:hint="default"/>
      </w:rPr>
    </w:lvl>
    <w:lvl w:ilvl="3">
      <w:start w:val="0"/>
      <w:numFmt w:val="bullet"/>
      <w:lvlText w:val="•"/>
      <w:lvlJc w:val="left"/>
      <w:pPr>
        <w:ind w:left="2921" w:hanging="567"/>
      </w:pPr>
      <w:rPr>
        <w:rFonts w:hint="default"/>
      </w:rPr>
    </w:lvl>
    <w:lvl w:ilvl="4">
      <w:start w:val="0"/>
      <w:numFmt w:val="bullet"/>
      <w:lvlText w:val="•"/>
      <w:lvlJc w:val="left"/>
      <w:pPr>
        <w:ind w:left="3648" w:hanging="567"/>
      </w:pPr>
      <w:rPr>
        <w:rFonts w:hint="default"/>
      </w:rPr>
    </w:lvl>
    <w:lvl w:ilvl="5">
      <w:start w:val="0"/>
      <w:numFmt w:val="bullet"/>
      <w:lvlText w:val="•"/>
      <w:lvlJc w:val="left"/>
      <w:pPr>
        <w:ind w:left="4375" w:hanging="567"/>
      </w:pPr>
      <w:rPr>
        <w:rFonts w:hint="default"/>
      </w:rPr>
    </w:lvl>
    <w:lvl w:ilvl="6">
      <w:start w:val="0"/>
      <w:numFmt w:val="bullet"/>
      <w:lvlText w:val="•"/>
      <w:lvlJc w:val="left"/>
      <w:pPr>
        <w:ind w:left="5102" w:hanging="567"/>
      </w:pPr>
      <w:rPr>
        <w:rFonts w:hint="default"/>
      </w:rPr>
    </w:lvl>
    <w:lvl w:ilvl="7">
      <w:start w:val="0"/>
      <w:numFmt w:val="bullet"/>
      <w:lvlText w:val="•"/>
      <w:lvlJc w:val="left"/>
      <w:pPr>
        <w:ind w:left="5829" w:hanging="567"/>
      </w:pPr>
      <w:rPr>
        <w:rFonts w:hint="default"/>
      </w:rPr>
    </w:lvl>
    <w:lvl w:ilvl="8">
      <w:start w:val="0"/>
      <w:numFmt w:val="bullet"/>
      <w:lvlText w:val="•"/>
      <w:lvlJc w:val="left"/>
      <w:pPr>
        <w:ind w:left="6556" w:hanging="567"/>
      </w:pPr>
      <w:rPr>
        <w:rFonts w:hint="default"/>
      </w:rPr>
    </w:lvl>
  </w:abstractNum>
  <w:abstractNum w:abstractNumId="8">
    <w:multiLevelType w:val="hybridMultilevel"/>
    <w:lvl w:ilvl="0">
      <w:start w:val="6"/>
      <w:numFmt w:val="decimal"/>
      <w:lvlText w:val="（%1）"/>
      <w:lvlJc w:val="left"/>
      <w:pPr>
        <w:ind w:left="747" w:hanging="567"/>
        <w:jc w:val="left"/>
      </w:pPr>
      <w:rPr>
        <w:rFonts w:hint="default" w:ascii="仿宋" w:hAnsi="仿宋" w:eastAsia="仿宋" w:cs="仿宋"/>
        <w:w w:val="100"/>
        <w:sz w:val="21"/>
        <w:szCs w:val="21"/>
      </w:rPr>
    </w:lvl>
    <w:lvl w:ilvl="1">
      <w:start w:val="0"/>
      <w:numFmt w:val="bullet"/>
      <w:lvlText w:val="•"/>
      <w:lvlJc w:val="left"/>
      <w:pPr>
        <w:ind w:left="1467" w:hanging="567"/>
      </w:pPr>
      <w:rPr>
        <w:rFonts w:hint="default"/>
      </w:rPr>
    </w:lvl>
    <w:lvl w:ilvl="2">
      <w:start w:val="0"/>
      <w:numFmt w:val="bullet"/>
      <w:lvlText w:val="•"/>
      <w:lvlJc w:val="left"/>
      <w:pPr>
        <w:ind w:left="2194" w:hanging="567"/>
      </w:pPr>
      <w:rPr>
        <w:rFonts w:hint="default"/>
      </w:rPr>
    </w:lvl>
    <w:lvl w:ilvl="3">
      <w:start w:val="0"/>
      <w:numFmt w:val="bullet"/>
      <w:lvlText w:val="•"/>
      <w:lvlJc w:val="left"/>
      <w:pPr>
        <w:ind w:left="2921" w:hanging="567"/>
      </w:pPr>
      <w:rPr>
        <w:rFonts w:hint="default"/>
      </w:rPr>
    </w:lvl>
    <w:lvl w:ilvl="4">
      <w:start w:val="0"/>
      <w:numFmt w:val="bullet"/>
      <w:lvlText w:val="•"/>
      <w:lvlJc w:val="left"/>
      <w:pPr>
        <w:ind w:left="3648" w:hanging="567"/>
      </w:pPr>
      <w:rPr>
        <w:rFonts w:hint="default"/>
      </w:rPr>
    </w:lvl>
    <w:lvl w:ilvl="5">
      <w:start w:val="0"/>
      <w:numFmt w:val="bullet"/>
      <w:lvlText w:val="•"/>
      <w:lvlJc w:val="left"/>
      <w:pPr>
        <w:ind w:left="4375" w:hanging="567"/>
      </w:pPr>
      <w:rPr>
        <w:rFonts w:hint="default"/>
      </w:rPr>
    </w:lvl>
    <w:lvl w:ilvl="6">
      <w:start w:val="0"/>
      <w:numFmt w:val="bullet"/>
      <w:lvlText w:val="•"/>
      <w:lvlJc w:val="left"/>
      <w:pPr>
        <w:ind w:left="5102" w:hanging="567"/>
      </w:pPr>
      <w:rPr>
        <w:rFonts w:hint="default"/>
      </w:rPr>
    </w:lvl>
    <w:lvl w:ilvl="7">
      <w:start w:val="0"/>
      <w:numFmt w:val="bullet"/>
      <w:lvlText w:val="•"/>
      <w:lvlJc w:val="left"/>
      <w:pPr>
        <w:ind w:left="5829" w:hanging="567"/>
      </w:pPr>
      <w:rPr>
        <w:rFonts w:hint="default"/>
      </w:rPr>
    </w:lvl>
    <w:lvl w:ilvl="8">
      <w:start w:val="0"/>
      <w:numFmt w:val="bullet"/>
      <w:lvlText w:val="•"/>
      <w:lvlJc w:val="left"/>
      <w:pPr>
        <w:ind w:left="6556" w:hanging="567"/>
      </w:pPr>
      <w:rPr>
        <w:rFonts w:hint="default"/>
      </w:rPr>
    </w:lvl>
  </w:abstractNum>
  <w:abstractNum w:abstractNumId="7">
    <w:multiLevelType w:val="hybridMultilevel"/>
    <w:lvl w:ilvl="0">
      <w:start w:val="1"/>
      <w:numFmt w:val="decimal"/>
      <w:lvlText w:val="（%1）"/>
      <w:lvlJc w:val="left"/>
      <w:pPr>
        <w:ind w:left="746" w:hanging="567"/>
        <w:jc w:val="left"/>
      </w:pPr>
      <w:rPr>
        <w:rFonts w:hint="default" w:ascii="仿宋" w:hAnsi="仿宋" w:eastAsia="仿宋" w:cs="仿宋"/>
        <w:w w:val="100"/>
        <w:sz w:val="21"/>
        <w:szCs w:val="21"/>
      </w:rPr>
    </w:lvl>
    <w:lvl w:ilvl="1">
      <w:start w:val="0"/>
      <w:numFmt w:val="bullet"/>
      <w:lvlText w:val="•"/>
      <w:lvlJc w:val="left"/>
      <w:pPr>
        <w:ind w:left="1467" w:hanging="567"/>
      </w:pPr>
      <w:rPr>
        <w:rFonts w:hint="default"/>
      </w:rPr>
    </w:lvl>
    <w:lvl w:ilvl="2">
      <w:start w:val="0"/>
      <w:numFmt w:val="bullet"/>
      <w:lvlText w:val="•"/>
      <w:lvlJc w:val="left"/>
      <w:pPr>
        <w:ind w:left="2194" w:hanging="567"/>
      </w:pPr>
      <w:rPr>
        <w:rFonts w:hint="default"/>
      </w:rPr>
    </w:lvl>
    <w:lvl w:ilvl="3">
      <w:start w:val="0"/>
      <w:numFmt w:val="bullet"/>
      <w:lvlText w:val="•"/>
      <w:lvlJc w:val="left"/>
      <w:pPr>
        <w:ind w:left="2921" w:hanging="567"/>
      </w:pPr>
      <w:rPr>
        <w:rFonts w:hint="default"/>
      </w:rPr>
    </w:lvl>
    <w:lvl w:ilvl="4">
      <w:start w:val="0"/>
      <w:numFmt w:val="bullet"/>
      <w:lvlText w:val="•"/>
      <w:lvlJc w:val="left"/>
      <w:pPr>
        <w:ind w:left="3648" w:hanging="567"/>
      </w:pPr>
      <w:rPr>
        <w:rFonts w:hint="default"/>
      </w:rPr>
    </w:lvl>
    <w:lvl w:ilvl="5">
      <w:start w:val="0"/>
      <w:numFmt w:val="bullet"/>
      <w:lvlText w:val="•"/>
      <w:lvlJc w:val="left"/>
      <w:pPr>
        <w:ind w:left="4375" w:hanging="567"/>
      </w:pPr>
      <w:rPr>
        <w:rFonts w:hint="default"/>
      </w:rPr>
    </w:lvl>
    <w:lvl w:ilvl="6">
      <w:start w:val="0"/>
      <w:numFmt w:val="bullet"/>
      <w:lvlText w:val="•"/>
      <w:lvlJc w:val="left"/>
      <w:pPr>
        <w:ind w:left="5102" w:hanging="567"/>
      </w:pPr>
      <w:rPr>
        <w:rFonts w:hint="default"/>
      </w:rPr>
    </w:lvl>
    <w:lvl w:ilvl="7">
      <w:start w:val="0"/>
      <w:numFmt w:val="bullet"/>
      <w:lvlText w:val="•"/>
      <w:lvlJc w:val="left"/>
      <w:pPr>
        <w:ind w:left="5829" w:hanging="567"/>
      </w:pPr>
      <w:rPr>
        <w:rFonts w:hint="default"/>
      </w:rPr>
    </w:lvl>
    <w:lvl w:ilvl="8">
      <w:start w:val="0"/>
      <w:numFmt w:val="bullet"/>
      <w:lvlText w:val="•"/>
      <w:lvlJc w:val="left"/>
      <w:pPr>
        <w:ind w:left="6556" w:hanging="567"/>
      </w:pPr>
      <w:rPr>
        <w:rFonts w:hint="default"/>
      </w:rPr>
    </w:lvl>
  </w:abstractNum>
  <w:abstractNum w:abstractNumId="6">
    <w:multiLevelType w:val="hybridMultilevel"/>
    <w:lvl w:ilvl="0">
      <w:start w:val="7"/>
      <w:numFmt w:val="decimal"/>
      <w:lvlText w:val="%1"/>
      <w:lvlJc w:val="left"/>
      <w:pPr>
        <w:ind w:left="793" w:hanging="420"/>
        <w:jc w:val="left"/>
      </w:pPr>
      <w:rPr>
        <w:rFonts w:hint="default"/>
      </w:rPr>
    </w:lvl>
    <w:lvl w:ilvl="1">
      <w:start w:val="7"/>
      <w:numFmt w:val="decimal"/>
      <w:lvlText w:val="%1.%2"/>
      <w:lvlJc w:val="left"/>
      <w:pPr>
        <w:ind w:left="793" w:hanging="420"/>
        <w:jc w:val="left"/>
      </w:pPr>
      <w:rPr>
        <w:rFonts w:hint="default" w:ascii="仿宋" w:hAnsi="仿宋" w:eastAsia="仿宋" w:cs="仿宋"/>
        <w:w w:val="100"/>
        <w:sz w:val="21"/>
        <w:szCs w:val="21"/>
      </w:rPr>
    </w:lvl>
    <w:lvl w:ilvl="2">
      <w:start w:val="0"/>
      <w:numFmt w:val="bullet"/>
      <w:lvlText w:val="•"/>
      <w:lvlJc w:val="left"/>
      <w:pPr>
        <w:ind w:left="1263" w:hanging="420"/>
      </w:pPr>
      <w:rPr>
        <w:rFonts w:hint="default"/>
      </w:rPr>
    </w:lvl>
    <w:lvl w:ilvl="3">
      <w:start w:val="0"/>
      <w:numFmt w:val="bullet"/>
      <w:lvlText w:val="•"/>
      <w:lvlJc w:val="left"/>
      <w:pPr>
        <w:ind w:left="1494" w:hanging="420"/>
      </w:pPr>
      <w:rPr>
        <w:rFonts w:hint="default"/>
      </w:rPr>
    </w:lvl>
    <w:lvl w:ilvl="4">
      <w:start w:val="0"/>
      <w:numFmt w:val="bullet"/>
      <w:lvlText w:val="•"/>
      <w:lvlJc w:val="left"/>
      <w:pPr>
        <w:ind w:left="1726" w:hanging="420"/>
      </w:pPr>
      <w:rPr>
        <w:rFonts w:hint="default"/>
      </w:rPr>
    </w:lvl>
    <w:lvl w:ilvl="5">
      <w:start w:val="0"/>
      <w:numFmt w:val="bullet"/>
      <w:lvlText w:val="•"/>
      <w:lvlJc w:val="left"/>
      <w:pPr>
        <w:ind w:left="1958" w:hanging="420"/>
      </w:pPr>
      <w:rPr>
        <w:rFonts w:hint="default"/>
      </w:rPr>
    </w:lvl>
    <w:lvl w:ilvl="6">
      <w:start w:val="0"/>
      <w:numFmt w:val="bullet"/>
      <w:lvlText w:val="•"/>
      <w:lvlJc w:val="left"/>
      <w:pPr>
        <w:ind w:left="2189" w:hanging="420"/>
      </w:pPr>
      <w:rPr>
        <w:rFonts w:hint="default"/>
      </w:rPr>
    </w:lvl>
    <w:lvl w:ilvl="7">
      <w:start w:val="0"/>
      <w:numFmt w:val="bullet"/>
      <w:lvlText w:val="•"/>
      <w:lvlJc w:val="left"/>
      <w:pPr>
        <w:ind w:left="2421" w:hanging="420"/>
      </w:pPr>
      <w:rPr>
        <w:rFonts w:hint="default"/>
      </w:rPr>
    </w:lvl>
    <w:lvl w:ilvl="8">
      <w:start w:val="0"/>
      <w:numFmt w:val="bullet"/>
      <w:lvlText w:val="•"/>
      <w:lvlJc w:val="left"/>
      <w:pPr>
        <w:ind w:left="2652" w:hanging="420"/>
      </w:pPr>
      <w:rPr>
        <w:rFonts w:hint="default"/>
      </w:rPr>
    </w:lvl>
  </w:abstractNum>
  <w:abstractNum w:abstractNumId="5">
    <w:multiLevelType w:val="hybridMultilevel"/>
    <w:lvl w:ilvl="0">
      <w:start w:val="7"/>
      <w:numFmt w:val="decimal"/>
      <w:lvlText w:val="%1"/>
      <w:lvlJc w:val="left"/>
      <w:pPr>
        <w:ind w:left="949" w:hanging="420"/>
        <w:jc w:val="left"/>
      </w:pPr>
      <w:rPr>
        <w:rFonts w:hint="default"/>
      </w:rPr>
    </w:lvl>
    <w:lvl w:ilvl="1">
      <w:start w:val="1"/>
      <w:numFmt w:val="decimal"/>
      <w:lvlText w:val="%1.%2"/>
      <w:lvlJc w:val="left"/>
      <w:pPr>
        <w:ind w:left="949" w:hanging="420"/>
        <w:jc w:val="left"/>
      </w:pPr>
      <w:rPr>
        <w:rFonts w:hint="default" w:ascii="仿宋" w:hAnsi="仿宋" w:eastAsia="仿宋" w:cs="仿宋"/>
        <w:w w:val="100"/>
        <w:sz w:val="21"/>
        <w:szCs w:val="21"/>
      </w:rPr>
    </w:lvl>
    <w:lvl w:ilvl="2">
      <w:start w:val="0"/>
      <w:numFmt w:val="bullet"/>
      <w:lvlText w:val="•"/>
      <w:lvlJc w:val="left"/>
      <w:pPr>
        <w:ind w:left="1395" w:hanging="420"/>
      </w:pPr>
      <w:rPr>
        <w:rFonts w:hint="default"/>
      </w:rPr>
    </w:lvl>
    <w:lvl w:ilvl="3">
      <w:start w:val="0"/>
      <w:numFmt w:val="bullet"/>
      <w:lvlText w:val="•"/>
      <w:lvlJc w:val="left"/>
      <w:pPr>
        <w:ind w:left="1623" w:hanging="420"/>
      </w:pPr>
      <w:rPr>
        <w:rFonts w:hint="default"/>
      </w:rPr>
    </w:lvl>
    <w:lvl w:ilvl="4">
      <w:start w:val="0"/>
      <w:numFmt w:val="bullet"/>
      <w:lvlText w:val="•"/>
      <w:lvlJc w:val="left"/>
      <w:pPr>
        <w:ind w:left="1851" w:hanging="420"/>
      </w:pPr>
      <w:rPr>
        <w:rFonts w:hint="default"/>
      </w:rPr>
    </w:lvl>
    <w:lvl w:ilvl="5">
      <w:start w:val="0"/>
      <w:numFmt w:val="bullet"/>
      <w:lvlText w:val="•"/>
      <w:lvlJc w:val="left"/>
      <w:pPr>
        <w:ind w:left="2079" w:hanging="420"/>
      </w:pPr>
      <w:rPr>
        <w:rFonts w:hint="default"/>
      </w:rPr>
    </w:lvl>
    <w:lvl w:ilvl="6">
      <w:start w:val="0"/>
      <w:numFmt w:val="bullet"/>
      <w:lvlText w:val="•"/>
      <w:lvlJc w:val="left"/>
      <w:pPr>
        <w:ind w:left="2306" w:hanging="420"/>
      </w:pPr>
      <w:rPr>
        <w:rFonts w:hint="default"/>
      </w:rPr>
    </w:lvl>
    <w:lvl w:ilvl="7">
      <w:start w:val="0"/>
      <w:numFmt w:val="bullet"/>
      <w:lvlText w:val="•"/>
      <w:lvlJc w:val="left"/>
      <w:pPr>
        <w:ind w:left="2534" w:hanging="420"/>
      </w:pPr>
      <w:rPr>
        <w:rFonts w:hint="default"/>
      </w:rPr>
    </w:lvl>
    <w:lvl w:ilvl="8">
      <w:start w:val="0"/>
      <w:numFmt w:val="bullet"/>
      <w:lvlText w:val="•"/>
      <w:lvlJc w:val="left"/>
      <w:pPr>
        <w:ind w:left="2762" w:hanging="420"/>
      </w:pPr>
      <w:rPr>
        <w:rFonts w:hint="default"/>
      </w:rPr>
    </w:lvl>
  </w:abstractNum>
  <w:abstractNum w:abstractNumId="4">
    <w:multiLevelType w:val="hybridMultilevel"/>
    <w:lvl w:ilvl="0">
      <w:start w:val="6"/>
      <w:numFmt w:val="decimal"/>
      <w:lvlText w:val="%1"/>
      <w:lvlJc w:val="left"/>
      <w:pPr>
        <w:ind w:left="949" w:hanging="420"/>
        <w:jc w:val="left"/>
      </w:pPr>
      <w:rPr>
        <w:rFonts w:hint="default"/>
      </w:rPr>
    </w:lvl>
    <w:lvl w:ilvl="1">
      <w:start w:val="1"/>
      <w:numFmt w:val="decimal"/>
      <w:lvlText w:val="%1.%2"/>
      <w:lvlJc w:val="left"/>
      <w:pPr>
        <w:ind w:left="949" w:hanging="420"/>
        <w:jc w:val="left"/>
      </w:pPr>
      <w:rPr>
        <w:rFonts w:hint="default" w:ascii="仿宋" w:hAnsi="仿宋" w:eastAsia="仿宋" w:cs="仿宋"/>
        <w:w w:val="100"/>
        <w:sz w:val="21"/>
        <w:szCs w:val="21"/>
      </w:rPr>
    </w:lvl>
    <w:lvl w:ilvl="2">
      <w:start w:val="0"/>
      <w:numFmt w:val="bullet"/>
      <w:lvlText w:val="•"/>
      <w:lvlJc w:val="left"/>
      <w:pPr>
        <w:ind w:left="1395" w:hanging="420"/>
      </w:pPr>
      <w:rPr>
        <w:rFonts w:hint="default"/>
      </w:rPr>
    </w:lvl>
    <w:lvl w:ilvl="3">
      <w:start w:val="0"/>
      <w:numFmt w:val="bullet"/>
      <w:lvlText w:val="•"/>
      <w:lvlJc w:val="left"/>
      <w:pPr>
        <w:ind w:left="1623" w:hanging="420"/>
      </w:pPr>
      <w:rPr>
        <w:rFonts w:hint="default"/>
      </w:rPr>
    </w:lvl>
    <w:lvl w:ilvl="4">
      <w:start w:val="0"/>
      <w:numFmt w:val="bullet"/>
      <w:lvlText w:val="•"/>
      <w:lvlJc w:val="left"/>
      <w:pPr>
        <w:ind w:left="1851" w:hanging="420"/>
      </w:pPr>
      <w:rPr>
        <w:rFonts w:hint="default"/>
      </w:rPr>
    </w:lvl>
    <w:lvl w:ilvl="5">
      <w:start w:val="0"/>
      <w:numFmt w:val="bullet"/>
      <w:lvlText w:val="•"/>
      <w:lvlJc w:val="left"/>
      <w:pPr>
        <w:ind w:left="2079" w:hanging="420"/>
      </w:pPr>
      <w:rPr>
        <w:rFonts w:hint="default"/>
      </w:rPr>
    </w:lvl>
    <w:lvl w:ilvl="6">
      <w:start w:val="0"/>
      <w:numFmt w:val="bullet"/>
      <w:lvlText w:val="•"/>
      <w:lvlJc w:val="left"/>
      <w:pPr>
        <w:ind w:left="2306" w:hanging="420"/>
      </w:pPr>
      <w:rPr>
        <w:rFonts w:hint="default"/>
      </w:rPr>
    </w:lvl>
    <w:lvl w:ilvl="7">
      <w:start w:val="0"/>
      <w:numFmt w:val="bullet"/>
      <w:lvlText w:val="•"/>
      <w:lvlJc w:val="left"/>
      <w:pPr>
        <w:ind w:left="2534" w:hanging="420"/>
      </w:pPr>
      <w:rPr>
        <w:rFonts w:hint="default"/>
      </w:rPr>
    </w:lvl>
    <w:lvl w:ilvl="8">
      <w:start w:val="0"/>
      <w:numFmt w:val="bullet"/>
      <w:lvlText w:val="•"/>
      <w:lvlJc w:val="left"/>
      <w:pPr>
        <w:ind w:left="2762" w:hanging="420"/>
      </w:pPr>
      <w:rPr>
        <w:rFonts w:hint="default"/>
      </w:rPr>
    </w:lvl>
  </w:abstractNum>
  <w:abstractNum w:abstractNumId="3">
    <w:multiLevelType w:val="hybridMultilevel"/>
    <w:lvl w:ilvl="0">
      <w:start w:val="3"/>
      <w:numFmt w:val="decimal"/>
      <w:lvlText w:val="%1"/>
      <w:lvlJc w:val="left"/>
      <w:pPr>
        <w:ind w:left="739" w:hanging="420"/>
        <w:jc w:val="left"/>
      </w:pPr>
      <w:rPr>
        <w:rFonts w:hint="default"/>
      </w:rPr>
    </w:lvl>
    <w:lvl w:ilvl="1">
      <w:start w:val="1"/>
      <w:numFmt w:val="decimal"/>
      <w:lvlText w:val="%1.%2"/>
      <w:lvlJc w:val="left"/>
      <w:pPr>
        <w:ind w:left="739" w:hanging="420"/>
        <w:jc w:val="left"/>
      </w:pPr>
      <w:rPr>
        <w:rFonts w:hint="default" w:ascii="仿宋" w:hAnsi="仿宋" w:eastAsia="仿宋" w:cs="仿宋"/>
        <w:w w:val="100"/>
        <w:sz w:val="21"/>
        <w:szCs w:val="21"/>
      </w:rPr>
    </w:lvl>
    <w:lvl w:ilvl="2">
      <w:start w:val="0"/>
      <w:numFmt w:val="bullet"/>
      <w:lvlText w:val="•"/>
      <w:lvlJc w:val="left"/>
      <w:pPr>
        <w:ind w:left="1162" w:hanging="420"/>
      </w:pPr>
      <w:rPr>
        <w:rFonts w:hint="default"/>
      </w:rPr>
    </w:lvl>
    <w:lvl w:ilvl="3">
      <w:start w:val="0"/>
      <w:numFmt w:val="bullet"/>
      <w:lvlText w:val="•"/>
      <w:lvlJc w:val="left"/>
      <w:pPr>
        <w:ind w:left="1373" w:hanging="420"/>
      </w:pPr>
      <w:rPr>
        <w:rFonts w:hint="default"/>
      </w:rPr>
    </w:lvl>
    <w:lvl w:ilvl="4">
      <w:start w:val="0"/>
      <w:numFmt w:val="bullet"/>
      <w:lvlText w:val="•"/>
      <w:lvlJc w:val="left"/>
      <w:pPr>
        <w:ind w:left="1585" w:hanging="420"/>
      </w:pPr>
      <w:rPr>
        <w:rFonts w:hint="default"/>
      </w:rPr>
    </w:lvl>
    <w:lvl w:ilvl="5">
      <w:start w:val="0"/>
      <w:numFmt w:val="bullet"/>
      <w:lvlText w:val="•"/>
      <w:lvlJc w:val="left"/>
      <w:pPr>
        <w:ind w:left="1796" w:hanging="420"/>
      </w:pPr>
      <w:rPr>
        <w:rFonts w:hint="default"/>
      </w:rPr>
    </w:lvl>
    <w:lvl w:ilvl="6">
      <w:start w:val="0"/>
      <w:numFmt w:val="bullet"/>
      <w:lvlText w:val="•"/>
      <w:lvlJc w:val="left"/>
      <w:pPr>
        <w:ind w:left="2007" w:hanging="420"/>
      </w:pPr>
      <w:rPr>
        <w:rFonts w:hint="default"/>
      </w:rPr>
    </w:lvl>
    <w:lvl w:ilvl="7">
      <w:start w:val="0"/>
      <w:numFmt w:val="bullet"/>
      <w:lvlText w:val="•"/>
      <w:lvlJc w:val="left"/>
      <w:pPr>
        <w:ind w:left="2219" w:hanging="420"/>
      </w:pPr>
      <w:rPr>
        <w:rFonts w:hint="default"/>
      </w:rPr>
    </w:lvl>
    <w:lvl w:ilvl="8">
      <w:start w:val="0"/>
      <w:numFmt w:val="bullet"/>
      <w:lvlText w:val="•"/>
      <w:lvlJc w:val="left"/>
      <w:pPr>
        <w:ind w:left="2430" w:hanging="420"/>
      </w:pPr>
      <w:rPr>
        <w:rFonts w:hint="default"/>
      </w:rPr>
    </w:lvl>
  </w:abstractNum>
  <w:abstractNum w:abstractNumId="2">
    <w:multiLevelType w:val="hybridMultilevel"/>
    <w:lvl w:ilvl="0">
      <w:start w:val="2"/>
      <w:numFmt w:val="decimal"/>
      <w:lvlText w:val="%1"/>
      <w:lvlJc w:val="left"/>
      <w:pPr>
        <w:ind w:left="739" w:hanging="420"/>
        <w:jc w:val="left"/>
      </w:pPr>
      <w:rPr>
        <w:rFonts w:hint="default"/>
      </w:rPr>
    </w:lvl>
    <w:lvl w:ilvl="1">
      <w:start w:val="1"/>
      <w:numFmt w:val="decimal"/>
      <w:lvlText w:val="%1.%2"/>
      <w:lvlJc w:val="left"/>
      <w:pPr>
        <w:ind w:left="739" w:hanging="420"/>
        <w:jc w:val="left"/>
      </w:pPr>
      <w:rPr>
        <w:rFonts w:hint="default" w:ascii="仿宋" w:hAnsi="仿宋" w:eastAsia="仿宋" w:cs="仿宋"/>
        <w:w w:val="100"/>
        <w:sz w:val="21"/>
        <w:szCs w:val="21"/>
      </w:rPr>
    </w:lvl>
    <w:lvl w:ilvl="2">
      <w:start w:val="0"/>
      <w:numFmt w:val="bullet"/>
      <w:lvlText w:val="•"/>
      <w:lvlJc w:val="left"/>
      <w:pPr>
        <w:ind w:left="1162" w:hanging="420"/>
      </w:pPr>
      <w:rPr>
        <w:rFonts w:hint="default"/>
      </w:rPr>
    </w:lvl>
    <w:lvl w:ilvl="3">
      <w:start w:val="0"/>
      <w:numFmt w:val="bullet"/>
      <w:lvlText w:val="•"/>
      <w:lvlJc w:val="left"/>
      <w:pPr>
        <w:ind w:left="1373" w:hanging="420"/>
      </w:pPr>
      <w:rPr>
        <w:rFonts w:hint="default"/>
      </w:rPr>
    </w:lvl>
    <w:lvl w:ilvl="4">
      <w:start w:val="0"/>
      <w:numFmt w:val="bullet"/>
      <w:lvlText w:val="•"/>
      <w:lvlJc w:val="left"/>
      <w:pPr>
        <w:ind w:left="1585" w:hanging="420"/>
      </w:pPr>
      <w:rPr>
        <w:rFonts w:hint="default"/>
      </w:rPr>
    </w:lvl>
    <w:lvl w:ilvl="5">
      <w:start w:val="0"/>
      <w:numFmt w:val="bullet"/>
      <w:lvlText w:val="•"/>
      <w:lvlJc w:val="left"/>
      <w:pPr>
        <w:ind w:left="1796" w:hanging="420"/>
      </w:pPr>
      <w:rPr>
        <w:rFonts w:hint="default"/>
      </w:rPr>
    </w:lvl>
    <w:lvl w:ilvl="6">
      <w:start w:val="0"/>
      <w:numFmt w:val="bullet"/>
      <w:lvlText w:val="•"/>
      <w:lvlJc w:val="left"/>
      <w:pPr>
        <w:ind w:left="2007" w:hanging="420"/>
      </w:pPr>
      <w:rPr>
        <w:rFonts w:hint="default"/>
      </w:rPr>
    </w:lvl>
    <w:lvl w:ilvl="7">
      <w:start w:val="0"/>
      <w:numFmt w:val="bullet"/>
      <w:lvlText w:val="•"/>
      <w:lvlJc w:val="left"/>
      <w:pPr>
        <w:ind w:left="2219" w:hanging="420"/>
      </w:pPr>
      <w:rPr>
        <w:rFonts w:hint="default"/>
      </w:rPr>
    </w:lvl>
    <w:lvl w:ilvl="8">
      <w:start w:val="0"/>
      <w:numFmt w:val="bullet"/>
      <w:lvlText w:val="•"/>
      <w:lvlJc w:val="left"/>
      <w:pPr>
        <w:ind w:left="2430" w:hanging="420"/>
      </w:pPr>
      <w:rPr>
        <w:rFonts w:hint="default"/>
      </w:rPr>
    </w:lvl>
  </w:abstractNum>
  <w:abstractNum w:abstractNumId="1">
    <w:multiLevelType w:val="hybridMultilevel"/>
    <w:lvl w:ilvl="0">
      <w:start w:val="1"/>
      <w:numFmt w:val="decimal"/>
      <w:lvlText w:val="%1"/>
      <w:lvlJc w:val="left"/>
      <w:pPr>
        <w:ind w:left="739" w:hanging="420"/>
        <w:jc w:val="left"/>
      </w:pPr>
      <w:rPr>
        <w:rFonts w:hint="default"/>
      </w:rPr>
    </w:lvl>
    <w:lvl w:ilvl="1">
      <w:start w:val="1"/>
      <w:numFmt w:val="decimal"/>
      <w:lvlText w:val="%1.%2"/>
      <w:lvlJc w:val="left"/>
      <w:pPr>
        <w:ind w:left="739" w:hanging="420"/>
        <w:jc w:val="left"/>
      </w:pPr>
      <w:rPr>
        <w:rFonts w:hint="default" w:ascii="仿宋" w:hAnsi="仿宋" w:eastAsia="仿宋" w:cs="仿宋"/>
        <w:w w:val="100"/>
        <w:sz w:val="21"/>
        <w:szCs w:val="21"/>
      </w:rPr>
    </w:lvl>
    <w:lvl w:ilvl="2">
      <w:start w:val="0"/>
      <w:numFmt w:val="bullet"/>
      <w:lvlText w:val="•"/>
      <w:lvlJc w:val="left"/>
      <w:pPr>
        <w:ind w:left="1162" w:hanging="420"/>
      </w:pPr>
      <w:rPr>
        <w:rFonts w:hint="default"/>
      </w:rPr>
    </w:lvl>
    <w:lvl w:ilvl="3">
      <w:start w:val="0"/>
      <w:numFmt w:val="bullet"/>
      <w:lvlText w:val="•"/>
      <w:lvlJc w:val="left"/>
      <w:pPr>
        <w:ind w:left="1373" w:hanging="420"/>
      </w:pPr>
      <w:rPr>
        <w:rFonts w:hint="default"/>
      </w:rPr>
    </w:lvl>
    <w:lvl w:ilvl="4">
      <w:start w:val="0"/>
      <w:numFmt w:val="bullet"/>
      <w:lvlText w:val="•"/>
      <w:lvlJc w:val="left"/>
      <w:pPr>
        <w:ind w:left="1585" w:hanging="420"/>
      </w:pPr>
      <w:rPr>
        <w:rFonts w:hint="default"/>
      </w:rPr>
    </w:lvl>
    <w:lvl w:ilvl="5">
      <w:start w:val="0"/>
      <w:numFmt w:val="bullet"/>
      <w:lvlText w:val="•"/>
      <w:lvlJc w:val="left"/>
      <w:pPr>
        <w:ind w:left="1796" w:hanging="420"/>
      </w:pPr>
      <w:rPr>
        <w:rFonts w:hint="default"/>
      </w:rPr>
    </w:lvl>
    <w:lvl w:ilvl="6">
      <w:start w:val="0"/>
      <w:numFmt w:val="bullet"/>
      <w:lvlText w:val="•"/>
      <w:lvlJc w:val="left"/>
      <w:pPr>
        <w:ind w:left="2007" w:hanging="420"/>
      </w:pPr>
      <w:rPr>
        <w:rFonts w:hint="default"/>
      </w:rPr>
    </w:lvl>
    <w:lvl w:ilvl="7">
      <w:start w:val="0"/>
      <w:numFmt w:val="bullet"/>
      <w:lvlText w:val="•"/>
      <w:lvlJc w:val="left"/>
      <w:pPr>
        <w:ind w:left="2219" w:hanging="420"/>
      </w:pPr>
      <w:rPr>
        <w:rFonts w:hint="default"/>
      </w:rPr>
    </w:lvl>
    <w:lvl w:ilvl="8">
      <w:start w:val="0"/>
      <w:numFmt w:val="bullet"/>
      <w:lvlText w:val="•"/>
      <w:lvlJc w:val="left"/>
      <w:pPr>
        <w:ind w:left="2430" w:hanging="420"/>
      </w:pPr>
      <w:rPr>
        <w:rFonts w:hint="default"/>
      </w:rPr>
    </w:lvl>
  </w:abstractNum>
  <w:abstractNum w:abstractNumId="0">
    <w:multiLevelType w:val="hybridMultilevel"/>
    <w:lvl w:ilvl="0">
      <w:start w:val="0"/>
      <w:numFmt w:val="bullet"/>
      <w:lvlText w:val=""/>
      <w:lvlJc w:val="left"/>
      <w:pPr>
        <w:ind w:left="1632" w:hanging="420"/>
      </w:pPr>
      <w:rPr>
        <w:rFonts w:hint="default" w:ascii="Wingdings" w:hAnsi="Wingdings" w:eastAsia="Wingdings" w:cs="Wingdings"/>
        <w:w w:val="100"/>
        <w:sz w:val="21"/>
        <w:szCs w:val="21"/>
      </w:rPr>
    </w:lvl>
    <w:lvl w:ilvl="1">
      <w:start w:val="0"/>
      <w:numFmt w:val="bullet"/>
      <w:lvlText w:val="•"/>
      <w:lvlJc w:val="left"/>
      <w:pPr>
        <w:ind w:left="2522" w:hanging="420"/>
      </w:pPr>
      <w:rPr>
        <w:rFonts w:hint="default"/>
      </w:rPr>
    </w:lvl>
    <w:lvl w:ilvl="2">
      <w:start w:val="0"/>
      <w:numFmt w:val="bullet"/>
      <w:lvlText w:val="•"/>
      <w:lvlJc w:val="left"/>
      <w:pPr>
        <w:ind w:left="3405" w:hanging="420"/>
      </w:pPr>
      <w:rPr>
        <w:rFonts w:hint="default"/>
      </w:rPr>
    </w:lvl>
    <w:lvl w:ilvl="3">
      <w:start w:val="0"/>
      <w:numFmt w:val="bullet"/>
      <w:lvlText w:val="•"/>
      <w:lvlJc w:val="left"/>
      <w:pPr>
        <w:ind w:left="4287" w:hanging="420"/>
      </w:pPr>
      <w:rPr>
        <w:rFonts w:hint="default"/>
      </w:rPr>
    </w:lvl>
    <w:lvl w:ilvl="4">
      <w:start w:val="0"/>
      <w:numFmt w:val="bullet"/>
      <w:lvlText w:val="•"/>
      <w:lvlJc w:val="left"/>
      <w:pPr>
        <w:ind w:left="5170" w:hanging="420"/>
      </w:pPr>
      <w:rPr>
        <w:rFonts w:hint="default"/>
      </w:rPr>
    </w:lvl>
    <w:lvl w:ilvl="5">
      <w:start w:val="0"/>
      <w:numFmt w:val="bullet"/>
      <w:lvlText w:val="•"/>
      <w:lvlJc w:val="left"/>
      <w:pPr>
        <w:ind w:left="6053" w:hanging="420"/>
      </w:pPr>
      <w:rPr>
        <w:rFonts w:hint="default"/>
      </w:rPr>
    </w:lvl>
    <w:lvl w:ilvl="6">
      <w:start w:val="0"/>
      <w:numFmt w:val="bullet"/>
      <w:lvlText w:val="•"/>
      <w:lvlJc w:val="left"/>
      <w:pPr>
        <w:ind w:left="6935" w:hanging="420"/>
      </w:pPr>
      <w:rPr>
        <w:rFonts w:hint="default"/>
      </w:rPr>
    </w:lvl>
    <w:lvl w:ilvl="7">
      <w:start w:val="0"/>
      <w:numFmt w:val="bullet"/>
      <w:lvlText w:val="•"/>
      <w:lvlJc w:val="left"/>
      <w:pPr>
        <w:ind w:left="7818" w:hanging="420"/>
      </w:pPr>
      <w:rPr>
        <w:rFonts w:hint="default"/>
      </w:rPr>
    </w:lvl>
    <w:lvl w:ilvl="8">
      <w:start w:val="0"/>
      <w:numFmt w:val="bullet"/>
      <w:lvlText w:val="•"/>
      <w:lvlJc w:val="left"/>
      <w:pPr>
        <w:ind w:left="8701" w:hanging="420"/>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仿宋" w:hAnsi="仿宋" w:eastAsia="仿宋" w:cs="仿宋"/>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66"/>
      <w:ind w:left="3225" w:hanging="1044"/>
      <w:outlineLvl w:val="1"/>
    </w:pPr>
    <w:rPr>
      <w:rFonts w:ascii="仿宋" w:hAnsi="仿宋" w:eastAsia="仿宋" w:cs="仿宋"/>
      <w:b/>
      <w:bCs/>
      <w:sz w:val="32"/>
      <w:szCs w:val="32"/>
    </w:rPr>
  </w:style>
  <w:style w:styleId="ListParagraph" w:type="paragraph">
    <w:name w:val="List Paragraph"/>
    <w:basedOn w:val="Normal"/>
    <w:uiPriority w:val="1"/>
    <w:qFormat/>
    <w:pPr>
      <w:spacing w:before="84"/>
      <w:ind w:left="1632" w:hanging="420"/>
    </w:pPr>
    <w:rPr>
      <w:rFonts w:ascii="仿宋" w:hAnsi="仿宋" w:eastAsia="仿宋" w:cs="仿宋"/>
    </w:rPr>
  </w:style>
  <w:style w:styleId="TableParagraph" w:type="paragraph">
    <w:name w:val="Table Paragraph"/>
    <w:basedOn w:val="Normal"/>
    <w:uiPriority w:val="1"/>
    <w:qFormat/>
    <w:pPr>
      <w:spacing w:before="99"/>
      <w:ind w:left="88"/>
    </w:pPr>
    <w:rPr>
      <w:rFonts w:ascii="仿宋" w:hAnsi="仿宋" w:eastAsia="仿宋" w:cs="仿宋"/>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zangsr</dc:creator>
  <dc:title>正德人寿保险股份有限公司条款</dc:title>
  <dcterms:created xsi:type="dcterms:W3CDTF">2018-10-19T23:49:00Z</dcterms:created>
  <dcterms:modified xsi:type="dcterms:W3CDTF">2018-10-19T23:49:00Z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2015-08-20T00:00:00Z</vt:filetime>
  </property>
  <property fmtid="{D5CDD505-2E9C-101B-9397-08002B2CF9AE}" pid="3" name="Creator">
    <vt:lpwstr>Microsoft® Word 2010</vt:lpwstr>
  </property>
  <property fmtid="{D5CDD505-2E9C-101B-9397-08002B2CF9AE}" pid="4" name="LastSaved">
    <vt:filetime>2018-10-19T00:00:00Z</vt:filetime>
  </property>
</Properties>
</file>