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after="16"/>
        <w:ind w:right="119"/>
        <w:jc w:val="right"/>
      </w:pPr>
      <w:r>
        <w:rPr/>
        <w:t>中意人寿[2011]疾病保险 023 号</w:t>
      </w:r>
    </w:p>
    <w:p>
      <w:pPr>
        <w:tabs>
          <w:tab w:pos="8068" w:val="left" w:leader="none"/>
        </w:tabs>
        <w:spacing w:line="240" w:lineRule="auto"/>
        <w:ind w:left="242" w:right="0" w:firstLine="0"/>
        <w:rPr>
          <w:sz w:val="20"/>
        </w:rPr>
      </w:pPr>
      <w:r>
        <w:rPr>
          <w:position w:val="3"/>
          <w:sz w:val="20"/>
        </w:rPr>
        <w:drawing>
          <wp:inline distT="0" distB="0" distL="0" distR="0">
            <wp:extent cx="1351160" cy="45424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51160" cy="454247"/>
                    </a:xfrm>
                    <a:prstGeom prst="rect">
                      <a:avLst/>
                    </a:prstGeom>
                  </pic:spPr>
                </pic:pic>
              </a:graphicData>
            </a:graphic>
          </wp:inline>
        </w:drawing>
      </w:r>
      <w:r>
        <w:rPr>
          <w:position w:val="3"/>
          <w:sz w:val="20"/>
        </w:rPr>
      </w:r>
      <w:r>
        <w:rPr>
          <w:position w:val="3"/>
          <w:sz w:val="20"/>
        </w:rPr>
        <w:tab/>
      </w:r>
      <w:r>
        <w:rPr>
          <w:sz w:val="20"/>
        </w:rPr>
        <w:drawing>
          <wp:inline distT="0" distB="0" distL="0" distR="0">
            <wp:extent cx="723900"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900" cy="723900"/>
                    </a:xfrm>
                    <a:prstGeom prst="rect">
                      <a:avLst/>
                    </a:prstGeom>
                  </pic:spPr>
                </pic:pic>
              </a:graphicData>
            </a:graphic>
          </wp:inline>
        </w:drawing>
      </w:r>
      <w:r>
        <w:rPr>
          <w:sz w:val="20"/>
        </w:rPr>
      </w:r>
    </w:p>
    <w:p>
      <w:pPr>
        <w:spacing w:after="0" w:line="240" w:lineRule="auto"/>
        <w:rPr>
          <w:sz w:val="20"/>
        </w:rPr>
        <w:sectPr>
          <w:type w:val="continuous"/>
          <w:pgSz w:w="11900" w:h="16840"/>
          <w:pgMar w:top="160" w:bottom="280" w:left="1460" w:right="220"/>
        </w:sectPr>
      </w:pPr>
    </w:p>
    <w:p>
      <w:pPr>
        <w:pStyle w:val="BodyText"/>
        <w:spacing w:before="11"/>
        <w:rPr>
          <w:sz w:val="28"/>
        </w:rPr>
      </w:pPr>
    </w:p>
    <w:p>
      <w:pPr>
        <w:pStyle w:val="Heading1"/>
        <w:jc w:val="right"/>
      </w:pPr>
      <w:r>
        <w:rPr/>
        <w:t>阅 读 提 示</w:t>
      </w:r>
    </w:p>
    <w:p>
      <w:pPr>
        <w:pStyle w:val="BodyText"/>
        <w:spacing w:line="224" w:lineRule="exact"/>
        <w:ind w:left="242"/>
      </w:pPr>
      <w:r>
        <w:rPr/>
        <w:br w:type="column"/>
      </w:r>
      <w:r>
        <w:rPr/>
        <w:t>请扫描以查询验证条款</w:t>
      </w:r>
    </w:p>
    <w:p>
      <w:pPr>
        <w:spacing w:after="0" w:line="224" w:lineRule="exact"/>
        <w:sectPr>
          <w:type w:val="continuous"/>
          <w:pgSz w:w="11900" w:h="16840"/>
          <w:pgMar w:top="160" w:bottom="280" w:left="1460" w:right="220"/>
          <w:cols w:num="2" w:equalWidth="0">
            <w:col w:w="5541" w:space="1807"/>
            <w:col w:w="2872"/>
          </w:cols>
        </w:sectPr>
      </w:pPr>
    </w:p>
    <w:p>
      <w:pPr>
        <w:pStyle w:val="BodyText"/>
        <w:rPr>
          <w:sz w:val="20"/>
        </w:rPr>
      </w:pPr>
    </w:p>
    <w:p>
      <w:pPr>
        <w:pStyle w:val="BodyText"/>
        <w:spacing w:before="4"/>
        <w:rPr>
          <w:sz w:val="14"/>
        </w:rPr>
      </w:pPr>
    </w:p>
    <w:p>
      <w:pPr>
        <w:pStyle w:val="Heading3"/>
        <w:spacing w:before="1"/>
        <w:ind w:left="1055" w:right="1713"/>
        <w:jc w:val="center"/>
      </w:pPr>
      <w:r>
        <w:rPr>
          <w:w w:val="95"/>
        </w:rPr>
        <w:t>本阅读提示是为了帮助您更好理解条款，对本附加合同内容的解释以条款正文为准。</w:t>
      </w:r>
    </w:p>
    <w:p>
      <w:pPr>
        <w:pStyle w:val="BodyText"/>
        <w:spacing w:before="7"/>
        <w:rPr>
          <w:b/>
          <w:sz w:val="26"/>
        </w:rPr>
      </w:pPr>
    </w:p>
    <w:p>
      <w:pPr>
        <w:tabs>
          <w:tab w:pos="663" w:val="left" w:leader="none"/>
        </w:tabs>
        <w:spacing w:before="0"/>
        <w:ind w:left="24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您拥有的重要权益</w:t>
      </w:r>
    </w:p>
    <w:p>
      <w:pPr>
        <w:pStyle w:val="ListParagraph"/>
        <w:numPr>
          <w:ilvl w:val="0"/>
          <w:numId w:val="1"/>
        </w:numPr>
        <w:tabs>
          <w:tab w:pos="1083" w:val="left" w:leader="none"/>
          <w:tab w:pos="1084" w:val="left" w:leader="none"/>
          <w:tab w:pos="8830" w:val="right" w:leader="dot"/>
        </w:tabs>
        <w:spacing w:line="240" w:lineRule="auto" w:before="12" w:after="0"/>
        <w:ind w:left="1084" w:right="0" w:hanging="420"/>
        <w:jc w:val="left"/>
        <w:rPr>
          <w:rFonts w:ascii="Times New Roman" w:eastAsia="Times New Roman"/>
          <w:sz w:val="21"/>
        </w:rPr>
      </w:pPr>
      <w:r>
        <w:rPr>
          <w:sz w:val="21"/>
        </w:rPr>
        <w:t>签收合同后</w:t>
      </w:r>
      <w:r>
        <w:rPr>
          <w:spacing w:val="-64"/>
          <w:sz w:val="21"/>
        </w:rPr>
        <w:t> </w:t>
      </w:r>
      <w:r>
        <w:rPr>
          <w:rFonts w:ascii="Times New Roman" w:eastAsia="Times New Roman"/>
          <w:sz w:val="21"/>
        </w:rPr>
        <w:t>10</w:t>
      </w:r>
      <w:r>
        <w:rPr>
          <w:rFonts w:ascii="Times New Roman" w:eastAsia="Times New Roman"/>
          <w:spacing w:val="-13"/>
          <w:sz w:val="21"/>
        </w:rPr>
        <w:t> </w:t>
      </w:r>
      <w:r>
        <w:rPr>
          <w:sz w:val="21"/>
        </w:rPr>
        <w:t>天内您可以要求全额退还保险费</w:t>
        <w:tab/>
      </w:r>
      <w:r>
        <w:rPr>
          <w:rFonts w:ascii="Times New Roman" w:eastAsia="Times New Roman"/>
          <w:sz w:val="21"/>
        </w:rPr>
        <w:t>1.5</w:t>
      </w:r>
    </w:p>
    <w:p>
      <w:pPr>
        <w:pStyle w:val="ListParagraph"/>
        <w:numPr>
          <w:ilvl w:val="0"/>
          <w:numId w:val="1"/>
        </w:numPr>
        <w:tabs>
          <w:tab w:pos="1083" w:val="left" w:leader="none"/>
          <w:tab w:pos="1084" w:val="left" w:leader="none"/>
          <w:tab w:pos="8906" w:val="right" w:leader="dot"/>
        </w:tabs>
        <w:spacing w:line="240" w:lineRule="auto" w:before="20" w:after="0"/>
        <w:ind w:left="1084" w:right="0" w:hanging="420"/>
        <w:jc w:val="left"/>
        <w:rPr>
          <w:rFonts w:ascii="Times New Roman" w:eastAsia="Times New Roman"/>
          <w:sz w:val="21"/>
        </w:rPr>
      </w:pPr>
      <w:r>
        <w:rPr>
          <w:sz w:val="21"/>
        </w:rPr>
        <w:t>被保险人可以享有本附加合同提供的保障利益</w:t>
        <w:tab/>
      </w:r>
      <w:r>
        <w:rPr>
          <w:rFonts w:ascii="Times New Roman" w:eastAsia="Times New Roman"/>
          <w:sz w:val="21"/>
        </w:rPr>
        <w:t>2.4</w:t>
      </w:r>
    </w:p>
    <w:p>
      <w:pPr>
        <w:pStyle w:val="ListParagraph"/>
        <w:numPr>
          <w:ilvl w:val="0"/>
          <w:numId w:val="1"/>
        </w:numPr>
        <w:tabs>
          <w:tab w:pos="1083" w:val="left" w:leader="none"/>
          <w:tab w:pos="1084" w:val="left" w:leader="none"/>
          <w:tab w:pos="8906" w:val="right" w:leader="dot"/>
        </w:tabs>
        <w:spacing w:line="240" w:lineRule="auto" w:before="20" w:after="0"/>
        <w:ind w:left="1084" w:right="0" w:hanging="420"/>
        <w:jc w:val="left"/>
        <w:rPr>
          <w:rFonts w:ascii="Times New Roman" w:eastAsia="Times New Roman"/>
          <w:sz w:val="21"/>
        </w:rPr>
      </w:pPr>
      <w:r>
        <w:rPr>
          <w:sz w:val="21"/>
        </w:rPr>
        <w:t>您有权解除合同</w:t>
        <w:tab/>
      </w:r>
      <w:r>
        <w:rPr>
          <w:rFonts w:ascii="Times New Roman" w:eastAsia="Times New Roman"/>
          <w:sz w:val="21"/>
        </w:rPr>
        <w:t>5.1</w:t>
      </w:r>
    </w:p>
    <w:p>
      <w:pPr>
        <w:pStyle w:val="Heading3"/>
        <w:tabs>
          <w:tab w:pos="663" w:val="left" w:leader="none"/>
        </w:tabs>
        <w:spacing w:before="330"/>
        <w:ind w:left="244"/>
      </w:pPr>
      <w:r>
        <w:rPr>
          <w:rFonts w:ascii="Symbol" w:hAnsi="Symbol" w:eastAsia="Symbol"/>
          <w:b w:val="0"/>
        </w:rPr>
        <w:t></w:t>
      </w:r>
      <w:r>
        <w:rPr>
          <w:rFonts w:ascii="Times New Roman" w:hAnsi="Times New Roman" w:eastAsia="Times New Roman"/>
          <w:b w:val="0"/>
        </w:rPr>
        <w:tab/>
      </w:r>
      <w:r>
        <w:rPr>
          <w:w w:val="95"/>
          <w:position w:val="1"/>
        </w:rPr>
        <w:t>您应当特别注意的事项</w:t>
      </w:r>
    </w:p>
    <w:p>
      <w:pPr>
        <w:pStyle w:val="ListParagraph"/>
        <w:numPr>
          <w:ilvl w:val="0"/>
          <w:numId w:val="1"/>
        </w:numPr>
        <w:tabs>
          <w:tab w:pos="1083" w:val="left" w:leader="none"/>
          <w:tab w:pos="1084" w:val="left" w:leader="none"/>
          <w:tab w:pos="8906" w:val="right" w:leader="dot"/>
        </w:tabs>
        <w:spacing w:line="240" w:lineRule="auto" w:before="12" w:after="0"/>
        <w:ind w:left="1084" w:right="0" w:hanging="420"/>
        <w:jc w:val="left"/>
        <w:rPr>
          <w:rFonts w:ascii="Times New Roman" w:eastAsia="Times New Roman"/>
          <w:sz w:val="21"/>
        </w:rPr>
      </w:pPr>
      <w:r>
        <w:rPr>
          <w:sz w:val="21"/>
        </w:rPr>
        <w:t>等待期内我们不承担保险责任</w:t>
        <w:tab/>
      </w:r>
      <w:r>
        <w:rPr>
          <w:rFonts w:ascii="Times New Roman" w:eastAsia="Times New Roman"/>
          <w:sz w:val="21"/>
        </w:rPr>
        <w:t>2.3</w:t>
      </w:r>
    </w:p>
    <w:p>
      <w:pPr>
        <w:pStyle w:val="ListParagraph"/>
        <w:numPr>
          <w:ilvl w:val="0"/>
          <w:numId w:val="1"/>
        </w:numPr>
        <w:tabs>
          <w:tab w:pos="1083" w:val="left" w:leader="none"/>
          <w:tab w:pos="1084" w:val="left" w:leader="none"/>
          <w:tab w:pos="8906" w:val="right" w:leader="dot"/>
        </w:tabs>
        <w:spacing w:line="240" w:lineRule="auto" w:before="21" w:after="0"/>
        <w:ind w:left="1084" w:right="0" w:hanging="420"/>
        <w:jc w:val="left"/>
        <w:rPr>
          <w:rFonts w:ascii="Times New Roman" w:eastAsia="Times New Roman"/>
          <w:sz w:val="21"/>
        </w:rPr>
      </w:pPr>
      <w:r>
        <w:rPr>
          <w:sz w:val="21"/>
        </w:rPr>
        <w:t>在某些情况下，我们不承担保险责任</w:t>
        <w:tab/>
      </w:r>
      <w:r>
        <w:rPr>
          <w:rFonts w:ascii="Times New Roman" w:eastAsia="Times New Roman"/>
          <w:sz w:val="21"/>
        </w:rPr>
        <w:t>2.5</w:t>
      </w:r>
    </w:p>
    <w:p>
      <w:pPr>
        <w:pStyle w:val="ListParagraph"/>
        <w:numPr>
          <w:ilvl w:val="0"/>
          <w:numId w:val="1"/>
        </w:numPr>
        <w:tabs>
          <w:tab w:pos="1083" w:val="left" w:leader="none"/>
          <w:tab w:pos="1084" w:val="left" w:leader="none"/>
          <w:tab w:pos="8906" w:val="right" w:leader="dot"/>
        </w:tabs>
        <w:spacing w:line="240" w:lineRule="auto" w:before="21" w:after="0"/>
        <w:ind w:left="1084" w:right="0" w:hanging="420"/>
        <w:jc w:val="left"/>
        <w:rPr>
          <w:rFonts w:ascii="Times New Roman" w:eastAsia="Times New Roman"/>
          <w:sz w:val="21"/>
        </w:rPr>
      </w:pPr>
      <w:r>
        <w:rPr>
          <w:sz w:val="21"/>
        </w:rPr>
        <w:t>解除合同会给您造成一定的损失，请您慎重决策</w:t>
        <w:tab/>
      </w:r>
      <w:r>
        <w:rPr>
          <w:rFonts w:ascii="Times New Roman" w:eastAsia="Times New Roman"/>
          <w:sz w:val="21"/>
        </w:rPr>
        <w:t>5.1</w:t>
      </w:r>
    </w:p>
    <w:p>
      <w:pPr>
        <w:pStyle w:val="ListParagraph"/>
        <w:numPr>
          <w:ilvl w:val="0"/>
          <w:numId w:val="1"/>
        </w:numPr>
        <w:tabs>
          <w:tab w:pos="1083" w:val="left" w:leader="none"/>
          <w:tab w:pos="1084" w:val="left" w:leader="none"/>
          <w:tab w:pos="8906" w:val="right" w:leader="dot"/>
        </w:tabs>
        <w:spacing w:line="240" w:lineRule="auto" w:before="21" w:after="0"/>
        <w:ind w:left="1084" w:right="0" w:hanging="420"/>
        <w:jc w:val="left"/>
        <w:rPr>
          <w:rFonts w:ascii="Times New Roman" w:eastAsia="Times New Roman"/>
          <w:sz w:val="21"/>
        </w:rPr>
      </w:pPr>
      <w:r>
        <w:rPr>
          <w:sz w:val="21"/>
        </w:rPr>
        <w:t>在某些情况下，本附加合同效力终止</w:t>
        <w:tab/>
      </w:r>
      <w:r>
        <w:rPr>
          <w:rFonts w:ascii="Times New Roman" w:eastAsia="Times New Roman"/>
          <w:sz w:val="21"/>
        </w:rPr>
        <w:t>5.2</w:t>
      </w:r>
    </w:p>
    <w:p>
      <w:pPr>
        <w:pStyle w:val="ListParagraph"/>
        <w:numPr>
          <w:ilvl w:val="0"/>
          <w:numId w:val="1"/>
        </w:numPr>
        <w:tabs>
          <w:tab w:pos="1083" w:val="left" w:leader="none"/>
          <w:tab w:pos="1084" w:val="left" w:leader="none"/>
          <w:tab w:pos="8748" w:val="right" w:leader="dot"/>
        </w:tabs>
        <w:spacing w:line="240" w:lineRule="auto" w:before="21" w:after="0"/>
        <w:ind w:left="1084" w:right="0" w:hanging="420"/>
        <w:jc w:val="left"/>
        <w:rPr>
          <w:rFonts w:ascii="Times New Roman" w:eastAsia="Times New Roman"/>
          <w:sz w:val="21"/>
        </w:rPr>
      </w:pPr>
      <w:r>
        <w:rPr>
          <w:sz w:val="21"/>
        </w:rPr>
        <w:t>保险条款有关重大疾病的释义，请您注意</w:t>
        <w:tab/>
      </w:r>
      <w:r>
        <w:rPr>
          <w:rFonts w:ascii="Times New Roman" w:eastAsia="Times New Roman"/>
          <w:sz w:val="21"/>
        </w:rPr>
        <w:t>6</w:t>
      </w:r>
    </w:p>
    <w:p>
      <w:pPr>
        <w:pStyle w:val="ListParagraph"/>
        <w:numPr>
          <w:ilvl w:val="0"/>
          <w:numId w:val="1"/>
        </w:numPr>
        <w:tabs>
          <w:tab w:pos="1083" w:val="left" w:leader="none"/>
          <w:tab w:pos="1084" w:val="left" w:leader="none"/>
          <w:tab w:pos="8748" w:val="right" w:leader="dot"/>
        </w:tabs>
        <w:spacing w:line="240" w:lineRule="auto" w:before="21" w:after="0"/>
        <w:ind w:left="1084" w:right="0" w:hanging="420"/>
        <w:jc w:val="left"/>
        <w:rPr>
          <w:rFonts w:ascii="Times New Roman" w:eastAsia="Times New Roman"/>
          <w:sz w:val="21"/>
        </w:rPr>
      </w:pPr>
      <w:r>
        <w:rPr>
          <w:sz w:val="21"/>
        </w:rPr>
        <w:t>我们对一些重要术语进行了解释，请您注意</w:t>
        <w:tab/>
      </w:r>
      <w:r>
        <w:rPr>
          <w:rFonts w:ascii="Times New Roman" w:eastAsia="Times New Roman"/>
          <w:sz w:val="21"/>
        </w:rPr>
        <w:t>7</w:t>
      </w:r>
    </w:p>
    <w:p>
      <w:pPr>
        <w:pStyle w:val="BodyText"/>
        <w:spacing w:before="8"/>
        <w:rPr>
          <w:rFonts w:ascii="Times New Roman"/>
          <w:sz w:val="28"/>
        </w:rPr>
      </w:pPr>
    </w:p>
    <w:p>
      <w:pPr>
        <w:tabs>
          <w:tab w:pos="663" w:val="left" w:leader="none"/>
        </w:tabs>
        <w:spacing w:before="1"/>
        <w:ind w:left="24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条款是保险合同的重要内容，为充分保障您的权益，请您仔细阅读本条款。</w:t>
      </w:r>
    </w:p>
    <w:p>
      <w:pPr>
        <w:pStyle w:val="BodyText"/>
        <w:spacing w:before="3"/>
        <w:rPr>
          <w:b/>
          <w:sz w:val="23"/>
        </w:rPr>
      </w:pPr>
    </w:p>
    <w:p>
      <w:pPr>
        <w:tabs>
          <w:tab w:pos="663" w:val="left" w:leader="none"/>
        </w:tabs>
        <w:spacing w:line="277" w:lineRule="exact" w:before="0"/>
        <w:ind w:left="244" w:right="0" w:firstLine="0"/>
        <w:jc w:val="left"/>
        <w:rPr>
          <w:b/>
          <w:sz w:val="21"/>
        </w:rPr>
      </w:pPr>
      <w:r>
        <w:rPr>
          <w:rFonts w:ascii="Symbol" w:hAnsi="Symbol" w:eastAsia="Symbol"/>
          <w:sz w:val="21"/>
        </w:rPr>
        <w:t></w:t>
      </w:r>
      <w:r>
        <w:rPr>
          <w:rFonts w:ascii="Times New Roman" w:hAnsi="Times New Roman" w:eastAsia="Times New Roman"/>
          <w:sz w:val="21"/>
        </w:rPr>
        <w:tab/>
      </w:r>
      <w:r>
        <w:rPr>
          <w:b/>
          <w:w w:val="95"/>
          <w:sz w:val="21"/>
        </w:rPr>
        <w:t>条款目录</w:t>
      </w:r>
    </w:p>
    <w:p>
      <w:pPr>
        <w:pStyle w:val="ListParagraph"/>
        <w:numPr>
          <w:ilvl w:val="0"/>
          <w:numId w:val="2"/>
        </w:numPr>
        <w:tabs>
          <w:tab w:pos="444" w:val="left" w:leader="none"/>
          <w:tab w:pos="4977" w:val="left" w:leader="none"/>
        </w:tabs>
        <w:spacing w:line="276" w:lineRule="exact" w:before="0" w:after="0"/>
        <w:ind w:left="444" w:right="0" w:hanging="210"/>
        <w:jc w:val="left"/>
        <w:rPr>
          <w:sz w:val="21"/>
        </w:rPr>
      </w:pPr>
      <w:r>
        <w:rPr/>
        <w:drawing>
          <wp:anchor distT="0" distB="0" distL="0" distR="0" allowOverlap="1" layoutInCell="1" locked="0" behindDoc="1" simplePos="0" relativeHeight="268390655">
            <wp:simplePos x="0" y="0"/>
            <wp:positionH relativeFrom="page">
              <wp:posOffset>999489</wp:posOffset>
            </wp:positionH>
            <wp:positionV relativeFrom="paragraph">
              <wp:posOffset>9249</wp:posOffset>
            </wp:positionV>
            <wp:extent cx="5923280" cy="3357879"/>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5923280" cy="3357879"/>
                    </a:xfrm>
                    <a:prstGeom prst="rect">
                      <a:avLst/>
                    </a:prstGeom>
                  </pic:spPr>
                </pic:pic>
              </a:graphicData>
            </a:graphic>
          </wp:anchor>
        </w:drawing>
      </w:r>
      <w:r>
        <w:rPr>
          <w:b/>
          <w:sz w:val="21"/>
        </w:rPr>
        <w:t>您与我们订立的合同</w:t>
        <w:tab/>
      </w:r>
      <w:r>
        <w:rPr>
          <w:rFonts w:ascii="Times New Roman" w:eastAsia="Times New Roman"/>
          <w:sz w:val="21"/>
        </w:rPr>
        <w:t>3.1</w:t>
      </w:r>
      <w:r>
        <w:rPr>
          <w:rFonts w:ascii="Times New Roman" w:eastAsia="Times New Roman"/>
          <w:spacing w:val="-13"/>
          <w:sz w:val="21"/>
        </w:rPr>
        <w:t> </w:t>
      </w:r>
      <w:r>
        <w:rPr>
          <w:sz w:val="21"/>
        </w:rPr>
        <w:t>保险金的申请</w:t>
      </w:r>
    </w:p>
    <w:p>
      <w:pPr>
        <w:pStyle w:val="ListParagraph"/>
        <w:numPr>
          <w:ilvl w:val="1"/>
          <w:numId w:val="2"/>
        </w:numPr>
        <w:tabs>
          <w:tab w:pos="538" w:val="left" w:leader="none"/>
          <w:tab w:pos="4977" w:val="left" w:leader="none"/>
        </w:tabs>
        <w:spacing w:line="240" w:lineRule="auto" w:before="94" w:after="0"/>
        <w:ind w:left="538" w:right="0" w:hanging="304"/>
        <w:jc w:val="left"/>
        <w:rPr>
          <w:sz w:val="21"/>
        </w:rPr>
      </w:pPr>
      <w:r>
        <w:rPr>
          <w:sz w:val="21"/>
        </w:rPr>
        <w:t>合同构成</w:t>
        <w:tab/>
      </w:r>
      <w:r>
        <w:rPr>
          <w:rFonts w:ascii="Times New Roman" w:eastAsia="Times New Roman"/>
          <w:sz w:val="21"/>
        </w:rPr>
        <w:t>3.2</w:t>
      </w:r>
      <w:r>
        <w:rPr>
          <w:rFonts w:ascii="Times New Roman" w:eastAsia="Times New Roman"/>
          <w:spacing w:val="-3"/>
          <w:sz w:val="21"/>
        </w:rPr>
        <w:t> </w:t>
      </w:r>
      <w:r>
        <w:rPr>
          <w:sz w:val="21"/>
        </w:rPr>
        <w:t>保险金的给付</w:t>
      </w:r>
    </w:p>
    <w:p>
      <w:pPr>
        <w:pStyle w:val="ListParagraph"/>
        <w:numPr>
          <w:ilvl w:val="1"/>
          <w:numId w:val="2"/>
        </w:numPr>
        <w:tabs>
          <w:tab w:pos="538" w:val="left" w:leader="none"/>
          <w:tab w:pos="4977" w:val="left" w:leader="none"/>
        </w:tabs>
        <w:spacing w:line="240" w:lineRule="auto" w:before="115" w:after="0"/>
        <w:ind w:left="538" w:right="0" w:hanging="304"/>
        <w:jc w:val="left"/>
        <w:rPr>
          <w:sz w:val="21"/>
        </w:rPr>
      </w:pPr>
      <w:r>
        <w:rPr>
          <w:sz w:val="21"/>
        </w:rPr>
        <w:t>保险合同成立与生效</w:t>
        <w:tab/>
      </w:r>
      <w:r>
        <w:rPr>
          <w:rFonts w:ascii="Times New Roman" w:eastAsia="Times New Roman"/>
          <w:sz w:val="21"/>
        </w:rPr>
        <w:t>3.3</w:t>
      </w:r>
      <w:r>
        <w:rPr>
          <w:rFonts w:ascii="Times New Roman" w:eastAsia="Times New Roman"/>
          <w:spacing w:val="-13"/>
          <w:sz w:val="21"/>
        </w:rPr>
        <w:t> </w:t>
      </w:r>
      <w:r>
        <w:rPr>
          <w:sz w:val="21"/>
        </w:rPr>
        <w:t>诉讼时效</w:t>
      </w:r>
    </w:p>
    <w:p>
      <w:pPr>
        <w:pStyle w:val="ListParagraph"/>
        <w:numPr>
          <w:ilvl w:val="1"/>
          <w:numId w:val="2"/>
        </w:numPr>
        <w:tabs>
          <w:tab w:pos="538" w:val="left" w:leader="none"/>
          <w:tab w:pos="4977" w:val="left" w:leader="none"/>
        </w:tabs>
        <w:spacing w:line="240" w:lineRule="auto" w:before="113" w:after="0"/>
        <w:ind w:left="538" w:right="0" w:hanging="304"/>
        <w:jc w:val="left"/>
        <w:rPr>
          <w:b/>
          <w:sz w:val="21"/>
        </w:rPr>
      </w:pPr>
      <w:r>
        <w:rPr>
          <w:sz w:val="21"/>
        </w:rPr>
        <w:t>投保年龄</w:t>
        <w:tab/>
      </w:r>
      <w:r>
        <w:rPr>
          <w:rFonts w:ascii="Times New Roman" w:eastAsia="Times New Roman"/>
          <w:b/>
          <w:spacing w:val="-1"/>
          <w:w w:val="95"/>
          <w:sz w:val="21"/>
        </w:rPr>
        <w:t>4.</w:t>
      </w:r>
      <w:r>
        <w:rPr>
          <w:b/>
          <w:w w:val="95"/>
          <w:sz w:val="21"/>
        </w:rPr>
        <w:t>保险费的支付</w:t>
      </w:r>
    </w:p>
    <w:p>
      <w:pPr>
        <w:pStyle w:val="ListParagraph"/>
        <w:numPr>
          <w:ilvl w:val="1"/>
          <w:numId w:val="2"/>
        </w:numPr>
        <w:tabs>
          <w:tab w:pos="538" w:val="left" w:leader="none"/>
          <w:tab w:pos="4977" w:val="left" w:leader="none"/>
        </w:tabs>
        <w:spacing w:line="240" w:lineRule="auto" w:before="115" w:after="0"/>
        <w:ind w:left="538" w:right="0" w:hanging="304"/>
        <w:jc w:val="left"/>
        <w:rPr>
          <w:sz w:val="21"/>
        </w:rPr>
      </w:pPr>
      <w:r>
        <w:rPr>
          <w:sz w:val="21"/>
        </w:rPr>
        <w:t>合同的签收</w:t>
        <w:tab/>
      </w:r>
      <w:r>
        <w:rPr>
          <w:rFonts w:ascii="Times New Roman" w:eastAsia="Times New Roman"/>
          <w:sz w:val="21"/>
        </w:rPr>
        <w:t>4.1</w:t>
      </w:r>
      <w:r>
        <w:rPr>
          <w:rFonts w:ascii="Times New Roman" w:eastAsia="Times New Roman"/>
          <w:spacing w:val="-3"/>
          <w:sz w:val="21"/>
        </w:rPr>
        <w:t> </w:t>
      </w:r>
      <w:r>
        <w:rPr>
          <w:sz w:val="21"/>
        </w:rPr>
        <w:t>保险费的支付</w:t>
      </w:r>
    </w:p>
    <w:p>
      <w:pPr>
        <w:pStyle w:val="ListParagraph"/>
        <w:numPr>
          <w:ilvl w:val="1"/>
          <w:numId w:val="2"/>
        </w:numPr>
        <w:tabs>
          <w:tab w:pos="538" w:val="left" w:leader="none"/>
          <w:tab w:pos="4977" w:val="left" w:leader="none"/>
        </w:tabs>
        <w:spacing w:line="240" w:lineRule="auto" w:before="113" w:after="0"/>
        <w:ind w:left="538" w:right="0" w:hanging="304"/>
        <w:jc w:val="left"/>
        <w:rPr>
          <w:sz w:val="21"/>
        </w:rPr>
      </w:pPr>
      <w:r>
        <w:rPr>
          <w:sz w:val="21"/>
        </w:rPr>
        <w:t>犹豫期</w:t>
        <w:tab/>
      </w:r>
      <w:r>
        <w:rPr>
          <w:rFonts w:ascii="Times New Roman" w:eastAsia="Times New Roman"/>
          <w:sz w:val="21"/>
        </w:rPr>
        <w:t>4.2</w:t>
      </w:r>
      <w:r>
        <w:rPr>
          <w:rFonts w:ascii="Times New Roman" w:eastAsia="Times New Roman"/>
          <w:spacing w:val="-13"/>
          <w:sz w:val="21"/>
        </w:rPr>
        <w:t> </w:t>
      </w:r>
      <w:r>
        <w:rPr>
          <w:sz w:val="21"/>
        </w:rPr>
        <w:t>保险费率的调整</w:t>
      </w:r>
    </w:p>
    <w:p>
      <w:pPr>
        <w:pStyle w:val="Heading3"/>
        <w:tabs>
          <w:tab w:pos="4977" w:val="left" w:leader="none"/>
        </w:tabs>
        <w:spacing w:before="115"/>
        <w:ind w:left="234"/>
      </w:pPr>
      <w:r>
        <w:rPr>
          <w:rFonts w:ascii="Times New Roman" w:eastAsia="Times New Roman"/>
        </w:rPr>
        <w:t>2.</w:t>
      </w:r>
      <w:r>
        <w:rPr/>
        <w:t>我们提供的保障</w:t>
        <w:tab/>
      </w:r>
      <w:r>
        <w:rPr>
          <w:rFonts w:ascii="Times New Roman" w:eastAsia="Times New Roman"/>
          <w:w w:val="95"/>
        </w:rPr>
        <w:t>5.</w:t>
      </w:r>
      <w:r>
        <w:rPr>
          <w:w w:val="95"/>
        </w:rPr>
        <w:t>合同解除及效力终止</w:t>
      </w:r>
    </w:p>
    <w:p>
      <w:pPr>
        <w:pStyle w:val="ListParagraph"/>
        <w:numPr>
          <w:ilvl w:val="1"/>
          <w:numId w:val="3"/>
        </w:numPr>
        <w:tabs>
          <w:tab w:pos="538" w:val="left" w:leader="none"/>
          <w:tab w:pos="4977" w:val="left" w:leader="none"/>
        </w:tabs>
        <w:spacing w:line="240" w:lineRule="auto" w:before="113" w:after="0"/>
        <w:ind w:left="538" w:right="0" w:hanging="304"/>
        <w:jc w:val="left"/>
        <w:rPr>
          <w:sz w:val="21"/>
        </w:rPr>
      </w:pPr>
      <w:r>
        <w:rPr>
          <w:sz w:val="21"/>
        </w:rPr>
        <w:t>基本保险金额</w:t>
        <w:tab/>
      </w:r>
      <w:r>
        <w:rPr>
          <w:rFonts w:ascii="Times New Roman" w:eastAsia="Times New Roman"/>
          <w:sz w:val="21"/>
        </w:rPr>
        <w:t>5.1</w:t>
      </w:r>
      <w:r>
        <w:rPr>
          <w:rFonts w:ascii="Times New Roman" w:eastAsia="Times New Roman"/>
          <w:spacing w:val="-13"/>
          <w:sz w:val="21"/>
        </w:rPr>
        <w:t> </w:t>
      </w:r>
      <w:r>
        <w:rPr>
          <w:sz w:val="21"/>
        </w:rPr>
        <w:t>解除合同的手续及风险</w:t>
      </w:r>
    </w:p>
    <w:p>
      <w:pPr>
        <w:pStyle w:val="ListParagraph"/>
        <w:numPr>
          <w:ilvl w:val="1"/>
          <w:numId w:val="3"/>
        </w:numPr>
        <w:tabs>
          <w:tab w:pos="548" w:val="left" w:leader="none"/>
          <w:tab w:pos="4977" w:val="left" w:leader="none"/>
        </w:tabs>
        <w:spacing w:line="240" w:lineRule="auto" w:before="115" w:after="0"/>
        <w:ind w:left="548" w:right="0" w:hanging="314"/>
        <w:jc w:val="left"/>
        <w:rPr>
          <w:sz w:val="21"/>
        </w:rPr>
      </w:pPr>
      <w:r>
        <w:rPr>
          <w:sz w:val="21"/>
        </w:rPr>
        <w:t>保险期间</w:t>
        <w:tab/>
      </w:r>
      <w:r>
        <w:rPr>
          <w:rFonts w:ascii="Times New Roman" w:eastAsia="Times New Roman"/>
          <w:sz w:val="21"/>
        </w:rPr>
        <w:t>5.2</w:t>
      </w:r>
      <w:r>
        <w:rPr>
          <w:rFonts w:ascii="Times New Roman" w:eastAsia="Times New Roman"/>
          <w:spacing w:val="-13"/>
          <w:sz w:val="21"/>
        </w:rPr>
        <w:t> </w:t>
      </w:r>
      <w:r>
        <w:rPr>
          <w:sz w:val="21"/>
        </w:rPr>
        <w:t>附加合同效力的终止</w:t>
      </w:r>
    </w:p>
    <w:p>
      <w:pPr>
        <w:pStyle w:val="ListParagraph"/>
        <w:numPr>
          <w:ilvl w:val="1"/>
          <w:numId w:val="3"/>
        </w:numPr>
        <w:tabs>
          <w:tab w:pos="538" w:val="left" w:leader="none"/>
          <w:tab w:pos="4977" w:val="left" w:leader="none"/>
        </w:tabs>
        <w:spacing w:line="240" w:lineRule="auto" w:before="113" w:after="0"/>
        <w:ind w:left="538" w:right="0" w:hanging="304"/>
        <w:jc w:val="left"/>
        <w:rPr>
          <w:b/>
          <w:sz w:val="21"/>
        </w:rPr>
      </w:pPr>
      <w:r>
        <w:rPr>
          <w:sz w:val="21"/>
        </w:rPr>
        <w:t>等待期</w:t>
        <w:tab/>
      </w:r>
      <w:r>
        <w:rPr>
          <w:rFonts w:ascii="Times New Roman" w:eastAsia="Times New Roman"/>
          <w:b/>
          <w:sz w:val="21"/>
        </w:rPr>
        <w:t>6.</w:t>
      </w:r>
      <w:r>
        <w:rPr>
          <w:rFonts w:ascii="Times New Roman" w:eastAsia="Times New Roman"/>
          <w:b/>
          <w:spacing w:val="-11"/>
          <w:sz w:val="21"/>
        </w:rPr>
        <w:t> </w:t>
      </w:r>
      <w:r>
        <w:rPr>
          <w:b/>
          <w:sz w:val="21"/>
        </w:rPr>
        <w:t>重大疾病保障范围及定义</w:t>
      </w:r>
    </w:p>
    <w:p>
      <w:pPr>
        <w:pStyle w:val="ListParagraph"/>
        <w:numPr>
          <w:ilvl w:val="1"/>
          <w:numId w:val="3"/>
        </w:numPr>
        <w:tabs>
          <w:tab w:pos="538" w:val="left" w:leader="none"/>
          <w:tab w:pos="4977" w:val="left" w:leader="none"/>
        </w:tabs>
        <w:spacing w:line="240" w:lineRule="auto" w:before="115" w:after="0"/>
        <w:ind w:left="538" w:right="0" w:hanging="304"/>
        <w:jc w:val="left"/>
        <w:rPr>
          <w:b/>
          <w:sz w:val="21"/>
        </w:rPr>
      </w:pPr>
      <w:r>
        <w:rPr>
          <w:sz w:val="21"/>
        </w:rPr>
        <w:t>保险责任</w:t>
        <w:tab/>
      </w:r>
      <w:r>
        <w:rPr>
          <w:rFonts w:ascii="Times New Roman" w:eastAsia="Times New Roman"/>
          <w:b/>
          <w:sz w:val="21"/>
        </w:rPr>
        <w:t>7.</w:t>
      </w:r>
      <w:r>
        <w:rPr>
          <w:rFonts w:ascii="Times New Roman" w:eastAsia="Times New Roman"/>
          <w:b/>
          <w:spacing w:val="-3"/>
          <w:sz w:val="21"/>
        </w:rPr>
        <w:t> </w:t>
      </w:r>
      <w:r>
        <w:rPr>
          <w:b/>
          <w:sz w:val="21"/>
        </w:rPr>
        <w:t>释义</w:t>
      </w:r>
    </w:p>
    <w:p>
      <w:pPr>
        <w:pStyle w:val="ListParagraph"/>
        <w:numPr>
          <w:ilvl w:val="1"/>
          <w:numId w:val="3"/>
        </w:numPr>
        <w:tabs>
          <w:tab w:pos="538" w:val="left" w:leader="none"/>
          <w:tab w:pos="4977" w:val="left" w:leader="none"/>
        </w:tabs>
        <w:spacing w:line="240" w:lineRule="auto" w:before="113" w:after="0"/>
        <w:ind w:left="538" w:right="0" w:hanging="304"/>
        <w:jc w:val="left"/>
        <w:rPr>
          <w:b/>
          <w:sz w:val="21"/>
        </w:rPr>
      </w:pPr>
      <w:r>
        <w:rPr>
          <w:sz w:val="21"/>
        </w:rPr>
        <w:t>责任免除</w:t>
        <w:tab/>
      </w:r>
      <w:r>
        <w:rPr>
          <w:rFonts w:ascii="Times New Roman" w:eastAsia="Times New Roman"/>
          <w:b/>
          <w:sz w:val="21"/>
        </w:rPr>
        <w:t>8.</w:t>
      </w:r>
      <w:r>
        <w:rPr>
          <w:rFonts w:ascii="Times New Roman" w:eastAsia="Times New Roman"/>
          <w:b/>
          <w:spacing w:val="-5"/>
          <w:sz w:val="21"/>
        </w:rPr>
        <w:t> </w:t>
      </w:r>
      <w:r>
        <w:rPr>
          <w:b/>
          <w:sz w:val="21"/>
        </w:rPr>
        <w:t>特别说明</w:t>
      </w:r>
    </w:p>
    <w:p>
      <w:pPr>
        <w:pStyle w:val="Heading3"/>
        <w:spacing w:before="115"/>
        <w:ind w:left="234"/>
      </w:pPr>
      <w:r>
        <w:rPr>
          <w:rFonts w:ascii="Times New Roman" w:eastAsia="Times New Roman"/>
        </w:rPr>
        <w:t>3. </w:t>
      </w:r>
      <w:r>
        <w:rPr/>
        <w:t>保险金的申请</w:t>
      </w:r>
    </w:p>
    <w:p>
      <w:pPr>
        <w:spacing w:after="0"/>
        <w:sectPr>
          <w:type w:val="continuous"/>
          <w:pgSz w:w="11900" w:h="16840"/>
          <w:pgMar w:top="160" w:bottom="280" w:left="1460" w:right="220"/>
        </w:sectPr>
      </w:pPr>
    </w:p>
    <w:p>
      <w:pPr>
        <w:pStyle w:val="BodyText"/>
        <w:ind w:left="1886"/>
        <w:rPr>
          <w:sz w:val="20"/>
        </w:rPr>
      </w:pPr>
      <w:r>
        <w:rPr>
          <w:sz w:val="20"/>
        </w:rPr>
        <w:drawing>
          <wp:inline distT="0" distB="0" distL="0" distR="0">
            <wp:extent cx="3615531" cy="886396"/>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3615531" cy="886396"/>
                    </a:xfrm>
                    <a:prstGeom prst="rect">
                      <a:avLst/>
                    </a:prstGeom>
                  </pic:spPr>
                </pic:pic>
              </a:graphicData>
            </a:graphic>
          </wp:inline>
        </w:drawing>
      </w:r>
      <w:r>
        <w:rPr>
          <w:sz w:val="20"/>
        </w:rPr>
      </w:r>
    </w:p>
    <w:p>
      <w:pPr>
        <w:pStyle w:val="BodyText"/>
        <w:spacing w:before="6"/>
        <w:rPr>
          <w:b/>
          <w:sz w:val="19"/>
        </w:rPr>
      </w:pPr>
    </w:p>
    <w:p>
      <w:pPr>
        <w:pStyle w:val="Heading1"/>
        <w:ind w:left="2492"/>
      </w:pPr>
      <w:r>
        <w:rPr>
          <w:w w:val="95"/>
        </w:rPr>
        <w:t>中意附加永康重大疾病保险条款</w:t>
      </w:r>
    </w:p>
    <w:p>
      <w:pPr>
        <w:pStyle w:val="BodyText"/>
        <w:spacing w:before="3"/>
        <w:rPr>
          <w:b/>
          <w:sz w:val="36"/>
        </w:rPr>
      </w:pPr>
    </w:p>
    <w:p>
      <w:pPr>
        <w:spacing w:before="0"/>
        <w:ind w:left="4138" w:right="0" w:firstLine="0"/>
        <w:jc w:val="left"/>
        <w:rPr>
          <w:sz w:val="18"/>
        </w:rPr>
      </w:pPr>
      <w:r>
        <w:rPr>
          <w:sz w:val="18"/>
        </w:rPr>
        <w:t>报中国保险监督管理委员会备案文号：中意人寿［2011］第101号</w:t>
      </w:r>
    </w:p>
    <w:p>
      <w:pPr>
        <w:pStyle w:val="BodyText"/>
        <w:rPr>
          <w:sz w:val="18"/>
        </w:rPr>
      </w:pPr>
    </w:p>
    <w:p>
      <w:pPr>
        <w:pStyle w:val="BodyText"/>
        <w:rPr>
          <w:sz w:val="18"/>
        </w:rPr>
      </w:pPr>
    </w:p>
    <w:p>
      <w:pPr>
        <w:pStyle w:val="BodyText"/>
        <w:spacing w:before="7"/>
        <w:rPr>
          <w:sz w:val="15"/>
        </w:rPr>
      </w:pPr>
    </w:p>
    <w:p>
      <w:pPr>
        <w:pStyle w:val="BodyText"/>
        <w:spacing w:line="256" w:lineRule="auto" w:before="1"/>
        <w:ind w:left="195" w:right="331" w:firstLine="420"/>
      </w:pPr>
      <w:r>
        <w:rPr>
          <w:spacing w:val="-1"/>
        </w:rPr>
        <w:t>在本条款中，</w:t>
      </w:r>
      <w:r>
        <w:rPr>
          <w:rFonts w:ascii="Times New Roman" w:hAnsi="Times New Roman" w:eastAsia="Times New Roman"/>
        </w:rPr>
        <w:t>“</w:t>
      </w:r>
      <w:r>
        <w:rPr/>
        <w:t>您</w:t>
      </w:r>
      <w:r>
        <w:rPr>
          <w:rFonts w:ascii="Times New Roman" w:hAnsi="Times New Roman" w:eastAsia="Times New Roman"/>
        </w:rPr>
        <w:t>”</w:t>
      </w:r>
      <w:r>
        <w:rPr/>
        <w:t>指投保人，</w:t>
      </w:r>
      <w:r>
        <w:rPr>
          <w:rFonts w:ascii="Times New Roman" w:hAnsi="Times New Roman" w:eastAsia="Times New Roman"/>
        </w:rPr>
        <w:t>“</w:t>
      </w:r>
      <w:r>
        <w:rPr/>
        <w:t>我们</w:t>
      </w:r>
      <w:r>
        <w:rPr>
          <w:rFonts w:ascii="Times New Roman" w:hAnsi="Times New Roman" w:eastAsia="Times New Roman"/>
        </w:rPr>
        <w:t>”</w:t>
      </w:r>
      <w:r>
        <w:rPr>
          <w:spacing w:val="-72"/>
        </w:rPr>
        <w:t>、</w:t>
      </w:r>
      <w:r>
        <w:rPr>
          <w:rFonts w:ascii="Times New Roman" w:hAnsi="Times New Roman" w:eastAsia="Times New Roman"/>
        </w:rPr>
        <w:t>“</w:t>
      </w:r>
      <w:r>
        <w:rPr/>
        <w:t>本公司</w:t>
      </w:r>
      <w:r>
        <w:rPr>
          <w:rFonts w:ascii="Times New Roman" w:hAnsi="Times New Roman" w:eastAsia="Times New Roman"/>
        </w:rPr>
        <w:t>”</w:t>
      </w:r>
      <w:r>
        <w:rPr/>
        <w:t>均指中意人寿保险有限公司，</w:t>
      </w:r>
      <w:r>
        <w:rPr>
          <w:rFonts w:ascii="Times New Roman" w:hAnsi="Times New Roman" w:eastAsia="Times New Roman"/>
        </w:rPr>
        <w:t>“</w:t>
      </w:r>
      <w:r>
        <w:rPr/>
        <w:t>本附加合同</w:t>
      </w:r>
      <w:r>
        <w:rPr>
          <w:rFonts w:ascii="Times New Roman" w:hAnsi="Times New Roman" w:eastAsia="Times New Roman"/>
        </w:rPr>
        <w:t>”</w:t>
      </w:r>
      <w:r>
        <w:rPr/>
        <w:t>指您</w:t>
      </w:r>
      <w:r>
        <w:rPr>
          <w:spacing w:val="-1"/>
        </w:rPr>
        <w:t>与我们之间订立的</w:t>
      </w:r>
      <w:r>
        <w:rPr>
          <w:rFonts w:ascii="Times New Roman" w:hAnsi="Times New Roman" w:eastAsia="Times New Roman"/>
        </w:rPr>
        <w:t>“</w:t>
      </w:r>
      <w:r>
        <w:rPr/>
        <w:t>中意附加永康重大疾病保险</w:t>
      </w:r>
      <w:r>
        <w:rPr>
          <w:rFonts w:ascii="Times New Roman" w:hAnsi="Times New Roman" w:eastAsia="Times New Roman"/>
        </w:rPr>
        <w:t>”</w:t>
      </w:r>
      <w:r>
        <w:rPr/>
        <w:t>的保险合同。</w:t>
      </w:r>
    </w:p>
    <w:p>
      <w:pPr>
        <w:pStyle w:val="Heading2"/>
        <w:numPr>
          <w:ilvl w:val="0"/>
          <w:numId w:val="4"/>
        </w:numPr>
        <w:tabs>
          <w:tab w:pos="1271" w:val="left" w:leader="none"/>
          <w:tab w:pos="1272" w:val="left" w:leader="none"/>
        </w:tabs>
        <w:spacing w:line="304" w:lineRule="exact" w:before="0" w:after="0"/>
        <w:ind w:left="1272" w:right="0" w:hanging="1052"/>
        <w:jc w:val="left"/>
      </w:pPr>
      <w:r>
        <w:rPr>
          <w:w w:val="95"/>
        </w:rPr>
        <w:t>您与我们订立的合同</w:t>
      </w:r>
    </w:p>
    <w:p>
      <w:pPr>
        <w:pStyle w:val="BodyText"/>
        <w:spacing w:before="6"/>
        <w:rPr>
          <w:b/>
          <w:sz w:val="10"/>
        </w:rPr>
      </w:pPr>
      <w:r>
        <w:rPr/>
        <w:pict>
          <v:group style="position:absolute;margin-left:52.5pt;margin-top:8.803076pt;width:464.1pt;height:.6pt;mso-position-horizontal-relative:page;mso-position-vertical-relative:paragraph;z-index:1048;mso-wrap-distance-left:0;mso-wrap-distance-right:0" coordorigin="1050,176" coordsize="9282,12">
            <v:line style="position:absolute" from="1050,182" to="2102,182" stroked="true" strokeweight=".6pt" strokecolor="#000000">
              <v:stroke dashstyle="solid"/>
            </v:line>
            <v:line style="position:absolute" from="2102,182" to="3686,182" stroked="true" strokeweight=".6pt" strokecolor="#000000">
              <v:stroke dashstyle="solid"/>
            </v:line>
            <v:line style="position:absolute" from="3686,182" to="10332,182" stroked="true" strokeweight=".6pt" strokecolor="#000000">
              <v:stroke dashstyle="solid"/>
            </v:line>
            <w10:wrap type="topAndBottom"/>
          </v:group>
        </w:pict>
      </w:r>
    </w:p>
    <w:p>
      <w:pPr>
        <w:pStyle w:val="ListParagraph"/>
        <w:numPr>
          <w:ilvl w:val="1"/>
          <w:numId w:val="4"/>
        </w:numPr>
        <w:tabs>
          <w:tab w:pos="1271" w:val="left" w:leader="none"/>
          <w:tab w:pos="1272" w:val="left" w:leader="none"/>
          <w:tab w:pos="2855" w:val="left" w:leader="none"/>
        </w:tabs>
        <w:spacing w:line="271" w:lineRule="auto" w:before="0" w:after="0"/>
        <w:ind w:left="2856" w:right="312" w:hanging="2636"/>
        <w:jc w:val="left"/>
        <w:rPr>
          <w:sz w:val="21"/>
        </w:rPr>
      </w:pPr>
      <w:r>
        <w:rPr>
          <w:b/>
          <w:sz w:val="21"/>
        </w:rPr>
        <w:t>合同构成</w:t>
        <w:tab/>
      </w:r>
      <w:r>
        <w:rPr>
          <w:sz w:val="21"/>
        </w:rPr>
        <w:t>本附加合同可以附加于我们供您选择的人身保险合同（以下简称主合同）</w:t>
      </w:r>
      <w:r>
        <w:rPr>
          <w:spacing w:val="-81"/>
          <w:sz w:val="21"/>
        </w:rPr>
        <w:t>。</w:t>
      </w:r>
      <w:r>
        <w:rPr>
          <w:sz w:val="21"/>
        </w:rPr>
        <w:t>如您申请投保本附加合同，经我们审核同意后可以订立本附加合同</w:t>
      </w:r>
      <w:r>
        <w:rPr>
          <w:spacing w:val="-81"/>
          <w:sz w:val="21"/>
        </w:rPr>
        <w:t>。</w:t>
      </w:r>
      <w:r>
        <w:rPr>
          <w:sz w:val="21"/>
        </w:rPr>
        <w:t>主合同的条款也适用于本附加合同，若互有冲突，则以本附加合同为准。</w:t>
      </w:r>
    </w:p>
    <w:p>
      <w:pPr>
        <w:pStyle w:val="BodyText"/>
        <w:spacing w:before="12"/>
        <w:rPr>
          <w:sz w:val="20"/>
        </w:rPr>
      </w:pPr>
    </w:p>
    <w:p>
      <w:pPr>
        <w:spacing w:after="0"/>
        <w:rPr>
          <w:sz w:val="20"/>
        </w:rPr>
        <w:sectPr>
          <w:footerReference w:type="even" r:id="rId8"/>
          <w:footerReference w:type="default" r:id="rId9"/>
          <w:pgSz w:w="11900" w:h="16840"/>
          <w:pgMar w:footer="866" w:header="0" w:top="1240" w:bottom="1060" w:left="940" w:right="1360"/>
          <w:pgNumType w:start="2"/>
        </w:sectPr>
      </w:pPr>
    </w:p>
    <w:p>
      <w:pPr>
        <w:pStyle w:val="Heading3"/>
        <w:numPr>
          <w:ilvl w:val="1"/>
          <w:numId w:val="4"/>
        </w:numPr>
        <w:tabs>
          <w:tab w:pos="1271" w:val="left" w:leader="none"/>
          <w:tab w:pos="1272" w:val="left" w:leader="none"/>
        </w:tabs>
        <w:spacing w:line="266" w:lineRule="auto" w:before="48" w:after="0"/>
        <w:ind w:left="1272" w:right="0" w:hanging="1052"/>
        <w:jc w:val="left"/>
      </w:pPr>
      <w:r>
        <w:rPr>
          <w:spacing w:val="13"/>
        </w:rPr>
        <w:t>保险合同成立</w:t>
      </w:r>
      <w:r>
        <w:rPr>
          <w:spacing w:val="13"/>
          <w:w w:val="95"/>
        </w:rPr>
        <w:t>与生效</w:t>
      </w:r>
    </w:p>
    <w:p>
      <w:pPr>
        <w:pStyle w:val="BodyText"/>
        <w:spacing w:before="48"/>
        <w:ind w:left="178"/>
      </w:pPr>
      <w:r>
        <w:rPr/>
        <w:br w:type="column"/>
      </w:r>
      <w:r>
        <w:rPr/>
        <w:t>您提出保险申请、我们同意承保，本附加合同成立。</w:t>
      </w:r>
    </w:p>
    <w:p>
      <w:pPr>
        <w:pStyle w:val="BodyText"/>
        <w:spacing w:line="273" w:lineRule="auto" w:before="37"/>
        <w:ind w:left="178" w:right="103"/>
      </w:pPr>
      <w:r>
        <w:rPr>
          <w:spacing w:val="-7"/>
        </w:rPr>
        <w:t>本附加合同自我们同意承保、收取首期保险费并签发保险单后开始生效， </w:t>
      </w:r>
      <w:r>
        <w:rPr>
          <w:spacing w:val="-10"/>
        </w:rPr>
        <w:t>合同生效日期在保险单上载明。</w:t>
      </w:r>
      <w:r>
        <w:rPr>
          <w:b/>
          <w:spacing w:val="-7"/>
        </w:rPr>
        <w:t>保单年度、保险费约定支付日</w:t>
      </w:r>
      <w:r>
        <w:rPr/>
        <w:t>均以该日期计算。</w:t>
      </w:r>
    </w:p>
    <w:p>
      <w:pPr>
        <w:pStyle w:val="BodyText"/>
        <w:spacing w:line="544" w:lineRule="auto" w:before="109"/>
        <w:ind w:left="178" w:right="332"/>
      </w:pPr>
      <w:r>
        <w:rPr/>
        <w:t>我们自保险单上约定的生效日的次日零时起开始承担本附加合同约定的保险责任。</w:t>
      </w:r>
    </w:p>
    <w:p>
      <w:pPr>
        <w:spacing w:after="0" w:line="544" w:lineRule="auto"/>
        <w:sectPr>
          <w:type w:val="continuous"/>
          <w:pgSz w:w="11900" w:h="16840"/>
          <w:pgMar w:top="160" w:bottom="280" w:left="940" w:right="1360"/>
          <w:cols w:num="2" w:equalWidth="0">
            <w:col w:w="2638" w:space="40"/>
            <w:col w:w="6922"/>
          </w:cols>
        </w:sectPr>
      </w:pPr>
    </w:p>
    <w:p>
      <w:pPr>
        <w:pStyle w:val="BodyText"/>
        <w:spacing w:before="8"/>
        <w:rPr>
          <w:sz w:val="18"/>
        </w:rPr>
      </w:pPr>
    </w:p>
    <w:p>
      <w:pPr>
        <w:pStyle w:val="ListParagraph"/>
        <w:numPr>
          <w:ilvl w:val="1"/>
          <w:numId w:val="4"/>
        </w:numPr>
        <w:tabs>
          <w:tab w:pos="1271" w:val="left" w:leader="none"/>
          <w:tab w:pos="1272" w:val="left" w:leader="none"/>
          <w:tab w:pos="2855" w:val="left" w:leader="none"/>
        </w:tabs>
        <w:spacing w:line="278" w:lineRule="exact" w:before="48" w:after="0"/>
        <w:ind w:left="2856" w:right="0" w:hanging="2636"/>
        <w:jc w:val="left"/>
        <w:rPr>
          <w:sz w:val="21"/>
        </w:rPr>
      </w:pPr>
      <w:r>
        <w:rPr>
          <w:b/>
          <w:sz w:val="21"/>
        </w:rPr>
        <w:t>投保年龄</w:t>
        <w:tab/>
      </w:r>
      <w:r>
        <w:rPr>
          <w:sz w:val="21"/>
        </w:rPr>
        <w:t>指您投保本附加合同时被保险人的年龄，年龄以周岁计算。</w:t>
      </w:r>
    </w:p>
    <w:p>
      <w:pPr>
        <w:pStyle w:val="BodyText"/>
        <w:spacing w:line="255" w:lineRule="exact"/>
        <w:ind w:left="2856"/>
      </w:pPr>
      <w:r>
        <w:rPr/>
        <w:t>本附加合同接受的投保年龄如下：</w:t>
      </w:r>
    </w:p>
    <w:p>
      <w:pPr>
        <w:pStyle w:val="BodyText"/>
        <w:spacing w:line="248" w:lineRule="exact"/>
        <w:ind w:left="2856"/>
        <w:rPr>
          <w:rFonts w:ascii="Times New Roman" w:eastAsia="Times New Roman"/>
        </w:rPr>
      </w:pPr>
      <w:r>
        <w:rPr/>
        <w:t>若保险期间为 </w:t>
      </w:r>
      <w:r>
        <w:rPr>
          <w:rFonts w:ascii="Times New Roman" w:eastAsia="Times New Roman"/>
        </w:rPr>
        <w:t>10 </w:t>
      </w:r>
      <w:r>
        <w:rPr/>
        <w:t>年，本附加合同接受的投保年龄为出生满 </w:t>
      </w:r>
      <w:r>
        <w:rPr>
          <w:rFonts w:ascii="Times New Roman" w:eastAsia="Times New Roman"/>
        </w:rPr>
        <w:t>30 </w:t>
      </w:r>
      <w:r>
        <w:rPr/>
        <w:t>天至 </w:t>
      </w:r>
      <w:r>
        <w:rPr>
          <w:rFonts w:ascii="Times New Roman" w:eastAsia="Times New Roman"/>
        </w:rPr>
        <w:t>60</w:t>
      </w:r>
    </w:p>
    <w:p>
      <w:pPr>
        <w:pStyle w:val="BodyText"/>
        <w:spacing w:line="232" w:lineRule="exact"/>
        <w:ind w:left="2856"/>
      </w:pPr>
      <w:r>
        <w:rPr/>
        <w:t>周岁；</w:t>
      </w:r>
    </w:p>
    <w:p>
      <w:pPr>
        <w:pStyle w:val="BodyText"/>
        <w:spacing w:line="249" w:lineRule="exact"/>
        <w:ind w:left="2856"/>
        <w:rPr>
          <w:rFonts w:ascii="Times New Roman" w:eastAsia="Times New Roman"/>
        </w:rPr>
      </w:pPr>
      <w:r>
        <w:rPr/>
        <w:t>若保险期间为 </w:t>
      </w:r>
      <w:r>
        <w:rPr>
          <w:rFonts w:ascii="Times New Roman" w:eastAsia="Times New Roman"/>
        </w:rPr>
        <w:t>15 </w:t>
      </w:r>
      <w:r>
        <w:rPr/>
        <w:t>年，本附加合同接受的投保年龄为出生满 </w:t>
      </w:r>
      <w:r>
        <w:rPr>
          <w:rFonts w:ascii="Times New Roman" w:eastAsia="Times New Roman"/>
        </w:rPr>
        <w:t>30 </w:t>
      </w:r>
      <w:r>
        <w:rPr/>
        <w:t>天至 </w:t>
      </w:r>
      <w:r>
        <w:rPr>
          <w:rFonts w:ascii="Times New Roman" w:eastAsia="Times New Roman"/>
        </w:rPr>
        <w:t>55</w:t>
      </w:r>
    </w:p>
    <w:p>
      <w:pPr>
        <w:pStyle w:val="BodyText"/>
        <w:spacing w:line="233" w:lineRule="exact"/>
        <w:ind w:left="2856"/>
      </w:pPr>
      <w:r>
        <w:rPr/>
        <w:t>周岁；</w:t>
      </w:r>
    </w:p>
    <w:p>
      <w:pPr>
        <w:pStyle w:val="BodyText"/>
        <w:spacing w:line="248" w:lineRule="exact"/>
        <w:ind w:left="2856"/>
        <w:rPr>
          <w:rFonts w:ascii="Times New Roman" w:eastAsia="Times New Roman"/>
        </w:rPr>
      </w:pPr>
      <w:r>
        <w:rPr/>
        <w:t>若保险期间为 </w:t>
      </w:r>
      <w:r>
        <w:rPr>
          <w:rFonts w:ascii="Times New Roman" w:eastAsia="Times New Roman"/>
        </w:rPr>
        <w:t>20 </w:t>
      </w:r>
      <w:r>
        <w:rPr/>
        <w:t>年，本附加合同接受的投保年龄为出生满 </w:t>
      </w:r>
      <w:r>
        <w:rPr>
          <w:rFonts w:ascii="Times New Roman" w:eastAsia="Times New Roman"/>
        </w:rPr>
        <w:t>30 </w:t>
      </w:r>
      <w:r>
        <w:rPr/>
        <w:t>天至 </w:t>
      </w:r>
      <w:r>
        <w:rPr>
          <w:rFonts w:ascii="Times New Roman" w:eastAsia="Times New Roman"/>
        </w:rPr>
        <w:t>55</w:t>
      </w:r>
    </w:p>
    <w:p>
      <w:pPr>
        <w:pStyle w:val="BodyText"/>
        <w:spacing w:line="232" w:lineRule="exact"/>
        <w:ind w:left="2856"/>
      </w:pPr>
      <w:r>
        <w:rPr/>
        <w:t>周岁；</w:t>
      </w:r>
    </w:p>
    <w:p>
      <w:pPr>
        <w:pStyle w:val="BodyText"/>
        <w:spacing w:line="199" w:lineRule="auto" w:before="32"/>
        <w:ind w:left="2856" w:right="304"/>
      </w:pPr>
      <w:r>
        <w:rPr/>
        <w:t>若保险期间为至 </w:t>
      </w:r>
      <w:r>
        <w:rPr>
          <w:rFonts w:ascii="Times New Roman" w:eastAsia="Times New Roman"/>
        </w:rPr>
        <w:t>55 </w:t>
      </w:r>
      <w:r>
        <w:rPr/>
        <w:t>周岁，本附加合同接受的投保年龄为出生满 </w:t>
      </w:r>
      <w:r>
        <w:rPr>
          <w:rFonts w:ascii="Times New Roman" w:eastAsia="Times New Roman"/>
        </w:rPr>
        <w:t>30 </w:t>
      </w:r>
      <w:r>
        <w:rPr/>
        <w:t>天至 </w:t>
      </w:r>
      <w:r>
        <w:rPr>
          <w:rFonts w:ascii="Times New Roman" w:eastAsia="Times New Roman"/>
        </w:rPr>
        <w:t>45 </w:t>
      </w:r>
      <w:r>
        <w:rPr/>
        <w:t>周岁；</w:t>
      </w:r>
    </w:p>
    <w:p>
      <w:pPr>
        <w:pStyle w:val="BodyText"/>
        <w:spacing w:line="199" w:lineRule="auto"/>
        <w:ind w:left="2856" w:right="304"/>
      </w:pPr>
      <w:r>
        <w:rPr/>
        <w:t>若保险期间为至 </w:t>
      </w:r>
      <w:r>
        <w:rPr>
          <w:rFonts w:ascii="Times New Roman" w:eastAsia="Times New Roman"/>
        </w:rPr>
        <w:t>60 </w:t>
      </w:r>
      <w:r>
        <w:rPr/>
        <w:t>周岁，本附加合同接受的投保年龄为出生满 </w:t>
      </w:r>
      <w:r>
        <w:rPr>
          <w:rFonts w:ascii="Times New Roman" w:eastAsia="Times New Roman"/>
        </w:rPr>
        <w:t>30 </w:t>
      </w:r>
      <w:r>
        <w:rPr/>
        <w:t>天至 </w:t>
      </w:r>
      <w:r>
        <w:rPr>
          <w:rFonts w:ascii="Times New Roman" w:eastAsia="Times New Roman"/>
        </w:rPr>
        <w:t>50 </w:t>
      </w:r>
      <w:r>
        <w:rPr/>
        <w:t>周岁；</w:t>
      </w:r>
    </w:p>
    <w:p>
      <w:pPr>
        <w:pStyle w:val="BodyText"/>
        <w:spacing w:line="199" w:lineRule="auto"/>
        <w:ind w:left="2856" w:right="304"/>
      </w:pPr>
      <w:r>
        <w:rPr/>
        <w:t>若保险期间为至 </w:t>
      </w:r>
      <w:r>
        <w:rPr>
          <w:rFonts w:ascii="Times New Roman" w:eastAsia="Times New Roman"/>
        </w:rPr>
        <w:t>65 </w:t>
      </w:r>
      <w:r>
        <w:rPr/>
        <w:t>周岁，本附加合同接受的投保年龄为出生满 </w:t>
      </w:r>
      <w:r>
        <w:rPr>
          <w:rFonts w:ascii="Times New Roman" w:eastAsia="Times New Roman"/>
        </w:rPr>
        <w:t>30 </w:t>
      </w:r>
      <w:r>
        <w:rPr/>
        <w:t>天至 </w:t>
      </w:r>
      <w:r>
        <w:rPr>
          <w:rFonts w:ascii="Times New Roman" w:eastAsia="Times New Roman"/>
        </w:rPr>
        <w:t>55 </w:t>
      </w:r>
      <w:r>
        <w:rPr/>
        <w:t>周岁；</w:t>
      </w:r>
    </w:p>
    <w:p>
      <w:pPr>
        <w:pStyle w:val="BodyText"/>
        <w:spacing w:line="199" w:lineRule="auto"/>
        <w:ind w:left="2856" w:right="304"/>
      </w:pPr>
      <w:r>
        <w:rPr/>
        <w:t>若保险期间为至 </w:t>
      </w:r>
      <w:r>
        <w:rPr>
          <w:rFonts w:ascii="Times New Roman" w:eastAsia="Times New Roman"/>
        </w:rPr>
        <w:t>70 </w:t>
      </w:r>
      <w:r>
        <w:rPr/>
        <w:t>周岁，本附加合同接受的投保年龄为出生满 </w:t>
      </w:r>
      <w:r>
        <w:rPr>
          <w:rFonts w:ascii="Times New Roman" w:eastAsia="Times New Roman"/>
        </w:rPr>
        <w:t>30 </w:t>
      </w:r>
      <w:r>
        <w:rPr/>
        <w:t>天至 </w:t>
      </w:r>
      <w:r>
        <w:rPr>
          <w:rFonts w:ascii="Times New Roman" w:eastAsia="Times New Roman"/>
        </w:rPr>
        <w:t>60 </w:t>
      </w:r>
      <w:r>
        <w:rPr/>
        <w:t>周岁。</w:t>
      </w:r>
    </w:p>
    <w:p>
      <w:pPr>
        <w:pStyle w:val="BodyText"/>
        <w:spacing w:before="10"/>
        <w:rPr>
          <w:sz w:val="22"/>
        </w:rPr>
      </w:pPr>
    </w:p>
    <w:p>
      <w:pPr>
        <w:pStyle w:val="ListParagraph"/>
        <w:numPr>
          <w:ilvl w:val="1"/>
          <w:numId w:val="4"/>
        </w:numPr>
        <w:tabs>
          <w:tab w:pos="1271" w:val="left" w:leader="none"/>
          <w:tab w:pos="1272" w:val="left" w:leader="none"/>
          <w:tab w:pos="2855" w:val="left" w:leader="none"/>
        </w:tabs>
        <w:spacing w:line="240" w:lineRule="auto" w:before="1" w:after="0"/>
        <w:ind w:left="2856" w:right="0" w:hanging="2636"/>
        <w:jc w:val="left"/>
        <w:rPr>
          <w:sz w:val="21"/>
        </w:rPr>
      </w:pPr>
      <w:r>
        <w:rPr>
          <w:b/>
          <w:sz w:val="21"/>
        </w:rPr>
        <w:t>合同的签收</w:t>
        <w:tab/>
      </w:r>
      <w:r>
        <w:rPr>
          <w:sz w:val="21"/>
        </w:rPr>
        <w:t>在您收到本附加合同时，您应当签署本附加合同的签收回执。</w:t>
      </w:r>
    </w:p>
    <w:p>
      <w:pPr>
        <w:spacing w:after="0" w:line="240" w:lineRule="auto"/>
        <w:jc w:val="left"/>
        <w:rPr>
          <w:sz w:val="21"/>
        </w:rPr>
        <w:sectPr>
          <w:type w:val="continuous"/>
          <w:pgSz w:w="11900" w:h="16840"/>
          <w:pgMar w:top="160" w:bottom="280" w:left="940" w:right="1360"/>
        </w:sectPr>
      </w:pPr>
    </w:p>
    <w:p>
      <w:pPr>
        <w:pStyle w:val="ListParagraph"/>
        <w:numPr>
          <w:ilvl w:val="1"/>
          <w:numId w:val="4"/>
        </w:numPr>
        <w:tabs>
          <w:tab w:pos="1277" w:val="left" w:leader="none"/>
          <w:tab w:pos="1278" w:val="left" w:leader="none"/>
          <w:tab w:pos="2863" w:val="left" w:leader="none"/>
        </w:tabs>
        <w:spacing w:line="261" w:lineRule="auto" w:before="28" w:after="0"/>
        <w:ind w:left="2864" w:right="324" w:hanging="2638"/>
        <w:jc w:val="left"/>
        <w:rPr>
          <w:sz w:val="21"/>
        </w:rPr>
      </w:pPr>
      <w:r>
        <w:rPr>
          <w:b/>
          <w:sz w:val="21"/>
        </w:rPr>
        <w:t>犹豫期</w:t>
        <w:tab/>
      </w:r>
      <w:r>
        <w:rPr>
          <w:spacing w:val="-1"/>
          <w:sz w:val="21"/>
        </w:rPr>
        <w:t>自</w:t>
      </w:r>
      <w:r>
        <w:rPr>
          <w:sz w:val="21"/>
        </w:rPr>
        <w:t>您签收本附加合同的次日起，有</w:t>
      </w:r>
      <w:r>
        <w:rPr>
          <w:rFonts w:ascii="Times New Roman" w:eastAsia="Times New Roman"/>
          <w:sz w:val="21"/>
        </w:rPr>
        <w:t>10</w:t>
      </w:r>
      <w:r>
        <w:rPr>
          <w:sz w:val="21"/>
        </w:rPr>
        <w:t>日的犹豫期</w:t>
      </w:r>
      <w:r>
        <w:rPr>
          <w:spacing w:val="-81"/>
          <w:sz w:val="21"/>
        </w:rPr>
        <w:t>。</w:t>
      </w:r>
      <w:r>
        <w:rPr>
          <w:sz w:val="21"/>
        </w:rPr>
        <w:t>在此期间，请您仔细阅读本附加合同，如果您认为本附加合同与您的需求不相符，您可以在犹豫期结束前解除本附加合同，我们将在扣除不超过</w:t>
      </w:r>
      <w:r>
        <w:rPr>
          <w:rFonts w:ascii="Times New Roman" w:eastAsia="Times New Roman"/>
          <w:sz w:val="21"/>
        </w:rPr>
        <w:t>10</w:t>
      </w:r>
      <w:r>
        <w:rPr>
          <w:sz w:val="21"/>
        </w:rPr>
        <w:t>元的工本费后无息退还您所支付的保险费。</w:t>
      </w:r>
    </w:p>
    <w:p>
      <w:pPr>
        <w:pStyle w:val="BodyText"/>
        <w:spacing w:line="273" w:lineRule="auto" w:before="17"/>
        <w:ind w:left="2864" w:right="117"/>
      </w:pPr>
      <w:r>
        <w:rPr/>
        <w:t>解除本附加合同时，您需要填写申请书，并提供您的保险合同及有效  </w:t>
      </w:r>
      <w:r>
        <w:rPr>
          <w:spacing w:val="-10"/>
        </w:rPr>
        <w:t>身份证件。自您书面申请解除本附加合同之日起，本附加合同即被解除，我们自本附加合同生效日起不承担保险责任。</w:t>
      </w:r>
    </w:p>
    <w:p>
      <w:pPr>
        <w:pStyle w:val="BodyText"/>
        <w:spacing w:before="8"/>
        <w:rPr>
          <w:sz w:val="22"/>
        </w:rPr>
      </w:pPr>
    </w:p>
    <w:p>
      <w:pPr>
        <w:pStyle w:val="Heading2"/>
        <w:numPr>
          <w:ilvl w:val="0"/>
          <w:numId w:val="4"/>
        </w:numPr>
        <w:tabs>
          <w:tab w:pos="1277" w:val="left" w:leader="none"/>
          <w:tab w:pos="1278" w:val="left" w:leader="none"/>
        </w:tabs>
        <w:spacing w:line="240" w:lineRule="auto" w:before="0" w:after="0"/>
        <w:ind w:left="1278" w:right="0" w:hanging="1052"/>
        <w:jc w:val="left"/>
      </w:pPr>
      <w:r>
        <w:rPr>
          <w:w w:val="95"/>
        </w:rPr>
        <w:t>我们提供的保障</w:t>
      </w:r>
    </w:p>
    <w:p>
      <w:pPr>
        <w:pStyle w:val="BodyText"/>
        <w:spacing w:before="7"/>
        <w:rPr>
          <w:b/>
          <w:sz w:val="10"/>
        </w:rPr>
      </w:pPr>
      <w:r>
        <w:rPr/>
        <w:pict>
          <v:group style="position:absolute;margin-left:80.800003pt;margin-top:8.889453pt;width:464.1pt;height:1.1pt;mso-position-horizontal-relative:page;mso-position-vertical-relative:paragraph;z-index:1072;mso-wrap-distance-left:0;mso-wrap-distance-right:0" coordorigin="1616,178" coordsize="9282,22">
            <v:line style="position:absolute" from="1616,189" to="2668,189" stroked="true" strokeweight="1.1pt" strokecolor="#000000">
              <v:stroke dashstyle="solid"/>
            </v:line>
            <v:line style="position:absolute" from="2668,189" to="4254,189" stroked="true" strokeweight="1.1pt" strokecolor="#000000">
              <v:stroke dashstyle="solid"/>
            </v:line>
            <v:line style="position:absolute" from="4254,189" to="10898,189" stroked="true" strokeweight="1.1pt" strokecolor="#000000">
              <v:stroke dashstyle="solid"/>
            </v:line>
            <w10:wrap type="topAndBottom"/>
          </v:group>
        </w:pict>
      </w:r>
    </w:p>
    <w:p>
      <w:pPr>
        <w:pStyle w:val="ListParagraph"/>
        <w:numPr>
          <w:ilvl w:val="1"/>
          <w:numId w:val="4"/>
        </w:numPr>
        <w:tabs>
          <w:tab w:pos="1277" w:val="left" w:leader="none"/>
          <w:tab w:pos="1278" w:val="left" w:leader="none"/>
          <w:tab w:pos="2863" w:val="left" w:leader="none"/>
        </w:tabs>
        <w:spacing w:line="256" w:lineRule="auto" w:before="0" w:after="0"/>
        <w:ind w:left="2864" w:right="287" w:hanging="2638"/>
        <w:jc w:val="left"/>
        <w:rPr>
          <w:sz w:val="21"/>
        </w:rPr>
      </w:pPr>
      <w:r>
        <w:rPr>
          <w:b/>
          <w:sz w:val="21"/>
        </w:rPr>
        <w:t>基本保险金额</w:t>
        <w:tab/>
      </w:r>
      <w:r>
        <w:rPr>
          <w:sz w:val="21"/>
        </w:rPr>
        <w:t>本附加合同的基本保险金额由您在投保时与我们约定，并在保险单上 载明</w:t>
      </w:r>
      <w:r>
        <w:rPr>
          <w:spacing w:val="-40"/>
          <w:sz w:val="21"/>
        </w:rPr>
        <w:t>。</w:t>
      </w:r>
      <w:r>
        <w:rPr>
          <w:sz w:val="21"/>
        </w:rPr>
        <w:t>如果该基本保险金额有所变更，以变更后的基本保险金额为</w:t>
      </w:r>
      <w:r>
        <w:rPr>
          <w:spacing w:val="-3"/>
          <w:sz w:val="21"/>
        </w:rPr>
        <w:t>准</w:t>
      </w:r>
      <w:r>
        <w:rPr>
          <w:sz w:val="21"/>
        </w:rPr>
        <w:t>。</w:t>
      </w:r>
    </w:p>
    <w:p>
      <w:pPr>
        <w:pStyle w:val="BodyText"/>
        <w:spacing w:before="7"/>
        <w:rPr>
          <w:sz w:val="25"/>
        </w:rPr>
      </w:pPr>
    </w:p>
    <w:p>
      <w:pPr>
        <w:pStyle w:val="ListParagraph"/>
        <w:numPr>
          <w:ilvl w:val="1"/>
          <w:numId w:val="4"/>
        </w:numPr>
        <w:tabs>
          <w:tab w:pos="1277" w:val="left" w:leader="none"/>
          <w:tab w:pos="1278" w:val="left" w:leader="none"/>
          <w:tab w:pos="2863" w:val="left" w:leader="none"/>
        </w:tabs>
        <w:spacing w:line="256" w:lineRule="auto" w:before="0" w:after="0"/>
        <w:ind w:left="2864" w:right="327" w:hanging="2638"/>
        <w:jc w:val="left"/>
        <w:rPr>
          <w:sz w:val="21"/>
        </w:rPr>
      </w:pPr>
      <w:r>
        <w:rPr>
          <w:b/>
          <w:sz w:val="21"/>
        </w:rPr>
        <w:t>保险期间</w:t>
        <w:tab/>
      </w:r>
      <w:r>
        <w:rPr>
          <w:spacing w:val="-1"/>
          <w:sz w:val="21"/>
        </w:rPr>
        <w:t>本附加合同的保</w:t>
      </w:r>
      <w:r>
        <w:rPr>
          <w:sz w:val="21"/>
        </w:rPr>
        <w:t>险期间分为</w:t>
      </w:r>
      <w:r>
        <w:rPr>
          <w:rFonts w:ascii="Times New Roman" w:eastAsia="Times New Roman"/>
          <w:sz w:val="21"/>
        </w:rPr>
        <w:t>10</w:t>
      </w:r>
      <w:r>
        <w:rPr>
          <w:sz w:val="21"/>
        </w:rPr>
        <w:t>年</w:t>
      </w:r>
      <w:r>
        <w:rPr>
          <w:spacing w:val="-100"/>
          <w:sz w:val="21"/>
        </w:rPr>
        <w:t>、</w:t>
      </w:r>
      <w:r>
        <w:rPr>
          <w:rFonts w:ascii="Times New Roman" w:eastAsia="Times New Roman"/>
          <w:sz w:val="21"/>
        </w:rPr>
        <w:t>15</w:t>
      </w:r>
      <w:r>
        <w:rPr>
          <w:sz w:val="21"/>
        </w:rPr>
        <w:t>年</w:t>
      </w:r>
      <w:r>
        <w:rPr>
          <w:spacing w:val="-102"/>
          <w:sz w:val="21"/>
        </w:rPr>
        <w:t>、</w:t>
      </w:r>
      <w:r>
        <w:rPr>
          <w:rFonts w:ascii="Times New Roman" w:eastAsia="Times New Roman"/>
          <w:sz w:val="21"/>
        </w:rPr>
        <w:t>20</w:t>
      </w:r>
      <w:r>
        <w:rPr>
          <w:sz w:val="21"/>
        </w:rPr>
        <w:t>年</w:t>
      </w:r>
      <w:r>
        <w:rPr>
          <w:spacing w:val="-100"/>
          <w:sz w:val="21"/>
        </w:rPr>
        <w:t>、</w:t>
      </w:r>
      <w:r>
        <w:rPr>
          <w:sz w:val="21"/>
        </w:rPr>
        <w:t>至</w:t>
      </w:r>
      <w:r>
        <w:rPr>
          <w:rFonts w:ascii="Times New Roman" w:eastAsia="Times New Roman"/>
          <w:sz w:val="21"/>
        </w:rPr>
        <w:t>55</w:t>
      </w:r>
      <w:r>
        <w:rPr>
          <w:sz w:val="21"/>
        </w:rPr>
        <w:t>周岁</w:t>
      </w:r>
      <w:r>
        <w:rPr>
          <w:spacing w:val="-100"/>
          <w:sz w:val="21"/>
        </w:rPr>
        <w:t>、</w:t>
      </w:r>
      <w:r>
        <w:rPr>
          <w:spacing w:val="-3"/>
          <w:sz w:val="21"/>
        </w:rPr>
        <w:t>至</w:t>
      </w:r>
      <w:r>
        <w:rPr>
          <w:rFonts w:ascii="Times New Roman" w:eastAsia="Times New Roman"/>
          <w:sz w:val="21"/>
        </w:rPr>
        <w:t>60</w:t>
      </w:r>
      <w:r>
        <w:rPr>
          <w:sz w:val="21"/>
        </w:rPr>
        <w:t>周岁</w:t>
      </w:r>
      <w:r>
        <w:rPr>
          <w:spacing w:val="-100"/>
          <w:sz w:val="21"/>
        </w:rPr>
        <w:t>、</w:t>
      </w:r>
      <w:r>
        <w:rPr>
          <w:sz w:val="21"/>
        </w:rPr>
        <w:t>至</w:t>
      </w:r>
      <w:r>
        <w:rPr>
          <w:rFonts w:ascii="Times New Roman" w:eastAsia="Times New Roman"/>
          <w:sz w:val="21"/>
        </w:rPr>
        <w:t>65</w:t>
      </w:r>
      <w:r>
        <w:rPr>
          <w:spacing w:val="-1"/>
          <w:sz w:val="21"/>
        </w:rPr>
        <w:t>周岁</w:t>
      </w:r>
      <w:r>
        <w:rPr>
          <w:sz w:val="21"/>
        </w:rPr>
        <w:t>和至</w:t>
      </w:r>
      <w:r>
        <w:rPr>
          <w:rFonts w:ascii="Times New Roman" w:eastAsia="Times New Roman"/>
          <w:sz w:val="21"/>
        </w:rPr>
        <w:t>70</w:t>
      </w:r>
      <w:r>
        <w:rPr>
          <w:sz w:val="21"/>
        </w:rPr>
        <w:t>周岁后的首个保险单周年日</w:t>
      </w:r>
      <w:r>
        <w:rPr>
          <w:rFonts w:ascii="Times New Roman" w:eastAsia="Times New Roman"/>
          <w:sz w:val="21"/>
        </w:rPr>
        <w:t>24</w:t>
      </w:r>
      <w:r>
        <w:rPr>
          <w:sz w:val="21"/>
        </w:rPr>
        <w:t>时。</w:t>
      </w:r>
    </w:p>
    <w:p>
      <w:pPr>
        <w:pStyle w:val="BodyText"/>
        <w:spacing w:before="4"/>
        <w:ind w:left="2864"/>
      </w:pPr>
      <w:r>
        <w:rPr/>
        <w:t>您实际选择的保险期间将于保险单上载明。</w:t>
      </w:r>
    </w:p>
    <w:p>
      <w:pPr>
        <w:pStyle w:val="BodyText"/>
        <w:rPr>
          <w:sz w:val="28"/>
        </w:rPr>
      </w:pPr>
    </w:p>
    <w:p>
      <w:pPr>
        <w:pStyle w:val="ListParagraph"/>
        <w:numPr>
          <w:ilvl w:val="1"/>
          <w:numId w:val="4"/>
        </w:numPr>
        <w:tabs>
          <w:tab w:pos="1277" w:val="left" w:leader="none"/>
          <w:tab w:pos="1278" w:val="left" w:leader="none"/>
        </w:tabs>
        <w:spacing w:line="189" w:lineRule="auto" w:before="1" w:after="0"/>
        <w:ind w:left="2864" w:right="327" w:hanging="2638"/>
        <w:jc w:val="both"/>
        <w:rPr>
          <w:sz w:val="21"/>
        </w:rPr>
      </w:pPr>
      <w:r>
        <w:rPr>
          <w:b/>
          <w:spacing w:val="0"/>
          <w:position w:val="-3"/>
          <w:sz w:val="21"/>
        </w:rPr>
        <w:t>等待期        </w:t>
      </w:r>
      <w:r>
        <w:rPr>
          <w:sz w:val="21"/>
        </w:rPr>
        <w:t>从本附加合同生效（或最后复效）</w:t>
      </w:r>
      <w:r>
        <w:rPr>
          <w:spacing w:val="-18"/>
          <w:sz w:val="21"/>
        </w:rPr>
        <w:t>之日 </w:t>
      </w:r>
      <w:r>
        <w:rPr>
          <w:rFonts w:ascii="Times New Roman" w:eastAsia="Times New Roman"/>
          <w:sz w:val="21"/>
        </w:rPr>
        <w:t>90</w:t>
      </w:r>
      <w:r>
        <w:rPr>
          <w:rFonts w:ascii="Times New Roman" w:eastAsia="Times New Roman"/>
          <w:spacing w:val="-12"/>
          <w:sz w:val="21"/>
        </w:rPr>
        <w:t> </w:t>
      </w:r>
      <w:r>
        <w:rPr>
          <w:sz w:val="21"/>
        </w:rPr>
        <w:t>天内，被保险人</w:t>
      </w:r>
      <w:r>
        <w:rPr>
          <w:b/>
          <w:sz w:val="21"/>
        </w:rPr>
        <w:t>发病，</w:t>
      </w:r>
      <w:r>
        <w:rPr>
          <w:sz w:val="21"/>
        </w:rPr>
        <w:t>我们</w:t>
      </w:r>
      <w:r>
        <w:rPr>
          <w:spacing w:val="-16"/>
          <w:sz w:val="21"/>
        </w:rPr>
        <w:t>不承担保险责任。这 </w:t>
      </w:r>
      <w:r>
        <w:rPr>
          <w:rFonts w:ascii="Times New Roman" w:eastAsia="Times New Roman"/>
          <w:sz w:val="21"/>
        </w:rPr>
        <w:t>90</w:t>
      </w:r>
      <w:r>
        <w:rPr>
          <w:rFonts w:ascii="Times New Roman" w:eastAsia="Times New Roman"/>
          <w:spacing w:val="-11"/>
          <w:sz w:val="21"/>
        </w:rPr>
        <w:t> </w:t>
      </w:r>
      <w:r>
        <w:rPr>
          <w:spacing w:val="-9"/>
          <w:sz w:val="21"/>
        </w:rPr>
        <w:t>天的时间称为等待期。但因意外伤害事故引起的</w:t>
      </w:r>
      <w:r>
        <w:rPr>
          <w:spacing w:val="-36"/>
          <w:sz w:val="21"/>
        </w:rPr>
        <w:t>第 </w:t>
      </w:r>
      <w:r>
        <w:rPr>
          <w:rFonts w:ascii="Times New Roman" w:eastAsia="Times New Roman"/>
          <w:sz w:val="21"/>
        </w:rPr>
        <w:t>6</w:t>
      </w:r>
      <w:r>
        <w:rPr>
          <w:rFonts w:ascii="Times New Roman" w:eastAsia="Times New Roman"/>
          <w:spacing w:val="-12"/>
          <w:sz w:val="21"/>
        </w:rPr>
        <w:t> </w:t>
      </w:r>
      <w:r>
        <w:rPr>
          <w:sz w:val="21"/>
        </w:rPr>
        <w:t>条约定的重大疾病无等待期。</w:t>
      </w:r>
    </w:p>
    <w:p>
      <w:pPr>
        <w:pStyle w:val="BodyText"/>
        <w:spacing w:before="11"/>
        <w:rPr>
          <w:sz w:val="22"/>
        </w:rPr>
      </w:pPr>
    </w:p>
    <w:p>
      <w:pPr>
        <w:pStyle w:val="ListParagraph"/>
        <w:numPr>
          <w:ilvl w:val="1"/>
          <w:numId w:val="4"/>
        </w:numPr>
        <w:tabs>
          <w:tab w:pos="1277" w:val="left" w:leader="none"/>
          <w:tab w:pos="1278" w:val="left" w:leader="none"/>
          <w:tab w:pos="2863" w:val="left" w:leader="none"/>
        </w:tabs>
        <w:spacing w:line="240" w:lineRule="auto" w:before="0" w:after="0"/>
        <w:ind w:left="2864" w:right="0" w:hanging="2638"/>
        <w:jc w:val="left"/>
        <w:rPr>
          <w:sz w:val="21"/>
        </w:rPr>
      </w:pPr>
      <w:r>
        <w:rPr>
          <w:b/>
          <w:sz w:val="21"/>
        </w:rPr>
        <w:t>保险责任</w:t>
        <w:tab/>
      </w:r>
      <w:r>
        <w:rPr>
          <w:sz w:val="21"/>
        </w:rPr>
        <w:t>在本附加合同有效期内，我们承担下列保险责任：</w:t>
      </w:r>
    </w:p>
    <w:p>
      <w:pPr>
        <w:pStyle w:val="BodyText"/>
        <w:spacing w:before="5"/>
        <w:rPr>
          <w:sz w:val="28"/>
        </w:rPr>
      </w:pPr>
    </w:p>
    <w:p>
      <w:pPr>
        <w:pStyle w:val="ListParagraph"/>
        <w:numPr>
          <w:ilvl w:val="2"/>
          <w:numId w:val="4"/>
        </w:numPr>
        <w:tabs>
          <w:tab w:pos="1277" w:val="left" w:leader="none"/>
          <w:tab w:pos="1278" w:val="left" w:leader="none"/>
          <w:tab w:pos="2863" w:val="left" w:leader="none"/>
        </w:tabs>
        <w:spacing w:line="180" w:lineRule="auto" w:before="0" w:after="0"/>
        <w:ind w:left="2864" w:right="367" w:hanging="2638"/>
        <w:jc w:val="left"/>
        <w:rPr>
          <w:sz w:val="21"/>
        </w:rPr>
      </w:pPr>
      <w:r>
        <w:rPr>
          <w:b/>
          <w:position w:val="-3"/>
          <w:sz w:val="21"/>
        </w:rPr>
        <w:t>身故保险金</w:t>
        <w:tab/>
      </w:r>
      <w:r>
        <w:rPr>
          <w:sz w:val="21"/>
        </w:rPr>
        <w:t>如果被保险人</w:t>
      </w:r>
      <w:r>
        <w:rPr>
          <w:spacing w:val="2"/>
          <w:sz w:val="21"/>
        </w:rPr>
        <w:t>身</w:t>
      </w:r>
      <w:r>
        <w:rPr>
          <w:sz w:val="21"/>
        </w:rPr>
        <w:t>故，我们将</w:t>
      </w:r>
      <w:r>
        <w:rPr>
          <w:spacing w:val="2"/>
          <w:sz w:val="21"/>
        </w:rPr>
        <w:t>按</w:t>
      </w:r>
      <w:r>
        <w:rPr>
          <w:sz w:val="21"/>
        </w:rPr>
        <w:t>以</w:t>
      </w:r>
      <w:r>
        <w:rPr>
          <w:spacing w:val="2"/>
          <w:sz w:val="21"/>
        </w:rPr>
        <w:t>下</w:t>
      </w:r>
      <w:r>
        <w:rPr>
          <w:sz w:val="21"/>
        </w:rPr>
        <w:t>方式向</w:t>
      </w:r>
      <w:r>
        <w:rPr>
          <w:spacing w:val="2"/>
          <w:sz w:val="21"/>
        </w:rPr>
        <w:t>身</w:t>
      </w:r>
      <w:r>
        <w:rPr>
          <w:sz w:val="21"/>
        </w:rPr>
        <w:t>故保险金受益人给付</w:t>
      </w:r>
      <w:r>
        <w:rPr>
          <w:spacing w:val="5"/>
          <w:sz w:val="21"/>
        </w:rPr>
        <w:t>身</w:t>
      </w:r>
      <w:r>
        <w:rPr>
          <w:sz w:val="21"/>
        </w:rPr>
        <w:t>故 保险金，同时本附加合同效力终止：</w:t>
      </w:r>
    </w:p>
    <w:p>
      <w:pPr>
        <w:pStyle w:val="BodyText"/>
        <w:spacing w:line="199" w:lineRule="auto" w:before="14"/>
        <w:ind w:left="2864" w:right="291"/>
      </w:pPr>
      <w:r>
        <w:rPr/>
        <w:t>（</w:t>
      </w:r>
      <w:r>
        <w:rPr>
          <w:rFonts w:ascii="Times New Roman" w:eastAsia="Times New Roman"/>
        </w:rPr>
        <w:t>1</w:t>
      </w:r>
      <w:r>
        <w:rPr/>
        <w:t>）如果被保险人身故时未满 </w:t>
      </w:r>
      <w:r>
        <w:rPr>
          <w:rFonts w:ascii="Times New Roman" w:eastAsia="Times New Roman"/>
        </w:rPr>
        <w:t>1 </w:t>
      </w:r>
      <w:r>
        <w:rPr/>
        <w:t>周岁，我们将按身故时本附加合同的基本保险金额的 </w:t>
      </w:r>
      <w:r>
        <w:rPr>
          <w:rFonts w:ascii="Times New Roman" w:eastAsia="Times New Roman"/>
        </w:rPr>
        <w:t>30%</w:t>
      </w:r>
      <w:r>
        <w:rPr/>
        <w:t>给付身故保险金；</w:t>
      </w:r>
    </w:p>
    <w:p>
      <w:pPr>
        <w:pStyle w:val="BodyText"/>
        <w:spacing w:line="199" w:lineRule="auto"/>
        <w:ind w:left="2864" w:right="357"/>
      </w:pPr>
      <w:r>
        <w:rPr/>
        <w:t>（</w:t>
      </w:r>
      <w:r>
        <w:rPr>
          <w:rFonts w:ascii="Times New Roman" w:eastAsia="Times New Roman"/>
        </w:rPr>
        <w:t>2</w:t>
      </w:r>
      <w:r>
        <w:rPr/>
        <w:t>）</w:t>
      </w:r>
      <w:r>
        <w:rPr>
          <w:spacing w:val="-5"/>
        </w:rPr>
        <w:t>如果被保险人身故时已满 </w:t>
      </w:r>
      <w:r>
        <w:rPr>
          <w:rFonts w:ascii="Times New Roman" w:eastAsia="Times New Roman"/>
        </w:rPr>
        <w:t>1 </w:t>
      </w:r>
      <w:r>
        <w:rPr>
          <w:spacing w:val="-10"/>
        </w:rPr>
        <w:t>周岁但未满 </w:t>
      </w:r>
      <w:r>
        <w:rPr>
          <w:rFonts w:ascii="Times New Roman" w:eastAsia="Times New Roman"/>
        </w:rPr>
        <w:t>2 </w:t>
      </w:r>
      <w:r>
        <w:rPr/>
        <w:t>周岁，我们将按身故时</w:t>
      </w:r>
      <w:r>
        <w:rPr>
          <w:spacing w:val="-5"/>
        </w:rPr>
        <w:t>本附加合同的基本保险金额的 </w:t>
      </w:r>
      <w:r>
        <w:rPr>
          <w:rFonts w:ascii="Times New Roman" w:eastAsia="Times New Roman"/>
        </w:rPr>
        <w:t>60%</w:t>
      </w:r>
      <w:r>
        <w:rPr/>
        <w:t>给付身故保险金；</w:t>
      </w:r>
    </w:p>
    <w:p>
      <w:pPr>
        <w:pStyle w:val="BodyText"/>
        <w:spacing w:line="199" w:lineRule="auto"/>
        <w:ind w:left="2864" w:right="291"/>
      </w:pPr>
      <w:r>
        <w:rPr/>
        <w:t>（</w:t>
      </w:r>
      <w:r>
        <w:rPr>
          <w:rFonts w:ascii="Times New Roman" w:eastAsia="Times New Roman"/>
        </w:rPr>
        <w:t>3</w:t>
      </w:r>
      <w:r>
        <w:rPr/>
        <w:t>）如果被保险人身故时已满 </w:t>
      </w:r>
      <w:r>
        <w:rPr>
          <w:rFonts w:ascii="Times New Roman" w:eastAsia="Times New Roman"/>
        </w:rPr>
        <w:t>2 </w:t>
      </w:r>
      <w:r>
        <w:rPr/>
        <w:t>周岁，我们将按身故时本附加合同的基本保险金额给付身故保险金。</w:t>
      </w:r>
    </w:p>
    <w:p>
      <w:pPr>
        <w:pStyle w:val="BodyText"/>
        <w:spacing w:before="6"/>
        <w:rPr>
          <w:sz w:val="12"/>
        </w:rPr>
      </w:pPr>
    </w:p>
    <w:p>
      <w:pPr>
        <w:spacing w:after="0"/>
        <w:rPr>
          <w:sz w:val="12"/>
        </w:rPr>
        <w:sectPr>
          <w:pgSz w:w="11900" w:h="16840"/>
          <w:pgMar w:header="0" w:footer="866" w:top="1200" w:bottom="1060" w:left="1500" w:right="780"/>
        </w:sectPr>
      </w:pPr>
    </w:p>
    <w:p>
      <w:pPr>
        <w:pStyle w:val="Heading3"/>
        <w:numPr>
          <w:ilvl w:val="2"/>
          <w:numId w:val="4"/>
        </w:numPr>
        <w:tabs>
          <w:tab w:pos="1277" w:val="left" w:leader="none"/>
          <w:tab w:pos="1278" w:val="left" w:leader="none"/>
        </w:tabs>
        <w:spacing w:line="240" w:lineRule="auto" w:before="72" w:after="0"/>
        <w:ind w:left="2864" w:right="0" w:hanging="2638"/>
        <w:jc w:val="left"/>
      </w:pPr>
      <w:r>
        <w:rPr>
          <w:w w:val="95"/>
        </w:rPr>
        <w:t>未成年人身故</w:t>
      </w:r>
    </w:p>
    <w:p>
      <w:pPr>
        <w:spacing w:before="31"/>
        <w:ind w:left="1278" w:right="0" w:firstLine="0"/>
        <w:jc w:val="left"/>
        <w:rPr>
          <w:b/>
          <w:sz w:val="21"/>
        </w:rPr>
      </w:pPr>
      <w:r>
        <w:rPr>
          <w:b/>
          <w:w w:val="95"/>
          <w:sz w:val="21"/>
        </w:rPr>
        <w:t>保险金限制</w:t>
      </w:r>
    </w:p>
    <w:p>
      <w:pPr>
        <w:pStyle w:val="BodyText"/>
        <w:spacing w:line="208" w:lineRule="auto" w:before="71"/>
        <w:ind w:left="226" w:right="455"/>
        <w:jc w:val="both"/>
      </w:pPr>
      <w:r>
        <w:rPr/>
        <w:br w:type="column"/>
      </w:r>
      <w:r>
        <w:rPr/>
        <w:t>为未成年子女投保的人身保险，因被保险人身故给付的保险金总和不得超过国务院保险监督管理机构规定的限额，身故给付的保险金额总和约定也不得超过前述限制。</w:t>
      </w:r>
    </w:p>
    <w:p>
      <w:pPr>
        <w:spacing w:after="0" w:line="208" w:lineRule="auto"/>
        <w:jc w:val="both"/>
        <w:sectPr>
          <w:type w:val="continuous"/>
          <w:pgSz w:w="11900" w:h="16840"/>
          <w:pgMar w:top="160" w:bottom="280" w:left="1500" w:right="780"/>
          <w:cols w:num="2" w:equalWidth="0">
            <w:col w:w="2541" w:space="97"/>
            <w:col w:w="6982"/>
          </w:cols>
        </w:sectPr>
      </w:pPr>
    </w:p>
    <w:p>
      <w:pPr>
        <w:pStyle w:val="BodyText"/>
        <w:spacing w:before="4"/>
        <w:rPr>
          <w:sz w:val="12"/>
        </w:rPr>
      </w:pPr>
    </w:p>
    <w:p>
      <w:pPr>
        <w:spacing w:after="0"/>
        <w:rPr>
          <w:sz w:val="12"/>
        </w:rPr>
        <w:sectPr>
          <w:type w:val="continuous"/>
          <w:pgSz w:w="11900" w:h="16840"/>
          <w:pgMar w:top="160" w:bottom="280" w:left="1500" w:right="780"/>
        </w:sectPr>
      </w:pPr>
    </w:p>
    <w:p>
      <w:pPr>
        <w:pStyle w:val="Heading3"/>
        <w:numPr>
          <w:ilvl w:val="2"/>
          <w:numId w:val="4"/>
        </w:numPr>
        <w:tabs>
          <w:tab w:pos="1277" w:val="left" w:leader="none"/>
          <w:tab w:pos="1278" w:val="left" w:leader="none"/>
        </w:tabs>
        <w:spacing w:line="256" w:lineRule="auto" w:before="71" w:after="0"/>
        <w:ind w:left="1278" w:right="0" w:hanging="1052"/>
        <w:jc w:val="left"/>
      </w:pPr>
      <w:r>
        <w:rPr/>
        <w:pict>
          <v:shape style="position:absolute;margin-left:83.800003pt;margin-top:29.090246pt;width:462.4pt;height:191.2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5"/>
                    <w:gridCol w:w="1635"/>
                    <w:gridCol w:w="6826"/>
                  </w:tblGrid>
                  <w:tr>
                    <w:trPr>
                      <w:trHeight w:val="221" w:hRule="atLeast"/>
                    </w:trPr>
                    <w:tc>
                      <w:tcPr>
                        <w:tcW w:w="2420" w:type="dxa"/>
                        <w:gridSpan w:val="2"/>
                        <w:vMerge w:val="restart"/>
                      </w:tcPr>
                      <w:p>
                        <w:pPr>
                          <w:pStyle w:val="TableParagraph"/>
                          <w:rPr>
                            <w:rFonts w:ascii="Times New Roman"/>
                            <w:sz w:val="20"/>
                          </w:rPr>
                        </w:pPr>
                      </w:p>
                    </w:tc>
                    <w:tc>
                      <w:tcPr>
                        <w:tcW w:w="6826" w:type="dxa"/>
                      </w:tcPr>
                      <w:p>
                        <w:pPr>
                          <w:pStyle w:val="TableParagraph"/>
                          <w:spacing w:line="202" w:lineRule="exact"/>
                          <w:ind w:left="267"/>
                          <w:rPr>
                            <w:sz w:val="21"/>
                          </w:rPr>
                        </w:pPr>
                        <w:r>
                          <w:rPr>
                            <w:sz w:val="21"/>
                          </w:rPr>
                          <w:t>以下方式向被保险人提前给付保险金，同时本附加合同效力终止：</w:t>
                        </w:r>
                      </w:p>
                    </w:tc>
                  </w:tr>
                  <w:tr>
                    <w:trPr>
                      <w:trHeight w:val="1564" w:hRule="atLeast"/>
                    </w:trPr>
                    <w:tc>
                      <w:tcPr>
                        <w:tcW w:w="2420" w:type="dxa"/>
                        <w:gridSpan w:val="2"/>
                        <w:vMerge/>
                        <w:tcBorders>
                          <w:top w:val="nil"/>
                        </w:tcBorders>
                      </w:tcPr>
                      <w:p>
                        <w:pPr>
                          <w:rPr>
                            <w:sz w:val="2"/>
                            <w:szCs w:val="2"/>
                          </w:rPr>
                        </w:pPr>
                      </w:p>
                    </w:tc>
                    <w:tc>
                      <w:tcPr>
                        <w:tcW w:w="6826" w:type="dxa"/>
                      </w:tcPr>
                      <w:p>
                        <w:pPr>
                          <w:pStyle w:val="TableParagraph"/>
                          <w:spacing w:line="199" w:lineRule="auto" w:before="3"/>
                          <w:ind w:left="267" w:right="92"/>
                          <w:rPr>
                            <w:sz w:val="21"/>
                          </w:rPr>
                        </w:pPr>
                        <w:r>
                          <w:rPr>
                            <w:sz w:val="21"/>
                          </w:rPr>
                          <w:t>（</w:t>
                        </w:r>
                        <w:r>
                          <w:rPr>
                            <w:rFonts w:ascii="Times New Roman" w:eastAsia="Times New Roman"/>
                            <w:sz w:val="21"/>
                          </w:rPr>
                          <w:t>1</w:t>
                        </w:r>
                        <w:r>
                          <w:rPr>
                            <w:sz w:val="21"/>
                          </w:rPr>
                          <w:t>）若被保险人被确诊患有重大疾病时未满 </w:t>
                        </w:r>
                        <w:r>
                          <w:rPr>
                            <w:rFonts w:ascii="Times New Roman" w:eastAsia="Times New Roman"/>
                            <w:sz w:val="21"/>
                          </w:rPr>
                          <w:t>1 </w:t>
                        </w:r>
                        <w:r>
                          <w:rPr>
                            <w:sz w:val="21"/>
                          </w:rPr>
                          <w:t>周岁，我们将按本附加合同的基本保险金额的 </w:t>
                        </w:r>
                        <w:r>
                          <w:rPr>
                            <w:rFonts w:ascii="Times New Roman" w:eastAsia="Times New Roman"/>
                            <w:sz w:val="21"/>
                          </w:rPr>
                          <w:t>30%</w:t>
                        </w:r>
                        <w:r>
                          <w:rPr>
                            <w:sz w:val="21"/>
                          </w:rPr>
                          <w:t>提前给付保险金；</w:t>
                        </w:r>
                      </w:p>
                      <w:p>
                        <w:pPr>
                          <w:pStyle w:val="TableParagraph"/>
                          <w:spacing w:line="199" w:lineRule="auto"/>
                          <w:ind w:left="267" w:right="156"/>
                          <w:rPr>
                            <w:sz w:val="21"/>
                          </w:rPr>
                        </w:pPr>
                        <w:r>
                          <w:rPr>
                            <w:sz w:val="21"/>
                          </w:rPr>
                          <w:t>（</w:t>
                        </w:r>
                        <w:r>
                          <w:rPr>
                            <w:rFonts w:ascii="Times New Roman" w:eastAsia="Times New Roman"/>
                            <w:sz w:val="21"/>
                          </w:rPr>
                          <w:t>2</w:t>
                        </w:r>
                        <w:r>
                          <w:rPr>
                            <w:sz w:val="21"/>
                          </w:rPr>
                          <w:t>）</w:t>
                        </w:r>
                        <w:r>
                          <w:rPr>
                            <w:spacing w:val="-3"/>
                            <w:sz w:val="21"/>
                          </w:rPr>
                          <w:t>若被保险人被确诊患有重大疾病时已满 </w:t>
                        </w:r>
                        <w:r>
                          <w:rPr>
                            <w:rFonts w:ascii="Times New Roman" w:eastAsia="Times New Roman"/>
                            <w:sz w:val="21"/>
                          </w:rPr>
                          <w:t>1 </w:t>
                        </w:r>
                        <w:r>
                          <w:rPr>
                            <w:spacing w:val="-10"/>
                            <w:sz w:val="21"/>
                          </w:rPr>
                          <w:t>周岁但未满 </w:t>
                        </w:r>
                        <w:r>
                          <w:rPr>
                            <w:rFonts w:ascii="Times New Roman" w:eastAsia="Times New Roman"/>
                            <w:sz w:val="21"/>
                          </w:rPr>
                          <w:t>2 </w:t>
                        </w:r>
                        <w:r>
                          <w:rPr>
                            <w:sz w:val="21"/>
                          </w:rPr>
                          <w:t>周岁，我</w:t>
                        </w:r>
                        <w:r>
                          <w:rPr>
                            <w:spacing w:val="-4"/>
                            <w:sz w:val="21"/>
                          </w:rPr>
                          <w:t>们将按本附加合同的基本保险金额的 </w:t>
                        </w:r>
                        <w:r>
                          <w:rPr>
                            <w:rFonts w:ascii="Times New Roman" w:eastAsia="Times New Roman"/>
                            <w:sz w:val="21"/>
                          </w:rPr>
                          <w:t>60%</w:t>
                        </w:r>
                        <w:r>
                          <w:rPr>
                            <w:sz w:val="21"/>
                          </w:rPr>
                          <w:t>提前给付保险金；</w:t>
                        </w:r>
                      </w:p>
                      <w:p>
                        <w:pPr>
                          <w:pStyle w:val="TableParagraph"/>
                          <w:spacing w:line="199" w:lineRule="auto"/>
                          <w:ind w:left="267" w:right="92"/>
                          <w:rPr>
                            <w:sz w:val="21"/>
                          </w:rPr>
                        </w:pPr>
                        <w:r>
                          <w:rPr>
                            <w:sz w:val="21"/>
                          </w:rPr>
                          <w:t>（</w:t>
                        </w:r>
                        <w:r>
                          <w:rPr>
                            <w:rFonts w:ascii="Times New Roman" w:eastAsia="Times New Roman"/>
                            <w:sz w:val="21"/>
                          </w:rPr>
                          <w:t>3</w:t>
                        </w:r>
                        <w:r>
                          <w:rPr>
                            <w:sz w:val="21"/>
                          </w:rPr>
                          <w:t>）若被保险人被确诊患有重大疾病时已满 </w:t>
                        </w:r>
                        <w:r>
                          <w:rPr>
                            <w:rFonts w:ascii="Times New Roman" w:eastAsia="Times New Roman"/>
                            <w:sz w:val="21"/>
                          </w:rPr>
                          <w:t>2 </w:t>
                        </w:r>
                        <w:r>
                          <w:rPr>
                            <w:sz w:val="21"/>
                          </w:rPr>
                          <w:t>周岁，我们将按本附加合同的基本保险金额提前给付保险金。</w:t>
                        </w:r>
                      </w:p>
                    </w:tc>
                  </w:tr>
                  <w:tr>
                    <w:trPr>
                      <w:trHeight w:val="356" w:hRule="atLeast"/>
                    </w:trPr>
                    <w:tc>
                      <w:tcPr>
                        <w:tcW w:w="2420" w:type="dxa"/>
                        <w:gridSpan w:val="2"/>
                        <w:vMerge/>
                        <w:tcBorders>
                          <w:top w:val="nil"/>
                        </w:tcBorders>
                      </w:tcPr>
                      <w:p>
                        <w:pPr>
                          <w:rPr>
                            <w:sz w:val="2"/>
                            <w:szCs w:val="2"/>
                          </w:rPr>
                        </w:pPr>
                      </w:p>
                    </w:tc>
                    <w:tc>
                      <w:tcPr>
                        <w:tcW w:w="6826" w:type="dxa"/>
                      </w:tcPr>
                      <w:p>
                        <w:pPr>
                          <w:pStyle w:val="TableParagraph"/>
                          <w:spacing w:line="270" w:lineRule="exact" w:before="67"/>
                          <w:ind w:left="267"/>
                          <w:rPr>
                            <w:b/>
                            <w:sz w:val="21"/>
                          </w:rPr>
                        </w:pPr>
                        <w:r>
                          <w:rPr>
                            <w:b/>
                            <w:sz w:val="21"/>
                          </w:rPr>
                          <w:t>在重大疾病提前给付保险金和身故保险金两项保险责任中，我们只承</w:t>
                        </w:r>
                      </w:p>
                    </w:tc>
                  </w:tr>
                  <w:tr>
                    <w:trPr>
                      <w:trHeight w:val="368" w:hRule="atLeast"/>
                    </w:trPr>
                    <w:tc>
                      <w:tcPr>
                        <w:tcW w:w="2420" w:type="dxa"/>
                        <w:gridSpan w:val="2"/>
                        <w:vMerge/>
                        <w:tcBorders>
                          <w:top w:val="nil"/>
                        </w:tcBorders>
                      </w:tcPr>
                      <w:p>
                        <w:pPr>
                          <w:rPr>
                            <w:sz w:val="2"/>
                            <w:szCs w:val="2"/>
                          </w:rPr>
                        </w:pPr>
                      </w:p>
                    </w:tc>
                    <w:tc>
                      <w:tcPr>
                        <w:tcW w:w="6826" w:type="dxa"/>
                      </w:tcPr>
                      <w:p>
                        <w:pPr>
                          <w:pStyle w:val="TableParagraph"/>
                          <w:spacing w:line="225" w:lineRule="exact"/>
                          <w:ind w:left="267"/>
                          <w:rPr>
                            <w:b/>
                            <w:sz w:val="21"/>
                          </w:rPr>
                        </w:pPr>
                        <w:r>
                          <w:rPr>
                            <w:b/>
                            <w:w w:val="95"/>
                            <w:sz w:val="21"/>
                          </w:rPr>
                          <w:t>担其中的一项。</w:t>
                        </w:r>
                      </w:p>
                    </w:tc>
                  </w:tr>
                  <w:tr>
                    <w:trPr>
                      <w:trHeight w:val="421" w:hRule="atLeast"/>
                    </w:trPr>
                    <w:tc>
                      <w:tcPr>
                        <w:tcW w:w="785" w:type="dxa"/>
                      </w:tcPr>
                      <w:p>
                        <w:pPr>
                          <w:pStyle w:val="TableParagraph"/>
                          <w:spacing w:before="134"/>
                          <w:ind w:left="50"/>
                          <w:rPr>
                            <w:rFonts w:ascii="Times New Roman"/>
                            <w:sz w:val="21"/>
                          </w:rPr>
                        </w:pPr>
                        <w:r>
                          <w:rPr>
                            <w:rFonts w:ascii="Times New Roman"/>
                            <w:sz w:val="21"/>
                          </w:rPr>
                          <w:t>2.4.4</w:t>
                        </w:r>
                      </w:p>
                    </w:tc>
                    <w:tc>
                      <w:tcPr>
                        <w:tcW w:w="1635" w:type="dxa"/>
                      </w:tcPr>
                      <w:p>
                        <w:pPr>
                          <w:pStyle w:val="TableParagraph"/>
                          <w:spacing w:before="89"/>
                          <w:ind w:left="317"/>
                          <w:rPr>
                            <w:b/>
                            <w:sz w:val="21"/>
                          </w:rPr>
                        </w:pPr>
                        <w:r>
                          <w:rPr>
                            <w:b/>
                            <w:w w:val="95"/>
                            <w:sz w:val="21"/>
                          </w:rPr>
                          <w:t>全残提前</w:t>
                        </w:r>
                      </w:p>
                    </w:tc>
                    <w:tc>
                      <w:tcPr>
                        <w:tcW w:w="6826" w:type="dxa"/>
                      </w:tcPr>
                      <w:p>
                        <w:pPr>
                          <w:pStyle w:val="TableParagraph"/>
                          <w:spacing w:before="89"/>
                          <w:ind w:left="267"/>
                          <w:rPr>
                            <w:sz w:val="21"/>
                          </w:rPr>
                        </w:pPr>
                        <w:r>
                          <w:rPr>
                            <w:sz w:val="21"/>
                          </w:rPr>
                          <w:t>若被保险人发生本附加合同所约定的全残，且确认全残时未满</w:t>
                        </w:r>
                        <w:r>
                          <w:rPr>
                            <w:rFonts w:ascii="Times New Roman" w:eastAsia="Times New Roman"/>
                            <w:sz w:val="21"/>
                          </w:rPr>
                          <w:t>60</w:t>
                        </w:r>
                        <w:r>
                          <w:rPr>
                            <w:sz w:val="21"/>
                          </w:rPr>
                          <w:t>周岁，</w:t>
                        </w:r>
                      </w:p>
                    </w:tc>
                  </w:tr>
                  <w:tr>
                    <w:trPr>
                      <w:trHeight w:val="300" w:hRule="atLeast"/>
                    </w:trPr>
                    <w:tc>
                      <w:tcPr>
                        <w:tcW w:w="785" w:type="dxa"/>
                      </w:tcPr>
                      <w:p>
                        <w:pPr>
                          <w:pStyle w:val="TableParagraph"/>
                          <w:rPr>
                            <w:rFonts w:ascii="Times New Roman"/>
                            <w:sz w:val="20"/>
                          </w:rPr>
                        </w:pPr>
                      </w:p>
                    </w:tc>
                    <w:tc>
                      <w:tcPr>
                        <w:tcW w:w="1635" w:type="dxa"/>
                      </w:tcPr>
                      <w:p>
                        <w:pPr>
                          <w:pStyle w:val="TableParagraph"/>
                          <w:spacing w:line="255" w:lineRule="exact"/>
                          <w:ind w:left="317"/>
                          <w:rPr>
                            <w:b/>
                            <w:sz w:val="21"/>
                          </w:rPr>
                        </w:pPr>
                        <w:r>
                          <w:rPr>
                            <w:b/>
                            <w:w w:val="95"/>
                            <w:sz w:val="21"/>
                          </w:rPr>
                          <w:t>给付保险金</w:t>
                        </w:r>
                      </w:p>
                    </w:tc>
                    <w:tc>
                      <w:tcPr>
                        <w:tcW w:w="6826" w:type="dxa"/>
                      </w:tcPr>
                      <w:p>
                        <w:pPr>
                          <w:pStyle w:val="TableParagraph"/>
                          <w:spacing w:line="255" w:lineRule="exact"/>
                          <w:ind w:left="267"/>
                          <w:rPr>
                            <w:sz w:val="21"/>
                          </w:rPr>
                        </w:pPr>
                        <w:r>
                          <w:rPr>
                            <w:sz w:val="21"/>
                          </w:rPr>
                          <w:t>我们将按照以下方式向被保险人提前给付保险金：</w:t>
                        </w:r>
                      </w:p>
                    </w:tc>
                  </w:tr>
                  <w:tr>
                    <w:trPr>
                      <w:trHeight w:val="317" w:hRule="atLeast"/>
                    </w:trPr>
                    <w:tc>
                      <w:tcPr>
                        <w:tcW w:w="785" w:type="dxa"/>
                      </w:tcPr>
                      <w:p>
                        <w:pPr>
                          <w:pStyle w:val="TableParagraph"/>
                          <w:rPr>
                            <w:rFonts w:ascii="Times New Roman"/>
                            <w:sz w:val="20"/>
                          </w:rPr>
                        </w:pPr>
                      </w:p>
                    </w:tc>
                    <w:tc>
                      <w:tcPr>
                        <w:tcW w:w="1635" w:type="dxa"/>
                      </w:tcPr>
                      <w:p>
                        <w:pPr>
                          <w:pStyle w:val="TableParagraph"/>
                          <w:rPr>
                            <w:rFonts w:ascii="Times New Roman"/>
                            <w:sz w:val="20"/>
                          </w:rPr>
                        </w:pPr>
                      </w:p>
                    </w:tc>
                    <w:tc>
                      <w:tcPr>
                        <w:tcW w:w="6826" w:type="dxa"/>
                      </w:tcPr>
                      <w:p>
                        <w:pPr>
                          <w:pStyle w:val="TableParagraph"/>
                          <w:spacing w:line="282" w:lineRule="exact"/>
                          <w:ind w:left="267"/>
                          <w:rPr>
                            <w:sz w:val="21"/>
                          </w:rPr>
                        </w:pPr>
                        <w:r>
                          <w:rPr>
                            <w:sz w:val="21"/>
                          </w:rPr>
                          <w:t>（</w:t>
                        </w:r>
                        <w:r>
                          <w:rPr>
                            <w:rFonts w:ascii="Times New Roman" w:eastAsia="Times New Roman"/>
                            <w:sz w:val="21"/>
                          </w:rPr>
                          <w:t>1</w:t>
                        </w:r>
                        <w:r>
                          <w:rPr>
                            <w:sz w:val="21"/>
                          </w:rPr>
                          <w:t>）在首次确认全残后，我们将按照被保险人全残被确认时本附加合</w:t>
                        </w:r>
                      </w:p>
                    </w:tc>
                  </w:tr>
                  <w:tr>
                    <w:trPr>
                      <w:trHeight w:val="272" w:hRule="atLeast"/>
                    </w:trPr>
                    <w:tc>
                      <w:tcPr>
                        <w:tcW w:w="785" w:type="dxa"/>
                      </w:tcPr>
                      <w:p>
                        <w:pPr>
                          <w:pStyle w:val="TableParagraph"/>
                          <w:rPr>
                            <w:rFonts w:ascii="Times New Roman"/>
                            <w:sz w:val="20"/>
                          </w:rPr>
                        </w:pPr>
                      </w:p>
                    </w:tc>
                    <w:tc>
                      <w:tcPr>
                        <w:tcW w:w="1635" w:type="dxa"/>
                      </w:tcPr>
                      <w:p>
                        <w:pPr>
                          <w:pStyle w:val="TableParagraph"/>
                          <w:rPr>
                            <w:rFonts w:ascii="Times New Roman"/>
                            <w:sz w:val="20"/>
                          </w:rPr>
                        </w:pPr>
                      </w:p>
                    </w:tc>
                    <w:tc>
                      <w:tcPr>
                        <w:tcW w:w="6826" w:type="dxa"/>
                      </w:tcPr>
                      <w:p>
                        <w:pPr>
                          <w:pStyle w:val="TableParagraph"/>
                          <w:spacing w:line="252" w:lineRule="exact"/>
                          <w:ind w:left="267"/>
                          <w:rPr>
                            <w:sz w:val="21"/>
                          </w:rPr>
                        </w:pPr>
                        <w:r>
                          <w:rPr>
                            <w:sz w:val="21"/>
                          </w:rPr>
                          <w:t>同的基本保险金额的</w:t>
                        </w:r>
                        <w:r>
                          <w:rPr>
                            <w:rFonts w:ascii="Times New Roman" w:eastAsia="Times New Roman"/>
                            <w:sz w:val="21"/>
                          </w:rPr>
                          <w:t>10</w:t>
                        </w:r>
                        <w:r>
                          <w:rPr>
                            <w:sz w:val="21"/>
                          </w:rPr>
                          <w:t>％提前给付保险金；</w:t>
                        </w:r>
                      </w:p>
                    </w:tc>
                  </w:tr>
                </w:tbl>
                <w:p>
                  <w:pPr>
                    <w:pStyle w:val="BodyText"/>
                  </w:pPr>
                </w:p>
              </w:txbxContent>
            </v:textbox>
            <w10:wrap type="none"/>
          </v:shape>
        </w:pict>
      </w:r>
      <w:r>
        <w:rPr>
          <w:w w:val="95"/>
        </w:rPr>
        <w:t>重大疾病提前给付保险金</w:t>
      </w:r>
    </w:p>
    <w:p>
      <w:pPr>
        <w:pStyle w:val="BodyText"/>
        <w:spacing w:line="208" w:lineRule="auto" w:before="71"/>
        <w:ind w:left="226" w:right="358"/>
      </w:pPr>
      <w:r>
        <w:rPr/>
        <w:br w:type="column"/>
      </w:r>
      <w:r>
        <w:rPr/>
        <w:t>如果被保险人在等待期后首次</w:t>
      </w:r>
      <w:r>
        <w:rPr>
          <w:b/>
        </w:rPr>
        <w:t>发病</w:t>
      </w:r>
      <w:r>
        <w:rPr/>
        <w:t>并经</w:t>
      </w:r>
      <w:r>
        <w:rPr>
          <w:b/>
        </w:rPr>
        <w:t>专科医生</w:t>
      </w:r>
      <w:r>
        <w:rPr/>
        <w:t>首次确诊患有任何一项或多项本附加合同第 </w:t>
      </w:r>
      <w:r>
        <w:rPr>
          <w:rFonts w:ascii="Times New Roman" w:eastAsia="Times New Roman"/>
        </w:rPr>
        <w:t>6 </w:t>
      </w:r>
      <w:r>
        <w:rPr/>
        <w:t>条保障范围及定义的重大疾病，我们将按照</w:t>
      </w:r>
    </w:p>
    <w:p>
      <w:pPr>
        <w:spacing w:after="0" w:line="208" w:lineRule="auto"/>
        <w:sectPr>
          <w:type w:val="continuous"/>
          <w:pgSz w:w="11900" w:h="16840"/>
          <w:pgMar w:top="160" w:bottom="280" w:left="1500" w:right="780"/>
          <w:cols w:num="2" w:equalWidth="0">
            <w:col w:w="2540" w:space="98"/>
            <w:col w:w="6982"/>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2"/>
        </w:rPr>
      </w:pPr>
    </w:p>
    <w:p>
      <w:pPr>
        <w:spacing w:after="0"/>
        <w:rPr>
          <w:sz w:val="22"/>
        </w:rPr>
        <w:sectPr>
          <w:pgSz w:w="11900" w:h="16840"/>
          <w:pgMar w:header="0" w:footer="866" w:top="1280" w:bottom="1060" w:left="1000" w:right="1380"/>
        </w:sectPr>
      </w:pPr>
    </w:p>
    <w:p>
      <w:pPr>
        <w:pStyle w:val="Heading3"/>
        <w:spacing w:before="143"/>
        <w:ind w:left="1211"/>
      </w:pPr>
      <w:r>
        <w:rPr/>
        <w:pict>
          <v:shape style="position:absolute;margin-left:55.5pt;margin-top:64.143311pt;width:463.6pt;height:661.65pt;mso-position-horizontal-relative:page;mso-position-vertical-relative:page;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5"/>
                    <w:gridCol w:w="1739"/>
                    <w:gridCol w:w="6746"/>
                  </w:tblGrid>
                  <w:tr>
                    <w:trPr>
                      <w:trHeight w:val="272" w:hRule="atLeast"/>
                    </w:trPr>
                    <w:tc>
                      <w:tcPr>
                        <w:tcW w:w="785" w:type="dxa"/>
                      </w:tcPr>
                      <w:p>
                        <w:pPr>
                          <w:pStyle w:val="TableParagraph"/>
                          <w:rPr>
                            <w:rFonts w:ascii="Times New Roman"/>
                            <w:sz w:val="20"/>
                          </w:rPr>
                        </w:pPr>
                      </w:p>
                    </w:tc>
                    <w:tc>
                      <w:tcPr>
                        <w:tcW w:w="1739" w:type="dxa"/>
                      </w:tcPr>
                      <w:p>
                        <w:pPr>
                          <w:pStyle w:val="TableParagraph"/>
                          <w:rPr>
                            <w:rFonts w:ascii="Times New Roman"/>
                            <w:sz w:val="20"/>
                          </w:rPr>
                        </w:pPr>
                      </w:p>
                    </w:tc>
                    <w:tc>
                      <w:tcPr>
                        <w:tcW w:w="6746" w:type="dxa"/>
                      </w:tcPr>
                      <w:p>
                        <w:pPr>
                          <w:pStyle w:val="TableParagraph"/>
                          <w:spacing w:line="237" w:lineRule="exact"/>
                          <w:ind w:left="162"/>
                          <w:rPr>
                            <w:sz w:val="21"/>
                          </w:rPr>
                        </w:pPr>
                        <w:r>
                          <w:rPr>
                            <w:sz w:val="21"/>
                          </w:rPr>
                          <w:t>（</w:t>
                        </w:r>
                        <w:r>
                          <w:rPr>
                            <w:rFonts w:ascii="Times New Roman" w:eastAsia="Times New Roman"/>
                            <w:sz w:val="21"/>
                          </w:rPr>
                          <w:t>2</w:t>
                        </w:r>
                        <w:r>
                          <w:rPr>
                            <w:sz w:val="21"/>
                          </w:rPr>
                          <w:t>）在确认全残满</w:t>
                        </w:r>
                        <w:r>
                          <w:rPr>
                            <w:rFonts w:ascii="Times New Roman" w:eastAsia="Times New Roman"/>
                            <w:sz w:val="21"/>
                          </w:rPr>
                          <w:t>1</w:t>
                        </w:r>
                        <w:r>
                          <w:rPr>
                            <w:sz w:val="21"/>
                          </w:rPr>
                          <w:t>周年时，若被保险人持续全残，我们将按照被保</w:t>
                        </w:r>
                      </w:p>
                    </w:tc>
                  </w:tr>
                  <w:tr>
                    <w:trPr>
                      <w:trHeight w:val="317" w:hRule="atLeast"/>
                    </w:trPr>
                    <w:tc>
                      <w:tcPr>
                        <w:tcW w:w="785" w:type="dxa"/>
                      </w:tcPr>
                      <w:p>
                        <w:pPr>
                          <w:pStyle w:val="TableParagraph"/>
                          <w:rPr>
                            <w:rFonts w:ascii="Times New Roman"/>
                            <w:sz w:val="20"/>
                          </w:rPr>
                        </w:pPr>
                      </w:p>
                    </w:tc>
                    <w:tc>
                      <w:tcPr>
                        <w:tcW w:w="1739" w:type="dxa"/>
                      </w:tcPr>
                      <w:p>
                        <w:pPr>
                          <w:pStyle w:val="TableParagraph"/>
                          <w:rPr>
                            <w:rFonts w:ascii="Times New Roman"/>
                            <w:sz w:val="20"/>
                          </w:rPr>
                        </w:pPr>
                      </w:p>
                    </w:tc>
                    <w:tc>
                      <w:tcPr>
                        <w:tcW w:w="6746" w:type="dxa"/>
                      </w:tcPr>
                      <w:p>
                        <w:pPr>
                          <w:pStyle w:val="TableParagraph"/>
                          <w:spacing w:line="276" w:lineRule="exact"/>
                          <w:ind w:left="162"/>
                          <w:rPr>
                            <w:sz w:val="21"/>
                          </w:rPr>
                        </w:pPr>
                        <w:r>
                          <w:rPr>
                            <w:sz w:val="21"/>
                          </w:rPr>
                          <w:t>险人全残首次被确认时本附加合同的基本保险金额的</w:t>
                        </w:r>
                        <w:r>
                          <w:rPr>
                            <w:rFonts w:ascii="Times New Roman" w:eastAsia="Times New Roman"/>
                            <w:sz w:val="21"/>
                          </w:rPr>
                          <w:t>20</w:t>
                        </w:r>
                        <w:r>
                          <w:rPr>
                            <w:sz w:val="21"/>
                          </w:rPr>
                          <w:t>％提前给付保</w:t>
                        </w:r>
                      </w:p>
                    </w:tc>
                  </w:tr>
                  <w:tr>
                    <w:trPr>
                      <w:trHeight w:val="300" w:hRule="atLeast"/>
                    </w:trPr>
                    <w:tc>
                      <w:tcPr>
                        <w:tcW w:w="785" w:type="dxa"/>
                      </w:tcPr>
                      <w:p>
                        <w:pPr>
                          <w:pStyle w:val="TableParagraph"/>
                          <w:rPr>
                            <w:rFonts w:ascii="Times New Roman"/>
                            <w:sz w:val="20"/>
                          </w:rPr>
                        </w:pPr>
                      </w:p>
                    </w:tc>
                    <w:tc>
                      <w:tcPr>
                        <w:tcW w:w="1739" w:type="dxa"/>
                      </w:tcPr>
                      <w:p>
                        <w:pPr>
                          <w:pStyle w:val="TableParagraph"/>
                          <w:rPr>
                            <w:rFonts w:ascii="Times New Roman"/>
                            <w:sz w:val="20"/>
                          </w:rPr>
                        </w:pPr>
                      </w:p>
                    </w:tc>
                    <w:tc>
                      <w:tcPr>
                        <w:tcW w:w="6746" w:type="dxa"/>
                      </w:tcPr>
                      <w:p>
                        <w:pPr>
                          <w:pStyle w:val="TableParagraph"/>
                          <w:spacing w:line="255" w:lineRule="exact"/>
                          <w:ind w:left="162"/>
                          <w:rPr>
                            <w:sz w:val="21"/>
                          </w:rPr>
                        </w:pPr>
                        <w:r>
                          <w:rPr>
                            <w:sz w:val="21"/>
                          </w:rPr>
                          <w:t>险金；</w:t>
                        </w:r>
                      </w:p>
                    </w:tc>
                  </w:tr>
                  <w:tr>
                    <w:trPr>
                      <w:trHeight w:val="317" w:hRule="atLeast"/>
                    </w:trPr>
                    <w:tc>
                      <w:tcPr>
                        <w:tcW w:w="785" w:type="dxa"/>
                      </w:tcPr>
                      <w:p>
                        <w:pPr>
                          <w:pStyle w:val="TableParagraph"/>
                          <w:rPr>
                            <w:rFonts w:ascii="Times New Roman"/>
                            <w:sz w:val="20"/>
                          </w:rPr>
                        </w:pPr>
                      </w:p>
                    </w:tc>
                    <w:tc>
                      <w:tcPr>
                        <w:tcW w:w="1739" w:type="dxa"/>
                      </w:tcPr>
                      <w:p>
                        <w:pPr>
                          <w:pStyle w:val="TableParagraph"/>
                          <w:rPr>
                            <w:rFonts w:ascii="Times New Roman"/>
                            <w:sz w:val="20"/>
                          </w:rPr>
                        </w:pPr>
                      </w:p>
                    </w:tc>
                    <w:tc>
                      <w:tcPr>
                        <w:tcW w:w="6746" w:type="dxa"/>
                      </w:tcPr>
                      <w:p>
                        <w:pPr>
                          <w:pStyle w:val="TableParagraph"/>
                          <w:spacing w:line="282" w:lineRule="exact"/>
                          <w:ind w:left="162"/>
                          <w:rPr>
                            <w:sz w:val="21"/>
                          </w:rPr>
                        </w:pPr>
                        <w:r>
                          <w:rPr>
                            <w:sz w:val="21"/>
                          </w:rPr>
                          <w:t>（</w:t>
                        </w:r>
                        <w:r>
                          <w:rPr>
                            <w:rFonts w:ascii="Times New Roman" w:eastAsia="Times New Roman"/>
                            <w:sz w:val="21"/>
                          </w:rPr>
                          <w:t>3</w:t>
                        </w:r>
                        <w:r>
                          <w:rPr>
                            <w:sz w:val="21"/>
                          </w:rPr>
                          <w:t>）在确认全残满</w:t>
                        </w:r>
                        <w:r>
                          <w:rPr>
                            <w:rFonts w:ascii="Times New Roman" w:eastAsia="Times New Roman"/>
                            <w:sz w:val="21"/>
                          </w:rPr>
                          <w:t>2</w:t>
                        </w:r>
                        <w:r>
                          <w:rPr>
                            <w:sz w:val="21"/>
                          </w:rPr>
                          <w:t>周年时，若被保险人持续全残，我们将按照被保</w:t>
                        </w:r>
                      </w:p>
                    </w:tc>
                  </w:tr>
                  <w:tr>
                    <w:trPr>
                      <w:trHeight w:val="317" w:hRule="atLeast"/>
                    </w:trPr>
                    <w:tc>
                      <w:tcPr>
                        <w:tcW w:w="785" w:type="dxa"/>
                      </w:tcPr>
                      <w:p>
                        <w:pPr>
                          <w:pStyle w:val="TableParagraph"/>
                          <w:rPr>
                            <w:rFonts w:ascii="Times New Roman"/>
                            <w:sz w:val="20"/>
                          </w:rPr>
                        </w:pPr>
                      </w:p>
                    </w:tc>
                    <w:tc>
                      <w:tcPr>
                        <w:tcW w:w="1739" w:type="dxa"/>
                      </w:tcPr>
                      <w:p>
                        <w:pPr>
                          <w:pStyle w:val="TableParagraph"/>
                          <w:rPr>
                            <w:rFonts w:ascii="Times New Roman"/>
                            <w:sz w:val="20"/>
                          </w:rPr>
                        </w:pPr>
                      </w:p>
                    </w:tc>
                    <w:tc>
                      <w:tcPr>
                        <w:tcW w:w="6746" w:type="dxa"/>
                      </w:tcPr>
                      <w:p>
                        <w:pPr>
                          <w:pStyle w:val="TableParagraph"/>
                          <w:spacing w:line="276" w:lineRule="exact"/>
                          <w:ind w:left="162"/>
                          <w:rPr>
                            <w:sz w:val="21"/>
                          </w:rPr>
                        </w:pPr>
                        <w:r>
                          <w:rPr>
                            <w:sz w:val="21"/>
                          </w:rPr>
                          <w:t>险人全残首次被确认时本附加合同的基本保险金额的</w:t>
                        </w:r>
                        <w:r>
                          <w:rPr>
                            <w:rFonts w:ascii="Times New Roman" w:eastAsia="Times New Roman"/>
                            <w:sz w:val="21"/>
                          </w:rPr>
                          <w:t>70</w:t>
                        </w:r>
                        <w:r>
                          <w:rPr>
                            <w:sz w:val="21"/>
                          </w:rPr>
                          <w:t>％向被保险人</w:t>
                        </w:r>
                      </w:p>
                    </w:tc>
                  </w:tr>
                  <w:tr>
                    <w:trPr>
                      <w:trHeight w:val="306" w:hRule="atLeast"/>
                    </w:trPr>
                    <w:tc>
                      <w:tcPr>
                        <w:tcW w:w="785" w:type="dxa"/>
                      </w:tcPr>
                      <w:p>
                        <w:pPr>
                          <w:pStyle w:val="TableParagraph"/>
                          <w:rPr>
                            <w:rFonts w:ascii="Times New Roman"/>
                            <w:sz w:val="20"/>
                          </w:rPr>
                        </w:pPr>
                      </w:p>
                    </w:tc>
                    <w:tc>
                      <w:tcPr>
                        <w:tcW w:w="1739" w:type="dxa"/>
                      </w:tcPr>
                      <w:p>
                        <w:pPr>
                          <w:pStyle w:val="TableParagraph"/>
                          <w:rPr>
                            <w:rFonts w:ascii="Times New Roman"/>
                            <w:sz w:val="20"/>
                          </w:rPr>
                        </w:pPr>
                      </w:p>
                    </w:tc>
                    <w:tc>
                      <w:tcPr>
                        <w:tcW w:w="6746" w:type="dxa"/>
                      </w:tcPr>
                      <w:p>
                        <w:pPr>
                          <w:pStyle w:val="TableParagraph"/>
                          <w:spacing w:line="255" w:lineRule="exact"/>
                          <w:ind w:left="162"/>
                          <w:rPr>
                            <w:sz w:val="21"/>
                          </w:rPr>
                        </w:pPr>
                        <w:r>
                          <w:rPr>
                            <w:sz w:val="21"/>
                          </w:rPr>
                          <w:t>提前给付保险金。</w:t>
                        </w:r>
                      </w:p>
                    </w:tc>
                  </w:tr>
                  <w:tr>
                    <w:trPr>
                      <w:trHeight w:val="311" w:hRule="atLeast"/>
                    </w:trPr>
                    <w:tc>
                      <w:tcPr>
                        <w:tcW w:w="785" w:type="dxa"/>
                      </w:tcPr>
                      <w:p>
                        <w:pPr>
                          <w:pStyle w:val="TableParagraph"/>
                          <w:rPr>
                            <w:rFonts w:ascii="Times New Roman"/>
                            <w:sz w:val="20"/>
                          </w:rPr>
                        </w:pPr>
                      </w:p>
                    </w:tc>
                    <w:tc>
                      <w:tcPr>
                        <w:tcW w:w="1739" w:type="dxa"/>
                      </w:tcPr>
                      <w:p>
                        <w:pPr>
                          <w:pStyle w:val="TableParagraph"/>
                          <w:rPr>
                            <w:rFonts w:ascii="Times New Roman"/>
                            <w:sz w:val="20"/>
                          </w:rPr>
                        </w:pPr>
                      </w:p>
                    </w:tc>
                    <w:tc>
                      <w:tcPr>
                        <w:tcW w:w="6746" w:type="dxa"/>
                      </w:tcPr>
                      <w:p>
                        <w:pPr>
                          <w:pStyle w:val="TableParagraph"/>
                          <w:spacing w:line="261" w:lineRule="exact"/>
                          <w:ind w:left="162"/>
                          <w:rPr>
                            <w:sz w:val="21"/>
                          </w:rPr>
                        </w:pPr>
                        <w:r>
                          <w:rPr>
                            <w:sz w:val="21"/>
                          </w:rPr>
                          <w:t>每次提前给付保险金后，本附加合同的基本保险金额变更为提前给付</w:t>
                        </w:r>
                      </w:p>
                    </w:tc>
                  </w:tr>
                  <w:tr>
                    <w:trPr>
                      <w:trHeight w:val="312" w:hRule="atLeast"/>
                    </w:trPr>
                    <w:tc>
                      <w:tcPr>
                        <w:tcW w:w="785" w:type="dxa"/>
                      </w:tcPr>
                      <w:p>
                        <w:pPr>
                          <w:pStyle w:val="TableParagraph"/>
                          <w:rPr>
                            <w:rFonts w:ascii="Times New Roman"/>
                            <w:sz w:val="20"/>
                          </w:rPr>
                        </w:pPr>
                      </w:p>
                    </w:tc>
                    <w:tc>
                      <w:tcPr>
                        <w:tcW w:w="1739" w:type="dxa"/>
                      </w:tcPr>
                      <w:p>
                        <w:pPr>
                          <w:pStyle w:val="TableParagraph"/>
                          <w:rPr>
                            <w:rFonts w:ascii="Times New Roman"/>
                            <w:sz w:val="20"/>
                          </w:rPr>
                        </w:pPr>
                      </w:p>
                    </w:tc>
                    <w:tc>
                      <w:tcPr>
                        <w:tcW w:w="6746" w:type="dxa"/>
                      </w:tcPr>
                      <w:p>
                        <w:pPr>
                          <w:pStyle w:val="TableParagraph"/>
                          <w:spacing w:line="261" w:lineRule="exact"/>
                          <w:ind w:left="162"/>
                          <w:rPr>
                            <w:sz w:val="21"/>
                          </w:rPr>
                        </w:pPr>
                        <w:r>
                          <w:rPr>
                            <w:sz w:val="21"/>
                          </w:rPr>
                          <w:t>前的基本保险金额减去提前给付金额后的余额。若累计提前给付金额达</w:t>
                        </w:r>
                      </w:p>
                    </w:tc>
                  </w:tr>
                  <w:tr>
                    <w:trPr>
                      <w:trHeight w:val="311" w:hRule="atLeast"/>
                    </w:trPr>
                    <w:tc>
                      <w:tcPr>
                        <w:tcW w:w="785" w:type="dxa"/>
                      </w:tcPr>
                      <w:p>
                        <w:pPr>
                          <w:pStyle w:val="TableParagraph"/>
                          <w:rPr>
                            <w:rFonts w:ascii="Times New Roman"/>
                            <w:sz w:val="20"/>
                          </w:rPr>
                        </w:pPr>
                      </w:p>
                    </w:tc>
                    <w:tc>
                      <w:tcPr>
                        <w:tcW w:w="1739" w:type="dxa"/>
                      </w:tcPr>
                      <w:p>
                        <w:pPr>
                          <w:pStyle w:val="TableParagraph"/>
                          <w:rPr>
                            <w:rFonts w:ascii="Times New Roman"/>
                            <w:sz w:val="20"/>
                          </w:rPr>
                        </w:pPr>
                      </w:p>
                    </w:tc>
                    <w:tc>
                      <w:tcPr>
                        <w:tcW w:w="6746" w:type="dxa"/>
                      </w:tcPr>
                      <w:p>
                        <w:pPr>
                          <w:pStyle w:val="TableParagraph"/>
                          <w:spacing w:line="261" w:lineRule="exact"/>
                          <w:ind w:left="162"/>
                          <w:rPr>
                            <w:sz w:val="21"/>
                          </w:rPr>
                        </w:pPr>
                        <w:r>
                          <w:rPr>
                            <w:sz w:val="21"/>
                          </w:rPr>
                          <w:t>到全残首次被确认时的基本保险金额，本附加合同效力随即终止。</w:t>
                        </w:r>
                      </w:p>
                    </w:tc>
                  </w:tr>
                  <w:tr>
                    <w:trPr>
                      <w:trHeight w:val="306" w:hRule="atLeast"/>
                    </w:trPr>
                    <w:tc>
                      <w:tcPr>
                        <w:tcW w:w="785" w:type="dxa"/>
                      </w:tcPr>
                      <w:p>
                        <w:pPr>
                          <w:pStyle w:val="TableParagraph"/>
                          <w:rPr>
                            <w:rFonts w:ascii="Times New Roman"/>
                            <w:sz w:val="20"/>
                          </w:rPr>
                        </w:pPr>
                      </w:p>
                    </w:tc>
                    <w:tc>
                      <w:tcPr>
                        <w:tcW w:w="1739" w:type="dxa"/>
                      </w:tcPr>
                      <w:p>
                        <w:pPr>
                          <w:pStyle w:val="TableParagraph"/>
                          <w:rPr>
                            <w:rFonts w:ascii="Times New Roman"/>
                            <w:sz w:val="20"/>
                          </w:rPr>
                        </w:pPr>
                      </w:p>
                    </w:tc>
                    <w:tc>
                      <w:tcPr>
                        <w:tcW w:w="6746" w:type="dxa"/>
                      </w:tcPr>
                      <w:p>
                        <w:pPr>
                          <w:pStyle w:val="TableParagraph"/>
                          <w:spacing w:line="261" w:lineRule="exact"/>
                          <w:ind w:left="162"/>
                          <w:rPr>
                            <w:sz w:val="21"/>
                          </w:rPr>
                        </w:pPr>
                        <w:r>
                          <w:rPr>
                            <w:sz w:val="21"/>
                          </w:rPr>
                          <w:t>我们以同一被保险人为标的所有因全残而提前给付的保险金总金额不</w:t>
                        </w:r>
                      </w:p>
                    </w:tc>
                  </w:tr>
                  <w:tr>
                    <w:trPr>
                      <w:trHeight w:val="418" w:hRule="atLeast"/>
                    </w:trPr>
                    <w:tc>
                      <w:tcPr>
                        <w:tcW w:w="785" w:type="dxa"/>
                      </w:tcPr>
                      <w:p>
                        <w:pPr>
                          <w:pStyle w:val="TableParagraph"/>
                          <w:rPr>
                            <w:rFonts w:ascii="Times New Roman"/>
                            <w:sz w:val="20"/>
                          </w:rPr>
                        </w:pPr>
                      </w:p>
                    </w:tc>
                    <w:tc>
                      <w:tcPr>
                        <w:tcW w:w="1739" w:type="dxa"/>
                      </w:tcPr>
                      <w:p>
                        <w:pPr>
                          <w:pStyle w:val="TableParagraph"/>
                          <w:rPr>
                            <w:rFonts w:ascii="Times New Roman"/>
                            <w:sz w:val="20"/>
                          </w:rPr>
                        </w:pPr>
                      </w:p>
                    </w:tc>
                    <w:tc>
                      <w:tcPr>
                        <w:tcW w:w="6746" w:type="dxa"/>
                      </w:tcPr>
                      <w:p>
                        <w:pPr>
                          <w:pStyle w:val="TableParagraph"/>
                          <w:spacing w:line="282" w:lineRule="exact"/>
                          <w:ind w:left="162"/>
                          <w:rPr>
                            <w:sz w:val="21"/>
                          </w:rPr>
                        </w:pPr>
                        <w:r>
                          <w:rPr>
                            <w:sz w:val="21"/>
                          </w:rPr>
                          <w:t>超过</w:t>
                        </w:r>
                        <w:r>
                          <w:rPr>
                            <w:rFonts w:ascii="Times New Roman" w:eastAsia="Times New Roman"/>
                            <w:sz w:val="21"/>
                          </w:rPr>
                          <w:t>200</w:t>
                        </w:r>
                        <w:r>
                          <w:rPr>
                            <w:sz w:val="21"/>
                          </w:rPr>
                          <w:t>万元人民币。</w:t>
                        </w:r>
                      </w:p>
                    </w:tc>
                  </w:tr>
                  <w:tr>
                    <w:trPr>
                      <w:trHeight w:val="612" w:hRule="atLeast"/>
                    </w:trPr>
                    <w:tc>
                      <w:tcPr>
                        <w:tcW w:w="785" w:type="dxa"/>
                      </w:tcPr>
                      <w:p>
                        <w:pPr>
                          <w:pStyle w:val="TableParagraph"/>
                          <w:spacing w:before="162"/>
                          <w:ind w:left="50"/>
                          <w:rPr>
                            <w:rFonts w:ascii="Times New Roman"/>
                            <w:sz w:val="21"/>
                          </w:rPr>
                        </w:pPr>
                        <w:r>
                          <w:rPr>
                            <w:rFonts w:ascii="Times New Roman"/>
                            <w:sz w:val="21"/>
                          </w:rPr>
                          <w:t>2.4.5</w:t>
                        </w:r>
                      </w:p>
                    </w:tc>
                    <w:tc>
                      <w:tcPr>
                        <w:tcW w:w="1739" w:type="dxa"/>
                      </w:tcPr>
                      <w:p>
                        <w:pPr>
                          <w:pStyle w:val="TableParagraph"/>
                          <w:spacing w:before="118"/>
                          <w:ind w:left="316"/>
                          <w:rPr>
                            <w:b/>
                            <w:sz w:val="21"/>
                          </w:rPr>
                        </w:pPr>
                        <w:r>
                          <w:rPr>
                            <w:b/>
                            <w:w w:val="95"/>
                            <w:sz w:val="21"/>
                          </w:rPr>
                          <w:t>豁免保险费</w:t>
                        </w:r>
                      </w:p>
                    </w:tc>
                    <w:tc>
                      <w:tcPr>
                        <w:tcW w:w="6746" w:type="dxa"/>
                      </w:tcPr>
                      <w:p>
                        <w:pPr>
                          <w:pStyle w:val="TableParagraph"/>
                          <w:spacing w:line="240" w:lineRule="exact" w:before="136"/>
                          <w:ind w:left="162" w:right="89"/>
                          <w:rPr>
                            <w:sz w:val="21"/>
                          </w:rPr>
                        </w:pPr>
                        <w:r>
                          <w:rPr>
                            <w:sz w:val="21"/>
                          </w:rPr>
                          <w:t>如果被保险人发生本附加合同所约定的全残，且确认全残时未满 </w:t>
                        </w:r>
                        <w:r>
                          <w:rPr>
                            <w:rFonts w:ascii="Times New Roman" w:eastAsia="Times New Roman"/>
                            <w:sz w:val="21"/>
                          </w:rPr>
                          <w:t>60 </w:t>
                        </w:r>
                        <w:r>
                          <w:rPr>
                            <w:sz w:val="21"/>
                          </w:rPr>
                          <w:t>周岁，在被保险人全残持续期内，我们将从被保险人被确认全残后的首</w:t>
                        </w:r>
                      </w:p>
                    </w:tc>
                  </w:tr>
                  <w:tr>
                    <w:trPr>
                      <w:trHeight w:val="237" w:hRule="atLeast"/>
                    </w:trPr>
                    <w:tc>
                      <w:tcPr>
                        <w:tcW w:w="785" w:type="dxa"/>
                      </w:tcPr>
                      <w:p>
                        <w:pPr>
                          <w:pStyle w:val="TableParagraph"/>
                          <w:rPr>
                            <w:rFonts w:ascii="Times New Roman"/>
                            <w:sz w:val="16"/>
                          </w:rPr>
                        </w:pPr>
                      </w:p>
                    </w:tc>
                    <w:tc>
                      <w:tcPr>
                        <w:tcW w:w="1739" w:type="dxa"/>
                      </w:tcPr>
                      <w:p>
                        <w:pPr>
                          <w:pStyle w:val="TableParagraph"/>
                          <w:rPr>
                            <w:rFonts w:ascii="Times New Roman"/>
                            <w:sz w:val="16"/>
                          </w:rPr>
                        </w:pPr>
                      </w:p>
                    </w:tc>
                    <w:tc>
                      <w:tcPr>
                        <w:tcW w:w="6746" w:type="dxa"/>
                      </w:tcPr>
                      <w:p>
                        <w:pPr>
                          <w:pStyle w:val="TableParagraph"/>
                          <w:spacing w:line="217" w:lineRule="exact"/>
                          <w:ind w:left="162"/>
                          <w:rPr>
                            <w:sz w:val="21"/>
                          </w:rPr>
                        </w:pPr>
                        <w:r>
                          <w:rPr>
                            <w:sz w:val="21"/>
                          </w:rPr>
                          <w:t>个保险费约定支付日开始豁免本附加合同的保险费。</w:t>
                        </w:r>
                      </w:p>
                    </w:tc>
                  </w:tr>
                  <w:tr>
                    <w:trPr>
                      <w:trHeight w:val="240" w:hRule="atLeast"/>
                    </w:trPr>
                    <w:tc>
                      <w:tcPr>
                        <w:tcW w:w="785" w:type="dxa"/>
                      </w:tcPr>
                      <w:p>
                        <w:pPr>
                          <w:pStyle w:val="TableParagraph"/>
                          <w:rPr>
                            <w:rFonts w:ascii="Times New Roman"/>
                            <w:sz w:val="16"/>
                          </w:rPr>
                        </w:pPr>
                      </w:p>
                    </w:tc>
                    <w:tc>
                      <w:tcPr>
                        <w:tcW w:w="1739" w:type="dxa"/>
                      </w:tcPr>
                      <w:p>
                        <w:pPr>
                          <w:pStyle w:val="TableParagraph"/>
                          <w:rPr>
                            <w:rFonts w:ascii="Times New Roman"/>
                            <w:sz w:val="16"/>
                          </w:rPr>
                        </w:pPr>
                      </w:p>
                    </w:tc>
                    <w:tc>
                      <w:tcPr>
                        <w:tcW w:w="6746" w:type="dxa"/>
                      </w:tcPr>
                      <w:p>
                        <w:pPr>
                          <w:pStyle w:val="TableParagraph"/>
                          <w:spacing w:line="220" w:lineRule="exact"/>
                          <w:ind w:left="162"/>
                          <w:rPr>
                            <w:sz w:val="21"/>
                          </w:rPr>
                        </w:pPr>
                        <w:r>
                          <w:rPr>
                            <w:sz w:val="21"/>
                          </w:rPr>
                          <w:t>豁免保险费期间，本附加合同继续有效，但本附加合同保险计划不得</w:t>
                        </w:r>
                      </w:p>
                    </w:tc>
                  </w:tr>
                  <w:tr>
                    <w:trPr>
                      <w:trHeight w:val="368" w:hRule="atLeast"/>
                    </w:trPr>
                    <w:tc>
                      <w:tcPr>
                        <w:tcW w:w="785" w:type="dxa"/>
                      </w:tcPr>
                      <w:p>
                        <w:pPr>
                          <w:pStyle w:val="TableParagraph"/>
                          <w:rPr>
                            <w:rFonts w:ascii="Times New Roman"/>
                            <w:sz w:val="20"/>
                          </w:rPr>
                        </w:pPr>
                      </w:p>
                    </w:tc>
                    <w:tc>
                      <w:tcPr>
                        <w:tcW w:w="1739" w:type="dxa"/>
                      </w:tcPr>
                      <w:p>
                        <w:pPr>
                          <w:pStyle w:val="TableParagraph"/>
                          <w:rPr>
                            <w:rFonts w:ascii="Times New Roman"/>
                            <w:sz w:val="20"/>
                          </w:rPr>
                        </w:pPr>
                      </w:p>
                    </w:tc>
                    <w:tc>
                      <w:tcPr>
                        <w:tcW w:w="6746" w:type="dxa"/>
                      </w:tcPr>
                      <w:p>
                        <w:pPr>
                          <w:pStyle w:val="TableParagraph"/>
                          <w:spacing w:line="225" w:lineRule="exact"/>
                          <w:ind w:left="162"/>
                          <w:rPr>
                            <w:sz w:val="21"/>
                          </w:rPr>
                        </w:pPr>
                        <w:r>
                          <w:rPr>
                            <w:sz w:val="21"/>
                          </w:rPr>
                          <w:t>变更。</w:t>
                        </w:r>
                      </w:p>
                    </w:tc>
                  </w:tr>
                  <w:tr>
                    <w:trPr>
                      <w:trHeight w:val="492" w:hRule="atLeast"/>
                    </w:trPr>
                    <w:tc>
                      <w:tcPr>
                        <w:tcW w:w="785" w:type="dxa"/>
                      </w:tcPr>
                      <w:p>
                        <w:pPr>
                          <w:pStyle w:val="TableParagraph"/>
                          <w:spacing w:before="134"/>
                          <w:ind w:left="50"/>
                          <w:rPr>
                            <w:rFonts w:ascii="Times New Roman"/>
                            <w:sz w:val="21"/>
                          </w:rPr>
                        </w:pPr>
                        <w:r>
                          <w:rPr>
                            <w:rFonts w:ascii="Times New Roman"/>
                            <w:sz w:val="21"/>
                          </w:rPr>
                          <w:t>2.5</w:t>
                        </w:r>
                      </w:p>
                    </w:tc>
                    <w:tc>
                      <w:tcPr>
                        <w:tcW w:w="1739" w:type="dxa"/>
                      </w:tcPr>
                      <w:p>
                        <w:pPr>
                          <w:pStyle w:val="TableParagraph"/>
                          <w:spacing w:before="91"/>
                          <w:ind w:left="316"/>
                          <w:rPr>
                            <w:b/>
                            <w:sz w:val="21"/>
                          </w:rPr>
                        </w:pPr>
                        <w:r>
                          <w:rPr>
                            <w:b/>
                            <w:w w:val="95"/>
                            <w:sz w:val="21"/>
                          </w:rPr>
                          <w:t>责任免除</w:t>
                        </w:r>
                      </w:p>
                    </w:tc>
                    <w:tc>
                      <w:tcPr>
                        <w:tcW w:w="6746" w:type="dxa"/>
                      </w:tcPr>
                      <w:p>
                        <w:pPr>
                          <w:pStyle w:val="TableParagraph"/>
                          <w:rPr>
                            <w:rFonts w:ascii="Times New Roman"/>
                            <w:sz w:val="20"/>
                          </w:rPr>
                        </w:pPr>
                      </w:p>
                    </w:tc>
                  </w:tr>
                  <w:tr>
                    <w:trPr>
                      <w:trHeight w:val="395" w:hRule="atLeast"/>
                    </w:trPr>
                    <w:tc>
                      <w:tcPr>
                        <w:tcW w:w="785" w:type="dxa"/>
                      </w:tcPr>
                      <w:p>
                        <w:pPr>
                          <w:pStyle w:val="TableParagraph"/>
                          <w:spacing w:before="108"/>
                          <w:ind w:left="50"/>
                          <w:rPr>
                            <w:rFonts w:ascii="Times New Roman"/>
                            <w:sz w:val="21"/>
                          </w:rPr>
                        </w:pPr>
                        <w:r>
                          <w:rPr>
                            <w:rFonts w:ascii="Times New Roman"/>
                            <w:sz w:val="21"/>
                          </w:rPr>
                          <w:t>2.5.1</w:t>
                        </w:r>
                      </w:p>
                    </w:tc>
                    <w:tc>
                      <w:tcPr>
                        <w:tcW w:w="1739" w:type="dxa"/>
                      </w:tcPr>
                      <w:p>
                        <w:pPr>
                          <w:pStyle w:val="TableParagraph"/>
                          <w:spacing w:before="64"/>
                          <w:ind w:left="316"/>
                          <w:rPr>
                            <w:b/>
                            <w:sz w:val="21"/>
                          </w:rPr>
                        </w:pPr>
                        <w:r>
                          <w:rPr>
                            <w:b/>
                            <w:w w:val="95"/>
                            <w:sz w:val="21"/>
                          </w:rPr>
                          <w:t>身故责任免除</w:t>
                        </w:r>
                      </w:p>
                    </w:tc>
                    <w:tc>
                      <w:tcPr>
                        <w:tcW w:w="6746" w:type="dxa"/>
                      </w:tcPr>
                      <w:p>
                        <w:pPr>
                          <w:pStyle w:val="TableParagraph"/>
                          <w:spacing w:before="64"/>
                          <w:ind w:left="162"/>
                          <w:rPr>
                            <w:b/>
                            <w:sz w:val="21"/>
                          </w:rPr>
                        </w:pPr>
                        <w:r>
                          <w:rPr>
                            <w:b/>
                            <w:sz w:val="21"/>
                          </w:rPr>
                          <w:t>因下列情形之一导致被保险人身故的，我们不承担给付身故保险金的</w:t>
                        </w:r>
                      </w:p>
                    </w:tc>
                  </w:tr>
                  <w:tr>
                    <w:trPr>
                      <w:trHeight w:val="300" w:hRule="atLeast"/>
                    </w:trPr>
                    <w:tc>
                      <w:tcPr>
                        <w:tcW w:w="785" w:type="dxa"/>
                      </w:tcPr>
                      <w:p>
                        <w:pPr>
                          <w:pStyle w:val="TableParagraph"/>
                          <w:rPr>
                            <w:rFonts w:ascii="Times New Roman"/>
                            <w:sz w:val="20"/>
                          </w:rPr>
                        </w:pPr>
                      </w:p>
                    </w:tc>
                    <w:tc>
                      <w:tcPr>
                        <w:tcW w:w="1739" w:type="dxa"/>
                      </w:tcPr>
                      <w:p>
                        <w:pPr>
                          <w:pStyle w:val="TableParagraph"/>
                          <w:rPr>
                            <w:rFonts w:ascii="Times New Roman"/>
                            <w:sz w:val="20"/>
                          </w:rPr>
                        </w:pPr>
                      </w:p>
                    </w:tc>
                    <w:tc>
                      <w:tcPr>
                        <w:tcW w:w="6746" w:type="dxa"/>
                      </w:tcPr>
                      <w:p>
                        <w:pPr>
                          <w:pStyle w:val="TableParagraph"/>
                          <w:spacing w:line="256" w:lineRule="exact"/>
                          <w:ind w:left="162"/>
                          <w:rPr>
                            <w:b/>
                            <w:sz w:val="21"/>
                          </w:rPr>
                        </w:pPr>
                        <w:r>
                          <w:rPr>
                            <w:b/>
                            <w:w w:val="95"/>
                            <w:sz w:val="21"/>
                          </w:rPr>
                          <w:t>责任：</w:t>
                        </w:r>
                      </w:p>
                    </w:tc>
                  </w:tr>
                  <w:tr>
                    <w:trPr>
                      <w:trHeight w:val="316" w:hRule="atLeast"/>
                    </w:trPr>
                    <w:tc>
                      <w:tcPr>
                        <w:tcW w:w="785" w:type="dxa"/>
                      </w:tcPr>
                      <w:p>
                        <w:pPr>
                          <w:pStyle w:val="TableParagraph"/>
                          <w:rPr>
                            <w:rFonts w:ascii="Times New Roman"/>
                            <w:sz w:val="20"/>
                          </w:rPr>
                        </w:pPr>
                      </w:p>
                    </w:tc>
                    <w:tc>
                      <w:tcPr>
                        <w:tcW w:w="1739" w:type="dxa"/>
                      </w:tcPr>
                      <w:p>
                        <w:pPr>
                          <w:pStyle w:val="TableParagraph"/>
                          <w:rPr>
                            <w:rFonts w:ascii="Times New Roman"/>
                            <w:sz w:val="20"/>
                          </w:rPr>
                        </w:pPr>
                      </w:p>
                    </w:tc>
                    <w:tc>
                      <w:tcPr>
                        <w:tcW w:w="6746" w:type="dxa"/>
                      </w:tcPr>
                      <w:p>
                        <w:pPr>
                          <w:pStyle w:val="TableParagraph"/>
                          <w:spacing w:line="273" w:lineRule="exact"/>
                          <w:ind w:left="162"/>
                          <w:rPr>
                            <w:b/>
                            <w:sz w:val="21"/>
                          </w:rPr>
                        </w:pPr>
                        <w:r>
                          <w:rPr>
                            <w:b/>
                            <w:w w:val="95"/>
                            <w:sz w:val="21"/>
                          </w:rPr>
                          <w:t>（</w:t>
                        </w:r>
                        <w:r>
                          <w:rPr>
                            <w:rFonts w:ascii="Times New Roman" w:eastAsia="Times New Roman"/>
                            <w:b/>
                            <w:w w:val="95"/>
                            <w:position w:val="1"/>
                            <w:sz w:val="21"/>
                          </w:rPr>
                          <w:t>1</w:t>
                        </w:r>
                        <w:r>
                          <w:rPr>
                            <w:b/>
                            <w:w w:val="95"/>
                            <w:sz w:val="21"/>
                          </w:rPr>
                          <w:t>）投保人对被保险人的故意杀害、故意伤害；</w:t>
                        </w:r>
                      </w:p>
                    </w:tc>
                  </w:tr>
                  <w:tr>
                    <w:trPr>
                      <w:trHeight w:val="312" w:hRule="atLeast"/>
                    </w:trPr>
                    <w:tc>
                      <w:tcPr>
                        <w:tcW w:w="785" w:type="dxa"/>
                      </w:tcPr>
                      <w:p>
                        <w:pPr>
                          <w:pStyle w:val="TableParagraph"/>
                          <w:rPr>
                            <w:rFonts w:ascii="Times New Roman"/>
                            <w:sz w:val="20"/>
                          </w:rPr>
                        </w:pPr>
                      </w:p>
                    </w:tc>
                    <w:tc>
                      <w:tcPr>
                        <w:tcW w:w="1739" w:type="dxa"/>
                      </w:tcPr>
                      <w:p>
                        <w:pPr>
                          <w:pStyle w:val="TableParagraph"/>
                          <w:rPr>
                            <w:rFonts w:ascii="Times New Roman"/>
                            <w:sz w:val="20"/>
                          </w:rPr>
                        </w:pPr>
                      </w:p>
                    </w:tc>
                    <w:tc>
                      <w:tcPr>
                        <w:tcW w:w="6746" w:type="dxa"/>
                      </w:tcPr>
                      <w:p>
                        <w:pPr>
                          <w:pStyle w:val="TableParagraph"/>
                          <w:spacing w:line="268" w:lineRule="exact"/>
                          <w:ind w:left="162"/>
                          <w:rPr>
                            <w:b/>
                            <w:sz w:val="21"/>
                          </w:rPr>
                        </w:pPr>
                        <w:r>
                          <w:rPr>
                            <w:b/>
                            <w:w w:val="95"/>
                            <w:sz w:val="21"/>
                          </w:rPr>
                          <w:t>（</w:t>
                        </w:r>
                        <w:r>
                          <w:rPr>
                            <w:rFonts w:ascii="Times New Roman" w:eastAsia="Times New Roman"/>
                            <w:b/>
                            <w:w w:val="95"/>
                            <w:position w:val="1"/>
                            <w:sz w:val="21"/>
                          </w:rPr>
                          <w:t>2</w:t>
                        </w:r>
                        <w:r>
                          <w:rPr>
                            <w:b/>
                            <w:w w:val="95"/>
                            <w:sz w:val="21"/>
                          </w:rPr>
                          <w:t>）被保险人故意犯罪或者抗拒依法采取的刑事强制措施；</w:t>
                        </w:r>
                      </w:p>
                    </w:tc>
                  </w:tr>
                  <w:tr>
                    <w:trPr>
                      <w:trHeight w:val="318" w:hRule="atLeast"/>
                    </w:trPr>
                    <w:tc>
                      <w:tcPr>
                        <w:tcW w:w="785" w:type="dxa"/>
                      </w:tcPr>
                      <w:p>
                        <w:pPr>
                          <w:pStyle w:val="TableParagraph"/>
                          <w:rPr>
                            <w:rFonts w:ascii="Times New Roman"/>
                            <w:sz w:val="20"/>
                          </w:rPr>
                        </w:pPr>
                      </w:p>
                    </w:tc>
                    <w:tc>
                      <w:tcPr>
                        <w:tcW w:w="1739" w:type="dxa"/>
                      </w:tcPr>
                      <w:p>
                        <w:pPr>
                          <w:pStyle w:val="TableParagraph"/>
                          <w:rPr>
                            <w:rFonts w:ascii="Times New Roman"/>
                            <w:sz w:val="20"/>
                          </w:rPr>
                        </w:pPr>
                      </w:p>
                    </w:tc>
                    <w:tc>
                      <w:tcPr>
                        <w:tcW w:w="6746" w:type="dxa"/>
                      </w:tcPr>
                      <w:p>
                        <w:pPr>
                          <w:pStyle w:val="TableParagraph"/>
                          <w:spacing w:line="268" w:lineRule="exact"/>
                          <w:ind w:left="162"/>
                          <w:rPr>
                            <w:b/>
                            <w:sz w:val="21"/>
                          </w:rPr>
                        </w:pPr>
                        <w:r>
                          <w:rPr>
                            <w:b/>
                            <w:sz w:val="21"/>
                          </w:rPr>
                          <w:t>（</w:t>
                        </w:r>
                        <w:r>
                          <w:rPr>
                            <w:rFonts w:ascii="Times New Roman" w:eastAsia="Times New Roman"/>
                            <w:b/>
                            <w:position w:val="1"/>
                            <w:sz w:val="21"/>
                          </w:rPr>
                          <w:t>3</w:t>
                        </w:r>
                        <w:r>
                          <w:rPr>
                            <w:b/>
                            <w:sz w:val="21"/>
                          </w:rPr>
                          <w:t>）被保险人自本合同成立或者合同效力恢复之日起 </w:t>
                        </w:r>
                        <w:r>
                          <w:rPr>
                            <w:rFonts w:ascii="Times New Roman" w:eastAsia="Times New Roman"/>
                            <w:b/>
                            <w:position w:val="1"/>
                            <w:sz w:val="21"/>
                          </w:rPr>
                          <w:t>2 </w:t>
                        </w:r>
                        <w:r>
                          <w:rPr>
                            <w:b/>
                            <w:sz w:val="21"/>
                          </w:rPr>
                          <w:t>年内自杀，但</w:t>
                        </w:r>
                      </w:p>
                    </w:tc>
                  </w:tr>
                  <w:tr>
                    <w:trPr>
                      <w:trHeight w:val="300" w:hRule="atLeast"/>
                    </w:trPr>
                    <w:tc>
                      <w:tcPr>
                        <w:tcW w:w="785" w:type="dxa"/>
                      </w:tcPr>
                      <w:p>
                        <w:pPr>
                          <w:pStyle w:val="TableParagraph"/>
                          <w:rPr>
                            <w:rFonts w:ascii="Times New Roman"/>
                            <w:sz w:val="20"/>
                          </w:rPr>
                        </w:pPr>
                      </w:p>
                    </w:tc>
                    <w:tc>
                      <w:tcPr>
                        <w:tcW w:w="1739" w:type="dxa"/>
                      </w:tcPr>
                      <w:p>
                        <w:pPr>
                          <w:pStyle w:val="TableParagraph"/>
                          <w:rPr>
                            <w:rFonts w:ascii="Times New Roman"/>
                            <w:sz w:val="20"/>
                          </w:rPr>
                        </w:pPr>
                      </w:p>
                    </w:tc>
                    <w:tc>
                      <w:tcPr>
                        <w:tcW w:w="6746" w:type="dxa"/>
                      </w:tcPr>
                      <w:p>
                        <w:pPr>
                          <w:pStyle w:val="TableParagraph"/>
                          <w:spacing w:line="256" w:lineRule="exact"/>
                          <w:ind w:left="162"/>
                          <w:rPr>
                            <w:b/>
                            <w:sz w:val="21"/>
                          </w:rPr>
                        </w:pPr>
                        <w:r>
                          <w:rPr>
                            <w:b/>
                            <w:w w:val="95"/>
                            <w:sz w:val="21"/>
                          </w:rPr>
                          <w:t>被保险人自杀时为无民事行为能力人的除外；</w:t>
                        </w:r>
                      </w:p>
                    </w:tc>
                  </w:tr>
                  <w:tr>
                    <w:trPr>
                      <w:trHeight w:val="316" w:hRule="atLeast"/>
                    </w:trPr>
                    <w:tc>
                      <w:tcPr>
                        <w:tcW w:w="785" w:type="dxa"/>
                      </w:tcPr>
                      <w:p>
                        <w:pPr>
                          <w:pStyle w:val="TableParagraph"/>
                          <w:rPr>
                            <w:rFonts w:ascii="Times New Roman"/>
                            <w:sz w:val="20"/>
                          </w:rPr>
                        </w:pPr>
                      </w:p>
                    </w:tc>
                    <w:tc>
                      <w:tcPr>
                        <w:tcW w:w="1739" w:type="dxa"/>
                      </w:tcPr>
                      <w:p>
                        <w:pPr>
                          <w:pStyle w:val="TableParagraph"/>
                          <w:rPr>
                            <w:rFonts w:ascii="Times New Roman"/>
                            <w:sz w:val="20"/>
                          </w:rPr>
                        </w:pPr>
                      </w:p>
                    </w:tc>
                    <w:tc>
                      <w:tcPr>
                        <w:tcW w:w="6746" w:type="dxa"/>
                      </w:tcPr>
                      <w:p>
                        <w:pPr>
                          <w:pStyle w:val="TableParagraph"/>
                          <w:spacing w:line="273" w:lineRule="exact"/>
                          <w:ind w:left="162"/>
                          <w:rPr>
                            <w:b/>
                            <w:sz w:val="21"/>
                          </w:rPr>
                        </w:pPr>
                        <w:r>
                          <w:rPr>
                            <w:b/>
                            <w:w w:val="95"/>
                            <w:sz w:val="21"/>
                          </w:rPr>
                          <w:t>（</w:t>
                        </w:r>
                        <w:r>
                          <w:rPr>
                            <w:rFonts w:ascii="Times New Roman" w:eastAsia="Times New Roman"/>
                            <w:b/>
                            <w:w w:val="95"/>
                            <w:position w:val="1"/>
                            <w:sz w:val="21"/>
                          </w:rPr>
                          <w:t>4</w:t>
                        </w:r>
                        <w:r>
                          <w:rPr>
                            <w:b/>
                            <w:w w:val="95"/>
                            <w:sz w:val="21"/>
                          </w:rPr>
                          <w:t>）被保险人主动吸食或注射毒品；</w:t>
                        </w:r>
                      </w:p>
                    </w:tc>
                  </w:tr>
                  <w:tr>
                    <w:trPr>
                      <w:trHeight w:val="318" w:hRule="atLeast"/>
                    </w:trPr>
                    <w:tc>
                      <w:tcPr>
                        <w:tcW w:w="785" w:type="dxa"/>
                      </w:tcPr>
                      <w:p>
                        <w:pPr>
                          <w:pStyle w:val="TableParagraph"/>
                          <w:rPr>
                            <w:rFonts w:ascii="Times New Roman"/>
                            <w:sz w:val="20"/>
                          </w:rPr>
                        </w:pPr>
                      </w:p>
                    </w:tc>
                    <w:tc>
                      <w:tcPr>
                        <w:tcW w:w="1739" w:type="dxa"/>
                      </w:tcPr>
                      <w:p>
                        <w:pPr>
                          <w:pStyle w:val="TableParagraph"/>
                          <w:rPr>
                            <w:rFonts w:ascii="Times New Roman"/>
                            <w:sz w:val="20"/>
                          </w:rPr>
                        </w:pPr>
                      </w:p>
                    </w:tc>
                    <w:tc>
                      <w:tcPr>
                        <w:tcW w:w="6746" w:type="dxa"/>
                      </w:tcPr>
                      <w:p>
                        <w:pPr>
                          <w:pStyle w:val="TableParagraph"/>
                          <w:spacing w:line="268" w:lineRule="exact"/>
                          <w:ind w:left="162"/>
                          <w:rPr>
                            <w:b/>
                            <w:sz w:val="21"/>
                          </w:rPr>
                        </w:pPr>
                        <w:r>
                          <w:rPr>
                            <w:b/>
                            <w:w w:val="95"/>
                            <w:sz w:val="21"/>
                          </w:rPr>
                          <w:t>（</w:t>
                        </w:r>
                        <w:r>
                          <w:rPr>
                            <w:rFonts w:ascii="Times New Roman" w:eastAsia="Times New Roman"/>
                            <w:b/>
                            <w:w w:val="95"/>
                            <w:position w:val="1"/>
                            <w:sz w:val="21"/>
                          </w:rPr>
                          <w:t>5</w:t>
                        </w:r>
                        <w:r>
                          <w:rPr>
                            <w:b/>
                            <w:w w:val="95"/>
                            <w:sz w:val="21"/>
                          </w:rPr>
                          <w:t>）被保险人酒后驾驶，无合法有效驾驶证驾驶，或驾驶无有效行驶</w:t>
                        </w:r>
                      </w:p>
                    </w:tc>
                  </w:tr>
                  <w:tr>
                    <w:trPr>
                      <w:trHeight w:val="300" w:hRule="atLeast"/>
                    </w:trPr>
                    <w:tc>
                      <w:tcPr>
                        <w:tcW w:w="785" w:type="dxa"/>
                      </w:tcPr>
                      <w:p>
                        <w:pPr>
                          <w:pStyle w:val="TableParagraph"/>
                          <w:rPr>
                            <w:rFonts w:ascii="Times New Roman"/>
                            <w:sz w:val="20"/>
                          </w:rPr>
                        </w:pPr>
                      </w:p>
                    </w:tc>
                    <w:tc>
                      <w:tcPr>
                        <w:tcW w:w="1739" w:type="dxa"/>
                      </w:tcPr>
                      <w:p>
                        <w:pPr>
                          <w:pStyle w:val="TableParagraph"/>
                          <w:rPr>
                            <w:rFonts w:ascii="Times New Roman"/>
                            <w:sz w:val="20"/>
                          </w:rPr>
                        </w:pPr>
                      </w:p>
                    </w:tc>
                    <w:tc>
                      <w:tcPr>
                        <w:tcW w:w="6746" w:type="dxa"/>
                      </w:tcPr>
                      <w:p>
                        <w:pPr>
                          <w:pStyle w:val="TableParagraph"/>
                          <w:spacing w:line="256" w:lineRule="exact"/>
                          <w:ind w:left="162"/>
                          <w:rPr>
                            <w:b/>
                            <w:sz w:val="21"/>
                          </w:rPr>
                        </w:pPr>
                        <w:r>
                          <w:rPr>
                            <w:b/>
                            <w:w w:val="95"/>
                            <w:sz w:val="21"/>
                          </w:rPr>
                          <w:t>证的机动车；</w:t>
                        </w:r>
                      </w:p>
                    </w:tc>
                  </w:tr>
                  <w:tr>
                    <w:trPr>
                      <w:trHeight w:val="316" w:hRule="atLeast"/>
                    </w:trPr>
                    <w:tc>
                      <w:tcPr>
                        <w:tcW w:w="785" w:type="dxa"/>
                      </w:tcPr>
                      <w:p>
                        <w:pPr>
                          <w:pStyle w:val="TableParagraph"/>
                          <w:rPr>
                            <w:rFonts w:ascii="Times New Roman"/>
                            <w:sz w:val="20"/>
                          </w:rPr>
                        </w:pPr>
                      </w:p>
                    </w:tc>
                    <w:tc>
                      <w:tcPr>
                        <w:tcW w:w="1739" w:type="dxa"/>
                      </w:tcPr>
                      <w:p>
                        <w:pPr>
                          <w:pStyle w:val="TableParagraph"/>
                          <w:rPr>
                            <w:rFonts w:ascii="Times New Roman"/>
                            <w:sz w:val="20"/>
                          </w:rPr>
                        </w:pPr>
                      </w:p>
                    </w:tc>
                    <w:tc>
                      <w:tcPr>
                        <w:tcW w:w="6746" w:type="dxa"/>
                      </w:tcPr>
                      <w:p>
                        <w:pPr>
                          <w:pStyle w:val="TableParagraph"/>
                          <w:spacing w:line="273" w:lineRule="exact"/>
                          <w:ind w:left="162"/>
                          <w:rPr>
                            <w:b/>
                            <w:sz w:val="21"/>
                          </w:rPr>
                        </w:pPr>
                        <w:r>
                          <w:rPr>
                            <w:b/>
                            <w:w w:val="95"/>
                            <w:sz w:val="21"/>
                          </w:rPr>
                          <w:t>（</w:t>
                        </w:r>
                        <w:r>
                          <w:rPr>
                            <w:rFonts w:ascii="Times New Roman" w:eastAsia="Times New Roman"/>
                            <w:b/>
                            <w:w w:val="95"/>
                            <w:position w:val="1"/>
                            <w:sz w:val="21"/>
                          </w:rPr>
                          <w:t>6</w:t>
                        </w:r>
                        <w:r>
                          <w:rPr>
                            <w:b/>
                            <w:w w:val="95"/>
                            <w:sz w:val="21"/>
                          </w:rPr>
                          <w:t>）战争、军事冲突、暴乱或武装叛乱；</w:t>
                        </w:r>
                      </w:p>
                    </w:tc>
                  </w:tr>
                  <w:tr>
                    <w:trPr>
                      <w:trHeight w:val="452" w:hRule="atLeast"/>
                    </w:trPr>
                    <w:tc>
                      <w:tcPr>
                        <w:tcW w:w="785" w:type="dxa"/>
                      </w:tcPr>
                      <w:p>
                        <w:pPr>
                          <w:pStyle w:val="TableParagraph"/>
                          <w:rPr>
                            <w:rFonts w:ascii="Times New Roman"/>
                            <w:sz w:val="20"/>
                          </w:rPr>
                        </w:pPr>
                      </w:p>
                    </w:tc>
                    <w:tc>
                      <w:tcPr>
                        <w:tcW w:w="1739" w:type="dxa"/>
                      </w:tcPr>
                      <w:p>
                        <w:pPr>
                          <w:pStyle w:val="TableParagraph"/>
                          <w:rPr>
                            <w:rFonts w:ascii="Times New Roman"/>
                            <w:sz w:val="20"/>
                          </w:rPr>
                        </w:pPr>
                      </w:p>
                    </w:tc>
                    <w:tc>
                      <w:tcPr>
                        <w:tcW w:w="6746" w:type="dxa"/>
                      </w:tcPr>
                      <w:p>
                        <w:pPr>
                          <w:pStyle w:val="TableParagraph"/>
                          <w:spacing w:line="268" w:lineRule="exact"/>
                          <w:ind w:left="162"/>
                          <w:rPr>
                            <w:b/>
                            <w:sz w:val="21"/>
                          </w:rPr>
                        </w:pPr>
                        <w:r>
                          <w:rPr>
                            <w:b/>
                            <w:w w:val="95"/>
                            <w:sz w:val="21"/>
                          </w:rPr>
                          <w:t>（</w:t>
                        </w:r>
                        <w:r>
                          <w:rPr>
                            <w:rFonts w:ascii="Times New Roman" w:eastAsia="Times New Roman"/>
                            <w:b/>
                            <w:w w:val="95"/>
                            <w:position w:val="1"/>
                            <w:sz w:val="21"/>
                          </w:rPr>
                          <w:t>7</w:t>
                        </w:r>
                        <w:r>
                          <w:rPr>
                            <w:b/>
                            <w:w w:val="95"/>
                            <w:sz w:val="21"/>
                          </w:rPr>
                          <w:t>）核爆炸、核辐射或核污染。</w:t>
                        </w:r>
                      </w:p>
                    </w:tc>
                  </w:tr>
                  <w:tr>
                    <w:trPr>
                      <w:trHeight w:val="649" w:hRule="atLeast"/>
                    </w:trPr>
                    <w:tc>
                      <w:tcPr>
                        <w:tcW w:w="785" w:type="dxa"/>
                      </w:tcPr>
                      <w:p>
                        <w:pPr>
                          <w:pStyle w:val="TableParagraph"/>
                          <w:spacing w:before="5"/>
                          <w:rPr>
                            <w:b/>
                            <w:sz w:val="15"/>
                          </w:rPr>
                        </w:pPr>
                      </w:p>
                      <w:p>
                        <w:pPr>
                          <w:pStyle w:val="TableParagraph"/>
                          <w:ind w:left="50"/>
                          <w:rPr>
                            <w:rFonts w:ascii="Times New Roman"/>
                            <w:sz w:val="21"/>
                          </w:rPr>
                        </w:pPr>
                        <w:r>
                          <w:rPr>
                            <w:rFonts w:ascii="Times New Roman"/>
                            <w:sz w:val="21"/>
                          </w:rPr>
                          <w:t>2.5.2</w:t>
                        </w:r>
                      </w:p>
                    </w:tc>
                    <w:tc>
                      <w:tcPr>
                        <w:tcW w:w="1739" w:type="dxa"/>
                      </w:tcPr>
                      <w:p>
                        <w:pPr>
                          <w:pStyle w:val="TableParagraph"/>
                          <w:spacing w:before="158"/>
                          <w:ind w:left="316"/>
                          <w:rPr>
                            <w:b/>
                            <w:sz w:val="21"/>
                          </w:rPr>
                        </w:pPr>
                        <w:r>
                          <w:rPr>
                            <w:b/>
                            <w:w w:val="95"/>
                            <w:sz w:val="21"/>
                          </w:rPr>
                          <w:t>全残责任免除</w:t>
                        </w:r>
                      </w:p>
                    </w:tc>
                    <w:tc>
                      <w:tcPr>
                        <w:tcW w:w="6746" w:type="dxa"/>
                      </w:tcPr>
                      <w:p>
                        <w:pPr>
                          <w:pStyle w:val="TableParagraph"/>
                          <w:spacing w:line="240" w:lineRule="exact" w:before="176"/>
                          <w:ind w:left="162" w:right="281"/>
                          <w:rPr>
                            <w:b/>
                            <w:sz w:val="21"/>
                          </w:rPr>
                        </w:pPr>
                        <w:r>
                          <w:rPr>
                            <w:b/>
                            <w:w w:val="95"/>
                            <w:sz w:val="21"/>
                          </w:rPr>
                          <w:t>上述</w:t>
                        </w:r>
                        <w:r>
                          <w:rPr>
                            <w:rFonts w:ascii="Times New Roman" w:eastAsia="Times New Roman"/>
                            <w:b/>
                            <w:w w:val="95"/>
                            <w:sz w:val="21"/>
                          </w:rPr>
                          <w:t>2.5.1</w:t>
                        </w:r>
                        <w:r>
                          <w:rPr>
                            <w:b/>
                            <w:w w:val="95"/>
                            <w:sz w:val="21"/>
                          </w:rPr>
                          <w:t>责任免除事项同样适用于全残责任免除，同时因下列情形之 一导致被保险人全残的，我们也不承担相应的保险责任：</w:t>
                        </w:r>
                      </w:p>
                    </w:tc>
                  </w:tr>
                  <w:tr>
                    <w:trPr>
                      <w:trHeight w:val="241" w:hRule="atLeast"/>
                    </w:trPr>
                    <w:tc>
                      <w:tcPr>
                        <w:tcW w:w="785" w:type="dxa"/>
                      </w:tcPr>
                      <w:p>
                        <w:pPr>
                          <w:pStyle w:val="TableParagraph"/>
                          <w:rPr>
                            <w:rFonts w:ascii="Times New Roman"/>
                            <w:sz w:val="16"/>
                          </w:rPr>
                        </w:pPr>
                      </w:p>
                    </w:tc>
                    <w:tc>
                      <w:tcPr>
                        <w:tcW w:w="1739" w:type="dxa"/>
                      </w:tcPr>
                      <w:p>
                        <w:pPr>
                          <w:pStyle w:val="TableParagraph"/>
                          <w:rPr>
                            <w:rFonts w:ascii="Times New Roman"/>
                            <w:sz w:val="16"/>
                          </w:rPr>
                        </w:pPr>
                      </w:p>
                    </w:tc>
                    <w:tc>
                      <w:tcPr>
                        <w:tcW w:w="6746" w:type="dxa"/>
                      </w:tcPr>
                      <w:p>
                        <w:pPr>
                          <w:pStyle w:val="TableParagraph"/>
                          <w:spacing w:line="222" w:lineRule="exact"/>
                          <w:ind w:left="162"/>
                          <w:rPr>
                            <w:b/>
                            <w:sz w:val="21"/>
                          </w:rPr>
                        </w:pPr>
                        <w:r>
                          <w:rPr>
                            <w:b/>
                            <w:w w:val="95"/>
                            <w:sz w:val="21"/>
                          </w:rPr>
                          <w:t>（</w:t>
                        </w:r>
                        <w:r>
                          <w:rPr>
                            <w:rFonts w:ascii="Times New Roman" w:eastAsia="Times New Roman"/>
                            <w:b/>
                            <w:w w:val="95"/>
                            <w:sz w:val="21"/>
                          </w:rPr>
                          <w:t>1</w:t>
                        </w:r>
                        <w:r>
                          <w:rPr>
                            <w:b/>
                            <w:w w:val="95"/>
                            <w:sz w:val="21"/>
                          </w:rPr>
                          <w:t>）被保险人自残；</w:t>
                        </w:r>
                      </w:p>
                    </w:tc>
                  </w:tr>
                  <w:tr>
                    <w:trPr>
                      <w:trHeight w:val="257" w:hRule="atLeast"/>
                    </w:trPr>
                    <w:tc>
                      <w:tcPr>
                        <w:tcW w:w="785" w:type="dxa"/>
                      </w:tcPr>
                      <w:p>
                        <w:pPr>
                          <w:pStyle w:val="TableParagraph"/>
                          <w:rPr>
                            <w:rFonts w:ascii="Times New Roman"/>
                            <w:sz w:val="18"/>
                          </w:rPr>
                        </w:pPr>
                      </w:p>
                    </w:tc>
                    <w:tc>
                      <w:tcPr>
                        <w:tcW w:w="1739" w:type="dxa"/>
                      </w:tcPr>
                      <w:p>
                        <w:pPr>
                          <w:pStyle w:val="TableParagraph"/>
                          <w:rPr>
                            <w:rFonts w:ascii="Times New Roman"/>
                            <w:sz w:val="18"/>
                          </w:rPr>
                        </w:pPr>
                      </w:p>
                    </w:tc>
                    <w:tc>
                      <w:tcPr>
                        <w:tcW w:w="6746" w:type="dxa"/>
                      </w:tcPr>
                      <w:p>
                        <w:pPr>
                          <w:pStyle w:val="TableParagraph"/>
                          <w:spacing w:line="237" w:lineRule="exact"/>
                          <w:ind w:left="162"/>
                          <w:rPr>
                            <w:b/>
                            <w:sz w:val="21"/>
                          </w:rPr>
                        </w:pPr>
                        <w:r>
                          <w:rPr>
                            <w:b/>
                            <w:w w:val="95"/>
                            <w:sz w:val="21"/>
                          </w:rPr>
                          <w:t>（</w:t>
                        </w:r>
                        <w:r>
                          <w:rPr>
                            <w:rFonts w:ascii="Times New Roman" w:eastAsia="Times New Roman"/>
                            <w:b/>
                            <w:w w:val="95"/>
                            <w:sz w:val="21"/>
                          </w:rPr>
                          <w:t>2</w:t>
                        </w:r>
                        <w:r>
                          <w:rPr>
                            <w:b/>
                            <w:w w:val="95"/>
                            <w:sz w:val="21"/>
                          </w:rPr>
                          <w:t>）被保险人未经医师处方注射、吸食、服用毒品或处方药品；</w:t>
                        </w:r>
                      </w:p>
                    </w:tc>
                  </w:tr>
                  <w:tr>
                    <w:trPr>
                      <w:trHeight w:val="291" w:hRule="atLeast"/>
                    </w:trPr>
                    <w:tc>
                      <w:tcPr>
                        <w:tcW w:w="785" w:type="dxa"/>
                      </w:tcPr>
                      <w:p>
                        <w:pPr>
                          <w:pStyle w:val="TableParagraph"/>
                          <w:rPr>
                            <w:rFonts w:ascii="Times New Roman"/>
                            <w:sz w:val="20"/>
                          </w:rPr>
                        </w:pPr>
                      </w:p>
                    </w:tc>
                    <w:tc>
                      <w:tcPr>
                        <w:tcW w:w="1739" w:type="dxa"/>
                      </w:tcPr>
                      <w:p>
                        <w:pPr>
                          <w:pStyle w:val="TableParagraph"/>
                          <w:rPr>
                            <w:rFonts w:ascii="Times New Roman"/>
                            <w:sz w:val="20"/>
                          </w:rPr>
                        </w:pPr>
                      </w:p>
                    </w:tc>
                    <w:tc>
                      <w:tcPr>
                        <w:tcW w:w="6746" w:type="dxa"/>
                      </w:tcPr>
                      <w:p>
                        <w:pPr>
                          <w:pStyle w:val="TableParagraph"/>
                          <w:spacing w:line="256" w:lineRule="exact"/>
                          <w:ind w:left="162"/>
                          <w:rPr>
                            <w:b/>
                            <w:sz w:val="21"/>
                          </w:rPr>
                        </w:pPr>
                        <w:r>
                          <w:rPr>
                            <w:b/>
                            <w:w w:val="95"/>
                            <w:sz w:val="21"/>
                          </w:rPr>
                          <w:t>（</w:t>
                        </w:r>
                        <w:r>
                          <w:rPr>
                            <w:rFonts w:ascii="Times New Roman" w:eastAsia="Times New Roman"/>
                            <w:b/>
                            <w:w w:val="95"/>
                            <w:sz w:val="21"/>
                          </w:rPr>
                          <w:t>3</w:t>
                        </w:r>
                        <w:r>
                          <w:rPr>
                            <w:b/>
                            <w:w w:val="95"/>
                            <w:sz w:val="21"/>
                          </w:rPr>
                          <w:t>）先天性疾病、遗传性疾病及精神疾病；</w:t>
                        </w:r>
                      </w:p>
                    </w:tc>
                  </w:tr>
                  <w:tr>
                    <w:trPr>
                      <w:trHeight w:val="317" w:hRule="atLeast"/>
                    </w:trPr>
                    <w:tc>
                      <w:tcPr>
                        <w:tcW w:w="785" w:type="dxa"/>
                      </w:tcPr>
                      <w:p>
                        <w:pPr>
                          <w:pStyle w:val="TableParagraph"/>
                          <w:rPr>
                            <w:rFonts w:ascii="Times New Roman"/>
                            <w:sz w:val="20"/>
                          </w:rPr>
                        </w:pPr>
                      </w:p>
                    </w:tc>
                    <w:tc>
                      <w:tcPr>
                        <w:tcW w:w="1739" w:type="dxa"/>
                      </w:tcPr>
                      <w:p>
                        <w:pPr>
                          <w:pStyle w:val="TableParagraph"/>
                          <w:rPr>
                            <w:rFonts w:ascii="Times New Roman"/>
                            <w:sz w:val="20"/>
                          </w:rPr>
                        </w:pPr>
                      </w:p>
                    </w:tc>
                    <w:tc>
                      <w:tcPr>
                        <w:tcW w:w="6746" w:type="dxa"/>
                      </w:tcPr>
                      <w:p>
                        <w:pPr>
                          <w:pStyle w:val="TableParagraph"/>
                          <w:spacing w:line="276" w:lineRule="exact"/>
                          <w:ind w:left="162"/>
                          <w:rPr>
                            <w:b/>
                            <w:sz w:val="21"/>
                          </w:rPr>
                        </w:pPr>
                        <w:r>
                          <w:rPr>
                            <w:b/>
                            <w:w w:val="95"/>
                            <w:sz w:val="21"/>
                          </w:rPr>
                          <w:t>（</w:t>
                        </w:r>
                        <w:r>
                          <w:rPr>
                            <w:rFonts w:ascii="Times New Roman" w:eastAsia="Times New Roman"/>
                            <w:b/>
                            <w:w w:val="95"/>
                            <w:sz w:val="21"/>
                          </w:rPr>
                          <w:t>4</w:t>
                        </w:r>
                        <w:r>
                          <w:rPr>
                            <w:b/>
                            <w:w w:val="95"/>
                            <w:sz w:val="21"/>
                          </w:rPr>
                          <w:t>）被保险人以职业运动员身份参加的运动；或参与可获得报酬的运</w:t>
                        </w:r>
                      </w:p>
                    </w:tc>
                  </w:tr>
                  <w:tr>
                    <w:trPr>
                      <w:trHeight w:val="306" w:hRule="atLeast"/>
                    </w:trPr>
                    <w:tc>
                      <w:tcPr>
                        <w:tcW w:w="785" w:type="dxa"/>
                      </w:tcPr>
                      <w:p>
                        <w:pPr>
                          <w:pStyle w:val="TableParagraph"/>
                          <w:rPr>
                            <w:rFonts w:ascii="Times New Roman"/>
                            <w:sz w:val="20"/>
                          </w:rPr>
                        </w:pPr>
                      </w:p>
                    </w:tc>
                    <w:tc>
                      <w:tcPr>
                        <w:tcW w:w="1739" w:type="dxa"/>
                      </w:tcPr>
                      <w:p>
                        <w:pPr>
                          <w:pStyle w:val="TableParagraph"/>
                          <w:rPr>
                            <w:rFonts w:ascii="Times New Roman"/>
                            <w:sz w:val="20"/>
                          </w:rPr>
                        </w:pPr>
                      </w:p>
                    </w:tc>
                    <w:tc>
                      <w:tcPr>
                        <w:tcW w:w="6746" w:type="dxa"/>
                      </w:tcPr>
                      <w:p>
                        <w:pPr>
                          <w:pStyle w:val="TableParagraph"/>
                          <w:spacing w:line="255" w:lineRule="exact"/>
                          <w:ind w:left="162"/>
                          <w:rPr>
                            <w:b/>
                            <w:sz w:val="21"/>
                          </w:rPr>
                        </w:pPr>
                        <w:r>
                          <w:rPr>
                            <w:b/>
                            <w:w w:val="95"/>
                            <w:sz w:val="21"/>
                          </w:rPr>
                          <w:t>动；或者参加以下项目的竞赛、表演或专业训练：赛马、马术、马球、机</w:t>
                        </w:r>
                      </w:p>
                    </w:tc>
                  </w:tr>
                  <w:tr>
                    <w:trPr>
                      <w:trHeight w:val="306" w:hRule="atLeast"/>
                    </w:trPr>
                    <w:tc>
                      <w:tcPr>
                        <w:tcW w:w="785" w:type="dxa"/>
                      </w:tcPr>
                      <w:p>
                        <w:pPr>
                          <w:pStyle w:val="TableParagraph"/>
                          <w:rPr>
                            <w:rFonts w:ascii="Times New Roman"/>
                            <w:sz w:val="20"/>
                          </w:rPr>
                        </w:pPr>
                      </w:p>
                    </w:tc>
                    <w:tc>
                      <w:tcPr>
                        <w:tcW w:w="1739" w:type="dxa"/>
                      </w:tcPr>
                      <w:p>
                        <w:pPr>
                          <w:pStyle w:val="TableParagraph"/>
                          <w:rPr>
                            <w:rFonts w:ascii="Times New Roman"/>
                            <w:sz w:val="20"/>
                          </w:rPr>
                        </w:pPr>
                      </w:p>
                    </w:tc>
                    <w:tc>
                      <w:tcPr>
                        <w:tcW w:w="6746" w:type="dxa"/>
                      </w:tcPr>
                      <w:p>
                        <w:pPr>
                          <w:pStyle w:val="TableParagraph"/>
                          <w:spacing w:line="261" w:lineRule="exact"/>
                          <w:ind w:left="162"/>
                          <w:rPr>
                            <w:b/>
                            <w:sz w:val="21"/>
                          </w:rPr>
                        </w:pPr>
                        <w:r>
                          <w:rPr>
                            <w:b/>
                            <w:spacing w:val="-36"/>
                            <w:w w:val="95"/>
                            <w:sz w:val="21"/>
                          </w:rPr>
                          <w:t>动车、自行车、赛艇、滑板、冲浪、滑水、跳水、潜水、跳高滑雪、雪橇、滑冰、</w:t>
                        </w:r>
                      </w:p>
                    </w:tc>
                  </w:tr>
                  <w:tr>
                    <w:trPr>
                      <w:trHeight w:val="323" w:hRule="atLeast"/>
                    </w:trPr>
                    <w:tc>
                      <w:tcPr>
                        <w:tcW w:w="785" w:type="dxa"/>
                      </w:tcPr>
                      <w:p>
                        <w:pPr>
                          <w:pStyle w:val="TableParagraph"/>
                          <w:rPr>
                            <w:rFonts w:ascii="Times New Roman"/>
                            <w:sz w:val="20"/>
                          </w:rPr>
                        </w:pPr>
                      </w:p>
                    </w:tc>
                    <w:tc>
                      <w:tcPr>
                        <w:tcW w:w="1739" w:type="dxa"/>
                      </w:tcPr>
                      <w:p>
                        <w:pPr>
                          <w:pStyle w:val="TableParagraph"/>
                          <w:rPr>
                            <w:rFonts w:ascii="Times New Roman"/>
                            <w:sz w:val="20"/>
                          </w:rPr>
                        </w:pPr>
                      </w:p>
                    </w:tc>
                    <w:tc>
                      <w:tcPr>
                        <w:tcW w:w="6746" w:type="dxa"/>
                      </w:tcPr>
                      <w:p>
                        <w:pPr>
                          <w:pStyle w:val="TableParagraph"/>
                          <w:spacing w:line="282" w:lineRule="exact"/>
                          <w:ind w:left="162"/>
                          <w:rPr>
                            <w:b/>
                            <w:sz w:val="21"/>
                          </w:rPr>
                        </w:pPr>
                        <w:r>
                          <w:rPr>
                            <w:b/>
                            <w:spacing w:val="-23"/>
                            <w:w w:val="95"/>
                            <w:sz w:val="21"/>
                          </w:rPr>
                          <w:t>冰球、拳击、武术、摔跤；或参加攀岩、攀登海拔</w:t>
                        </w:r>
                        <w:r>
                          <w:rPr>
                            <w:rFonts w:ascii="Times New Roman" w:eastAsia="Times New Roman"/>
                            <w:b/>
                            <w:w w:val="95"/>
                            <w:sz w:val="21"/>
                          </w:rPr>
                          <w:t>3500</w:t>
                        </w:r>
                        <w:r>
                          <w:rPr>
                            <w:b/>
                            <w:w w:val="95"/>
                            <w:sz w:val="21"/>
                          </w:rPr>
                          <w:t>米以上独立ft</w:t>
                        </w:r>
                        <w:r>
                          <w:rPr>
                            <w:b/>
                            <w:spacing w:val="-34"/>
                            <w:w w:val="95"/>
                            <w:sz w:val="21"/>
                          </w:rPr>
                          <w:t>峰、滑</w:t>
                        </w:r>
                      </w:p>
                    </w:tc>
                  </w:tr>
                  <w:tr>
                    <w:trPr>
                      <w:trHeight w:val="306" w:hRule="atLeast"/>
                    </w:trPr>
                    <w:tc>
                      <w:tcPr>
                        <w:tcW w:w="785" w:type="dxa"/>
                      </w:tcPr>
                      <w:p>
                        <w:pPr>
                          <w:pStyle w:val="TableParagraph"/>
                          <w:rPr>
                            <w:rFonts w:ascii="Times New Roman"/>
                            <w:sz w:val="20"/>
                          </w:rPr>
                        </w:pPr>
                      </w:p>
                    </w:tc>
                    <w:tc>
                      <w:tcPr>
                        <w:tcW w:w="1739" w:type="dxa"/>
                      </w:tcPr>
                      <w:p>
                        <w:pPr>
                          <w:pStyle w:val="TableParagraph"/>
                          <w:rPr>
                            <w:rFonts w:ascii="Times New Roman"/>
                            <w:sz w:val="20"/>
                          </w:rPr>
                        </w:pPr>
                      </w:p>
                    </w:tc>
                    <w:tc>
                      <w:tcPr>
                        <w:tcW w:w="6746" w:type="dxa"/>
                      </w:tcPr>
                      <w:p>
                        <w:pPr>
                          <w:pStyle w:val="TableParagraph"/>
                          <w:spacing w:line="255" w:lineRule="exact"/>
                          <w:ind w:left="162"/>
                          <w:rPr>
                            <w:b/>
                            <w:sz w:val="21"/>
                          </w:rPr>
                        </w:pPr>
                        <w:r>
                          <w:rPr>
                            <w:b/>
                            <w:w w:val="95"/>
                            <w:sz w:val="21"/>
                          </w:rPr>
                          <w:t>翔翼、气球驾驶、跳伞、空中飞行（不包括以乘客身份乘坐作为公共交通</w:t>
                        </w:r>
                      </w:p>
                    </w:tc>
                  </w:tr>
                  <w:tr>
                    <w:trPr>
                      <w:trHeight w:val="311" w:hRule="atLeast"/>
                    </w:trPr>
                    <w:tc>
                      <w:tcPr>
                        <w:tcW w:w="785" w:type="dxa"/>
                      </w:tcPr>
                      <w:p>
                        <w:pPr>
                          <w:pStyle w:val="TableParagraph"/>
                          <w:rPr>
                            <w:rFonts w:ascii="Times New Roman"/>
                            <w:sz w:val="20"/>
                          </w:rPr>
                        </w:pPr>
                      </w:p>
                    </w:tc>
                    <w:tc>
                      <w:tcPr>
                        <w:tcW w:w="1739" w:type="dxa"/>
                      </w:tcPr>
                      <w:p>
                        <w:pPr>
                          <w:pStyle w:val="TableParagraph"/>
                          <w:rPr>
                            <w:rFonts w:ascii="Times New Roman"/>
                            <w:sz w:val="20"/>
                          </w:rPr>
                        </w:pPr>
                      </w:p>
                    </w:tc>
                    <w:tc>
                      <w:tcPr>
                        <w:tcW w:w="6746" w:type="dxa"/>
                      </w:tcPr>
                      <w:p>
                        <w:pPr>
                          <w:pStyle w:val="TableParagraph"/>
                          <w:spacing w:line="261" w:lineRule="exact"/>
                          <w:ind w:left="162"/>
                          <w:rPr>
                            <w:b/>
                            <w:sz w:val="21"/>
                          </w:rPr>
                        </w:pPr>
                        <w:r>
                          <w:rPr>
                            <w:b/>
                            <w:w w:val="95"/>
                            <w:sz w:val="21"/>
                          </w:rPr>
                          <w:t>工具的民航班机）</w:t>
                        </w:r>
                        <w:r>
                          <w:rPr>
                            <w:b/>
                            <w:spacing w:val="-27"/>
                            <w:w w:val="95"/>
                            <w:sz w:val="21"/>
                          </w:rPr>
                          <w:t>、蹦极跳；或参加洞穴、极地、沙漠、火</w:t>
                        </w:r>
                        <w:r>
                          <w:rPr>
                            <w:b/>
                            <w:w w:val="95"/>
                            <w:sz w:val="21"/>
                          </w:rPr>
                          <w:t>ft</w:t>
                        </w:r>
                        <w:r>
                          <w:rPr>
                            <w:b/>
                            <w:spacing w:val="-18"/>
                            <w:w w:val="95"/>
                            <w:sz w:val="21"/>
                          </w:rPr>
                          <w:t>、冰川等探险</w:t>
                        </w:r>
                      </w:p>
                    </w:tc>
                  </w:tr>
                  <w:tr>
                    <w:trPr>
                      <w:trHeight w:val="411" w:hRule="atLeast"/>
                    </w:trPr>
                    <w:tc>
                      <w:tcPr>
                        <w:tcW w:w="785" w:type="dxa"/>
                      </w:tcPr>
                      <w:p>
                        <w:pPr>
                          <w:pStyle w:val="TableParagraph"/>
                          <w:rPr>
                            <w:rFonts w:ascii="Times New Roman"/>
                            <w:sz w:val="20"/>
                          </w:rPr>
                        </w:pPr>
                      </w:p>
                    </w:tc>
                    <w:tc>
                      <w:tcPr>
                        <w:tcW w:w="1739" w:type="dxa"/>
                      </w:tcPr>
                      <w:p>
                        <w:pPr>
                          <w:pStyle w:val="TableParagraph"/>
                          <w:rPr>
                            <w:rFonts w:ascii="Times New Roman"/>
                            <w:sz w:val="20"/>
                          </w:rPr>
                        </w:pPr>
                      </w:p>
                    </w:tc>
                    <w:tc>
                      <w:tcPr>
                        <w:tcW w:w="6746" w:type="dxa"/>
                      </w:tcPr>
                      <w:p>
                        <w:pPr>
                          <w:pStyle w:val="TableParagraph"/>
                          <w:spacing w:line="261" w:lineRule="exact"/>
                          <w:ind w:left="162"/>
                          <w:rPr>
                            <w:b/>
                            <w:sz w:val="21"/>
                          </w:rPr>
                        </w:pPr>
                        <w:r>
                          <w:rPr>
                            <w:b/>
                            <w:w w:val="95"/>
                            <w:sz w:val="21"/>
                          </w:rPr>
                          <w:t>和考察。</w:t>
                        </w:r>
                      </w:p>
                    </w:tc>
                  </w:tr>
                  <w:tr>
                    <w:trPr>
                      <w:trHeight w:val="405" w:hRule="atLeast"/>
                    </w:trPr>
                    <w:tc>
                      <w:tcPr>
                        <w:tcW w:w="785" w:type="dxa"/>
                      </w:tcPr>
                      <w:p>
                        <w:pPr>
                          <w:pStyle w:val="TableParagraph"/>
                          <w:spacing w:line="221" w:lineRule="exact" w:before="164"/>
                          <w:ind w:left="50"/>
                          <w:rPr>
                            <w:rFonts w:ascii="Times New Roman"/>
                            <w:sz w:val="21"/>
                          </w:rPr>
                        </w:pPr>
                        <w:r>
                          <w:rPr>
                            <w:rFonts w:ascii="Times New Roman"/>
                            <w:sz w:val="21"/>
                          </w:rPr>
                          <w:t>2.5.3</w:t>
                        </w:r>
                      </w:p>
                    </w:tc>
                    <w:tc>
                      <w:tcPr>
                        <w:tcW w:w="1739" w:type="dxa"/>
                      </w:tcPr>
                      <w:p>
                        <w:pPr>
                          <w:pStyle w:val="TableParagraph"/>
                          <w:spacing w:line="265" w:lineRule="exact" w:before="121"/>
                          <w:ind w:left="316"/>
                          <w:rPr>
                            <w:b/>
                            <w:sz w:val="21"/>
                          </w:rPr>
                        </w:pPr>
                        <w:r>
                          <w:rPr>
                            <w:b/>
                            <w:w w:val="95"/>
                            <w:sz w:val="21"/>
                          </w:rPr>
                          <w:t>重大疾病</w:t>
                        </w:r>
                      </w:p>
                    </w:tc>
                    <w:tc>
                      <w:tcPr>
                        <w:tcW w:w="6746" w:type="dxa"/>
                      </w:tcPr>
                      <w:p>
                        <w:pPr>
                          <w:pStyle w:val="TableParagraph"/>
                          <w:spacing w:before="85"/>
                          <w:ind w:left="162"/>
                          <w:rPr>
                            <w:b/>
                            <w:sz w:val="21"/>
                          </w:rPr>
                        </w:pPr>
                        <w:r>
                          <w:rPr>
                            <w:b/>
                            <w:w w:val="95"/>
                            <w:sz w:val="21"/>
                          </w:rPr>
                          <w:t>因下列情形之一导致被保险人发生重大疾病，我们不承担相应的保险</w:t>
                        </w:r>
                      </w:p>
                    </w:tc>
                  </w:tr>
                </w:tbl>
                <w:p>
                  <w:pPr>
                    <w:pStyle w:val="BodyText"/>
                  </w:pPr>
                </w:p>
              </w:txbxContent>
            </v:textbox>
            <w10:wrap type="none"/>
          </v:shape>
        </w:pict>
      </w:r>
      <w:r>
        <w:rPr>
          <w:w w:val="95"/>
        </w:rPr>
        <w:t>责任免除</w:t>
      </w:r>
    </w:p>
    <w:p>
      <w:pPr>
        <w:spacing w:before="35"/>
        <w:ind w:left="702" w:right="0" w:firstLine="0"/>
        <w:jc w:val="left"/>
        <w:rPr>
          <w:b/>
          <w:sz w:val="21"/>
        </w:rPr>
      </w:pPr>
      <w:r>
        <w:rPr/>
        <w:br w:type="column"/>
      </w:r>
      <w:r>
        <w:rPr>
          <w:b/>
          <w:w w:val="95"/>
          <w:sz w:val="21"/>
        </w:rPr>
        <w:t>责任：</w:t>
      </w:r>
    </w:p>
    <w:p>
      <w:pPr>
        <w:pStyle w:val="Heading3"/>
        <w:spacing w:before="0"/>
        <w:ind w:left="702"/>
      </w:pPr>
      <w:r>
        <w:rPr>
          <w:w w:val="95"/>
        </w:rPr>
        <w:t>（</w:t>
      </w:r>
      <w:r>
        <w:rPr>
          <w:rFonts w:ascii="Times New Roman" w:eastAsia="Times New Roman"/>
          <w:w w:val="95"/>
          <w:position w:val="1"/>
        </w:rPr>
        <w:t>1</w:t>
      </w:r>
      <w:r>
        <w:rPr>
          <w:w w:val="95"/>
        </w:rPr>
        <w:t>）投保人对被保险人的故意杀害、故意伤害；</w:t>
      </w:r>
    </w:p>
    <w:p>
      <w:pPr>
        <w:spacing w:before="30"/>
        <w:ind w:left="702" w:right="0" w:firstLine="0"/>
        <w:jc w:val="left"/>
        <w:rPr>
          <w:b/>
          <w:sz w:val="21"/>
        </w:rPr>
      </w:pPr>
      <w:r>
        <w:rPr>
          <w:b/>
          <w:w w:val="95"/>
          <w:sz w:val="21"/>
        </w:rPr>
        <w:t>（</w:t>
      </w:r>
      <w:r>
        <w:rPr>
          <w:rFonts w:ascii="Times New Roman" w:eastAsia="Times New Roman"/>
          <w:b/>
          <w:w w:val="95"/>
          <w:position w:val="1"/>
          <w:sz w:val="21"/>
        </w:rPr>
        <w:t>2</w:t>
      </w:r>
      <w:r>
        <w:rPr>
          <w:b/>
          <w:w w:val="95"/>
          <w:sz w:val="21"/>
        </w:rPr>
        <w:t>）被保险人故意自伤、故意犯罪或者抗拒依法采取的刑事强制措施；</w:t>
      </w:r>
    </w:p>
    <w:p>
      <w:pPr>
        <w:spacing w:after="0"/>
        <w:jc w:val="left"/>
        <w:rPr>
          <w:sz w:val="21"/>
        </w:rPr>
        <w:sectPr>
          <w:type w:val="continuous"/>
          <w:pgSz w:w="11900" w:h="16840"/>
          <w:pgMar w:top="160" w:bottom="280" w:left="1000" w:right="1380"/>
          <w:cols w:num="2" w:equalWidth="0">
            <w:col w:w="2054" w:space="40"/>
            <w:col w:w="7426"/>
          </w:cols>
        </w:sectPr>
      </w:pPr>
    </w:p>
    <w:p>
      <w:pPr>
        <w:spacing w:before="20"/>
        <w:ind w:left="2864" w:right="0" w:firstLine="0"/>
        <w:jc w:val="left"/>
        <w:rPr>
          <w:b/>
          <w:sz w:val="21"/>
        </w:rPr>
      </w:pPr>
      <w:r>
        <w:rPr>
          <w:b/>
          <w:w w:val="95"/>
          <w:sz w:val="21"/>
        </w:rPr>
        <w:t>（</w:t>
      </w:r>
      <w:r>
        <w:rPr>
          <w:rFonts w:ascii="Times New Roman" w:eastAsia="Times New Roman"/>
          <w:b/>
          <w:w w:val="95"/>
          <w:sz w:val="21"/>
        </w:rPr>
        <w:t>3</w:t>
      </w:r>
      <w:r>
        <w:rPr>
          <w:b/>
          <w:w w:val="95"/>
          <w:sz w:val="21"/>
        </w:rPr>
        <w:t>）被保险人服用、吸食或注射毒品；</w:t>
      </w:r>
    </w:p>
    <w:p>
      <w:pPr>
        <w:spacing w:line="256" w:lineRule="auto" w:before="20"/>
        <w:ind w:left="2864" w:right="227" w:firstLine="0"/>
        <w:jc w:val="left"/>
        <w:rPr>
          <w:b/>
          <w:sz w:val="21"/>
        </w:rPr>
      </w:pPr>
      <w:r>
        <w:rPr>
          <w:b/>
          <w:w w:val="95"/>
          <w:sz w:val="21"/>
        </w:rPr>
        <w:t>（</w:t>
      </w:r>
      <w:r>
        <w:rPr>
          <w:rFonts w:ascii="Times New Roman" w:eastAsia="Times New Roman"/>
          <w:b/>
          <w:w w:val="95"/>
          <w:sz w:val="21"/>
        </w:rPr>
        <w:t>4</w:t>
      </w:r>
      <w:r>
        <w:rPr>
          <w:b/>
          <w:w w:val="95"/>
          <w:sz w:val="21"/>
        </w:rPr>
        <w:t>）被保险人酒后驾驶、无合法有效驾驶证驾驶，或驾驶无有效行驶  证的机动车；</w:t>
      </w:r>
    </w:p>
    <w:p>
      <w:pPr>
        <w:spacing w:before="22"/>
        <w:ind w:left="2864" w:right="0" w:firstLine="0"/>
        <w:jc w:val="left"/>
        <w:rPr>
          <w:b/>
          <w:sz w:val="21"/>
        </w:rPr>
      </w:pPr>
      <w:r>
        <w:rPr>
          <w:b/>
          <w:w w:val="95"/>
          <w:sz w:val="21"/>
        </w:rPr>
        <w:t>（</w:t>
      </w:r>
      <w:r>
        <w:rPr>
          <w:rFonts w:ascii="Times New Roman" w:eastAsia="Times New Roman"/>
          <w:b/>
          <w:w w:val="95"/>
          <w:sz w:val="21"/>
        </w:rPr>
        <w:t>5</w:t>
      </w:r>
      <w:r>
        <w:rPr>
          <w:b/>
          <w:w w:val="95"/>
          <w:sz w:val="21"/>
        </w:rPr>
        <w:t>）被保险人感染艾滋病病毒或患艾滋病；</w:t>
      </w:r>
    </w:p>
    <w:p>
      <w:pPr>
        <w:spacing w:before="21"/>
        <w:ind w:left="2864" w:right="0" w:firstLine="0"/>
        <w:jc w:val="left"/>
        <w:rPr>
          <w:b/>
          <w:sz w:val="21"/>
        </w:rPr>
      </w:pPr>
      <w:r>
        <w:rPr>
          <w:b/>
          <w:w w:val="95"/>
          <w:sz w:val="21"/>
        </w:rPr>
        <w:t>（</w:t>
      </w:r>
      <w:r>
        <w:rPr>
          <w:rFonts w:ascii="Times New Roman" w:eastAsia="Times New Roman"/>
          <w:b/>
          <w:w w:val="95"/>
          <w:sz w:val="21"/>
        </w:rPr>
        <w:t>6</w:t>
      </w:r>
      <w:r>
        <w:rPr>
          <w:b/>
          <w:w w:val="95"/>
          <w:sz w:val="21"/>
        </w:rPr>
        <w:t>）战争、军事冲突、暴乱或武装叛乱；</w:t>
      </w:r>
    </w:p>
    <w:p>
      <w:pPr>
        <w:spacing w:line="283" w:lineRule="exact" w:before="21"/>
        <w:ind w:left="2864" w:right="0" w:firstLine="0"/>
        <w:jc w:val="left"/>
        <w:rPr>
          <w:b/>
          <w:sz w:val="21"/>
        </w:rPr>
      </w:pPr>
      <w:r>
        <w:rPr>
          <w:b/>
          <w:w w:val="95"/>
          <w:sz w:val="21"/>
        </w:rPr>
        <w:t>（</w:t>
      </w:r>
      <w:r>
        <w:rPr>
          <w:rFonts w:ascii="Times New Roman" w:eastAsia="Times New Roman"/>
          <w:b/>
          <w:w w:val="95"/>
          <w:sz w:val="21"/>
        </w:rPr>
        <w:t>7</w:t>
      </w:r>
      <w:r>
        <w:rPr>
          <w:b/>
          <w:w w:val="95"/>
          <w:sz w:val="21"/>
        </w:rPr>
        <w:t>）核爆炸、核辐射或核污染；</w:t>
      </w:r>
    </w:p>
    <w:p>
      <w:pPr>
        <w:spacing w:line="283" w:lineRule="exact" w:before="0"/>
        <w:ind w:left="2864" w:right="0" w:firstLine="0"/>
        <w:jc w:val="left"/>
        <w:rPr>
          <w:b/>
          <w:sz w:val="21"/>
        </w:rPr>
      </w:pPr>
      <w:r>
        <w:rPr>
          <w:b/>
          <w:w w:val="95"/>
          <w:sz w:val="21"/>
        </w:rPr>
        <w:t>（</w:t>
      </w:r>
      <w:r>
        <w:rPr>
          <w:rFonts w:ascii="Times New Roman" w:eastAsia="Times New Roman"/>
          <w:b/>
          <w:w w:val="95"/>
          <w:sz w:val="21"/>
        </w:rPr>
        <w:t>8</w:t>
      </w:r>
      <w:r>
        <w:rPr>
          <w:b/>
          <w:w w:val="95"/>
          <w:sz w:val="21"/>
        </w:rPr>
        <w:t>）遗传性疾病、先天性畸形、变形或染色体异常。</w:t>
      </w:r>
    </w:p>
    <w:p>
      <w:pPr>
        <w:pStyle w:val="BodyText"/>
        <w:spacing w:before="11"/>
        <w:rPr>
          <w:b/>
          <w:sz w:val="19"/>
        </w:rPr>
      </w:pPr>
    </w:p>
    <w:p>
      <w:pPr>
        <w:pStyle w:val="ListParagraph"/>
        <w:numPr>
          <w:ilvl w:val="0"/>
          <w:numId w:val="4"/>
        </w:numPr>
        <w:tabs>
          <w:tab w:pos="1277" w:val="left" w:leader="none"/>
          <w:tab w:pos="1278" w:val="left" w:leader="none"/>
        </w:tabs>
        <w:spacing w:line="240" w:lineRule="auto" w:before="0" w:after="0"/>
        <w:ind w:left="1278" w:right="0" w:hanging="1052"/>
        <w:jc w:val="left"/>
        <w:rPr>
          <w:b/>
          <w:sz w:val="24"/>
        </w:rPr>
      </w:pPr>
      <w:r>
        <w:rPr>
          <w:b/>
          <w:w w:val="95"/>
          <w:position w:val="1"/>
          <w:sz w:val="24"/>
        </w:rPr>
        <w:t>保险金的申请</w:t>
      </w:r>
    </w:p>
    <w:p>
      <w:pPr>
        <w:pStyle w:val="BodyText"/>
        <w:spacing w:before="1"/>
        <w:rPr>
          <w:b/>
          <w:sz w:val="10"/>
        </w:rPr>
      </w:pPr>
      <w:r>
        <w:rPr/>
        <w:pict>
          <v:group style="position:absolute;margin-left:80.800003pt;margin-top:8.576858pt;width:464.1pt;height:.6pt;mso-position-horizontal-relative:page;mso-position-vertical-relative:paragraph;z-index:1144;mso-wrap-distance-left:0;mso-wrap-distance-right:0" coordorigin="1616,172" coordsize="9282,12">
            <v:line style="position:absolute" from="1616,178" to="2668,178" stroked="true" strokeweight=".6pt" strokecolor="#000000">
              <v:stroke dashstyle="solid"/>
            </v:line>
            <v:line style="position:absolute" from="2668,178" to="4254,178" stroked="true" strokeweight=".6pt" strokecolor="#000000">
              <v:stroke dashstyle="solid"/>
            </v:line>
            <v:line style="position:absolute" from="4254,178" to="10898,178" stroked="true" strokeweight=".6pt" strokecolor="#000000">
              <v:stroke dashstyle="solid"/>
            </v:line>
            <w10:wrap type="topAndBottom"/>
          </v:group>
        </w:pict>
      </w:r>
    </w:p>
    <w:p>
      <w:pPr>
        <w:pStyle w:val="ListParagraph"/>
        <w:numPr>
          <w:ilvl w:val="1"/>
          <w:numId w:val="4"/>
        </w:numPr>
        <w:tabs>
          <w:tab w:pos="1277" w:val="left" w:leader="none"/>
          <w:tab w:pos="1278" w:val="left" w:leader="none"/>
          <w:tab w:pos="2863" w:val="left" w:leader="none"/>
        </w:tabs>
        <w:spacing w:line="256" w:lineRule="auto" w:before="0" w:after="0"/>
        <w:ind w:left="2864" w:right="335" w:hanging="2638"/>
        <w:jc w:val="left"/>
        <w:rPr>
          <w:sz w:val="21"/>
        </w:rPr>
      </w:pPr>
      <w:r>
        <w:rPr>
          <w:b/>
          <w:sz w:val="21"/>
        </w:rPr>
        <w:t>保险金的申请</w:t>
        <w:tab/>
      </w:r>
      <w:r>
        <w:rPr>
          <w:sz w:val="21"/>
        </w:rPr>
        <w:t>申请人在申请保险金时须提供下列资料，申请资料和证明不完整的，我们将及时一次性通知申请人补充提供有关资料和证明。</w:t>
      </w:r>
    </w:p>
    <w:p>
      <w:pPr>
        <w:pStyle w:val="BodyText"/>
        <w:rPr>
          <w:sz w:val="22"/>
        </w:rPr>
      </w:pPr>
    </w:p>
    <w:p>
      <w:pPr>
        <w:spacing w:after="0"/>
        <w:rPr>
          <w:sz w:val="22"/>
        </w:rPr>
        <w:sectPr>
          <w:pgSz w:w="11900" w:h="16840"/>
          <w:pgMar w:header="0" w:footer="866" w:top="1520" w:bottom="1060" w:left="1500" w:right="900"/>
        </w:sectPr>
      </w:pPr>
    </w:p>
    <w:p>
      <w:pPr>
        <w:pStyle w:val="Heading3"/>
        <w:numPr>
          <w:ilvl w:val="2"/>
          <w:numId w:val="4"/>
        </w:numPr>
        <w:tabs>
          <w:tab w:pos="1277" w:val="left" w:leader="none"/>
          <w:tab w:pos="1278" w:val="left" w:leader="none"/>
        </w:tabs>
        <w:spacing w:line="256" w:lineRule="auto" w:before="46" w:after="0"/>
        <w:ind w:left="1278" w:right="0" w:hanging="1052"/>
        <w:jc w:val="left"/>
      </w:pPr>
      <w:r>
        <w:rPr>
          <w:spacing w:val="13"/>
        </w:rPr>
        <w:t>身故保险金的</w:t>
      </w:r>
      <w:r>
        <w:rPr>
          <w:spacing w:val="13"/>
          <w:w w:val="95"/>
        </w:rPr>
        <w:t>申请</w:t>
      </w:r>
    </w:p>
    <w:p>
      <w:pPr>
        <w:pStyle w:val="BodyText"/>
        <w:spacing w:line="273" w:lineRule="auto" w:before="46"/>
        <w:ind w:left="180" w:right="219"/>
      </w:pPr>
      <w:r>
        <w:rPr/>
        <w:br w:type="column"/>
      </w:r>
      <w:r>
        <w:rPr/>
        <w:t>在申请身故保险金时，申请人须填写保险金给付申请书，并提供下列证明和资料：</w:t>
      </w:r>
    </w:p>
    <w:p>
      <w:pPr>
        <w:pStyle w:val="BodyText"/>
        <w:spacing w:before="7"/>
        <w:ind w:left="180"/>
      </w:pPr>
      <w:r>
        <w:rPr/>
        <w:t>（</w:t>
      </w:r>
      <w:r>
        <w:rPr>
          <w:rFonts w:ascii="Times New Roman" w:eastAsia="Times New Roman"/>
        </w:rPr>
        <w:t>1</w:t>
      </w:r>
      <w:r>
        <w:rPr/>
        <w:t>）保险合同；</w:t>
      </w:r>
    </w:p>
    <w:p>
      <w:pPr>
        <w:pStyle w:val="BodyText"/>
        <w:spacing w:before="21"/>
        <w:ind w:left="180"/>
      </w:pPr>
      <w:r>
        <w:rPr/>
        <w:t>（</w:t>
      </w:r>
      <w:r>
        <w:rPr>
          <w:rFonts w:ascii="Times New Roman" w:eastAsia="Times New Roman"/>
        </w:rPr>
        <w:t>2</w:t>
      </w:r>
      <w:r>
        <w:rPr/>
        <w:t>）申请人的有效身份证件；</w:t>
      </w:r>
    </w:p>
    <w:p>
      <w:pPr>
        <w:pStyle w:val="BodyText"/>
        <w:spacing w:before="21"/>
        <w:ind w:left="180"/>
      </w:pPr>
      <w:r>
        <w:rPr/>
        <w:t>（</w:t>
      </w:r>
      <w:r>
        <w:rPr>
          <w:rFonts w:ascii="Times New Roman" w:eastAsia="Times New Roman"/>
        </w:rPr>
        <w:t>3</w:t>
      </w:r>
      <w:r>
        <w:rPr/>
        <w:t>）国家卫生行政部门认定的医疗机构、公安部门或其他相关机构出</w:t>
      </w:r>
    </w:p>
    <w:p>
      <w:pPr>
        <w:pStyle w:val="BodyText"/>
        <w:spacing w:before="21"/>
        <w:ind w:left="180"/>
      </w:pPr>
      <w:r>
        <w:rPr/>
        <w:t>具的被保险人的死亡证明；</w:t>
      </w:r>
    </w:p>
    <w:p>
      <w:pPr>
        <w:pStyle w:val="BodyText"/>
        <w:spacing w:line="256" w:lineRule="auto" w:before="37"/>
        <w:ind w:left="180" w:right="190"/>
      </w:pPr>
      <w:r>
        <w:rPr/>
        <w:t>（</w:t>
      </w:r>
      <w:r>
        <w:rPr>
          <w:rFonts w:ascii="Times New Roman" w:eastAsia="Times New Roman"/>
        </w:rPr>
        <w:t>4</w:t>
      </w:r>
      <w:r>
        <w:rPr/>
        <w:t>）所能提供的与确认保险事故的性质、原因等有关的其他证明和资料。</w:t>
      </w:r>
    </w:p>
    <w:p>
      <w:pPr>
        <w:pStyle w:val="BodyText"/>
        <w:spacing w:line="273" w:lineRule="auto" w:before="22"/>
        <w:ind w:left="180" w:right="219"/>
      </w:pPr>
      <w:r>
        <w:rPr/>
        <w:t>保险金作为被保险人遗产时，必须提供可证明合法继承权的相关权利文件。</w:t>
      </w:r>
    </w:p>
    <w:p>
      <w:pPr>
        <w:spacing w:after="0" w:line="273" w:lineRule="auto"/>
        <w:sectPr>
          <w:type w:val="continuous"/>
          <w:pgSz w:w="11900" w:h="16840"/>
          <w:pgMar w:top="160" w:bottom="280" w:left="1500" w:right="900"/>
          <w:cols w:num="2" w:equalWidth="0">
            <w:col w:w="2644" w:space="40"/>
            <w:col w:w="6816"/>
          </w:cols>
        </w:sectPr>
      </w:pPr>
    </w:p>
    <w:p>
      <w:pPr>
        <w:pStyle w:val="BodyText"/>
        <w:spacing w:before="12"/>
        <w:rPr>
          <w:sz w:val="18"/>
        </w:rPr>
      </w:pPr>
    </w:p>
    <w:p>
      <w:pPr>
        <w:spacing w:after="0"/>
        <w:rPr>
          <w:sz w:val="18"/>
        </w:rPr>
        <w:sectPr>
          <w:type w:val="continuous"/>
          <w:pgSz w:w="11900" w:h="16840"/>
          <w:pgMar w:top="160" w:bottom="280" w:left="1500" w:right="900"/>
        </w:sectPr>
      </w:pPr>
    </w:p>
    <w:p>
      <w:pPr>
        <w:pStyle w:val="Heading3"/>
        <w:numPr>
          <w:ilvl w:val="2"/>
          <w:numId w:val="4"/>
        </w:numPr>
        <w:tabs>
          <w:tab w:pos="1277" w:val="left" w:leader="none"/>
          <w:tab w:pos="1278" w:val="left" w:leader="none"/>
        </w:tabs>
        <w:spacing w:line="264" w:lineRule="auto" w:before="72" w:after="0"/>
        <w:ind w:left="1278" w:right="0" w:hanging="1052"/>
        <w:jc w:val="both"/>
      </w:pPr>
      <w:r>
        <w:rPr>
          <w:spacing w:val="13"/>
        </w:rPr>
        <w:t>重大疾病提前给付保险金的</w:t>
      </w:r>
      <w:r>
        <w:rPr>
          <w:spacing w:val="13"/>
          <w:w w:val="95"/>
        </w:rPr>
        <w:t>申请</w:t>
      </w:r>
    </w:p>
    <w:p>
      <w:pPr>
        <w:pStyle w:val="BodyText"/>
        <w:spacing w:line="208" w:lineRule="auto" w:before="71"/>
        <w:ind w:left="180" w:right="335"/>
      </w:pPr>
      <w:r>
        <w:rPr/>
        <w:br w:type="column"/>
      </w:r>
      <w:r>
        <w:rPr/>
        <w:t>申请保险金时，申请人须填写保险金申请书，并须提供下列证明和资料：</w:t>
      </w:r>
    </w:p>
    <w:p>
      <w:pPr>
        <w:pStyle w:val="BodyText"/>
        <w:spacing w:line="232" w:lineRule="exact"/>
        <w:ind w:left="180"/>
      </w:pPr>
      <w:r>
        <w:rPr/>
        <w:t>（</w:t>
      </w:r>
      <w:r>
        <w:rPr>
          <w:rFonts w:ascii="Times New Roman" w:eastAsia="Times New Roman"/>
        </w:rPr>
        <w:t>1</w:t>
      </w:r>
      <w:r>
        <w:rPr/>
        <w:t>）保险合同；</w:t>
      </w:r>
    </w:p>
    <w:p>
      <w:pPr>
        <w:pStyle w:val="BodyText"/>
        <w:spacing w:line="241" w:lineRule="exact"/>
        <w:ind w:left="180"/>
      </w:pPr>
      <w:r>
        <w:rPr/>
        <w:t>（</w:t>
      </w:r>
      <w:r>
        <w:rPr>
          <w:rFonts w:ascii="Times New Roman" w:eastAsia="Times New Roman"/>
        </w:rPr>
        <w:t>2</w:t>
      </w:r>
      <w:r>
        <w:rPr/>
        <w:t>）被保险人或其他有权领取保险金的人的有效身份证件；</w:t>
      </w:r>
    </w:p>
    <w:p>
      <w:pPr>
        <w:pStyle w:val="BodyText"/>
        <w:spacing w:line="259" w:lineRule="exact"/>
        <w:ind w:left="180"/>
      </w:pPr>
      <w:r>
        <w:rPr/>
        <w:t>（</w:t>
      </w:r>
      <w:r>
        <w:rPr>
          <w:rFonts w:ascii="Times New Roman" w:eastAsia="Times New Roman"/>
        </w:rPr>
        <w:t>3</w:t>
      </w:r>
      <w:r>
        <w:rPr/>
        <w:t>）医院出具的诊断证明、病历及检查报告；</w:t>
      </w:r>
    </w:p>
    <w:p>
      <w:pPr>
        <w:pStyle w:val="BodyText"/>
        <w:spacing w:line="266" w:lineRule="auto"/>
        <w:ind w:left="180" w:right="190"/>
      </w:pPr>
      <w:r>
        <w:rPr/>
        <w:t>（</w:t>
      </w:r>
      <w:r>
        <w:rPr>
          <w:rFonts w:ascii="Times New Roman" w:eastAsia="Times New Roman"/>
          <w:position w:val="1"/>
        </w:rPr>
        <w:t>4</w:t>
      </w:r>
      <w:r>
        <w:rPr/>
        <w:t>）所能提供的与确认保险事故的性质、原因等有关的其他证明和资料。</w:t>
      </w:r>
    </w:p>
    <w:p>
      <w:pPr>
        <w:spacing w:after="0" w:line="266" w:lineRule="auto"/>
        <w:sectPr>
          <w:type w:val="continuous"/>
          <w:pgSz w:w="11900" w:h="16840"/>
          <w:pgMar w:top="160" w:bottom="280" w:left="1500" w:right="900"/>
          <w:cols w:num="2" w:equalWidth="0">
            <w:col w:w="2644" w:space="40"/>
            <w:col w:w="6816"/>
          </w:cols>
        </w:sectPr>
      </w:pPr>
    </w:p>
    <w:p>
      <w:pPr>
        <w:pStyle w:val="BodyText"/>
        <w:spacing w:before="9"/>
        <w:rPr>
          <w:sz w:val="15"/>
        </w:rPr>
      </w:pPr>
    </w:p>
    <w:p>
      <w:pPr>
        <w:pStyle w:val="Heading3"/>
        <w:numPr>
          <w:ilvl w:val="2"/>
          <w:numId w:val="4"/>
        </w:numPr>
        <w:tabs>
          <w:tab w:pos="1277" w:val="left" w:leader="none"/>
          <w:tab w:pos="1278" w:val="left" w:leader="none"/>
        </w:tabs>
        <w:spacing w:line="264" w:lineRule="auto" w:before="46" w:after="0"/>
        <w:ind w:left="1278" w:right="6855" w:hanging="1052"/>
        <w:jc w:val="both"/>
      </w:pPr>
      <w:r>
        <w:rPr>
          <w:spacing w:val="13"/>
        </w:rPr>
        <w:t>全残提前给付</w:t>
      </w:r>
      <w:r>
        <w:rPr>
          <w:spacing w:val="15"/>
        </w:rPr>
        <w:t>保险金和豁免</w:t>
      </w:r>
      <w:r>
        <w:rPr>
          <w:spacing w:val="15"/>
          <w:w w:val="95"/>
        </w:rPr>
        <w:t>保险费的申请</w:t>
      </w:r>
    </w:p>
    <w:p>
      <w:pPr>
        <w:pStyle w:val="BodyText"/>
        <w:rPr>
          <w:b/>
          <w:sz w:val="25"/>
        </w:rPr>
      </w:pPr>
    </w:p>
    <w:p>
      <w:pPr>
        <w:pStyle w:val="ListParagraph"/>
        <w:numPr>
          <w:ilvl w:val="3"/>
          <w:numId w:val="4"/>
        </w:numPr>
        <w:tabs>
          <w:tab w:pos="1277" w:val="left" w:leader="none"/>
          <w:tab w:pos="1278" w:val="left" w:leader="none"/>
          <w:tab w:pos="2863" w:val="left" w:leader="none"/>
        </w:tabs>
        <w:spacing w:line="240" w:lineRule="auto" w:before="0" w:after="0"/>
        <w:ind w:left="2864" w:right="0" w:hanging="2638"/>
        <w:jc w:val="left"/>
        <w:rPr>
          <w:sz w:val="21"/>
        </w:rPr>
      </w:pPr>
      <w:r>
        <w:rPr>
          <w:b/>
          <w:sz w:val="21"/>
        </w:rPr>
        <w:t>申请资料</w:t>
        <w:tab/>
      </w:r>
      <w:r>
        <w:rPr>
          <w:sz w:val="21"/>
        </w:rPr>
        <w:t>申请人须填写保险金申请书，并须提供下列证明和资料：</w:t>
      </w:r>
    </w:p>
    <w:p>
      <w:pPr>
        <w:pStyle w:val="BodyText"/>
        <w:spacing w:before="21"/>
        <w:ind w:left="2864"/>
      </w:pPr>
      <w:r>
        <w:rPr/>
        <w:t>（</w:t>
      </w:r>
      <w:r>
        <w:rPr>
          <w:rFonts w:ascii="Times New Roman" w:eastAsia="Times New Roman"/>
        </w:rPr>
        <w:t>1</w:t>
      </w:r>
      <w:r>
        <w:rPr/>
        <w:t>）保险合同；</w:t>
      </w:r>
    </w:p>
    <w:p>
      <w:pPr>
        <w:pStyle w:val="BodyText"/>
        <w:spacing w:before="21"/>
        <w:ind w:left="2864"/>
      </w:pPr>
      <w:r>
        <w:rPr/>
        <w:t>（</w:t>
      </w:r>
      <w:r>
        <w:rPr>
          <w:rFonts w:ascii="Times New Roman" w:eastAsia="Times New Roman"/>
        </w:rPr>
        <w:t>2</w:t>
      </w:r>
      <w:r>
        <w:rPr/>
        <w:t>）被保险人的有效身份证件；</w:t>
      </w:r>
    </w:p>
    <w:p>
      <w:pPr>
        <w:pStyle w:val="BodyText"/>
        <w:spacing w:line="256" w:lineRule="auto" w:before="21"/>
        <w:ind w:left="2864" w:right="190"/>
      </w:pPr>
      <w:r>
        <w:rPr/>
        <w:t>（</w:t>
      </w:r>
      <w:r>
        <w:rPr>
          <w:rFonts w:ascii="Times New Roman" w:eastAsia="Times New Roman"/>
        </w:rPr>
        <w:t>3</w:t>
      </w:r>
      <w:r>
        <w:rPr/>
        <w:t>）由二级或以上医院或者由法定机关出具的与全残有关的证明或资料，或者其他我们认可的全残证明或资料；</w:t>
      </w:r>
    </w:p>
    <w:p>
      <w:pPr>
        <w:pStyle w:val="BodyText"/>
        <w:spacing w:line="256" w:lineRule="auto" w:before="22"/>
        <w:ind w:left="2864" w:right="141"/>
      </w:pPr>
      <w:r>
        <w:rPr/>
        <w:t>（</w:t>
      </w:r>
      <w:r>
        <w:rPr>
          <w:rFonts w:ascii="Times New Roman" w:eastAsia="Times New Roman"/>
        </w:rPr>
        <w:t>4</w:t>
      </w:r>
      <w:r>
        <w:rPr/>
        <w:t>）所能提供的与确认保险事故的性质、原因等有关的其他证明和资料。</w:t>
      </w:r>
    </w:p>
    <w:p>
      <w:pPr>
        <w:pStyle w:val="BodyText"/>
        <w:spacing w:before="6"/>
        <w:rPr>
          <w:sz w:val="25"/>
        </w:rPr>
      </w:pPr>
    </w:p>
    <w:p>
      <w:pPr>
        <w:pStyle w:val="ListParagraph"/>
        <w:numPr>
          <w:ilvl w:val="3"/>
          <w:numId w:val="4"/>
        </w:numPr>
        <w:tabs>
          <w:tab w:pos="1278" w:val="left" w:leader="none"/>
        </w:tabs>
        <w:spacing w:line="264" w:lineRule="auto" w:before="0" w:after="0"/>
        <w:ind w:left="2864" w:right="204" w:hanging="2638"/>
        <w:jc w:val="both"/>
        <w:rPr>
          <w:sz w:val="21"/>
        </w:rPr>
      </w:pPr>
      <w:r>
        <w:rPr>
          <w:b/>
          <w:spacing w:val="6"/>
          <w:sz w:val="21"/>
        </w:rPr>
        <w:t>持续全残证明  </w:t>
      </w:r>
      <w:r>
        <w:rPr>
          <w:sz w:val="21"/>
        </w:rPr>
        <w:t>被保险人因全残开始领取全残提前给付保险金或豁免支付保险费后， </w:t>
      </w:r>
      <w:r>
        <w:rPr>
          <w:spacing w:val="-3"/>
          <w:sz w:val="21"/>
        </w:rPr>
        <w:t>我们仍有权每年要求被保险人提供其持续全残证明或进行体检。若被保</w:t>
      </w:r>
      <w:r>
        <w:rPr>
          <w:sz w:val="21"/>
        </w:rPr>
        <w:t>险人不能提供其持续全残证明且经体检证实不符合我们约定的全残定</w:t>
      </w:r>
    </w:p>
    <w:p>
      <w:pPr>
        <w:spacing w:after="0" w:line="264" w:lineRule="auto"/>
        <w:jc w:val="both"/>
        <w:rPr>
          <w:sz w:val="21"/>
        </w:rPr>
        <w:sectPr>
          <w:type w:val="continuous"/>
          <w:pgSz w:w="11900" w:h="16840"/>
          <w:pgMar w:top="160" w:bottom="280" w:left="1500" w:right="900"/>
        </w:sectPr>
      </w:pPr>
    </w:p>
    <w:p>
      <w:pPr>
        <w:pStyle w:val="BodyText"/>
        <w:spacing w:before="8"/>
        <w:ind w:left="2856"/>
      </w:pPr>
      <w:r>
        <w:rPr/>
        <w:t>义，我们有权停止给付全残提前给付保险及停止豁免保险费。</w:t>
      </w:r>
    </w:p>
    <w:p>
      <w:pPr>
        <w:pStyle w:val="BodyText"/>
        <w:spacing w:before="8"/>
        <w:rPr>
          <w:sz w:val="26"/>
        </w:rPr>
      </w:pPr>
    </w:p>
    <w:p>
      <w:pPr>
        <w:pStyle w:val="ListParagraph"/>
        <w:numPr>
          <w:ilvl w:val="1"/>
          <w:numId w:val="4"/>
        </w:numPr>
        <w:tabs>
          <w:tab w:pos="1271" w:val="left" w:leader="none"/>
          <w:tab w:pos="1272" w:val="left" w:leader="none"/>
          <w:tab w:pos="2855" w:val="left" w:leader="none"/>
        </w:tabs>
        <w:spacing w:line="256" w:lineRule="auto" w:before="0" w:after="0"/>
        <w:ind w:left="2856" w:right="313" w:hanging="2636"/>
        <w:jc w:val="left"/>
        <w:rPr>
          <w:sz w:val="21"/>
        </w:rPr>
      </w:pPr>
      <w:r>
        <w:rPr>
          <w:b/>
          <w:sz w:val="21"/>
        </w:rPr>
        <w:t>保险金的给付</w:t>
        <w:tab/>
      </w:r>
      <w:r>
        <w:rPr>
          <w:sz w:val="21"/>
        </w:rPr>
        <w:t>我</w:t>
      </w:r>
      <w:r>
        <w:rPr>
          <w:spacing w:val="5"/>
          <w:sz w:val="21"/>
        </w:rPr>
        <w:t>们</w:t>
      </w:r>
      <w:r>
        <w:rPr>
          <w:sz w:val="21"/>
        </w:rPr>
        <w:t>在</w:t>
      </w:r>
      <w:r>
        <w:rPr>
          <w:spacing w:val="5"/>
          <w:sz w:val="21"/>
        </w:rPr>
        <w:t>收</w:t>
      </w:r>
      <w:r>
        <w:rPr>
          <w:sz w:val="21"/>
        </w:rPr>
        <w:t>到</w:t>
      </w:r>
      <w:r>
        <w:rPr>
          <w:spacing w:val="5"/>
          <w:sz w:val="21"/>
        </w:rPr>
        <w:t>保</w:t>
      </w:r>
      <w:r>
        <w:rPr>
          <w:sz w:val="21"/>
        </w:rPr>
        <w:t>险</w:t>
      </w:r>
      <w:r>
        <w:rPr>
          <w:spacing w:val="5"/>
          <w:sz w:val="21"/>
        </w:rPr>
        <w:t>金</w:t>
      </w:r>
      <w:r>
        <w:rPr>
          <w:sz w:val="21"/>
        </w:rPr>
        <w:t>给</w:t>
      </w:r>
      <w:r>
        <w:rPr>
          <w:spacing w:val="5"/>
          <w:sz w:val="21"/>
        </w:rPr>
        <w:t>付</w:t>
      </w:r>
      <w:r>
        <w:rPr>
          <w:sz w:val="21"/>
        </w:rPr>
        <w:t>申</w:t>
      </w:r>
      <w:r>
        <w:rPr>
          <w:spacing w:val="5"/>
          <w:sz w:val="21"/>
        </w:rPr>
        <w:t>请</w:t>
      </w:r>
      <w:r>
        <w:rPr>
          <w:sz w:val="21"/>
        </w:rPr>
        <w:t>书</w:t>
      </w:r>
      <w:r>
        <w:rPr>
          <w:spacing w:val="5"/>
          <w:sz w:val="21"/>
        </w:rPr>
        <w:t>及</w:t>
      </w:r>
      <w:r>
        <w:rPr>
          <w:sz w:val="21"/>
        </w:rPr>
        <w:t>合</w:t>
      </w:r>
      <w:r>
        <w:rPr>
          <w:spacing w:val="5"/>
          <w:sz w:val="21"/>
        </w:rPr>
        <w:t>同</w:t>
      </w:r>
      <w:r>
        <w:rPr>
          <w:sz w:val="21"/>
        </w:rPr>
        <w:t>约</w:t>
      </w:r>
      <w:r>
        <w:rPr>
          <w:spacing w:val="5"/>
          <w:sz w:val="21"/>
        </w:rPr>
        <w:t>定</w:t>
      </w:r>
      <w:r>
        <w:rPr>
          <w:sz w:val="21"/>
        </w:rPr>
        <w:t>的</w:t>
      </w:r>
      <w:r>
        <w:rPr>
          <w:spacing w:val="5"/>
          <w:sz w:val="21"/>
        </w:rPr>
        <w:t>证</w:t>
      </w:r>
      <w:r>
        <w:rPr>
          <w:sz w:val="21"/>
        </w:rPr>
        <w:t>明</w:t>
      </w:r>
      <w:r>
        <w:rPr>
          <w:spacing w:val="7"/>
          <w:sz w:val="21"/>
        </w:rPr>
        <w:t>和</w:t>
      </w:r>
      <w:r>
        <w:rPr>
          <w:sz w:val="21"/>
        </w:rPr>
        <w:t>资</w:t>
      </w:r>
      <w:r>
        <w:rPr>
          <w:spacing w:val="5"/>
          <w:sz w:val="21"/>
        </w:rPr>
        <w:t>料</w:t>
      </w:r>
      <w:r>
        <w:rPr>
          <w:sz w:val="21"/>
        </w:rPr>
        <w:t>后</w:t>
      </w:r>
      <w:r>
        <w:rPr>
          <w:spacing w:val="5"/>
          <w:sz w:val="21"/>
        </w:rPr>
        <w:t>，</w:t>
      </w:r>
      <w:r>
        <w:rPr>
          <w:sz w:val="21"/>
        </w:rPr>
        <w:t>将在</w:t>
      </w:r>
      <w:r>
        <w:rPr>
          <w:spacing w:val="-28"/>
          <w:sz w:val="21"/>
        </w:rPr>
        <w:t> </w:t>
      </w:r>
      <w:r>
        <w:rPr>
          <w:rFonts w:ascii="Times New Roman" w:eastAsia="Times New Roman"/>
          <w:sz w:val="21"/>
        </w:rPr>
        <w:t>5</w:t>
      </w:r>
      <w:r>
        <w:rPr>
          <w:rFonts w:ascii="Times New Roman" w:eastAsia="Times New Roman"/>
          <w:spacing w:val="13"/>
          <w:sz w:val="21"/>
        </w:rPr>
        <w:t> </w:t>
      </w:r>
      <w:r>
        <w:rPr>
          <w:sz w:val="21"/>
        </w:rPr>
        <w:t>日内作出核定；情形复杂的，在</w:t>
      </w:r>
      <w:r>
        <w:rPr>
          <w:spacing w:val="-64"/>
          <w:sz w:val="21"/>
        </w:rPr>
        <w:t> </w:t>
      </w:r>
      <w:r>
        <w:rPr>
          <w:rFonts w:ascii="Times New Roman" w:eastAsia="Times New Roman"/>
          <w:sz w:val="21"/>
        </w:rPr>
        <w:t>30</w:t>
      </w:r>
      <w:r>
        <w:rPr>
          <w:rFonts w:ascii="Times New Roman" w:eastAsia="Times New Roman"/>
          <w:spacing w:val="-11"/>
          <w:sz w:val="21"/>
        </w:rPr>
        <w:t> </w:t>
      </w:r>
      <w:r>
        <w:rPr>
          <w:sz w:val="21"/>
        </w:rPr>
        <w:t>日内作出核定。</w:t>
      </w:r>
    </w:p>
    <w:p>
      <w:pPr>
        <w:pStyle w:val="BodyText"/>
        <w:spacing w:before="4"/>
        <w:ind w:left="2856"/>
        <w:jc w:val="both"/>
      </w:pPr>
      <w:r>
        <w:rPr/>
        <w:t>对属于保险责任的，我们在与受益人达成给付保险金的协议后 </w:t>
      </w:r>
      <w:r>
        <w:rPr>
          <w:rFonts w:ascii="Times New Roman" w:eastAsia="Times New Roman"/>
        </w:rPr>
        <w:t>10 </w:t>
      </w:r>
      <w:r>
        <w:rPr/>
        <w:t>日内，</w:t>
      </w:r>
    </w:p>
    <w:p>
      <w:pPr>
        <w:pStyle w:val="BodyText"/>
        <w:spacing w:before="20"/>
        <w:ind w:left="2856"/>
        <w:jc w:val="both"/>
      </w:pPr>
      <w:r>
        <w:rPr/>
        <w:t>履行给付保险金义务。</w:t>
      </w:r>
    </w:p>
    <w:p>
      <w:pPr>
        <w:pStyle w:val="BodyText"/>
        <w:spacing w:before="36"/>
        <w:ind w:left="2856"/>
        <w:jc w:val="both"/>
      </w:pPr>
      <w:r>
        <w:rPr/>
        <w:t>我们未及时履行前款规定义务的，除支付保险金外，应当赔偿受益人</w:t>
      </w:r>
    </w:p>
    <w:p>
      <w:pPr>
        <w:pStyle w:val="BodyText"/>
        <w:spacing w:before="36"/>
        <w:ind w:left="2856"/>
        <w:jc w:val="both"/>
      </w:pPr>
      <w:r>
        <w:rPr/>
        <w:t>因此受到的损失。</w:t>
      </w:r>
    </w:p>
    <w:p>
      <w:pPr>
        <w:pStyle w:val="BodyText"/>
        <w:spacing w:line="256" w:lineRule="auto" w:before="36"/>
        <w:ind w:left="2856" w:right="315"/>
      </w:pPr>
      <w:r>
        <w:rPr/>
        <w:t>对不属于保险责任的，我们自作出核定之日起 </w:t>
      </w:r>
      <w:r>
        <w:rPr>
          <w:rFonts w:ascii="Times New Roman" w:eastAsia="Times New Roman"/>
        </w:rPr>
        <w:t>3 </w:t>
      </w:r>
      <w:r>
        <w:rPr/>
        <w:t>日内向受益人发出拒绝给付保险金通知书并说明理由。</w:t>
      </w:r>
    </w:p>
    <w:p>
      <w:pPr>
        <w:pStyle w:val="BodyText"/>
        <w:spacing w:line="264" w:lineRule="auto" w:before="22"/>
        <w:ind w:left="2856" w:right="316"/>
        <w:jc w:val="both"/>
      </w:pPr>
      <w:r>
        <w:rPr>
          <w:spacing w:val="-2"/>
        </w:rPr>
        <w:t>我们在收到保险金给付申请书及有关证明和资料之日起 </w:t>
      </w:r>
      <w:r>
        <w:rPr>
          <w:rFonts w:ascii="Times New Roman" w:eastAsia="Times New Roman"/>
        </w:rPr>
        <w:t>60 </w:t>
      </w:r>
      <w:r>
        <w:rPr/>
        <w:t>日内，对给付保险金的数额不能确定的，根据已有证明和资料可以确定的数额先予支付；我们最终确定给付保险金的数额后，将支付相应的差额。</w:t>
      </w:r>
    </w:p>
    <w:p>
      <w:pPr>
        <w:pStyle w:val="BodyText"/>
        <w:spacing w:before="1"/>
        <w:rPr>
          <w:sz w:val="19"/>
        </w:rPr>
      </w:pPr>
    </w:p>
    <w:p>
      <w:pPr>
        <w:pStyle w:val="ListParagraph"/>
        <w:numPr>
          <w:ilvl w:val="1"/>
          <w:numId w:val="4"/>
        </w:numPr>
        <w:tabs>
          <w:tab w:pos="1271" w:val="left" w:leader="none"/>
          <w:tab w:pos="1272" w:val="left" w:leader="none"/>
          <w:tab w:pos="2855" w:val="left" w:leader="none"/>
        </w:tabs>
        <w:spacing w:line="266" w:lineRule="auto" w:before="0" w:after="0"/>
        <w:ind w:left="2856" w:right="443" w:hanging="2636"/>
        <w:jc w:val="left"/>
        <w:rPr>
          <w:sz w:val="21"/>
        </w:rPr>
      </w:pPr>
      <w:r>
        <w:rPr>
          <w:b/>
          <w:sz w:val="21"/>
        </w:rPr>
        <w:t>诉讼时效</w:t>
        <w:tab/>
      </w:r>
      <w:r>
        <w:rPr>
          <w:sz w:val="21"/>
        </w:rPr>
        <w:t>受益人及其他有权领取保险金的人向我们请求给付保险金的诉讼时效期间为２年，自其知道或者应当知道保险事故发生之日起计算。</w:t>
      </w:r>
    </w:p>
    <w:p>
      <w:pPr>
        <w:pStyle w:val="BodyText"/>
        <w:spacing w:before="7"/>
      </w:pPr>
    </w:p>
    <w:p>
      <w:pPr>
        <w:pStyle w:val="Heading2"/>
        <w:numPr>
          <w:ilvl w:val="0"/>
          <w:numId w:val="4"/>
        </w:numPr>
        <w:tabs>
          <w:tab w:pos="1271" w:val="left" w:leader="none"/>
          <w:tab w:pos="1272" w:val="left" w:leader="none"/>
        </w:tabs>
        <w:spacing w:line="240" w:lineRule="auto" w:before="0" w:after="0"/>
        <w:ind w:left="1272" w:right="0" w:hanging="1052"/>
        <w:jc w:val="left"/>
      </w:pPr>
      <w:r>
        <w:rPr>
          <w:w w:val="95"/>
        </w:rPr>
        <w:t>保险费的支付</w:t>
      </w:r>
    </w:p>
    <w:p>
      <w:pPr>
        <w:pStyle w:val="BodyText"/>
        <w:spacing w:before="10"/>
        <w:rPr>
          <w:b/>
          <w:sz w:val="11"/>
        </w:rPr>
      </w:pPr>
      <w:r>
        <w:rPr/>
        <w:pict>
          <v:group style="position:absolute;margin-left:52.5pt;margin-top:9.67895pt;width:464.1pt;height:.6pt;mso-position-horizontal-relative:page;mso-position-vertical-relative:paragraph;z-index:1168;mso-wrap-distance-left:0;mso-wrap-distance-right:0" coordorigin="1050,194" coordsize="9282,12">
            <v:line style="position:absolute" from="1050,200" to="2102,200" stroked="true" strokeweight=".6pt" strokecolor="#000000">
              <v:stroke dashstyle="solid"/>
            </v:line>
            <v:line style="position:absolute" from="2102,200" to="3686,200" stroked="true" strokeweight=".6pt" strokecolor="#000000">
              <v:stroke dashstyle="solid"/>
            </v:line>
            <v:line style="position:absolute" from="3686,200" to="10332,200" stroked="true" strokeweight=".6pt" strokecolor="#000000">
              <v:stroke dashstyle="solid"/>
            </v:line>
            <w10:wrap type="topAndBottom"/>
          </v:group>
        </w:pict>
      </w:r>
    </w:p>
    <w:p>
      <w:pPr>
        <w:pStyle w:val="ListParagraph"/>
        <w:numPr>
          <w:ilvl w:val="1"/>
          <w:numId w:val="4"/>
        </w:numPr>
        <w:tabs>
          <w:tab w:pos="1271" w:val="left" w:leader="none"/>
          <w:tab w:pos="1272" w:val="left" w:leader="none"/>
          <w:tab w:pos="2855" w:val="left" w:leader="none"/>
        </w:tabs>
        <w:spacing w:line="240" w:lineRule="auto" w:before="0" w:after="0"/>
        <w:ind w:left="1272" w:right="0" w:hanging="1052"/>
        <w:jc w:val="left"/>
        <w:rPr>
          <w:sz w:val="21"/>
        </w:rPr>
      </w:pPr>
      <w:r>
        <w:rPr>
          <w:b/>
          <w:sz w:val="21"/>
        </w:rPr>
        <w:t>保险费的支付</w:t>
        <w:tab/>
      </w:r>
      <w:r>
        <w:rPr>
          <w:sz w:val="21"/>
        </w:rPr>
        <w:t>本附加合同保险费的支付方式为分期支付，并在保险单上载明。</w:t>
      </w:r>
    </w:p>
    <w:p>
      <w:pPr>
        <w:pStyle w:val="BodyText"/>
        <w:spacing w:line="273" w:lineRule="auto" w:before="21"/>
        <w:ind w:left="2856" w:right="326"/>
      </w:pPr>
      <w:r>
        <w:rPr/>
        <w:t>在支付首期保险费后，您应当在每个保险费约定支付日或之前支付当期保险费。</w:t>
      </w:r>
    </w:p>
    <w:p>
      <w:pPr>
        <w:pStyle w:val="BodyText"/>
        <w:spacing w:before="12"/>
        <w:rPr>
          <w:sz w:val="18"/>
        </w:rPr>
      </w:pPr>
    </w:p>
    <w:p>
      <w:pPr>
        <w:spacing w:after="0"/>
        <w:rPr>
          <w:sz w:val="18"/>
        </w:rPr>
        <w:sectPr>
          <w:pgSz w:w="11900" w:h="16840"/>
          <w:pgMar w:header="0" w:footer="866" w:top="1220" w:bottom="1060" w:left="940" w:right="1360"/>
        </w:sectPr>
      </w:pPr>
    </w:p>
    <w:p>
      <w:pPr>
        <w:pStyle w:val="Heading3"/>
        <w:numPr>
          <w:ilvl w:val="1"/>
          <w:numId w:val="4"/>
        </w:numPr>
        <w:tabs>
          <w:tab w:pos="1271" w:val="left" w:leader="none"/>
          <w:tab w:pos="1272" w:val="left" w:leader="none"/>
        </w:tabs>
        <w:spacing w:line="256" w:lineRule="auto" w:before="72" w:after="0"/>
        <w:ind w:left="1272" w:right="0" w:hanging="1052"/>
        <w:jc w:val="left"/>
      </w:pPr>
      <w:r>
        <w:rPr>
          <w:spacing w:val="15"/>
        </w:rPr>
        <w:t>保险费率的调整</w:t>
      </w:r>
    </w:p>
    <w:p>
      <w:pPr>
        <w:pStyle w:val="BodyText"/>
        <w:spacing w:line="208" w:lineRule="auto" w:before="71"/>
        <w:ind w:left="176" w:right="326"/>
      </w:pPr>
      <w:r>
        <w:rPr/>
        <w:br w:type="column"/>
      </w:r>
      <w:r>
        <w:rPr/>
        <w:t>我们有权重新调整本附加合同的保险费率，保险费率的调整须符合保险监管机构的相关规定。</w:t>
      </w:r>
    </w:p>
    <w:p>
      <w:pPr>
        <w:spacing w:after="0" w:line="208" w:lineRule="auto"/>
        <w:sectPr>
          <w:type w:val="continuous"/>
          <w:pgSz w:w="11900" w:h="16840"/>
          <w:pgMar w:top="160" w:bottom="280" w:left="940" w:right="1360"/>
          <w:cols w:num="2" w:equalWidth="0">
            <w:col w:w="2640" w:space="40"/>
            <w:col w:w="6920"/>
          </w:cols>
        </w:sectPr>
      </w:pPr>
    </w:p>
    <w:p>
      <w:pPr>
        <w:pStyle w:val="BodyText"/>
        <w:spacing w:before="10"/>
        <w:rPr>
          <w:sz w:val="9"/>
        </w:rPr>
      </w:pPr>
    </w:p>
    <w:p>
      <w:pPr>
        <w:pStyle w:val="Heading2"/>
        <w:numPr>
          <w:ilvl w:val="0"/>
          <w:numId w:val="4"/>
        </w:numPr>
        <w:tabs>
          <w:tab w:pos="1271" w:val="left" w:leader="none"/>
          <w:tab w:pos="1272" w:val="left" w:leader="none"/>
        </w:tabs>
        <w:spacing w:line="240" w:lineRule="auto" w:before="39" w:after="0"/>
        <w:ind w:left="1272" w:right="0" w:hanging="1052"/>
        <w:jc w:val="left"/>
      </w:pPr>
      <w:r>
        <w:rPr>
          <w:w w:val="95"/>
        </w:rPr>
        <w:t>合同解除及效力终止</w:t>
      </w:r>
    </w:p>
    <w:p>
      <w:pPr>
        <w:pStyle w:val="BodyText"/>
        <w:spacing w:before="12"/>
        <w:rPr>
          <w:b/>
          <w:sz w:val="12"/>
        </w:rPr>
      </w:pPr>
    </w:p>
    <w:p>
      <w:pPr>
        <w:pStyle w:val="BodyText"/>
        <w:spacing w:line="20" w:lineRule="exact"/>
        <w:ind w:left="104"/>
        <w:rPr>
          <w:sz w:val="2"/>
        </w:rPr>
      </w:pPr>
      <w:r>
        <w:rPr>
          <w:rFonts w:ascii="Times New Roman"/>
          <w:spacing w:val="2"/>
          <w:sz w:val="2"/>
        </w:rPr>
        <w:t> </w:t>
      </w:r>
      <w:r>
        <w:rPr>
          <w:spacing w:val="2"/>
          <w:sz w:val="2"/>
        </w:rPr>
        <w:pict>
          <v:group style="width:464.1pt;height:.6pt;mso-position-horizontal-relative:char;mso-position-vertical-relative:line" coordorigin="0,0" coordsize="9282,12">
            <v:line style="position:absolute" from="0,6" to="1052,6" stroked="true" strokeweight=".6pt" strokecolor="#000000">
              <v:stroke dashstyle="solid"/>
            </v:line>
            <v:line style="position:absolute" from="1052,6" to="2636,6" stroked="true" strokeweight=".6pt" strokecolor="#000000">
              <v:stroke dashstyle="solid"/>
            </v:line>
            <v:line style="position:absolute" from="2636,6" to="9282,6" stroked="true" strokeweight=".6pt" strokecolor="#000000">
              <v:stroke dashstyle="solid"/>
            </v:line>
          </v:group>
        </w:pict>
      </w:r>
      <w:r>
        <w:rPr>
          <w:spacing w:val="2"/>
          <w:sz w:val="2"/>
        </w:rPr>
      </w:r>
    </w:p>
    <w:p>
      <w:pPr>
        <w:spacing w:after="0" w:line="20" w:lineRule="exact"/>
        <w:rPr>
          <w:sz w:val="2"/>
        </w:rPr>
        <w:sectPr>
          <w:type w:val="continuous"/>
          <w:pgSz w:w="11900" w:h="16840"/>
          <w:pgMar w:top="160" w:bottom="280" w:left="940" w:right="1360"/>
        </w:sectPr>
      </w:pPr>
    </w:p>
    <w:p>
      <w:pPr>
        <w:pStyle w:val="Heading3"/>
        <w:numPr>
          <w:ilvl w:val="1"/>
          <w:numId w:val="4"/>
        </w:numPr>
        <w:tabs>
          <w:tab w:pos="1271" w:val="left" w:leader="none"/>
          <w:tab w:pos="1272" w:val="left" w:leader="none"/>
        </w:tabs>
        <w:spacing w:line="265" w:lineRule="exact" w:before="0" w:after="0"/>
        <w:ind w:left="1272" w:right="0" w:hanging="1052"/>
        <w:jc w:val="left"/>
      </w:pPr>
      <w:r>
        <w:rPr>
          <w:spacing w:val="15"/>
        </w:rPr>
        <w:t>解除合同的手</w:t>
      </w:r>
    </w:p>
    <w:p>
      <w:pPr>
        <w:spacing w:before="21"/>
        <w:ind w:left="1271" w:right="0" w:firstLine="0"/>
        <w:jc w:val="left"/>
        <w:rPr>
          <w:b/>
          <w:sz w:val="21"/>
        </w:rPr>
      </w:pPr>
      <w:r>
        <w:rPr>
          <w:b/>
          <w:w w:val="95"/>
          <w:sz w:val="21"/>
        </w:rPr>
        <w:t>续及风险</w:t>
      </w:r>
    </w:p>
    <w:p>
      <w:pPr>
        <w:pStyle w:val="BodyText"/>
        <w:spacing w:line="250" w:lineRule="exact"/>
        <w:ind w:left="176"/>
      </w:pPr>
      <w:r>
        <w:rPr/>
        <w:br w:type="column"/>
      </w:r>
      <w:r>
        <w:rPr/>
        <w:t>如您在犹豫期后申请解除本附加合同，请填写解除合同申请书并向我</w:t>
      </w:r>
    </w:p>
    <w:p>
      <w:pPr>
        <w:pStyle w:val="BodyText"/>
        <w:spacing w:before="37"/>
        <w:ind w:left="176"/>
      </w:pPr>
      <w:r>
        <w:rPr/>
        <w:t>们提供下列资料：</w:t>
      </w:r>
    </w:p>
    <w:p>
      <w:pPr>
        <w:pStyle w:val="BodyText"/>
        <w:spacing w:before="37"/>
        <w:ind w:left="176"/>
      </w:pPr>
      <w:r>
        <w:rPr/>
        <w:t>（</w:t>
      </w:r>
      <w:r>
        <w:rPr>
          <w:rFonts w:ascii="Times New Roman" w:eastAsia="Times New Roman"/>
        </w:rPr>
        <w:t>1</w:t>
      </w:r>
      <w:r>
        <w:rPr/>
        <w:t>）保险合同；</w:t>
      </w:r>
    </w:p>
    <w:p>
      <w:pPr>
        <w:pStyle w:val="BodyText"/>
        <w:spacing w:before="21"/>
        <w:ind w:left="176"/>
      </w:pPr>
      <w:r>
        <w:rPr/>
        <w:t>（</w:t>
      </w:r>
      <w:r>
        <w:rPr>
          <w:rFonts w:ascii="Times New Roman" w:eastAsia="Times New Roman"/>
        </w:rPr>
        <w:t>2</w:t>
      </w:r>
      <w:r>
        <w:rPr/>
        <w:t>）您的有效身份证件。</w:t>
      </w:r>
    </w:p>
    <w:p>
      <w:pPr>
        <w:pStyle w:val="BodyText"/>
        <w:spacing w:line="273" w:lineRule="auto" w:before="21"/>
        <w:ind w:left="176" w:right="1493"/>
      </w:pPr>
      <w:r>
        <w:rPr/>
        <w:t>自我们收到解除合同申请书时起，本附加合同效力终止。您犹豫期后解除合同会遭受一定损失。</w:t>
      </w:r>
    </w:p>
    <w:p>
      <w:pPr>
        <w:spacing w:after="0" w:line="273" w:lineRule="auto"/>
        <w:sectPr>
          <w:type w:val="continuous"/>
          <w:pgSz w:w="11900" w:h="16840"/>
          <w:pgMar w:top="160" w:bottom="280" w:left="940" w:right="1360"/>
          <w:cols w:num="2" w:equalWidth="0">
            <w:col w:w="2640" w:space="40"/>
            <w:col w:w="6920"/>
          </w:cols>
        </w:sectPr>
      </w:pPr>
    </w:p>
    <w:p>
      <w:pPr>
        <w:pStyle w:val="BodyText"/>
        <w:spacing w:before="13"/>
        <w:rPr>
          <w:sz w:val="18"/>
        </w:rPr>
      </w:pPr>
    </w:p>
    <w:p>
      <w:pPr>
        <w:spacing w:after="0"/>
        <w:rPr>
          <w:sz w:val="18"/>
        </w:rPr>
        <w:sectPr>
          <w:type w:val="continuous"/>
          <w:pgSz w:w="11900" w:h="16840"/>
          <w:pgMar w:top="160" w:bottom="280" w:left="940" w:right="1360"/>
        </w:sectPr>
      </w:pPr>
    </w:p>
    <w:p>
      <w:pPr>
        <w:pStyle w:val="Heading3"/>
        <w:numPr>
          <w:ilvl w:val="1"/>
          <w:numId w:val="4"/>
        </w:numPr>
        <w:tabs>
          <w:tab w:pos="1271" w:val="left" w:leader="none"/>
          <w:tab w:pos="1272" w:val="left" w:leader="none"/>
        </w:tabs>
        <w:spacing w:line="256" w:lineRule="auto" w:before="71" w:after="0"/>
        <w:ind w:left="1272" w:right="0" w:hanging="1052"/>
        <w:jc w:val="left"/>
      </w:pPr>
      <w:r>
        <w:rPr>
          <w:spacing w:val="13"/>
        </w:rPr>
        <w:t>附加合同效力</w:t>
      </w:r>
      <w:r>
        <w:rPr>
          <w:spacing w:val="13"/>
          <w:w w:val="95"/>
        </w:rPr>
        <w:t>的终止</w:t>
      </w:r>
    </w:p>
    <w:p>
      <w:pPr>
        <w:pStyle w:val="BodyText"/>
        <w:spacing w:line="257" w:lineRule="exact" w:before="35"/>
        <w:ind w:left="178"/>
      </w:pPr>
      <w:r>
        <w:rPr/>
        <w:br w:type="column"/>
      </w:r>
      <w:r>
        <w:rPr/>
        <w:t>发生下列情况之一时，本附加合同自动终止：</w:t>
      </w:r>
    </w:p>
    <w:p>
      <w:pPr>
        <w:pStyle w:val="BodyText"/>
        <w:spacing w:line="249" w:lineRule="exact"/>
        <w:ind w:left="178"/>
      </w:pPr>
      <w:r>
        <w:rPr/>
        <w:t>（</w:t>
      </w:r>
      <w:r>
        <w:rPr>
          <w:rFonts w:ascii="Times New Roman" w:eastAsia="Times New Roman"/>
        </w:rPr>
        <w:t>1</w:t>
      </w:r>
      <w:r>
        <w:rPr/>
        <w:t>）我们收到解除合同申请书；</w:t>
      </w:r>
    </w:p>
    <w:p>
      <w:pPr>
        <w:pStyle w:val="BodyText"/>
        <w:spacing w:line="259" w:lineRule="exact"/>
        <w:ind w:left="178"/>
      </w:pPr>
      <w:r>
        <w:rPr/>
        <w:t>（</w:t>
      </w:r>
      <w:r>
        <w:rPr>
          <w:rFonts w:ascii="Times New Roman" w:eastAsia="Times New Roman"/>
        </w:rPr>
        <w:t>2</w:t>
      </w:r>
      <w:r>
        <w:rPr/>
        <w:t>）主合同因任何原因效力终止或变更为减额付清保险；</w:t>
      </w:r>
    </w:p>
    <w:p>
      <w:pPr>
        <w:pStyle w:val="BodyText"/>
        <w:spacing w:line="276" w:lineRule="exact"/>
        <w:ind w:left="178"/>
      </w:pPr>
      <w:r>
        <w:rPr/>
        <w:t>（</w:t>
      </w:r>
      <w:r>
        <w:rPr>
          <w:rFonts w:ascii="Times New Roman" w:eastAsia="Times New Roman"/>
        </w:rPr>
        <w:t>3</w:t>
      </w:r>
      <w:r>
        <w:rPr/>
        <w:t>）主合同满期或本附加合同满期（以较早者为准）；</w:t>
      </w:r>
    </w:p>
    <w:p>
      <w:pPr>
        <w:pStyle w:val="BodyText"/>
        <w:spacing w:line="259" w:lineRule="exact"/>
        <w:ind w:left="178"/>
      </w:pPr>
      <w:r>
        <w:rPr/>
        <w:t>（</w:t>
      </w:r>
      <w:r>
        <w:rPr>
          <w:rFonts w:ascii="Times New Roman" w:eastAsia="Times New Roman"/>
        </w:rPr>
        <w:t>4</w:t>
      </w:r>
      <w:r>
        <w:rPr/>
        <w:t>）被保险人身故；</w:t>
      </w:r>
    </w:p>
    <w:p>
      <w:pPr>
        <w:pStyle w:val="BodyText"/>
        <w:spacing w:line="266" w:lineRule="exact"/>
        <w:ind w:left="178"/>
      </w:pPr>
      <w:r>
        <w:rPr/>
        <w:t>（</w:t>
      </w:r>
      <w:r>
        <w:rPr>
          <w:rFonts w:ascii="Times New Roman" w:eastAsia="Times New Roman"/>
        </w:rPr>
        <w:t>5</w:t>
      </w:r>
      <w:r>
        <w:rPr/>
        <w:t>）因主合同或本附加合同其他条款所列情况而效力终止。</w:t>
      </w:r>
    </w:p>
    <w:p>
      <w:pPr>
        <w:spacing w:after="0" w:line="266" w:lineRule="exact"/>
        <w:sectPr>
          <w:type w:val="continuous"/>
          <w:pgSz w:w="11900" w:h="16840"/>
          <w:pgMar w:top="160" w:bottom="280" w:left="940" w:right="1360"/>
          <w:cols w:num="2" w:equalWidth="0">
            <w:col w:w="2638" w:space="40"/>
            <w:col w:w="6922"/>
          </w:cols>
        </w:sectPr>
      </w:pPr>
    </w:p>
    <w:p>
      <w:pPr>
        <w:pStyle w:val="BodyText"/>
        <w:spacing w:before="6"/>
        <w:rPr>
          <w:sz w:val="11"/>
        </w:rPr>
      </w:pPr>
    </w:p>
    <w:p>
      <w:pPr>
        <w:pStyle w:val="Heading2"/>
        <w:numPr>
          <w:ilvl w:val="0"/>
          <w:numId w:val="4"/>
        </w:numPr>
        <w:tabs>
          <w:tab w:pos="1271" w:val="left" w:leader="none"/>
          <w:tab w:pos="1272" w:val="left" w:leader="none"/>
        </w:tabs>
        <w:spacing w:line="240" w:lineRule="auto" w:before="30" w:after="0"/>
        <w:ind w:left="1272" w:right="0" w:hanging="1052"/>
        <w:jc w:val="left"/>
      </w:pPr>
      <w:r>
        <w:rPr>
          <w:w w:val="95"/>
          <w:position w:val="1"/>
        </w:rPr>
        <w:t>重大疾病保障范围及定义</w:t>
      </w:r>
    </w:p>
    <w:p>
      <w:pPr>
        <w:pStyle w:val="BodyText"/>
        <w:spacing w:before="1"/>
        <w:rPr>
          <w:b/>
          <w:sz w:val="10"/>
        </w:rPr>
      </w:pPr>
      <w:r>
        <w:rPr/>
        <w:pict>
          <v:group style="position:absolute;margin-left:52.5pt;margin-top:8.575973pt;width:464.1pt;height:.6pt;mso-position-horizontal-relative:page;mso-position-vertical-relative:paragraph;z-index:1216;mso-wrap-distance-left:0;mso-wrap-distance-right:0" coordorigin="1050,172" coordsize="9282,12">
            <v:line style="position:absolute" from="1050,178" to="2102,178" stroked="true" strokeweight=".6pt" strokecolor="#000000">
              <v:stroke dashstyle="solid"/>
            </v:line>
            <v:line style="position:absolute" from="2102,178" to="10332,178" stroked="true" strokeweight=".6pt" strokecolor="#000000">
              <v:stroke dashstyle="solid"/>
            </v:line>
            <w10:wrap type="topAndBottom"/>
          </v:group>
        </w:pict>
      </w:r>
    </w:p>
    <w:p>
      <w:pPr>
        <w:pStyle w:val="BodyText"/>
        <w:ind w:left="1271"/>
      </w:pPr>
      <w:r>
        <w:rPr/>
        <w:t>被保险人发生符合以下疾病定义所述条件的疾病，应当由专科医生明确诊断。</w:t>
      </w:r>
    </w:p>
    <w:p>
      <w:pPr>
        <w:pStyle w:val="BodyText"/>
        <w:spacing w:before="8"/>
        <w:rPr>
          <w:sz w:val="26"/>
        </w:rPr>
      </w:pPr>
    </w:p>
    <w:p>
      <w:pPr>
        <w:pStyle w:val="ListParagraph"/>
        <w:numPr>
          <w:ilvl w:val="1"/>
          <w:numId w:val="4"/>
        </w:numPr>
        <w:tabs>
          <w:tab w:pos="1271" w:val="left" w:leader="none"/>
          <w:tab w:pos="1272" w:val="left" w:leader="none"/>
          <w:tab w:pos="2855" w:val="left" w:leader="none"/>
        </w:tabs>
        <w:spacing w:line="268" w:lineRule="auto" w:before="1" w:after="0"/>
        <w:ind w:left="2856" w:right="103" w:hanging="2636"/>
        <w:jc w:val="left"/>
        <w:rPr>
          <w:sz w:val="21"/>
        </w:rPr>
      </w:pPr>
      <w:r>
        <w:rPr>
          <w:b/>
          <w:sz w:val="21"/>
        </w:rPr>
        <w:t>恶性肿瘤</w:t>
        <w:tab/>
      </w:r>
      <w:r>
        <w:rPr>
          <w:spacing w:val="2"/>
          <w:sz w:val="21"/>
        </w:rPr>
        <w:t>指</w:t>
      </w:r>
      <w:r>
        <w:rPr>
          <w:sz w:val="21"/>
        </w:rPr>
        <w:t>恶</w:t>
      </w:r>
      <w:r>
        <w:rPr>
          <w:spacing w:val="2"/>
          <w:sz w:val="21"/>
        </w:rPr>
        <w:t>性细胞</w:t>
      </w:r>
      <w:r>
        <w:rPr>
          <w:sz w:val="21"/>
        </w:rPr>
        <w:t>不</w:t>
      </w:r>
      <w:r>
        <w:rPr>
          <w:spacing w:val="2"/>
          <w:sz w:val="21"/>
        </w:rPr>
        <w:t>受</w:t>
      </w:r>
      <w:r>
        <w:rPr>
          <w:sz w:val="21"/>
        </w:rPr>
        <w:t>控</w:t>
      </w:r>
      <w:r>
        <w:rPr>
          <w:spacing w:val="2"/>
          <w:sz w:val="21"/>
        </w:rPr>
        <w:t>制</w:t>
      </w:r>
      <w:r>
        <w:rPr>
          <w:sz w:val="21"/>
        </w:rPr>
        <w:t>的进</w:t>
      </w:r>
      <w:r>
        <w:rPr>
          <w:spacing w:val="2"/>
          <w:sz w:val="21"/>
        </w:rPr>
        <w:t>行</w:t>
      </w:r>
      <w:r>
        <w:rPr>
          <w:sz w:val="21"/>
        </w:rPr>
        <w:t>性增</w:t>
      </w:r>
      <w:r>
        <w:rPr>
          <w:spacing w:val="2"/>
          <w:sz w:val="21"/>
        </w:rPr>
        <w:t>长和</w:t>
      </w:r>
      <w:r>
        <w:rPr>
          <w:sz w:val="21"/>
        </w:rPr>
        <w:t>扩</w:t>
      </w:r>
      <w:r>
        <w:rPr>
          <w:spacing w:val="2"/>
          <w:sz w:val="21"/>
        </w:rPr>
        <w:t>散，</w:t>
      </w:r>
      <w:r>
        <w:rPr>
          <w:sz w:val="21"/>
        </w:rPr>
        <w:t>浸</w:t>
      </w:r>
      <w:r>
        <w:rPr>
          <w:spacing w:val="2"/>
          <w:sz w:val="21"/>
        </w:rPr>
        <w:t>润和</w:t>
      </w:r>
      <w:r>
        <w:rPr>
          <w:sz w:val="21"/>
        </w:rPr>
        <w:t>破</w:t>
      </w:r>
      <w:r>
        <w:rPr>
          <w:spacing w:val="2"/>
          <w:sz w:val="21"/>
        </w:rPr>
        <w:t>坏</w:t>
      </w:r>
      <w:r>
        <w:rPr>
          <w:sz w:val="21"/>
        </w:rPr>
        <w:t>周围</w:t>
      </w:r>
      <w:r>
        <w:rPr>
          <w:spacing w:val="2"/>
          <w:sz w:val="21"/>
        </w:rPr>
        <w:t>正常</w:t>
      </w:r>
      <w:r>
        <w:rPr>
          <w:sz w:val="21"/>
        </w:rPr>
        <w:t>组</w:t>
      </w:r>
      <w:r>
        <w:rPr>
          <w:spacing w:val="12"/>
          <w:sz w:val="21"/>
        </w:rPr>
        <w:t>织</w:t>
      </w:r>
      <w:r>
        <w:rPr>
          <w:sz w:val="21"/>
        </w:rPr>
        <w:t>， 可以经血管</w:t>
      </w:r>
      <w:r>
        <w:rPr>
          <w:spacing w:val="-40"/>
          <w:sz w:val="21"/>
        </w:rPr>
        <w:t>、</w:t>
      </w:r>
      <w:r>
        <w:rPr>
          <w:sz w:val="21"/>
        </w:rPr>
        <w:t>淋巴管和体腔扩散转移到身体其它部位的疾病</w:t>
      </w:r>
      <w:r>
        <w:rPr>
          <w:spacing w:val="-40"/>
          <w:sz w:val="21"/>
        </w:rPr>
        <w:t>。</w:t>
      </w:r>
      <w:r>
        <w:rPr>
          <w:sz w:val="21"/>
        </w:rPr>
        <w:t>经病理学 检查结果明确诊断，临床诊断属于世界卫生组</w:t>
      </w:r>
      <w:r>
        <w:rPr>
          <w:spacing w:val="-81"/>
          <w:sz w:val="21"/>
        </w:rPr>
        <w:t>织</w:t>
      </w:r>
      <w:r>
        <w:rPr>
          <w:sz w:val="21"/>
        </w:rPr>
        <w:t>《疾病和有关健康问题</w:t>
      </w:r>
    </w:p>
    <w:p>
      <w:pPr>
        <w:spacing w:after="0" w:line="268" w:lineRule="auto"/>
        <w:jc w:val="left"/>
        <w:rPr>
          <w:sz w:val="21"/>
        </w:rPr>
        <w:sectPr>
          <w:type w:val="continuous"/>
          <w:pgSz w:w="11900" w:h="16840"/>
          <w:pgMar w:top="160" w:bottom="280" w:left="940" w:right="13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1871"/>
        <w:gridCol w:w="6797"/>
      </w:tblGrid>
      <w:tr>
        <w:trPr>
          <w:trHeight w:val="578" w:hRule="atLeast"/>
        </w:trPr>
        <w:tc>
          <w:tcPr>
            <w:tcW w:w="2577" w:type="dxa"/>
            <w:gridSpan w:val="2"/>
            <w:vMerge w:val="restart"/>
          </w:tcPr>
          <w:p>
            <w:pPr>
              <w:pStyle w:val="TableParagraph"/>
              <w:rPr>
                <w:rFonts w:ascii="Times New Roman"/>
                <w:sz w:val="20"/>
              </w:rPr>
            </w:pPr>
          </w:p>
        </w:tc>
        <w:tc>
          <w:tcPr>
            <w:tcW w:w="6797" w:type="dxa"/>
          </w:tcPr>
          <w:p>
            <w:pPr>
              <w:pStyle w:val="TableParagraph"/>
              <w:spacing w:line="237" w:lineRule="exact"/>
              <w:ind w:left="111"/>
              <w:rPr>
                <w:sz w:val="21"/>
              </w:rPr>
            </w:pPr>
            <w:r>
              <w:rPr>
                <w:sz w:val="21"/>
              </w:rPr>
              <w:t>的国际统计分类》（</w:t>
            </w:r>
            <w:r>
              <w:rPr>
                <w:rFonts w:ascii="Times New Roman" w:eastAsia="Times New Roman"/>
                <w:sz w:val="21"/>
              </w:rPr>
              <w:t>ICD-10</w:t>
            </w:r>
            <w:r>
              <w:rPr>
                <w:sz w:val="21"/>
              </w:rPr>
              <w:t>）的恶性肿瘤范畴。</w:t>
            </w:r>
          </w:p>
          <w:p>
            <w:pPr>
              <w:pStyle w:val="TableParagraph"/>
              <w:spacing w:before="21"/>
              <w:ind w:left="111"/>
              <w:rPr>
                <w:sz w:val="21"/>
              </w:rPr>
            </w:pPr>
            <w:r>
              <w:rPr>
                <w:sz w:val="21"/>
              </w:rPr>
              <w:t>下列疾病不在保障范围内：</w:t>
            </w:r>
          </w:p>
        </w:tc>
      </w:tr>
      <w:tr>
        <w:trPr>
          <w:trHeight w:val="2033" w:hRule="atLeast"/>
        </w:trPr>
        <w:tc>
          <w:tcPr>
            <w:tcW w:w="2577" w:type="dxa"/>
            <w:gridSpan w:val="2"/>
            <w:vMerge/>
            <w:tcBorders>
              <w:top w:val="nil"/>
            </w:tcBorders>
          </w:tcPr>
          <w:p>
            <w:pPr>
              <w:rPr>
                <w:sz w:val="2"/>
                <w:szCs w:val="2"/>
              </w:rPr>
            </w:pPr>
          </w:p>
        </w:tc>
        <w:tc>
          <w:tcPr>
            <w:tcW w:w="6797" w:type="dxa"/>
          </w:tcPr>
          <w:p>
            <w:pPr>
              <w:pStyle w:val="TableParagraph"/>
              <w:spacing w:line="282" w:lineRule="exact"/>
              <w:ind w:left="111"/>
              <w:rPr>
                <w:sz w:val="21"/>
              </w:rPr>
            </w:pPr>
            <w:r>
              <w:rPr>
                <w:sz w:val="21"/>
              </w:rPr>
              <w:t>（</w:t>
            </w:r>
            <w:r>
              <w:rPr>
                <w:rFonts w:ascii="Times New Roman" w:eastAsia="Times New Roman"/>
                <w:sz w:val="21"/>
              </w:rPr>
              <w:t>1</w:t>
            </w:r>
            <w:r>
              <w:rPr>
                <w:sz w:val="21"/>
              </w:rPr>
              <w:t>）原位癌；</w:t>
            </w:r>
          </w:p>
          <w:p>
            <w:pPr>
              <w:pStyle w:val="TableParagraph"/>
              <w:spacing w:before="21"/>
              <w:ind w:left="111"/>
              <w:rPr>
                <w:sz w:val="21"/>
              </w:rPr>
            </w:pPr>
            <w:r>
              <w:rPr>
                <w:sz w:val="21"/>
              </w:rPr>
              <w:t>（</w:t>
            </w:r>
            <w:r>
              <w:rPr>
                <w:rFonts w:ascii="Times New Roman" w:eastAsia="Times New Roman"/>
                <w:sz w:val="21"/>
              </w:rPr>
              <w:t>2</w:t>
            </w:r>
            <w:r>
              <w:rPr>
                <w:sz w:val="21"/>
              </w:rPr>
              <w:t>）相当于</w:t>
            </w:r>
            <w:r>
              <w:rPr>
                <w:rFonts w:ascii="Times New Roman" w:eastAsia="Times New Roman"/>
                <w:sz w:val="21"/>
              </w:rPr>
              <w:t>Binet</w:t>
            </w:r>
            <w:r>
              <w:rPr>
                <w:sz w:val="21"/>
              </w:rPr>
              <w:t>分期方案</w:t>
            </w:r>
            <w:r>
              <w:rPr>
                <w:rFonts w:ascii="Times New Roman" w:eastAsia="Times New Roman"/>
                <w:sz w:val="21"/>
              </w:rPr>
              <w:t>A</w:t>
            </w:r>
            <w:r>
              <w:rPr>
                <w:sz w:val="21"/>
              </w:rPr>
              <w:t>期程度的慢性淋巴细胞白血病；</w:t>
            </w:r>
          </w:p>
          <w:p>
            <w:pPr>
              <w:pStyle w:val="TableParagraph"/>
              <w:spacing w:before="21"/>
              <w:ind w:left="111"/>
              <w:rPr>
                <w:sz w:val="21"/>
              </w:rPr>
            </w:pPr>
            <w:r>
              <w:rPr>
                <w:sz w:val="21"/>
              </w:rPr>
              <w:t>（</w:t>
            </w:r>
            <w:r>
              <w:rPr>
                <w:rFonts w:ascii="Times New Roman" w:eastAsia="Times New Roman"/>
                <w:sz w:val="21"/>
              </w:rPr>
              <w:t>3</w:t>
            </w:r>
            <w:r>
              <w:rPr>
                <w:sz w:val="21"/>
              </w:rPr>
              <w:t>）相当于</w:t>
            </w:r>
            <w:r>
              <w:rPr>
                <w:rFonts w:ascii="Times New Roman" w:eastAsia="Times New Roman"/>
                <w:sz w:val="21"/>
              </w:rPr>
              <w:t>Ann Arbor</w:t>
            </w:r>
            <w:r>
              <w:rPr>
                <w:sz w:val="21"/>
              </w:rPr>
              <w:t>分期方案</w:t>
            </w:r>
            <w:r>
              <w:rPr>
                <w:rFonts w:ascii="Times New Roman" w:eastAsia="Times New Roman"/>
                <w:sz w:val="21"/>
              </w:rPr>
              <w:t>I</w:t>
            </w:r>
            <w:r>
              <w:rPr>
                <w:sz w:val="21"/>
              </w:rPr>
              <w:t>期程度的何杰金氏病；</w:t>
            </w:r>
          </w:p>
          <w:p>
            <w:pPr>
              <w:pStyle w:val="TableParagraph"/>
              <w:spacing w:before="21"/>
              <w:ind w:left="111"/>
              <w:rPr>
                <w:sz w:val="21"/>
              </w:rPr>
            </w:pPr>
            <w:r>
              <w:rPr>
                <w:sz w:val="21"/>
              </w:rPr>
              <w:t>（</w:t>
            </w:r>
            <w:r>
              <w:rPr>
                <w:rFonts w:ascii="Times New Roman" w:eastAsia="Times New Roman"/>
                <w:sz w:val="21"/>
              </w:rPr>
              <w:t>4</w:t>
            </w:r>
            <w:r>
              <w:rPr>
                <w:sz w:val="21"/>
              </w:rPr>
              <w:t>）皮肤癌（不包括恶性黑色素瘤及已发生转移的皮肤癌）；</w:t>
            </w:r>
          </w:p>
          <w:p>
            <w:pPr>
              <w:pStyle w:val="TableParagraph"/>
              <w:spacing w:before="17"/>
              <w:ind w:left="111"/>
              <w:rPr>
                <w:sz w:val="21"/>
              </w:rPr>
            </w:pPr>
            <w:r>
              <w:rPr>
                <w:position w:val="2"/>
                <w:sz w:val="21"/>
              </w:rPr>
              <w:t>（</w:t>
            </w:r>
            <w:r>
              <w:rPr>
                <w:rFonts w:ascii="Times New Roman" w:eastAsia="Times New Roman"/>
                <w:position w:val="2"/>
                <w:sz w:val="21"/>
              </w:rPr>
              <w:t>5</w:t>
            </w:r>
            <w:r>
              <w:rPr>
                <w:position w:val="2"/>
                <w:sz w:val="21"/>
              </w:rPr>
              <w:t>）</w:t>
            </w:r>
            <w:r>
              <w:rPr>
                <w:rFonts w:ascii="Times New Roman" w:eastAsia="Times New Roman"/>
                <w:position w:val="2"/>
                <w:sz w:val="21"/>
              </w:rPr>
              <w:t>TNM</w:t>
            </w:r>
            <w:r>
              <w:rPr>
                <w:position w:val="2"/>
                <w:sz w:val="21"/>
              </w:rPr>
              <w:t>分期为</w:t>
            </w:r>
            <w:r>
              <w:rPr>
                <w:rFonts w:ascii="Times New Roman" w:eastAsia="Times New Roman"/>
                <w:position w:val="2"/>
                <w:sz w:val="21"/>
              </w:rPr>
              <w:t>T</w:t>
            </w:r>
            <w:r>
              <w:rPr>
                <w:rFonts w:ascii="Times New Roman" w:eastAsia="Times New Roman"/>
                <w:sz w:val="12"/>
              </w:rPr>
              <w:t>1</w:t>
            </w:r>
            <w:r>
              <w:rPr>
                <w:rFonts w:ascii="Times New Roman" w:eastAsia="Times New Roman"/>
                <w:position w:val="2"/>
                <w:sz w:val="21"/>
              </w:rPr>
              <w:t>N</w:t>
            </w:r>
            <w:r>
              <w:rPr>
                <w:rFonts w:ascii="Times New Roman" w:eastAsia="Times New Roman"/>
                <w:sz w:val="12"/>
              </w:rPr>
              <w:t>0</w:t>
            </w:r>
            <w:r>
              <w:rPr>
                <w:rFonts w:ascii="Times New Roman" w:eastAsia="Times New Roman"/>
                <w:position w:val="2"/>
                <w:sz w:val="21"/>
              </w:rPr>
              <w:t>M</w:t>
            </w:r>
            <w:r>
              <w:rPr>
                <w:rFonts w:ascii="Times New Roman" w:eastAsia="Times New Roman"/>
                <w:sz w:val="12"/>
              </w:rPr>
              <w:t>0</w:t>
            </w:r>
            <w:r>
              <w:rPr>
                <w:position w:val="2"/>
                <w:sz w:val="21"/>
              </w:rPr>
              <w:t>期或更轻分期的前列腺癌；</w:t>
            </w:r>
          </w:p>
          <w:p>
            <w:pPr>
              <w:pStyle w:val="TableParagraph"/>
              <w:spacing w:before="24"/>
              <w:ind w:left="111"/>
              <w:rPr>
                <w:sz w:val="21"/>
              </w:rPr>
            </w:pPr>
            <w:r>
              <w:rPr>
                <w:sz w:val="21"/>
              </w:rPr>
              <w:t>（</w:t>
            </w:r>
            <w:r>
              <w:rPr>
                <w:rFonts w:ascii="Times New Roman" w:eastAsia="Times New Roman"/>
                <w:sz w:val="21"/>
              </w:rPr>
              <w:t>6</w:t>
            </w:r>
            <w:r>
              <w:rPr>
                <w:sz w:val="21"/>
              </w:rPr>
              <w:t>）感染艾滋病病毒或患艾滋病期间所患恶性肿瘤。</w:t>
            </w:r>
          </w:p>
        </w:tc>
      </w:tr>
      <w:tr>
        <w:trPr>
          <w:trHeight w:val="473" w:hRule="atLeast"/>
        </w:trPr>
        <w:tc>
          <w:tcPr>
            <w:tcW w:w="706" w:type="dxa"/>
          </w:tcPr>
          <w:p>
            <w:pPr>
              <w:pStyle w:val="TableParagraph"/>
              <w:spacing w:before="187"/>
              <w:ind w:left="50"/>
              <w:rPr>
                <w:rFonts w:ascii="Times New Roman"/>
                <w:sz w:val="21"/>
              </w:rPr>
            </w:pPr>
            <w:r>
              <w:rPr>
                <w:rFonts w:ascii="Times New Roman"/>
                <w:sz w:val="21"/>
              </w:rPr>
              <w:t>6.2</w:t>
            </w:r>
          </w:p>
        </w:tc>
        <w:tc>
          <w:tcPr>
            <w:tcW w:w="1871" w:type="dxa"/>
          </w:tcPr>
          <w:p>
            <w:pPr>
              <w:pStyle w:val="TableParagraph"/>
              <w:spacing w:before="141"/>
              <w:ind w:left="396"/>
              <w:rPr>
                <w:b/>
                <w:sz w:val="21"/>
              </w:rPr>
            </w:pPr>
            <w:r>
              <w:rPr>
                <w:b/>
                <w:w w:val="95"/>
                <w:sz w:val="21"/>
              </w:rPr>
              <w:t>急性心肌梗塞</w:t>
            </w:r>
          </w:p>
        </w:tc>
        <w:tc>
          <w:tcPr>
            <w:tcW w:w="6797" w:type="dxa"/>
          </w:tcPr>
          <w:p>
            <w:pPr>
              <w:pStyle w:val="TableParagraph"/>
              <w:spacing w:before="141"/>
              <w:ind w:left="111"/>
              <w:rPr>
                <w:sz w:val="21"/>
              </w:rPr>
            </w:pPr>
            <w:r>
              <w:rPr>
                <w:sz w:val="21"/>
              </w:rPr>
              <w:t>指因冠状动脉阻塞导致的相应区域供血不足造成部分心肌坏死。须满足</w:t>
            </w:r>
          </w:p>
        </w:tc>
      </w:tr>
      <w:tr>
        <w:trPr>
          <w:trHeight w:val="300" w:hRule="atLeast"/>
        </w:trPr>
        <w:tc>
          <w:tcPr>
            <w:tcW w:w="706" w:type="dxa"/>
          </w:tcPr>
          <w:p>
            <w:pPr>
              <w:pStyle w:val="TableParagraph"/>
              <w:rPr>
                <w:rFonts w:ascii="Times New Roman"/>
                <w:sz w:val="20"/>
              </w:rPr>
            </w:pPr>
          </w:p>
        </w:tc>
        <w:tc>
          <w:tcPr>
            <w:tcW w:w="1871" w:type="dxa"/>
          </w:tcPr>
          <w:p>
            <w:pPr>
              <w:pStyle w:val="TableParagraph"/>
              <w:rPr>
                <w:rFonts w:ascii="Times New Roman"/>
                <w:sz w:val="20"/>
              </w:rPr>
            </w:pPr>
          </w:p>
        </w:tc>
        <w:tc>
          <w:tcPr>
            <w:tcW w:w="6797" w:type="dxa"/>
          </w:tcPr>
          <w:p>
            <w:pPr>
              <w:pStyle w:val="TableParagraph"/>
              <w:spacing w:line="255" w:lineRule="exact"/>
              <w:ind w:left="111"/>
              <w:rPr>
                <w:sz w:val="21"/>
              </w:rPr>
            </w:pPr>
            <w:r>
              <w:rPr>
                <w:sz w:val="21"/>
              </w:rPr>
              <w:t>下列至少三项条件：</w:t>
            </w:r>
          </w:p>
        </w:tc>
      </w:tr>
      <w:tr>
        <w:trPr>
          <w:trHeight w:val="947" w:hRule="atLeast"/>
        </w:trPr>
        <w:tc>
          <w:tcPr>
            <w:tcW w:w="706" w:type="dxa"/>
          </w:tcPr>
          <w:p>
            <w:pPr>
              <w:pStyle w:val="TableParagraph"/>
              <w:rPr>
                <w:rFonts w:ascii="Times New Roman"/>
                <w:sz w:val="20"/>
              </w:rPr>
            </w:pPr>
          </w:p>
        </w:tc>
        <w:tc>
          <w:tcPr>
            <w:tcW w:w="1871" w:type="dxa"/>
          </w:tcPr>
          <w:p>
            <w:pPr>
              <w:pStyle w:val="TableParagraph"/>
              <w:rPr>
                <w:rFonts w:ascii="Times New Roman"/>
                <w:sz w:val="20"/>
              </w:rPr>
            </w:pPr>
          </w:p>
        </w:tc>
        <w:tc>
          <w:tcPr>
            <w:tcW w:w="6797" w:type="dxa"/>
          </w:tcPr>
          <w:p>
            <w:pPr>
              <w:pStyle w:val="TableParagraph"/>
              <w:spacing w:line="282" w:lineRule="exact"/>
              <w:ind w:left="111"/>
              <w:rPr>
                <w:sz w:val="21"/>
              </w:rPr>
            </w:pPr>
            <w:r>
              <w:rPr>
                <w:sz w:val="21"/>
              </w:rPr>
              <w:t>（</w:t>
            </w:r>
            <w:r>
              <w:rPr>
                <w:rFonts w:ascii="Times New Roman" w:eastAsia="Times New Roman"/>
                <w:sz w:val="21"/>
              </w:rPr>
              <w:t>1</w:t>
            </w:r>
            <w:r>
              <w:rPr>
                <w:sz w:val="21"/>
              </w:rPr>
              <w:t>）典型临床表现，例如急性胸痛等；</w:t>
            </w:r>
          </w:p>
          <w:p>
            <w:pPr>
              <w:pStyle w:val="TableParagraph"/>
              <w:spacing w:before="21"/>
              <w:ind w:left="111"/>
              <w:rPr>
                <w:sz w:val="21"/>
              </w:rPr>
            </w:pPr>
            <w:r>
              <w:rPr>
                <w:sz w:val="21"/>
              </w:rPr>
              <w:t>（</w:t>
            </w:r>
            <w:r>
              <w:rPr>
                <w:rFonts w:ascii="Times New Roman" w:eastAsia="Times New Roman"/>
                <w:sz w:val="21"/>
              </w:rPr>
              <w:t>2</w:t>
            </w:r>
            <w:r>
              <w:rPr>
                <w:sz w:val="21"/>
              </w:rPr>
              <w:t>）新近的心电图改变提示急性心肌梗塞；</w:t>
            </w:r>
          </w:p>
          <w:p>
            <w:pPr>
              <w:pStyle w:val="TableParagraph"/>
              <w:spacing w:before="21"/>
              <w:ind w:left="111"/>
              <w:rPr>
                <w:sz w:val="21"/>
              </w:rPr>
            </w:pPr>
            <w:r>
              <w:rPr>
                <w:sz w:val="21"/>
              </w:rPr>
              <w:t>（</w:t>
            </w:r>
            <w:r>
              <w:rPr>
                <w:rFonts w:ascii="Times New Roman" w:eastAsia="Times New Roman"/>
                <w:sz w:val="21"/>
              </w:rPr>
              <w:t>3</w:t>
            </w:r>
            <w:r>
              <w:rPr>
                <w:sz w:val="21"/>
              </w:rPr>
              <w:t>）心肌酶或肌钙蛋白有诊断意义的升高，或呈符合急性心肌梗塞的</w:t>
            </w:r>
          </w:p>
        </w:tc>
      </w:tr>
      <w:tr>
        <w:trPr>
          <w:trHeight w:val="300" w:hRule="atLeast"/>
        </w:trPr>
        <w:tc>
          <w:tcPr>
            <w:tcW w:w="706" w:type="dxa"/>
          </w:tcPr>
          <w:p>
            <w:pPr>
              <w:pStyle w:val="TableParagraph"/>
              <w:rPr>
                <w:rFonts w:ascii="Times New Roman"/>
                <w:sz w:val="20"/>
              </w:rPr>
            </w:pPr>
          </w:p>
        </w:tc>
        <w:tc>
          <w:tcPr>
            <w:tcW w:w="1871" w:type="dxa"/>
          </w:tcPr>
          <w:p>
            <w:pPr>
              <w:pStyle w:val="TableParagraph"/>
              <w:rPr>
                <w:rFonts w:ascii="Times New Roman"/>
                <w:sz w:val="20"/>
              </w:rPr>
            </w:pPr>
          </w:p>
        </w:tc>
        <w:tc>
          <w:tcPr>
            <w:tcW w:w="6797" w:type="dxa"/>
          </w:tcPr>
          <w:p>
            <w:pPr>
              <w:pStyle w:val="TableParagraph"/>
              <w:spacing w:line="255" w:lineRule="exact"/>
              <w:ind w:left="111"/>
              <w:rPr>
                <w:sz w:val="21"/>
              </w:rPr>
            </w:pPr>
            <w:r>
              <w:rPr>
                <w:sz w:val="21"/>
              </w:rPr>
              <w:t>动态性变化；</w:t>
            </w:r>
          </w:p>
        </w:tc>
      </w:tr>
      <w:tr>
        <w:trPr>
          <w:trHeight w:val="785" w:hRule="atLeast"/>
        </w:trPr>
        <w:tc>
          <w:tcPr>
            <w:tcW w:w="706" w:type="dxa"/>
          </w:tcPr>
          <w:p>
            <w:pPr>
              <w:pStyle w:val="TableParagraph"/>
              <w:rPr>
                <w:rFonts w:ascii="Times New Roman"/>
                <w:sz w:val="20"/>
              </w:rPr>
            </w:pPr>
          </w:p>
        </w:tc>
        <w:tc>
          <w:tcPr>
            <w:tcW w:w="1871" w:type="dxa"/>
          </w:tcPr>
          <w:p>
            <w:pPr>
              <w:pStyle w:val="TableParagraph"/>
              <w:rPr>
                <w:rFonts w:ascii="Times New Roman"/>
                <w:sz w:val="20"/>
              </w:rPr>
            </w:pPr>
          </w:p>
        </w:tc>
        <w:tc>
          <w:tcPr>
            <w:tcW w:w="6797" w:type="dxa"/>
          </w:tcPr>
          <w:p>
            <w:pPr>
              <w:pStyle w:val="TableParagraph"/>
              <w:spacing w:line="256" w:lineRule="auto"/>
              <w:ind w:left="111" w:right="279"/>
              <w:rPr>
                <w:sz w:val="21"/>
              </w:rPr>
            </w:pPr>
            <w:r>
              <w:rPr>
                <w:sz w:val="21"/>
              </w:rPr>
              <w:t>（</w:t>
            </w:r>
            <w:r>
              <w:rPr>
                <w:rFonts w:ascii="Times New Roman" w:eastAsia="Times New Roman"/>
                <w:sz w:val="21"/>
              </w:rPr>
              <w:t>4</w:t>
            </w:r>
            <w:r>
              <w:rPr>
                <w:sz w:val="21"/>
              </w:rPr>
              <w:t>）发病</w:t>
            </w:r>
            <w:r>
              <w:rPr>
                <w:rFonts w:ascii="Times New Roman" w:eastAsia="Times New Roman"/>
                <w:sz w:val="21"/>
              </w:rPr>
              <w:t>90</w:t>
            </w:r>
            <w:r>
              <w:rPr>
                <w:sz w:val="21"/>
              </w:rPr>
              <w:t>天后，经检查证实左心室功能降低，如左心室射血分数低于</w:t>
            </w:r>
            <w:r>
              <w:rPr>
                <w:rFonts w:ascii="Times New Roman" w:eastAsia="Times New Roman"/>
                <w:sz w:val="21"/>
              </w:rPr>
              <w:t>50%</w:t>
            </w:r>
            <w:r>
              <w:rPr>
                <w:sz w:val="21"/>
              </w:rPr>
              <w:t>。</w:t>
            </w:r>
          </w:p>
        </w:tc>
      </w:tr>
      <w:tr>
        <w:trPr>
          <w:trHeight w:val="785" w:hRule="atLeast"/>
        </w:trPr>
        <w:tc>
          <w:tcPr>
            <w:tcW w:w="706" w:type="dxa"/>
          </w:tcPr>
          <w:p>
            <w:pPr>
              <w:pStyle w:val="TableParagraph"/>
              <w:spacing w:before="186"/>
              <w:ind w:left="50"/>
              <w:rPr>
                <w:rFonts w:ascii="Times New Roman"/>
                <w:sz w:val="21"/>
              </w:rPr>
            </w:pPr>
            <w:r>
              <w:rPr>
                <w:rFonts w:ascii="Times New Roman"/>
                <w:sz w:val="21"/>
              </w:rPr>
              <w:t>6.3</w:t>
            </w:r>
          </w:p>
        </w:tc>
        <w:tc>
          <w:tcPr>
            <w:tcW w:w="1871" w:type="dxa"/>
          </w:tcPr>
          <w:p>
            <w:pPr>
              <w:pStyle w:val="TableParagraph"/>
              <w:spacing w:before="141"/>
              <w:ind w:left="396"/>
              <w:rPr>
                <w:b/>
                <w:sz w:val="21"/>
              </w:rPr>
            </w:pPr>
            <w:r>
              <w:rPr>
                <w:b/>
                <w:w w:val="95"/>
                <w:sz w:val="21"/>
              </w:rPr>
              <w:t>脑中风后遗症</w:t>
            </w:r>
          </w:p>
        </w:tc>
        <w:tc>
          <w:tcPr>
            <w:tcW w:w="6797" w:type="dxa"/>
          </w:tcPr>
          <w:p>
            <w:pPr>
              <w:pStyle w:val="TableParagraph"/>
              <w:spacing w:line="320" w:lineRule="atLeast" w:before="96"/>
              <w:ind w:left="111" w:right="47"/>
              <w:rPr>
                <w:sz w:val="21"/>
              </w:rPr>
            </w:pPr>
            <w:r>
              <w:rPr>
                <w:spacing w:val="-5"/>
                <w:sz w:val="21"/>
              </w:rPr>
              <w:t>指因脑血管的突发病变引起脑血管出血、栓塞或梗塞，并导致神经系统</w:t>
            </w:r>
            <w:r>
              <w:rPr>
                <w:spacing w:val="-12"/>
                <w:sz w:val="21"/>
              </w:rPr>
              <w:t>永久性的功能障碍。神经系统永久性的功能障碍，指疾病确诊 </w:t>
            </w:r>
            <w:r>
              <w:rPr>
                <w:rFonts w:ascii="Times New Roman" w:eastAsia="Times New Roman"/>
                <w:sz w:val="21"/>
              </w:rPr>
              <w:t>180 </w:t>
            </w:r>
            <w:r>
              <w:rPr>
                <w:sz w:val="21"/>
              </w:rPr>
              <w:t>天后，</w:t>
            </w:r>
          </w:p>
        </w:tc>
      </w:tr>
      <w:tr>
        <w:trPr>
          <w:trHeight w:val="300" w:hRule="atLeast"/>
        </w:trPr>
        <w:tc>
          <w:tcPr>
            <w:tcW w:w="706" w:type="dxa"/>
          </w:tcPr>
          <w:p>
            <w:pPr>
              <w:pStyle w:val="TableParagraph"/>
              <w:rPr>
                <w:rFonts w:ascii="Times New Roman"/>
                <w:sz w:val="20"/>
              </w:rPr>
            </w:pPr>
          </w:p>
        </w:tc>
        <w:tc>
          <w:tcPr>
            <w:tcW w:w="1871" w:type="dxa"/>
          </w:tcPr>
          <w:p>
            <w:pPr>
              <w:pStyle w:val="TableParagraph"/>
              <w:rPr>
                <w:rFonts w:ascii="Times New Roman"/>
                <w:sz w:val="20"/>
              </w:rPr>
            </w:pPr>
          </w:p>
        </w:tc>
        <w:tc>
          <w:tcPr>
            <w:tcW w:w="6797" w:type="dxa"/>
          </w:tcPr>
          <w:p>
            <w:pPr>
              <w:pStyle w:val="TableParagraph"/>
              <w:spacing w:line="255" w:lineRule="exact"/>
              <w:ind w:left="111"/>
              <w:rPr>
                <w:sz w:val="21"/>
              </w:rPr>
            </w:pPr>
            <w:r>
              <w:rPr>
                <w:sz w:val="21"/>
              </w:rPr>
              <w:t>仍遗留下列一种或一种以上障碍：</w:t>
            </w:r>
          </w:p>
        </w:tc>
      </w:tr>
      <w:tr>
        <w:trPr>
          <w:trHeight w:val="947" w:hRule="atLeast"/>
        </w:trPr>
        <w:tc>
          <w:tcPr>
            <w:tcW w:w="706" w:type="dxa"/>
          </w:tcPr>
          <w:p>
            <w:pPr>
              <w:pStyle w:val="TableParagraph"/>
              <w:rPr>
                <w:rFonts w:ascii="Times New Roman"/>
                <w:sz w:val="20"/>
              </w:rPr>
            </w:pPr>
          </w:p>
        </w:tc>
        <w:tc>
          <w:tcPr>
            <w:tcW w:w="1871" w:type="dxa"/>
          </w:tcPr>
          <w:p>
            <w:pPr>
              <w:pStyle w:val="TableParagraph"/>
              <w:rPr>
                <w:rFonts w:ascii="Times New Roman"/>
                <w:sz w:val="20"/>
              </w:rPr>
            </w:pPr>
          </w:p>
        </w:tc>
        <w:tc>
          <w:tcPr>
            <w:tcW w:w="6797" w:type="dxa"/>
          </w:tcPr>
          <w:p>
            <w:pPr>
              <w:pStyle w:val="TableParagraph"/>
              <w:spacing w:line="282" w:lineRule="exact"/>
              <w:ind w:left="111"/>
              <w:rPr>
                <w:sz w:val="21"/>
              </w:rPr>
            </w:pPr>
            <w:r>
              <w:rPr>
                <w:w w:val="95"/>
                <w:sz w:val="21"/>
              </w:rPr>
              <w:t>（</w:t>
            </w:r>
            <w:r>
              <w:rPr>
                <w:rFonts w:ascii="Times New Roman" w:eastAsia="Times New Roman"/>
                <w:w w:val="95"/>
                <w:sz w:val="21"/>
              </w:rPr>
              <w:t>1</w:t>
            </w:r>
            <w:r>
              <w:rPr>
                <w:w w:val="95"/>
                <w:sz w:val="21"/>
              </w:rPr>
              <w:t>）一肢或一肢以上</w:t>
            </w:r>
            <w:r>
              <w:rPr>
                <w:b/>
                <w:w w:val="95"/>
                <w:sz w:val="21"/>
              </w:rPr>
              <w:t>肢体机能完全丧失</w:t>
            </w:r>
            <w:r>
              <w:rPr>
                <w:w w:val="95"/>
                <w:sz w:val="21"/>
              </w:rPr>
              <w:t>；</w:t>
            </w:r>
          </w:p>
          <w:p>
            <w:pPr>
              <w:pStyle w:val="TableParagraph"/>
              <w:spacing w:before="21"/>
              <w:ind w:left="111"/>
              <w:rPr>
                <w:sz w:val="21"/>
              </w:rPr>
            </w:pPr>
            <w:r>
              <w:rPr>
                <w:w w:val="95"/>
                <w:sz w:val="21"/>
              </w:rPr>
              <w:t>（</w:t>
            </w:r>
            <w:r>
              <w:rPr>
                <w:rFonts w:ascii="Times New Roman" w:eastAsia="Times New Roman"/>
                <w:w w:val="95"/>
                <w:sz w:val="21"/>
              </w:rPr>
              <w:t>2</w:t>
            </w:r>
            <w:r>
              <w:rPr>
                <w:w w:val="95"/>
                <w:sz w:val="21"/>
              </w:rPr>
              <w:t>）</w:t>
            </w:r>
            <w:r>
              <w:rPr>
                <w:b/>
                <w:w w:val="95"/>
                <w:sz w:val="21"/>
              </w:rPr>
              <w:t>语言能力或咀嚼吞咽能力</w:t>
            </w:r>
            <w:r>
              <w:rPr>
                <w:w w:val="95"/>
                <w:sz w:val="21"/>
              </w:rPr>
              <w:t>完全丧失；</w:t>
            </w:r>
          </w:p>
          <w:p>
            <w:pPr>
              <w:pStyle w:val="TableParagraph"/>
              <w:spacing w:before="21"/>
              <w:ind w:left="111"/>
              <w:rPr>
                <w:sz w:val="21"/>
              </w:rPr>
            </w:pPr>
            <w:r>
              <w:rPr>
                <w:w w:val="95"/>
                <w:sz w:val="21"/>
              </w:rPr>
              <w:t>（</w:t>
            </w:r>
            <w:r>
              <w:rPr>
                <w:rFonts w:ascii="Times New Roman" w:eastAsia="Times New Roman"/>
                <w:w w:val="95"/>
                <w:sz w:val="21"/>
              </w:rPr>
              <w:t>3</w:t>
            </w:r>
            <w:r>
              <w:rPr>
                <w:w w:val="95"/>
                <w:sz w:val="21"/>
              </w:rPr>
              <w:t>）自主生活能力完全丧失，无法独立完成</w:t>
            </w:r>
            <w:r>
              <w:rPr>
                <w:b/>
                <w:w w:val="95"/>
                <w:sz w:val="21"/>
              </w:rPr>
              <w:t>六项基本日常生活活动</w:t>
            </w:r>
            <w:r>
              <w:rPr>
                <w:w w:val="95"/>
                <w:sz w:val="21"/>
              </w:rPr>
              <w:t>中</w:t>
            </w:r>
          </w:p>
        </w:tc>
      </w:tr>
      <w:tr>
        <w:trPr>
          <w:trHeight w:val="416" w:hRule="atLeast"/>
        </w:trPr>
        <w:tc>
          <w:tcPr>
            <w:tcW w:w="706" w:type="dxa"/>
          </w:tcPr>
          <w:p>
            <w:pPr>
              <w:pStyle w:val="TableParagraph"/>
              <w:rPr>
                <w:rFonts w:ascii="Times New Roman"/>
                <w:sz w:val="20"/>
              </w:rPr>
            </w:pPr>
          </w:p>
        </w:tc>
        <w:tc>
          <w:tcPr>
            <w:tcW w:w="1871" w:type="dxa"/>
          </w:tcPr>
          <w:p>
            <w:pPr>
              <w:pStyle w:val="TableParagraph"/>
              <w:rPr>
                <w:rFonts w:ascii="Times New Roman"/>
                <w:sz w:val="20"/>
              </w:rPr>
            </w:pPr>
          </w:p>
        </w:tc>
        <w:tc>
          <w:tcPr>
            <w:tcW w:w="6797" w:type="dxa"/>
          </w:tcPr>
          <w:p>
            <w:pPr>
              <w:pStyle w:val="TableParagraph"/>
              <w:spacing w:line="255" w:lineRule="exact"/>
              <w:ind w:left="111"/>
              <w:rPr>
                <w:sz w:val="21"/>
              </w:rPr>
            </w:pPr>
            <w:r>
              <w:rPr>
                <w:sz w:val="21"/>
              </w:rPr>
              <w:t>的三项或三项以上。</w:t>
            </w:r>
          </w:p>
        </w:tc>
      </w:tr>
      <w:tr>
        <w:trPr>
          <w:trHeight w:val="440" w:hRule="atLeast"/>
        </w:trPr>
        <w:tc>
          <w:tcPr>
            <w:tcW w:w="706" w:type="dxa"/>
          </w:tcPr>
          <w:p>
            <w:pPr>
              <w:pStyle w:val="TableParagraph"/>
              <w:spacing w:before="152"/>
              <w:ind w:left="50"/>
              <w:rPr>
                <w:rFonts w:ascii="Times New Roman"/>
                <w:sz w:val="21"/>
              </w:rPr>
            </w:pPr>
            <w:r>
              <w:rPr>
                <w:rFonts w:ascii="Times New Roman"/>
                <w:sz w:val="21"/>
              </w:rPr>
              <w:t>6.4</w:t>
            </w:r>
          </w:p>
        </w:tc>
        <w:tc>
          <w:tcPr>
            <w:tcW w:w="1871" w:type="dxa"/>
          </w:tcPr>
          <w:p>
            <w:pPr>
              <w:pStyle w:val="TableParagraph"/>
              <w:spacing w:before="109"/>
              <w:ind w:left="396"/>
              <w:rPr>
                <w:b/>
                <w:sz w:val="21"/>
              </w:rPr>
            </w:pPr>
            <w:r>
              <w:rPr>
                <w:b/>
                <w:sz w:val="21"/>
              </w:rPr>
              <w:t>重大器官移植</w:t>
            </w:r>
          </w:p>
        </w:tc>
        <w:tc>
          <w:tcPr>
            <w:tcW w:w="6797" w:type="dxa"/>
          </w:tcPr>
          <w:p>
            <w:pPr>
              <w:pStyle w:val="TableParagraph"/>
              <w:spacing w:before="109"/>
              <w:ind w:left="111"/>
              <w:rPr>
                <w:sz w:val="21"/>
              </w:rPr>
            </w:pPr>
            <w:r>
              <w:rPr>
                <w:sz w:val="21"/>
              </w:rPr>
              <w:t>重大器官移植术，指因相应器官功能衰竭，已经实施了肾脏、肝脏、心</w:t>
            </w:r>
          </w:p>
        </w:tc>
      </w:tr>
      <w:tr>
        <w:trPr>
          <w:trHeight w:val="307" w:hRule="atLeast"/>
        </w:trPr>
        <w:tc>
          <w:tcPr>
            <w:tcW w:w="706" w:type="dxa"/>
          </w:tcPr>
          <w:p>
            <w:pPr>
              <w:pStyle w:val="TableParagraph"/>
              <w:rPr>
                <w:rFonts w:ascii="Times New Roman"/>
                <w:sz w:val="20"/>
              </w:rPr>
            </w:pPr>
          </w:p>
        </w:tc>
        <w:tc>
          <w:tcPr>
            <w:tcW w:w="1871" w:type="dxa"/>
          </w:tcPr>
          <w:p>
            <w:pPr>
              <w:pStyle w:val="TableParagraph"/>
              <w:spacing w:line="256" w:lineRule="exact"/>
              <w:ind w:left="396"/>
              <w:rPr>
                <w:b/>
                <w:sz w:val="21"/>
              </w:rPr>
            </w:pPr>
            <w:r>
              <w:rPr>
                <w:b/>
                <w:w w:val="95"/>
                <w:sz w:val="21"/>
              </w:rPr>
              <w:t>术或造血干细</w:t>
            </w:r>
          </w:p>
        </w:tc>
        <w:tc>
          <w:tcPr>
            <w:tcW w:w="6797" w:type="dxa"/>
          </w:tcPr>
          <w:p>
            <w:pPr>
              <w:pStyle w:val="TableParagraph"/>
              <w:spacing w:line="256" w:lineRule="exact"/>
              <w:ind w:left="111"/>
              <w:rPr>
                <w:sz w:val="21"/>
              </w:rPr>
            </w:pPr>
            <w:r>
              <w:rPr>
                <w:sz w:val="21"/>
              </w:rPr>
              <w:t>脏或肺脏的异体移植手术。</w:t>
            </w:r>
          </w:p>
        </w:tc>
      </w:tr>
      <w:tr>
        <w:trPr>
          <w:trHeight w:val="311" w:hRule="atLeast"/>
        </w:trPr>
        <w:tc>
          <w:tcPr>
            <w:tcW w:w="706" w:type="dxa"/>
          </w:tcPr>
          <w:p>
            <w:pPr>
              <w:pStyle w:val="TableParagraph"/>
              <w:rPr>
                <w:rFonts w:ascii="Times New Roman"/>
                <w:sz w:val="20"/>
              </w:rPr>
            </w:pPr>
          </w:p>
        </w:tc>
        <w:tc>
          <w:tcPr>
            <w:tcW w:w="1871" w:type="dxa"/>
          </w:tcPr>
          <w:p>
            <w:pPr>
              <w:pStyle w:val="TableParagraph"/>
              <w:spacing w:line="261" w:lineRule="exact"/>
              <w:ind w:left="396"/>
              <w:rPr>
                <w:b/>
                <w:sz w:val="21"/>
              </w:rPr>
            </w:pPr>
            <w:r>
              <w:rPr>
                <w:b/>
                <w:w w:val="95"/>
                <w:sz w:val="21"/>
              </w:rPr>
              <w:t>胞移植术</w:t>
            </w:r>
          </w:p>
        </w:tc>
        <w:tc>
          <w:tcPr>
            <w:tcW w:w="6797" w:type="dxa"/>
          </w:tcPr>
          <w:p>
            <w:pPr>
              <w:pStyle w:val="TableParagraph"/>
              <w:spacing w:line="261" w:lineRule="exact"/>
              <w:ind w:left="111"/>
              <w:rPr>
                <w:sz w:val="21"/>
              </w:rPr>
            </w:pPr>
            <w:r>
              <w:rPr>
                <w:sz w:val="21"/>
              </w:rPr>
              <w:t>造血干细胞移植术，指因造血功能损害或造血系统恶性肿瘤，已经实</w:t>
            </w:r>
          </w:p>
        </w:tc>
      </w:tr>
      <w:tr>
        <w:trPr>
          <w:trHeight w:val="312" w:hRule="atLeast"/>
        </w:trPr>
        <w:tc>
          <w:tcPr>
            <w:tcW w:w="706" w:type="dxa"/>
          </w:tcPr>
          <w:p>
            <w:pPr>
              <w:pStyle w:val="TableParagraph"/>
              <w:rPr>
                <w:rFonts w:ascii="Times New Roman"/>
                <w:sz w:val="20"/>
              </w:rPr>
            </w:pPr>
          </w:p>
        </w:tc>
        <w:tc>
          <w:tcPr>
            <w:tcW w:w="1871" w:type="dxa"/>
          </w:tcPr>
          <w:p>
            <w:pPr>
              <w:pStyle w:val="TableParagraph"/>
              <w:rPr>
                <w:rFonts w:ascii="Times New Roman"/>
                <w:sz w:val="20"/>
              </w:rPr>
            </w:pPr>
          </w:p>
        </w:tc>
        <w:tc>
          <w:tcPr>
            <w:tcW w:w="6797" w:type="dxa"/>
          </w:tcPr>
          <w:p>
            <w:pPr>
              <w:pStyle w:val="TableParagraph"/>
              <w:spacing w:line="261" w:lineRule="exact"/>
              <w:ind w:left="111"/>
              <w:rPr>
                <w:sz w:val="21"/>
              </w:rPr>
            </w:pPr>
            <w:r>
              <w:rPr>
                <w:sz w:val="21"/>
              </w:rPr>
              <w:t>施了造血干细胞（包括骨髓造血干细胞、外周血造血干细胞和脐血造血</w:t>
            </w:r>
          </w:p>
        </w:tc>
      </w:tr>
      <w:tr>
        <w:trPr>
          <w:trHeight w:val="422" w:hRule="atLeast"/>
        </w:trPr>
        <w:tc>
          <w:tcPr>
            <w:tcW w:w="706" w:type="dxa"/>
          </w:tcPr>
          <w:p>
            <w:pPr>
              <w:pStyle w:val="TableParagraph"/>
              <w:rPr>
                <w:rFonts w:ascii="Times New Roman"/>
                <w:sz w:val="20"/>
              </w:rPr>
            </w:pPr>
          </w:p>
        </w:tc>
        <w:tc>
          <w:tcPr>
            <w:tcW w:w="1871" w:type="dxa"/>
          </w:tcPr>
          <w:p>
            <w:pPr>
              <w:pStyle w:val="TableParagraph"/>
              <w:rPr>
                <w:rFonts w:ascii="Times New Roman"/>
                <w:sz w:val="20"/>
              </w:rPr>
            </w:pPr>
          </w:p>
        </w:tc>
        <w:tc>
          <w:tcPr>
            <w:tcW w:w="6797" w:type="dxa"/>
          </w:tcPr>
          <w:p>
            <w:pPr>
              <w:pStyle w:val="TableParagraph"/>
              <w:spacing w:line="261" w:lineRule="exact"/>
              <w:ind w:left="111"/>
              <w:rPr>
                <w:sz w:val="21"/>
              </w:rPr>
            </w:pPr>
            <w:r>
              <w:rPr>
                <w:sz w:val="21"/>
              </w:rPr>
              <w:t>干细胞）的异体移植手术。</w:t>
            </w:r>
          </w:p>
        </w:tc>
      </w:tr>
      <w:tr>
        <w:trPr>
          <w:trHeight w:val="439" w:hRule="atLeast"/>
        </w:trPr>
        <w:tc>
          <w:tcPr>
            <w:tcW w:w="706" w:type="dxa"/>
          </w:tcPr>
          <w:p>
            <w:pPr>
              <w:pStyle w:val="TableParagraph"/>
              <w:spacing w:before="152"/>
              <w:ind w:left="50"/>
              <w:rPr>
                <w:rFonts w:ascii="Times New Roman"/>
                <w:sz w:val="21"/>
              </w:rPr>
            </w:pPr>
            <w:r>
              <w:rPr>
                <w:rFonts w:ascii="Times New Roman"/>
                <w:sz w:val="21"/>
              </w:rPr>
              <w:t>6.5</w:t>
            </w:r>
          </w:p>
        </w:tc>
        <w:tc>
          <w:tcPr>
            <w:tcW w:w="1871" w:type="dxa"/>
          </w:tcPr>
          <w:p>
            <w:pPr>
              <w:pStyle w:val="TableParagraph"/>
              <w:spacing w:before="107"/>
              <w:ind w:left="396"/>
              <w:rPr>
                <w:b/>
                <w:sz w:val="21"/>
              </w:rPr>
            </w:pPr>
            <w:r>
              <w:rPr>
                <w:b/>
                <w:w w:val="95"/>
                <w:sz w:val="21"/>
              </w:rPr>
              <w:t>冠状动脉搭桥</w:t>
            </w:r>
          </w:p>
        </w:tc>
        <w:tc>
          <w:tcPr>
            <w:tcW w:w="6797" w:type="dxa"/>
          </w:tcPr>
          <w:p>
            <w:pPr>
              <w:pStyle w:val="TableParagraph"/>
              <w:spacing w:before="107"/>
              <w:ind w:left="111"/>
              <w:rPr>
                <w:sz w:val="21"/>
              </w:rPr>
            </w:pPr>
            <w:r>
              <w:rPr>
                <w:sz w:val="21"/>
              </w:rPr>
              <w:t>指为治疗严重的冠心病，实际实施了开胸进行的冠状动脉血管旁路移</w:t>
            </w:r>
          </w:p>
        </w:tc>
      </w:tr>
      <w:tr>
        <w:trPr>
          <w:trHeight w:val="306" w:hRule="atLeast"/>
        </w:trPr>
        <w:tc>
          <w:tcPr>
            <w:tcW w:w="706" w:type="dxa"/>
          </w:tcPr>
          <w:p>
            <w:pPr>
              <w:pStyle w:val="TableParagraph"/>
              <w:rPr>
                <w:rFonts w:ascii="Times New Roman"/>
                <w:sz w:val="20"/>
              </w:rPr>
            </w:pPr>
          </w:p>
        </w:tc>
        <w:tc>
          <w:tcPr>
            <w:tcW w:w="1871" w:type="dxa"/>
          </w:tcPr>
          <w:p>
            <w:pPr>
              <w:pStyle w:val="TableParagraph"/>
              <w:spacing w:line="255" w:lineRule="exact"/>
              <w:ind w:left="396"/>
              <w:rPr>
                <w:b/>
                <w:sz w:val="21"/>
              </w:rPr>
            </w:pPr>
            <w:r>
              <w:rPr>
                <w:b/>
                <w:sz w:val="21"/>
              </w:rPr>
              <w:t>术（ 或称冠状</w:t>
            </w:r>
          </w:p>
        </w:tc>
        <w:tc>
          <w:tcPr>
            <w:tcW w:w="6797" w:type="dxa"/>
          </w:tcPr>
          <w:p>
            <w:pPr>
              <w:pStyle w:val="TableParagraph"/>
              <w:spacing w:line="255" w:lineRule="exact"/>
              <w:ind w:left="111"/>
              <w:rPr>
                <w:sz w:val="21"/>
              </w:rPr>
            </w:pPr>
            <w:r>
              <w:rPr>
                <w:sz w:val="21"/>
              </w:rPr>
              <w:t>植的手术。</w:t>
            </w:r>
          </w:p>
        </w:tc>
      </w:tr>
      <w:tr>
        <w:trPr>
          <w:trHeight w:val="312" w:hRule="atLeast"/>
        </w:trPr>
        <w:tc>
          <w:tcPr>
            <w:tcW w:w="706" w:type="dxa"/>
          </w:tcPr>
          <w:p>
            <w:pPr>
              <w:pStyle w:val="TableParagraph"/>
              <w:rPr>
                <w:rFonts w:ascii="Times New Roman"/>
                <w:sz w:val="20"/>
              </w:rPr>
            </w:pPr>
          </w:p>
        </w:tc>
        <w:tc>
          <w:tcPr>
            <w:tcW w:w="1871" w:type="dxa"/>
          </w:tcPr>
          <w:p>
            <w:pPr>
              <w:pStyle w:val="TableParagraph"/>
              <w:spacing w:line="261" w:lineRule="exact"/>
              <w:ind w:left="396"/>
              <w:rPr>
                <w:b/>
                <w:sz w:val="21"/>
              </w:rPr>
            </w:pPr>
            <w:r>
              <w:rPr>
                <w:b/>
                <w:w w:val="95"/>
                <w:sz w:val="21"/>
              </w:rPr>
              <w:t>动脉旁路移植</w:t>
            </w:r>
          </w:p>
        </w:tc>
        <w:tc>
          <w:tcPr>
            <w:tcW w:w="6797" w:type="dxa"/>
          </w:tcPr>
          <w:p>
            <w:pPr>
              <w:pStyle w:val="TableParagraph"/>
              <w:spacing w:line="261" w:lineRule="exact"/>
              <w:ind w:left="111"/>
              <w:rPr>
                <w:sz w:val="21"/>
              </w:rPr>
            </w:pPr>
            <w:r>
              <w:rPr>
                <w:sz w:val="21"/>
              </w:rPr>
              <w:t>冠状动脉支架植入术、心导管球囊扩张术、激光射频技术及其它非开胸</w:t>
            </w:r>
          </w:p>
        </w:tc>
      </w:tr>
      <w:tr>
        <w:trPr>
          <w:trHeight w:val="462" w:hRule="atLeast"/>
        </w:trPr>
        <w:tc>
          <w:tcPr>
            <w:tcW w:w="706" w:type="dxa"/>
          </w:tcPr>
          <w:p>
            <w:pPr>
              <w:pStyle w:val="TableParagraph"/>
              <w:rPr>
                <w:rFonts w:ascii="Times New Roman"/>
                <w:sz w:val="20"/>
              </w:rPr>
            </w:pPr>
          </w:p>
        </w:tc>
        <w:tc>
          <w:tcPr>
            <w:tcW w:w="1871" w:type="dxa"/>
          </w:tcPr>
          <w:p>
            <w:pPr>
              <w:pStyle w:val="TableParagraph"/>
              <w:spacing w:line="261" w:lineRule="exact"/>
              <w:ind w:left="396"/>
              <w:rPr>
                <w:b/>
                <w:sz w:val="21"/>
              </w:rPr>
            </w:pPr>
            <w:r>
              <w:rPr>
                <w:b/>
                <w:w w:val="95"/>
                <w:sz w:val="21"/>
              </w:rPr>
              <w:t>术）</w:t>
            </w:r>
          </w:p>
        </w:tc>
        <w:tc>
          <w:tcPr>
            <w:tcW w:w="6797" w:type="dxa"/>
          </w:tcPr>
          <w:p>
            <w:pPr>
              <w:pStyle w:val="TableParagraph"/>
              <w:spacing w:line="261" w:lineRule="exact"/>
              <w:ind w:left="111"/>
              <w:rPr>
                <w:sz w:val="21"/>
              </w:rPr>
            </w:pPr>
            <w:r>
              <w:rPr>
                <w:sz w:val="21"/>
              </w:rPr>
              <w:t>的介入手术、腔镜手术不在保障范围内。</w:t>
            </w:r>
          </w:p>
        </w:tc>
      </w:tr>
      <w:tr>
        <w:trPr>
          <w:trHeight w:val="791" w:hRule="atLeast"/>
        </w:trPr>
        <w:tc>
          <w:tcPr>
            <w:tcW w:w="706" w:type="dxa"/>
          </w:tcPr>
          <w:p>
            <w:pPr>
              <w:pStyle w:val="TableParagraph"/>
              <w:spacing w:before="192"/>
              <w:ind w:left="50"/>
              <w:rPr>
                <w:rFonts w:ascii="Times New Roman"/>
                <w:sz w:val="21"/>
              </w:rPr>
            </w:pPr>
            <w:r>
              <w:rPr>
                <w:rFonts w:ascii="Times New Roman"/>
                <w:sz w:val="21"/>
              </w:rPr>
              <w:t>6.6</w:t>
            </w:r>
          </w:p>
        </w:tc>
        <w:tc>
          <w:tcPr>
            <w:tcW w:w="1871" w:type="dxa"/>
          </w:tcPr>
          <w:p>
            <w:pPr>
              <w:pStyle w:val="TableParagraph"/>
              <w:spacing w:before="147"/>
              <w:ind w:left="396"/>
              <w:rPr>
                <w:b/>
                <w:sz w:val="21"/>
              </w:rPr>
            </w:pPr>
            <w:r>
              <w:rPr>
                <w:b/>
                <w:spacing w:val="-14"/>
                <w:sz w:val="21"/>
              </w:rPr>
              <w:t>终 末 期 肾 病</w:t>
            </w:r>
          </w:p>
          <w:p>
            <w:pPr>
              <w:pStyle w:val="TableParagraph"/>
              <w:spacing w:before="36"/>
              <w:ind w:left="396"/>
              <w:rPr>
                <w:b/>
                <w:sz w:val="21"/>
              </w:rPr>
            </w:pPr>
            <w:r>
              <w:rPr>
                <w:b/>
                <w:sz w:val="21"/>
              </w:rPr>
              <w:t>（ 或称慢性肾</w:t>
            </w:r>
          </w:p>
        </w:tc>
        <w:tc>
          <w:tcPr>
            <w:tcW w:w="6797" w:type="dxa"/>
          </w:tcPr>
          <w:p>
            <w:pPr>
              <w:pStyle w:val="TableParagraph"/>
              <w:spacing w:line="320" w:lineRule="atLeast" w:before="102"/>
              <w:ind w:left="111" w:right="268"/>
              <w:rPr>
                <w:sz w:val="21"/>
              </w:rPr>
            </w:pPr>
            <w:r>
              <w:rPr>
                <w:sz w:val="21"/>
              </w:rPr>
              <w:t>指双肾功能慢性不可逆性衰竭，达到尿毒症期，经诊断后已经进行了至少 </w:t>
            </w:r>
            <w:r>
              <w:rPr>
                <w:rFonts w:ascii="Times New Roman" w:eastAsia="Times New Roman"/>
                <w:sz w:val="21"/>
              </w:rPr>
              <w:t>90 </w:t>
            </w:r>
            <w:r>
              <w:rPr>
                <w:sz w:val="21"/>
              </w:rPr>
              <w:t>天的规律性透析治疗或实施了肾脏移植手术。</w:t>
            </w:r>
          </w:p>
        </w:tc>
      </w:tr>
      <w:tr>
        <w:trPr>
          <w:trHeight w:val="306" w:hRule="atLeast"/>
        </w:trPr>
        <w:tc>
          <w:tcPr>
            <w:tcW w:w="706" w:type="dxa"/>
          </w:tcPr>
          <w:p>
            <w:pPr>
              <w:pStyle w:val="TableParagraph"/>
              <w:rPr>
                <w:rFonts w:ascii="Times New Roman"/>
                <w:sz w:val="20"/>
              </w:rPr>
            </w:pPr>
          </w:p>
        </w:tc>
        <w:tc>
          <w:tcPr>
            <w:tcW w:w="1871" w:type="dxa"/>
          </w:tcPr>
          <w:p>
            <w:pPr>
              <w:pStyle w:val="TableParagraph"/>
              <w:spacing w:line="255" w:lineRule="exact"/>
              <w:ind w:left="396"/>
              <w:rPr>
                <w:b/>
                <w:sz w:val="21"/>
              </w:rPr>
            </w:pPr>
            <w:r>
              <w:rPr>
                <w:b/>
                <w:w w:val="95"/>
                <w:sz w:val="21"/>
              </w:rPr>
              <w:t>功能衰竭尿毒</w:t>
            </w:r>
          </w:p>
        </w:tc>
        <w:tc>
          <w:tcPr>
            <w:tcW w:w="6797" w:type="dxa"/>
          </w:tcPr>
          <w:p>
            <w:pPr>
              <w:pStyle w:val="TableParagraph"/>
              <w:rPr>
                <w:rFonts w:ascii="Times New Roman"/>
                <w:sz w:val="20"/>
              </w:rPr>
            </w:pPr>
          </w:p>
        </w:tc>
      </w:tr>
      <w:tr>
        <w:trPr>
          <w:trHeight w:val="462" w:hRule="atLeast"/>
        </w:trPr>
        <w:tc>
          <w:tcPr>
            <w:tcW w:w="706" w:type="dxa"/>
          </w:tcPr>
          <w:p>
            <w:pPr>
              <w:pStyle w:val="TableParagraph"/>
              <w:rPr>
                <w:rFonts w:ascii="Times New Roman"/>
                <w:sz w:val="20"/>
              </w:rPr>
            </w:pPr>
          </w:p>
        </w:tc>
        <w:tc>
          <w:tcPr>
            <w:tcW w:w="1871" w:type="dxa"/>
          </w:tcPr>
          <w:p>
            <w:pPr>
              <w:pStyle w:val="TableParagraph"/>
              <w:spacing w:line="261" w:lineRule="exact"/>
              <w:ind w:left="396"/>
              <w:rPr>
                <w:b/>
                <w:sz w:val="21"/>
              </w:rPr>
            </w:pPr>
            <w:r>
              <w:rPr>
                <w:b/>
                <w:w w:val="95"/>
                <w:sz w:val="21"/>
              </w:rPr>
              <w:t>症期）</w:t>
            </w:r>
          </w:p>
        </w:tc>
        <w:tc>
          <w:tcPr>
            <w:tcW w:w="6797" w:type="dxa"/>
          </w:tcPr>
          <w:p>
            <w:pPr>
              <w:pStyle w:val="TableParagraph"/>
              <w:rPr>
                <w:rFonts w:ascii="Times New Roman"/>
                <w:sz w:val="20"/>
              </w:rPr>
            </w:pPr>
          </w:p>
        </w:tc>
      </w:tr>
      <w:tr>
        <w:trPr>
          <w:trHeight w:val="479" w:hRule="atLeast"/>
        </w:trPr>
        <w:tc>
          <w:tcPr>
            <w:tcW w:w="706" w:type="dxa"/>
          </w:tcPr>
          <w:p>
            <w:pPr>
              <w:pStyle w:val="TableParagraph"/>
              <w:spacing w:before="192"/>
              <w:ind w:left="50"/>
              <w:rPr>
                <w:rFonts w:ascii="Times New Roman"/>
                <w:sz w:val="21"/>
              </w:rPr>
            </w:pPr>
            <w:r>
              <w:rPr>
                <w:rFonts w:ascii="Times New Roman"/>
                <w:sz w:val="21"/>
              </w:rPr>
              <w:t>6.7</w:t>
            </w:r>
          </w:p>
        </w:tc>
        <w:tc>
          <w:tcPr>
            <w:tcW w:w="1871" w:type="dxa"/>
          </w:tcPr>
          <w:p>
            <w:pPr>
              <w:pStyle w:val="TableParagraph"/>
              <w:spacing w:before="147"/>
              <w:ind w:left="396"/>
              <w:rPr>
                <w:b/>
                <w:sz w:val="21"/>
              </w:rPr>
            </w:pPr>
            <w:r>
              <w:rPr>
                <w:b/>
                <w:w w:val="95"/>
                <w:sz w:val="21"/>
              </w:rPr>
              <w:t>多个肢体缺失</w:t>
            </w:r>
          </w:p>
        </w:tc>
        <w:tc>
          <w:tcPr>
            <w:tcW w:w="6797" w:type="dxa"/>
          </w:tcPr>
          <w:p>
            <w:pPr>
              <w:pStyle w:val="TableParagraph"/>
              <w:spacing w:before="147"/>
              <w:ind w:left="111"/>
              <w:rPr>
                <w:sz w:val="21"/>
              </w:rPr>
            </w:pPr>
            <w:r>
              <w:rPr>
                <w:sz w:val="21"/>
              </w:rPr>
              <w:t>指因疾病或意外伤害导致两个或两个以上肢体自腕关节或踝关节近端</w:t>
            </w:r>
          </w:p>
        </w:tc>
      </w:tr>
      <w:tr>
        <w:trPr>
          <w:trHeight w:val="456" w:hRule="atLeast"/>
        </w:trPr>
        <w:tc>
          <w:tcPr>
            <w:tcW w:w="706" w:type="dxa"/>
          </w:tcPr>
          <w:p>
            <w:pPr>
              <w:pStyle w:val="TableParagraph"/>
              <w:rPr>
                <w:rFonts w:ascii="Times New Roman"/>
                <w:sz w:val="20"/>
              </w:rPr>
            </w:pPr>
          </w:p>
        </w:tc>
        <w:tc>
          <w:tcPr>
            <w:tcW w:w="1871" w:type="dxa"/>
          </w:tcPr>
          <w:p>
            <w:pPr>
              <w:pStyle w:val="TableParagraph"/>
              <w:rPr>
                <w:rFonts w:ascii="Times New Roman"/>
                <w:sz w:val="20"/>
              </w:rPr>
            </w:pPr>
          </w:p>
        </w:tc>
        <w:tc>
          <w:tcPr>
            <w:tcW w:w="6797" w:type="dxa"/>
          </w:tcPr>
          <w:p>
            <w:pPr>
              <w:pStyle w:val="TableParagraph"/>
              <w:spacing w:line="255" w:lineRule="exact"/>
              <w:ind w:left="111"/>
              <w:rPr>
                <w:sz w:val="21"/>
              </w:rPr>
            </w:pPr>
            <w:r>
              <w:rPr>
                <w:sz w:val="21"/>
              </w:rPr>
              <w:t>（靠近躯干端）以上完全性断离。</w:t>
            </w:r>
          </w:p>
        </w:tc>
      </w:tr>
      <w:tr>
        <w:trPr>
          <w:trHeight w:val="434" w:hRule="atLeast"/>
        </w:trPr>
        <w:tc>
          <w:tcPr>
            <w:tcW w:w="706" w:type="dxa"/>
          </w:tcPr>
          <w:p>
            <w:pPr>
              <w:pStyle w:val="TableParagraph"/>
              <w:spacing w:line="221" w:lineRule="exact" w:before="192"/>
              <w:ind w:left="50"/>
              <w:rPr>
                <w:rFonts w:ascii="Times New Roman"/>
                <w:sz w:val="21"/>
              </w:rPr>
            </w:pPr>
            <w:r>
              <w:rPr>
                <w:rFonts w:ascii="Times New Roman"/>
                <w:sz w:val="21"/>
              </w:rPr>
              <w:t>6.8</w:t>
            </w:r>
          </w:p>
        </w:tc>
        <w:tc>
          <w:tcPr>
            <w:tcW w:w="1871" w:type="dxa"/>
          </w:tcPr>
          <w:p>
            <w:pPr>
              <w:pStyle w:val="TableParagraph"/>
              <w:spacing w:line="267" w:lineRule="exact" w:before="147"/>
              <w:ind w:left="396"/>
              <w:rPr>
                <w:b/>
                <w:sz w:val="21"/>
              </w:rPr>
            </w:pPr>
            <w:r>
              <w:rPr>
                <w:b/>
                <w:w w:val="95"/>
                <w:sz w:val="21"/>
              </w:rPr>
              <w:t>急性或亚急性</w:t>
            </w:r>
          </w:p>
        </w:tc>
        <w:tc>
          <w:tcPr>
            <w:tcW w:w="6797" w:type="dxa"/>
          </w:tcPr>
          <w:p>
            <w:pPr>
              <w:pStyle w:val="TableParagraph"/>
              <w:spacing w:line="267" w:lineRule="exact" w:before="147"/>
              <w:ind w:left="111"/>
              <w:rPr>
                <w:sz w:val="21"/>
              </w:rPr>
            </w:pPr>
            <w:r>
              <w:rPr>
                <w:sz w:val="21"/>
              </w:rPr>
              <w:t>指因肝炎病毒感染引起肝脏组织弥漫性坏死，导致急性肝功能衰竭，</w:t>
            </w:r>
          </w:p>
        </w:tc>
      </w:tr>
    </w:tbl>
    <w:p>
      <w:pPr>
        <w:spacing w:after="0" w:line="267" w:lineRule="exact"/>
        <w:rPr>
          <w:sz w:val="21"/>
        </w:rPr>
        <w:sectPr>
          <w:pgSz w:w="11900" w:h="16840"/>
          <w:pgMar w:header="0" w:footer="866" w:top="1280" w:bottom="1060" w:left="1560" w:right="74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9"/>
        <w:gridCol w:w="1817"/>
        <w:gridCol w:w="6798"/>
      </w:tblGrid>
      <w:tr>
        <w:trPr>
          <w:trHeight w:val="255" w:hRule="atLeast"/>
        </w:trPr>
        <w:tc>
          <w:tcPr>
            <w:tcW w:w="759" w:type="dxa"/>
          </w:tcPr>
          <w:p>
            <w:pPr>
              <w:pStyle w:val="TableParagraph"/>
              <w:rPr>
                <w:rFonts w:ascii="Times New Roman"/>
                <w:sz w:val="18"/>
              </w:rPr>
            </w:pPr>
          </w:p>
        </w:tc>
        <w:tc>
          <w:tcPr>
            <w:tcW w:w="1817" w:type="dxa"/>
          </w:tcPr>
          <w:p>
            <w:pPr>
              <w:pStyle w:val="TableParagraph"/>
              <w:spacing w:line="204" w:lineRule="exact"/>
              <w:ind w:left="342"/>
              <w:rPr>
                <w:b/>
                <w:sz w:val="21"/>
              </w:rPr>
            </w:pPr>
            <w:r>
              <w:rPr>
                <w:b/>
                <w:w w:val="95"/>
                <w:sz w:val="21"/>
              </w:rPr>
              <w:t>重症肝炎</w:t>
            </w:r>
          </w:p>
        </w:tc>
        <w:tc>
          <w:tcPr>
            <w:tcW w:w="6798" w:type="dxa"/>
          </w:tcPr>
          <w:p>
            <w:pPr>
              <w:pStyle w:val="TableParagraph"/>
              <w:spacing w:line="204" w:lineRule="exact"/>
              <w:ind w:left="110"/>
              <w:rPr>
                <w:sz w:val="21"/>
              </w:rPr>
            </w:pPr>
            <w:r>
              <w:rPr>
                <w:sz w:val="21"/>
              </w:rPr>
              <w:t>且经血清学或病毒学检查证实，并须满足下列全部条件：</w:t>
            </w:r>
          </w:p>
        </w:tc>
      </w:tr>
      <w:tr>
        <w:trPr>
          <w:trHeight w:val="317" w:hRule="atLeast"/>
        </w:trPr>
        <w:tc>
          <w:tcPr>
            <w:tcW w:w="759" w:type="dxa"/>
          </w:tcPr>
          <w:p>
            <w:pPr>
              <w:pStyle w:val="TableParagraph"/>
              <w:rPr>
                <w:rFonts w:ascii="Times New Roman"/>
                <w:sz w:val="20"/>
              </w:rPr>
            </w:pPr>
          </w:p>
        </w:tc>
        <w:tc>
          <w:tcPr>
            <w:tcW w:w="1817" w:type="dxa"/>
          </w:tcPr>
          <w:p>
            <w:pPr>
              <w:pStyle w:val="TableParagraph"/>
              <w:rPr>
                <w:rFonts w:ascii="Times New Roman"/>
                <w:sz w:val="20"/>
              </w:rPr>
            </w:pPr>
          </w:p>
        </w:tc>
        <w:tc>
          <w:tcPr>
            <w:tcW w:w="6798" w:type="dxa"/>
          </w:tcPr>
          <w:p>
            <w:pPr>
              <w:pStyle w:val="TableParagraph"/>
              <w:spacing w:line="276" w:lineRule="exact"/>
              <w:ind w:left="110"/>
              <w:rPr>
                <w:sz w:val="21"/>
              </w:rPr>
            </w:pPr>
            <w:r>
              <w:rPr>
                <w:sz w:val="21"/>
              </w:rPr>
              <w:t>（</w:t>
            </w:r>
            <w:r>
              <w:rPr>
                <w:rFonts w:ascii="Times New Roman" w:eastAsia="Times New Roman"/>
                <w:sz w:val="21"/>
              </w:rPr>
              <w:t>1</w:t>
            </w:r>
            <w:r>
              <w:rPr>
                <w:sz w:val="21"/>
              </w:rPr>
              <w:t>）重度黄疸或黄疸迅速加重；</w:t>
            </w:r>
          </w:p>
        </w:tc>
      </w:tr>
      <w:tr>
        <w:trPr>
          <w:trHeight w:val="311" w:hRule="atLeast"/>
        </w:trPr>
        <w:tc>
          <w:tcPr>
            <w:tcW w:w="759" w:type="dxa"/>
          </w:tcPr>
          <w:p>
            <w:pPr>
              <w:pStyle w:val="TableParagraph"/>
              <w:rPr>
                <w:rFonts w:ascii="Times New Roman"/>
                <w:sz w:val="20"/>
              </w:rPr>
            </w:pPr>
          </w:p>
        </w:tc>
        <w:tc>
          <w:tcPr>
            <w:tcW w:w="1817" w:type="dxa"/>
          </w:tcPr>
          <w:p>
            <w:pPr>
              <w:pStyle w:val="TableParagraph"/>
              <w:rPr>
                <w:rFonts w:ascii="Times New Roman"/>
                <w:sz w:val="20"/>
              </w:rPr>
            </w:pPr>
          </w:p>
        </w:tc>
        <w:tc>
          <w:tcPr>
            <w:tcW w:w="6798" w:type="dxa"/>
          </w:tcPr>
          <w:p>
            <w:pPr>
              <w:pStyle w:val="TableParagraph"/>
              <w:spacing w:line="270" w:lineRule="exact"/>
              <w:ind w:left="110"/>
              <w:rPr>
                <w:sz w:val="21"/>
              </w:rPr>
            </w:pPr>
            <w:r>
              <w:rPr>
                <w:sz w:val="21"/>
              </w:rPr>
              <w:t>（</w:t>
            </w:r>
            <w:r>
              <w:rPr>
                <w:rFonts w:ascii="Times New Roman" w:eastAsia="Times New Roman"/>
                <w:sz w:val="21"/>
              </w:rPr>
              <w:t>2</w:t>
            </w:r>
            <w:r>
              <w:rPr>
                <w:sz w:val="21"/>
              </w:rPr>
              <w:t>）肝性脑病；</w:t>
            </w:r>
          </w:p>
        </w:tc>
      </w:tr>
      <w:tr>
        <w:trPr>
          <w:trHeight w:val="311" w:hRule="atLeast"/>
        </w:trPr>
        <w:tc>
          <w:tcPr>
            <w:tcW w:w="759" w:type="dxa"/>
          </w:tcPr>
          <w:p>
            <w:pPr>
              <w:pStyle w:val="TableParagraph"/>
              <w:rPr>
                <w:rFonts w:ascii="Times New Roman"/>
                <w:sz w:val="20"/>
              </w:rPr>
            </w:pPr>
          </w:p>
        </w:tc>
        <w:tc>
          <w:tcPr>
            <w:tcW w:w="1817" w:type="dxa"/>
          </w:tcPr>
          <w:p>
            <w:pPr>
              <w:pStyle w:val="TableParagraph"/>
              <w:rPr>
                <w:rFonts w:ascii="Times New Roman"/>
                <w:sz w:val="20"/>
              </w:rPr>
            </w:pPr>
          </w:p>
        </w:tc>
        <w:tc>
          <w:tcPr>
            <w:tcW w:w="6798" w:type="dxa"/>
          </w:tcPr>
          <w:p>
            <w:pPr>
              <w:pStyle w:val="TableParagraph"/>
              <w:spacing w:line="270" w:lineRule="exact"/>
              <w:ind w:left="110"/>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tc>
      </w:tr>
      <w:tr>
        <w:trPr>
          <w:trHeight w:val="428" w:hRule="atLeast"/>
        </w:trPr>
        <w:tc>
          <w:tcPr>
            <w:tcW w:w="759" w:type="dxa"/>
          </w:tcPr>
          <w:p>
            <w:pPr>
              <w:pStyle w:val="TableParagraph"/>
              <w:rPr>
                <w:rFonts w:ascii="Times New Roman"/>
                <w:sz w:val="20"/>
              </w:rPr>
            </w:pPr>
          </w:p>
        </w:tc>
        <w:tc>
          <w:tcPr>
            <w:tcW w:w="1817" w:type="dxa"/>
          </w:tcPr>
          <w:p>
            <w:pPr>
              <w:pStyle w:val="TableParagraph"/>
              <w:rPr>
                <w:rFonts w:ascii="Times New Roman"/>
                <w:sz w:val="20"/>
              </w:rPr>
            </w:pPr>
          </w:p>
        </w:tc>
        <w:tc>
          <w:tcPr>
            <w:tcW w:w="6798" w:type="dxa"/>
          </w:tcPr>
          <w:p>
            <w:pPr>
              <w:pStyle w:val="TableParagraph"/>
              <w:spacing w:line="270" w:lineRule="exact"/>
              <w:ind w:left="110"/>
              <w:rPr>
                <w:sz w:val="21"/>
              </w:rPr>
            </w:pPr>
            <w:r>
              <w:rPr>
                <w:sz w:val="21"/>
              </w:rPr>
              <w:t>（</w:t>
            </w:r>
            <w:r>
              <w:rPr>
                <w:rFonts w:ascii="Times New Roman" w:eastAsia="Times New Roman"/>
                <w:sz w:val="21"/>
              </w:rPr>
              <w:t>4</w:t>
            </w:r>
            <w:r>
              <w:rPr>
                <w:sz w:val="21"/>
              </w:rPr>
              <w:t>）肝功能指标进行性恶化。</w:t>
            </w:r>
          </w:p>
        </w:tc>
      </w:tr>
      <w:tr>
        <w:trPr>
          <w:trHeight w:val="434" w:hRule="atLeast"/>
        </w:trPr>
        <w:tc>
          <w:tcPr>
            <w:tcW w:w="759" w:type="dxa"/>
          </w:tcPr>
          <w:p>
            <w:pPr>
              <w:pStyle w:val="TableParagraph"/>
              <w:spacing w:before="140"/>
              <w:ind w:left="50"/>
              <w:rPr>
                <w:rFonts w:ascii="Times New Roman"/>
                <w:sz w:val="21"/>
              </w:rPr>
            </w:pPr>
            <w:r>
              <w:rPr>
                <w:rFonts w:ascii="Times New Roman"/>
                <w:sz w:val="21"/>
              </w:rPr>
              <w:t>6.9</w:t>
            </w:r>
          </w:p>
        </w:tc>
        <w:tc>
          <w:tcPr>
            <w:tcW w:w="1817" w:type="dxa"/>
          </w:tcPr>
          <w:p>
            <w:pPr>
              <w:pStyle w:val="TableParagraph"/>
              <w:spacing w:before="97"/>
              <w:ind w:left="342"/>
              <w:rPr>
                <w:b/>
                <w:sz w:val="21"/>
              </w:rPr>
            </w:pPr>
            <w:r>
              <w:rPr>
                <w:b/>
                <w:w w:val="95"/>
                <w:sz w:val="21"/>
              </w:rPr>
              <w:t>良性脑肿瘤</w:t>
            </w:r>
          </w:p>
        </w:tc>
        <w:tc>
          <w:tcPr>
            <w:tcW w:w="6798" w:type="dxa"/>
          </w:tcPr>
          <w:p>
            <w:pPr>
              <w:pStyle w:val="TableParagraph"/>
              <w:spacing w:before="97"/>
              <w:ind w:left="110"/>
              <w:rPr>
                <w:sz w:val="21"/>
              </w:rPr>
            </w:pPr>
            <w:r>
              <w:rPr>
                <w:sz w:val="21"/>
              </w:rPr>
              <w:t>指脑的良性肿瘤，已经引起颅内压增高，临床表现为视神经乳头水肿、</w:t>
            </w:r>
          </w:p>
        </w:tc>
      </w:tr>
      <w:tr>
        <w:trPr>
          <w:trHeight w:val="300" w:hRule="atLeast"/>
        </w:trPr>
        <w:tc>
          <w:tcPr>
            <w:tcW w:w="759" w:type="dxa"/>
          </w:tcPr>
          <w:p>
            <w:pPr>
              <w:pStyle w:val="TableParagraph"/>
              <w:rPr>
                <w:rFonts w:ascii="Times New Roman"/>
                <w:sz w:val="20"/>
              </w:rPr>
            </w:pPr>
          </w:p>
        </w:tc>
        <w:tc>
          <w:tcPr>
            <w:tcW w:w="1817" w:type="dxa"/>
          </w:tcPr>
          <w:p>
            <w:pPr>
              <w:pStyle w:val="TableParagraph"/>
              <w:rPr>
                <w:rFonts w:ascii="Times New Roman"/>
                <w:sz w:val="20"/>
              </w:rPr>
            </w:pPr>
          </w:p>
        </w:tc>
        <w:tc>
          <w:tcPr>
            <w:tcW w:w="6798" w:type="dxa"/>
          </w:tcPr>
          <w:p>
            <w:pPr>
              <w:pStyle w:val="TableParagraph"/>
              <w:spacing w:line="250" w:lineRule="exact"/>
              <w:ind w:left="110"/>
              <w:rPr>
                <w:sz w:val="21"/>
              </w:rPr>
            </w:pPr>
            <w:r>
              <w:rPr>
                <w:sz w:val="21"/>
              </w:rPr>
              <w:t>精神症状、癫痫及运动感觉障碍等，并危及生命。须由头颅断层扫描</w:t>
            </w:r>
          </w:p>
        </w:tc>
      </w:tr>
      <w:tr>
        <w:trPr>
          <w:trHeight w:val="323" w:hRule="atLeast"/>
        </w:trPr>
        <w:tc>
          <w:tcPr>
            <w:tcW w:w="759" w:type="dxa"/>
          </w:tcPr>
          <w:p>
            <w:pPr>
              <w:pStyle w:val="TableParagraph"/>
              <w:rPr>
                <w:rFonts w:ascii="Times New Roman"/>
                <w:sz w:val="20"/>
              </w:rPr>
            </w:pPr>
          </w:p>
        </w:tc>
        <w:tc>
          <w:tcPr>
            <w:tcW w:w="1817" w:type="dxa"/>
          </w:tcPr>
          <w:p>
            <w:pPr>
              <w:pStyle w:val="TableParagraph"/>
              <w:rPr>
                <w:rFonts w:ascii="Times New Roman"/>
                <w:sz w:val="20"/>
              </w:rPr>
            </w:pPr>
          </w:p>
        </w:tc>
        <w:tc>
          <w:tcPr>
            <w:tcW w:w="6798" w:type="dxa"/>
          </w:tcPr>
          <w:p>
            <w:pPr>
              <w:pStyle w:val="TableParagraph"/>
              <w:spacing w:line="267" w:lineRule="exact"/>
              <w:ind w:left="110"/>
              <w:rPr>
                <w:sz w:val="21"/>
              </w:rPr>
            </w:pPr>
            <w:r>
              <w:rPr>
                <w:sz w:val="21"/>
              </w:rPr>
              <w:t>（</w:t>
            </w:r>
            <w:r>
              <w:rPr>
                <w:rFonts w:ascii="Times New Roman" w:eastAsia="Times New Roman"/>
                <w:position w:val="1"/>
                <w:sz w:val="21"/>
              </w:rPr>
              <w:t>CT</w:t>
            </w:r>
            <w:r>
              <w:rPr>
                <w:sz w:val="21"/>
              </w:rPr>
              <w:t>）、核磁共振检查（</w:t>
            </w:r>
            <w:r>
              <w:rPr>
                <w:rFonts w:ascii="Times New Roman" w:eastAsia="Times New Roman"/>
                <w:position w:val="1"/>
                <w:sz w:val="21"/>
              </w:rPr>
              <w:t>MRI</w:t>
            </w:r>
            <w:r>
              <w:rPr>
                <w:sz w:val="21"/>
              </w:rPr>
              <w:t>）或正电子发射断层扫描（</w:t>
            </w:r>
            <w:r>
              <w:rPr>
                <w:rFonts w:ascii="Times New Roman" w:eastAsia="Times New Roman"/>
                <w:position w:val="1"/>
                <w:sz w:val="21"/>
              </w:rPr>
              <w:t>PET</w:t>
            </w:r>
            <w:r>
              <w:rPr>
                <w:sz w:val="21"/>
              </w:rPr>
              <w:t>）等影像</w:t>
            </w:r>
          </w:p>
        </w:tc>
      </w:tr>
      <w:tr>
        <w:trPr>
          <w:trHeight w:val="300" w:hRule="atLeast"/>
        </w:trPr>
        <w:tc>
          <w:tcPr>
            <w:tcW w:w="759" w:type="dxa"/>
          </w:tcPr>
          <w:p>
            <w:pPr>
              <w:pStyle w:val="TableParagraph"/>
              <w:rPr>
                <w:rFonts w:ascii="Times New Roman"/>
                <w:sz w:val="20"/>
              </w:rPr>
            </w:pPr>
          </w:p>
        </w:tc>
        <w:tc>
          <w:tcPr>
            <w:tcW w:w="1817" w:type="dxa"/>
          </w:tcPr>
          <w:p>
            <w:pPr>
              <w:pStyle w:val="TableParagraph"/>
              <w:rPr>
                <w:rFonts w:ascii="Times New Roman"/>
                <w:sz w:val="20"/>
              </w:rPr>
            </w:pPr>
          </w:p>
        </w:tc>
        <w:tc>
          <w:tcPr>
            <w:tcW w:w="6798" w:type="dxa"/>
          </w:tcPr>
          <w:p>
            <w:pPr>
              <w:pStyle w:val="TableParagraph"/>
              <w:spacing w:line="250" w:lineRule="exact"/>
              <w:ind w:left="110"/>
              <w:rPr>
                <w:sz w:val="21"/>
              </w:rPr>
            </w:pPr>
            <w:r>
              <w:rPr>
                <w:sz w:val="21"/>
              </w:rPr>
              <w:t>学检查证实，并须满足下列至少一项条件：</w:t>
            </w:r>
          </w:p>
        </w:tc>
      </w:tr>
      <w:tr>
        <w:trPr>
          <w:trHeight w:val="316" w:hRule="atLeast"/>
        </w:trPr>
        <w:tc>
          <w:tcPr>
            <w:tcW w:w="759" w:type="dxa"/>
          </w:tcPr>
          <w:p>
            <w:pPr>
              <w:pStyle w:val="TableParagraph"/>
              <w:rPr>
                <w:rFonts w:ascii="Times New Roman"/>
                <w:sz w:val="20"/>
              </w:rPr>
            </w:pPr>
          </w:p>
        </w:tc>
        <w:tc>
          <w:tcPr>
            <w:tcW w:w="1817" w:type="dxa"/>
          </w:tcPr>
          <w:p>
            <w:pPr>
              <w:pStyle w:val="TableParagraph"/>
              <w:rPr>
                <w:rFonts w:ascii="Times New Roman"/>
                <w:sz w:val="20"/>
              </w:rPr>
            </w:pPr>
          </w:p>
        </w:tc>
        <w:tc>
          <w:tcPr>
            <w:tcW w:w="6798" w:type="dxa"/>
          </w:tcPr>
          <w:p>
            <w:pPr>
              <w:pStyle w:val="TableParagraph"/>
              <w:spacing w:line="267" w:lineRule="exact"/>
              <w:ind w:left="110"/>
              <w:rPr>
                <w:sz w:val="21"/>
              </w:rPr>
            </w:pPr>
            <w:r>
              <w:rPr>
                <w:sz w:val="21"/>
              </w:rPr>
              <w:t>（</w:t>
            </w:r>
            <w:r>
              <w:rPr>
                <w:rFonts w:ascii="Times New Roman" w:eastAsia="Times New Roman"/>
                <w:position w:val="1"/>
                <w:sz w:val="21"/>
              </w:rPr>
              <w:t>1</w:t>
            </w:r>
            <w:r>
              <w:rPr>
                <w:sz w:val="21"/>
              </w:rPr>
              <w:t>）实际实施了开颅进行的脑肿瘤完全切除或部分切除的手术；</w:t>
            </w:r>
          </w:p>
        </w:tc>
      </w:tr>
      <w:tr>
        <w:trPr>
          <w:trHeight w:val="318" w:hRule="atLeast"/>
        </w:trPr>
        <w:tc>
          <w:tcPr>
            <w:tcW w:w="759" w:type="dxa"/>
          </w:tcPr>
          <w:p>
            <w:pPr>
              <w:pStyle w:val="TableParagraph"/>
              <w:rPr>
                <w:rFonts w:ascii="Times New Roman"/>
                <w:sz w:val="20"/>
              </w:rPr>
            </w:pPr>
          </w:p>
        </w:tc>
        <w:tc>
          <w:tcPr>
            <w:tcW w:w="1817" w:type="dxa"/>
          </w:tcPr>
          <w:p>
            <w:pPr>
              <w:pStyle w:val="TableParagraph"/>
              <w:rPr>
                <w:rFonts w:ascii="Times New Roman"/>
                <w:sz w:val="20"/>
              </w:rPr>
            </w:pPr>
          </w:p>
        </w:tc>
        <w:tc>
          <w:tcPr>
            <w:tcW w:w="6798" w:type="dxa"/>
          </w:tcPr>
          <w:p>
            <w:pPr>
              <w:pStyle w:val="TableParagraph"/>
              <w:spacing w:line="262" w:lineRule="exact"/>
              <w:ind w:left="110"/>
              <w:rPr>
                <w:sz w:val="21"/>
              </w:rPr>
            </w:pPr>
            <w:r>
              <w:rPr>
                <w:sz w:val="21"/>
              </w:rPr>
              <w:t>（</w:t>
            </w:r>
            <w:r>
              <w:rPr>
                <w:rFonts w:ascii="Times New Roman" w:eastAsia="Times New Roman"/>
                <w:position w:val="1"/>
                <w:sz w:val="21"/>
              </w:rPr>
              <w:t>2</w:t>
            </w:r>
            <w:r>
              <w:rPr>
                <w:sz w:val="21"/>
              </w:rPr>
              <w:t>）实际实施了对脑肿瘤进行的放射治疗。</w:t>
            </w:r>
          </w:p>
        </w:tc>
      </w:tr>
      <w:tr>
        <w:trPr>
          <w:trHeight w:val="456" w:hRule="atLeast"/>
        </w:trPr>
        <w:tc>
          <w:tcPr>
            <w:tcW w:w="759" w:type="dxa"/>
          </w:tcPr>
          <w:p>
            <w:pPr>
              <w:pStyle w:val="TableParagraph"/>
              <w:rPr>
                <w:rFonts w:ascii="Times New Roman"/>
                <w:sz w:val="20"/>
              </w:rPr>
            </w:pPr>
          </w:p>
        </w:tc>
        <w:tc>
          <w:tcPr>
            <w:tcW w:w="1817" w:type="dxa"/>
          </w:tcPr>
          <w:p>
            <w:pPr>
              <w:pStyle w:val="TableParagraph"/>
              <w:rPr>
                <w:rFonts w:ascii="Times New Roman"/>
                <w:sz w:val="20"/>
              </w:rPr>
            </w:pPr>
          </w:p>
        </w:tc>
        <w:tc>
          <w:tcPr>
            <w:tcW w:w="6798" w:type="dxa"/>
          </w:tcPr>
          <w:p>
            <w:pPr>
              <w:pStyle w:val="TableParagraph"/>
              <w:spacing w:line="250" w:lineRule="exact"/>
              <w:ind w:left="110"/>
              <w:rPr>
                <w:sz w:val="21"/>
              </w:rPr>
            </w:pPr>
            <w:r>
              <w:rPr>
                <w:sz w:val="21"/>
              </w:rPr>
              <w:t>脑垂体瘤、脑囊肿、脑血管性疾病不在保障范围内。</w:t>
            </w:r>
          </w:p>
        </w:tc>
      </w:tr>
      <w:tr>
        <w:trPr>
          <w:trHeight w:val="472" w:hRule="atLeast"/>
        </w:trPr>
        <w:tc>
          <w:tcPr>
            <w:tcW w:w="759" w:type="dxa"/>
          </w:tcPr>
          <w:p>
            <w:pPr>
              <w:pStyle w:val="TableParagraph"/>
              <w:spacing w:before="185"/>
              <w:ind w:left="50"/>
              <w:rPr>
                <w:rFonts w:ascii="Times New Roman"/>
                <w:sz w:val="21"/>
              </w:rPr>
            </w:pPr>
            <w:r>
              <w:rPr>
                <w:rFonts w:ascii="Times New Roman"/>
                <w:sz w:val="21"/>
              </w:rPr>
              <w:t>6.10</w:t>
            </w:r>
          </w:p>
        </w:tc>
        <w:tc>
          <w:tcPr>
            <w:tcW w:w="1817" w:type="dxa"/>
          </w:tcPr>
          <w:p>
            <w:pPr>
              <w:pStyle w:val="TableParagraph"/>
              <w:spacing w:before="142"/>
              <w:ind w:left="342"/>
              <w:rPr>
                <w:b/>
                <w:sz w:val="21"/>
              </w:rPr>
            </w:pPr>
            <w:r>
              <w:rPr>
                <w:b/>
                <w:w w:val="95"/>
                <w:sz w:val="21"/>
              </w:rPr>
              <w:t>慢性肝功能衰</w:t>
            </w:r>
          </w:p>
        </w:tc>
        <w:tc>
          <w:tcPr>
            <w:tcW w:w="6798" w:type="dxa"/>
          </w:tcPr>
          <w:p>
            <w:pPr>
              <w:pStyle w:val="TableParagraph"/>
              <w:spacing w:before="142"/>
              <w:ind w:left="110"/>
              <w:rPr>
                <w:sz w:val="21"/>
              </w:rPr>
            </w:pPr>
            <w:r>
              <w:rPr>
                <w:sz w:val="21"/>
              </w:rPr>
              <w:t>指因慢性肝脏疾病导致肝功能衰竭。须满足下列全部条件：</w:t>
            </w:r>
          </w:p>
        </w:tc>
      </w:tr>
      <w:tr>
        <w:trPr>
          <w:trHeight w:val="311" w:hRule="atLeast"/>
        </w:trPr>
        <w:tc>
          <w:tcPr>
            <w:tcW w:w="759" w:type="dxa"/>
          </w:tcPr>
          <w:p>
            <w:pPr>
              <w:pStyle w:val="TableParagraph"/>
              <w:rPr>
                <w:rFonts w:ascii="Times New Roman"/>
                <w:sz w:val="20"/>
              </w:rPr>
            </w:pPr>
          </w:p>
        </w:tc>
        <w:tc>
          <w:tcPr>
            <w:tcW w:w="1817" w:type="dxa"/>
          </w:tcPr>
          <w:p>
            <w:pPr>
              <w:pStyle w:val="TableParagraph"/>
              <w:spacing w:line="256" w:lineRule="exact"/>
              <w:ind w:left="342"/>
              <w:rPr>
                <w:b/>
                <w:sz w:val="21"/>
              </w:rPr>
            </w:pPr>
            <w:r>
              <w:rPr>
                <w:b/>
                <w:w w:val="95"/>
                <w:sz w:val="21"/>
              </w:rPr>
              <w:t>竭失代偿期</w:t>
            </w:r>
          </w:p>
        </w:tc>
        <w:tc>
          <w:tcPr>
            <w:tcW w:w="6798" w:type="dxa"/>
          </w:tcPr>
          <w:p>
            <w:pPr>
              <w:pStyle w:val="TableParagraph"/>
              <w:spacing w:line="262" w:lineRule="exact"/>
              <w:ind w:left="110"/>
              <w:rPr>
                <w:sz w:val="21"/>
              </w:rPr>
            </w:pPr>
            <w:r>
              <w:rPr>
                <w:sz w:val="21"/>
              </w:rPr>
              <w:t>（</w:t>
            </w:r>
            <w:r>
              <w:rPr>
                <w:rFonts w:ascii="Times New Roman" w:eastAsia="Times New Roman"/>
                <w:position w:val="1"/>
                <w:sz w:val="21"/>
              </w:rPr>
              <w:t>1</w:t>
            </w:r>
            <w:r>
              <w:rPr>
                <w:sz w:val="21"/>
              </w:rPr>
              <w:t>）持续性黄疸；</w:t>
            </w:r>
          </w:p>
        </w:tc>
      </w:tr>
      <w:tr>
        <w:trPr>
          <w:trHeight w:val="312" w:hRule="atLeast"/>
        </w:trPr>
        <w:tc>
          <w:tcPr>
            <w:tcW w:w="759" w:type="dxa"/>
          </w:tcPr>
          <w:p>
            <w:pPr>
              <w:pStyle w:val="TableParagraph"/>
              <w:rPr>
                <w:rFonts w:ascii="Times New Roman"/>
                <w:sz w:val="20"/>
              </w:rPr>
            </w:pPr>
          </w:p>
        </w:tc>
        <w:tc>
          <w:tcPr>
            <w:tcW w:w="1817" w:type="dxa"/>
          </w:tcPr>
          <w:p>
            <w:pPr>
              <w:pStyle w:val="TableParagraph"/>
              <w:rPr>
                <w:rFonts w:ascii="Times New Roman"/>
                <w:sz w:val="20"/>
              </w:rPr>
            </w:pPr>
          </w:p>
        </w:tc>
        <w:tc>
          <w:tcPr>
            <w:tcW w:w="6798" w:type="dxa"/>
          </w:tcPr>
          <w:p>
            <w:pPr>
              <w:pStyle w:val="TableParagraph"/>
              <w:spacing w:line="262" w:lineRule="exact"/>
              <w:ind w:left="110"/>
              <w:rPr>
                <w:sz w:val="21"/>
              </w:rPr>
            </w:pPr>
            <w:r>
              <w:rPr>
                <w:sz w:val="21"/>
              </w:rPr>
              <w:t>（</w:t>
            </w:r>
            <w:r>
              <w:rPr>
                <w:rFonts w:ascii="Times New Roman" w:eastAsia="Times New Roman"/>
                <w:position w:val="1"/>
                <w:sz w:val="21"/>
              </w:rPr>
              <w:t>2</w:t>
            </w:r>
            <w:r>
              <w:rPr>
                <w:sz w:val="21"/>
              </w:rPr>
              <w:t>）腹水；</w:t>
            </w:r>
          </w:p>
        </w:tc>
      </w:tr>
      <w:tr>
        <w:trPr>
          <w:trHeight w:val="311" w:hRule="atLeast"/>
        </w:trPr>
        <w:tc>
          <w:tcPr>
            <w:tcW w:w="759" w:type="dxa"/>
          </w:tcPr>
          <w:p>
            <w:pPr>
              <w:pStyle w:val="TableParagraph"/>
              <w:rPr>
                <w:rFonts w:ascii="Times New Roman"/>
                <w:sz w:val="20"/>
              </w:rPr>
            </w:pPr>
          </w:p>
        </w:tc>
        <w:tc>
          <w:tcPr>
            <w:tcW w:w="1817" w:type="dxa"/>
          </w:tcPr>
          <w:p>
            <w:pPr>
              <w:pStyle w:val="TableParagraph"/>
              <w:rPr>
                <w:rFonts w:ascii="Times New Roman"/>
                <w:sz w:val="20"/>
              </w:rPr>
            </w:pPr>
          </w:p>
        </w:tc>
        <w:tc>
          <w:tcPr>
            <w:tcW w:w="6798" w:type="dxa"/>
          </w:tcPr>
          <w:p>
            <w:pPr>
              <w:pStyle w:val="TableParagraph"/>
              <w:spacing w:line="262" w:lineRule="exact"/>
              <w:ind w:left="110"/>
              <w:rPr>
                <w:sz w:val="21"/>
              </w:rPr>
            </w:pPr>
            <w:r>
              <w:rPr>
                <w:sz w:val="21"/>
              </w:rPr>
              <w:t>（</w:t>
            </w:r>
            <w:r>
              <w:rPr>
                <w:rFonts w:ascii="Times New Roman" w:eastAsia="Times New Roman"/>
                <w:position w:val="1"/>
                <w:sz w:val="21"/>
              </w:rPr>
              <w:t>3</w:t>
            </w:r>
            <w:r>
              <w:rPr>
                <w:sz w:val="21"/>
              </w:rPr>
              <w:t>）肝性脑病；</w:t>
            </w:r>
          </w:p>
        </w:tc>
      </w:tr>
      <w:tr>
        <w:trPr>
          <w:trHeight w:val="318" w:hRule="atLeast"/>
        </w:trPr>
        <w:tc>
          <w:tcPr>
            <w:tcW w:w="759" w:type="dxa"/>
          </w:tcPr>
          <w:p>
            <w:pPr>
              <w:pStyle w:val="TableParagraph"/>
              <w:rPr>
                <w:rFonts w:ascii="Times New Roman"/>
                <w:sz w:val="20"/>
              </w:rPr>
            </w:pPr>
          </w:p>
        </w:tc>
        <w:tc>
          <w:tcPr>
            <w:tcW w:w="1817" w:type="dxa"/>
          </w:tcPr>
          <w:p>
            <w:pPr>
              <w:pStyle w:val="TableParagraph"/>
              <w:rPr>
                <w:rFonts w:ascii="Times New Roman"/>
                <w:sz w:val="20"/>
              </w:rPr>
            </w:pPr>
          </w:p>
        </w:tc>
        <w:tc>
          <w:tcPr>
            <w:tcW w:w="6798" w:type="dxa"/>
          </w:tcPr>
          <w:p>
            <w:pPr>
              <w:pStyle w:val="TableParagraph"/>
              <w:spacing w:line="262" w:lineRule="exact"/>
              <w:ind w:left="110"/>
              <w:rPr>
                <w:sz w:val="21"/>
              </w:rPr>
            </w:pPr>
            <w:r>
              <w:rPr>
                <w:sz w:val="21"/>
              </w:rPr>
              <w:t>（</w:t>
            </w:r>
            <w:r>
              <w:rPr>
                <w:rFonts w:ascii="Times New Roman" w:eastAsia="Times New Roman"/>
                <w:position w:val="1"/>
                <w:sz w:val="21"/>
              </w:rPr>
              <w:t>4</w:t>
            </w:r>
            <w:r>
              <w:rPr>
                <w:sz w:val="21"/>
              </w:rPr>
              <w:t>）充血性脾肿大伴脾功能亢进或食管胃底静脉曲张。</w:t>
            </w:r>
          </w:p>
        </w:tc>
      </w:tr>
      <w:tr>
        <w:trPr>
          <w:trHeight w:val="417" w:hRule="atLeast"/>
        </w:trPr>
        <w:tc>
          <w:tcPr>
            <w:tcW w:w="759" w:type="dxa"/>
          </w:tcPr>
          <w:p>
            <w:pPr>
              <w:pStyle w:val="TableParagraph"/>
              <w:rPr>
                <w:rFonts w:ascii="Times New Roman"/>
                <w:sz w:val="20"/>
              </w:rPr>
            </w:pPr>
          </w:p>
        </w:tc>
        <w:tc>
          <w:tcPr>
            <w:tcW w:w="1817" w:type="dxa"/>
          </w:tcPr>
          <w:p>
            <w:pPr>
              <w:pStyle w:val="TableParagraph"/>
              <w:rPr>
                <w:rFonts w:ascii="Times New Roman"/>
                <w:sz w:val="20"/>
              </w:rPr>
            </w:pPr>
          </w:p>
        </w:tc>
        <w:tc>
          <w:tcPr>
            <w:tcW w:w="6798" w:type="dxa"/>
          </w:tcPr>
          <w:p>
            <w:pPr>
              <w:pStyle w:val="TableParagraph"/>
              <w:spacing w:line="250" w:lineRule="exact"/>
              <w:ind w:left="110"/>
              <w:rPr>
                <w:sz w:val="21"/>
              </w:rPr>
            </w:pPr>
            <w:r>
              <w:rPr>
                <w:sz w:val="21"/>
              </w:rPr>
              <w:t>因酗酒或药物滥用导致的肝功能衰竭不在保障范围内。</w:t>
            </w:r>
          </w:p>
        </w:tc>
      </w:tr>
      <w:tr>
        <w:trPr>
          <w:trHeight w:val="433" w:hRule="atLeast"/>
        </w:trPr>
        <w:tc>
          <w:tcPr>
            <w:tcW w:w="759" w:type="dxa"/>
          </w:tcPr>
          <w:p>
            <w:pPr>
              <w:pStyle w:val="TableParagraph"/>
              <w:spacing w:before="146"/>
              <w:ind w:left="50"/>
              <w:rPr>
                <w:rFonts w:ascii="Times New Roman"/>
                <w:sz w:val="21"/>
              </w:rPr>
            </w:pPr>
            <w:r>
              <w:rPr>
                <w:rFonts w:ascii="Times New Roman"/>
                <w:sz w:val="21"/>
              </w:rPr>
              <w:t>6.11</w:t>
            </w:r>
          </w:p>
        </w:tc>
        <w:tc>
          <w:tcPr>
            <w:tcW w:w="1817" w:type="dxa"/>
          </w:tcPr>
          <w:p>
            <w:pPr>
              <w:pStyle w:val="TableParagraph"/>
              <w:spacing w:before="101"/>
              <w:ind w:left="342"/>
              <w:rPr>
                <w:b/>
                <w:sz w:val="21"/>
              </w:rPr>
            </w:pPr>
            <w:r>
              <w:rPr>
                <w:b/>
                <w:w w:val="95"/>
                <w:sz w:val="21"/>
              </w:rPr>
              <w:t>脑炎后遗症或</w:t>
            </w:r>
          </w:p>
        </w:tc>
        <w:tc>
          <w:tcPr>
            <w:tcW w:w="6798" w:type="dxa"/>
          </w:tcPr>
          <w:p>
            <w:pPr>
              <w:pStyle w:val="TableParagraph"/>
              <w:spacing w:before="101"/>
              <w:ind w:left="110"/>
              <w:rPr>
                <w:sz w:val="21"/>
              </w:rPr>
            </w:pPr>
            <w:r>
              <w:rPr>
                <w:sz w:val="21"/>
              </w:rPr>
              <w:t>指因患脑炎或脑膜炎导致的神经系统永久性的功能障碍。神经系统永久</w:t>
            </w:r>
          </w:p>
        </w:tc>
      </w:tr>
      <w:tr>
        <w:trPr>
          <w:trHeight w:val="317" w:hRule="atLeast"/>
        </w:trPr>
        <w:tc>
          <w:tcPr>
            <w:tcW w:w="759" w:type="dxa"/>
          </w:tcPr>
          <w:p>
            <w:pPr>
              <w:pStyle w:val="TableParagraph"/>
              <w:rPr>
                <w:rFonts w:ascii="Times New Roman"/>
                <w:sz w:val="20"/>
              </w:rPr>
            </w:pPr>
          </w:p>
        </w:tc>
        <w:tc>
          <w:tcPr>
            <w:tcW w:w="1817" w:type="dxa"/>
          </w:tcPr>
          <w:p>
            <w:pPr>
              <w:pStyle w:val="TableParagraph"/>
              <w:spacing w:line="254" w:lineRule="exact"/>
              <w:ind w:left="342"/>
              <w:rPr>
                <w:b/>
                <w:sz w:val="21"/>
              </w:rPr>
            </w:pPr>
            <w:r>
              <w:rPr>
                <w:b/>
                <w:w w:val="95"/>
                <w:sz w:val="21"/>
              </w:rPr>
              <w:t>脑膜炎后遗症</w:t>
            </w:r>
          </w:p>
        </w:tc>
        <w:tc>
          <w:tcPr>
            <w:tcW w:w="6798" w:type="dxa"/>
          </w:tcPr>
          <w:p>
            <w:pPr>
              <w:pStyle w:val="TableParagraph"/>
              <w:spacing w:line="270" w:lineRule="exact"/>
              <w:ind w:left="110"/>
              <w:rPr>
                <w:sz w:val="21"/>
              </w:rPr>
            </w:pPr>
            <w:r>
              <w:rPr>
                <w:sz w:val="21"/>
              </w:rPr>
              <w:t>性的功能障碍，指疾病确诊 </w:t>
            </w:r>
            <w:r>
              <w:rPr>
                <w:rFonts w:ascii="Times New Roman" w:eastAsia="Times New Roman"/>
                <w:sz w:val="21"/>
              </w:rPr>
              <w:t>180 </w:t>
            </w:r>
            <w:r>
              <w:rPr>
                <w:sz w:val="21"/>
              </w:rPr>
              <w:t>天后，仍遗留下列一种或一种以上障</w:t>
            </w:r>
          </w:p>
        </w:tc>
      </w:tr>
      <w:tr>
        <w:trPr>
          <w:trHeight w:val="300" w:hRule="atLeast"/>
        </w:trPr>
        <w:tc>
          <w:tcPr>
            <w:tcW w:w="759" w:type="dxa"/>
          </w:tcPr>
          <w:p>
            <w:pPr>
              <w:pStyle w:val="TableParagraph"/>
              <w:rPr>
                <w:rFonts w:ascii="Times New Roman"/>
                <w:sz w:val="20"/>
              </w:rPr>
            </w:pPr>
          </w:p>
        </w:tc>
        <w:tc>
          <w:tcPr>
            <w:tcW w:w="1817" w:type="dxa"/>
          </w:tcPr>
          <w:p>
            <w:pPr>
              <w:pStyle w:val="TableParagraph"/>
              <w:rPr>
                <w:rFonts w:ascii="Times New Roman"/>
                <w:sz w:val="20"/>
              </w:rPr>
            </w:pPr>
          </w:p>
        </w:tc>
        <w:tc>
          <w:tcPr>
            <w:tcW w:w="6798" w:type="dxa"/>
          </w:tcPr>
          <w:p>
            <w:pPr>
              <w:pStyle w:val="TableParagraph"/>
              <w:spacing w:line="249" w:lineRule="exact"/>
              <w:ind w:left="110"/>
              <w:rPr>
                <w:sz w:val="21"/>
              </w:rPr>
            </w:pPr>
            <w:r>
              <w:rPr>
                <w:sz w:val="21"/>
              </w:rPr>
              <w:t>碍：</w:t>
            </w:r>
          </w:p>
        </w:tc>
      </w:tr>
      <w:tr>
        <w:trPr>
          <w:trHeight w:val="317" w:hRule="atLeast"/>
        </w:trPr>
        <w:tc>
          <w:tcPr>
            <w:tcW w:w="759" w:type="dxa"/>
          </w:tcPr>
          <w:p>
            <w:pPr>
              <w:pStyle w:val="TableParagraph"/>
              <w:rPr>
                <w:rFonts w:ascii="Times New Roman"/>
                <w:sz w:val="20"/>
              </w:rPr>
            </w:pPr>
          </w:p>
        </w:tc>
        <w:tc>
          <w:tcPr>
            <w:tcW w:w="1817" w:type="dxa"/>
          </w:tcPr>
          <w:p>
            <w:pPr>
              <w:pStyle w:val="TableParagraph"/>
              <w:rPr>
                <w:rFonts w:ascii="Times New Roman"/>
                <w:sz w:val="20"/>
              </w:rPr>
            </w:pPr>
          </w:p>
        </w:tc>
        <w:tc>
          <w:tcPr>
            <w:tcW w:w="6798" w:type="dxa"/>
          </w:tcPr>
          <w:p>
            <w:pPr>
              <w:pStyle w:val="TableParagraph"/>
              <w:spacing w:line="276" w:lineRule="exact"/>
              <w:ind w:left="110"/>
              <w:rPr>
                <w:sz w:val="21"/>
              </w:rPr>
            </w:pPr>
            <w:r>
              <w:rPr>
                <w:sz w:val="21"/>
              </w:rPr>
              <w:t>（</w:t>
            </w:r>
            <w:r>
              <w:rPr>
                <w:rFonts w:ascii="Times New Roman" w:eastAsia="Times New Roman"/>
                <w:sz w:val="21"/>
              </w:rPr>
              <w:t>1</w:t>
            </w:r>
            <w:r>
              <w:rPr>
                <w:sz w:val="21"/>
              </w:rPr>
              <w:t>）一肢或一肢以上肢体机能完全丧失；</w:t>
            </w:r>
          </w:p>
        </w:tc>
      </w:tr>
      <w:tr>
        <w:trPr>
          <w:trHeight w:val="311" w:hRule="atLeast"/>
        </w:trPr>
        <w:tc>
          <w:tcPr>
            <w:tcW w:w="759" w:type="dxa"/>
          </w:tcPr>
          <w:p>
            <w:pPr>
              <w:pStyle w:val="TableParagraph"/>
              <w:rPr>
                <w:rFonts w:ascii="Times New Roman"/>
                <w:sz w:val="20"/>
              </w:rPr>
            </w:pPr>
          </w:p>
        </w:tc>
        <w:tc>
          <w:tcPr>
            <w:tcW w:w="1817" w:type="dxa"/>
          </w:tcPr>
          <w:p>
            <w:pPr>
              <w:pStyle w:val="TableParagraph"/>
              <w:rPr>
                <w:rFonts w:ascii="Times New Roman"/>
                <w:sz w:val="20"/>
              </w:rPr>
            </w:pPr>
          </w:p>
        </w:tc>
        <w:tc>
          <w:tcPr>
            <w:tcW w:w="6798" w:type="dxa"/>
          </w:tcPr>
          <w:p>
            <w:pPr>
              <w:pStyle w:val="TableParagraph"/>
              <w:spacing w:line="270" w:lineRule="exact"/>
              <w:ind w:left="110"/>
              <w:rPr>
                <w:sz w:val="21"/>
              </w:rPr>
            </w:pPr>
            <w:r>
              <w:rPr>
                <w:sz w:val="21"/>
              </w:rPr>
              <w:t>（</w:t>
            </w:r>
            <w:r>
              <w:rPr>
                <w:rFonts w:ascii="Times New Roman" w:eastAsia="Times New Roman"/>
                <w:sz w:val="21"/>
              </w:rPr>
              <w:t>2</w:t>
            </w:r>
            <w:r>
              <w:rPr>
                <w:sz w:val="21"/>
              </w:rPr>
              <w:t>）语言能力或咀嚼吞咽能力完全丧失；</w:t>
            </w:r>
          </w:p>
        </w:tc>
      </w:tr>
      <w:tr>
        <w:trPr>
          <w:trHeight w:val="317" w:hRule="atLeast"/>
        </w:trPr>
        <w:tc>
          <w:tcPr>
            <w:tcW w:w="759" w:type="dxa"/>
          </w:tcPr>
          <w:p>
            <w:pPr>
              <w:pStyle w:val="TableParagraph"/>
              <w:rPr>
                <w:rFonts w:ascii="Times New Roman"/>
                <w:sz w:val="20"/>
              </w:rPr>
            </w:pPr>
          </w:p>
        </w:tc>
        <w:tc>
          <w:tcPr>
            <w:tcW w:w="1817" w:type="dxa"/>
          </w:tcPr>
          <w:p>
            <w:pPr>
              <w:pStyle w:val="TableParagraph"/>
              <w:rPr>
                <w:rFonts w:ascii="Times New Roman"/>
                <w:sz w:val="20"/>
              </w:rPr>
            </w:pPr>
          </w:p>
        </w:tc>
        <w:tc>
          <w:tcPr>
            <w:tcW w:w="6798" w:type="dxa"/>
          </w:tcPr>
          <w:p>
            <w:pPr>
              <w:pStyle w:val="TableParagraph"/>
              <w:spacing w:line="270" w:lineRule="exact"/>
              <w:ind w:left="110"/>
              <w:rPr>
                <w:sz w:val="21"/>
              </w:rPr>
            </w:pPr>
            <w:r>
              <w:rPr>
                <w:sz w:val="21"/>
              </w:rPr>
              <w:t>（</w:t>
            </w:r>
            <w:r>
              <w:rPr>
                <w:rFonts w:ascii="Times New Roman" w:eastAsia="Times New Roman"/>
                <w:sz w:val="21"/>
              </w:rPr>
              <w:t>3</w:t>
            </w:r>
            <w:r>
              <w:rPr>
                <w:sz w:val="21"/>
              </w:rPr>
              <w:t>）自主生活能力完全丧失，无法独立完成六项基本日常生活活动中</w:t>
            </w:r>
          </w:p>
        </w:tc>
      </w:tr>
      <w:tr>
        <w:trPr>
          <w:trHeight w:val="416" w:hRule="atLeast"/>
        </w:trPr>
        <w:tc>
          <w:tcPr>
            <w:tcW w:w="759" w:type="dxa"/>
          </w:tcPr>
          <w:p>
            <w:pPr>
              <w:pStyle w:val="TableParagraph"/>
              <w:rPr>
                <w:rFonts w:ascii="Times New Roman"/>
                <w:sz w:val="20"/>
              </w:rPr>
            </w:pPr>
          </w:p>
        </w:tc>
        <w:tc>
          <w:tcPr>
            <w:tcW w:w="1817" w:type="dxa"/>
          </w:tcPr>
          <w:p>
            <w:pPr>
              <w:pStyle w:val="TableParagraph"/>
              <w:rPr>
                <w:rFonts w:ascii="Times New Roman"/>
                <w:sz w:val="20"/>
              </w:rPr>
            </w:pPr>
          </w:p>
        </w:tc>
        <w:tc>
          <w:tcPr>
            <w:tcW w:w="6798" w:type="dxa"/>
          </w:tcPr>
          <w:p>
            <w:pPr>
              <w:pStyle w:val="TableParagraph"/>
              <w:spacing w:line="249" w:lineRule="exact"/>
              <w:ind w:left="110"/>
              <w:rPr>
                <w:sz w:val="21"/>
              </w:rPr>
            </w:pPr>
            <w:r>
              <w:rPr>
                <w:sz w:val="21"/>
              </w:rPr>
              <w:t>的三项或三项以上。</w:t>
            </w:r>
          </w:p>
        </w:tc>
      </w:tr>
      <w:tr>
        <w:trPr>
          <w:trHeight w:val="433" w:hRule="atLeast"/>
        </w:trPr>
        <w:tc>
          <w:tcPr>
            <w:tcW w:w="759" w:type="dxa"/>
          </w:tcPr>
          <w:p>
            <w:pPr>
              <w:pStyle w:val="TableParagraph"/>
              <w:spacing w:before="146"/>
              <w:ind w:left="50"/>
              <w:rPr>
                <w:rFonts w:ascii="Times New Roman"/>
                <w:sz w:val="21"/>
              </w:rPr>
            </w:pPr>
            <w:r>
              <w:rPr>
                <w:rFonts w:ascii="Times New Roman"/>
                <w:sz w:val="21"/>
              </w:rPr>
              <w:t>6.12</w:t>
            </w:r>
          </w:p>
        </w:tc>
        <w:tc>
          <w:tcPr>
            <w:tcW w:w="1817" w:type="dxa"/>
          </w:tcPr>
          <w:p>
            <w:pPr>
              <w:pStyle w:val="TableParagraph"/>
              <w:spacing w:before="103"/>
              <w:ind w:left="342"/>
              <w:rPr>
                <w:b/>
                <w:sz w:val="21"/>
              </w:rPr>
            </w:pPr>
            <w:r>
              <w:rPr>
                <w:b/>
                <w:w w:val="95"/>
                <w:sz w:val="21"/>
              </w:rPr>
              <w:t>深度昏迷</w:t>
            </w:r>
          </w:p>
        </w:tc>
        <w:tc>
          <w:tcPr>
            <w:tcW w:w="6798" w:type="dxa"/>
          </w:tcPr>
          <w:p>
            <w:pPr>
              <w:pStyle w:val="TableParagraph"/>
              <w:spacing w:before="103"/>
              <w:ind w:left="110"/>
              <w:rPr>
                <w:sz w:val="21"/>
              </w:rPr>
            </w:pPr>
            <w:r>
              <w:rPr>
                <w:sz w:val="21"/>
              </w:rPr>
              <w:t>指因疾病或意外伤害导致意识丧失</w:t>
            </w:r>
            <w:r>
              <w:rPr>
                <w:rFonts w:ascii="Times New Roman" w:eastAsia="Times New Roman"/>
                <w:position w:val="1"/>
                <w:sz w:val="21"/>
              </w:rPr>
              <w:t>,</w:t>
            </w:r>
            <w:r>
              <w:rPr>
                <w:sz w:val="21"/>
              </w:rPr>
              <w:t>对外界刺激和体内需求均无反应</w:t>
            </w:r>
            <w:r>
              <w:rPr>
                <w:rFonts w:ascii="Times New Roman" w:eastAsia="Times New Roman"/>
                <w:position w:val="1"/>
                <w:sz w:val="21"/>
              </w:rPr>
              <w:t>,</w:t>
            </w:r>
            <w:r>
              <w:rPr>
                <w:sz w:val="21"/>
              </w:rPr>
              <w:t>昏</w:t>
            </w:r>
          </w:p>
        </w:tc>
      </w:tr>
      <w:tr>
        <w:trPr>
          <w:trHeight w:val="311" w:hRule="atLeast"/>
        </w:trPr>
        <w:tc>
          <w:tcPr>
            <w:tcW w:w="759" w:type="dxa"/>
          </w:tcPr>
          <w:p>
            <w:pPr>
              <w:pStyle w:val="TableParagraph"/>
              <w:rPr>
                <w:rFonts w:ascii="Times New Roman"/>
                <w:sz w:val="20"/>
              </w:rPr>
            </w:pPr>
          </w:p>
        </w:tc>
        <w:tc>
          <w:tcPr>
            <w:tcW w:w="1817" w:type="dxa"/>
          </w:tcPr>
          <w:p>
            <w:pPr>
              <w:pStyle w:val="TableParagraph"/>
              <w:rPr>
                <w:rFonts w:ascii="Times New Roman"/>
                <w:sz w:val="20"/>
              </w:rPr>
            </w:pPr>
          </w:p>
        </w:tc>
        <w:tc>
          <w:tcPr>
            <w:tcW w:w="6798" w:type="dxa"/>
          </w:tcPr>
          <w:p>
            <w:pPr>
              <w:pStyle w:val="TableParagraph"/>
              <w:spacing w:line="262" w:lineRule="exact"/>
              <w:ind w:left="110"/>
              <w:rPr>
                <w:rFonts w:ascii="Times New Roman" w:eastAsia="Times New Roman"/>
                <w:sz w:val="21"/>
              </w:rPr>
            </w:pPr>
            <w:r>
              <w:rPr>
                <w:sz w:val="21"/>
              </w:rPr>
              <w:t>迷程度按照格拉斯哥昏迷分级（</w:t>
            </w:r>
            <w:r>
              <w:rPr>
                <w:rFonts w:ascii="Times New Roman" w:eastAsia="Times New Roman"/>
                <w:position w:val="1"/>
                <w:sz w:val="21"/>
              </w:rPr>
              <w:t>Glasgow coma scale</w:t>
            </w:r>
            <w:r>
              <w:rPr>
                <w:sz w:val="21"/>
              </w:rPr>
              <w:t>）结果为 </w:t>
            </w:r>
            <w:r>
              <w:rPr>
                <w:rFonts w:ascii="Times New Roman" w:eastAsia="Times New Roman"/>
                <w:position w:val="1"/>
                <w:sz w:val="21"/>
              </w:rPr>
              <w:t>5 </w:t>
            </w:r>
            <w:r>
              <w:rPr>
                <w:sz w:val="21"/>
              </w:rPr>
              <w:t>分或 </w:t>
            </w:r>
            <w:r>
              <w:rPr>
                <w:rFonts w:ascii="Times New Roman" w:eastAsia="Times New Roman"/>
                <w:position w:val="1"/>
                <w:sz w:val="21"/>
              </w:rPr>
              <w:t>5</w:t>
            </w:r>
          </w:p>
        </w:tc>
      </w:tr>
      <w:tr>
        <w:trPr>
          <w:trHeight w:val="318" w:hRule="atLeast"/>
        </w:trPr>
        <w:tc>
          <w:tcPr>
            <w:tcW w:w="759" w:type="dxa"/>
          </w:tcPr>
          <w:p>
            <w:pPr>
              <w:pStyle w:val="TableParagraph"/>
              <w:rPr>
                <w:rFonts w:ascii="Times New Roman"/>
                <w:sz w:val="20"/>
              </w:rPr>
            </w:pPr>
          </w:p>
        </w:tc>
        <w:tc>
          <w:tcPr>
            <w:tcW w:w="1817" w:type="dxa"/>
          </w:tcPr>
          <w:p>
            <w:pPr>
              <w:pStyle w:val="TableParagraph"/>
              <w:rPr>
                <w:rFonts w:ascii="Times New Roman"/>
                <w:sz w:val="20"/>
              </w:rPr>
            </w:pPr>
          </w:p>
        </w:tc>
        <w:tc>
          <w:tcPr>
            <w:tcW w:w="6798" w:type="dxa"/>
          </w:tcPr>
          <w:p>
            <w:pPr>
              <w:pStyle w:val="TableParagraph"/>
              <w:spacing w:line="262" w:lineRule="exact"/>
              <w:ind w:left="110"/>
              <w:rPr>
                <w:sz w:val="21"/>
              </w:rPr>
            </w:pPr>
            <w:r>
              <w:rPr>
                <w:sz w:val="21"/>
              </w:rPr>
              <w:t>分以下，且已经持续使用呼吸机及其它生命维持系统 </w:t>
            </w:r>
            <w:r>
              <w:rPr>
                <w:rFonts w:ascii="Times New Roman" w:eastAsia="Times New Roman"/>
                <w:position w:val="1"/>
                <w:sz w:val="21"/>
              </w:rPr>
              <w:t>96 </w:t>
            </w:r>
            <w:r>
              <w:rPr>
                <w:sz w:val="21"/>
              </w:rPr>
              <w:t>小时以上。</w:t>
            </w:r>
          </w:p>
        </w:tc>
      </w:tr>
      <w:tr>
        <w:trPr>
          <w:trHeight w:val="417" w:hRule="atLeast"/>
        </w:trPr>
        <w:tc>
          <w:tcPr>
            <w:tcW w:w="759" w:type="dxa"/>
          </w:tcPr>
          <w:p>
            <w:pPr>
              <w:pStyle w:val="TableParagraph"/>
              <w:rPr>
                <w:rFonts w:ascii="Times New Roman"/>
                <w:sz w:val="20"/>
              </w:rPr>
            </w:pPr>
          </w:p>
        </w:tc>
        <w:tc>
          <w:tcPr>
            <w:tcW w:w="1817" w:type="dxa"/>
          </w:tcPr>
          <w:p>
            <w:pPr>
              <w:pStyle w:val="TableParagraph"/>
              <w:rPr>
                <w:rFonts w:ascii="Times New Roman"/>
                <w:sz w:val="20"/>
              </w:rPr>
            </w:pPr>
          </w:p>
        </w:tc>
        <w:tc>
          <w:tcPr>
            <w:tcW w:w="6798" w:type="dxa"/>
          </w:tcPr>
          <w:p>
            <w:pPr>
              <w:pStyle w:val="TableParagraph"/>
              <w:spacing w:line="250" w:lineRule="exact"/>
              <w:ind w:left="110"/>
              <w:rPr>
                <w:sz w:val="21"/>
              </w:rPr>
            </w:pPr>
            <w:r>
              <w:rPr>
                <w:sz w:val="21"/>
              </w:rPr>
              <w:t>因酗酒或药物滥用导致的深度昏迷不在保障范围内。</w:t>
            </w:r>
          </w:p>
        </w:tc>
      </w:tr>
      <w:tr>
        <w:trPr>
          <w:trHeight w:val="433" w:hRule="atLeast"/>
        </w:trPr>
        <w:tc>
          <w:tcPr>
            <w:tcW w:w="759" w:type="dxa"/>
          </w:tcPr>
          <w:p>
            <w:pPr>
              <w:pStyle w:val="TableParagraph"/>
              <w:spacing w:before="146"/>
              <w:ind w:left="50"/>
              <w:rPr>
                <w:rFonts w:ascii="Times New Roman"/>
                <w:sz w:val="21"/>
              </w:rPr>
            </w:pPr>
            <w:r>
              <w:rPr>
                <w:rFonts w:ascii="Times New Roman"/>
                <w:sz w:val="21"/>
              </w:rPr>
              <w:t>6.13</w:t>
            </w:r>
          </w:p>
        </w:tc>
        <w:tc>
          <w:tcPr>
            <w:tcW w:w="1817" w:type="dxa"/>
          </w:tcPr>
          <w:p>
            <w:pPr>
              <w:pStyle w:val="TableParagraph"/>
              <w:spacing w:before="101"/>
              <w:ind w:left="342"/>
              <w:rPr>
                <w:b/>
                <w:sz w:val="21"/>
              </w:rPr>
            </w:pPr>
            <w:r>
              <w:rPr>
                <w:b/>
                <w:w w:val="95"/>
                <w:sz w:val="21"/>
              </w:rPr>
              <w:t>双耳失聪</w:t>
            </w:r>
          </w:p>
        </w:tc>
        <w:tc>
          <w:tcPr>
            <w:tcW w:w="6798" w:type="dxa"/>
          </w:tcPr>
          <w:p>
            <w:pPr>
              <w:pStyle w:val="TableParagraph"/>
              <w:spacing w:before="101"/>
              <w:ind w:left="110"/>
              <w:rPr>
                <w:sz w:val="21"/>
              </w:rPr>
            </w:pPr>
            <w:r>
              <w:rPr>
                <w:sz w:val="21"/>
              </w:rPr>
              <w:t>指因疾病或意外伤害导致双耳听力永久不可逆性丧失，在 </w:t>
            </w:r>
            <w:r>
              <w:rPr>
                <w:rFonts w:ascii="Times New Roman" w:eastAsia="Times New Roman"/>
                <w:sz w:val="21"/>
              </w:rPr>
              <w:t>500 </w:t>
            </w:r>
            <w:r>
              <w:rPr>
                <w:sz w:val="21"/>
              </w:rPr>
              <w:t>赫兹 、</w:t>
            </w:r>
          </w:p>
        </w:tc>
      </w:tr>
      <w:tr>
        <w:trPr>
          <w:trHeight w:val="317" w:hRule="atLeast"/>
        </w:trPr>
        <w:tc>
          <w:tcPr>
            <w:tcW w:w="759" w:type="dxa"/>
          </w:tcPr>
          <w:p>
            <w:pPr>
              <w:pStyle w:val="TableParagraph"/>
              <w:rPr>
                <w:rFonts w:ascii="Times New Roman"/>
                <w:sz w:val="20"/>
              </w:rPr>
            </w:pPr>
          </w:p>
        </w:tc>
        <w:tc>
          <w:tcPr>
            <w:tcW w:w="1817" w:type="dxa"/>
          </w:tcPr>
          <w:p>
            <w:pPr>
              <w:pStyle w:val="TableParagraph"/>
              <w:rPr>
                <w:rFonts w:ascii="Times New Roman"/>
                <w:sz w:val="20"/>
              </w:rPr>
            </w:pPr>
          </w:p>
        </w:tc>
        <w:tc>
          <w:tcPr>
            <w:tcW w:w="6798" w:type="dxa"/>
          </w:tcPr>
          <w:p>
            <w:pPr>
              <w:pStyle w:val="TableParagraph"/>
              <w:spacing w:line="270" w:lineRule="exact"/>
              <w:ind w:left="110"/>
              <w:rPr>
                <w:sz w:val="21"/>
              </w:rPr>
            </w:pPr>
            <w:r>
              <w:rPr>
                <w:rFonts w:ascii="Times New Roman" w:eastAsia="Times New Roman"/>
                <w:sz w:val="21"/>
              </w:rPr>
              <w:t>1000 </w:t>
            </w:r>
            <w:r>
              <w:rPr>
                <w:sz w:val="21"/>
              </w:rPr>
              <w:t>赫兹和 </w:t>
            </w:r>
            <w:r>
              <w:rPr>
                <w:rFonts w:ascii="Times New Roman" w:eastAsia="Times New Roman"/>
                <w:sz w:val="21"/>
              </w:rPr>
              <w:t>2000 </w:t>
            </w:r>
            <w:r>
              <w:rPr>
                <w:sz w:val="21"/>
              </w:rPr>
              <w:t>赫兹语音频率下，平均听阈大于 </w:t>
            </w:r>
            <w:r>
              <w:rPr>
                <w:rFonts w:ascii="Times New Roman" w:eastAsia="Times New Roman"/>
                <w:sz w:val="21"/>
              </w:rPr>
              <w:t>90 </w:t>
            </w:r>
            <w:r>
              <w:rPr>
                <w:sz w:val="21"/>
              </w:rPr>
              <w:t>分贝，且经纯音</w:t>
            </w:r>
          </w:p>
        </w:tc>
      </w:tr>
      <w:tr>
        <w:trPr>
          <w:trHeight w:val="288" w:hRule="atLeast"/>
        </w:trPr>
        <w:tc>
          <w:tcPr>
            <w:tcW w:w="759" w:type="dxa"/>
          </w:tcPr>
          <w:p>
            <w:pPr>
              <w:pStyle w:val="TableParagraph"/>
              <w:rPr>
                <w:rFonts w:ascii="Times New Roman"/>
                <w:sz w:val="20"/>
              </w:rPr>
            </w:pPr>
          </w:p>
        </w:tc>
        <w:tc>
          <w:tcPr>
            <w:tcW w:w="1817" w:type="dxa"/>
          </w:tcPr>
          <w:p>
            <w:pPr>
              <w:pStyle w:val="TableParagraph"/>
              <w:rPr>
                <w:rFonts w:ascii="Times New Roman"/>
                <w:sz w:val="20"/>
              </w:rPr>
            </w:pPr>
          </w:p>
        </w:tc>
        <w:tc>
          <w:tcPr>
            <w:tcW w:w="6798" w:type="dxa"/>
          </w:tcPr>
          <w:p>
            <w:pPr>
              <w:pStyle w:val="TableParagraph"/>
              <w:spacing w:line="249" w:lineRule="exact"/>
              <w:ind w:left="110"/>
              <w:rPr>
                <w:sz w:val="21"/>
              </w:rPr>
            </w:pPr>
            <w:r>
              <w:rPr>
                <w:sz w:val="21"/>
              </w:rPr>
              <w:t>听力测试、声导抗检测或听觉诱发电位检测等证实。</w:t>
            </w:r>
          </w:p>
        </w:tc>
      </w:tr>
      <w:tr>
        <w:trPr>
          <w:trHeight w:val="1146" w:hRule="atLeast"/>
        </w:trPr>
        <w:tc>
          <w:tcPr>
            <w:tcW w:w="759" w:type="dxa"/>
          </w:tcPr>
          <w:p>
            <w:pPr>
              <w:pStyle w:val="TableParagraph"/>
              <w:rPr>
                <w:rFonts w:ascii="Times New Roman"/>
                <w:sz w:val="20"/>
              </w:rPr>
            </w:pPr>
          </w:p>
        </w:tc>
        <w:tc>
          <w:tcPr>
            <w:tcW w:w="1817" w:type="dxa"/>
          </w:tcPr>
          <w:p>
            <w:pPr>
              <w:pStyle w:val="TableParagraph"/>
              <w:rPr>
                <w:rFonts w:ascii="Times New Roman"/>
                <w:sz w:val="20"/>
              </w:rPr>
            </w:pPr>
          </w:p>
        </w:tc>
        <w:tc>
          <w:tcPr>
            <w:tcW w:w="6798" w:type="dxa"/>
          </w:tcPr>
          <w:p>
            <w:pPr>
              <w:pStyle w:val="TableParagraph"/>
              <w:spacing w:line="208" w:lineRule="auto"/>
              <w:ind w:left="110" w:right="301"/>
              <w:jc w:val="both"/>
              <w:rPr>
                <w:sz w:val="21"/>
              </w:rPr>
            </w:pPr>
            <w:r>
              <w:rPr>
                <w:sz w:val="21"/>
              </w:rPr>
              <w:t>特别声明：我们将在被保险人年龄在三周岁或以上时受理理赔，并且保险金申请人必须提供理赔受理当时的听力丧失诊断及检查证据。若被保险人发病时未满三周岁，我们将延期到被保险人年满三周岁后予以受理和评估。</w:t>
            </w:r>
          </w:p>
        </w:tc>
      </w:tr>
      <w:tr>
        <w:trPr>
          <w:trHeight w:val="461" w:hRule="atLeast"/>
        </w:trPr>
        <w:tc>
          <w:tcPr>
            <w:tcW w:w="759" w:type="dxa"/>
          </w:tcPr>
          <w:p>
            <w:pPr>
              <w:pStyle w:val="TableParagraph"/>
              <w:spacing w:before="168"/>
              <w:ind w:left="50"/>
              <w:rPr>
                <w:rFonts w:ascii="Times New Roman"/>
                <w:sz w:val="21"/>
              </w:rPr>
            </w:pPr>
            <w:r>
              <w:rPr>
                <w:rFonts w:ascii="Times New Roman"/>
                <w:sz w:val="21"/>
              </w:rPr>
              <w:t>6.14</w:t>
            </w:r>
          </w:p>
        </w:tc>
        <w:tc>
          <w:tcPr>
            <w:tcW w:w="1817" w:type="dxa"/>
          </w:tcPr>
          <w:p>
            <w:pPr>
              <w:pStyle w:val="TableParagraph"/>
              <w:spacing w:before="123"/>
              <w:ind w:left="342"/>
              <w:rPr>
                <w:b/>
                <w:sz w:val="21"/>
              </w:rPr>
            </w:pPr>
            <w:r>
              <w:rPr>
                <w:b/>
                <w:w w:val="95"/>
                <w:sz w:val="21"/>
              </w:rPr>
              <w:t>双目失明</w:t>
            </w:r>
          </w:p>
        </w:tc>
        <w:tc>
          <w:tcPr>
            <w:tcW w:w="6798" w:type="dxa"/>
          </w:tcPr>
          <w:p>
            <w:pPr>
              <w:pStyle w:val="TableParagraph"/>
              <w:spacing w:before="123"/>
              <w:ind w:left="110"/>
              <w:rPr>
                <w:sz w:val="21"/>
              </w:rPr>
            </w:pPr>
            <w:r>
              <w:rPr>
                <w:sz w:val="21"/>
              </w:rPr>
              <w:t>指因疾病或意外伤害导致双眼视力永久不可逆性丧失，双眼中较好眼</w:t>
            </w:r>
          </w:p>
        </w:tc>
      </w:tr>
      <w:tr>
        <w:trPr>
          <w:trHeight w:val="300" w:hRule="atLeast"/>
        </w:trPr>
        <w:tc>
          <w:tcPr>
            <w:tcW w:w="759" w:type="dxa"/>
          </w:tcPr>
          <w:p>
            <w:pPr>
              <w:pStyle w:val="TableParagraph"/>
              <w:rPr>
                <w:rFonts w:ascii="Times New Roman"/>
                <w:sz w:val="20"/>
              </w:rPr>
            </w:pPr>
          </w:p>
        </w:tc>
        <w:tc>
          <w:tcPr>
            <w:tcW w:w="1817" w:type="dxa"/>
          </w:tcPr>
          <w:p>
            <w:pPr>
              <w:pStyle w:val="TableParagraph"/>
              <w:rPr>
                <w:rFonts w:ascii="Times New Roman"/>
                <w:sz w:val="20"/>
              </w:rPr>
            </w:pPr>
          </w:p>
        </w:tc>
        <w:tc>
          <w:tcPr>
            <w:tcW w:w="6798" w:type="dxa"/>
          </w:tcPr>
          <w:p>
            <w:pPr>
              <w:pStyle w:val="TableParagraph"/>
              <w:spacing w:line="249" w:lineRule="exact"/>
              <w:ind w:left="110"/>
              <w:rPr>
                <w:sz w:val="21"/>
              </w:rPr>
            </w:pPr>
            <w:r>
              <w:rPr>
                <w:sz w:val="21"/>
              </w:rPr>
              <w:t>须满足下列至少一项条件：</w:t>
            </w:r>
          </w:p>
        </w:tc>
      </w:tr>
      <w:tr>
        <w:trPr>
          <w:trHeight w:val="317" w:hRule="atLeast"/>
        </w:trPr>
        <w:tc>
          <w:tcPr>
            <w:tcW w:w="759" w:type="dxa"/>
          </w:tcPr>
          <w:p>
            <w:pPr>
              <w:pStyle w:val="TableParagraph"/>
              <w:rPr>
                <w:rFonts w:ascii="Times New Roman"/>
                <w:sz w:val="20"/>
              </w:rPr>
            </w:pPr>
          </w:p>
        </w:tc>
        <w:tc>
          <w:tcPr>
            <w:tcW w:w="1817" w:type="dxa"/>
          </w:tcPr>
          <w:p>
            <w:pPr>
              <w:pStyle w:val="TableParagraph"/>
              <w:rPr>
                <w:rFonts w:ascii="Times New Roman"/>
                <w:sz w:val="20"/>
              </w:rPr>
            </w:pPr>
          </w:p>
        </w:tc>
        <w:tc>
          <w:tcPr>
            <w:tcW w:w="6798" w:type="dxa"/>
          </w:tcPr>
          <w:p>
            <w:pPr>
              <w:pStyle w:val="TableParagraph"/>
              <w:spacing w:line="276" w:lineRule="exact"/>
              <w:ind w:left="110"/>
              <w:rPr>
                <w:sz w:val="21"/>
              </w:rPr>
            </w:pPr>
            <w:r>
              <w:rPr>
                <w:sz w:val="21"/>
              </w:rPr>
              <w:t>（</w:t>
            </w:r>
            <w:r>
              <w:rPr>
                <w:rFonts w:ascii="Times New Roman" w:eastAsia="Times New Roman"/>
                <w:sz w:val="21"/>
              </w:rPr>
              <w:t>1</w:t>
            </w:r>
            <w:r>
              <w:rPr>
                <w:sz w:val="21"/>
              </w:rPr>
              <w:t>）眼球缺失或摘除；</w:t>
            </w:r>
          </w:p>
        </w:tc>
      </w:tr>
      <w:tr>
        <w:trPr>
          <w:trHeight w:val="317" w:hRule="atLeast"/>
        </w:trPr>
        <w:tc>
          <w:tcPr>
            <w:tcW w:w="759" w:type="dxa"/>
          </w:tcPr>
          <w:p>
            <w:pPr>
              <w:pStyle w:val="TableParagraph"/>
              <w:rPr>
                <w:rFonts w:ascii="Times New Roman"/>
                <w:sz w:val="20"/>
              </w:rPr>
            </w:pPr>
          </w:p>
        </w:tc>
        <w:tc>
          <w:tcPr>
            <w:tcW w:w="1817" w:type="dxa"/>
          </w:tcPr>
          <w:p>
            <w:pPr>
              <w:pStyle w:val="TableParagraph"/>
              <w:rPr>
                <w:rFonts w:ascii="Times New Roman"/>
                <w:sz w:val="20"/>
              </w:rPr>
            </w:pPr>
          </w:p>
        </w:tc>
        <w:tc>
          <w:tcPr>
            <w:tcW w:w="6798" w:type="dxa"/>
          </w:tcPr>
          <w:p>
            <w:pPr>
              <w:pStyle w:val="TableParagraph"/>
              <w:spacing w:line="270" w:lineRule="exact"/>
              <w:ind w:left="110"/>
              <w:rPr>
                <w:sz w:val="21"/>
              </w:rPr>
            </w:pPr>
            <w:r>
              <w:rPr>
                <w:sz w:val="21"/>
              </w:rPr>
              <w:t>（</w:t>
            </w:r>
            <w:r>
              <w:rPr>
                <w:rFonts w:ascii="Times New Roman" w:eastAsia="Times New Roman"/>
                <w:sz w:val="21"/>
              </w:rPr>
              <w:t>2</w:t>
            </w:r>
            <w:r>
              <w:rPr>
                <w:sz w:val="21"/>
              </w:rPr>
              <w:t>）矫正视力低于 </w:t>
            </w:r>
            <w:r>
              <w:rPr>
                <w:rFonts w:ascii="Times New Roman" w:eastAsia="Times New Roman"/>
                <w:sz w:val="21"/>
              </w:rPr>
              <w:t>0.02</w:t>
            </w:r>
            <w:r>
              <w:rPr>
                <w:sz w:val="21"/>
              </w:rPr>
              <w:t>（采用国际标准视力表，如果使用其它视力表</w:t>
            </w:r>
          </w:p>
        </w:tc>
      </w:tr>
      <w:tr>
        <w:trPr>
          <w:trHeight w:val="255" w:hRule="atLeast"/>
        </w:trPr>
        <w:tc>
          <w:tcPr>
            <w:tcW w:w="759" w:type="dxa"/>
          </w:tcPr>
          <w:p>
            <w:pPr>
              <w:pStyle w:val="TableParagraph"/>
              <w:rPr>
                <w:rFonts w:ascii="Times New Roman"/>
                <w:sz w:val="18"/>
              </w:rPr>
            </w:pPr>
          </w:p>
        </w:tc>
        <w:tc>
          <w:tcPr>
            <w:tcW w:w="1817" w:type="dxa"/>
          </w:tcPr>
          <w:p>
            <w:pPr>
              <w:pStyle w:val="TableParagraph"/>
              <w:rPr>
                <w:rFonts w:ascii="Times New Roman"/>
                <w:sz w:val="18"/>
              </w:rPr>
            </w:pPr>
          </w:p>
        </w:tc>
        <w:tc>
          <w:tcPr>
            <w:tcW w:w="6798" w:type="dxa"/>
          </w:tcPr>
          <w:p>
            <w:pPr>
              <w:pStyle w:val="TableParagraph"/>
              <w:spacing w:line="235" w:lineRule="exact"/>
              <w:ind w:left="110"/>
              <w:rPr>
                <w:sz w:val="21"/>
              </w:rPr>
            </w:pPr>
            <w:r>
              <w:rPr>
                <w:sz w:val="21"/>
              </w:rPr>
              <w:t>应进行换算）；</w:t>
            </w:r>
          </w:p>
        </w:tc>
      </w:tr>
    </w:tbl>
    <w:p>
      <w:pPr>
        <w:spacing w:after="0" w:line="235" w:lineRule="exact"/>
        <w:rPr>
          <w:sz w:val="21"/>
        </w:rPr>
        <w:sectPr>
          <w:pgSz w:w="11900" w:h="16840"/>
          <w:pgMar w:header="0" w:footer="866" w:top="1300" w:bottom="1060" w:left="1000" w:right="1300"/>
        </w:sectPr>
      </w:pPr>
    </w:p>
    <w:p>
      <w:pPr>
        <w:pStyle w:val="BodyText"/>
        <w:spacing w:line="283" w:lineRule="exact" w:before="28"/>
        <w:ind w:left="2744"/>
      </w:pPr>
      <w:r>
        <w:rPr/>
        <w:t>（</w:t>
      </w:r>
      <w:r>
        <w:rPr>
          <w:rFonts w:ascii="Times New Roman" w:eastAsia="Times New Roman"/>
        </w:rPr>
        <w:t>3</w:t>
      </w:r>
      <w:r>
        <w:rPr/>
        <w:t>）视野半径小于 </w:t>
      </w:r>
      <w:r>
        <w:rPr>
          <w:rFonts w:ascii="Times New Roman" w:eastAsia="Times New Roman"/>
        </w:rPr>
        <w:t>5 </w:t>
      </w:r>
      <w:r>
        <w:rPr/>
        <w:t>度。</w:t>
      </w:r>
    </w:p>
    <w:p>
      <w:pPr>
        <w:pStyle w:val="BodyText"/>
        <w:spacing w:line="208" w:lineRule="auto" w:before="27"/>
        <w:ind w:left="2744" w:right="367"/>
        <w:jc w:val="both"/>
      </w:pPr>
      <w:r>
        <w:rPr/>
        <w:t>特别声明：我们将在被保险人年龄在三周岁或以上时受理理赔，并且保险金申请人必须提供理赔受理当时的视力丧失诊断及检查证据。若被保险人发病时未满三周岁，我们将延期到被保险人年满三周岁后予以受理和评估。</w:t>
      </w:r>
    </w:p>
    <w:p>
      <w:pPr>
        <w:pStyle w:val="BodyText"/>
        <w:spacing w:before="12"/>
        <w:rPr>
          <w:sz w:val="17"/>
        </w:rPr>
      </w:pPr>
    </w:p>
    <w:p>
      <w:pPr>
        <w:pStyle w:val="ListParagraph"/>
        <w:numPr>
          <w:ilvl w:val="1"/>
          <w:numId w:val="5"/>
        </w:numPr>
        <w:tabs>
          <w:tab w:pos="1157" w:val="left" w:leader="none"/>
          <w:tab w:pos="1158" w:val="left" w:leader="none"/>
          <w:tab w:pos="2743" w:val="left" w:leader="none"/>
        </w:tabs>
        <w:spacing w:line="266" w:lineRule="auto" w:before="0" w:after="0"/>
        <w:ind w:left="2744" w:right="325" w:hanging="2638"/>
        <w:jc w:val="both"/>
        <w:rPr>
          <w:sz w:val="21"/>
        </w:rPr>
      </w:pPr>
      <w:r>
        <w:rPr>
          <w:b/>
          <w:sz w:val="21"/>
        </w:rPr>
        <w:t>瘫痪</w:t>
        <w:tab/>
      </w:r>
      <w:r>
        <w:rPr>
          <w:sz w:val="21"/>
        </w:rPr>
        <w:t>指因疾病或意外伤害导致两肢或两肢以上肢体机能永久完全丧失</w:t>
      </w:r>
      <w:r>
        <w:rPr>
          <w:spacing w:val="-80"/>
          <w:sz w:val="21"/>
        </w:rPr>
        <w:t>。</w:t>
      </w:r>
      <w:r>
        <w:rPr>
          <w:sz w:val="21"/>
        </w:rPr>
        <w:t>肢体</w:t>
      </w:r>
      <w:r>
        <w:rPr>
          <w:spacing w:val="5"/>
          <w:sz w:val="21"/>
        </w:rPr>
        <w:t>机能永久完全丧失，指疾病确</w:t>
      </w:r>
      <w:r>
        <w:rPr>
          <w:sz w:val="21"/>
        </w:rPr>
        <w:t>诊</w:t>
      </w:r>
      <w:r>
        <w:rPr>
          <w:spacing w:val="-52"/>
          <w:sz w:val="21"/>
        </w:rPr>
        <w:t> </w:t>
      </w:r>
      <w:r>
        <w:rPr>
          <w:rFonts w:ascii="Times New Roman" w:eastAsia="Times New Roman"/>
          <w:position w:val="1"/>
          <w:sz w:val="21"/>
        </w:rPr>
        <w:t>180</w:t>
      </w:r>
      <w:r>
        <w:rPr>
          <w:rFonts w:ascii="Times New Roman" w:eastAsia="Times New Roman"/>
          <w:spacing w:val="-3"/>
          <w:position w:val="1"/>
          <w:sz w:val="21"/>
        </w:rPr>
        <w:t> </w:t>
      </w:r>
      <w:r>
        <w:rPr>
          <w:spacing w:val="5"/>
          <w:sz w:val="21"/>
        </w:rPr>
        <w:t>天后或意外伤害发</w:t>
      </w:r>
      <w:r>
        <w:rPr>
          <w:sz w:val="21"/>
        </w:rPr>
        <w:t>生</w:t>
      </w:r>
      <w:r>
        <w:rPr>
          <w:spacing w:val="-54"/>
          <w:sz w:val="21"/>
        </w:rPr>
        <w:t> </w:t>
      </w:r>
      <w:r>
        <w:rPr>
          <w:rFonts w:ascii="Times New Roman" w:eastAsia="Times New Roman"/>
          <w:position w:val="1"/>
          <w:sz w:val="21"/>
        </w:rPr>
        <w:t>180</w:t>
      </w:r>
      <w:r>
        <w:rPr>
          <w:rFonts w:ascii="Times New Roman" w:eastAsia="Times New Roman"/>
          <w:spacing w:val="-3"/>
          <w:position w:val="1"/>
          <w:sz w:val="21"/>
        </w:rPr>
        <w:t> </w:t>
      </w:r>
      <w:r>
        <w:rPr>
          <w:spacing w:val="5"/>
          <w:sz w:val="21"/>
        </w:rPr>
        <w:t>天后</w:t>
      </w:r>
      <w:r>
        <w:rPr>
          <w:sz w:val="21"/>
        </w:rPr>
        <w:t>， 每肢三大关节中的两大关节仍然完全僵硬，或不能随意识活动。</w:t>
      </w:r>
    </w:p>
    <w:p>
      <w:pPr>
        <w:pStyle w:val="BodyText"/>
        <w:spacing w:before="11"/>
        <w:rPr>
          <w:sz w:val="24"/>
        </w:rPr>
      </w:pPr>
    </w:p>
    <w:p>
      <w:pPr>
        <w:pStyle w:val="ListParagraph"/>
        <w:numPr>
          <w:ilvl w:val="1"/>
          <w:numId w:val="5"/>
        </w:numPr>
        <w:tabs>
          <w:tab w:pos="1157" w:val="left" w:leader="none"/>
          <w:tab w:pos="1158" w:val="left" w:leader="none"/>
        </w:tabs>
        <w:spacing w:line="266" w:lineRule="auto" w:before="1" w:after="0"/>
        <w:ind w:left="2744" w:right="339" w:hanging="2638"/>
        <w:jc w:val="both"/>
        <w:rPr>
          <w:sz w:val="21"/>
        </w:rPr>
      </w:pPr>
      <w:r>
        <w:rPr>
          <w:b/>
          <w:spacing w:val="6"/>
          <w:sz w:val="21"/>
        </w:rPr>
        <w:t>心脏瓣膜手术  </w:t>
      </w:r>
      <w:r>
        <w:rPr>
          <w:sz w:val="21"/>
        </w:rPr>
        <w:t>指为治疗心脏瓣膜疾病，实际实施了开胸进行的心脏瓣膜置换或修复的手术。</w:t>
      </w:r>
    </w:p>
    <w:p>
      <w:pPr>
        <w:pStyle w:val="BodyText"/>
        <w:spacing w:before="4"/>
        <w:rPr>
          <w:sz w:val="15"/>
        </w:rPr>
      </w:pPr>
    </w:p>
    <w:p>
      <w:pPr>
        <w:spacing w:after="0"/>
        <w:rPr>
          <w:sz w:val="15"/>
        </w:rPr>
        <w:sectPr>
          <w:pgSz w:w="11900" w:h="16840"/>
          <w:pgMar w:header="0" w:footer="866" w:top="1200" w:bottom="1060" w:left="1620" w:right="780"/>
        </w:sectPr>
      </w:pPr>
    </w:p>
    <w:p>
      <w:pPr>
        <w:pStyle w:val="Heading3"/>
        <w:numPr>
          <w:ilvl w:val="1"/>
          <w:numId w:val="5"/>
        </w:numPr>
        <w:tabs>
          <w:tab w:pos="1157" w:val="left" w:leader="none"/>
          <w:tab w:pos="1158" w:val="left" w:leader="none"/>
        </w:tabs>
        <w:spacing w:line="256" w:lineRule="auto" w:before="46" w:after="0"/>
        <w:ind w:left="1158" w:right="0" w:hanging="1052"/>
        <w:jc w:val="left"/>
      </w:pPr>
      <w:r>
        <w:rPr>
          <w:spacing w:val="15"/>
        </w:rPr>
        <w:t>严重阿尔茨海</w:t>
      </w:r>
      <w:r>
        <w:rPr>
          <w:spacing w:val="15"/>
          <w:w w:val="95"/>
        </w:rPr>
        <w:t>默病</w:t>
      </w:r>
    </w:p>
    <w:p>
      <w:pPr>
        <w:pStyle w:val="BodyText"/>
        <w:spacing w:line="264" w:lineRule="auto" w:before="46"/>
        <w:ind w:left="106" w:right="325"/>
        <w:jc w:val="both"/>
      </w:pPr>
      <w:r>
        <w:rPr/>
        <w:br w:type="column"/>
      </w:r>
      <w:r>
        <w:rPr>
          <w:spacing w:val="-9"/>
        </w:rPr>
        <w:t>指因大脑进行性、不可逆性改变导致智能严重衰退或丧失，临床表现为</w:t>
      </w:r>
      <w:r>
        <w:rPr>
          <w:spacing w:val="-13"/>
        </w:rPr>
        <w:t>明显的认知能力障碍、行为异常和社交能力减退，其日常生活必须持续</w:t>
      </w:r>
      <w:r>
        <w:rPr>
          <w:spacing w:val="-8"/>
        </w:rPr>
        <w:t>受到他人监护。须由头颅断层扫描</w:t>
      </w:r>
      <w:r>
        <w:rPr/>
        <w:t>（</w:t>
      </w:r>
      <w:r>
        <w:rPr>
          <w:rFonts w:ascii="Times New Roman" w:eastAsia="Times New Roman"/>
        </w:rPr>
        <w:t>CT</w:t>
      </w:r>
      <w:r>
        <w:rPr/>
        <w:t>）</w:t>
      </w:r>
      <w:r>
        <w:rPr>
          <w:spacing w:val="-9"/>
        </w:rPr>
        <w:t>、核磁共振检查</w:t>
      </w:r>
      <w:r>
        <w:rPr/>
        <w:t>（</w:t>
      </w:r>
      <w:r>
        <w:rPr>
          <w:rFonts w:ascii="Times New Roman" w:eastAsia="Times New Roman"/>
        </w:rPr>
        <w:t>MRI</w:t>
      </w:r>
      <w:r>
        <w:rPr/>
        <w:t>）或正</w:t>
      </w:r>
      <w:r>
        <w:rPr>
          <w:spacing w:val="5"/>
        </w:rPr>
        <w:t>电子发射断层扫描</w:t>
      </w:r>
      <w:r>
        <w:rPr>
          <w:spacing w:val="2"/>
        </w:rPr>
        <w:t>（</w:t>
      </w:r>
      <w:r>
        <w:rPr>
          <w:rFonts w:ascii="Times New Roman" w:eastAsia="Times New Roman"/>
          <w:spacing w:val="2"/>
        </w:rPr>
        <w:t>PET</w:t>
      </w:r>
      <w:r>
        <w:rPr>
          <w:spacing w:val="2"/>
        </w:rPr>
        <w:t>）</w:t>
      </w:r>
      <w:r>
        <w:rPr>
          <w:spacing w:val="3"/>
        </w:rPr>
        <w:t>等影像学检查证实，且自主生活能力完全丧失，无法独立完成六项基本日常生活活动中的三项或三项以上。</w:t>
      </w:r>
    </w:p>
    <w:p>
      <w:pPr>
        <w:pStyle w:val="BodyText"/>
        <w:spacing w:before="16"/>
        <w:ind w:left="106"/>
        <w:jc w:val="both"/>
      </w:pPr>
      <w:r>
        <w:rPr/>
        <w:t>神经官能症和精神疾病不在保障范围内。</w:t>
      </w:r>
    </w:p>
    <w:p>
      <w:pPr>
        <w:spacing w:after="0"/>
        <w:jc w:val="both"/>
        <w:sectPr>
          <w:type w:val="continuous"/>
          <w:pgSz w:w="11900" w:h="16840"/>
          <w:pgMar w:top="160" w:bottom="280" w:left="1620" w:right="780"/>
          <w:cols w:num="2" w:equalWidth="0">
            <w:col w:w="2523" w:space="115"/>
            <w:col w:w="6862"/>
          </w:cols>
        </w:sectPr>
      </w:pPr>
    </w:p>
    <w:p>
      <w:pPr>
        <w:pStyle w:val="BodyText"/>
        <w:spacing w:before="2"/>
        <w:rPr>
          <w:sz w:val="23"/>
        </w:rPr>
      </w:pPr>
    </w:p>
    <w:p>
      <w:pPr>
        <w:pStyle w:val="ListParagraph"/>
        <w:numPr>
          <w:ilvl w:val="1"/>
          <w:numId w:val="5"/>
        </w:numPr>
        <w:tabs>
          <w:tab w:pos="1157" w:val="left" w:leader="none"/>
          <w:tab w:pos="1158" w:val="left" w:leader="none"/>
        </w:tabs>
        <w:spacing w:line="256" w:lineRule="auto" w:before="46" w:after="0"/>
        <w:ind w:left="2744" w:right="327" w:hanging="2638"/>
        <w:jc w:val="both"/>
        <w:rPr>
          <w:sz w:val="21"/>
        </w:rPr>
      </w:pPr>
      <w:r>
        <w:rPr>
          <w:b/>
          <w:spacing w:val="3"/>
          <w:sz w:val="21"/>
        </w:rPr>
        <w:t>严重脑损伤    </w:t>
      </w:r>
      <w:r>
        <w:rPr>
          <w:sz w:val="21"/>
        </w:rPr>
        <w:t>指因头部遭受机械性外力，引起脑重要部位损伤，导致神经系统永久</w:t>
      </w:r>
      <w:r>
        <w:rPr>
          <w:spacing w:val="-8"/>
          <w:sz w:val="21"/>
        </w:rPr>
        <w:t>性的功能障碍。须由头颅断层扫描</w:t>
      </w:r>
      <w:r>
        <w:rPr>
          <w:sz w:val="21"/>
        </w:rPr>
        <w:t>（</w:t>
      </w:r>
      <w:r>
        <w:rPr>
          <w:rFonts w:ascii="Times New Roman" w:eastAsia="Times New Roman"/>
          <w:sz w:val="21"/>
        </w:rPr>
        <w:t>CT</w:t>
      </w:r>
      <w:r>
        <w:rPr>
          <w:sz w:val="21"/>
        </w:rPr>
        <w:t>）</w:t>
      </w:r>
      <w:r>
        <w:rPr>
          <w:spacing w:val="-9"/>
          <w:sz w:val="21"/>
        </w:rPr>
        <w:t>、核磁共振检查</w:t>
      </w: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w:t>
      </w:r>
      <w:r>
        <w:rPr>
          <w:spacing w:val="-4"/>
          <w:sz w:val="21"/>
        </w:rPr>
        <w:t>等影像学检查证实。神经系统永久性的功能</w:t>
      </w:r>
      <w:r>
        <w:rPr>
          <w:spacing w:val="-12"/>
          <w:sz w:val="21"/>
        </w:rPr>
        <w:t>障碍，指脑损伤 </w:t>
      </w:r>
      <w:r>
        <w:rPr>
          <w:rFonts w:ascii="Times New Roman" w:eastAsia="Times New Roman"/>
          <w:sz w:val="21"/>
        </w:rPr>
        <w:t>180</w:t>
      </w:r>
      <w:r>
        <w:rPr>
          <w:rFonts w:ascii="Times New Roman" w:eastAsia="Times New Roman"/>
          <w:spacing w:val="-11"/>
          <w:sz w:val="21"/>
        </w:rPr>
        <w:t> </w:t>
      </w:r>
      <w:r>
        <w:rPr>
          <w:sz w:val="21"/>
        </w:rPr>
        <w:t>天后，仍遗留下列一种或一种以上障碍：</w:t>
      </w:r>
    </w:p>
    <w:p>
      <w:pPr>
        <w:pStyle w:val="BodyText"/>
        <w:spacing w:before="5"/>
        <w:ind w:left="2744"/>
      </w:pPr>
      <w:r>
        <w:rPr/>
        <w:t>（</w:t>
      </w:r>
      <w:r>
        <w:rPr>
          <w:rFonts w:ascii="Times New Roman" w:eastAsia="Times New Roman"/>
        </w:rPr>
        <w:t>1</w:t>
      </w:r>
      <w:r>
        <w:rPr/>
        <w:t>）一肢或一肢以上肢体机能完全丧失；</w:t>
      </w:r>
    </w:p>
    <w:p>
      <w:pPr>
        <w:pStyle w:val="BodyText"/>
        <w:spacing w:before="21"/>
        <w:ind w:left="2744"/>
      </w:pPr>
      <w:r>
        <w:rPr/>
        <w:t>（</w:t>
      </w:r>
      <w:r>
        <w:rPr>
          <w:rFonts w:ascii="Times New Roman" w:eastAsia="Times New Roman"/>
        </w:rPr>
        <w:t>2</w:t>
      </w:r>
      <w:r>
        <w:rPr/>
        <w:t>）语言能力或咀嚼吞咽能力完全丧失；</w:t>
      </w:r>
    </w:p>
    <w:p>
      <w:pPr>
        <w:pStyle w:val="BodyText"/>
        <w:spacing w:line="256" w:lineRule="auto" w:before="21"/>
        <w:ind w:left="2744" w:right="310"/>
      </w:pPr>
      <w:r>
        <w:rPr/>
        <w:t>（</w:t>
      </w:r>
      <w:r>
        <w:rPr>
          <w:rFonts w:ascii="Times New Roman" w:eastAsia="Times New Roman"/>
        </w:rPr>
        <w:t>3</w:t>
      </w:r>
      <w:r>
        <w:rPr/>
        <w:t>）自主生活能力完全丧失，无法独立完成六项基本日常生活活动中的三项或三项以上。</w:t>
      </w:r>
    </w:p>
    <w:p>
      <w:pPr>
        <w:pStyle w:val="BodyText"/>
        <w:spacing w:before="7"/>
        <w:rPr>
          <w:sz w:val="19"/>
        </w:rPr>
      </w:pPr>
    </w:p>
    <w:p>
      <w:pPr>
        <w:pStyle w:val="ListParagraph"/>
        <w:numPr>
          <w:ilvl w:val="1"/>
          <w:numId w:val="5"/>
        </w:numPr>
        <w:tabs>
          <w:tab w:pos="1157" w:val="left" w:leader="none"/>
          <w:tab w:pos="1158" w:val="left" w:leader="none"/>
          <w:tab w:pos="2743" w:val="left" w:leader="none"/>
        </w:tabs>
        <w:spacing w:line="240" w:lineRule="auto" w:before="0" w:after="0"/>
        <w:ind w:left="2744" w:right="0" w:hanging="2638"/>
        <w:jc w:val="left"/>
        <w:rPr>
          <w:sz w:val="21"/>
        </w:rPr>
      </w:pPr>
      <w:r>
        <w:rPr>
          <w:b/>
          <w:sz w:val="21"/>
        </w:rPr>
        <w:t>严重帕金森病</w:t>
        <w:tab/>
      </w:r>
      <w:r>
        <w:rPr>
          <w:spacing w:val="-1"/>
          <w:sz w:val="21"/>
        </w:rPr>
        <w:t>是一</w:t>
      </w:r>
      <w:r>
        <w:rPr>
          <w:sz w:val="21"/>
        </w:rPr>
        <w:t>种中枢神经系统的退行性疾病，临床表现为震颤麻痹</w:t>
      </w:r>
      <w:r>
        <w:rPr>
          <w:spacing w:val="-80"/>
          <w:sz w:val="21"/>
        </w:rPr>
        <w:t>、</w:t>
      </w:r>
      <w:r>
        <w:rPr>
          <w:sz w:val="21"/>
        </w:rPr>
        <w:t>共济失调等。</w:t>
      </w:r>
    </w:p>
    <w:p>
      <w:pPr>
        <w:pStyle w:val="BodyText"/>
        <w:spacing w:before="30"/>
        <w:ind w:left="2744"/>
      </w:pPr>
      <w:r>
        <w:rPr/>
        <w:t>须满足下列全部条件：</w:t>
      </w:r>
    </w:p>
    <w:p>
      <w:pPr>
        <w:pStyle w:val="BodyText"/>
        <w:spacing w:before="36"/>
        <w:ind w:left="2744"/>
      </w:pPr>
      <w:r>
        <w:rPr/>
        <w:t>（</w:t>
      </w:r>
      <w:r>
        <w:rPr>
          <w:rFonts w:ascii="Times New Roman" w:eastAsia="Times New Roman"/>
          <w:position w:val="1"/>
        </w:rPr>
        <w:t>1</w:t>
      </w:r>
      <w:r>
        <w:rPr/>
        <w:t>）药物治疗无法控制病情；</w:t>
      </w:r>
    </w:p>
    <w:p>
      <w:pPr>
        <w:pStyle w:val="BodyText"/>
        <w:spacing w:line="266" w:lineRule="auto" w:before="30"/>
        <w:ind w:left="2744" w:right="310"/>
      </w:pPr>
      <w:r>
        <w:rPr/>
        <w:t>（</w:t>
      </w:r>
      <w:r>
        <w:rPr>
          <w:rFonts w:ascii="Times New Roman" w:eastAsia="Times New Roman"/>
          <w:position w:val="1"/>
        </w:rPr>
        <w:t>2</w:t>
      </w:r>
      <w:r>
        <w:rPr/>
        <w:t>）自主生活能力完全丧失，无法独立完成六项基本日常生活活动中的三项或三项以上。</w:t>
      </w:r>
    </w:p>
    <w:p>
      <w:pPr>
        <w:pStyle w:val="BodyText"/>
        <w:spacing w:before="13"/>
        <w:ind w:left="2744"/>
      </w:pPr>
      <w:r>
        <w:rPr/>
        <w:t>继发性帕金森综合征不在保障范围内。</w:t>
      </w:r>
    </w:p>
    <w:p>
      <w:pPr>
        <w:pStyle w:val="BodyText"/>
        <w:spacing w:before="7"/>
        <w:rPr>
          <w:sz w:val="20"/>
        </w:rPr>
      </w:pPr>
    </w:p>
    <w:p>
      <w:pPr>
        <w:pStyle w:val="ListParagraph"/>
        <w:numPr>
          <w:ilvl w:val="1"/>
          <w:numId w:val="5"/>
        </w:numPr>
        <w:tabs>
          <w:tab w:pos="1157" w:val="left" w:leader="none"/>
          <w:tab w:pos="1158" w:val="left" w:leader="none"/>
          <w:tab w:pos="2743" w:val="left" w:leader="none"/>
        </w:tabs>
        <w:spacing w:line="240" w:lineRule="auto" w:before="0" w:after="0"/>
        <w:ind w:left="2744" w:right="0" w:hanging="2638"/>
        <w:jc w:val="left"/>
        <w:rPr>
          <w:sz w:val="21"/>
        </w:rPr>
      </w:pPr>
      <w:r>
        <w:rPr>
          <w:b/>
          <w:sz w:val="21"/>
        </w:rPr>
        <w:t>严重</w:t>
      </w:r>
      <w:r>
        <w:rPr>
          <w:sz w:val="21"/>
        </w:rPr>
        <w:t>Ⅲ</w:t>
      </w:r>
      <w:r>
        <w:rPr>
          <w:b/>
          <w:sz w:val="21"/>
        </w:rPr>
        <w:t>度烧伤</w:t>
        <w:tab/>
      </w:r>
      <w:r>
        <w:rPr>
          <w:spacing w:val="6"/>
          <w:sz w:val="21"/>
        </w:rPr>
        <w:t>指烧伤程</w:t>
      </w:r>
      <w:r>
        <w:rPr>
          <w:spacing w:val="5"/>
          <w:sz w:val="21"/>
        </w:rPr>
        <w:t>度</w:t>
      </w:r>
      <w:r>
        <w:rPr>
          <w:spacing w:val="10"/>
          <w:sz w:val="21"/>
        </w:rPr>
        <w:t>为</w:t>
      </w:r>
      <w:r>
        <w:rPr>
          <w:spacing w:val="6"/>
          <w:sz w:val="21"/>
        </w:rPr>
        <w:t>Ⅲ</w:t>
      </w:r>
      <w:r>
        <w:rPr>
          <w:spacing w:val="5"/>
          <w:sz w:val="21"/>
        </w:rPr>
        <w:t>度</w:t>
      </w:r>
      <w:r>
        <w:rPr>
          <w:spacing w:val="6"/>
          <w:sz w:val="21"/>
        </w:rPr>
        <w:t>，且Ⅲ度烧伤</w:t>
      </w:r>
      <w:r>
        <w:rPr>
          <w:spacing w:val="5"/>
          <w:sz w:val="21"/>
        </w:rPr>
        <w:t>的</w:t>
      </w:r>
      <w:r>
        <w:rPr>
          <w:spacing w:val="6"/>
          <w:sz w:val="21"/>
        </w:rPr>
        <w:t>面积达</w:t>
      </w:r>
      <w:r>
        <w:rPr>
          <w:spacing w:val="5"/>
          <w:sz w:val="21"/>
        </w:rPr>
        <w:t>到全</w:t>
      </w:r>
      <w:r>
        <w:rPr>
          <w:spacing w:val="6"/>
          <w:sz w:val="21"/>
        </w:rPr>
        <w:t>身</w:t>
      </w:r>
      <w:r>
        <w:rPr>
          <w:spacing w:val="5"/>
          <w:sz w:val="21"/>
        </w:rPr>
        <w:t>体</w:t>
      </w:r>
      <w:r>
        <w:rPr>
          <w:spacing w:val="6"/>
          <w:sz w:val="21"/>
        </w:rPr>
        <w:t>表面积</w:t>
      </w:r>
      <w:r>
        <w:rPr>
          <w:sz w:val="21"/>
        </w:rPr>
        <w:t>的</w:t>
      </w:r>
      <w:r>
        <w:rPr>
          <w:spacing w:val="-38"/>
          <w:sz w:val="21"/>
        </w:rPr>
        <w:t> </w:t>
      </w:r>
      <w:r>
        <w:rPr>
          <w:rFonts w:ascii="Times New Roman" w:hAnsi="Times New Roman" w:eastAsia="Times New Roman"/>
          <w:spacing w:val="1"/>
          <w:sz w:val="21"/>
        </w:rPr>
        <w:t>20</w:t>
      </w:r>
      <w:r>
        <w:rPr>
          <w:spacing w:val="1"/>
          <w:sz w:val="21"/>
        </w:rPr>
        <w:t>％</w:t>
      </w:r>
      <w:r>
        <w:rPr>
          <w:spacing w:val="-22"/>
          <w:sz w:val="21"/>
        </w:rPr>
        <w:t> </w:t>
      </w:r>
      <w:r>
        <w:rPr>
          <w:sz w:val="21"/>
        </w:rPr>
        <w:t>或</w:t>
      </w:r>
    </w:p>
    <w:p>
      <w:pPr>
        <w:pStyle w:val="BodyText"/>
        <w:spacing w:before="21"/>
        <w:ind w:left="2744"/>
      </w:pPr>
      <w:r>
        <w:rPr>
          <w:rFonts w:ascii="Times New Roman" w:eastAsia="Times New Roman"/>
        </w:rPr>
        <w:t>20</w:t>
      </w:r>
      <w:r>
        <w:rPr/>
        <w:t>％以上。体表面积根据《中国新九分法》计算。</w:t>
      </w:r>
    </w:p>
    <w:p>
      <w:pPr>
        <w:pStyle w:val="BodyText"/>
        <w:spacing w:before="10"/>
        <w:rPr>
          <w:sz w:val="15"/>
        </w:rPr>
      </w:pPr>
    </w:p>
    <w:p>
      <w:pPr>
        <w:spacing w:after="0"/>
        <w:rPr>
          <w:sz w:val="15"/>
        </w:rPr>
        <w:sectPr>
          <w:type w:val="continuous"/>
          <w:pgSz w:w="11900" w:h="16840"/>
          <w:pgMar w:top="160" w:bottom="280" w:left="1620" w:right="780"/>
        </w:sectPr>
      </w:pPr>
    </w:p>
    <w:p>
      <w:pPr>
        <w:pStyle w:val="Heading3"/>
        <w:numPr>
          <w:ilvl w:val="1"/>
          <w:numId w:val="5"/>
        </w:numPr>
        <w:tabs>
          <w:tab w:pos="1157" w:val="left" w:leader="none"/>
          <w:tab w:pos="1158" w:val="left" w:leader="none"/>
        </w:tabs>
        <w:spacing w:line="240" w:lineRule="auto" w:before="48" w:after="0"/>
        <w:ind w:left="2744" w:right="0" w:hanging="2638"/>
        <w:jc w:val="left"/>
      </w:pPr>
      <w:r>
        <w:rPr>
          <w:spacing w:val="15"/>
          <w:w w:val="95"/>
        </w:rPr>
        <w:t>严重原发性肺</w:t>
      </w:r>
    </w:p>
    <w:p>
      <w:pPr>
        <w:spacing w:before="30"/>
        <w:ind w:left="1158" w:right="0" w:firstLine="0"/>
        <w:jc w:val="left"/>
        <w:rPr>
          <w:b/>
          <w:sz w:val="21"/>
        </w:rPr>
      </w:pPr>
      <w:r>
        <w:rPr>
          <w:b/>
          <w:w w:val="95"/>
          <w:sz w:val="21"/>
        </w:rPr>
        <w:t>动脉高压</w:t>
      </w:r>
    </w:p>
    <w:p>
      <w:pPr>
        <w:spacing w:line="273" w:lineRule="auto" w:before="48"/>
        <w:ind w:left="106" w:right="117" w:firstLine="0"/>
        <w:jc w:val="left"/>
        <w:rPr>
          <w:sz w:val="21"/>
        </w:rPr>
      </w:pPr>
      <w:r>
        <w:rPr/>
        <w:br w:type="column"/>
      </w:r>
      <w:r>
        <w:rPr>
          <w:sz w:val="21"/>
        </w:rPr>
        <w:t>指不明原因的肺动脉压力持续性增高，进行性发展而导致的慢性疾病， 已经造成永久不可逆性的体力活动能力受限，达到</w:t>
      </w:r>
      <w:r>
        <w:rPr>
          <w:b/>
          <w:sz w:val="21"/>
        </w:rPr>
        <w:t>美国纽约心脏病学 会心功能状态分级 </w:t>
      </w:r>
      <w:r>
        <w:rPr>
          <w:rFonts w:ascii="Times New Roman" w:eastAsia="Times New Roman"/>
          <w:b/>
          <w:position w:val="1"/>
          <w:sz w:val="21"/>
        </w:rPr>
        <w:t>IV </w:t>
      </w:r>
      <w:r>
        <w:rPr>
          <w:b/>
          <w:sz w:val="21"/>
        </w:rPr>
        <w:t>级</w:t>
      </w:r>
      <w:r>
        <w:rPr>
          <w:sz w:val="21"/>
        </w:rPr>
        <w:t>，且静息状态下肺动脉平均压超过 </w:t>
      </w:r>
      <w:r>
        <w:rPr>
          <w:rFonts w:ascii="Times New Roman" w:eastAsia="Times New Roman"/>
          <w:position w:val="1"/>
          <w:sz w:val="21"/>
        </w:rPr>
        <w:t>30mmHg</w:t>
      </w:r>
      <w:r>
        <w:rPr>
          <w:sz w:val="21"/>
        </w:rPr>
        <w:t>。</w:t>
      </w:r>
    </w:p>
    <w:p>
      <w:pPr>
        <w:spacing w:after="0" w:line="273" w:lineRule="auto"/>
        <w:jc w:val="left"/>
        <w:rPr>
          <w:sz w:val="21"/>
        </w:rPr>
        <w:sectPr>
          <w:type w:val="continuous"/>
          <w:pgSz w:w="11900" w:h="16840"/>
          <w:pgMar w:top="160" w:bottom="280" w:left="1620" w:right="780"/>
          <w:cols w:num="2" w:equalWidth="0">
            <w:col w:w="2523" w:space="115"/>
            <w:col w:w="6862"/>
          </w:cols>
        </w:sectPr>
      </w:pPr>
    </w:p>
    <w:p>
      <w:pPr>
        <w:pStyle w:val="BodyText"/>
        <w:rPr>
          <w:sz w:val="14"/>
        </w:rPr>
      </w:pPr>
    </w:p>
    <w:p>
      <w:pPr>
        <w:spacing w:after="0"/>
        <w:rPr>
          <w:sz w:val="14"/>
        </w:rPr>
        <w:sectPr>
          <w:type w:val="continuous"/>
          <w:pgSz w:w="11900" w:h="16840"/>
          <w:pgMar w:top="160" w:bottom="280" w:left="1620" w:right="780"/>
        </w:sectPr>
      </w:pPr>
    </w:p>
    <w:p>
      <w:pPr>
        <w:pStyle w:val="Heading3"/>
        <w:numPr>
          <w:ilvl w:val="1"/>
          <w:numId w:val="5"/>
        </w:numPr>
        <w:tabs>
          <w:tab w:pos="1157" w:val="left" w:leader="none"/>
          <w:tab w:pos="1158" w:val="left" w:leader="none"/>
        </w:tabs>
        <w:spacing w:line="256" w:lineRule="auto" w:before="46" w:after="0"/>
        <w:ind w:left="1158" w:right="0" w:hanging="1052"/>
        <w:jc w:val="left"/>
      </w:pPr>
      <w:r>
        <w:rPr>
          <w:spacing w:val="15"/>
        </w:rPr>
        <w:t>严重运动神经</w:t>
      </w:r>
      <w:r>
        <w:rPr>
          <w:spacing w:val="15"/>
          <w:w w:val="95"/>
        </w:rPr>
        <w:t>元病</w:t>
      </w:r>
    </w:p>
    <w:p>
      <w:pPr>
        <w:pStyle w:val="BodyText"/>
        <w:spacing w:line="273" w:lineRule="auto" w:before="46"/>
        <w:ind w:left="106" w:right="251"/>
      </w:pPr>
      <w:r>
        <w:rPr/>
        <w:br w:type="column"/>
      </w:r>
      <w:r>
        <w:rPr/>
        <w:t>是一组中枢神经系统运动神经元的进行性变性疾病，包括进行性脊肌</w:t>
      </w:r>
      <w:r>
        <w:rPr>
          <w:spacing w:val="-16"/>
        </w:rPr>
        <w:t>萎缩症、进行性延髓麻痹症、原发性侧索硬化症、肌萎缩性侧索硬化症。</w:t>
      </w:r>
      <w:r>
        <w:rPr/>
        <w:t>须满足自主生活能力完全丧失，无法独立完成六项基本日常生活活动中的三项或三项以上的条件。</w:t>
      </w:r>
    </w:p>
    <w:p>
      <w:pPr>
        <w:spacing w:after="0" w:line="273" w:lineRule="auto"/>
        <w:sectPr>
          <w:type w:val="continuous"/>
          <w:pgSz w:w="11900" w:h="16840"/>
          <w:pgMar w:top="160" w:bottom="280" w:left="1620" w:right="780"/>
          <w:cols w:num="2" w:equalWidth="0">
            <w:col w:w="2523" w:space="115"/>
            <w:col w:w="6862"/>
          </w:cols>
        </w:sectPr>
      </w:pPr>
    </w:p>
    <w:p>
      <w:pPr>
        <w:pStyle w:val="ListParagraph"/>
        <w:numPr>
          <w:ilvl w:val="1"/>
          <w:numId w:val="5"/>
        </w:numPr>
        <w:tabs>
          <w:tab w:pos="1151" w:val="left" w:leader="none"/>
          <w:tab w:pos="1152" w:val="left" w:leader="none"/>
          <w:tab w:pos="2735" w:val="left" w:leader="none"/>
        </w:tabs>
        <w:spacing w:line="264" w:lineRule="auto" w:before="28" w:after="0"/>
        <w:ind w:left="2736" w:right="113" w:hanging="2636"/>
        <w:jc w:val="left"/>
        <w:rPr>
          <w:sz w:val="21"/>
        </w:rPr>
      </w:pPr>
      <w:r>
        <w:rPr>
          <w:b/>
          <w:sz w:val="21"/>
        </w:rPr>
        <w:t>语言能力丧失</w:t>
        <w:tab/>
      </w:r>
      <w:r>
        <w:rPr>
          <w:sz w:val="21"/>
        </w:rPr>
        <w:t>指因疾病或意外伤害导致完全丧失语言能力，经过积极治疗至少</w:t>
      </w:r>
      <w:r>
        <w:rPr>
          <w:spacing w:val="-33"/>
          <w:sz w:val="21"/>
        </w:rPr>
        <w:t> </w:t>
      </w:r>
      <w:r>
        <w:rPr>
          <w:rFonts w:ascii="Times New Roman" w:eastAsia="Times New Roman"/>
          <w:sz w:val="21"/>
        </w:rPr>
        <w:t>12 </w:t>
      </w:r>
      <w:r>
        <w:rPr>
          <w:sz w:val="21"/>
        </w:rPr>
        <w:t>个月（声带完全切除不受此时间限制），仍无法通过现有医疗手段恢复。精神心理因素所致的语言能力丧失不在保障范围内。</w:t>
      </w:r>
    </w:p>
    <w:p>
      <w:pPr>
        <w:pStyle w:val="BodyText"/>
        <w:spacing w:line="208" w:lineRule="auto" w:before="15"/>
        <w:ind w:left="2736" w:right="237"/>
        <w:jc w:val="both"/>
      </w:pPr>
      <w:r>
        <w:rPr/>
        <w:t>特别声明：我们将在被保险人年龄在三周岁或以上时受理理赔，并且保险金申请人必须提供理赔受理当时的语言能力丧失诊断及检查证据若被保险人发病时不足三周岁，我们将延期到被保险人年满三周岁后予以受理和评估。</w:t>
      </w:r>
    </w:p>
    <w:p>
      <w:pPr>
        <w:pStyle w:val="BodyText"/>
        <w:spacing w:before="3"/>
        <w:rPr>
          <w:sz w:val="14"/>
        </w:rPr>
      </w:pPr>
    </w:p>
    <w:p>
      <w:pPr>
        <w:spacing w:after="0"/>
        <w:rPr>
          <w:sz w:val="14"/>
        </w:rPr>
        <w:sectPr>
          <w:pgSz w:w="11900" w:h="16840"/>
          <w:pgMar w:header="0" w:footer="866" w:top="1200" w:bottom="1060" w:left="1060" w:right="1480"/>
        </w:sectPr>
      </w:pPr>
    </w:p>
    <w:p>
      <w:pPr>
        <w:pStyle w:val="Heading3"/>
        <w:numPr>
          <w:ilvl w:val="1"/>
          <w:numId w:val="5"/>
        </w:numPr>
        <w:tabs>
          <w:tab w:pos="1151" w:val="left" w:leader="none"/>
          <w:tab w:pos="1152" w:val="left" w:leader="none"/>
        </w:tabs>
        <w:spacing w:line="240" w:lineRule="auto" w:before="48" w:after="0"/>
        <w:ind w:left="1152" w:right="0" w:hanging="1052"/>
        <w:jc w:val="left"/>
      </w:pPr>
      <w:r>
        <w:rPr>
          <w:spacing w:val="15"/>
          <w:w w:val="95"/>
        </w:rPr>
        <w:t>重型再生障碍</w:t>
      </w:r>
    </w:p>
    <w:p>
      <w:pPr>
        <w:spacing w:before="30"/>
        <w:ind w:left="1151" w:right="0" w:firstLine="0"/>
        <w:jc w:val="left"/>
        <w:rPr>
          <w:b/>
          <w:sz w:val="21"/>
        </w:rPr>
      </w:pPr>
      <w:r>
        <w:rPr>
          <w:b/>
          <w:w w:val="95"/>
          <w:sz w:val="21"/>
        </w:rPr>
        <w:t>性贫血</w:t>
      </w:r>
    </w:p>
    <w:p>
      <w:pPr>
        <w:pStyle w:val="BodyText"/>
        <w:spacing w:before="48"/>
        <w:ind w:left="100"/>
      </w:pPr>
      <w:r>
        <w:rPr/>
        <w:br w:type="column"/>
      </w:r>
      <w:r>
        <w:rPr/>
        <w:t>指因骨髓造血功能慢性持续性衰竭导致的贫血、中性粒细胞减少及血小</w:t>
      </w:r>
    </w:p>
    <w:p>
      <w:pPr>
        <w:pStyle w:val="BodyText"/>
        <w:spacing w:before="36"/>
        <w:ind w:left="100"/>
      </w:pPr>
      <w:r>
        <w:rPr/>
        <w:t>板减少。须满足下列全部条件：</w:t>
      </w:r>
    </w:p>
    <w:p>
      <w:pPr>
        <w:pStyle w:val="BodyText"/>
        <w:spacing w:before="37"/>
        <w:ind w:left="100"/>
      </w:pPr>
      <w:r>
        <w:rPr/>
        <w:t>（</w:t>
      </w:r>
      <w:r>
        <w:rPr>
          <w:rFonts w:ascii="Times New Roman" w:eastAsia="Times New Roman"/>
          <w:position w:val="1"/>
        </w:rPr>
        <w:t>1</w:t>
      </w:r>
      <w:r>
        <w:rPr/>
        <w:t>）骨髓穿刺检查或骨髓活检结果支持诊断；</w:t>
      </w:r>
    </w:p>
    <w:p>
      <w:pPr>
        <w:pStyle w:val="BodyText"/>
        <w:spacing w:before="31"/>
        <w:ind w:left="100"/>
      </w:pPr>
      <w:r>
        <w:rPr/>
        <w:t>（</w:t>
      </w:r>
      <w:r>
        <w:rPr>
          <w:rFonts w:ascii="Times New Roman" w:eastAsia="Times New Roman"/>
          <w:position w:val="1"/>
        </w:rPr>
        <w:t>2</w:t>
      </w:r>
      <w:r>
        <w:rPr/>
        <w:t>）外周血象须具备以下三项条件：</w:t>
      </w:r>
    </w:p>
    <w:p>
      <w:pPr>
        <w:pStyle w:val="BodyText"/>
        <w:spacing w:before="21"/>
        <w:ind w:left="205"/>
      </w:pPr>
      <w:r>
        <w:rPr>
          <w:position w:val="1"/>
        </w:rPr>
        <w:t>① </w:t>
      </w:r>
      <w:r>
        <w:rPr/>
        <w:t>中性粒细胞绝对值</w:t>
      </w:r>
      <w:r>
        <w:rPr>
          <w:rFonts w:ascii="Times New Roman" w:hAnsi="Times New Roman" w:eastAsia="Times New Roman"/>
          <w:position w:val="1"/>
        </w:rPr>
        <w:t>≤0.5×10</w:t>
      </w:r>
      <w:r>
        <w:rPr>
          <w:rFonts w:ascii="Times New Roman" w:hAnsi="Times New Roman" w:eastAsia="Times New Roman"/>
          <w:position w:val="8"/>
          <w:sz w:val="12"/>
        </w:rPr>
        <w:t>9</w:t>
      </w:r>
      <w:r>
        <w:rPr>
          <w:rFonts w:ascii="Times New Roman" w:hAnsi="Times New Roman" w:eastAsia="Times New Roman"/>
          <w:position w:val="1"/>
        </w:rPr>
        <w:t>/L </w:t>
      </w:r>
      <w:r>
        <w:rPr/>
        <w:t>；</w:t>
      </w:r>
    </w:p>
    <w:p>
      <w:pPr>
        <w:pStyle w:val="BodyText"/>
        <w:spacing w:before="21"/>
        <w:ind w:left="205"/>
      </w:pPr>
      <w:r>
        <w:rPr>
          <w:position w:val="1"/>
        </w:rPr>
        <w:t>② </w:t>
      </w:r>
      <w:r>
        <w:rPr/>
        <w:t>网织红细胞＜</w:t>
      </w:r>
      <w:r>
        <w:rPr>
          <w:rFonts w:ascii="Times New Roman" w:hAnsi="Times New Roman" w:eastAsia="Times New Roman"/>
          <w:position w:val="1"/>
        </w:rPr>
        <w:t>1%</w:t>
      </w:r>
      <w:r>
        <w:rPr/>
        <w:t>；</w:t>
      </w:r>
    </w:p>
    <w:p>
      <w:pPr>
        <w:pStyle w:val="BodyText"/>
        <w:spacing w:before="20"/>
        <w:ind w:left="205"/>
      </w:pPr>
      <w:r>
        <w:rPr>
          <w:position w:val="1"/>
        </w:rPr>
        <w:t>③ </w:t>
      </w:r>
      <w:r>
        <w:rPr/>
        <w:t>血小板绝对值</w:t>
      </w:r>
      <w:r>
        <w:rPr>
          <w:rFonts w:ascii="Times New Roman" w:hAnsi="Times New Roman" w:eastAsia="Times New Roman"/>
          <w:position w:val="1"/>
        </w:rPr>
        <w:t>≤20×10</w:t>
      </w:r>
      <w:r>
        <w:rPr>
          <w:rFonts w:ascii="Times New Roman" w:hAnsi="Times New Roman" w:eastAsia="Times New Roman"/>
          <w:position w:val="8"/>
          <w:sz w:val="12"/>
        </w:rPr>
        <w:t>9</w:t>
      </w:r>
      <w:r>
        <w:rPr>
          <w:rFonts w:ascii="Times New Roman" w:hAnsi="Times New Roman" w:eastAsia="Times New Roman"/>
          <w:position w:val="1"/>
        </w:rPr>
        <w:t>/L</w:t>
      </w:r>
      <w:r>
        <w:rPr/>
        <w:t>。</w:t>
      </w:r>
    </w:p>
    <w:p>
      <w:pPr>
        <w:spacing w:after="0"/>
        <w:sectPr>
          <w:type w:val="continuous"/>
          <w:pgSz w:w="11900" w:h="16840"/>
          <w:pgMar w:top="160" w:bottom="280" w:left="1060" w:right="1480"/>
          <w:cols w:num="2" w:equalWidth="0">
            <w:col w:w="2519" w:space="117"/>
            <w:col w:w="6724"/>
          </w:cols>
        </w:sectPr>
      </w:pPr>
    </w:p>
    <w:p>
      <w:pPr>
        <w:pStyle w:val="BodyText"/>
        <w:spacing w:before="6"/>
        <w:rPr>
          <w:sz w:val="22"/>
        </w:rPr>
      </w:pPr>
    </w:p>
    <w:p>
      <w:pPr>
        <w:pStyle w:val="ListParagraph"/>
        <w:numPr>
          <w:ilvl w:val="1"/>
          <w:numId w:val="5"/>
        </w:numPr>
        <w:tabs>
          <w:tab w:pos="1151" w:val="left" w:leader="none"/>
          <w:tab w:pos="1152" w:val="left" w:leader="none"/>
        </w:tabs>
        <w:spacing w:line="268" w:lineRule="auto" w:before="48" w:after="0"/>
        <w:ind w:left="2736" w:right="193" w:hanging="2636"/>
        <w:jc w:val="both"/>
        <w:rPr>
          <w:sz w:val="21"/>
        </w:rPr>
      </w:pPr>
      <w:r>
        <w:rPr>
          <w:b/>
          <w:spacing w:val="12"/>
          <w:sz w:val="21"/>
        </w:rPr>
        <w:t>主动脉手术   </w:t>
      </w:r>
      <w:r>
        <w:rPr>
          <w:spacing w:val="-4"/>
          <w:sz w:val="21"/>
        </w:rPr>
        <w:t>指为治疗主动脉疾病，实际实施了开胸或开腹进行的切除、置换、修补</w:t>
      </w:r>
      <w:r>
        <w:rPr>
          <w:spacing w:val="-11"/>
          <w:sz w:val="21"/>
        </w:rPr>
        <w:t>病损主动脉血管的手术。主动脉指胸主动脉和腹主动脉，不包括胸主动脉和腹主动脉的分支血管。</w:t>
      </w:r>
    </w:p>
    <w:p>
      <w:pPr>
        <w:pStyle w:val="BodyText"/>
        <w:spacing w:before="11"/>
        <w:ind w:left="2736"/>
      </w:pPr>
      <w:r>
        <w:rPr/>
        <w:t>动脉内血管成形术不在保障范围内。</w:t>
      </w:r>
    </w:p>
    <w:p>
      <w:pPr>
        <w:pStyle w:val="BodyText"/>
        <w:spacing w:before="8"/>
        <w:rPr>
          <w:sz w:val="26"/>
        </w:rPr>
      </w:pPr>
    </w:p>
    <w:p>
      <w:pPr>
        <w:pStyle w:val="ListParagraph"/>
        <w:numPr>
          <w:ilvl w:val="1"/>
          <w:numId w:val="5"/>
        </w:numPr>
        <w:tabs>
          <w:tab w:pos="1151" w:val="left" w:leader="none"/>
          <w:tab w:pos="1152" w:val="left" w:leader="none"/>
          <w:tab w:pos="2735" w:val="left" w:leader="none"/>
        </w:tabs>
        <w:spacing w:line="240" w:lineRule="auto" w:before="0" w:after="0"/>
        <w:ind w:left="1152" w:right="0" w:hanging="1052"/>
        <w:jc w:val="left"/>
        <w:rPr>
          <w:sz w:val="21"/>
        </w:rPr>
      </w:pPr>
      <w:r>
        <w:rPr>
          <w:b/>
          <w:sz w:val="21"/>
        </w:rPr>
        <w:t>严重心肌病</w:t>
        <w:tab/>
      </w:r>
      <w:r>
        <w:rPr>
          <w:sz w:val="21"/>
        </w:rPr>
        <w:t>指被保险</w:t>
      </w:r>
      <w:r>
        <w:rPr>
          <w:spacing w:val="2"/>
          <w:sz w:val="21"/>
        </w:rPr>
        <w:t>人因</w:t>
      </w:r>
      <w:r>
        <w:rPr>
          <w:sz w:val="21"/>
        </w:rPr>
        <w:t>心</w:t>
      </w:r>
      <w:r>
        <w:rPr>
          <w:spacing w:val="2"/>
          <w:sz w:val="21"/>
        </w:rPr>
        <w:t>肌病</w:t>
      </w:r>
      <w:r>
        <w:rPr>
          <w:sz w:val="21"/>
        </w:rPr>
        <w:t>导</w:t>
      </w:r>
      <w:r>
        <w:rPr>
          <w:spacing w:val="2"/>
          <w:sz w:val="21"/>
        </w:rPr>
        <w:t>致慢性</w:t>
      </w:r>
      <w:r>
        <w:rPr>
          <w:sz w:val="21"/>
        </w:rPr>
        <w:t>心</w:t>
      </w:r>
      <w:r>
        <w:rPr>
          <w:spacing w:val="2"/>
          <w:sz w:val="21"/>
        </w:rPr>
        <w:t>功能损害</w:t>
      </w:r>
      <w:r>
        <w:rPr>
          <w:sz w:val="21"/>
        </w:rPr>
        <w:t>造</w:t>
      </w:r>
      <w:r>
        <w:rPr>
          <w:spacing w:val="10"/>
          <w:sz w:val="21"/>
        </w:rPr>
        <w:t>成</w:t>
      </w:r>
      <w:r>
        <w:rPr>
          <w:b/>
          <w:spacing w:val="2"/>
          <w:sz w:val="21"/>
        </w:rPr>
        <w:t>永久</w:t>
      </w:r>
      <w:r>
        <w:rPr>
          <w:b/>
          <w:sz w:val="21"/>
        </w:rPr>
        <w:t>不</w:t>
      </w:r>
      <w:r>
        <w:rPr>
          <w:b/>
          <w:spacing w:val="2"/>
          <w:sz w:val="21"/>
        </w:rPr>
        <w:t>可</w:t>
      </w:r>
      <w:r>
        <w:rPr>
          <w:b/>
          <w:spacing w:val="6"/>
          <w:sz w:val="21"/>
        </w:rPr>
        <w:t>逆</w:t>
      </w:r>
      <w:r>
        <w:rPr>
          <w:spacing w:val="2"/>
          <w:sz w:val="21"/>
        </w:rPr>
        <w:t>性的体力</w:t>
      </w:r>
      <w:r>
        <w:rPr>
          <w:sz w:val="21"/>
        </w:rPr>
        <w:t>活</w:t>
      </w:r>
    </w:p>
    <w:p>
      <w:pPr>
        <w:pStyle w:val="BodyText"/>
        <w:spacing w:before="30"/>
        <w:ind w:left="2736"/>
      </w:pPr>
      <w:r>
        <w:rPr/>
        <w:t>动能力受限，达到美国纽约心脏病学会心功能状态分级</w:t>
      </w:r>
      <w:r>
        <w:rPr>
          <w:rFonts w:ascii="Times New Roman" w:eastAsia="Times New Roman"/>
          <w:position w:val="1"/>
        </w:rPr>
        <w:t>IV</w:t>
      </w:r>
      <w:r>
        <w:rPr/>
        <w:t>级。</w:t>
      </w:r>
    </w:p>
    <w:p>
      <w:pPr>
        <w:pStyle w:val="BodyText"/>
        <w:spacing w:before="30"/>
        <w:ind w:left="2736"/>
      </w:pPr>
      <w:r>
        <w:rPr/>
        <w:t>心肌病必须经医院的超声心动图检查来确认。</w:t>
      </w:r>
    </w:p>
    <w:p>
      <w:pPr>
        <w:pStyle w:val="BodyText"/>
        <w:spacing w:before="36"/>
        <w:ind w:left="2736"/>
      </w:pPr>
      <w:r>
        <w:rPr/>
        <w:t>因酗酒或药物滥用导致的心肌病不在保障范围内。</w:t>
      </w:r>
    </w:p>
    <w:p>
      <w:pPr>
        <w:pStyle w:val="BodyText"/>
        <w:spacing w:before="2"/>
      </w:pPr>
    </w:p>
    <w:p>
      <w:pPr>
        <w:spacing w:after="0"/>
        <w:sectPr>
          <w:type w:val="continuous"/>
          <w:pgSz w:w="11900" w:h="16840"/>
          <w:pgMar w:top="160" w:bottom="280" w:left="1060" w:right="1480"/>
        </w:sectPr>
      </w:pPr>
    </w:p>
    <w:p>
      <w:pPr>
        <w:pStyle w:val="Heading3"/>
        <w:numPr>
          <w:ilvl w:val="1"/>
          <w:numId w:val="5"/>
        </w:numPr>
        <w:tabs>
          <w:tab w:pos="1151" w:val="left" w:leader="none"/>
          <w:tab w:pos="1152" w:val="left" w:leader="none"/>
        </w:tabs>
        <w:spacing w:line="266" w:lineRule="auto" w:before="71" w:after="0"/>
        <w:ind w:left="1152" w:right="0" w:hanging="1052"/>
        <w:jc w:val="left"/>
      </w:pPr>
      <w:r>
        <w:rPr>
          <w:spacing w:val="15"/>
          <w:w w:val="95"/>
        </w:rPr>
        <w:t>慢性肺功能衰</w:t>
      </w:r>
      <w:r>
        <w:rPr>
          <w:spacing w:val="15"/>
        </w:rPr>
        <w:t>竭</w:t>
      </w:r>
    </w:p>
    <w:p>
      <w:pPr>
        <w:pStyle w:val="BodyText"/>
        <w:spacing w:line="257" w:lineRule="exact" w:before="35"/>
        <w:ind w:left="100"/>
      </w:pPr>
      <w:r>
        <w:rPr/>
        <w:br w:type="column"/>
      </w:r>
      <w:r>
        <w:rPr/>
        <w:t>慢性肺部疾病导致永久不可逆性的慢性呼吸功能衰竭，必须符合下列</w:t>
      </w:r>
    </w:p>
    <w:p>
      <w:pPr>
        <w:pStyle w:val="BodyText"/>
        <w:spacing w:line="240" w:lineRule="exact"/>
        <w:ind w:left="100"/>
      </w:pPr>
      <w:r>
        <w:rPr/>
        <w:t>所有条件：</w:t>
      </w:r>
    </w:p>
    <w:p>
      <w:pPr>
        <w:pStyle w:val="BodyText"/>
        <w:spacing w:line="248" w:lineRule="exact"/>
        <w:ind w:left="100"/>
      </w:pPr>
      <w:r>
        <w:rPr/>
        <w:t>（</w:t>
      </w:r>
      <w:r>
        <w:rPr>
          <w:rFonts w:ascii="Times New Roman" w:eastAsia="Times New Roman"/>
        </w:rPr>
        <w:t>1</w:t>
      </w:r>
      <w:r>
        <w:rPr/>
        <w:t>）休息时出现呼吸困难；</w:t>
      </w:r>
    </w:p>
    <w:p>
      <w:pPr>
        <w:pStyle w:val="BodyText"/>
        <w:spacing w:line="241" w:lineRule="exact"/>
        <w:ind w:left="100"/>
      </w:pPr>
      <w:r>
        <w:rPr/>
        <w:t>（</w:t>
      </w:r>
      <w:r>
        <w:rPr>
          <w:rFonts w:ascii="Times New Roman" w:eastAsia="Times New Roman"/>
        </w:rPr>
        <w:t>2</w:t>
      </w:r>
      <w:r>
        <w:rPr/>
        <w:t>）动脉血氧分压（</w:t>
      </w:r>
      <w:r>
        <w:rPr>
          <w:rFonts w:ascii="Times New Roman" w:eastAsia="Times New Roman"/>
        </w:rPr>
        <w:t>PaO</w:t>
      </w:r>
      <w:r>
        <w:rPr>
          <w:rFonts w:ascii="Times New Roman" w:eastAsia="Times New Roman"/>
          <w:position w:val="-1"/>
          <w:sz w:val="12"/>
        </w:rPr>
        <w:t>2</w:t>
      </w:r>
      <w:r>
        <w:rPr/>
        <w:t>）</w:t>
      </w:r>
      <w:r>
        <w:rPr>
          <w:rFonts w:ascii="Times New Roman" w:eastAsia="Times New Roman"/>
        </w:rPr>
        <w:t>&lt; 50mmHg</w:t>
      </w:r>
      <w:r>
        <w:rPr/>
        <w:t>；</w:t>
      </w:r>
    </w:p>
    <w:p>
      <w:pPr>
        <w:pStyle w:val="BodyText"/>
        <w:spacing w:line="241" w:lineRule="exact"/>
        <w:ind w:left="100"/>
      </w:pPr>
      <w:r>
        <w:rPr/>
        <w:t>（</w:t>
      </w:r>
      <w:r>
        <w:rPr>
          <w:rFonts w:ascii="Times New Roman" w:eastAsia="Times New Roman"/>
        </w:rPr>
        <w:t>3</w:t>
      </w:r>
      <w:r>
        <w:rPr/>
        <w:t>）动脉血氧饱和度（</w:t>
      </w:r>
      <w:r>
        <w:rPr>
          <w:rFonts w:ascii="Times New Roman" w:eastAsia="Times New Roman"/>
        </w:rPr>
        <w:t>SaO</w:t>
      </w:r>
      <w:r>
        <w:rPr>
          <w:rFonts w:ascii="Times New Roman" w:eastAsia="Times New Roman"/>
          <w:position w:val="-1"/>
          <w:sz w:val="12"/>
        </w:rPr>
        <w:t>2</w:t>
      </w:r>
      <w:r>
        <w:rPr/>
        <w:t>）</w:t>
      </w:r>
      <w:r>
        <w:rPr>
          <w:rFonts w:ascii="Times New Roman" w:eastAsia="Times New Roman"/>
        </w:rPr>
        <w:t>&lt; 80</w:t>
      </w:r>
      <w:r>
        <w:rPr/>
        <w:t>％；</w:t>
      </w:r>
    </w:p>
    <w:p>
      <w:pPr>
        <w:pStyle w:val="BodyText"/>
        <w:spacing w:line="265" w:lineRule="exact"/>
        <w:ind w:left="100"/>
      </w:pPr>
      <w:r>
        <w:rPr/>
        <w:t>（</w:t>
      </w:r>
      <w:r>
        <w:rPr>
          <w:rFonts w:ascii="Times New Roman" w:eastAsia="Times New Roman"/>
        </w:rPr>
        <w:t>4</w:t>
      </w:r>
      <w:r>
        <w:rPr/>
        <w:t>）因缺氧必须接受持续的输氧治疗。</w:t>
      </w:r>
    </w:p>
    <w:p>
      <w:pPr>
        <w:spacing w:after="0" w:line="265" w:lineRule="exact"/>
        <w:sectPr>
          <w:type w:val="continuous"/>
          <w:pgSz w:w="11900" w:h="16840"/>
          <w:pgMar w:top="160" w:bottom="280" w:left="1060" w:right="1480"/>
          <w:cols w:num="2" w:equalWidth="0">
            <w:col w:w="2519" w:space="117"/>
            <w:col w:w="6724"/>
          </w:cols>
        </w:sectPr>
      </w:pPr>
    </w:p>
    <w:p>
      <w:pPr>
        <w:pStyle w:val="BodyText"/>
        <w:spacing w:before="7"/>
        <w:rPr>
          <w:sz w:val="23"/>
        </w:rPr>
      </w:pPr>
    </w:p>
    <w:p>
      <w:pPr>
        <w:spacing w:after="0"/>
        <w:rPr>
          <w:sz w:val="23"/>
        </w:rPr>
        <w:sectPr>
          <w:type w:val="continuous"/>
          <w:pgSz w:w="11900" w:h="16840"/>
          <w:pgMar w:top="160" w:bottom="280" w:left="1060" w:right="1480"/>
        </w:sectPr>
      </w:pPr>
    </w:p>
    <w:p>
      <w:pPr>
        <w:pStyle w:val="Heading3"/>
        <w:numPr>
          <w:ilvl w:val="1"/>
          <w:numId w:val="5"/>
        </w:numPr>
        <w:tabs>
          <w:tab w:pos="1151" w:val="left" w:leader="none"/>
          <w:tab w:pos="1152" w:val="left" w:leader="none"/>
        </w:tabs>
        <w:spacing w:line="271" w:lineRule="auto" w:before="86" w:after="0"/>
        <w:ind w:left="1152" w:right="0" w:hanging="1052"/>
        <w:jc w:val="left"/>
      </w:pPr>
      <w:r>
        <w:rPr>
          <w:spacing w:val="15"/>
          <w:w w:val="95"/>
        </w:rPr>
        <w:t>严重多发性硬化症</w:t>
      </w:r>
    </w:p>
    <w:p>
      <w:pPr>
        <w:pStyle w:val="BodyText"/>
        <w:spacing w:line="204" w:lineRule="auto" w:before="91"/>
        <w:ind w:left="100" w:right="193"/>
        <w:jc w:val="both"/>
      </w:pPr>
      <w:r>
        <w:rPr/>
        <w:br w:type="column"/>
      </w:r>
      <w:r>
        <w:rPr>
          <w:spacing w:val="-4"/>
        </w:rPr>
        <w:t>多发性硬化为中枢神经系统白质多灶性脱髓鞘病变。多发性硬化须由核</w:t>
      </w:r>
      <w:r>
        <w:rPr>
          <w:spacing w:val="2"/>
        </w:rPr>
        <w:t>磁共振（</w:t>
      </w:r>
      <w:r>
        <w:rPr>
          <w:rFonts w:ascii="Times New Roman" w:eastAsia="Times New Roman"/>
          <w:spacing w:val="2"/>
        </w:rPr>
        <w:t>MRI</w:t>
      </w:r>
      <w:r>
        <w:rPr>
          <w:spacing w:val="2"/>
        </w:rPr>
        <w:t>）</w:t>
      </w:r>
      <w:r>
        <w:rPr/>
        <w:t>等影像学检查证实，并且被保险人已永久不可逆地无法独立完成下列任何一项基本日常生活活动：</w:t>
      </w:r>
    </w:p>
    <w:p>
      <w:pPr>
        <w:pStyle w:val="BodyText"/>
        <w:spacing w:line="231" w:lineRule="exact"/>
        <w:ind w:left="103"/>
        <w:jc w:val="both"/>
      </w:pPr>
      <w:r>
        <w:rPr/>
        <w:t>（</w:t>
      </w:r>
      <w:r>
        <w:rPr>
          <w:rFonts w:ascii="Times New Roman" w:eastAsia="Times New Roman"/>
        </w:rPr>
        <w:t>1</w:t>
      </w:r>
      <w:r>
        <w:rPr/>
        <w:t>）移动：自己从一个房间到另一个房间；</w:t>
      </w:r>
    </w:p>
    <w:p>
      <w:pPr>
        <w:pStyle w:val="BodyText"/>
        <w:spacing w:line="265" w:lineRule="exact"/>
        <w:ind w:left="103"/>
        <w:jc w:val="both"/>
      </w:pPr>
      <w:r>
        <w:rPr/>
        <w:t>（</w:t>
      </w:r>
      <w:r>
        <w:rPr>
          <w:rFonts w:ascii="Times New Roman" w:eastAsia="Times New Roman"/>
        </w:rPr>
        <w:t>2</w:t>
      </w:r>
      <w:r>
        <w:rPr/>
        <w:t>）进食：自己从已准备好的碗或碟中取食物放入口中。</w:t>
      </w:r>
    </w:p>
    <w:p>
      <w:pPr>
        <w:spacing w:after="0" w:line="265" w:lineRule="exact"/>
        <w:jc w:val="both"/>
        <w:sectPr>
          <w:type w:val="continuous"/>
          <w:pgSz w:w="11900" w:h="16840"/>
          <w:pgMar w:top="160" w:bottom="280" w:left="1060" w:right="1480"/>
          <w:cols w:num="2" w:equalWidth="0">
            <w:col w:w="2519" w:space="117"/>
            <w:col w:w="6724"/>
          </w:cols>
        </w:sectPr>
      </w:pPr>
    </w:p>
    <w:p>
      <w:pPr>
        <w:pStyle w:val="Heading3"/>
        <w:numPr>
          <w:ilvl w:val="1"/>
          <w:numId w:val="5"/>
        </w:numPr>
        <w:tabs>
          <w:tab w:pos="1157" w:val="left" w:leader="none"/>
          <w:tab w:pos="1158" w:val="left" w:leader="none"/>
        </w:tabs>
        <w:spacing w:line="271" w:lineRule="auto" w:before="68" w:after="0"/>
        <w:ind w:left="1158" w:right="0" w:hanging="1052"/>
        <w:jc w:val="both"/>
      </w:pPr>
      <w:r>
        <w:rPr>
          <w:spacing w:val="13"/>
        </w:rPr>
        <w:t>因职业关系导</w:t>
      </w:r>
      <w:r>
        <w:rPr>
          <w:spacing w:val="15"/>
        </w:rPr>
        <w:t>致的人类免疫</w:t>
      </w:r>
      <w:r>
        <w:rPr>
          <w:spacing w:val="10"/>
        </w:rPr>
        <w:t>缺  陷  病 毒</w:t>
      </w:r>
    </w:p>
    <w:p>
      <w:pPr>
        <w:spacing w:before="9"/>
        <w:ind w:left="1158" w:right="0" w:firstLine="0"/>
        <w:jc w:val="left"/>
        <w:rPr>
          <w:b/>
          <w:sz w:val="21"/>
        </w:rPr>
      </w:pPr>
      <w:r>
        <w:rPr>
          <w:b/>
          <w:sz w:val="21"/>
        </w:rPr>
        <w:t>（</w:t>
      </w:r>
      <w:r>
        <w:rPr>
          <w:rFonts w:ascii="Times New Roman" w:eastAsia="Times New Roman"/>
          <w:b/>
          <w:sz w:val="21"/>
        </w:rPr>
        <w:t>HIV</w:t>
      </w:r>
      <w:r>
        <w:rPr>
          <w:b/>
          <w:sz w:val="21"/>
        </w:rPr>
        <w:t>）感染</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ListParagraph"/>
        <w:numPr>
          <w:ilvl w:val="1"/>
          <w:numId w:val="5"/>
        </w:numPr>
        <w:tabs>
          <w:tab w:pos="1153" w:val="left" w:leader="none"/>
          <w:tab w:pos="1158" w:val="left" w:leader="none"/>
        </w:tabs>
        <w:spacing w:line="240" w:lineRule="auto" w:before="183" w:after="0"/>
        <w:ind w:left="2744" w:right="0" w:hanging="2638"/>
        <w:jc w:val="left"/>
        <w:rPr>
          <w:b/>
          <w:sz w:val="21"/>
        </w:rPr>
      </w:pPr>
      <w:r>
        <w:rPr>
          <w:b/>
          <w:spacing w:val="15"/>
          <w:w w:val="95"/>
          <w:sz w:val="21"/>
        </w:rPr>
        <w:t>严重溃疡性结</w:t>
      </w:r>
    </w:p>
    <w:p>
      <w:pPr>
        <w:spacing w:before="37"/>
        <w:ind w:left="1148" w:right="938" w:firstLine="0"/>
        <w:jc w:val="center"/>
        <w:rPr>
          <w:b/>
          <w:sz w:val="21"/>
        </w:rPr>
      </w:pPr>
      <w:r>
        <w:rPr>
          <w:b/>
          <w:w w:val="95"/>
          <w:sz w:val="21"/>
        </w:rPr>
        <w:t>肠炎</w:t>
      </w:r>
    </w:p>
    <w:p>
      <w:pPr>
        <w:pStyle w:val="BodyText"/>
        <w:spacing w:before="68"/>
        <w:ind w:left="111"/>
      </w:pPr>
      <w:r>
        <w:rPr/>
        <w:br w:type="column"/>
      </w:r>
      <w:r>
        <w:rPr/>
        <w:t>被保险人在其常规职业工作过程中遭遇外伤，或者职业需要处理血液</w:t>
      </w:r>
    </w:p>
    <w:p>
      <w:pPr>
        <w:pStyle w:val="BodyText"/>
        <w:spacing w:line="256" w:lineRule="auto" w:before="36"/>
        <w:ind w:left="111" w:right="1953"/>
      </w:pPr>
      <w:r>
        <w:rPr/>
        <w:t>或者其他体液时感染上人类免疫缺陷病毒（</w:t>
      </w:r>
      <w:r>
        <w:rPr>
          <w:rFonts w:ascii="Times New Roman" w:eastAsia="Times New Roman"/>
        </w:rPr>
        <w:t>HIV</w:t>
      </w:r>
      <w:r>
        <w:rPr/>
        <w:t>）。必须满足下列全部条件：</w:t>
      </w:r>
    </w:p>
    <w:p>
      <w:pPr>
        <w:pStyle w:val="BodyText"/>
        <w:spacing w:line="256" w:lineRule="auto" w:before="22"/>
        <w:ind w:left="111" w:right="331"/>
      </w:pPr>
      <w:r>
        <w:rPr/>
        <w:t>（</w:t>
      </w:r>
      <w:r>
        <w:rPr>
          <w:rFonts w:ascii="Times New Roman" w:eastAsia="Times New Roman"/>
        </w:rPr>
        <w:t>1</w:t>
      </w:r>
      <w:r>
        <w:rPr/>
        <w:t>）感染必须是在被保险人正在从事其职业工作中发生，该职业必须属于以下列表内的职业；</w:t>
      </w:r>
    </w:p>
    <w:p>
      <w:pPr>
        <w:pStyle w:val="BodyText"/>
        <w:spacing w:before="22"/>
        <w:ind w:left="111"/>
      </w:pPr>
      <w:r>
        <w:rPr/>
        <w:t>（</w:t>
      </w:r>
      <w:r>
        <w:rPr>
          <w:rFonts w:ascii="Times New Roman" w:eastAsia="Times New Roman"/>
        </w:rPr>
        <w:t>2</w:t>
      </w:r>
      <w:r>
        <w:rPr/>
        <w:t>）必须提供被保险人在所报事故发生后的 </w:t>
      </w:r>
      <w:r>
        <w:rPr>
          <w:rFonts w:ascii="Times New Roman" w:eastAsia="Times New Roman"/>
        </w:rPr>
        <w:t>5 </w:t>
      </w:r>
      <w:r>
        <w:rPr/>
        <w:t>天以内进行的检查 报</w:t>
      </w:r>
    </w:p>
    <w:p>
      <w:pPr>
        <w:pStyle w:val="BodyText"/>
        <w:spacing w:before="21"/>
        <w:ind w:left="111"/>
      </w:pPr>
      <w:r>
        <w:rPr/>
        <w:t>告，该报告必须显示被保险人血液 </w:t>
      </w:r>
      <w:r>
        <w:rPr>
          <w:rFonts w:ascii="Times New Roman" w:eastAsia="Times New Roman"/>
        </w:rPr>
        <w:t>HIV </w:t>
      </w:r>
      <w:r>
        <w:rPr/>
        <w:t>病毒阴性和</w:t>
      </w:r>
      <w:r>
        <w:rPr>
          <w:rFonts w:ascii="Times New Roman" w:eastAsia="Times New Roman"/>
        </w:rPr>
        <w:t>/</w:t>
      </w:r>
      <w:r>
        <w:rPr/>
        <w:t>或 </w:t>
      </w:r>
      <w:r>
        <w:rPr>
          <w:rFonts w:ascii="Times New Roman" w:eastAsia="Times New Roman"/>
        </w:rPr>
        <w:t>HIV </w:t>
      </w:r>
      <w:r>
        <w:rPr/>
        <w:t>抗体阴性；</w:t>
      </w:r>
    </w:p>
    <w:p>
      <w:pPr>
        <w:pStyle w:val="BodyText"/>
        <w:spacing w:before="21"/>
        <w:ind w:left="111"/>
      </w:pPr>
      <w:r>
        <w:rPr/>
        <w:t>（</w:t>
      </w:r>
      <w:r>
        <w:rPr>
          <w:rFonts w:ascii="Times New Roman" w:eastAsia="Times New Roman"/>
        </w:rPr>
        <w:t>3</w:t>
      </w:r>
      <w:r>
        <w:rPr/>
        <w:t>）</w:t>
      </w:r>
      <w:r>
        <w:rPr>
          <w:spacing w:val="-10"/>
        </w:rPr>
        <w:t>被保险人血清 </w:t>
      </w:r>
      <w:r>
        <w:rPr>
          <w:rFonts w:ascii="Times New Roman" w:eastAsia="Times New Roman"/>
        </w:rPr>
        <w:t>HIV </w:t>
      </w:r>
      <w:r>
        <w:rPr>
          <w:spacing w:val="-4"/>
        </w:rPr>
        <w:t>抗体阳性必须出现在事故发生后的 </w:t>
      </w:r>
      <w:r>
        <w:rPr>
          <w:rFonts w:ascii="Times New Roman" w:eastAsia="Times New Roman"/>
        </w:rPr>
        <w:t>6 </w:t>
      </w:r>
      <w:r>
        <w:rPr/>
        <w:t>个月以内；</w:t>
      </w:r>
    </w:p>
    <w:p>
      <w:pPr>
        <w:pStyle w:val="BodyText"/>
        <w:spacing w:line="256" w:lineRule="auto" w:before="21"/>
        <w:ind w:left="111" w:right="247"/>
      </w:pPr>
      <w:r>
        <w:rPr/>
        <w:t>（</w:t>
      </w:r>
      <w:r>
        <w:rPr>
          <w:rFonts w:ascii="Times New Roman" w:eastAsia="Times New Roman"/>
        </w:rPr>
        <w:t>4</w:t>
      </w:r>
      <w:r>
        <w:rPr/>
        <w:t>）必须在事故发生后的 </w:t>
      </w:r>
      <w:r>
        <w:rPr>
          <w:rFonts w:ascii="Times New Roman" w:eastAsia="Times New Roman"/>
        </w:rPr>
        <w:t>12 </w:t>
      </w:r>
      <w:r>
        <w:rPr/>
        <w:t>个月内证实被保险人体内存在 </w:t>
      </w:r>
      <w:r>
        <w:rPr>
          <w:rFonts w:ascii="Times New Roman" w:eastAsia="Times New Roman"/>
        </w:rPr>
        <w:t>HIV </w:t>
      </w:r>
      <w:r>
        <w:rPr/>
        <w:t>病毒或者 </w:t>
      </w:r>
      <w:r>
        <w:rPr>
          <w:rFonts w:ascii="Times New Roman" w:eastAsia="Times New Roman"/>
        </w:rPr>
        <w:t>HIV </w:t>
      </w:r>
      <w:r>
        <w:rPr/>
        <w:t>抗体。</w:t>
      </w:r>
    </w:p>
    <w:p>
      <w:pPr>
        <w:pStyle w:val="BodyText"/>
        <w:spacing w:before="5"/>
        <w:ind w:left="111"/>
      </w:pPr>
      <w:r>
        <w:rPr/>
        <w:t>职业限制如下所示：</w:t>
      </w:r>
    </w:p>
    <w:p>
      <w:pPr>
        <w:pStyle w:val="BodyText"/>
        <w:spacing w:before="13"/>
        <w:rPr>
          <w:sz w:val="3"/>
        </w:rPr>
      </w:pPr>
    </w:p>
    <w:tbl>
      <w:tblPr>
        <w:tblW w:w="0" w:type="auto"/>
        <w:jc w:val="left"/>
        <w:tblInd w:w="1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06"/>
        <w:gridCol w:w="3018"/>
      </w:tblGrid>
      <w:tr>
        <w:trPr>
          <w:trHeight w:val="307" w:hRule="atLeast"/>
        </w:trPr>
        <w:tc>
          <w:tcPr>
            <w:tcW w:w="3006" w:type="dxa"/>
            <w:tcBorders>
              <w:left w:val="single" w:sz="4" w:space="0" w:color="000000"/>
              <w:right w:val="single" w:sz="4" w:space="0" w:color="000000"/>
            </w:tcBorders>
          </w:tcPr>
          <w:p>
            <w:pPr>
              <w:pStyle w:val="TableParagraph"/>
              <w:spacing w:line="256" w:lineRule="exact"/>
              <w:ind w:left="70"/>
              <w:rPr>
                <w:sz w:val="21"/>
              </w:rPr>
            </w:pPr>
            <w:r>
              <w:rPr>
                <w:sz w:val="21"/>
              </w:rPr>
              <w:t>医生和牙科医生</w:t>
            </w:r>
          </w:p>
        </w:tc>
        <w:tc>
          <w:tcPr>
            <w:tcW w:w="3018" w:type="dxa"/>
            <w:tcBorders>
              <w:left w:val="single" w:sz="4" w:space="0" w:color="000000"/>
              <w:right w:val="single" w:sz="4" w:space="0" w:color="000000"/>
            </w:tcBorders>
          </w:tcPr>
          <w:p>
            <w:pPr>
              <w:pStyle w:val="TableParagraph"/>
              <w:spacing w:line="256" w:lineRule="exact"/>
              <w:ind w:left="70"/>
              <w:rPr>
                <w:sz w:val="21"/>
              </w:rPr>
            </w:pPr>
            <w:r>
              <w:rPr>
                <w:sz w:val="21"/>
              </w:rPr>
              <w:t>护士</w:t>
            </w:r>
          </w:p>
        </w:tc>
      </w:tr>
      <w:tr>
        <w:trPr>
          <w:trHeight w:val="306" w:hRule="atLeast"/>
        </w:trPr>
        <w:tc>
          <w:tcPr>
            <w:tcW w:w="3006" w:type="dxa"/>
            <w:tcBorders>
              <w:left w:val="single" w:sz="4" w:space="0" w:color="000000"/>
              <w:right w:val="single" w:sz="4" w:space="0" w:color="000000"/>
            </w:tcBorders>
          </w:tcPr>
          <w:p>
            <w:pPr>
              <w:pStyle w:val="TableParagraph"/>
              <w:spacing w:line="256" w:lineRule="exact"/>
              <w:ind w:left="70"/>
              <w:rPr>
                <w:sz w:val="21"/>
              </w:rPr>
            </w:pPr>
            <w:r>
              <w:rPr>
                <w:sz w:val="21"/>
              </w:rPr>
              <w:t>实验室工作人员</w:t>
            </w:r>
          </w:p>
        </w:tc>
        <w:tc>
          <w:tcPr>
            <w:tcW w:w="3018" w:type="dxa"/>
            <w:tcBorders>
              <w:left w:val="single" w:sz="4" w:space="0" w:color="000000"/>
              <w:right w:val="single" w:sz="4" w:space="0" w:color="000000"/>
            </w:tcBorders>
          </w:tcPr>
          <w:p>
            <w:pPr>
              <w:pStyle w:val="TableParagraph"/>
              <w:spacing w:line="256" w:lineRule="exact"/>
              <w:ind w:left="70"/>
              <w:rPr>
                <w:sz w:val="21"/>
              </w:rPr>
            </w:pPr>
            <w:r>
              <w:rPr>
                <w:sz w:val="21"/>
              </w:rPr>
              <w:t>医院护工</w:t>
            </w:r>
          </w:p>
        </w:tc>
      </w:tr>
      <w:tr>
        <w:trPr>
          <w:trHeight w:val="307" w:hRule="atLeast"/>
        </w:trPr>
        <w:tc>
          <w:tcPr>
            <w:tcW w:w="3006" w:type="dxa"/>
            <w:tcBorders>
              <w:left w:val="single" w:sz="4" w:space="0" w:color="000000"/>
              <w:right w:val="single" w:sz="4" w:space="0" w:color="000000"/>
            </w:tcBorders>
          </w:tcPr>
          <w:p>
            <w:pPr>
              <w:pStyle w:val="TableParagraph"/>
              <w:spacing w:line="256" w:lineRule="exact"/>
              <w:ind w:left="70"/>
              <w:rPr>
                <w:sz w:val="21"/>
              </w:rPr>
            </w:pPr>
            <w:r>
              <w:rPr>
                <w:sz w:val="21"/>
              </w:rPr>
              <w:t>医生助理和牙医助理</w:t>
            </w:r>
          </w:p>
        </w:tc>
        <w:tc>
          <w:tcPr>
            <w:tcW w:w="3018" w:type="dxa"/>
            <w:tcBorders>
              <w:left w:val="single" w:sz="4" w:space="0" w:color="000000"/>
              <w:right w:val="single" w:sz="4" w:space="0" w:color="000000"/>
            </w:tcBorders>
          </w:tcPr>
          <w:p>
            <w:pPr>
              <w:pStyle w:val="TableParagraph"/>
              <w:spacing w:line="256" w:lineRule="exact"/>
              <w:ind w:left="70"/>
              <w:rPr>
                <w:sz w:val="21"/>
              </w:rPr>
            </w:pPr>
            <w:r>
              <w:rPr>
                <w:sz w:val="21"/>
              </w:rPr>
              <w:t>救护车工作人员</w:t>
            </w:r>
          </w:p>
        </w:tc>
      </w:tr>
      <w:tr>
        <w:trPr>
          <w:trHeight w:val="306" w:hRule="atLeast"/>
        </w:trPr>
        <w:tc>
          <w:tcPr>
            <w:tcW w:w="3006" w:type="dxa"/>
            <w:tcBorders>
              <w:left w:val="single" w:sz="4" w:space="0" w:color="000000"/>
              <w:right w:val="single" w:sz="4" w:space="0" w:color="000000"/>
            </w:tcBorders>
          </w:tcPr>
          <w:p>
            <w:pPr>
              <w:pStyle w:val="TableParagraph"/>
              <w:spacing w:line="256" w:lineRule="exact"/>
              <w:ind w:left="70"/>
              <w:rPr>
                <w:sz w:val="21"/>
              </w:rPr>
            </w:pPr>
            <w:r>
              <w:rPr>
                <w:sz w:val="21"/>
              </w:rPr>
              <w:t>助产士</w:t>
            </w:r>
          </w:p>
        </w:tc>
        <w:tc>
          <w:tcPr>
            <w:tcW w:w="3018" w:type="dxa"/>
            <w:tcBorders>
              <w:left w:val="single" w:sz="4" w:space="0" w:color="000000"/>
              <w:right w:val="single" w:sz="4" w:space="0" w:color="000000"/>
            </w:tcBorders>
          </w:tcPr>
          <w:p>
            <w:pPr>
              <w:pStyle w:val="TableParagraph"/>
              <w:spacing w:line="256" w:lineRule="exact"/>
              <w:ind w:left="70"/>
              <w:rPr>
                <w:sz w:val="21"/>
              </w:rPr>
            </w:pPr>
            <w:r>
              <w:rPr>
                <w:sz w:val="21"/>
              </w:rPr>
              <w:t>消防队员</w:t>
            </w:r>
          </w:p>
        </w:tc>
      </w:tr>
      <w:tr>
        <w:trPr>
          <w:trHeight w:val="306" w:hRule="atLeast"/>
        </w:trPr>
        <w:tc>
          <w:tcPr>
            <w:tcW w:w="3006" w:type="dxa"/>
            <w:tcBorders>
              <w:left w:val="single" w:sz="4" w:space="0" w:color="000000"/>
              <w:right w:val="single" w:sz="4" w:space="0" w:color="000000"/>
            </w:tcBorders>
          </w:tcPr>
          <w:p>
            <w:pPr>
              <w:pStyle w:val="TableParagraph"/>
              <w:spacing w:line="256" w:lineRule="exact"/>
              <w:ind w:left="70"/>
              <w:rPr>
                <w:sz w:val="21"/>
              </w:rPr>
            </w:pPr>
            <w:r>
              <w:rPr>
                <w:sz w:val="21"/>
              </w:rPr>
              <w:t>警察</w:t>
            </w:r>
          </w:p>
        </w:tc>
        <w:tc>
          <w:tcPr>
            <w:tcW w:w="3018" w:type="dxa"/>
            <w:tcBorders>
              <w:left w:val="single" w:sz="4" w:space="0" w:color="000000"/>
              <w:right w:val="single" w:sz="4" w:space="0" w:color="000000"/>
            </w:tcBorders>
          </w:tcPr>
          <w:p>
            <w:pPr>
              <w:pStyle w:val="TableParagraph"/>
              <w:spacing w:line="256" w:lineRule="exact"/>
              <w:ind w:left="70"/>
              <w:rPr>
                <w:sz w:val="21"/>
              </w:rPr>
            </w:pPr>
            <w:r>
              <w:rPr>
                <w:sz w:val="21"/>
              </w:rPr>
              <w:t>狱警</w:t>
            </w:r>
          </w:p>
        </w:tc>
      </w:tr>
    </w:tbl>
    <w:p>
      <w:pPr>
        <w:pStyle w:val="BodyText"/>
        <w:rPr>
          <w:sz w:val="20"/>
        </w:rPr>
      </w:pPr>
    </w:p>
    <w:p>
      <w:pPr>
        <w:pStyle w:val="BodyText"/>
        <w:rPr>
          <w:sz w:val="20"/>
        </w:rPr>
      </w:pPr>
    </w:p>
    <w:p>
      <w:pPr>
        <w:pStyle w:val="BodyText"/>
        <w:rPr>
          <w:sz w:val="20"/>
        </w:rPr>
      </w:pPr>
    </w:p>
    <w:p>
      <w:pPr>
        <w:pStyle w:val="BodyText"/>
        <w:spacing w:line="208" w:lineRule="auto" w:before="161"/>
        <w:ind w:left="111" w:right="305"/>
        <w:jc w:val="both"/>
      </w:pPr>
      <w:r>
        <w:rPr/>
        <w:t>本附加合同所保障的溃疡性结肠炎是指伴有致命性电解质紊乱的急性暴发性溃疡性结肠炎，病变累及全结肠，表现为严重的血便和系统性</w:t>
      </w:r>
      <w:r>
        <w:rPr>
          <w:spacing w:val="-4"/>
        </w:rPr>
        <w:t>症状体征，治疗通常采取全结肠切除和回肠造瘘术。溃疡性结肠炎必须</w:t>
      </w:r>
      <w:r>
        <w:rPr/>
        <w:t>根据组织病理学特点诊断，并且被保险人已经接受了结肠切除和回肠造瘘术。</w:t>
      </w:r>
    </w:p>
    <w:p>
      <w:pPr>
        <w:spacing w:after="0" w:line="208" w:lineRule="auto"/>
        <w:jc w:val="both"/>
        <w:sectPr>
          <w:pgSz w:w="11900" w:h="16840"/>
          <w:pgMar w:header="0" w:footer="866" w:top="1160" w:bottom="1060" w:left="1620" w:right="800"/>
          <w:cols w:num="2" w:equalWidth="0">
            <w:col w:w="2527" w:space="105"/>
            <w:col w:w="6848"/>
          </w:cols>
        </w:sectPr>
      </w:pPr>
    </w:p>
    <w:p>
      <w:pPr>
        <w:pStyle w:val="BodyText"/>
        <w:spacing w:before="2"/>
        <w:rPr>
          <w:sz w:val="19"/>
        </w:rPr>
      </w:pPr>
    </w:p>
    <w:p>
      <w:pPr>
        <w:spacing w:after="0"/>
        <w:rPr>
          <w:sz w:val="19"/>
        </w:rPr>
        <w:sectPr>
          <w:type w:val="continuous"/>
          <w:pgSz w:w="11900" w:h="16840"/>
          <w:pgMar w:top="160" w:bottom="280" w:left="1620" w:right="800"/>
        </w:sectPr>
      </w:pPr>
    </w:p>
    <w:p>
      <w:pPr>
        <w:pStyle w:val="Heading3"/>
        <w:numPr>
          <w:ilvl w:val="1"/>
          <w:numId w:val="5"/>
        </w:numPr>
        <w:tabs>
          <w:tab w:pos="1157" w:val="left" w:leader="none"/>
          <w:tab w:pos="1158" w:val="left" w:leader="none"/>
        </w:tabs>
        <w:spacing w:line="271" w:lineRule="auto" w:before="86" w:after="0"/>
        <w:ind w:left="1158" w:right="0" w:hanging="1052"/>
        <w:jc w:val="left"/>
      </w:pPr>
      <w:r>
        <w:rPr>
          <w:spacing w:val="13"/>
        </w:rPr>
        <w:t>全身性重症肌</w:t>
      </w:r>
      <w:r>
        <w:rPr>
          <w:spacing w:val="13"/>
          <w:w w:val="95"/>
        </w:rPr>
        <w:t>无力</w:t>
      </w:r>
    </w:p>
    <w:p>
      <w:pPr>
        <w:pStyle w:val="BodyText"/>
        <w:spacing w:line="208" w:lineRule="auto" w:before="86"/>
        <w:ind w:left="106" w:right="305" w:firstLine="2"/>
        <w:jc w:val="both"/>
      </w:pPr>
      <w:r>
        <w:rPr/>
        <w:br w:type="column"/>
      </w:r>
      <w:r>
        <w:rPr/>
        <w:t>重症肌无力是一种神经肌肉接头传递障碍所致的疾病，表现为局部或全身骨骼肌（特别是眼外肌）</w:t>
      </w:r>
      <w:r>
        <w:rPr>
          <w:spacing w:val="-9"/>
        </w:rPr>
        <w:t>极易疲劳。疾病可以累及呼吸肌、上肢或下肢的近端肌群或全身肌肉。必须满足下列全部条件：</w:t>
      </w:r>
    </w:p>
    <w:p>
      <w:pPr>
        <w:pStyle w:val="BodyText"/>
        <w:spacing w:before="1"/>
        <w:ind w:left="106"/>
      </w:pPr>
      <w:r>
        <w:rPr/>
        <w:t>（</w:t>
      </w:r>
      <w:r>
        <w:rPr>
          <w:rFonts w:ascii="Times New Roman" w:eastAsia="Times New Roman"/>
          <w:position w:val="1"/>
        </w:rPr>
        <w:t>1</w:t>
      </w:r>
      <w:r>
        <w:rPr/>
        <w:t>）经药物治疗和胸腺切除治疗一年以上仍无法控制病情；</w:t>
      </w:r>
    </w:p>
    <w:p>
      <w:pPr>
        <w:pStyle w:val="BodyText"/>
        <w:spacing w:line="266" w:lineRule="auto" w:before="31"/>
        <w:ind w:left="106" w:right="331"/>
        <w:jc w:val="both"/>
      </w:pPr>
      <w:r>
        <w:rPr>
          <w:spacing w:val="-1"/>
        </w:rPr>
        <w:t>（</w:t>
      </w:r>
      <w:r>
        <w:rPr>
          <w:rFonts w:ascii="Times New Roman" w:eastAsia="Times New Roman"/>
          <w:spacing w:val="-1"/>
          <w:position w:val="1"/>
        </w:rPr>
        <w:t>2</w:t>
      </w:r>
      <w:r>
        <w:rPr>
          <w:spacing w:val="-1"/>
        </w:rPr>
        <w:t>）</w:t>
      </w:r>
      <w:r>
        <w:rPr/>
        <w:t>自主生活能力完全丧失，无法独立完成六项基本日常生活活动中的三项或三项以上。</w:t>
      </w:r>
    </w:p>
    <w:p>
      <w:pPr>
        <w:spacing w:after="0" w:line="266" w:lineRule="auto"/>
        <w:jc w:val="both"/>
        <w:sectPr>
          <w:type w:val="continuous"/>
          <w:pgSz w:w="11900" w:h="16840"/>
          <w:pgMar w:top="160" w:bottom="280" w:left="1620" w:right="800"/>
          <w:cols w:num="2" w:equalWidth="0">
            <w:col w:w="2522" w:space="116"/>
            <w:col w:w="6842"/>
          </w:cols>
        </w:sectPr>
      </w:pPr>
    </w:p>
    <w:p>
      <w:pPr>
        <w:pStyle w:val="BodyText"/>
        <w:spacing w:before="4"/>
        <w:rPr>
          <w:sz w:val="18"/>
        </w:rPr>
      </w:pPr>
    </w:p>
    <w:p>
      <w:pPr>
        <w:spacing w:after="0"/>
        <w:rPr>
          <w:sz w:val="18"/>
        </w:rPr>
        <w:sectPr>
          <w:type w:val="continuous"/>
          <w:pgSz w:w="11900" w:h="16840"/>
          <w:pgMar w:top="160" w:bottom="280" w:left="1620" w:right="800"/>
        </w:sectPr>
      </w:pPr>
    </w:p>
    <w:p>
      <w:pPr>
        <w:pStyle w:val="Heading3"/>
        <w:numPr>
          <w:ilvl w:val="1"/>
          <w:numId w:val="5"/>
        </w:numPr>
        <w:tabs>
          <w:tab w:pos="1157" w:val="left" w:leader="none"/>
          <w:tab w:pos="1158" w:val="left" w:leader="none"/>
        </w:tabs>
        <w:spacing w:line="240" w:lineRule="auto" w:before="86" w:after="0"/>
        <w:ind w:left="2744" w:right="0" w:hanging="2638"/>
        <w:jc w:val="left"/>
      </w:pPr>
      <w:r>
        <w:rPr>
          <w:spacing w:val="15"/>
          <w:w w:val="95"/>
        </w:rPr>
        <w:t>严重类风湿性</w:t>
      </w:r>
    </w:p>
    <w:p>
      <w:pPr>
        <w:spacing w:before="36"/>
        <w:ind w:left="1158" w:right="0" w:firstLine="0"/>
        <w:jc w:val="left"/>
        <w:rPr>
          <w:b/>
          <w:sz w:val="21"/>
        </w:rPr>
      </w:pPr>
      <w:r>
        <w:rPr>
          <w:b/>
          <w:w w:val="95"/>
          <w:sz w:val="21"/>
        </w:rPr>
        <w:t>关节炎</w:t>
      </w:r>
    </w:p>
    <w:p>
      <w:pPr>
        <w:pStyle w:val="BodyText"/>
        <w:spacing w:line="206" w:lineRule="auto" w:before="89"/>
        <w:ind w:left="106" w:right="225" w:firstLine="2"/>
      </w:pPr>
      <w:r>
        <w:rPr/>
        <w:br w:type="column"/>
      </w:r>
      <w:r>
        <w:rPr/>
        <w:t>类风湿性关节炎为广泛分布的慢性进行性多关节病变，表现为关节严重变形，侵犯至少三个主要关节或关节组，如：双手（多手指）关节、双足（多足趾）</w:t>
      </w:r>
      <w:r>
        <w:rPr>
          <w:spacing w:val="-19"/>
        </w:rPr>
        <w:t>关节、双腕关节、双膝关节和双髋关节。类风湿性关节炎</w:t>
      </w:r>
      <w:r>
        <w:rPr>
          <w:spacing w:val="-21"/>
        </w:rPr>
        <w:t>必须明确诊断并且已经达到类风湿性关节炎功能分类 </w:t>
      </w:r>
      <w:r>
        <w:rPr>
          <w:rFonts w:ascii="Times New Roman" w:eastAsia="Times New Roman"/>
        </w:rPr>
        <w:t>IV </w:t>
      </w:r>
      <w:r>
        <w:rPr/>
        <w:t>级的永久不可</w:t>
      </w:r>
      <w:r>
        <w:rPr>
          <w:spacing w:val="1"/>
        </w:rPr>
        <w:t>逆性关节功能障碍</w:t>
      </w:r>
      <w:r>
        <w:rPr/>
        <w:t>（生活不能自理，且丧失工作能力）</w:t>
      </w:r>
      <w:r>
        <w:rPr>
          <w:spacing w:val="1"/>
        </w:rPr>
        <w:t>并且满足下列全部条件：</w:t>
      </w:r>
    </w:p>
    <w:p>
      <w:pPr>
        <w:pStyle w:val="BodyText"/>
        <w:spacing w:line="232" w:lineRule="exact"/>
        <w:ind w:left="108"/>
      </w:pPr>
      <w:r>
        <w:rPr/>
        <w:t>（</w:t>
      </w:r>
      <w:r>
        <w:rPr>
          <w:rFonts w:ascii="Times New Roman" w:eastAsia="Times New Roman"/>
        </w:rPr>
        <w:t>1</w:t>
      </w:r>
      <w:r>
        <w:rPr/>
        <w:t>）晨僵；</w:t>
      </w:r>
    </w:p>
    <w:p>
      <w:pPr>
        <w:pStyle w:val="BodyText"/>
        <w:spacing w:line="241" w:lineRule="exact"/>
        <w:ind w:left="108"/>
      </w:pPr>
      <w:r>
        <w:rPr/>
        <w:t>（</w:t>
      </w:r>
      <w:r>
        <w:rPr>
          <w:rFonts w:ascii="Times New Roman" w:eastAsia="Times New Roman"/>
        </w:rPr>
        <w:t>2</w:t>
      </w:r>
      <w:r>
        <w:rPr/>
        <w:t>）对称性关节炎；</w:t>
      </w:r>
    </w:p>
    <w:p>
      <w:pPr>
        <w:pStyle w:val="BodyText"/>
        <w:spacing w:line="241" w:lineRule="exact"/>
        <w:ind w:left="108"/>
      </w:pPr>
      <w:r>
        <w:rPr/>
        <w:t>（</w:t>
      </w:r>
      <w:r>
        <w:rPr>
          <w:rFonts w:ascii="Times New Roman" w:eastAsia="Times New Roman"/>
        </w:rPr>
        <w:t>3</w:t>
      </w:r>
      <w:r>
        <w:rPr/>
        <w:t>）类风湿性皮下结节；</w:t>
      </w:r>
    </w:p>
    <w:p>
      <w:pPr>
        <w:pStyle w:val="BodyText"/>
        <w:spacing w:line="241" w:lineRule="exact"/>
        <w:ind w:left="108"/>
      </w:pPr>
      <w:r>
        <w:rPr/>
        <w:t>（</w:t>
      </w:r>
      <w:r>
        <w:rPr>
          <w:rFonts w:ascii="Times New Roman" w:eastAsia="Times New Roman"/>
        </w:rPr>
        <w:t>4</w:t>
      </w:r>
      <w:r>
        <w:rPr/>
        <w:t>）类风湿因子滴度升高；</w:t>
      </w:r>
    </w:p>
    <w:p>
      <w:pPr>
        <w:pStyle w:val="BodyText"/>
        <w:spacing w:line="265" w:lineRule="exact"/>
        <w:ind w:left="108"/>
      </w:pPr>
      <w:r>
        <w:rPr/>
        <w:t>（</w:t>
      </w:r>
      <w:r>
        <w:rPr>
          <w:rFonts w:ascii="Times New Roman" w:eastAsia="Times New Roman"/>
        </w:rPr>
        <w:t>5</w:t>
      </w:r>
      <w:r>
        <w:rPr/>
        <w:t>）</w:t>
      </w:r>
      <w:r>
        <w:rPr>
          <w:rFonts w:ascii="Times New Roman" w:eastAsia="Times New Roman"/>
        </w:rPr>
        <w:t>X </w:t>
      </w:r>
      <w:r>
        <w:rPr/>
        <w:t>线显示严重的关节（软骨和骨）破坏和关节畸形。</w:t>
      </w:r>
    </w:p>
    <w:p>
      <w:pPr>
        <w:spacing w:after="0" w:line="265" w:lineRule="exact"/>
        <w:sectPr>
          <w:type w:val="continuous"/>
          <w:pgSz w:w="11900" w:h="16840"/>
          <w:pgMar w:top="160" w:bottom="280" w:left="1620" w:right="800"/>
          <w:cols w:num="2" w:equalWidth="0">
            <w:col w:w="2523" w:space="115"/>
            <w:col w:w="6842"/>
          </w:cols>
        </w:sectPr>
      </w:pPr>
    </w:p>
    <w:p>
      <w:pPr>
        <w:pStyle w:val="BodyText"/>
        <w:spacing w:before="4"/>
        <w:rPr>
          <w:sz w:val="16"/>
        </w:rPr>
      </w:pPr>
    </w:p>
    <w:p>
      <w:pPr>
        <w:pStyle w:val="ListParagraph"/>
        <w:numPr>
          <w:ilvl w:val="1"/>
          <w:numId w:val="5"/>
        </w:numPr>
        <w:tabs>
          <w:tab w:pos="1157" w:val="left" w:leader="none"/>
          <w:tab w:pos="1158" w:val="left" w:leader="none"/>
        </w:tabs>
        <w:spacing w:line="201" w:lineRule="auto" w:before="92" w:after="0"/>
        <w:ind w:left="2744" w:right="305" w:hanging="2638"/>
        <w:jc w:val="both"/>
        <w:rPr>
          <w:sz w:val="21"/>
        </w:rPr>
      </w:pPr>
      <w:r>
        <w:rPr>
          <w:b/>
          <w:spacing w:val="5"/>
          <w:position w:val="-3"/>
          <w:sz w:val="21"/>
        </w:rPr>
        <w:t>脊髓灰质炎    </w:t>
      </w:r>
      <w:r>
        <w:rPr>
          <w:sz w:val="21"/>
        </w:rPr>
        <w:t>脊髓灰质炎是由于脊髓灰质炎病毒感染所致的瘫痪性疾病，临床表现</w:t>
      </w:r>
      <w:r>
        <w:rPr>
          <w:spacing w:val="-6"/>
          <w:sz w:val="21"/>
        </w:rPr>
        <w:t>为运动功能损害或呼吸无力。脊髓灰质炎必须明确诊断。本附加合同仅</w:t>
      </w:r>
      <w:r>
        <w:rPr>
          <w:sz w:val="21"/>
        </w:rPr>
        <w:t>对脊髓灰质炎造成的神经系统功能损害导致被保险人一肢或一肢以上</w:t>
      </w:r>
      <w:r>
        <w:rPr>
          <w:spacing w:val="-5"/>
          <w:sz w:val="21"/>
        </w:rPr>
        <w:t>肢体机能永久完全丧失的情况予以理赔。肢体机能永久完全丧失，指疾</w:t>
      </w:r>
      <w:r>
        <w:rPr>
          <w:spacing w:val="-11"/>
          <w:sz w:val="21"/>
        </w:rPr>
        <w:t>病确诊 </w:t>
      </w:r>
      <w:r>
        <w:rPr>
          <w:rFonts w:ascii="Times New Roman" w:eastAsia="Times New Roman"/>
          <w:sz w:val="21"/>
        </w:rPr>
        <w:t>180</w:t>
      </w:r>
      <w:r>
        <w:rPr>
          <w:rFonts w:ascii="Times New Roman" w:eastAsia="Times New Roman"/>
          <w:spacing w:val="5"/>
          <w:sz w:val="21"/>
        </w:rPr>
        <w:t> </w:t>
      </w:r>
      <w:r>
        <w:rPr>
          <w:sz w:val="21"/>
        </w:rPr>
        <w:t>天后，每肢三大关节中的两大关节仍然完全僵硬，或不能随意识活动。</w:t>
      </w:r>
    </w:p>
    <w:p>
      <w:pPr>
        <w:spacing w:after="0" w:line="201" w:lineRule="auto"/>
        <w:jc w:val="both"/>
        <w:rPr>
          <w:sz w:val="21"/>
        </w:rPr>
        <w:sectPr>
          <w:type w:val="continuous"/>
          <w:pgSz w:w="11900" w:h="16840"/>
          <w:pgMar w:top="160" w:bottom="280" w:left="1620" w:right="800"/>
        </w:sectPr>
      </w:pPr>
    </w:p>
    <w:p>
      <w:pPr>
        <w:pStyle w:val="Heading3"/>
        <w:numPr>
          <w:ilvl w:val="1"/>
          <w:numId w:val="5"/>
        </w:numPr>
        <w:tabs>
          <w:tab w:pos="1271" w:val="left" w:leader="none"/>
          <w:tab w:pos="1272" w:val="left" w:leader="none"/>
        </w:tabs>
        <w:spacing w:line="271" w:lineRule="auto" w:before="68" w:after="0"/>
        <w:ind w:left="1272" w:right="0" w:hanging="1052"/>
        <w:jc w:val="both"/>
      </w:pPr>
      <w:r>
        <w:rPr>
          <w:spacing w:val="15"/>
        </w:rPr>
        <w:t>经输血导致的</w:t>
      </w:r>
      <w:r>
        <w:rPr>
          <w:spacing w:val="15"/>
          <w:w w:val="95"/>
        </w:rPr>
        <w:t>人类免疫缺陷病毒感染</w:t>
      </w:r>
    </w:p>
    <w:p>
      <w:pPr>
        <w:pStyle w:val="BodyText"/>
        <w:spacing w:line="266" w:lineRule="exact" w:before="32"/>
        <w:ind w:left="181"/>
        <w:jc w:val="both"/>
      </w:pPr>
      <w:r>
        <w:rPr/>
        <w:br w:type="column"/>
      </w:r>
      <w:r>
        <w:rPr/>
        <w:t>被保险人感染上人类免疫缺陷病毒（</w:t>
      </w:r>
      <w:r>
        <w:rPr>
          <w:rFonts w:ascii="Times New Roman" w:eastAsia="Times New Roman"/>
        </w:rPr>
        <w:t>HIV</w:t>
      </w:r>
      <w:r>
        <w:rPr/>
        <w:t>）并且满足下列全部条件：</w:t>
      </w:r>
    </w:p>
    <w:p>
      <w:pPr>
        <w:pStyle w:val="BodyText"/>
        <w:spacing w:line="241" w:lineRule="exact"/>
        <w:ind w:left="181"/>
        <w:jc w:val="both"/>
      </w:pPr>
      <w:r>
        <w:rPr/>
        <w:t>（</w:t>
      </w:r>
      <w:r>
        <w:rPr>
          <w:rFonts w:ascii="Times New Roman" w:eastAsia="Times New Roman"/>
        </w:rPr>
        <w:t>1</w:t>
      </w:r>
      <w:r>
        <w:rPr/>
        <w:t>）在保障起始日或复效日之后，被保险人因输血而感染 </w:t>
      </w:r>
      <w:r>
        <w:rPr>
          <w:rFonts w:ascii="Times New Roman" w:eastAsia="Times New Roman"/>
        </w:rPr>
        <w:t>HIV</w:t>
      </w:r>
      <w:r>
        <w:rPr/>
        <w:t>；</w:t>
      </w:r>
    </w:p>
    <w:p>
      <w:pPr>
        <w:pStyle w:val="BodyText"/>
        <w:spacing w:line="241" w:lineRule="exact"/>
        <w:ind w:left="181"/>
        <w:jc w:val="both"/>
      </w:pPr>
      <w:r>
        <w:rPr/>
        <w:t>（</w:t>
      </w:r>
      <w:r>
        <w:rPr>
          <w:rFonts w:ascii="Times New Roman" w:eastAsia="Times New Roman"/>
        </w:rPr>
        <w:t>2</w:t>
      </w:r>
      <w:r>
        <w:rPr/>
        <w:t>）提供输血治疗的输血中心或医院出具该项输血感染属医疗责任事</w:t>
      </w:r>
    </w:p>
    <w:p>
      <w:pPr>
        <w:pStyle w:val="BodyText"/>
        <w:spacing w:line="233" w:lineRule="exact"/>
        <w:ind w:left="177"/>
        <w:jc w:val="both"/>
      </w:pPr>
      <w:r>
        <w:rPr/>
        <w:t>故的报告，或者法院终审裁定为医疗责任并且不准上诉；</w:t>
      </w:r>
    </w:p>
    <w:p>
      <w:pPr>
        <w:pStyle w:val="BodyText"/>
        <w:spacing w:line="248" w:lineRule="exact"/>
        <w:ind w:left="181"/>
        <w:jc w:val="both"/>
      </w:pPr>
      <w:r>
        <w:rPr/>
        <w:t>（</w:t>
      </w:r>
      <w:r>
        <w:rPr>
          <w:rFonts w:ascii="Times New Roman" w:eastAsia="Times New Roman"/>
        </w:rPr>
        <w:t>3</w:t>
      </w:r>
      <w:r>
        <w:rPr/>
        <w:t>）受感染的被保险人不是血友病患者。</w:t>
      </w:r>
    </w:p>
    <w:p>
      <w:pPr>
        <w:pStyle w:val="BodyText"/>
        <w:spacing w:line="199" w:lineRule="auto" w:before="23"/>
        <w:ind w:left="177" w:right="225" w:firstLine="4"/>
        <w:jc w:val="both"/>
      </w:pPr>
      <w:r>
        <w:rPr/>
        <w:t>在任何治愈艾滋病（</w:t>
      </w:r>
      <w:r>
        <w:rPr>
          <w:rFonts w:ascii="Times New Roman" w:eastAsia="Times New Roman"/>
        </w:rPr>
        <w:t>AIDS</w:t>
      </w:r>
      <w:r>
        <w:rPr/>
        <w:t>）</w:t>
      </w:r>
      <w:r>
        <w:rPr>
          <w:spacing w:val="-15"/>
        </w:rPr>
        <w:t>或阻止 </w:t>
      </w:r>
      <w:r>
        <w:rPr>
          <w:rFonts w:ascii="Times New Roman" w:eastAsia="Times New Roman"/>
        </w:rPr>
        <w:t>HIV</w:t>
      </w:r>
      <w:r>
        <w:rPr>
          <w:rFonts w:ascii="Times New Roman" w:eastAsia="Times New Roman"/>
          <w:spacing w:val="-10"/>
        </w:rPr>
        <w:t> </w:t>
      </w:r>
      <w:r>
        <w:rPr/>
        <w:t>病毒作用的疗法被发现以后， </w:t>
      </w:r>
      <w:r>
        <w:rPr>
          <w:spacing w:val="-8"/>
        </w:rPr>
        <w:t>或能防止 </w:t>
      </w:r>
      <w:r>
        <w:rPr>
          <w:rFonts w:ascii="Times New Roman" w:eastAsia="Times New Roman"/>
        </w:rPr>
        <w:t>AIDS</w:t>
      </w:r>
      <w:r>
        <w:rPr>
          <w:rFonts w:ascii="Times New Roman" w:eastAsia="Times New Roman"/>
          <w:spacing w:val="-2"/>
        </w:rPr>
        <w:t> </w:t>
      </w:r>
      <w:r>
        <w:rPr>
          <w:spacing w:val="3"/>
        </w:rPr>
        <w:t>发生的医疗方法被研究出来以后，本附加合同将不再予以赔付。</w:t>
      </w:r>
    </w:p>
    <w:p>
      <w:pPr>
        <w:pStyle w:val="BodyText"/>
        <w:spacing w:line="264" w:lineRule="auto" w:before="1"/>
        <w:ind w:left="177" w:right="213"/>
        <w:jc w:val="both"/>
      </w:pPr>
      <w:r>
        <w:rPr/>
        <w:t>任何因其他传播方式</w:t>
      </w:r>
      <w:r>
        <w:rPr>
          <w:spacing w:val="2"/>
        </w:rPr>
        <w:t>（</w:t>
      </w:r>
      <w:r>
        <w:rPr/>
        <w:t>包括：性传播或静脉注射毒品</w:t>
      </w:r>
      <w:r>
        <w:rPr>
          <w:spacing w:val="2"/>
        </w:rPr>
        <w:t>）</w:t>
      </w:r>
      <w:r>
        <w:rPr>
          <w:spacing w:val="-8"/>
        </w:rPr>
        <w:t>导致的 </w:t>
      </w:r>
      <w:r>
        <w:rPr>
          <w:rFonts w:ascii="Times New Roman" w:eastAsia="Times New Roman"/>
        </w:rPr>
        <w:t>HIV </w:t>
      </w:r>
      <w:r>
        <w:rPr/>
        <w:t>感</w:t>
      </w:r>
      <w:r>
        <w:rPr>
          <w:spacing w:val="-6"/>
        </w:rPr>
        <w:t>染不在本附加合同保障范围内。保险公司必须拥有获得使用被保险人的所有血液样本的权利和能够对这些样本进行独立检验的权利。</w:t>
      </w:r>
    </w:p>
    <w:p>
      <w:pPr>
        <w:spacing w:after="0" w:line="264" w:lineRule="auto"/>
        <w:jc w:val="both"/>
        <w:sectPr>
          <w:pgSz w:w="11900" w:h="16840"/>
          <w:pgMar w:header="0" w:footer="866" w:top="1160" w:bottom="1060" w:left="940" w:right="1460"/>
          <w:cols w:num="2" w:equalWidth="0">
            <w:col w:w="2639" w:space="40"/>
            <w:col w:w="6821"/>
          </w:cols>
        </w:sectPr>
      </w:pPr>
    </w:p>
    <w:p>
      <w:pPr>
        <w:pStyle w:val="BodyText"/>
        <w:spacing w:before="6"/>
        <w:rPr>
          <w:sz w:val="18"/>
        </w:rPr>
      </w:pPr>
    </w:p>
    <w:p>
      <w:pPr>
        <w:pStyle w:val="ListParagraph"/>
        <w:numPr>
          <w:ilvl w:val="1"/>
          <w:numId w:val="5"/>
        </w:numPr>
        <w:tabs>
          <w:tab w:pos="1271" w:val="left" w:leader="none"/>
          <w:tab w:pos="1272" w:val="left" w:leader="none"/>
        </w:tabs>
        <w:spacing w:line="271" w:lineRule="auto" w:before="86" w:after="0"/>
        <w:ind w:left="2856" w:right="213" w:hanging="2636"/>
        <w:jc w:val="both"/>
        <w:rPr>
          <w:sz w:val="21"/>
        </w:rPr>
      </w:pPr>
      <w:r>
        <w:rPr>
          <w:b/>
          <w:spacing w:val="5"/>
          <w:sz w:val="21"/>
        </w:rPr>
        <w:t>严重克隆病    </w:t>
      </w:r>
      <w:r>
        <w:rPr>
          <w:sz w:val="21"/>
        </w:rPr>
        <w:t>克隆病是一种慢性肉芽肿性肠炎，具有特征性的克隆病病理组织学变</w:t>
      </w:r>
      <w:r>
        <w:rPr>
          <w:spacing w:val="-10"/>
          <w:sz w:val="21"/>
        </w:rPr>
        <w:t>化。诊断必须由病理检查结果证实。被保险人所患的克隆病必须已经造成瘘管形成并伴有肠梗阻或肠穿孔。</w:t>
      </w:r>
    </w:p>
    <w:p>
      <w:pPr>
        <w:pStyle w:val="BodyText"/>
        <w:spacing w:before="7"/>
      </w:pPr>
    </w:p>
    <w:p>
      <w:pPr>
        <w:pStyle w:val="Heading2"/>
        <w:numPr>
          <w:ilvl w:val="0"/>
          <w:numId w:val="5"/>
        </w:numPr>
        <w:tabs>
          <w:tab w:pos="1271" w:val="left" w:leader="none"/>
          <w:tab w:pos="1272" w:val="left" w:leader="none"/>
        </w:tabs>
        <w:spacing w:line="240" w:lineRule="auto" w:before="0" w:after="0"/>
        <w:ind w:left="1272" w:right="0" w:hanging="1052"/>
        <w:jc w:val="left"/>
        <w:rPr>
          <w:rFonts w:ascii="Times New Roman" w:eastAsia="Times New Roman"/>
        </w:rPr>
      </w:pPr>
      <w:r>
        <w:rPr>
          <w:w w:val="95"/>
          <w:position w:val="1"/>
        </w:rPr>
        <w:t>释义</w:t>
      </w:r>
    </w:p>
    <w:p>
      <w:pPr>
        <w:pStyle w:val="BodyText"/>
        <w:spacing w:before="2"/>
        <w:rPr>
          <w:b/>
          <w:sz w:val="8"/>
        </w:rPr>
      </w:pPr>
      <w:r>
        <w:rPr/>
        <w:pict>
          <v:group style="position:absolute;margin-left:52.5pt;margin-top:7.29155pt;width:464.1pt;height:.6pt;mso-position-horizontal-relative:page;mso-position-vertical-relative:paragraph;z-index:1240;mso-wrap-distance-left:0;mso-wrap-distance-right:0" coordorigin="1050,146" coordsize="9282,12">
            <v:line style="position:absolute" from="1050,152" to="2102,152" stroked="true" strokeweight=".6pt" strokecolor="#000000">
              <v:stroke dashstyle="solid"/>
            </v:line>
            <v:line style="position:absolute" from="2102,152" to="3686,152" stroked="true" strokeweight=".6pt" strokecolor="#000000">
              <v:stroke dashstyle="solid"/>
            </v:line>
            <v:line style="position:absolute" from="3686,152" to="10332,152" stroked="true" strokeweight=".6pt" strokecolor="#000000">
              <v:stroke dashstyle="solid"/>
            </v:line>
            <w10:wrap type="topAndBottom"/>
          </v:group>
        </w:pict>
      </w:r>
    </w:p>
    <w:p>
      <w:pPr>
        <w:pStyle w:val="ListParagraph"/>
        <w:numPr>
          <w:ilvl w:val="1"/>
          <w:numId w:val="6"/>
        </w:numPr>
        <w:tabs>
          <w:tab w:pos="1271" w:val="left" w:leader="none"/>
          <w:tab w:pos="1272" w:val="left" w:leader="none"/>
          <w:tab w:pos="2855" w:val="left" w:leader="none"/>
        </w:tabs>
        <w:spacing w:line="196" w:lineRule="auto" w:before="0" w:after="0"/>
        <w:ind w:left="2856" w:right="247" w:hanging="2636"/>
        <w:jc w:val="both"/>
        <w:rPr>
          <w:sz w:val="21"/>
        </w:rPr>
      </w:pPr>
      <w:r>
        <w:rPr>
          <w:b/>
          <w:position w:val="-3"/>
          <w:sz w:val="21"/>
        </w:rPr>
        <w:t>发病</w:t>
        <w:tab/>
      </w:r>
      <w:r>
        <w:rPr>
          <w:sz w:val="21"/>
        </w:rPr>
        <w:t>发病是指</w:t>
      </w:r>
      <w:r>
        <w:rPr>
          <w:spacing w:val="2"/>
          <w:sz w:val="21"/>
        </w:rPr>
        <w:t>出现</w:t>
      </w:r>
      <w:r>
        <w:rPr>
          <w:sz w:val="21"/>
        </w:rPr>
        <w:t>第</w:t>
      </w:r>
      <w:r>
        <w:rPr>
          <w:spacing w:val="-27"/>
          <w:sz w:val="21"/>
        </w:rPr>
        <w:t> </w:t>
      </w:r>
      <w:r>
        <w:rPr>
          <w:rFonts w:ascii="Times New Roman" w:eastAsia="Times New Roman"/>
          <w:sz w:val="21"/>
        </w:rPr>
        <w:t>6</w:t>
      </w:r>
      <w:r>
        <w:rPr>
          <w:rFonts w:ascii="Times New Roman" w:eastAsia="Times New Roman"/>
          <w:spacing w:val="20"/>
          <w:sz w:val="21"/>
        </w:rPr>
        <w:t> </w:t>
      </w:r>
      <w:r>
        <w:rPr>
          <w:sz w:val="21"/>
        </w:rPr>
        <w:t>条约定的疾病</w:t>
      </w:r>
      <w:r>
        <w:rPr>
          <w:spacing w:val="5"/>
          <w:sz w:val="21"/>
        </w:rPr>
        <w:t>前</w:t>
      </w:r>
      <w:r>
        <w:rPr>
          <w:spacing w:val="2"/>
          <w:sz w:val="21"/>
        </w:rPr>
        <w:t>兆</w:t>
      </w:r>
      <w:r>
        <w:rPr>
          <w:sz w:val="21"/>
        </w:rPr>
        <w:t>或异</w:t>
      </w:r>
      <w:r>
        <w:rPr>
          <w:spacing w:val="2"/>
          <w:sz w:val="21"/>
        </w:rPr>
        <w:t>常身体状</w:t>
      </w:r>
      <w:r>
        <w:rPr>
          <w:sz w:val="21"/>
        </w:rPr>
        <w:t>况，该疾病</w:t>
      </w:r>
      <w:r>
        <w:rPr>
          <w:spacing w:val="5"/>
          <w:sz w:val="21"/>
        </w:rPr>
        <w:t>前</w:t>
      </w:r>
      <w:r>
        <w:rPr>
          <w:spacing w:val="2"/>
          <w:sz w:val="21"/>
        </w:rPr>
        <w:t>兆</w:t>
      </w:r>
      <w:r>
        <w:rPr>
          <w:sz w:val="21"/>
        </w:rPr>
        <w:t>或异</w:t>
      </w:r>
      <w:r>
        <w:rPr>
          <w:spacing w:val="2"/>
          <w:sz w:val="21"/>
        </w:rPr>
        <w:t>常</w:t>
      </w:r>
      <w:r>
        <w:rPr>
          <w:sz w:val="21"/>
        </w:rPr>
        <w:t>身</w:t>
      </w:r>
      <w:r>
        <w:rPr>
          <w:spacing w:val="2"/>
          <w:sz w:val="21"/>
        </w:rPr>
        <w:t>体</w:t>
      </w:r>
      <w:r>
        <w:rPr>
          <w:sz w:val="21"/>
        </w:rPr>
        <w:t>状</w:t>
      </w:r>
      <w:r>
        <w:rPr>
          <w:spacing w:val="2"/>
          <w:sz w:val="21"/>
        </w:rPr>
        <w:t>况</w:t>
      </w:r>
      <w:r>
        <w:rPr>
          <w:sz w:val="21"/>
        </w:rPr>
        <w:t>按</w:t>
      </w:r>
      <w:r>
        <w:rPr>
          <w:spacing w:val="2"/>
          <w:sz w:val="21"/>
        </w:rPr>
        <w:t>常</w:t>
      </w:r>
      <w:r>
        <w:rPr>
          <w:sz w:val="21"/>
        </w:rPr>
        <w:t>识</w:t>
      </w:r>
      <w:r>
        <w:rPr>
          <w:spacing w:val="2"/>
          <w:sz w:val="21"/>
        </w:rPr>
        <w:t>足</w:t>
      </w:r>
      <w:r>
        <w:rPr>
          <w:sz w:val="21"/>
        </w:rPr>
        <w:t>以</w:t>
      </w:r>
      <w:r>
        <w:rPr>
          <w:spacing w:val="2"/>
          <w:sz w:val="21"/>
        </w:rPr>
        <w:t>引</w:t>
      </w:r>
      <w:r>
        <w:rPr>
          <w:sz w:val="21"/>
        </w:rPr>
        <w:t>起</w:t>
      </w:r>
      <w:r>
        <w:rPr>
          <w:spacing w:val="2"/>
          <w:sz w:val="21"/>
        </w:rPr>
        <w:t>或</w:t>
      </w:r>
      <w:r>
        <w:rPr>
          <w:sz w:val="21"/>
        </w:rPr>
        <w:t>应</w:t>
      </w:r>
      <w:r>
        <w:rPr>
          <w:spacing w:val="2"/>
          <w:sz w:val="21"/>
        </w:rPr>
        <w:t>当</w:t>
      </w:r>
      <w:r>
        <w:rPr>
          <w:sz w:val="21"/>
        </w:rPr>
        <w:t>引起被保险</w:t>
      </w:r>
      <w:r>
        <w:rPr>
          <w:spacing w:val="2"/>
          <w:sz w:val="21"/>
        </w:rPr>
        <w:t>人</w:t>
      </w:r>
      <w:r>
        <w:rPr>
          <w:sz w:val="21"/>
        </w:rPr>
        <w:t>或被保险人的监护人注意并寻求检查、诊断、治疗或护理。</w:t>
      </w:r>
    </w:p>
    <w:p>
      <w:pPr>
        <w:pStyle w:val="BodyText"/>
        <w:spacing w:before="4"/>
        <w:rPr>
          <w:sz w:val="14"/>
        </w:rPr>
      </w:pPr>
    </w:p>
    <w:p>
      <w:pPr>
        <w:spacing w:after="0"/>
        <w:rPr>
          <w:sz w:val="14"/>
        </w:rPr>
        <w:sectPr>
          <w:type w:val="continuous"/>
          <w:pgSz w:w="11900" w:h="16840"/>
          <w:pgMar w:top="160" w:bottom="280" w:left="940" w:right="1460"/>
        </w:sectPr>
      </w:pPr>
    </w:p>
    <w:p>
      <w:pPr>
        <w:pStyle w:val="Heading3"/>
        <w:numPr>
          <w:ilvl w:val="1"/>
          <w:numId w:val="6"/>
        </w:numPr>
        <w:tabs>
          <w:tab w:pos="1271" w:val="left" w:leader="none"/>
          <w:tab w:pos="1272" w:val="left" w:leader="none"/>
        </w:tabs>
        <w:spacing w:line="264" w:lineRule="auto" w:before="46" w:after="0"/>
        <w:ind w:left="1272" w:right="0" w:hanging="1052"/>
        <w:jc w:val="both"/>
      </w:pPr>
      <w:r>
        <w:rPr>
          <w:spacing w:val="15"/>
          <w:w w:val="95"/>
        </w:rPr>
        <w:t>语言能力或咀</w:t>
      </w:r>
      <w:r>
        <w:rPr>
          <w:spacing w:val="13"/>
        </w:rPr>
        <w:t>嚼吞咽能力完</w:t>
      </w:r>
      <w:r>
        <w:rPr>
          <w:spacing w:val="13"/>
          <w:w w:val="95"/>
        </w:rPr>
        <w:t>全丧失</w:t>
      </w:r>
    </w:p>
    <w:p>
      <w:pPr>
        <w:pStyle w:val="BodyText"/>
        <w:spacing w:line="273" w:lineRule="auto" w:before="46"/>
        <w:ind w:left="177" w:right="213"/>
        <w:jc w:val="both"/>
      </w:pPr>
      <w:r>
        <w:rPr/>
        <w:br w:type="column"/>
      </w:r>
      <w:r>
        <w:rPr/>
        <w:t>语言能力完全丧失，指无法发出四种语音（</w:t>
      </w:r>
      <w:r>
        <w:rPr>
          <w:spacing w:val="-10"/>
        </w:rPr>
        <w:t>包括口唇音、齿舌音、口盖音和喉头音）</w:t>
      </w:r>
      <w:r>
        <w:rPr>
          <w:spacing w:val="-12"/>
        </w:rPr>
        <w:t>中的任何三种、或声带全部切除，或因大脑语言中枢受伤害而患失语症。</w:t>
      </w:r>
    </w:p>
    <w:p>
      <w:pPr>
        <w:pStyle w:val="BodyText"/>
        <w:spacing w:before="8"/>
        <w:ind w:left="177"/>
      </w:pPr>
      <w:r>
        <w:rPr/>
        <w:t>咀嚼吞咽能力完全丧失，指因牙齿以外的原因导致器质障碍或机能</w:t>
      </w:r>
    </w:p>
    <w:p>
      <w:pPr>
        <w:pStyle w:val="BodyText"/>
        <w:spacing w:line="273" w:lineRule="auto" w:before="37"/>
        <w:ind w:left="177" w:right="227"/>
        <w:jc w:val="both"/>
      </w:pPr>
      <w:r>
        <w:rPr/>
        <w:t>障碍，以致不能作咀嚼吞咽运动，除流质食物外不能摄取或吞咽的状态。</w:t>
      </w:r>
    </w:p>
    <w:p>
      <w:pPr>
        <w:spacing w:after="0" w:line="273" w:lineRule="auto"/>
        <w:jc w:val="both"/>
        <w:sectPr>
          <w:type w:val="continuous"/>
          <w:pgSz w:w="11900" w:h="16840"/>
          <w:pgMar w:top="160" w:bottom="280" w:left="940" w:right="1460"/>
          <w:cols w:num="2" w:equalWidth="0">
            <w:col w:w="2639" w:space="40"/>
            <w:col w:w="6821"/>
          </w:cols>
        </w:sectPr>
      </w:pPr>
    </w:p>
    <w:p>
      <w:pPr>
        <w:pStyle w:val="BodyText"/>
        <w:spacing w:before="2"/>
        <w:rPr>
          <w:sz w:val="27"/>
        </w:rPr>
      </w:pPr>
    </w:p>
    <w:p>
      <w:pPr>
        <w:pStyle w:val="ListParagraph"/>
        <w:numPr>
          <w:ilvl w:val="1"/>
          <w:numId w:val="6"/>
        </w:numPr>
        <w:tabs>
          <w:tab w:pos="1271" w:val="left" w:leader="none"/>
          <w:tab w:pos="1272" w:val="left" w:leader="none"/>
          <w:tab w:pos="2855" w:val="left" w:leader="none"/>
        </w:tabs>
        <w:spacing w:line="240" w:lineRule="auto" w:before="32" w:after="0"/>
        <w:ind w:left="2856" w:right="0" w:hanging="2636"/>
        <w:jc w:val="left"/>
        <w:rPr>
          <w:sz w:val="21"/>
        </w:rPr>
      </w:pPr>
      <w:r>
        <w:rPr>
          <w:b/>
          <w:position w:val="4"/>
          <w:sz w:val="21"/>
        </w:rPr>
        <w:t>永久不可逆</w:t>
        <w:tab/>
      </w:r>
      <w:r>
        <w:rPr>
          <w:sz w:val="21"/>
        </w:rPr>
        <w:t>指</w:t>
      </w:r>
      <w:r>
        <w:rPr>
          <w:spacing w:val="5"/>
          <w:sz w:val="21"/>
        </w:rPr>
        <w:t>自</w:t>
      </w:r>
      <w:r>
        <w:rPr>
          <w:sz w:val="21"/>
        </w:rPr>
        <w:t>疾</w:t>
      </w:r>
      <w:r>
        <w:rPr>
          <w:spacing w:val="5"/>
          <w:sz w:val="21"/>
        </w:rPr>
        <w:t>病</w:t>
      </w:r>
      <w:r>
        <w:rPr>
          <w:sz w:val="21"/>
        </w:rPr>
        <w:t>确</w:t>
      </w:r>
      <w:r>
        <w:rPr>
          <w:spacing w:val="5"/>
          <w:sz w:val="21"/>
        </w:rPr>
        <w:t>诊</w:t>
      </w:r>
      <w:r>
        <w:rPr>
          <w:spacing w:val="2"/>
          <w:sz w:val="21"/>
        </w:rPr>
        <w:t>或</w:t>
      </w:r>
      <w:r>
        <w:rPr>
          <w:spacing w:val="5"/>
          <w:sz w:val="21"/>
        </w:rPr>
        <w:t>意</w:t>
      </w:r>
      <w:r>
        <w:rPr>
          <w:sz w:val="21"/>
        </w:rPr>
        <w:t>外</w:t>
      </w:r>
      <w:r>
        <w:rPr>
          <w:spacing w:val="5"/>
          <w:sz w:val="21"/>
        </w:rPr>
        <w:t>伤</w:t>
      </w:r>
      <w:r>
        <w:rPr>
          <w:spacing w:val="2"/>
          <w:sz w:val="21"/>
        </w:rPr>
        <w:t>害</w:t>
      </w:r>
      <w:r>
        <w:rPr>
          <w:spacing w:val="5"/>
          <w:sz w:val="21"/>
        </w:rPr>
        <w:t>发</w:t>
      </w:r>
      <w:r>
        <w:rPr>
          <w:sz w:val="21"/>
        </w:rPr>
        <w:t>生</w:t>
      </w:r>
      <w:r>
        <w:rPr>
          <w:spacing w:val="5"/>
          <w:sz w:val="21"/>
        </w:rPr>
        <w:t>之</w:t>
      </w:r>
      <w:r>
        <w:rPr>
          <w:sz w:val="21"/>
        </w:rPr>
        <w:t>日</w:t>
      </w:r>
      <w:r>
        <w:rPr>
          <w:spacing w:val="5"/>
          <w:sz w:val="21"/>
        </w:rPr>
        <w:t>起</w:t>
      </w:r>
      <w:r>
        <w:rPr>
          <w:sz w:val="21"/>
        </w:rPr>
        <w:t>，</w:t>
      </w:r>
      <w:r>
        <w:rPr>
          <w:spacing w:val="5"/>
          <w:sz w:val="21"/>
        </w:rPr>
        <w:t>经过积</w:t>
      </w:r>
      <w:r>
        <w:rPr>
          <w:spacing w:val="2"/>
          <w:sz w:val="21"/>
        </w:rPr>
        <w:t>极</w:t>
      </w:r>
      <w:r>
        <w:rPr>
          <w:spacing w:val="5"/>
          <w:sz w:val="21"/>
        </w:rPr>
        <w:t>治</w:t>
      </w:r>
      <w:r>
        <w:rPr>
          <w:sz w:val="21"/>
        </w:rPr>
        <w:t>疗</w:t>
      </w:r>
      <w:r>
        <w:rPr>
          <w:spacing w:val="-33"/>
          <w:sz w:val="21"/>
        </w:rPr>
        <w:t> </w:t>
      </w:r>
      <w:r>
        <w:rPr>
          <w:rFonts w:ascii="Times New Roman" w:eastAsia="Times New Roman"/>
          <w:sz w:val="21"/>
        </w:rPr>
        <w:t>180</w:t>
      </w:r>
      <w:r>
        <w:rPr>
          <w:rFonts w:ascii="Times New Roman" w:eastAsia="Times New Roman"/>
          <w:spacing w:val="6"/>
          <w:sz w:val="21"/>
        </w:rPr>
        <w:t> </w:t>
      </w:r>
      <w:r>
        <w:rPr>
          <w:spacing w:val="5"/>
          <w:sz w:val="21"/>
        </w:rPr>
        <w:t>天</w:t>
      </w:r>
      <w:r>
        <w:rPr>
          <w:sz w:val="21"/>
        </w:rPr>
        <w:t>后</w:t>
      </w:r>
      <w:r>
        <w:rPr>
          <w:spacing w:val="5"/>
          <w:sz w:val="21"/>
        </w:rPr>
        <w:t>，</w:t>
      </w:r>
      <w:r>
        <w:rPr>
          <w:spacing w:val="2"/>
          <w:sz w:val="21"/>
        </w:rPr>
        <w:t>仍</w:t>
      </w:r>
      <w:r>
        <w:rPr>
          <w:sz w:val="21"/>
        </w:rPr>
        <w:t>无</w:t>
      </w:r>
    </w:p>
    <w:p>
      <w:pPr>
        <w:pStyle w:val="BodyText"/>
        <w:spacing w:before="21"/>
        <w:ind w:left="2856"/>
      </w:pPr>
      <w:r>
        <w:rPr/>
        <w:t>法通过现有医疗手段恢复。</w:t>
      </w:r>
    </w:p>
    <w:p>
      <w:pPr>
        <w:pStyle w:val="BodyText"/>
        <w:spacing w:before="2"/>
        <w:rPr>
          <w:sz w:val="23"/>
        </w:rPr>
      </w:pPr>
    </w:p>
    <w:p>
      <w:pPr>
        <w:spacing w:after="0"/>
        <w:rPr>
          <w:sz w:val="23"/>
        </w:rPr>
        <w:sectPr>
          <w:type w:val="continuous"/>
          <w:pgSz w:w="11900" w:h="16840"/>
          <w:pgMar w:top="160" w:bottom="280" w:left="940" w:right="1460"/>
        </w:sectPr>
      </w:pPr>
    </w:p>
    <w:p>
      <w:pPr>
        <w:pStyle w:val="Heading3"/>
        <w:numPr>
          <w:ilvl w:val="1"/>
          <w:numId w:val="6"/>
        </w:numPr>
        <w:tabs>
          <w:tab w:pos="1271" w:val="left" w:leader="none"/>
          <w:tab w:pos="1272" w:val="left" w:leader="none"/>
        </w:tabs>
        <w:spacing w:line="256" w:lineRule="auto" w:before="46" w:after="0"/>
        <w:ind w:left="1272" w:right="0" w:hanging="1052"/>
        <w:jc w:val="left"/>
      </w:pPr>
      <w:r>
        <w:rPr>
          <w:spacing w:val="13"/>
        </w:rPr>
        <w:t>感染艾滋病病</w:t>
      </w:r>
      <w:r>
        <w:rPr>
          <w:spacing w:val="13"/>
          <w:w w:val="95"/>
        </w:rPr>
        <w:t>毒或患艾滋病</w:t>
      </w:r>
    </w:p>
    <w:p>
      <w:pPr>
        <w:pStyle w:val="BodyText"/>
        <w:spacing w:before="46"/>
        <w:ind w:left="178"/>
      </w:pPr>
      <w:r>
        <w:rPr/>
        <w:br w:type="column"/>
      </w:r>
      <w:r>
        <w:rPr/>
        <w:t>艾滋病病毒指人类免疫缺陷病毒，英文缩写为 </w:t>
      </w:r>
      <w:r>
        <w:rPr>
          <w:rFonts w:ascii="Times New Roman" w:eastAsia="Times New Roman"/>
        </w:rPr>
        <w:t>HIV</w:t>
      </w:r>
      <w:r>
        <w:rPr/>
        <w:t>。艾滋病指人类免疫</w:t>
      </w:r>
    </w:p>
    <w:p>
      <w:pPr>
        <w:pStyle w:val="BodyText"/>
        <w:spacing w:before="21"/>
        <w:ind w:left="178"/>
      </w:pPr>
      <w:r>
        <w:rPr/>
        <w:t>缺陷病毒引起的获得性免疫缺陷综合征，英文缩写为 </w:t>
      </w:r>
      <w:r>
        <w:rPr>
          <w:rFonts w:ascii="Times New Roman" w:eastAsia="Times New Roman"/>
        </w:rPr>
        <w:t>AIDS</w:t>
      </w:r>
      <w:r>
        <w:rPr/>
        <w:t>。</w:t>
      </w:r>
    </w:p>
    <w:p>
      <w:pPr>
        <w:pStyle w:val="BodyText"/>
        <w:spacing w:line="273" w:lineRule="auto" w:before="21"/>
        <w:ind w:left="178" w:right="226"/>
        <w:jc w:val="both"/>
      </w:pPr>
      <w:r>
        <w:rPr/>
        <w:t>在人体血液或其它样本中检测到艾滋病病毒或其抗体呈阳性，没有出现临床症状或体征的，为感染艾滋病病毒；如果同时出现了明显临床症状或体征的，为患艾滋病。</w:t>
      </w:r>
    </w:p>
    <w:p>
      <w:pPr>
        <w:spacing w:after="0" w:line="273" w:lineRule="auto"/>
        <w:jc w:val="both"/>
        <w:sectPr>
          <w:type w:val="continuous"/>
          <w:pgSz w:w="11900" w:h="16840"/>
          <w:pgMar w:top="160" w:bottom="280" w:left="940" w:right="1460"/>
          <w:cols w:num="2" w:equalWidth="0">
            <w:col w:w="2638" w:space="40"/>
            <w:col w:w="6822"/>
          </w:cols>
        </w:sectPr>
      </w:pPr>
    </w:p>
    <w:p>
      <w:pPr>
        <w:pStyle w:val="BodyText"/>
        <w:spacing w:before="12"/>
        <w:rPr>
          <w:sz w:val="20"/>
        </w:rPr>
      </w:pPr>
    </w:p>
    <w:p>
      <w:pPr>
        <w:pStyle w:val="ListParagraph"/>
        <w:numPr>
          <w:ilvl w:val="1"/>
          <w:numId w:val="6"/>
        </w:numPr>
        <w:tabs>
          <w:tab w:pos="1271" w:val="left" w:leader="none"/>
          <w:tab w:pos="1272" w:val="left" w:leader="none"/>
          <w:tab w:pos="2855" w:val="left" w:leader="none"/>
        </w:tabs>
        <w:spacing w:line="240" w:lineRule="auto" w:before="46" w:after="0"/>
        <w:ind w:left="2856" w:right="0" w:hanging="2636"/>
        <w:jc w:val="left"/>
        <w:rPr>
          <w:sz w:val="21"/>
        </w:rPr>
      </w:pPr>
      <w:r>
        <w:rPr>
          <w:b/>
          <w:sz w:val="21"/>
        </w:rPr>
        <w:t>遗传性疾病</w:t>
        <w:tab/>
      </w:r>
      <w:r>
        <w:rPr>
          <w:sz w:val="21"/>
        </w:rPr>
        <w:t>指</w:t>
      </w:r>
      <w:r>
        <w:rPr>
          <w:spacing w:val="2"/>
          <w:sz w:val="21"/>
        </w:rPr>
        <w:t>生殖细</w:t>
      </w:r>
      <w:r>
        <w:rPr>
          <w:sz w:val="21"/>
        </w:rPr>
        <w:t>胞</w:t>
      </w:r>
      <w:r>
        <w:rPr>
          <w:spacing w:val="2"/>
          <w:sz w:val="21"/>
        </w:rPr>
        <w:t>或受精卵的</w:t>
      </w:r>
      <w:r>
        <w:rPr>
          <w:sz w:val="21"/>
        </w:rPr>
        <w:t>遗</w:t>
      </w:r>
      <w:r>
        <w:rPr>
          <w:spacing w:val="2"/>
          <w:sz w:val="21"/>
        </w:rPr>
        <w:t>传物质（</w:t>
      </w:r>
      <w:r>
        <w:rPr>
          <w:sz w:val="21"/>
        </w:rPr>
        <w:t>染色</w:t>
      </w:r>
      <w:r>
        <w:rPr>
          <w:spacing w:val="2"/>
          <w:sz w:val="21"/>
        </w:rPr>
        <w:t>体</w:t>
      </w:r>
      <w:r>
        <w:rPr>
          <w:sz w:val="21"/>
        </w:rPr>
        <w:t>和</w:t>
      </w:r>
      <w:r>
        <w:rPr>
          <w:spacing w:val="2"/>
          <w:sz w:val="21"/>
        </w:rPr>
        <w:t>基因</w:t>
      </w:r>
      <w:r>
        <w:rPr>
          <w:sz w:val="21"/>
        </w:rPr>
        <w:t>）发生突</w:t>
      </w:r>
      <w:r>
        <w:rPr>
          <w:spacing w:val="2"/>
          <w:sz w:val="21"/>
        </w:rPr>
        <w:t>变</w:t>
      </w:r>
      <w:r>
        <w:rPr>
          <w:sz w:val="21"/>
        </w:rPr>
        <w:t>或</w:t>
      </w:r>
      <w:r>
        <w:rPr>
          <w:spacing w:val="2"/>
          <w:sz w:val="21"/>
        </w:rPr>
        <w:t>畸</w:t>
      </w:r>
      <w:r>
        <w:rPr>
          <w:sz w:val="21"/>
        </w:rPr>
        <w:t>变所</w:t>
      </w:r>
    </w:p>
    <w:p>
      <w:pPr>
        <w:pStyle w:val="BodyText"/>
        <w:spacing w:before="21"/>
        <w:ind w:left="2856"/>
      </w:pPr>
      <w:r>
        <w:rPr/>
        <w:t>引起的疾病，通常具有由亲代传至后代的垂直传递的特征。</w:t>
      </w:r>
    </w:p>
    <w:p>
      <w:pPr>
        <w:pStyle w:val="BodyText"/>
        <w:spacing w:before="2"/>
        <w:rPr>
          <w:sz w:val="23"/>
        </w:rPr>
      </w:pPr>
    </w:p>
    <w:p>
      <w:pPr>
        <w:spacing w:after="0"/>
        <w:rPr>
          <w:sz w:val="23"/>
        </w:rPr>
        <w:sectPr>
          <w:type w:val="continuous"/>
          <w:pgSz w:w="11900" w:h="16840"/>
          <w:pgMar w:top="160" w:bottom="280" w:left="940" w:right="1460"/>
        </w:sectPr>
      </w:pPr>
    </w:p>
    <w:p>
      <w:pPr>
        <w:pStyle w:val="Heading3"/>
        <w:numPr>
          <w:ilvl w:val="1"/>
          <w:numId w:val="6"/>
        </w:numPr>
        <w:tabs>
          <w:tab w:pos="1271" w:val="left" w:leader="none"/>
          <w:tab w:pos="1272" w:val="left" w:leader="none"/>
        </w:tabs>
        <w:spacing w:line="264" w:lineRule="auto" w:before="46" w:after="0"/>
        <w:ind w:left="1272" w:right="0" w:hanging="1052"/>
        <w:jc w:val="both"/>
      </w:pPr>
      <w:r>
        <w:rPr>
          <w:spacing w:val="-15"/>
          <w:w w:val="95"/>
        </w:rPr>
        <w:t>先天性畸形、变</w:t>
      </w:r>
      <w:r>
        <w:rPr>
          <w:spacing w:val="13"/>
        </w:rPr>
        <w:t>形或染色体异常</w:t>
      </w:r>
    </w:p>
    <w:p>
      <w:pPr>
        <w:pStyle w:val="BodyText"/>
        <w:spacing w:line="273" w:lineRule="auto" w:before="46"/>
        <w:ind w:left="173" w:right="211"/>
        <w:jc w:val="both"/>
      </w:pPr>
      <w:r>
        <w:rPr/>
        <w:br w:type="column"/>
      </w:r>
      <w:r>
        <w:rPr>
          <w:spacing w:val="-14"/>
        </w:rPr>
        <w:t>指被保险人出生时就具有的畸形、变形或染色体异常。先天性畸形、变形</w:t>
      </w:r>
      <w:r>
        <w:rPr/>
        <w:t>和染色体异常依照世界卫生组织《疾病和有关健康问题的国际统计分</w:t>
      </w:r>
      <w:r>
        <w:rPr>
          <w:spacing w:val="-1"/>
        </w:rPr>
        <w:t>类》</w:t>
      </w:r>
      <w:r>
        <w:rPr/>
        <w:t>（</w:t>
      </w:r>
      <w:r>
        <w:rPr>
          <w:rFonts w:ascii="Times New Roman" w:eastAsia="Times New Roman"/>
        </w:rPr>
        <w:t>ICD-10</w:t>
      </w:r>
      <w:r>
        <w:rPr/>
        <w:t>）确定。</w:t>
      </w:r>
    </w:p>
    <w:p>
      <w:pPr>
        <w:spacing w:after="0" w:line="273" w:lineRule="auto"/>
        <w:jc w:val="both"/>
        <w:sectPr>
          <w:type w:val="continuous"/>
          <w:pgSz w:w="11900" w:h="16840"/>
          <w:pgMar w:top="160" w:bottom="280" w:left="940" w:right="1460"/>
          <w:cols w:num="2" w:equalWidth="0">
            <w:col w:w="2643" w:space="40"/>
            <w:col w:w="6817"/>
          </w:cols>
        </w:sectPr>
      </w:pPr>
    </w:p>
    <w:p>
      <w:pPr>
        <w:pStyle w:val="BodyText"/>
        <w:spacing w:before="6"/>
        <w:rPr>
          <w:sz w:val="19"/>
        </w:rPr>
      </w:pPr>
    </w:p>
    <w:p>
      <w:pPr>
        <w:pStyle w:val="ListParagraph"/>
        <w:numPr>
          <w:ilvl w:val="1"/>
          <w:numId w:val="6"/>
        </w:numPr>
        <w:tabs>
          <w:tab w:pos="1271" w:val="left" w:leader="none"/>
          <w:tab w:pos="1272" w:val="left" w:leader="none"/>
          <w:tab w:pos="2855" w:val="left" w:leader="none"/>
        </w:tabs>
        <w:spacing w:line="240" w:lineRule="auto" w:before="46" w:after="0"/>
        <w:ind w:left="2856" w:right="0" w:hanging="2636"/>
        <w:jc w:val="left"/>
        <w:rPr>
          <w:sz w:val="21"/>
        </w:rPr>
      </w:pPr>
      <w:r>
        <w:rPr>
          <w:b/>
          <w:sz w:val="21"/>
        </w:rPr>
        <w:t>专科医生</w:t>
        <w:tab/>
      </w:r>
      <w:r>
        <w:rPr>
          <w:sz w:val="21"/>
        </w:rPr>
        <w:t>专科医生应当同时满足以下四项资格条件：</w:t>
      </w:r>
    </w:p>
    <w:p>
      <w:pPr>
        <w:pStyle w:val="BodyText"/>
        <w:spacing w:before="21"/>
        <w:ind w:left="2856"/>
      </w:pPr>
      <w:r>
        <w:rPr/>
        <w:t>（</w:t>
      </w:r>
      <w:r>
        <w:rPr>
          <w:rFonts w:ascii="Times New Roman" w:eastAsia="Times New Roman"/>
        </w:rPr>
        <w:t>1</w:t>
      </w:r>
      <w:r>
        <w:rPr/>
        <w:t>）具有有效的中华人民共和国《医师资格证书》；</w:t>
      </w:r>
    </w:p>
    <w:p>
      <w:pPr>
        <w:pStyle w:val="BodyText"/>
        <w:spacing w:line="256" w:lineRule="auto" w:before="21"/>
        <w:ind w:left="2856" w:right="211"/>
      </w:pPr>
      <w:r>
        <w:rPr/>
        <w:t>（</w:t>
      </w:r>
      <w:r>
        <w:rPr>
          <w:rFonts w:ascii="Times New Roman" w:eastAsia="Times New Roman"/>
        </w:rPr>
        <w:t>2</w:t>
      </w:r>
      <w:r>
        <w:rPr/>
        <w:t>）</w:t>
      </w:r>
      <w:r>
        <w:rPr>
          <w:spacing w:val="-13"/>
        </w:rPr>
        <w:t>具有有效的中华人民共和国《医师执业证书》，并按期到相关部门登记注册；</w:t>
      </w:r>
    </w:p>
    <w:p>
      <w:pPr>
        <w:spacing w:after="0" w:line="256" w:lineRule="auto"/>
        <w:sectPr>
          <w:type w:val="continuous"/>
          <w:pgSz w:w="11900" w:h="16840"/>
          <w:pgMar w:top="160" w:bottom="280" w:left="940" w:right="14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9"/>
        <w:gridCol w:w="1818"/>
        <w:gridCol w:w="6733"/>
      </w:tblGrid>
      <w:tr>
        <w:trPr>
          <w:trHeight w:val="277" w:hRule="atLeast"/>
        </w:trPr>
        <w:tc>
          <w:tcPr>
            <w:tcW w:w="2577" w:type="dxa"/>
            <w:gridSpan w:val="2"/>
            <w:vMerge w:val="restart"/>
          </w:tcPr>
          <w:p>
            <w:pPr>
              <w:pStyle w:val="TableParagraph"/>
              <w:rPr>
                <w:rFonts w:ascii="Times New Roman"/>
                <w:sz w:val="20"/>
              </w:rPr>
            </w:pPr>
          </w:p>
        </w:tc>
        <w:tc>
          <w:tcPr>
            <w:tcW w:w="6733" w:type="dxa"/>
          </w:tcPr>
          <w:p>
            <w:pPr>
              <w:pStyle w:val="TableParagraph"/>
              <w:spacing w:line="237" w:lineRule="exact"/>
              <w:ind w:left="110"/>
              <w:rPr>
                <w:sz w:val="21"/>
              </w:rPr>
            </w:pPr>
            <w:r>
              <w:rPr>
                <w:sz w:val="21"/>
              </w:rPr>
              <w:t>（</w:t>
            </w:r>
            <w:r>
              <w:rPr>
                <w:rFonts w:ascii="Times New Roman" w:eastAsia="Times New Roman"/>
                <w:sz w:val="21"/>
              </w:rPr>
              <w:t>3</w:t>
            </w:r>
            <w:r>
              <w:rPr>
                <w:sz w:val="21"/>
              </w:rPr>
              <w:t>）具有有效的中华人民共和国主治医师或主治医师以上职称的《医</w:t>
            </w:r>
          </w:p>
        </w:tc>
      </w:tr>
      <w:tr>
        <w:trPr>
          <w:trHeight w:val="300" w:hRule="atLeast"/>
        </w:trPr>
        <w:tc>
          <w:tcPr>
            <w:tcW w:w="2577" w:type="dxa"/>
            <w:gridSpan w:val="2"/>
            <w:vMerge/>
            <w:tcBorders>
              <w:top w:val="nil"/>
            </w:tcBorders>
          </w:tcPr>
          <w:p>
            <w:pPr>
              <w:rPr>
                <w:sz w:val="2"/>
                <w:szCs w:val="2"/>
              </w:rPr>
            </w:pPr>
          </w:p>
        </w:tc>
        <w:tc>
          <w:tcPr>
            <w:tcW w:w="6733" w:type="dxa"/>
          </w:tcPr>
          <w:p>
            <w:pPr>
              <w:pStyle w:val="TableParagraph"/>
              <w:spacing w:line="255" w:lineRule="exact"/>
              <w:ind w:left="110"/>
              <w:rPr>
                <w:sz w:val="21"/>
              </w:rPr>
            </w:pPr>
            <w:r>
              <w:rPr>
                <w:sz w:val="21"/>
              </w:rPr>
              <w:t>师职称证书》；</w:t>
            </w:r>
          </w:p>
        </w:tc>
      </w:tr>
      <w:tr>
        <w:trPr>
          <w:trHeight w:val="433" w:hRule="atLeast"/>
        </w:trPr>
        <w:tc>
          <w:tcPr>
            <w:tcW w:w="2577" w:type="dxa"/>
            <w:gridSpan w:val="2"/>
            <w:vMerge/>
            <w:tcBorders>
              <w:top w:val="nil"/>
            </w:tcBorders>
          </w:tcPr>
          <w:p>
            <w:pPr>
              <w:rPr>
                <w:sz w:val="2"/>
                <w:szCs w:val="2"/>
              </w:rPr>
            </w:pPr>
          </w:p>
        </w:tc>
        <w:tc>
          <w:tcPr>
            <w:tcW w:w="6733" w:type="dxa"/>
          </w:tcPr>
          <w:p>
            <w:pPr>
              <w:pStyle w:val="TableParagraph"/>
              <w:spacing w:line="282" w:lineRule="exact"/>
              <w:ind w:left="110"/>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2417" w:hRule="atLeast"/>
        </w:trPr>
        <w:tc>
          <w:tcPr>
            <w:tcW w:w="759" w:type="dxa"/>
          </w:tcPr>
          <w:p>
            <w:pPr>
              <w:pStyle w:val="TableParagraph"/>
              <w:spacing w:before="147"/>
              <w:ind w:left="50"/>
              <w:rPr>
                <w:rFonts w:ascii="Times New Roman"/>
                <w:sz w:val="21"/>
              </w:rPr>
            </w:pPr>
            <w:r>
              <w:rPr>
                <w:rFonts w:ascii="Times New Roman"/>
                <w:sz w:val="21"/>
              </w:rPr>
              <w:t>7.8</w:t>
            </w:r>
          </w:p>
        </w:tc>
        <w:tc>
          <w:tcPr>
            <w:tcW w:w="1818" w:type="dxa"/>
          </w:tcPr>
          <w:p>
            <w:pPr>
              <w:pStyle w:val="TableParagraph"/>
              <w:spacing w:before="103"/>
              <w:ind w:left="343"/>
              <w:rPr>
                <w:b/>
                <w:sz w:val="21"/>
              </w:rPr>
            </w:pPr>
            <w:r>
              <w:rPr>
                <w:b/>
                <w:w w:val="95"/>
                <w:sz w:val="21"/>
              </w:rPr>
              <w:t>六项基本日常</w:t>
            </w:r>
          </w:p>
          <w:p>
            <w:pPr>
              <w:pStyle w:val="TableParagraph"/>
              <w:spacing w:before="36"/>
              <w:ind w:left="343"/>
              <w:rPr>
                <w:b/>
                <w:sz w:val="21"/>
              </w:rPr>
            </w:pPr>
            <w:r>
              <w:rPr>
                <w:b/>
                <w:w w:val="95"/>
                <w:sz w:val="21"/>
              </w:rPr>
              <w:t>生活活动</w:t>
            </w:r>
          </w:p>
        </w:tc>
        <w:tc>
          <w:tcPr>
            <w:tcW w:w="6733" w:type="dxa"/>
          </w:tcPr>
          <w:p>
            <w:pPr>
              <w:pStyle w:val="TableParagraph"/>
              <w:spacing w:before="103"/>
              <w:ind w:left="110"/>
              <w:rPr>
                <w:sz w:val="21"/>
              </w:rPr>
            </w:pPr>
            <w:r>
              <w:rPr>
                <w:sz w:val="21"/>
              </w:rPr>
              <w:t>六项基本日常生活活动是指：</w:t>
            </w:r>
          </w:p>
          <w:p>
            <w:pPr>
              <w:pStyle w:val="TableParagraph"/>
              <w:spacing w:before="36"/>
              <w:ind w:left="110"/>
              <w:rPr>
                <w:sz w:val="21"/>
              </w:rPr>
            </w:pPr>
            <w:r>
              <w:rPr>
                <w:sz w:val="21"/>
              </w:rPr>
              <w:t>（</w:t>
            </w:r>
            <w:r>
              <w:rPr>
                <w:rFonts w:ascii="Times New Roman" w:eastAsia="Times New Roman"/>
                <w:position w:val="1"/>
                <w:sz w:val="21"/>
              </w:rPr>
              <w:t>1</w:t>
            </w:r>
            <w:r>
              <w:rPr>
                <w:sz w:val="21"/>
              </w:rPr>
              <w:t>）穿衣：自己能够穿衣及脱衣；</w:t>
            </w:r>
          </w:p>
          <w:p>
            <w:pPr>
              <w:pStyle w:val="TableParagraph"/>
              <w:spacing w:before="30"/>
              <w:ind w:left="110"/>
              <w:rPr>
                <w:sz w:val="21"/>
              </w:rPr>
            </w:pPr>
            <w:r>
              <w:rPr>
                <w:sz w:val="21"/>
              </w:rPr>
              <w:t>（</w:t>
            </w:r>
            <w:r>
              <w:rPr>
                <w:rFonts w:ascii="Times New Roman" w:eastAsia="Times New Roman"/>
                <w:position w:val="1"/>
                <w:sz w:val="21"/>
              </w:rPr>
              <w:t>2</w:t>
            </w:r>
            <w:r>
              <w:rPr>
                <w:sz w:val="21"/>
              </w:rPr>
              <w:t>）移动：自己从一个房间到另一个房间；</w:t>
            </w:r>
          </w:p>
          <w:p>
            <w:pPr>
              <w:pStyle w:val="TableParagraph"/>
              <w:spacing w:before="30"/>
              <w:ind w:left="110"/>
              <w:rPr>
                <w:sz w:val="21"/>
              </w:rPr>
            </w:pPr>
            <w:r>
              <w:rPr>
                <w:sz w:val="21"/>
              </w:rPr>
              <w:t>（</w:t>
            </w:r>
            <w:r>
              <w:rPr>
                <w:rFonts w:ascii="Times New Roman" w:eastAsia="Times New Roman"/>
                <w:position w:val="1"/>
                <w:sz w:val="21"/>
              </w:rPr>
              <w:t>3</w:t>
            </w:r>
            <w:r>
              <w:rPr>
                <w:sz w:val="21"/>
              </w:rPr>
              <w:t>）行动：自己上下床或上下轮椅；</w:t>
            </w:r>
          </w:p>
          <w:p>
            <w:pPr>
              <w:pStyle w:val="TableParagraph"/>
              <w:spacing w:before="30"/>
              <w:ind w:left="110"/>
              <w:rPr>
                <w:sz w:val="21"/>
              </w:rPr>
            </w:pPr>
            <w:r>
              <w:rPr>
                <w:sz w:val="21"/>
              </w:rPr>
              <w:t>（</w:t>
            </w:r>
            <w:r>
              <w:rPr>
                <w:rFonts w:ascii="Times New Roman" w:eastAsia="Times New Roman"/>
                <w:position w:val="1"/>
                <w:sz w:val="21"/>
              </w:rPr>
              <w:t>4</w:t>
            </w:r>
            <w:r>
              <w:rPr>
                <w:sz w:val="21"/>
              </w:rPr>
              <w:t>）如厕：自己控制进行大小便；</w:t>
            </w:r>
          </w:p>
          <w:p>
            <w:pPr>
              <w:pStyle w:val="TableParagraph"/>
              <w:spacing w:before="30"/>
              <w:ind w:left="110"/>
              <w:rPr>
                <w:sz w:val="21"/>
              </w:rPr>
            </w:pPr>
            <w:r>
              <w:rPr>
                <w:sz w:val="21"/>
              </w:rPr>
              <w:t>（</w:t>
            </w:r>
            <w:r>
              <w:rPr>
                <w:rFonts w:ascii="Times New Roman" w:eastAsia="Times New Roman"/>
                <w:position w:val="1"/>
                <w:sz w:val="21"/>
              </w:rPr>
              <w:t>5</w:t>
            </w:r>
            <w:r>
              <w:rPr>
                <w:sz w:val="21"/>
              </w:rPr>
              <w:t>）进食：自己从已准备好的碗或碟中取食物放入口中；</w:t>
            </w:r>
          </w:p>
          <w:p>
            <w:pPr>
              <w:pStyle w:val="TableParagraph"/>
              <w:spacing w:before="30"/>
              <w:ind w:left="110"/>
              <w:rPr>
                <w:sz w:val="21"/>
              </w:rPr>
            </w:pPr>
            <w:r>
              <w:rPr>
                <w:sz w:val="21"/>
              </w:rPr>
              <w:t>（</w:t>
            </w:r>
            <w:r>
              <w:rPr>
                <w:rFonts w:ascii="Times New Roman" w:eastAsia="Times New Roman"/>
                <w:position w:val="1"/>
                <w:sz w:val="21"/>
              </w:rPr>
              <w:t>6</w:t>
            </w:r>
            <w:r>
              <w:rPr>
                <w:sz w:val="21"/>
              </w:rPr>
              <w:t>）洗澡：自己进行淋浴或盆浴。</w:t>
            </w:r>
          </w:p>
        </w:tc>
      </w:tr>
      <w:tr>
        <w:trPr>
          <w:trHeight w:val="434" w:hRule="atLeast"/>
        </w:trPr>
        <w:tc>
          <w:tcPr>
            <w:tcW w:w="759" w:type="dxa"/>
          </w:tcPr>
          <w:p>
            <w:pPr>
              <w:pStyle w:val="TableParagraph"/>
              <w:spacing w:before="147"/>
              <w:ind w:left="50"/>
              <w:rPr>
                <w:rFonts w:ascii="Times New Roman"/>
                <w:sz w:val="21"/>
              </w:rPr>
            </w:pPr>
            <w:r>
              <w:rPr>
                <w:rFonts w:ascii="Times New Roman"/>
                <w:sz w:val="21"/>
              </w:rPr>
              <w:t>7.9</w:t>
            </w:r>
          </w:p>
        </w:tc>
        <w:tc>
          <w:tcPr>
            <w:tcW w:w="1818" w:type="dxa"/>
          </w:tcPr>
          <w:p>
            <w:pPr>
              <w:pStyle w:val="TableParagraph"/>
              <w:spacing w:before="102"/>
              <w:ind w:left="343"/>
              <w:rPr>
                <w:b/>
                <w:sz w:val="21"/>
              </w:rPr>
            </w:pPr>
            <w:r>
              <w:rPr>
                <w:b/>
                <w:w w:val="95"/>
                <w:sz w:val="21"/>
              </w:rPr>
              <w:t>肢体机能完全</w:t>
            </w:r>
          </w:p>
        </w:tc>
        <w:tc>
          <w:tcPr>
            <w:tcW w:w="6733" w:type="dxa"/>
          </w:tcPr>
          <w:p>
            <w:pPr>
              <w:pStyle w:val="TableParagraph"/>
              <w:spacing w:before="102"/>
              <w:ind w:left="110"/>
              <w:rPr>
                <w:sz w:val="21"/>
              </w:rPr>
            </w:pPr>
            <w:r>
              <w:rPr>
                <w:sz w:val="21"/>
              </w:rPr>
              <w:t>指肢体的三大关节中的两大关节僵硬，或不能随意识活动。肢体是指包</w:t>
            </w:r>
          </w:p>
        </w:tc>
      </w:tr>
      <w:tr>
        <w:trPr>
          <w:trHeight w:val="456" w:hRule="atLeast"/>
        </w:trPr>
        <w:tc>
          <w:tcPr>
            <w:tcW w:w="759" w:type="dxa"/>
          </w:tcPr>
          <w:p>
            <w:pPr>
              <w:pStyle w:val="TableParagraph"/>
              <w:rPr>
                <w:rFonts w:ascii="Times New Roman"/>
                <w:sz w:val="20"/>
              </w:rPr>
            </w:pPr>
          </w:p>
        </w:tc>
        <w:tc>
          <w:tcPr>
            <w:tcW w:w="1818" w:type="dxa"/>
          </w:tcPr>
          <w:p>
            <w:pPr>
              <w:pStyle w:val="TableParagraph"/>
              <w:spacing w:line="255" w:lineRule="exact"/>
              <w:ind w:left="343"/>
              <w:rPr>
                <w:b/>
                <w:sz w:val="21"/>
              </w:rPr>
            </w:pPr>
            <w:r>
              <w:rPr>
                <w:b/>
                <w:w w:val="95"/>
                <w:sz w:val="21"/>
              </w:rPr>
              <w:t>丧失</w:t>
            </w:r>
          </w:p>
        </w:tc>
        <w:tc>
          <w:tcPr>
            <w:tcW w:w="6733" w:type="dxa"/>
          </w:tcPr>
          <w:p>
            <w:pPr>
              <w:pStyle w:val="TableParagraph"/>
              <w:spacing w:line="255" w:lineRule="exact"/>
              <w:ind w:left="110"/>
              <w:rPr>
                <w:sz w:val="21"/>
              </w:rPr>
            </w:pPr>
            <w:r>
              <w:rPr>
                <w:sz w:val="21"/>
              </w:rPr>
              <w:t>括肩关节的整个上肢或包括髋关节的整个下肢。</w:t>
            </w:r>
          </w:p>
        </w:tc>
      </w:tr>
      <w:tr>
        <w:trPr>
          <w:trHeight w:val="479" w:hRule="atLeast"/>
        </w:trPr>
        <w:tc>
          <w:tcPr>
            <w:tcW w:w="759" w:type="dxa"/>
          </w:tcPr>
          <w:p>
            <w:pPr>
              <w:pStyle w:val="TableParagraph"/>
              <w:spacing w:before="192"/>
              <w:ind w:left="50"/>
              <w:rPr>
                <w:rFonts w:ascii="Times New Roman"/>
                <w:sz w:val="21"/>
              </w:rPr>
            </w:pPr>
            <w:r>
              <w:rPr>
                <w:rFonts w:ascii="Times New Roman"/>
                <w:sz w:val="21"/>
              </w:rPr>
              <w:t>7.10</w:t>
            </w:r>
          </w:p>
        </w:tc>
        <w:tc>
          <w:tcPr>
            <w:tcW w:w="1818" w:type="dxa"/>
          </w:tcPr>
          <w:p>
            <w:pPr>
              <w:pStyle w:val="TableParagraph"/>
              <w:spacing w:before="147"/>
              <w:ind w:left="343"/>
              <w:rPr>
                <w:b/>
                <w:sz w:val="21"/>
              </w:rPr>
            </w:pPr>
            <w:r>
              <w:rPr>
                <w:b/>
                <w:w w:val="95"/>
                <w:sz w:val="21"/>
              </w:rPr>
              <w:t>美国纽约心脏</w:t>
            </w:r>
          </w:p>
        </w:tc>
        <w:tc>
          <w:tcPr>
            <w:tcW w:w="6733" w:type="dxa"/>
          </w:tcPr>
          <w:p>
            <w:pPr>
              <w:pStyle w:val="TableParagraph"/>
              <w:spacing w:before="147"/>
              <w:ind w:left="110"/>
              <w:rPr>
                <w:sz w:val="21"/>
              </w:rPr>
            </w:pPr>
            <w:r>
              <w:rPr>
                <w:sz w:val="21"/>
              </w:rPr>
              <w:t>心功能状态分级Ⅳ级是指被保险人不能无症状地进行任何体力活动，</w:t>
            </w:r>
          </w:p>
        </w:tc>
      </w:tr>
      <w:tr>
        <w:trPr>
          <w:trHeight w:val="300" w:hRule="atLeast"/>
        </w:trPr>
        <w:tc>
          <w:tcPr>
            <w:tcW w:w="759" w:type="dxa"/>
          </w:tcPr>
          <w:p>
            <w:pPr>
              <w:pStyle w:val="TableParagraph"/>
              <w:rPr>
                <w:rFonts w:ascii="Times New Roman"/>
                <w:sz w:val="20"/>
              </w:rPr>
            </w:pPr>
          </w:p>
        </w:tc>
        <w:tc>
          <w:tcPr>
            <w:tcW w:w="1818" w:type="dxa"/>
          </w:tcPr>
          <w:p>
            <w:pPr>
              <w:pStyle w:val="TableParagraph"/>
              <w:spacing w:line="255" w:lineRule="exact"/>
              <w:ind w:left="343"/>
              <w:rPr>
                <w:b/>
                <w:sz w:val="21"/>
              </w:rPr>
            </w:pPr>
            <w:r>
              <w:rPr>
                <w:b/>
                <w:w w:val="95"/>
                <w:sz w:val="21"/>
              </w:rPr>
              <w:t>病学会心功能</w:t>
            </w:r>
          </w:p>
        </w:tc>
        <w:tc>
          <w:tcPr>
            <w:tcW w:w="6733" w:type="dxa"/>
          </w:tcPr>
          <w:p>
            <w:pPr>
              <w:pStyle w:val="TableParagraph"/>
              <w:spacing w:line="255" w:lineRule="exact"/>
              <w:ind w:left="110"/>
              <w:rPr>
                <w:sz w:val="21"/>
              </w:rPr>
            </w:pPr>
            <w:r>
              <w:rPr>
                <w:sz w:val="21"/>
              </w:rPr>
              <w:t>休息时也会出现心力衰竭或心绞痛的症状，任何体力活动都会加重病</w:t>
            </w:r>
          </w:p>
        </w:tc>
      </w:tr>
      <w:tr>
        <w:trPr>
          <w:trHeight w:val="473" w:hRule="atLeast"/>
        </w:trPr>
        <w:tc>
          <w:tcPr>
            <w:tcW w:w="759" w:type="dxa"/>
          </w:tcPr>
          <w:p>
            <w:pPr>
              <w:pStyle w:val="TableParagraph"/>
              <w:rPr>
                <w:rFonts w:ascii="Times New Roman"/>
                <w:sz w:val="20"/>
              </w:rPr>
            </w:pPr>
          </w:p>
        </w:tc>
        <w:tc>
          <w:tcPr>
            <w:tcW w:w="1818" w:type="dxa"/>
          </w:tcPr>
          <w:p>
            <w:pPr>
              <w:pStyle w:val="TableParagraph"/>
              <w:spacing w:line="282" w:lineRule="exact"/>
              <w:ind w:left="343"/>
              <w:rPr>
                <w:b/>
                <w:sz w:val="21"/>
              </w:rPr>
            </w:pPr>
            <w:r>
              <w:rPr>
                <w:b/>
                <w:w w:val="95"/>
                <w:sz w:val="21"/>
              </w:rPr>
              <w:t>状态分级</w:t>
            </w:r>
            <w:r>
              <w:rPr>
                <w:rFonts w:ascii="Times New Roman" w:eastAsia="Times New Roman"/>
                <w:b/>
                <w:w w:val="95"/>
                <w:sz w:val="21"/>
              </w:rPr>
              <w:t>IV</w:t>
            </w:r>
            <w:r>
              <w:rPr>
                <w:b/>
                <w:w w:val="95"/>
                <w:sz w:val="21"/>
              </w:rPr>
              <w:t>级</w:t>
            </w:r>
          </w:p>
        </w:tc>
        <w:tc>
          <w:tcPr>
            <w:tcW w:w="6733" w:type="dxa"/>
          </w:tcPr>
          <w:p>
            <w:pPr>
              <w:pStyle w:val="TableParagraph"/>
              <w:spacing w:line="266" w:lineRule="exact"/>
              <w:ind w:left="110"/>
              <w:rPr>
                <w:sz w:val="21"/>
              </w:rPr>
            </w:pPr>
            <w:r>
              <w:rPr>
                <w:sz w:val="21"/>
              </w:rPr>
              <w:t>情。</w:t>
            </w:r>
          </w:p>
        </w:tc>
      </w:tr>
      <w:tr>
        <w:trPr>
          <w:trHeight w:val="3275" w:hRule="atLeast"/>
        </w:trPr>
        <w:tc>
          <w:tcPr>
            <w:tcW w:w="759" w:type="dxa"/>
          </w:tcPr>
          <w:p>
            <w:pPr>
              <w:pStyle w:val="TableParagraph"/>
              <w:spacing w:before="186"/>
              <w:ind w:left="50"/>
              <w:rPr>
                <w:rFonts w:ascii="Times New Roman"/>
                <w:sz w:val="21"/>
              </w:rPr>
            </w:pPr>
            <w:r>
              <w:rPr>
                <w:rFonts w:ascii="Times New Roman"/>
                <w:sz w:val="21"/>
              </w:rPr>
              <w:t>7.11</w:t>
            </w:r>
          </w:p>
        </w:tc>
        <w:tc>
          <w:tcPr>
            <w:tcW w:w="1818" w:type="dxa"/>
          </w:tcPr>
          <w:p>
            <w:pPr>
              <w:pStyle w:val="TableParagraph"/>
              <w:spacing w:before="141"/>
              <w:ind w:left="343"/>
              <w:rPr>
                <w:b/>
                <w:sz w:val="21"/>
              </w:rPr>
            </w:pPr>
            <w:r>
              <w:rPr>
                <w:b/>
                <w:w w:val="95"/>
                <w:sz w:val="21"/>
              </w:rPr>
              <w:t>全残</w:t>
            </w:r>
          </w:p>
        </w:tc>
        <w:tc>
          <w:tcPr>
            <w:tcW w:w="6733" w:type="dxa"/>
          </w:tcPr>
          <w:p>
            <w:pPr>
              <w:pStyle w:val="TableParagraph"/>
              <w:spacing w:before="141"/>
              <w:ind w:left="110"/>
              <w:rPr>
                <w:sz w:val="21"/>
              </w:rPr>
            </w:pPr>
            <w:r>
              <w:rPr>
                <w:sz w:val="21"/>
              </w:rPr>
              <w:t>指被保险人在本附加合同有效期内，发生下列情况之一者：</w:t>
            </w:r>
          </w:p>
          <w:p>
            <w:pPr>
              <w:pStyle w:val="TableParagraph"/>
              <w:spacing w:before="36"/>
              <w:ind w:left="110"/>
              <w:rPr>
                <w:sz w:val="21"/>
              </w:rPr>
            </w:pPr>
            <w:r>
              <w:rPr>
                <w:sz w:val="21"/>
              </w:rPr>
              <w:t>（</w:t>
            </w:r>
            <w:r>
              <w:rPr>
                <w:rFonts w:ascii="Times New Roman" w:eastAsia="Times New Roman"/>
                <w:sz w:val="21"/>
              </w:rPr>
              <w:t>1</w:t>
            </w:r>
            <w:r>
              <w:rPr>
                <w:sz w:val="21"/>
              </w:rPr>
              <w:t>）双目永久不可逆</w:t>
            </w:r>
            <w:r>
              <w:rPr>
                <w:position w:val="8"/>
                <w:sz w:val="12"/>
              </w:rPr>
              <w:t>（注</w:t>
            </w:r>
            <w:r>
              <w:rPr>
                <w:rFonts w:ascii="Times New Roman" w:eastAsia="Times New Roman"/>
                <w:position w:val="8"/>
                <w:sz w:val="12"/>
              </w:rPr>
              <w:t>1</w:t>
            </w:r>
            <w:r>
              <w:rPr>
                <w:position w:val="8"/>
                <w:sz w:val="12"/>
              </w:rPr>
              <w:t>）</w:t>
            </w:r>
            <w:r>
              <w:rPr>
                <w:sz w:val="21"/>
              </w:rPr>
              <w:t>失明</w:t>
            </w:r>
            <w:r>
              <w:rPr>
                <w:position w:val="8"/>
                <w:sz w:val="12"/>
              </w:rPr>
              <w:t>（注</w:t>
            </w:r>
            <w:r>
              <w:rPr>
                <w:rFonts w:ascii="Times New Roman" w:eastAsia="Times New Roman"/>
                <w:position w:val="8"/>
                <w:sz w:val="12"/>
              </w:rPr>
              <w:t>2</w:t>
            </w:r>
            <w:r>
              <w:rPr>
                <w:position w:val="8"/>
                <w:sz w:val="12"/>
              </w:rPr>
              <w:t>）</w:t>
            </w:r>
            <w:r>
              <w:rPr>
                <w:sz w:val="21"/>
              </w:rPr>
              <w:t>；</w:t>
            </w:r>
          </w:p>
          <w:p>
            <w:pPr>
              <w:pStyle w:val="TableParagraph"/>
              <w:spacing w:before="20"/>
              <w:ind w:left="110"/>
              <w:rPr>
                <w:sz w:val="21"/>
              </w:rPr>
            </w:pPr>
            <w:r>
              <w:rPr>
                <w:sz w:val="21"/>
              </w:rPr>
              <w:t>（</w:t>
            </w:r>
            <w:r>
              <w:rPr>
                <w:rFonts w:ascii="Times New Roman" w:eastAsia="Times New Roman"/>
                <w:sz w:val="21"/>
              </w:rPr>
              <w:t>2</w:t>
            </w:r>
            <w:r>
              <w:rPr>
                <w:sz w:val="21"/>
              </w:rPr>
              <w:t>）两上肢腕关节以上或两下肢踝关节以上缺失；</w:t>
            </w:r>
          </w:p>
          <w:p>
            <w:pPr>
              <w:pStyle w:val="TableParagraph"/>
              <w:spacing w:before="20"/>
              <w:ind w:left="110"/>
              <w:rPr>
                <w:sz w:val="21"/>
              </w:rPr>
            </w:pPr>
            <w:r>
              <w:rPr>
                <w:sz w:val="21"/>
              </w:rPr>
              <w:t>（</w:t>
            </w:r>
            <w:r>
              <w:rPr>
                <w:rFonts w:ascii="Times New Roman" w:eastAsia="Times New Roman"/>
                <w:sz w:val="21"/>
              </w:rPr>
              <w:t>3</w:t>
            </w:r>
            <w:r>
              <w:rPr>
                <w:sz w:val="21"/>
              </w:rPr>
              <w:t>）一上肢腕关节以上及一下肢踝关节以上缺失；</w:t>
            </w:r>
          </w:p>
          <w:p>
            <w:pPr>
              <w:pStyle w:val="TableParagraph"/>
              <w:spacing w:before="20"/>
              <w:ind w:left="110"/>
              <w:rPr>
                <w:sz w:val="21"/>
              </w:rPr>
            </w:pPr>
            <w:r>
              <w:rPr>
                <w:sz w:val="21"/>
              </w:rPr>
              <w:t>（</w:t>
            </w:r>
            <w:r>
              <w:rPr>
                <w:rFonts w:ascii="Times New Roman" w:eastAsia="Times New Roman"/>
                <w:sz w:val="21"/>
              </w:rPr>
              <w:t>4</w:t>
            </w:r>
            <w:r>
              <w:rPr>
                <w:sz w:val="21"/>
              </w:rPr>
              <w:t>）一目永久不可逆失明及一上肢腕关节以上缺失；</w:t>
            </w:r>
          </w:p>
          <w:p>
            <w:pPr>
              <w:pStyle w:val="TableParagraph"/>
              <w:spacing w:before="20"/>
              <w:ind w:left="110"/>
              <w:rPr>
                <w:sz w:val="21"/>
              </w:rPr>
            </w:pPr>
            <w:r>
              <w:rPr>
                <w:sz w:val="21"/>
              </w:rPr>
              <w:t>（</w:t>
            </w:r>
            <w:r>
              <w:rPr>
                <w:rFonts w:ascii="Times New Roman" w:eastAsia="Times New Roman"/>
                <w:sz w:val="21"/>
              </w:rPr>
              <w:t>5</w:t>
            </w:r>
            <w:r>
              <w:rPr>
                <w:sz w:val="21"/>
              </w:rPr>
              <w:t>）一目永久不可逆失明及一下肢踝关节以上缺失；</w:t>
            </w:r>
          </w:p>
          <w:p>
            <w:pPr>
              <w:pStyle w:val="TableParagraph"/>
              <w:spacing w:before="20"/>
              <w:ind w:left="110"/>
              <w:rPr>
                <w:sz w:val="21"/>
              </w:rPr>
            </w:pPr>
            <w:r>
              <w:rPr>
                <w:sz w:val="21"/>
              </w:rPr>
              <w:t>（</w:t>
            </w:r>
            <w:r>
              <w:rPr>
                <w:rFonts w:ascii="Times New Roman" w:eastAsia="Times New Roman"/>
                <w:sz w:val="21"/>
              </w:rPr>
              <w:t>6</w:t>
            </w:r>
            <w:r>
              <w:rPr>
                <w:sz w:val="21"/>
              </w:rPr>
              <w:t>）四肢关节机能永久不可逆丧失</w:t>
            </w:r>
            <w:r>
              <w:rPr>
                <w:position w:val="8"/>
                <w:sz w:val="12"/>
              </w:rPr>
              <w:t>（注</w:t>
            </w:r>
            <w:r>
              <w:rPr>
                <w:rFonts w:ascii="Times New Roman" w:eastAsia="Times New Roman"/>
                <w:position w:val="8"/>
                <w:sz w:val="12"/>
              </w:rPr>
              <w:t>3</w:t>
            </w:r>
            <w:r>
              <w:rPr>
                <w:position w:val="8"/>
                <w:sz w:val="12"/>
              </w:rPr>
              <w:t>）</w:t>
            </w:r>
            <w:r>
              <w:rPr>
                <w:sz w:val="21"/>
              </w:rPr>
              <w:t>；</w:t>
            </w:r>
          </w:p>
          <w:p>
            <w:pPr>
              <w:pStyle w:val="TableParagraph"/>
              <w:spacing w:before="20"/>
              <w:ind w:left="110"/>
              <w:rPr>
                <w:sz w:val="21"/>
              </w:rPr>
            </w:pPr>
            <w:r>
              <w:rPr>
                <w:sz w:val="21"/>
              </w:rPr>
              <w:t>（</w:t>
            </w:r>
            <w:r>
              <w:rPr>
                <w:rFonts w:ascii="Times New Roman" w:eastAsia="Times New Roman"/>
                <w:sz w:val="21"/>
              </w:rPr>
              <w:t>7</w:t>
            </w:r>
            <w:r>
              <w:rPr>
                <w:sz w:val="21"/>
              </w:rPr>
              <w:t>）咀嚼、吞咽机能永久不可逆丧失</w:t>
            </w:r>
            <w:r>
              <w:rPr>
                <w:position w:val="8"/>
                <w:sz w:val="12"/>
              </w:rPr>
              <w:t>（注</w:t>
            </w:r>
            <w:r>
              <w:rPr>
                <w:rFonts w:ascii="Times New Roman" w:eastAsia="Times New Roman"/>
                <w:position w:val="8"/>
                <w:sz w:val="12"/>
              </w:rPr>
              <w:t>4</w:t>
            </w:r>
            <w:r>
              <w:rPr>
                <w:position w:val="8"/>
                <w:sz w:val="12"/>
              </w:rPr>
              <w:t>）</w:t>
            </w:r>
            <w:r>
              <w:rPr>
                <w:sz w:val="21"/>
              </w:rPr>
              <w:t>；</w:t>
            </w:r>
          </w:p>
          <w:p>
            <w:pPr>
              <w:pStyle w:val="TableParagraph"/>
              <w:spacing w:line="256" w:lineRule="auto" w:before="20"/>
              <w:ind w:left="110" w:right="215"/>
              <w:rPr>
                <w:sz w:val="21"/>
              </w:rPr>
            </w:pPr>
            <w:r>
              <w:rPr>
                <w:sz w:val="21"/>
              </w:rPr>
              <w:t>（</w:t>
            </w:r>
            <w:r>
              <w:rPr>
                <w:rFonts w:ascii="Times New Roman" w:eastAsia="Times New Roman"/>
                <w:sz w:val="21"/>
              </w:rPr>
              <w:t>8</w:t>
            </w:r>
            <w:r>
              <w:rPr>
                <w:sz w:val="21"/>
              </w:rPr>
              <w:t>）中枢神经系统机能或胸、腹部脏器机能极度障碍，终身不能从事任何工作，为维持生命必要的日常生活活动，全需他人扶助</w:t>
            </w:r>
            <w:r>
              <w:rPr>
                <w:position w:val="8"/>
                <w:sz w:val="12"/>
              </w:rPr>
              <w:t>（注</w:t>
            </w:r>
            <w:r>
              <w:rPr>
                <w:rFonts w:ascii="Times New Roman" w:eastAsia="Times New Roman"/>
                <w:position w:val="8"/>
                <w:sz w:val="12"/>
              </w:rPr>
              <w:t>5</w:t>
            </w:r>
            <w:r>
              <w:rPr>
                <w:position w:val="8"/>
                <w:sz w:val="12"/>
              </w:rPr>
              <w:t>）</w:t>
            </w:r>
            <w:r>
              <w:rPr>
                <w:sz w:val="21"/>
              </w:rPr>
              <w:t>。</w:t>
            </w:r>
          </w:p>
        </w:tc>
      </w:tr>
      <w:tr>
        <w:trPr>
          <w:trHeight w:val="306" w:hRule="atLeast"/>
        </w:trPr>
        <w:tc>
          <w:tcPr>
            <w:tcW w:w="2577" w:type="dxa"/>
            <w:gridSpan w:val="2"/>
            <w:vMerge w:val="restart"/>
          </w:tcPr>
          <w:p>
            <w:pPr>
              <w:pStyle w:val="TableParagraph"/>
              <w:rPr>
                <w:rFonts w:ascii="Times New Roman"/>
                <w:sz w:val="20"/>
              </w:rPr>
            </w:pPr>
          </w:p>
        </w:tc>
        <w:tc>
          <w:tcPr>
            <w:tcW w:w="6733" w:type="dxa"/>
          </w:tcPr>
          <w:p>
            <w:pPr>
              <w:pStyle w:val="TableParagraph"/>
              <w:spacing w:line="261" w:lineRule="exact"/>
              <w:ind w:left="110"/>
              <w:rPr>
                <w:sz w:val="21"/>
              </w:rPr>
            </w:pPr>
            <w:r>
              <w:rPr>
                <w:sz w:val="21"/>
              </w:rPr>
              <w:t>注：</w:t>
            </w:r>
          </w:p>
        </w:tc>
      </w:tr>
      <w:tr>
        <w:trPr>
          <w:trHeight w:val="1259" w:hRule="atLeast"/>
        </w:trPr>
        <w:tc>
          <w:tcPr>
            <w:tcW w:w="2577" w:type="dxa"/>
            <w:gridSpan w:val="2"/>
            <w:vMerge/>
            <w:tcBorders>
              <w:top w:val="nil"/>
            </w:tcBorders>
          </w:tcPr>
          <w:p>
            <w:pPr>
              <w:rPr>
                <w:sz w:val="2"/>
                <w:szCs w:val="2"/>
              </w:rPr>
            </w:pPr>
          </w:p>
        </w:tc>
        <w:tc>
          <w:tcPr>
            <w:tcW w:w="6733" w:type="dxa"/>
          </w:tcPr>
          <w:p>
            <w:pPr>
              <w:pStyle w:val="TableParagraph"/>
              <w:spacing w:line="282" w:lineRule="exact"/>
              <w:ind w:left="110"/>
              <w:rPr>
                <w:sz w:val="21"/>
              </w:rPr>
            </w:pPr>
            <w:r>
              <w:rPr>
                <w:rFonts w:ascii="Times New Roman" w:eastAsia="Times New Roman"/>
                <w:sz w:val="21"/>
              </w:rPr>
              <w:t>1</w:t>
            </w:r>
            <w:r>
              <w:rPr>
                <w:sz w:val="21"/>
              </w:rPr>
              <w:t>、永久不可逆是指自疾病确诊或意外伤害发生之日起，经过积极治疗</w:t>
            </w:r>
          </w:p>
          <w:p>
            <w:pPr>
              <w:pStyle w:val="TableParagraph"/>
              <w:spacing w:before="21"/>
              <w:ind w:left="110"/>
              <w:rPr>
                <w:sz w:val="21"/>
              </w:rPr>
            </w:pPr>
            <w:r>
              <w:rPr>
                <w:rFonts w:ascii="Times New Roman" w:eastAsia="Times New Roman"/>
                <w:sz w:val="21"/>
              </w:rPr>
              <w:t>180</w:t>
            </w:r>
            <w:r>
              <w:rPr>
                <w:sz w:val="21"/>
              </w:rPr>
              <w:t>天后，仍无法通过现有医疗手段恢复。</w:t>
            </w:r>
          </w:p>
          <w:p>
            <w:pPr>
              <w:pStyle w:val="TableParagraph"/>
              <w:spacing w:before="21"/>
              <w:ind w:left="110"/>
              <w:rPr>
                <w:sz w:val="21"/>
              </w:rPr>
            </w:pPr>
            <w:r>
              <w:rPr>
                <w:rFonts w:ascii="Times New Roman" w:eastAsia="Times New Roman"/>
                <w:spacing w:val="-1"/>
                <w:sz w:val="21"/>
              </w:rPr>
              <w:t>2</w:t>
            </w:r>
            <w:r>
              <w:rPr>
                <w:spacing w:val="-18"/>
                <w:sz w:val="21"/>
              </w:rPr>
              <w:t>、失明包括眼球缺失或摘除、或不能辨别明暗、或仅能辨别眼前手动者。</w:t>
            </w:r>
          </w:p>
          <w:p>
            <w:pPr>
              <w:pStyle w:val="TableParagraph"/>
              <w:spacing w:before="21"/>
              <w:ind w:left="110"/>
              <w:rPr>
                <w:sz w:val="21"/>
              </w:rPr>
            </w:pPr>
            <w:r>
              <w:rPr>
                <w:sz w:val="21"/>
              </w:rPr>
              <w:t>最佳矫正视力低于国际标准视力表</w:t>
            </w:r>
            <w:r>
              <w:rPr>
                <w:rFonts w:ascii="Times New Roman" w:eastAsia="Times New Roman"/>
                <w:sz w:val="21"/>
              </w:rPr>
              <w:t>0.02</w:t>
            </w:r>
            <w:r>
              <w:rPr>
                <w:sz w:val="21"/>
              </w:rPr>
              <w:t>，或视野半径小于</w:t>
            </w:r>
            <w:r>
              <w:rPr>
                <w:rFonts w:ascii="Times New Roman" w:eastAsia="Times New Roman"/>
                <w:sz w:val="21"/>
              </w:rPr>
              <w:t>5</w:t>
            </w:r>
            <w:r>
              <w:rPr>
                <w:sz w:val="21"/>
              </w:rPr>
              <w:t>度，并由三</w:t>
            </w:r>
          </w:p>
        </w:tc>
      </w:tr>
      <w:tr>
        <w:trPr>
          <w:trHeight w:val="300" w:hRule="atLeast"/>
        </w:trPr>
        <w:tc>
          <w:tcPr>
            <w:tcW w:w="2577" w:type="dxa"/>
            <w:gridSpan w:val="2"/>
            <w:vMerge/>
            <w:tcBorders>
              <w:top w:val="nil"/>
            </w:tcBorders>
          </w:tcPr>
          <w:p>
            <w:pPr>
              <w:rPr>
                <w:sz w:val="2"/>
                <w:szCs w:val="2"/>
              </w:rPr>
            </w:pPr>
          </w:p>
        </w:tc>
        <w:tc>
          <w:tcPr>
            <w:tcW w:w="6733" w:type="dxa"/>
          </w:tcPr>
          <w:p>
            <w:pPr>
              <w:pStyle w:val="TableParagraph"/>
              <w:spacing w:line="255" w:lineRule="exact"/>
              <w:ind w:left="110"/>
              <w:rPr>
                <w:sz w:val="21"/>
              </w:rPr>
            </w:pPr>
            <w:r>
              <w:rPr>
                <w:sz w:val="21"/>
              </w:rPr>
              <w:t>级或以上医院的眼科医师出具医疗诊断证明。</w:t>
            </w:r>
          </w:p>
        </w:tc>
      </w:tr>
      <w:tr>
        <w:trPr>
          <w:trHeight w:val="323" w:hRule="atLeast"/>
        </w:trPr>
        <w:tc>
          <w:tcPr>
            <w:tcW w:w="2577" w:type="dxa"/>
            <w:gridSpan w:val="2"/>
            <w:vMerge/>
            <w:tcBorders>
              <w:top w:val="nil"/>
            </w:tcBorders>
          </w:tcPr>
          <w:p>
            <w:pPr>
              <w:rPr>
                <w:sz w:val="2"/>
                <w:szCs w:val="2"/>
              </w:rPr>
            </w:pPr>
          </w:p>
        </w:tc>
        <w:tc>
          <w:tcPr>
            <w:tcW w:w="6733" w:type="dxa"/>
          </w:tcPr>
          <w:p>
            <w:pPr>
              <w:pStyle w:val="TableParagraph"/>
              <w:spacing w:line="282" w:lineRule="exact"/>
              <w:ind w:left="110"/>
              <w:rPr>
                <w:sz w:val="21"/>
              </w:rPr>
            </w:pPr>
            <w:r>
              <w:rPr>
                <w:rFonts w:ascii="Times New Roman" w:eastAsia="Times New Roman"/>
                <w:sz w:val="21"/>
              </w:rPr>
              <w:t>3</w:t>
            </w:r>
            <w:r>
              <w:rPr>
                <w:sz w:val="21"/>
              </w:rPr>
              <w:t>、关节机能的丧失是指关节永久完全僵硬、或麻痹、或关节不能随意识</w:t>
            </w:r>
          </w:p>
        </w:tc>
      </w:tr>
      <w:tr>
        <w:trPr>
          <w:trHeight w:val="300" w:hRule="atLeast"/>
        </w:trPr>
        <w:tc>
          <w:tcPr>
            <w:tcW w:w="2577" w:type="dxa"/>
            <w:gridSpan w:val="2"/>
            <w:vMerge/>
            <w:tcBorders>
              <w:top w:val="nil"/>
            </w:tcBorders>
          </w:tcPr>
          <w:p>
            <w:pPr>
              <w:rPr>
                <w:sz w:val="2"/>
                <w:szCs w:val="2"/>
              </w:rPr>
            </w:pPr>
          </w:p>
        </w:tc>
        <w:tc>
          <w:tcPr>
            <w:tcW w:w="6733" w:type="dxa"/>
          </w:tcPr>
          <w:p>
            <w:pPr>
              <w:pStyle w:val="TableParagraph"/>
              <w:spacing w:line="255" w:lineRule="exact"/>
              <w:ind w:left="110"/>
              <w:rPr>
                <w:sz w:val="21"/>
              </w:rPr>
            </w:pPr>
            <w:r>
              <w:rPr>
                <w:sz w:val="21"/>
              </w:rPr>
              <w:t>活动。</w:t>
            </w:r>
          </w:p>
        </w:tc>
      </w:tr>
      <w:tr>
        <w:trPr>
          <w:trHeight w:val="323" w:hRule="atLeast"/>
        </w:trPr>
        <w:tc>
          <w:tcPr>
            <w:tcW w:w="2577" w:type="dxa"/>
            <w:gridSpan w:val="2"/>
            <w:vMerge/>
            <w:tcBorders>
              <w:top w:val="nil"/>
            </w:tcBorders>
          </w:tcPr>
          <w:p>
            <w:pPr>
              <w:rPr>
                <w:sz w:val="2"/>
                <w:szCs w:val="2"/>
              </w:rPr>
            </w:pPr>
          </w:p>
        </w:tc>
        <w:tc>
          <w:tcPr>
            <w:tcW w:w="6733" w:type="dxa"/>
          </w:tcPr>
          <w:p>
            <w:pPr>
              <w:pStyle w:val="TableParagraph"/>
              <w:spacing w:line="282" w:lineRule="exact"/>
              <w:ind w:left="110"/>
              <w:rPr>
                <w:sz w:val="21"/>
              </w:rPr>
            </w:pPr>
            <w:r>
              <w:rPr>
                <w:rFonts w:ascii="Times New Roman" w:eastAsia="Times New Roman"/>
                <w:sz w:val="21"/>
              </w:rPr>
              <w:t>4</w:t>
            </w:r>
            <w:r>
              <w:rPr>
                <w:sz w:val="21"/>
              </w:rPr>
              <w:t>、咀嚼、吞咽机能的丧失是指由于牙齿以外的原因引起器质性障碍或机</w:t>
            </w:r>
          </w:p>
        </w:tc>
      </w:tr>
      <w:tr>
        <w:trPr>
          <w:trHeight w:val="306" w:hRule="atLeast"/>
        </w:trPr>
        <w:tc>
          <w:tcPr>
            <w:tcW w:w="2577" w:type="dxa"/>
            <w:gridSpan w:val="2"/>
            <w:vMerge/>
            <w:tcBorders>
              <w:top w:val="nil"/>
            </w:tcBorders>
          </w:tcPr>
          <w:p>
            <w:pPr>
              <w:rPr>
                <w:sz w:val="2"/>
                <w:szCs w:val="2"/>
              </w:rPr>
            </w:pPr>
          </w:p>
        </w:tc>
        <w:tc>
          <w:tcPr>
            <w:tcW w:w="6733" w:type="dxa"/>
          </w:tcPr>
          <w:p>
            <w:pPr>
              <w:pStyle w:val="TableParagraph"/>
              <w:spacing w:line="255" w:lineRule="exact"/>
              <w:ind w:left="110"/>
              <w:rPr>
                <w:sz w:val="21"/>
              </w:rPr>
            </w:pPr>
            <w:r>
              <w:rPr>
                <w:sz w:val="21"/>
              </w:rPr>
              <w:t>能障碍，以致不能做咀嚼、吞咽运动，除流质食物外不能摄取或吞咽的</w:t>
            </w:r>
          </w:p>
        </w:tc>
      </w:tr>
      <w:tr>
        <w:trPr>
          <w:trHeight w:val="306" w:hRule="atLeast"/>
        </w:trPr>
        <w:tc>
          <w:tcPr>
            <w:tcW w:w="2577" w:type="dxa"/>
            <w:gridSpan w:val="2"/>
            <w:vMerge/>
            <w:tcBorders>
              <w:top w:val="nil"/>
            </w:tcBorders>
          </w:tcPr>
          <w:p>
            <w:pPr>
              <w:rPr>
                <w:sz w:val="2"/>
                <w:szCs w:val="2"/>
              </w:rPr>
            </w:pPr>
          </w:p>
        </w:tc>
        <w:tc>
          <w:tcPr>
            <w:tcW w:w="6733" w:type="dxa"/>
          </w:tcPr>
          <w:p>
            <w:pPr>
              <w:pStyle w:val="TableParagraph"/>
              <w:spacing w:line="261" w:lineRule="exact"/>
              <w:ind w:left="110"/>
              <w:rPr>
                <w:sz w:val="21"/>
              </w:rPr>
            </w:pPr>
            <w:r>
              <w:rPr>
                <w:sz w:val="21"/>
              </w:rPr>
              <w:t>状态。</w:t>
            </w:r>
          </w:p>
        </w:tc>
      </w:tr>
      <w:tr>
        <w:trPr>
          <w:trHeight w:val="323" w:hRule="atLeast"/>
        </w:trPr>
        <w:tc>
          <w:tcPr>
            <w:tcW w:w="2577" w:type="dxa"/>
            <w:gridSpan w:val="2"/>
            <w:vMerge/>
            <w:tcBorders>
              <w:top w:val="nil"/>
            </w:tcBorders>
          </w:tcPr>
          <w:p>
            <w:pPr>
              <w:rPr>
                <w:sz w:val="2"/>
                <w:szCs w:val="2"/>
              </w:rPr>
            </w:pPr>
          </w:p>
        </w:tc>
        <w:tc>
          <w:tcPr>
            <w:tcW w:w="6733" w:type="dxa"/>
          </w:tcPr>
          <w:p>
            <w:pPr>
              <w:pStyle w:val="TableParagraph"/>
              <w:spacing w:line="282" w:lineRule="exact"/>
              <w:ind w:left="110"/>
              <w:rPr>
                <w:sz w:val="21"/>
              </w:rPr>
            </w:pPr>
            <w:r>
              <w:rPr>
                <w:rFonts w:ascii="Times New Roman" w:eastAsia="Times New Roman"/>
                <w:sz w:val="21"/>
              </w:rPr>
              <w:t>5</w:t>
            </w:r>
            <w:r>
              <w:rPr>
                <w:sz w:val="21"/>
              </w:rPr>
              <w:t>、为维持生命必要的日常生活活动，全需他人扶助是指以下六项基本</w:t>
            </w:r>
          </w:p>
        </w:tc>
      </w:tr>
      <w:tr>
        <w:trPr>
          <w:trHeight w:val="300" w:hRule="atLeast"/>
        </w:trPr>
        <w:tc>
          <w:tcPr>
            <w:tcW w:w="2577" w:type="dxa"/>
            <w:gridSpan w:val="2"/>
            <w:vMerge/>
            <w:tcBorders>
              <w:top w:val="nil"/>
            </w:tcBorders>
          </w:tcPr>
          <w:p>
            <w:pPr>
              <w:rPr>
                <w:sz w:val="2"/>
                <w:szCs w:val="2"/>
              </w:rPr>
            </w:pPr>
          </w:p>
        </w:tc>
        <w:tc>
          <w:tcPr>
            <w:tcW w:w="6733" w:type="dxa"/>
          </w:tcPr>
          <w:p>
            <w:pPr>
              <w:pStyle w:val="TableParagraph"/>
              <w:spacing w:line="255" w:lineRule="exact"/>
              <w:ind w:left="110"/>
              <w:rPr>
                <w:sz w:val="21"/>
              </w:rPr>
            </w:pPr>
            <w:r>
              <w:rPr>
                <w:sz w:val="21"/>
              </w:rPr>
              <w:t>日常生活活动，均不能自理，需要他人帮助：</w:t>
            </w:r>
          </w:p>
        </w:tc>
      </w:tr>
      <w:tr>
        <w:trPr>
          <w:trHeight w:val="1214" w:hRule="atLeast"/>
        </w:trPr>
        <w:tc>
          <w:tcPr>
            <w:tcW w:w="2577" w:type="dxa"/>
            <w:gridSpan w:val="2"/>
            <w:vMerge/>
            <w:tcBorders>
              <w:top w:val="nil"/>
            </w:tcBorders>
          </w:tcPr>
          <w:p>
            <w:pPr>
              <w:rPr>
                <w:sz w:val="2"/>
                <w:szCs w:val="2"/>
              </w:rPr>
            </w:pPr>
          </w:p>
        </w:tc>
        <w:tc>
          <w:tcPr>
            <w:tcW w:w="6733" w:type="dxa"/>
          </w:tcPr>
          <w:p>
            <w:pPr>
              <w:pStyle w:val="TableParagraph"/>
              <w:spacing w:line="282" w:lineRule="exact"/>
              <w:ind w:left="110"/>
              <w:rPr>
                <w:sz w:val="21"/>
              </w:rPr>
            </w:pPr>
            <w:r>
              <w:rPr>
                <w:sz w:val="21"/>
              </w:rPr>
              <w:t>（</w:t>
            </w:r>
            <w:r>
              <w:rPr>
                <w:rFonts w:ascii="Times New Roman" w:eastAsia="Times New Roman"/>
                <w:sz w:val="21"/>
              </w:rPr>
              <w:t>1</w:t>
            </w:r>
            <w:r>
              <w:rPr>
                <w:sz w:val="21"/>
              </w:rPr>
              <w:t>）穿衣：自己能够穿衣及脱衣；</w:t>
            </w:r>
          </w:p>
          <w:p>
            <w:pPr>
              <w:pStyle w:val="TableParagraph"/>
              <w:spacing w:before="21"/>
              <w:ind w:left="110"/>
              <w:rPr>
                <w:sz w:val="21"/>
              </w:rPr>
            </w:pPr>
            <w:r>
              <w:rPr>
                <w:sz w:val="21"/>
              </w:rPr>
              <w:t>（</w:t>
            </w:r>
            <w:r>
              <w:rPr>
                <w:rFonts w:ascii="Times New Roman" w:eastAsia="Times New Roman"/>
                <w:sz w:val="21"/>
              </w:rPr>
              <w:t>2</w:t>
            </w:r>
            <w:r>
              <w:rPr>
                <w:sz w:val="21"/>
              </w:rPr>
              <w:t>）移动：自己从一个房间到另一个房间；</w:t>
            </w:r>
          </w:p>
          <w:p>
            <w:pPr>
              <w:pStyle w:val="TableParagraph"/>
              <w:spacing w:before="21"/>
              <w:ind w:left="110"/>
              <w:rPr>
                <w:sz w:val="21"/>
              </w:rPr>
            </w:pPr>
            <w:r>
              <w:rPr>
                <w:sz w:val="21"/>
              </w:rPr>
              <w:t>（</w:t>
            </w:r>
            <w:r>
              <w:rPr>
                <w:rFonts w:ascii="Times New Roman" w:eastAsia="Times New Roman"/>
                <w:sz w:val="21"/>
              </w:rPr>
              <w:t>3</w:t>
            </w:r>
            <w:r>
              <w:rPr>
                <w:sz w:val="21"/>
              </w:rPr>
              <w:t>）行动：自己上下床或上下轮椅；</w:t>
            </w:r>
          </w:p>
          <w:p>
            <w:pPr>
              <w:pStyle w:val="TableParagraph"/>
              <w:spacing w:line="267" w:lineRule="exact" w:before="21"/>
              <w:ind w:left="110"/>
              <w:rPr>
                <w:sz w:val="21"/>
              </w:rPr>
            </w:pPr>
            <w:r>
              <w:rPr>
                <w:sz w:val="21"/>
              </w:rPr>
              <w:t>（</w:t>
            </w:r>
            <w:r>
              <w:rPr>
                <w:rFonts w:ascii="Times New Roman" w:eastAsia="Times New Roman"/>
                <w:sz w:val="21"/>
              </w:rPr>
              <w:t>4</w:t>
            </w:r>
            <w:r>
              <w:rPr>
                <w:sz w:val="21"/>
              </w:rPr>
              <w:t>）如厕：自己控制进行大小便；</w:t>
            </w:r>
          </w:p>
        </w:tc>
      </w:tr>
    </w:tbl>
    <w:p>
      <w:pPr>
        <w:spacing w:after="0" w:line="267" w:lineRule="exact"/>
        <w:rPr>
          <w:sz w:val="21"/>
        </w:rPr>
        <w:sectPr>
          <w:pgSz w:w="11900" w:h="16840"/>
          <w:pgMar w:header="0" w:footer="866" w:top="1280" w:bottom="1060" w:left="1560" w:right="800"/>
        </w:sectPr>
      </w:pPr>
    </w:p>
    <w:p>
      <w:pPr>
        <w:pStyle w:val="BodyText"/>
        <w:spacing w:before="28"/>
        <w:ind w:left="2856"/>
      </w:pPr>
      <w:r>
        <w:rPr/>
        <w:t>（</w:t>
      </w:r>
      <w:r>
        <w:rPr>
          <w:rFonts w:ascii="Times New Roman" w:eastAsia="Times New Roman"/>
        </w:rPr>
        <w:t>5</w:t>
      </w:r>
      <w:r>
        <w:rPr/>
        <w:t>）进食：自己从已准备好的碗或碟中取食物放入口中；</w:t>
      </w:r>
    </w:p>
    <w:p>
      <w:pPr>
        <w:pStyle w:val="BodyText"/>
        <w:spacing w:before="20"/>
        <w:ind w:left="2856"/>
      </w:pPr>
      <w:r>
        <w:rPr/>
        <w:t>（</w:t>
      </w:r>
      <w:r>
        <w:rPr>
          <w:rFonts w:ascii="Times New Roman" w:eastAsia="Times New Roman"/>
        </w:rPr>
        <w:t>6</w:t>
      </w:r>
      <w:r>
        <w:rPr/>
        <w:t>）洗澡：自己进行淋浴或盆浴。</w:t>
      </w:r>
    </w:p>
    <w:p>
      <w:pPr>
        <w:pStyle w:val="BodyText"/>
        <w:spacing w:before="2"/>
        <w:rPr>
          <w:sz w:val="14"/>
        </w:rPr>
      </w:pPr>
    </w:p>
    <w:p>
      <w:pPr>
        <w:spacing w:after="0"/>
        <w:rPr>
          <w:sz w:val="14"/>
        </w:rPr>
        <w:sectPr>
          <w:pgSz w:w="11900" w:h="16840"/>
          <w:pgMar w:header="0" w:footer="866" w:top="1200" w:bottom="1060" w:left="940" w:right="1460"/>
        </w:sectPr>
      </w:pPr>
    </w:p>
    <w:p>
      <w:pPr>
        <w:pStyle w:val="Heading2"/>
        <w:numPr>
          <w:ilvl w:val="0"/>
          <w:numId w:val="6"/>
        </w:numPr>
        <w:tabs>
          <w:tab w:pos="1271" w:val="left" w:leader="none"/>
          <w:tab w:pos="1272" w:val="left" w:leader="none"/>
        </w:tabs>
        <w:spacing w:line="240" w:lineRule="auto" w:before="30" w:after="0"/>
        <w:ind w:left="2856" w:right="0" w:hanging="2636"/>
        <w:jc w:val="left"/>
        <w:rPr>
          <w:rFonts w:ascii="Times New Roman" w:eastAsia="Times New Roman"/>
        </w:rPr>
      </w:pPr>
      <w:r>
        <w:rPr/>
        <w:pict>
          <v:group style="position:absolute;margin-left:52.5pt;margin-top:27.115601pt;width:464.1pt;height:.6pt;mso-position-horizontal-relative:page;mso-position-vertical-relative:paragraph;z-index:-44560" coordorigin="1050,542" coordsize="9282,12">
            <v:line style="position:absolute" from="1050,548" to="2102,548" stroked="true" strokeweight=".6pt" strokecolor="#000000">
              <v:stroke dashstyle="solid"/>
            </v:line>
            <v:line style="position:absolute" from="2102,548" to="4092,548" stroked="true" strokeweight=".6pt" strokecolor="#000000">
              <v:stroke dashstyle="solid"/>
            </v:line>
            <v:line style="position:absolute" from="4092,548" to="10332,548" stroked="true" strokeweight=".6pt" strokecolor="#000000">
              <v:stroke dashstyle="solid"/>
            </v:line>
            <w10:wrap type="none"/>
          </v:group>
        </w:pict>
      </w:r>
      <w:r>
        <w:rPr>
          <w:w w:val="95"/>
          <w:position w:val="1"/>
        </w:rPr>
        <w:t>特别说明</w:t>
      </w:r>
    </w:p>
    <w:p>
      <w:pPr>
        <w:pStyle w:val="BodyText"/>
        <w:rPr>
          <w:b/>
          <w:sz w:val="20"/>
        </w:rPr>
      </w:pPr>
      <w:r>
        <w:rPr/>
        <w:br w:type="column"/>
      </w:r>
      <w:r>
        <w:rPr>
          <w:b/>
          <w:sz w:val="20"/>
        </w:rPr>
      </w:r>
    </w:p>
    <w:p>
      <w:pPr>
        <w:pStyle w:val="BodyText"/>
        <w:spacing w:before="1"/>
        <w:rPr>
          <w:b/>
          <w:sz w:val="22"/>
        </w:rPr>
      </w:pPr>
    </w:p>
    <w:p>
      <w:pPr>
        <w:pStyle w:val="BodyText"/>
        <w:spacing w:line="199" w:lineRule="auto"/>
        <w:ind w:left="273" w:right="230"/>
      </w:pPr>
      <w:r>
        <w:rPr/>
        <w:t>（</w:t>
      </w:r>
      <w:r>
        <w:rPr>
          <w:rFonts w:ascii="Times New Roman" w:eastAsia="Times New Roman"/>
        </w:rPr>
        <w:t>1</w:t>
      </w:r>
      <w:r>
        <w:rPr/>
        <w:t>）</w:t>
      </w:r>
      <w:r>
        <w:rPr>
          <w:spacing w:val="-7"/>
        </w:rPr>
        <w:t>本附加合同第 </w:t>
      </w:r>
      <w:r>
        <w:rPr>
          <w:rFonts w:ascii="Times New Roman" w:eastAsia="Times New Roman"/>
        </w:rPr>
        <w:t>6 </w:t>
      </w:r>
      <w:r>
        <w:rPr>
          <w:spacing w:val="-29"/>
        </w:rPr>
        <w:t>条 </w:t>
      </w:r>
      <w:r>
        <w:rPr>
          <w:rFonts w:ascii="Times New Roman" w:eastAsia="Times New Roman"/>
        </w:rPr>
        <w:t>6.1 </w:t>
      </w:r>
      <w:r>
        <w:rPr>
          <w:spacing w:val="-27"/>
        </w:rPr>
        <w:t>至 </w:t>
      </w:r>
      <w:r>
        <w:rPr>
          <w:rFonts w:ascii="Times New Roman" w:eastAsia="Times New Roman"/>
        </w:rPr>
        <w:t>6.25 </w:t>
      </w:r>
      <w:r>
        <w:rPr/>
        <w:t>款（除特别声明</w:t>
      </w:r>
      <w:r>
        <w:rPr>
          <w:spacing w:val="2"/>
        </w:rPr>
        <w:t>）</w:t>
      </w:r>
      <w:r>
        <w:rPr/>
        <w:t>使用了中国保险行业协会《重大疾病保险的疾病定义使用规范》（中保协寿</w:t>
      </w:r>
    </w:p>
    <w:p>
      <w:pPr>
        <w:pStyle w:val="BodyText"/>
        <w:spacing w:line="231" w:lineRule="exact"/>
        <w:ind w:left="273"/>
      </w:pPr>
      <w:r>
        <w:rPr/>
        <w:t>【</w:t>
      </w:r>
      <w:r>
        <w:rPr>
          <w:rFonts w:ascii="Times New Roman" w:eastAsia="Times New Roman"/>
        </w:rPr>
        <w:t>2007</w:t>
      </w:r>
      <w:r>
        <w:rPr/>
        <w:t>】</w:t>
      </w:r>
      <w:r>
        <w:rPr>
          <w:rFonts w:ascii="Times New Roman" w:eastAsia="Times New Roman"/>
        </w:rPr>
        <w:t>9 </w:t>
      </w:r>
      <w:r>
        <w:rPr/>
        <w:t>号）的疾病名称和疾病定义。</w:t>
      </w:r>
    </w:p>
    <w:p>
      <w:pPr>
        <w:pStyle w:val="BodyText"/>
        <w:spacing w:line="241" w:lineRule="exact"/>
        <w:ind w:left="273"/>
      </w:pPr>
      <w:r>
        <w:rPr/>
        <w:t>（</w:t>
      </w:r>
      <w:r>
        <w:rPr>
          <w:rFonts w:ascii="Times New Roman" w:eastAsia="Times New Roman"/>
        </w:rPr>
        <w:t>2</w:t>
      </w:r>
      <w:r>
        <w:rPr/>
        <w:t>）本附加合同第 </w:t>
      </w:r>
      <w:r>
        <w:rPr>
          <w:rFonts w:ascii="Times New Roman" w:eastAsia="Times New Roman"/>
        </w:rPr>
        <w:t>7 </w:t>
      </w:r>
      <w:r>
        <w:rPr/>
        <w:t>条 </w:t>
      </w:r>
      <w:r>
        <w:rPr>
          <w:rFonts w:ascii="Times New Roman" w:eastAsia="Times New Roman"/>
        </w:rPr>
        <w:t>7.</w:t>
      </w:r>
      <w:r>
        <w:rPr/>
        <w:t>２至 </w:t>
      </w:r>
      <w:r>
        <w:rPr>
          <w:rFonts w:ascii="Times New Roman" w:eastAsia="Times New Roman"/>
        </w:rPr>
        <w:t>7.</w:t>
      </w:r>
      <w:r>
        <w:rPr/>
        <w:t>９款使用了中国保险行业协会</w:t>
      </w:r>
    </w:p>
    <w:p>
      <w:pPr>
        <w:pStyle w:val="BodyText"/>
        <w:spacing w:line="199" w:lineRule="auto" w:before="24"/>
        <w:ind w:left="273" w:right="213" w:hanging="54"/>
      </w:pPr>
      <w:r>
        <w:rPr>
          <w:spacing w:val="-4"/>
        </w:rPr>
        <w:t>《重大疾病保险的疾病定义使用规范》</w:t>
      </w:r>
      <w:r>
        <w:rPr/>
        <w:t>（</w:t>
      </w:r>
      <w:r>
        <w:rPr>
          <w:spacing w:val="-11"/>
        </w:rPr>
        <w:t>中保协寿【</w:t>
      </w:r>
      <w:r>
        <w:rPr>
          <w:rFonts w:ascii="Times New Roman" w:eastAsia="Times New Roman"/>
        </w:rPr>
        <w:t>2007</w:t>
      </w:r>
      <w:r>
        <w:rPr>
          <w:spacing w:val="-54"/>
        </w:rPr>
        <w:t>】</w:t>
      </w:r>
      <w:r>
        <w:rPr>
          <w:rFonts w:ascii="Times New Roman" w:eastAsia="Times New Roman"/>
        </w:rPr>
        <w:t>9 </w:t>
      </w:r>
      <w:r>
        <w:rPr/>
        <w:t>号）的术语释义。</w:t>
      </w:r>
    </w:p>
    <w:p>
      <w:pPr>
        <w:pStyle w:val="BodyText"/>
        <w:rPr>
          <w:sz w:val="20"/>
        </w:rPr>
      </w:pPr>
    </w:p>
    <w:p>
      <w:pPr>
        <w:pStyle w:val="BodyText"/>
        <w:rPr>
          <w:sz w:val="20"/>
        </w:rPr>
      </w:pPr>
    </w:p>
    <w:p>
      <w:pPr>
        <w:pStyle w:val="BodyText"/>
        <w:spacing w:before="7"/>
        <w:rPr>
          <w:sz w:val="25"/>
        </w:rPr>
      </w:pPr>
    </w:p>
    <w:p>
      <w:pPr>
        <w:pStyle w:val="BodyText"/>
        <w:spacing w:before="1"/>
        <w:ind w:left="1429"/>
      </w:pPr>
      <w:r>
        <w:rPr/>
        <w:t>（完）</w:t>
      </w:r>
    </w:p>
    <w:sectPr>
      <w:type w:val="continuous"/>
      <w:pgSz w:w="11900" w:h="16840"/>
      <w:pgMar w:top="160" w:bottom="280" w:left="940" w:right="1460"/>
      <w:cols w:num="2" w:equalWidth="0">
        <w:col w:w="2233" w:space="755"/>
        <w:col w:w="651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76.600006pt;margin-top:787.706238pt;width:14pt;height:12pt;mso-position-horizontal-relative:page;mso-position-vertical-relative:page;z-index:-44800" type="#_x0000_t202" filled="false" stroked="false">
          <v:textbox inset="0,0,0,0">
            <w:txbxContent>
              <w:p>
                <w:pPr>
                  <w:spacing w:line="220" w:lineRule="exact" w:before="0"/>
                  <w:ind w:left="4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899994pt;margin-top:787.706238pt;width:14pt;height:12pt;mso-position-horizontal-relative:page;mso-position-vertical-relative:page;z-index:-44776" type="#_x0000_t202" filled="false" stroked="false">
          <v:textbox inset="0,0,0,0">
            <w:txbxContent>
              <w:p>
                <w:pPr>
                  <w:spacing w:line="220" w:lineRule="exact" w:before="0"/>
                  <w:ind w:left="40" w:right="0" w:firstLine="0"/>
                  <w:jc w:val="left"/>
                  <w:rPr>
                    <w:sz w:val="20"/>
                  </w:rPr>
                </w:pPr>
                <w:r>
                  <w:rPr/>
                  <w:fldChar w:fldCharType="begin"/>
                </w:r>
                <w:r>
                  <w:rPr>
                    <w:sz w:val="20"/>
                  </w:rPr>
                  <w:instrText> PAGE </w:instrText>
                </w:r>
                <w:r>
                  <w:rPr/>
                  <w:fldChar w:fldCharType="separate"/>
                </w:r>
                <w:r>
                  <w:rPr/>
                  <w:t>11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7"/>
      <w:numFmt w:val="decimal"/>
      <w:lvlText w:val="%1"/>
      <w:lvlJc w:val="left"/>
      <w:pPr>
        <w:ind w:left="2856" w:hanging="1052"/>
        <w:jc w:val="left"/>
      </w:pPr>
      <w:rPr>
        <w:rFonts w:hint="default"/>
      </w:rPr>
    </w:lvl>
    <w:lvl w:ilvl="1">
      <w:start w:val="1"/>
      <w:numFmt w:val="decimal"/>
      <w:lvlText w:val="%1.%2"/>
      <w:lvlJc w:val="left"/>
      <w:pPr>
        <w:ind w:left="2856" w:hanging="1052"/>
        <w:jc w:val="left"/>
      </w:pPr>
      <w:rPr>
        <w:rFonts w:hint="default" w:ascii="Times New Roman" w:hAnsi="Times New Roman" w:eastAsia="Times New Roman" w:cs="Times New Roman"/>
        <w:spacing w:val="-1"/>
        <w:w w:val="99"/>
        <w:position w:val="1"/>
        <w:sz w:val="21"/>
        <w:szCs w:val="21"/>
      </w:rPr>
    </w:lvl>
    <w:lvl w:ilvl="2">
      <w:start w:val="0"/>
      <w:numFmt w:val="bullet"/>
      <w:lvlText w:val="•"/>
      <w:lvlJc w:val="left"/>
      <w:pPr>
        <w:ind w:left="4188" w:hanging="1052"/>
      </w:pPr>
      <w:rPr>
        <w:rFonts w:hint="default"/>
      </w:rPr>
    </w:lvl>
    <w:lvl w:ilvl="3">
      <w:start w:val="0"/>
      <w:numFmt w:val="bullet"/>
      <w:lvlText w:val="•"/>
      <w:lvlJc w:val="left"/>
      <w:pPr>
        <w:ind w:left="4852" w:hanging="1052"/>
      </w:pPr>
      <w:rPr>
        <w:rFonts w:hint="default"/>
      </w:rPr>
    </w:lvl>
    <w:lvl w:ilvl="4">
      <w:start w:val="0"/>
      <w:numFmt w:val="bullet"/>
      <w:lvlText w:val="•"/>
      <w:lvlJc w:val="left"/>
      <w:pPr>
        <w:ind w:left="5516" w:hanging="1052"/>
      </w:pPr>
      <w:rPr>
        <w:rFonts w:hint="default"/>
      </w:rPr>
    </w:lvl>
    <w:lvl w:ilvl="5">
      <w:start w:val="0"/>
      <w:numFmt w:val="bullet"/>
      <w:lvlText w:val="•"/>
      <w:lvlJc w:val="left"/>
      <w:pPr>
        <w:ind w:left="6180" w:hanging="1052"/>
      </w:pPr>
      <w:rPr>
        <w:rFonts w:hint="default"/>
      </w:rPr>
    </w:lvl>
    <w:lvl w:ilvl="6">
      <w:start w:val="0"/>
      <w:numFmt w:val="bullet"/>
      <w:lvlText w:val="•"/>
      <w:lvlJc w:val="left"/>
      <w:pPr>
        <w:ind w:left="6844" w:hanging="1052"/>
      </w:pPr>
      <w:rPr>
        <w:rFonts w:hint="default"/>
      </w:rPr>
    </w:lvl>
    <w:lvl w:ilvl="7">
      <w:start w:val="0"/>
      <w:numFmt w:val="bullet"/>
      <w:lvlText w:val="•"/>
      <w:lvlJc w:val="left"/>
      <w:pPr>
        <w:ind w:left="7508" w:hanging="1052"/>
      </w:pPr>
      <w:rPr>
        <w:rFonts w:hint="default"/>
      </w:rPr>
    </w:lvl>
    <w:lvl w:ilvl="8">
      <w:start w:val="0"/>
      <w:numFmt w:val="bullet"/>
      <w:lvlText w:val="•"/>
      <w:lvlJc w:val="left"/>
      <w:pPr>
        <w:ind w:left="8172" w:hanging="1052"/>
      </w:pPr>
      <w:rPr>
        <w:rFonts w:hint="default"/>
      </w:rPr>
    </w:lvl>
  </w:abstractNum>
  <w:abstractNum w:abstractNumId="4">
    <w:multiLevelType w:val="hybridMultilevel"/>
    <w:lvl w:ilvl="0">
      <w:start w:val="6"/>
      <w:numFmt w:val="decimal"/>
      <w:lvlText w:val="%1"/>
      <w:lvlJc w:val="left"/>
      <w:pPr>
        <w:ind w:left="2744" w:hanging="1052"/>
        <w:jc w:val="right"/>
      </w:pPr>
      <w:rPr>
        <w:rFonts w:hint="default"/>
      </w:rPr>
    </w:lvl>
    <w:lvl w:ilvl="1">
      <w:start w:val="15"/>
      <w:numFmt w:val="decimal"/>
      <w:lvlText w:val="%1.%2"/>
      <w:lvlJc w:val="left"/>
      <w:pPr>
        <w:ind w:left="2744" w:hanging="1052"/>
        <w:jc w:val="right"/>
      </w:pPr>
      <w:rPr>
        <w:rFonts w:hint="default" w:ascii="Times New Roman" w:hAnsi="Times New Roman" w:eastAsia="Times New Roman" w:cs="Times New Roman"/>
        <w:spacing w:val="-3"/>
        <w:w w:val="99"/>
        <w:position w:val="1"/>
        <w:sz w:val="21"/>
        <w:szCs w:val="21"/>
      </w:rPr>
    </w:lvl>
    <w:lvl w:ilvl="2">
      <w:start w:val="0"/>
      <w:numFmt w:val="bullet"/>
      <w:lvlText w:val="•"/>
      <w:lvlJc w:val="left"/>
      <w:pPr>
        <w:ind w:left="4092" w:hanging="1052"/>
      </w:pPr>
      <w:rPr>
        <w:rFonts w:hint="default"/>
      </w:rPr>
    </w:lvl>
    <w:lvl w:ilvl="3">
      <w:start w:val="0"/>
      <w:numFmt w:val="bullet"/>
      <w:lvlText w:val="•"/>
      <w:lvlJc w:val="left"/>
      <w:pPr>
        <w:ind w:left="4768" w:hanging="1052"/>
      </w:pPr>
      <w:rPr>
        <w:rFonts w:hint="default"/>
      </w:rPr>
    </w:lvl>
    <w:lvl w:ilvl="4">
      <w:start w:val="0"/>
      <w:numFmt w:val="bullet"/>
      <w:lvlText w:val="•"/>
      <w:lvlJc w:val="left"/>
      <w:pPr>
        <w:ind w:left="5444" w:hanging="1052"/>
      </w:pPr>
      <w:rPr>
        <w:rFonts w:hint="default"/>
      </w:rPr>
    </w:lvl>
    <w:lvl w:ilvl="5">
      <w:start w:val="0"/>
      <w:numFmt w:val="bullet"/>
      <w:lvlText w:val="•"/>
      <w:lvlJc w:val="left"/>
      <w:pPr>
        <w:ind w:left="6120" w:hanging="1052"/>
      </w:pPr>
      <w:rPr>
        <w:rFonts w:hint="default"/>
      </w:rPr>
    </w:lvl>
    <w:lvl w:ilvl="6">
      <w:start w:val="0"/>
      <w:numFmt w:val="bullet"/>
      <w:lvlText w:val="•"/>
      <w:lvlJc w:val="left"/>
      <w:pPr>
        <w:ind w:left="6796" w:hanging="1052"/>
      </w:pPr>
      <w:rPr>
        <w:rFonts w:hint="default"/>
      </w:rPr>
    </w:lvl>
    <w:lvl w:ilvl="7">
      <w:start w:val="0"/>
      <w:numFmt w:val="bullet"/>
      <w:lvlText w:val="•"/>
      <w:lvlJc w:val="left"/>
      <w:pPr>
        <w:ind w:left="7472" w:hanging="1052"/>
      </w:pPr>
      <w:rPr>
        <w:rFonts w:hint="default"/>
      </w:rPr>
    </w:lvl>
    <w:lvl w:ilvl="8">
      <w:start w:val="0"/>
      <w:numFmt w:val="bullet"/>
      <w:lvlText w:val="•"/>
      <w:lvlJc w:val="left"/>
      <w:pPr>
        <w:ind w:left="8148" w:hanging="1052"/>
      </w:pPr>
      <w:rPr>
        <w:rFonts w:hint="default"/>
      </w:rPr>
    </w:lvl>
  </w:abstractNum>
  <w:abstractNum w:abstractNumId="3">
    <w:multiLevelType w:val="hybridMultilevel"/>
    <w:lvl w:ilvl="0">
      <w:start w:val="1"/>
      <w:numFmt w:val="decimal"/>
      <w:lvlText w:val="%1"/>
      <w:lvlJc w:val="left"/>
      <w:pPr>
        <w:ind w:left="1272" w:hanging="1052"/>
        <w:jc w:val="left"/>
      </w:pPr>
      <w:rPr>
        <w:rFonts w:hint="default" w:ascii="Times New Roman" w:hAnsi="Times New Roman" w:eastAsia="Times New Roman" w:cs="Times New Roman"/>
        <w:b/>
        <w:bCs/>
        <w:w w:val="99"/>
        <w:position w:val="1"/>
        <w:sz w:val="24"/>
        <w:szCs w:val="24"/>
      </w:rPr>
    </w:lvl>
    <w:lvl w:ilvl="1">
      <w:start w:val="1"/>
      <w:numFmt w:val="decimal"/>
      <w:lvlText w:val="%1.%2"/>
      <w:lvlJc w:val="left"/>
      <w:pPr>
        <w:ind w:left="2856" w:hanging="1052"/>
        <w:jc w:val="left"/>
      </w:pPr>
      <w:rPr>
        <w:rFonts w:hint="default" w:ascii="Times New Roman" w:hAnsi="Times New Roman" w:eastAsia="Times New Roman" w:cs="Times New Roman"/>
        <w:spacing w:val="-1"/>
        <w:w w:val="99"/>
        <w:position w:val="1"/>
        <w:sz w:val="21"/>
        <w:szCs w:val="21"/>
      </w:rPr>
    </w:lvl>
    <w:lvl w:ilvl="2">
      <w:start w:val="1"/>
      <w:numFmt w:val="decimal"/>
      <w:lvlText w:val="%1.%2.%3"/>
      <w:lvlJc w:val="left"/>
      <w:pPr>
        <w:ind w:left="2864" w:hanging="1052"/>
        <w:jc w:val="left"/>
      </w:pPr>
      <w:rPr>
        <w:rFonts w:hint="default" w:ascii="Times New Roman" w:hAnsi="Times New Roman" w:eastAsia="Times New Roman" w:cs="Times New Roman"/>
        <w:spacing w:val="-3"/>
        <w:w w:val="99"/>
        <w:position w:val="-2"/>
        <w:sz w:val="21"/>
        <w:szCs w:val="21"/>
      </w:rPr>
    </w:lvl>
    <w:lvl w:ilvl="3">
      <w:start w:val="1"/>
      <w:numFmt w:val="decimal"/>
      <w:lvlText w:val="%1.%2.%3.%4"/>
      <w:lvlJc w:val="left"/>
      <w:pPr>
        <w:ind w:left="2864" w:hanging="1052"/>
        <w:jc w:val="left"/>
      </w:pPr>
      <w:rPr>
        <w:rFonts w:hint="default" w:ascii="Times New Roman" w:hAnsi="Times New Roman" w:eastAsia="Times New Roman" w:cs="Times New Roman"/>
        <w:spacing w:val="-3"/>
        <w:w w:val="99"/>
        <w:sz w:val="21"/>
        <w:szCs w:val="21"/>
      </w:rPr>
    </w:lvl>
    <w:lvl w:ilvl="4">
      <w:start w:val="0"/>
      <w:numFmt w:val="bullet"/>
      <w:lvlText w:val="•"/>
      <w:lvlJc w:val="left"/>
      <w:pPr>
        <w:ind w:left="2599" w:hanging="1052"/>
      </w:pPr>
      <w:rPr>
        <w:rFonts w:hint="default"/>
      </w:rPr>
    </w:lvl>
    <w:lvl w:ilvl="5">
      <w:start w:val="0"/>
      <w:numFmt w:val="bullet"/>
      <w:lvlText w:val="•"/>
      <w:lvlJc w:val="left"/>
      <w:pPr>
        <w:ind w:left="2512" w:hanging="1052"/>
      </w:pPr>
      <w:rPr>
        <w:rFonts w:hint="default"/>
      </w:rPr>
    </w:lvl>
    <w:lvl w:ilvl="6">
      <w:start w:val="0"/>
      <w:numFmt w:val="bullet"/>
      <w:lvlText w:val="•"/>
      <w:lvlJc w:val="left"/>
      <w:pPr>
        <w:ind w:left="2426" w:hanging="1052"/>
      </w:pPr>
      <w:rPr>
        <w:rFonts w:hint="default"/>
      </w:rPr>
    </w:lvl>
    <w:lvl w:ilvl="7">
      <w:start w:val="0"/>
      <w:numFmt w:val="bullet"/>
      <w:lvlText w:val="•"/>
      <w:lvlJc w:val="left"/>
      <w:pPr>
        <w:ind w:left="2339" w:hanging="1052"/>
      </w:pPr>
      <w:rPr>
        <w:rFonts w:hint="default"/>
      </w:rPr>
    </w:lvl>
    <w:lvl w:ilvl="8">
      <w:start w:val="0"/>
      <w:numFmt w:val="bullet"/>
      <w:lvlText w:val="•"/>
      <w:lvlJc w:val="left"/>
      <w:pPr>
        <w:ind w:left="2252" w:hanging="1052"/>
      </w:pPr>
      <w:rPr>
        <w:rFonts w:hint="default"/>
      </w:rPr>
    </w:lvl>
  </w:abstractNum>
  <w:abstractNum w:abstractNumId="2">
    <w:multiLevelType w:val="hybridMultilevel"/>
    <w:lvl w:ilvl="0">
      <w:start w:val="2"/>
      <w:numFmt w:val="decimal"/>
      <w:lvlText w:val="%1"/>
      <w:lvlJc w:val="left"/>
      <w:pPr>
        <w:ind w:left="538" w:hanging="304"/>
        <w:jc w:val="left"/>
      </w:pPr>
      <w:rPr>
        <w:rFonts w:hint="default"/>
      </w:rPr>
    </w:lvl>
    <w:lvl w:ilvl="1">
      <w:start w:val="1"/>
      <w:numFmt w:val="decimal"/>
      <w:lvlText w:val="%1.%2"/>
      <w:lvlJc w:val="left"/>
      <w:pPr>
        <w:ind w:left="538" w:hanging="304"/>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2476" w:hanging="304"/>
      </w:pPr>
      <w:rPr>
        <w:rFonts w:hint="default"/>
      </w:rPr>
    </w:lvl>
    <w:lvl w:ilvl="3">
      <w:start w:val="0"/>
      <w:numFmt w:val="bullet"/>
      <w:lvlText w:val="•"/>
      <w:lvlJc w:val="left"/>
      <w:pPr>
        <w:ind w:left="3444" w:hanging="304"/>
      </w:pPr>
      <w:rPr>
        <w:rFonts w:hint="default"/>
      </w:rPr>
    </w:lvl>
    <w:lvl w:ilvl="4">
      <w:start w:val="0"/>
      <w:numFmt w:val="bullet"/>
      <w:lvlText w:val="•"/>
      <w:lvlJc w:val="left"/>
      <w:pPr>
        <w:ind w:left="4412" w:hanging="304"/>
      </w:pPr>
      <w:rPr>
        <w:rFonts w:hint="default"/>
      </w:rPr>
    </w:lvl>
    <w:lvl w:ilvl="5">
      <w:start w:val="0"/>
      <w:numFmt w:val="bullet"/>
      <w:lvlText w:val="•"/>
      <w:lvlJc w:val="left"/>
      <w:pPr>
        <w:ind w:left="5380" w:hanging="304"/>
      </w:pPr>
      <w:rPr>
        <w:rFonts w:hint="default"/>
      </w:rPr>
    </w:lvl>
    <w:lvl w:ilvl="6">
      <w:start w:val="0"/>
      <w:numFmt w:val="bullet"/>
      <w:lvlText w:val="•"/>
      <w:lvlJc w:val="left"/>
      <w:pPr>
        <w:ind w:left="6348" w:hanging="304"/>
      </w:pPr>
      <w:rPr>
        <w:rFonts w:hint="default"/>
      </w:rPr>
    </w:lvl>
    <w:lvl w:ilvl="7">
      <w:start w:val="0"/>
      <w:numFmt w:val="bullet"/>
      <w:lvlText w:val="•"/>
      <w:lvlJc w:val="left"/>
      <w:pPr>
        <w:ind w:left="7316" w:hanging="304"/>
      </w:pPr>
      <w:rPr>
        <w:rFonts w:hint="default"/>
      </w:rPr>
    </w:lvl>
    <w:lvl w:ilvl="8">
      <w:start w:val="0"/>
      <w:numFmt w:val="bullet"/>
      <w:lvlText w:val="•"/>
      <w:lvlJc w:val="left"/>
      <w:pPr>
        <w:ind w:left="8284" w:hanging="304"/>
      </w:pPr>
      <w:rPr>
        <w:rFonts w:hint="default"/>
      </w:rPr>
    </w:lvl>
  </w:abstractNum>
  <w:abstractNum w:abstractNumId="1">
    <w:multiLevelType w:val="hybridMultilevel"/>
    <w:lvl w:ilvl="0">
      <w:start w:val="1"/>
      <w:numFmt w:val="decimal"/>
      <w:lvlText w:val="%1."/>
      <w:lvlJc w:val="left"/>
      <w:pPr>
        <w:ind w:left="444" w:hanging="210"/>
        <w:jc w:val="left"/>
      </w:pPr>
      <w:rPr>
        <w:rFonts w:hint="default" w:ascii="Times New Roman" w:hAnsi="Times New Roman" w:eastAsia="Times New Roman" w:cs="Times New Roman"/>
        <w:b/>
        <w:bCs/>
        <w:w w:val="100"/>
        <w:sz w:val="21"/>
        <w:szCs w:val="21"/>
      </w:rPr>
    </w:lvl>
    <w:lvl w:ilvl="1">
      <w:start w:val="1"/>
      <w:numFmt w:val="decimal"/>
      <w:lvlText w:val="%1.%2"/>
      <w:lvlJc w:val="left"/>
      <w:pPr>
        <w:ind w:left="538" w:hanging="304"/>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1615" w:hanging="304"/>
      </w:pPr>
      <w:rPr>
        <w:rFonts w:hint="default"/>
      </w:rPr>
    </w:lvl>
    <w:lvl w:ilvl="3">
      <w:start w:val="0"/>
      <w:numFmt w:val="bullet"/>
      <w:lvlText w:val="•"/>
      <w:lvlJc w:val="left"/>
      <w:pPr>
        <w:ind w:left="2691" w:hanging="304"/>
      </w:pPr>
      <w:rPr>
        <w:rFonts w:hint="default"/>
      </w:rPr>
    </w:lvl>
    <w:lvl w:ilvl="4">
      <w:start w:val="0"/>
      <w:numFmt w:val="bullet"/>
      <w:lvlText w:val="•"/>
      <w:lvlJc w:val="left"/>
      <w:pPr>
        <w:ind w:left="3766" w:hanging="304"/>
      </w:pPr>
      <w:rPr>
        <w:rFonts w:hint="default"/>
      </w:rPr>
    </w:lvl>
    <w:lvl w:ilvl="5">
      <w:start w:val="0"/>
      <w:numFmt w:val="bullet"/>
      <w:lvlText w:val="•"/>
      <w:lvlJc w:val="left"/>
      <w:pPr>
        <w:ind w:left="4842" w:hanging="304"/>
      </w:pPr>
      <w:rPr>
        <w:rFonts w:hint="default"/>
      </w:rPr>
    </w:lvl>
    <w:lvl w:ilvl="6">
      <w:start w:val="0"/>
      <w:numFmt w:val="bullet"/>
      <w:lvlText w:val="•"/>
      <w:lvlJc w:val="left"/>
      <w:pPr>
        <w:ind w:left="5917" w:hanging="304"/>
      </w:pPr>
      <w:rPr>
        <w:rFonts w:hint="default"/>
      </w:rPr>
    </w:lvl>
    <w:lvl w:ilvl="7">
      <w:start w:val="0"/>
      <w:numFmt w:val="bullet"/>
      <w:lvlText w:val="•"/>
      <w:lvlJc w:val="left"/>
      <w:pPr>
        <w:ind w:left="6993" w:hanging="304"/>
      </w:pPr>
      <w:rPr>
        <w:rFonts w:hint="default"/>
      </w:rPr>
    </w:lvl>
    <w:lvl w:ilvl="8">
      <w:start w:val="0"/>
      <w:numFmt w:val="bullet"/>
      <w:lvlText w:val="•"/>
      <w:lvlJc w:val="left"/>
      <w:pPr>
        <w:ind w:left="8068" w:hanging="304"/>
      </w:pPr>
      <w:rPr>
        <w:rFonts w:hint="default"/>
      </w:rPr>
    </w:lvl>
  </w:abstractNum>
  <w:abstractNum w:abstractNumId="0">
    <w:multiLevelType w:val="hybridMultilevel"/>
    <w:lvl w:ilvl="0">
      <w:start w:val="0"/>
      <w:numFmt w:val="bullet"/>
      <w:lvlText w:val=""/>
      <w:lvlJc w:val="left"/>
      <w:pPr>
        <w:ind w:left="1084" w:hanging="420"/>
      </w:pPr>
      <w:rPr>
        <w:rFonts w:hint="default" w:ascii="Wingdings" w:hAnsi="Wingdings" w:eastAsia="Wingdings" w:cs="Wingdings"/>
        <w:w w:val="100"/>
        <w:sz w:val="21"/>
        <w:szCs w:val="21"/>
      </w:rPr>
    </w:lvl>
    <w:lvl w:ilvl="1">
      <w:start w:val="0"/>
      <w:numFmt w:val="bullet"/>
      <w:lvlText w:val="•"/>
      <w:lvlJc w:val="left"/>
      <w:pPr>
        <w:ind w:left="1994" w:hanging="420"/>
      </w:pPr>
      <w:rPr>
        <w:rFonts w:hint="default"/>
      </w:rPr>
    </w:lvl>
    <w:lvl w:ilvl="2">
      <w:start w:val="0"/>
      <w:numFmt w:val="bullet"/>
      <w:lvlText w:val="•"/>
      <w:lvlJc w:val="left"/>
      <w:pPr>
        <w:ind w:left="2908" w:hanging="420"/>
      </w:pPr>
      <w:rPr>
        <w:rFonts w:hint="default"/>
      </w:rPr>
    </w:lvl>
    <w:lvl w:ilvl="3">
      <w:start w:val="0"/>
      <w:numFmt w:val="bullet"/>
      <w:lvlText w:val="•"/>
      <w:lvlJc w:val="left"/>
      <w:pPr>
        <w:ind w:left="3822" w:hanging="420"/>
      </w:pPr>
      <w:rPr>
        <w:rFonts w:hint="default"/>
      </w:rPr>
    </w:lvl>
    <w:lvl w:ilvl="4">
      <w:start w:val="0"/>
      <w:numFmt w:val="bullet"/>
      <w:lvlText w:val="•"/>
      <w:lvlJc w:val="left"/>
      <w:pPr>
        <w:ind w:left="4736" w:hanging="420"/>
      </w:pPr>
      <w:rPr>
        <w:rFonts w:hint="default"/>
      </w:rPr>
    </w:lvl>
    <w:lvl w:ilvl="5">
      <w:start w:val="0"/>
      <w:numFmt w:val="bullet"/>
      <w:lvlText w:val="•"/>
      <w:lvlJc w:val="left"/>
      <w:pPr>
        <w:ind w:left="5650" w:hanging="420"/>
      </w:pPr>
      <w:rPr>
        <w:rFonts w:hint="default"/>
      </w:rPr>
    </w:lvl>
    <w:lvl w:ilvl="6">
      <w:start w:val="0"/>
      <w:numFmt w:val="bullet"/>
      <w:lvlText w:val="•"/>
      <w:lvlJc w:val="left"/>
      <w:pPr>
        <w:ind w:left="6564" w:hanging="420"/>
      </w:pPr>
      <w:rPr>
        <w:rFonts w:hint="default"/>
      </w:rPr>
    </w:lvl>
    <w:lvl w:ilvl="7">
      <w:start w:val="0"/>
      <w:numFmt w:val="bullet"/>
      <w:lvlText w:val="•"/>
      <w:lvlJc w:val="left"/>
      <w:pPr>
        <w:ind w:left="7478" w:hanging="420"/>
      </w:pPr>
      <w:rPr>
        <w:rFonts w:hint="default"/>
      </w:rPr>
    </w:lvl>
    <w:lvl w:ilvl="8">
      <w:start w:val="0"/>
      <w:numFmt w:val="bullet"/>
      <w:lvlText w:val="•"/>
      <w:lvlJc w:val="left"/>
      <w:pPr>
        <w:ind w:left="8392" w:hanging="42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
      <w:outlineLvl w:val="1"/>
    </w:pPr>
    <w:rPr>
      <w:rFonts w:ascii="宋体" w:hAnsi="宋体" w:eastAsia="宋体" w:cs="宋体"/>
      <w:b/>
      <w:bCs/>
      <w:sz w:val="32"/>
      <w:szCs w:val="32"/>
    </w:rPr>
  </w:style>
  <w:style w:styleId="Heading2" w:type="paragraph">
    <w:name w:val="Heading 2"/>
    <w:basedOn w:val="Normal"/>
    <w:uiPriority w:val="1"/>
    <w:qFormat/>
    <w:pPr>
      <w:ind w:left="1272" w:hanging="1052"/>
      <w:outlineLvl w:val="2"/>
    </w:pPr>
    <w:rPr>
      <w:rFonts w:ascii="宋体" w:hAnsi="宋体" w:eastAsia="宋体" w:cs="宋体"/>
      <w:b/>
      <w:bCs/>
      <w:sz w:val="24"/>
      <w:szCs w:val="24"/>
    </w:rPr>
  </w:style>
  <w:style w:styleId="Heading3" w:type="paragraph">
    <w:name w:val="Heading 3"/>
    <w:basedOn w:val="Normal"/>
    <w:uiPriority w:val="1"/>
    <w:qFormat/>
    <w:pPr>
      <w:spacing w:before="46"/>
      <w:ind w:left="1272"/>
      <w:outlineLvl w:val="3"/>
    </w:pPr>
    <w:rPr>
      <w:rFonts w:ascii="宋体" w:hAnsi="宋体" w:eastAsia="宋体" w:cs="宋体"/>
      <w:b/>
      <w:bCs/>
      <w:sz w:val="21"/>
      <w:szCs w:val="21"/>
    </w:rPr>
  </w:style>
  <w:style w:styleId="ListParagraph" w:type="paragraph">
    <w:name w:val="List Paragraph"/>
    <w:basedOn w:val="Normal"/>
    <w:uiPriority w:val="1"/>
    <w:qFormat/>
    <w:pPr>
      <w:ind w:left="1272" w:hanging="105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4.jpe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gact003</dc:creator>
  <dc:title>中意人寿保险有限公司</dc:title>
  <dcterms:created xsi:type="dcterms:W3CDTF">2018-10-20T00:54:57Z</dcterms:created>
  <dcterms:modified xsi:type="dcterms:W3CDTF">2018-10-20T00:54:57Z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Writer</vt:lpwstr>
  </property>
  <property fmtid="{D5CDD505-2E9C-101B-9397-08002B2CF9AE}" pid="4" name="LastSaved">
    <vt:filetime>2014-05-27T00:00:00Z</vt:filetime>
  </property>
</Properties>
</file>