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5" w:lineRule="exact"/>
        <w:ind w:left="1581"/>
      </w:pPr>
      <w:r>
        <w:rPr/>
        <w:drawing>
          <wp:anchor distT="0" distB="0" distL="0" distR="0" allowOverlap="1" layoutInCell="1" locked="0" behindDoc="0" simplePos="0" relativeHeight="0">
            <wp:simplePos x="0" y="0"/>
            <wp:positionH relativeFrom="page">
              <wp:posOffset>5585459</wp:posOffset>
            </wp:positionH>
            <wp:positionV relativeFrom="paragraph">
              <wp:posOffset>54864</wp:posOffset>
            </wp:positionV>
            <wp:extent cx="1554480" cy="103860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54480" cy="1038605"/>
                    </a:xfrm>
                    <a:prstGeom prst="rect">
                      <a:avLst/>
                    </a:prstGeom>
                  </pic:spPr>
                </pic:pic>
              </a:graphicData>
            </a:graphic>
          </wp:anchor>
        </w:drawing>
      </w:r>
      <w:r>
        <w:rPr/>
        <w:t>人保寿险附加少儿重大疾病保险（</w:t>
      </w:r>
      <w:r>
        <w:rPr>
          <w:rFonts w:ascii="Times New Roman" w:eastAsia="Times New Roman"/>
        </w:rPr>
        <w:t>A </w:t>
      </w:r>
      <w:r>
        <w:rPr/>
        <w:t>款）</w:t>
      </w:r>
    </w:p>
    <w:p>
      <w:pPr>
        <w:spacing w:line="365" w:lineRule="exact" w:before="0"/>
        <w:ind w:left="3421" w:right="0" w:firstLine="0"/>
        <w:jc w:val="left"/>
        <w:rPr>
          <w:b/>
          <w:sz w:val="30"/>
        </w:rPr>
      </w:pPr>
      <w:r>
        <w:rPr>
          <w:b/>
          <w:w w:val="95"/>
          <w:sz w:val="30"/>
        </w:rPr>
        <w:t>条款目录</w:t>
      </w:r>
    </w:p>
    <w:p>
      <w:pPr>
        <w:pStyle w:val="BodyText"/>
        <w:spacing w:line="314" w:lineRule="auto" w:before="72"/>
        <w:ind w:left="1857" w:right="2974"/>
        <w:jc w:val="center"/>
      </w:pPr>
      <w:r>
        <w:rPr>
          <w:u w:val="single"/>
        </w:rPr>
        <w:t>条款是保险合同的重要内容，为充分保障您的权益， 请您仔细阅读本条款。</w:t>
      </w:r>
    </w:p>
    <w:p>
      <w:pPr>
        <w:pStyle w:val="BodyText"/>
        <w:spacing w:before="4"/>
        <w:rPr>
          <w:sz w:val="22"/>
        </w:rPr>
      </w:pPr>
    </w:p>
    <w:p>
      <w:pPr>
        <w:pStyle w:val="Heading2"/>
        <w:numPr>
          <w:ilvl w:val="0"/>
          <w:numId w:val="1"/>
        </w:numPr>
        <w:tabs>
          <w:tab w:pos="384" w:val="left" w:leader="none"/>
          <w:tab w:pos="5344" w:val="left" w:leader="none"/>
        </w:tabs>
        <w:spacing w:line="240" w:lineRule="auto" w:before="42" w:after="0"/>
        <w:ind w:left="383" w:right="0" w:hanging="263"/>
        <w:jc w:val="left"/>
      </w:pPr>
      <w:r>
        <w:rPr/>
        <w:t>您与我们的合同</w:t>
        <w:tab/>
      </w:r>
      <w:r>
        <w:rPr>
          <w:rFonts w:ascii="Times New Roman" w:eastAsia="Times New Roman"/>
        </w:rPr>
        <w:t>5.</w:t>
      </w:r>
      <w:r>
        <w:rPr>
          <w:rFonts w:ascii="Times New Roman" w:eastAsia="Times New Roman"/>
          <w:spacing w:val="48"/>
        </w:rPr>
        <w:t> </w:t>
      </w:r>
      <w:r>
        <w:rPr/>
        <w:t>您需要关注的其他事项</w:t>
      </w:r>
    </w:p>
    <w:p>
      <w:pPr>
        <w:pStyle w:val="ListParagraph"/>
        <w:numPr>
          <w:ilvl w:val="1"/>
          <w:numId w:val="1"/>
        </w:numPr>
        <w:tabs>
          <w:tab w:pos="909" w:val="left" w:leader="none"/>
          <w:tab w:pos="5764" w:val="left" w:leader="none"/>
        </w:tabs>
        <w:spacing w:line="240" w:lineRule="auto" w:before="49" w:after="0"/>
        <w:ind w:left="908" w:right="0" w:hanging="368"/>
        <w:jc w:val="left"/>
        <w:rPr>
          <w:sz w:val="21"/>
        </w:rPr>
      </w:pPr>
      <w:r>
        <w:rPr>
          <w:sz w:val="21"/>
        </w:rPr>
        <w:t>附加合同订立</w:t>
        <w:tab/>
      </w:r>
      <w:r>
        <w:rPr>
          <w:rFonts w:ascii="Times New Roman" w:eastAsia="Times New Roman"/>
          <w:sz w:val="21"/>
        </w:rPr>
        <w:t>5.1</w:t>
      </w:r>
      <w:r>
        <w:rPr>
          <w:rFonts w:ascii="Times New Roman" w:eastAsia="Times New Roman"/>
          <w:spacing w:val="50"/>
          <w:sz w:val="21"/>
        </w:rPr>
        <w:t> </w:t>
      </w:r>
      <w:r>
        <w:rPr>
          <w:sz w:val="21"/>
        </w:rPr>
        <w:t>投保范围</w:t>
      </w:r>
    </w:p>
    <w:p>
      <w:pPr>
        <w:pStyle w:val="ListParagraph"/>
        <w:numPr>
          <w:ilvl w:val="1"/>
          <w:numId w:val="1"/>
        </w:numPr>
        <w:tabs>
          <w:tab w:pos="909" w:val="left" w:leader="none"/>
        </w:tabs>
        <w:spacing w:line="240" w:lineRule="auto" w:before="49" w:after="0"/>
        <w:ind w:left="908" w:right="0" w:hanging="368"/>
        <w:jc w:val="left"/>
        <w:rPr>
          <w:sz w:val="21"/>
        </w:rPr>
      </w:pPr>
      <w:r>
        <w:rPr>
          <w:spacing w:val="-1"/>
          <w:sz w:val="21"/>
        </w:rPr>
        <w:t>附加合同成立与生效</w:t>
      </w:r>
    </w:p>
    <w:p>
      <w:pPr>
        <w:pStyle w:val="Heading2"/>
        <w:spacing w:before="50"/>
        <w:ind w:left="5344" w:firstLine="0"/>
      </w:pPr>
      <w:r>
        <w:rPr>
          <w:rFonts w:ascii="Times New Roman" w:eastAsia="Times New Roman"/>
        </w:rPr>
        <w:t>6. </w:t>
      </w:r>
      <w:r>
        <w:rPr/>
        <w:t>您需要了解的重要术语</w:t>
      </w:r>
    </w:p>
    <w:p>
      <w:pPr>
        <w:pStyle w:val="ListParagraph"/>
        <w:numPr>
          <w:ilvl w:val="0"/>
          <w:numId w:val="1"/>
        </w:numPr>
        <w:tabs>
          <w:tab w:pos="384" w:val="left" w:leader="none"/>
          <w:tab w:pos="5764" w:val="left" w:leader="none"/>
        </w:tabs>
        <w:spacing w:line="240" w:lineRule="auto" w:before="49" w:after="0"/>
        <w:ind w:left="383" w:right="0" w:hanging="263"/>
        <w:jc w:val="left"/>
        <w:rPr>
          <w:sz w:val="21"/>
        </w:rPr>
      </w:pPr>
      <w:r>
        <w:rPr>
          <w:b/>
          <w:sz w:val="21"/>
        </w:rPr>
        <w:t>您获得的保障</w:t>
        <w:tab/>
      </w:r>
      <w:r>
        <w:rPr>
          <w:rFonts w:ascii="Times New Roman" w:eastAsia="Times New Roman"/>
          <w:sz w:val="21"/>
        </w:rPr>
        <w:t>6.1</w:t>
      </w:r>
      <w:r>
        <w:rPr>
          <w:rFonts w:ascii="Times New Roman" w:eastAsia="Times New Roman"/>
          <w:spacing w:val="50"/>
          <w:sz w:val="21"/>
        </w:rPr>
        <w:t> </w:t>
      </w:r>
      <w:r>
        <w:rPr>
          <w:sz w:val="21"/>
        </w:rPr>
        <w:t>周岁</w:t>
      </w:r>
    </w:p>
    <w:p>
      <w:pPr>
        <w:pStyle w:val="ListParagraph"/>
        <w:numPr>
          <w:ilvl w:val="1"/>
          <w:numId w:val="1"/>
        </w:numPr>
        <w:tabs>
          <w:tab w:pos="909" w:val="left" w:leader="none"/>
          <w:tab w:pos="5764" w:val="left" w:leader="none"/>
        </w:tabs>
        <w:spacing w:line="240" w:lineRule="auto" w:before="49" w:after="0"/>
        <w:ind w:left="908" w:right="0" w:hanging="369"/>
        <w:jc w:val="left"/>
        <w:rPr>
          <w:sz w:val="21"/>
        </w:rPr>
      </w:pPr>
      <w:r>
        <w:rPr>
          <w:sz w:val="21"/>
        </w:rPr>
        <w:t>基本保险金额</w:t>
        <w:tab/>
      </w:r>
      <w:r>
        <w:rPr>
          <w:rFonts w:ascii="Times New Roman" w:eastAsia="Times New Roman"/>
          <w:sz w:val="21"/>
        </w:rPr>
        <w:t>6.2</w:t>
      </w:r>
      <w:r>
        <w:rPr>
          <w:rFonts w:ascii="Times New Roman" w:eastAsia="Times New Roman"/>
          <w:spacing w:val="50"/>
          <w:sz w:val="21"/>
        </w:rPr>
        <w:t> </w:t>
      </w:r>
      <w:r>
        <w:rPr>
          <w:sz w:val="21"/>
        </w:rPr>
        <w:t>意外伤害</w:t>
      </w:r>
    </w:p>
    <w:p>
      <w:pPr>
        <w:pStyle w:val="ListParagraph"/>
        <w:numPr>
          <w:ilvl w:val="1"/>
          <w:numId w:val="1"/>
        </w:numPr>
        <w:tabs>
          <w:tab w:pos="909" w:val="left" w:leader="none"/>
          <w:tab w:pos="5764" w:val="left" w:leader="none"/>
        </w:tabs>
        <w:spacing w:line="240" w:lineRule="auto" w:before="50" w:after="0"/>
        <w:ind w:left="908" w:right="0" w:hanging="369"/>
        <w:jc w:val="left"/>
        <w:rPr>
          <w:sz w:val="21"/>
        </w:rPr>
      </w:pPr>
      <w:r>
        <w:rPr>
          <w:sz w:val="21"/>
        </w:rPr>
        <w:t>保险期间</w:t>
        <w:tab/>
      </w:r>
      <w:r>
        <w:rPr>
          <w:rFonts w:ascii="Times New Roman" w:eastAsia="Times New Roman"/>
          <w:sz w:val="21"/>
        </w:rPr>
        <w:t>6.3</w:t>
      </w:r>
      <w:r>
        <w:rPr>
          <w:rFonts w:ascii="Times New Roman" w:eastAsia="Times New Roman"/>
          <w:spacing w:val="51"/>
          <w:sz w:val="21"/>
        </w:rPr>
        <w:t> </w:t>
      </w:r>
      <w:r>
        <w:rPr>
          <w:sz w:val="21"/>
        </w:rPr>
        <w:t>酗酒</w:t>
      </w:r>
    </w:p>
    <w:p>
      <w:pPr>
        <w:pStyle w:val="ListParagraph"/>
        <w:numPr>
          <w:ilvl w:val="1"/>
          <w:numId w:val="1"/>
        </w:numPr>
        <w:tabs>
          <w:tab w:pos="909" w:val="left" w:leader="none"/>
          <w:tab w:pos="5764" w:val="left" w:leader="none"/>
        </w:tabs>
        <w:spacing w:line="240" w:lineRule="auto" w:before="49" w:after="0"/>
        <w:ind w:left="908" w:right="0" w:hanging="369"/>
        <w:jc w:val="left"/>
        <w:rPr>
          <w:sz w:val="21"/>
        </w:rPr>
      </w:pPr>
      <w:r>
        <w:rPr>
          <w:sz w:val="21"/>
        </w:rPr>
        <w:t>保险责任</w:t>
        <w:tab/>
      </w:r>
      <w:r>
        <w:rPr>
          <w:rFonts w:ascii="Times New Roman" w:eastAsia="Times New Roman"/>
          <w:sz w:val="21"/>
        </w:rPr>
        <w:t>6.4</w:t>
      </w:r>
      <w:r>
        <w:rPr>
          <w:rFonts w:ascii="Times New Roman" w:eastAsia="Times New Roman"/>
          <w:spacing w:val="48"/>
          <w:sz w:val="21"/>
        </w:rPr>
        <w:t> </w:t>
      </w:r>
      <w:r>
        <w:rPr>
          <w:sz w:val="21"/>
        </w:rPr>
        <w:t>感染艾滋病病毒或患艾滋病</w:t>
      </w:r>
    </w:p>
    <w:p>
      <w:pPr>
        <w:pStyle w:val="ListParagraph"/>
        <w:numPr>
          <w:ilvl w:val="1"/>
          <w:numId w:val="1"/>
        </w:numPr>
        <w:tabs>
          <w:tab w:pos="909" w:val="left" w:leader="none"/>
          <w:tab w:pos="5764" w:val="left" w:leader="none"/>
        </w:tabs>
        <w:spacing w:line="240" w:lineRule="auto" w:before="49" w:after="0"/>
        <w:ind w:left="908" w:right="0" w:hanging="369"/>
        <w:jc w:val="left"/>
        <w:rPr>
          <w:sz w:val="21"/>
        </w:rPr>
      </w:pPr>
      <w:r>
        <w:rPr>
          <w:sz w:val="21"/>
        </w:rPr>
        <w:t>责任免除</w:t>
        <w:tab/>
      </w:r>
      <w:r>
        <w:rPr>
          <w:rFonts w:ascii="Times New Roman" w:eastAsia="Times New Roman"/>
          <w:sz w:val="21"/>
        </w:rPr>
        <w:t>6.5</w:t>
      </w:r>
      <w:r>
        <w:rPr>
          <w:rFonts w:ascii="Times New Roman" w:eastAsia="Times New Roman"/>
          <w:spacing w:val="51"/>
          <w:sz w:val="21"/>
        </w:rPr>
        <w:t> </w:t>
      </w:r>
      <w:r>
        <w:rPr>
          <w:sz w:val="21"/>
        </w:rPr>
        <w:t>潜水</w:t>
      </w:r>
    </w:p>
    <w:p>
      <w:pPr>
        <w:pStyle w:val="BodyText"/>
        <w:spacing w:before="50"/>
        <w:ind w:left="5764"/>
      </w:pPr>
      <w:r>
        <w:rPr>
          <w:rFonts w:ascii="Times New Roman" w:eastAsia="Times New Roman"/>
        </w:rPr>
        <w:t>6.6 </w:t>
      </w:r>
      <w:r>
        <w:rPr/>
        <w:t>空中运动</w:t>
      </w:r>
    </w:p>
    <w:p>
      <w:pPr>
        <w:pStyle w:val="ListParagraph"/>
        <w:numPr>
          <w:ilvl w:val="0"/>
          <w:numId w:val="1"/>
        </w:numPr>
        <w:tabs>
          <w:tab w:pos="384" w:val="left" w:leader="none"/>
          <w:tab w:pos="5764" w:val="left" w:leader="none"/>
        </w:tabs>
        <w:spacing w:line="240" w:lineRule="auto" w:before="49" w:after="0"/>
        <w:ind w:left="383" w:right="0" w:hanging="264"/>
        <w:jc w:val="left"/>
        <w:rPr>
          <w:sz w:val="21"/>
        </w:rPr>
      </w:pPr>
      <w:r>
        <w:rPr>
          <w:b/>
          <w:sz w:val="21"/>
        </w:rPr>
        <w:t>您的义务和权利</w:t>
        <w:tab/>
      </w:r>
      <w:r>
        <w:rPr>
          <w:rFonts w:ascii="Times New Roman" w:eastAsia="Times New Roman"/>
          <w:sz w:val="21"/>
        </w:rPr>
        <w:t>6.7  </w:t>
      </w:r>
      <w:r>
        <w:rPr>
          <w:sz w:val="21"/>
        </w:rPr>
        <w:t>攀岩</w:t>
      </w:r>
    </w:p>
    <w:p>
      <w:pPr>
        <w:pStyle w:val="ListParagraph"/>
        <w:numPr>
          <w:ilvl w:val="1"/>
          <w:numId w:val="1"/>
        </w:numPr>
        <w:tabs>
          <w:tab w:pos="909" w:val="left" w:leader="none"/>
          <w:tab w:pos="5764" w:val="left" w:leader="none"/>
        </w:tabs>
        <w:spacing w:line="240" w:lineRule="auto" w:before="49" w:after="0"/>
        <w:ind w:left="908" w:right="0" w:hanging="369"/>
        <w:jc w:val="left"/>
        <w:rPr>
          <w:sz w:val="21"/>
        </w:rPr>
      </w:pPr>
      <w:r>
        <w:rPr>
          <w:sz w:val="21"/>
        </w:rPr>
        <w:t>保险费的交纳</w:t>
        <w:tab/>
      </w:r>
      <w:r>
        <w:rPr>
          <w:rFonts w:ascii="Times New Roman" w:eastAsia="Times New Roman"/>
          <w:sz w:val="21"/>
        </w:rPr>
        <w:t>6.8</w:t>
      </w:r>
      <w:r>
        <w:rPr>
          <w:rFonts w:ascii="Times New Roman" w:eastAsia="Times New Roman"/>
          <w:spacing w:val="51"/>
          <w:sz w:val="21"/>
        </w:rPr>
        <w:t> </w:t>
      </w:r>
      <w:r>
        <w:rPr>
          <w:sz w:val="21"/>
        </w:rPr>
        <w:t>探险</w:t>
      </w:r>
    </w:p>
    <w:p>
      <w:pPr>
        <w:pStyle w:val="ListParagraph"/>
        <w:numPr>
          <w:ilvl w:val="1"/>
          <w:numId w:val="1"/>
        </w:numPr>
        <w:tabs>
          <w:tab w:pos="909" w:val="left" w:leader="none"/>
          <w:tab w:pos="5764" w:val="left" w:leader="none"/>
        </w:tabs>
        <w:spacing w:line="240" w:lineRule="auto" w:before="50" w:after="0"/>
        <w:ind w:left="908" w:right="0" w:hanging="369"/>
        <w:jc w:val="left"/>
        <w:rPr>
          <w:sz w:val="21"/>
        </w:rPr>
      </w:pPr>
      <w:r>
        <w:rPr>
          <w:sz w:val="21"/>
        </w:rPr>
        <w:t>您解除合同的手续及风险</w:t>
        <w:tab/>
      </w:r>
      <w:r>
        <w:rPr>
          <w:rFonts w:ascii="Times New Roman" w:eastAsia="Times New Roman"/>
          <w:sz w:val="21"/>
        </w:rPr>
        <w:t>6.9</w:t>
      </w:r>
      <w:r>
        <w:rPr>
          <w:rFonts w:ascii="Times New Roman" w:eastAsia="Times New Roman"/>
          <w:spacing w:val="51"/>
          <w:sz w:val="21"/>
        </w:rPr>
        <w:t> </w:t>
      </w:r>
      <w:r>
        <w:rPr>
          <w:sz w:val="21"/>
        </w:rPr>
        <w:t>武术</w:t>
      </w:r>
    </w:p>
    <w:p>
      <w:pPr>
        <w:pStyle w:val="ListParagraph"/>
        <w:numPr>
          <w:ilvl w:val="1"/>
          <w:numId w:val="1"/>
        </w:numPr>
        <w:tabs>
          <w:tab w:pos="909" w:val="left" w:leader="none"/>
          <w:tab w:pos="5764" w:val="left" w:leader="none"/>
        </w:tabs>
        <w:spacing w:line="240" w:lineRule="auto" w:before="49" w:after="0"/>
        <w:ind w:left="908" w:right="0" w:hanging="369"/>
        <w:jc w:val="left"/>
        <w:rPr>
          <w:sz w:val="21"/>
        </w:rPr>
      </w:pPr>
      <w:r>
        <w:rPr>
          <w:sz w:val="21"/>
        </w:rPr>
        <w:t>效力终止</w:t>
        <w:tab/>
      </w:r>
      <w:r>
        <w:rPr>
          <w:rFonts w:ascii="Times New Roman" w:eastAsia="Times New Roman"/>
          <w:sz w:val="21"/>
        </w:rPr>
        <w:t>6.10</w:t>
      </w:r>
      <w:r>
        <w:rPr>
          <w:rFonts w:ascii="Times New Roman" w:eastAsia="Times New Roman"/>
          <w:spacing w:val="50"/>
          <w:sz w:val="21"/>
        </w:rPr>
        <w:t> </w:t>
      </w:r>
      <w:r>
        <w:rPr>
          <w:sz w:val="21"/>
        </w:rPr>
        <w:t>特技表演</w:t>
      </w:r>
    </w:p>
    <w:p>
      <w:pPr>
        <w:pStyle w:val="BodyText"/>
        <w:spacing w:before="49"/>
        <w:ind w:left="5764"/>
      </w:pPr>
      <w:r>
        <w:rPr>
          <w:rFonts w:ascii="Times New Roman" w:eastAsia="Times New Roman"/>
        </w:rPr>
        <w:t>6.11 </w:t>
      </w:r>
      <w:r>
        <w:rPr/>
        <w:t>现金价值</w:t>
      </w:r>
    </w:p>
    <w:p>
      <w:pPr>
        <w:pStyle w:val="ListParagraph"/>
        <w:numPr>
          <w:ilvl w:val="0"/>
          <w:numId w:val="1"/>
        </w:numPr>
        <w:tabs>
          <w:tab w:pos="384" w:val="left" w:leader="none"/>
          <w:tab w:pos="5764" w:val="left" w:leader="none"/>
        </w:tabs>
        <w:spacing w:line="240" w:lineRule="auto" w:before="50" w:after="0"/>
        <w:ind w:left="383" w:right="0" w:hanging="264"/>
        <w:jc w:val="left"/>
        <w:rPr>
          <w:sz w:val="21"/>
        </w:rPr>
      </w:pPr>
      <w:r>
        <w:rPr>
          <w:b/>
          <w:sz w:val="21"/>
        </w:rPr>
        <w:t>如何申请领取保险金</w:t>
        <w:tab/>
      </w:r>
      <w:r>
        <w:rPr>
          <w:rFonts w:ascii="Times New Roman" w:eastAsia="Times New Roman"/>
          <w:sz w:val="21"/>
        </w:rPr>
        <w:t>6.12</w:t>
      </w:r>
      <w:r>
        <w:rPr>
          <w:rFonts w:ascii="Times New Roman" w:eastAsia="Times New Roman"/>
          <w:spacing w:val="50"/>
          <w:sz w:val="21"/>
        </w:rPr>
        <w:t> </w:t>
      </w:r>
      <w:r>
        <w:rPr>
          <w:sz w:val="21"/>
        </w:rPr>
        <w:t>我们认可的医院</w:t>
      </w:r>
    </w:p>
    <w:p>
      <w:pPr>
        <w:pStyle w:val="ListParagraph"/>
        <w:numPr>
          <w:ilvl w:val="1"/>
          <w:numId w:val="1"/>
        </w:numPr>
        <w:tabs>
          <w:tab w:pos="909" w:val="left" w:leader="none"/>
          <w:tab w:pos="5764" w:val="left" w:leader="none"/>
        </w:tabs>
        <w:spacing w:line="240" w:lineRule="auto" w:before="49" w:after="0"/>
        <w:ind w:left="908" w:right="0" w:hanging="369"/>
        <w:jc w:val="left"/>
        <w:rPr>
          <w:sz w:val="21"/>
        </w:rPr>
      </w:pPr>
      <w:r>
        <w:rPr>
          <w:sz w:val="21"/>
        </w:rPr>
        <w:t>受益人</w:t>
        <w:tab/>
      </w:r>
      <w:r>
        <w:rPr>
          <w:rFonts w:ascii="Times New Roman" w:eastAsia="Times New Roman"/>
          <w:sz w:val="21"/>
        </w:rPr>
        <w:t>6.13</w:t>
      </w:r>
      <w:r>
        <w:rPr>
          <w:rFonts w:ascii="Times New Roman" w:eastAsia="Times New Roman"/>
          <w:spacing w:val="50"/>
          <w:sz w:val="21"/>
        </w:rPr>
        <w:t> </w:t>
      </w:r>
      <w:r>
        <w:rPr>
          <w:sz w:val="21"/>
        </w:rPr>
        <w:t>重大疾病</w:t>
      </w:r>
    </w:p>
    <w:p>
      <w:pPr>
        <w:pStyle w:val="ListParagraph"/>
        <w:numPr>
          <w:ilvl w:val="1"/>
          <w:numId w:val="1"/>
        </w:numPr>
        <w:tabs>
          <w:tab w:pos="909" w:val="left" w:leader="none"/>
        </w:tabs>
        <w:spacing w:line="240" w:lineRule="auto" w:before="49" w:after="0"/>
        <w:ind w:left="908" w:right="0" w:hanging="368"/>
        <w:jc w:val="left"/>
        <w:rPr>
          <w:sz w:val="21"/>
        </w:rPr>
      </w:pPr>
      <w:r>
        <w:rPr>
          <w:spacing w:val="-1"/>
          <w:sz w:val="21"/>
        </w:rPr>
        <w:t>保险金申请</w:t>
      </w:r>
    </w:p>
    <w:p>
      <w:pPr>
        <w:pStyle w:val="ListParagraph"/>
        <w:numPr>
          <w:ilvl w:val="1"/>
          <w:numId w:val="1"/>
        </w:numPr>
        <w:tabs>
          <w:tab w:pos="909" w:val="left" w:leader="none"/>
        </w:tabs>
        <w:spacing w:line="240" w:lineRule="auto" w:before="50" w:after="0"/>
        <w:ind w:left="908" w:right="0" w:hanging="368"/>
        <w:jc w:val="left"/>
        <w:rPr>
          <w:sz w:val="21"/>
        </w:rPr>
      </w:pPr>
      <w:r>
        <w:rPr>
          <w:spacing w:val="-1"/>
          <w:sz w:val="21"/>
        </w:rPr>
        <w:t>诉讼时效</w:t>
      </w:r>
    </w:p>
    <w:p>
      <w:pPr>
        <w:pStyle w:val="BodyText"/>
        <w:rPr>
          <w:sz w:val="22"/>
        </w:rPr>
      </w:pPr>
    </w:p>
    <w:p>
      <w:pPr>
        <w:pStyle w:val="BodyText"/>
        <w:spacing w:before="12"/>
        <w:rPr>
          <w:sz w:val="30"/>
        </w:rPr>
      </w:pPr>
    </w:p>
    <w:p>
      <w:pPr>
        <w:pStyle w:val="Heading1"/>
        <w:ind w:left="1857" w:right="2974"/>
        <w:jc w:val="center"/>
      </w:pPr>
      <w:r>
        <w:rPr>
          <w:w w:val="95"/>
        </w:rPr>
        <w:t>条款特别提示</w:t>
      </w:r>
    </w:p>
    <w:p>
      <w:pPr>
        <w:pStyle w:val="BodyText"/>
        <w:spacing w:before="89"/>
        <w:ind w:left="796" w:right="1913"/>
        <w:jc w:val="center"/>
        <w:rPr>
          <w:sz w:val="20"/>
        </w:rPr>
      </w:pPr>
      <w:r>
        <w:rPr>
          <w:u w:val="single"/>
        </w:rPr>
        <w:t>本条款特别提示有助于您理解条款，对本附加合同内容的解释以条款为准</w:t>
      </w:r>
      <w:r>
        <w:rPr>
          <w:sz w:val="20"/>
          <w:u w:val="single"/>
        </w:rPr>
        <w:t>。</w:t>
      </w:r>
    </w:p>
    <w:p>
      <w:pPr>
        <w:pStyle w:val="BodyText"/>
        <w:spacing w:before="9"/>
        <w:rPr>
          <w:sz w:val="27"/>
        </w:rPr>
      </w:pPr>
    </w:p>
    <w:p>
      <w:pPr>
        <w:pStyle w:val="BodyText"/>
        <w:spacing w:before="36"/>
        <w:ind w:left="1857" w:right="2039"/>
        <w:jc w:val="center"/>
      </w:pPr>
      <w:r>
        <w:rPr/>
        <w:t>您拥有的重要权利</w:t>
      </w:r>
    </w:p>
    <w:p>
      <w:pPr>
        <w:pStyle w:val="ListParagraph"/>
        <w:numPr>
          <w:ilvl w:val="0"/>
          <w:numId w:val="2"/>
        </w:numPr>
        <w:tabs>
          <w:tab w:pos="539" w:val="left" w:leader="none"/>
          <w:tab w:pos="540" w:val="left" w:leader="none"/>
          <w:tab w:pos="9201" w:val="right" w:leader="dot"/>
        </w:tabs>
        <w:spacing w:line="240" w:lineRule="auto" w:before="66" w:after="0"/>
        <w:ind w:left="541" w:right="0" w:hanging="421"/>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p>
      <w:pPr>
        <w:pStyle w:val="BodyText"/>
        <w:spacing w:before="388"/>
        <w:ind w:left="1857" w:right="2879"/>
        <w:jc w:val="center"/>
      </w:pPr>
      <w:r>
        <w:rPr/>
        <w:t>您应当特别注意的事项</w:t>
      </w:r>
    </w:p>
    <w:p>
      <w:pPr>
        <w:pStyle w:val="ListParagraph"/>
        <w:numPr>
          <w:ilvl w:val="0"/>
          <w:numId w:val="2"/>
        </w:numPr>
        <w:tabs>
          <w:tab w:pos="539" w:val="left" w:leader="none"/>
          <w:tab w:pos="540" w:val="left" w:leader="none"/>
          <w:tab w:pos="9202" w:val="right" w:leader="dot"/>
        </w:tabs>
        <w:spacing w:line="280" w:lineRule="auto" w:before="65" w:after="0"/>
        <w:ind w:left="541" w:right="459" w:hanging="421"/>
        <w:jc w:val="left"/>
        <w:rPr>
          <w:rFonts w:ascii="Times New Roman" w:eastAsia="Times New Roman"/>
          <w:sz w:val="21"/>
        </w:rPr>
      </w:pPr>
      <w:r>
        <w:rPr>
          <w:sz w:val="21"/>
        </w:rPr>
        <w:t>主合同条款也适用于本附加合同，若主合同条款与本附加合同条款互有抵触，则以本附加合 同条款为准</w:t>
        <w:tab/>
      </w:r>
      <w:r>
        <w:rPr>
          <w:rFonts w:ascii="Times New Roman" w:eastAsia="Times New Roman"/>
          <w:sz w:val="21"/>
        </w:rPr>
        <w:t>1.1</w:t>
      </w:r>
    </w:p>
    <w:p>
      <w:pPr>
        <w:pStyle w:val="ListParagraph"/>
        <w:numPr>
          <w:ilvl w:val="0"/>
          <w:numId w:val="2"/>
        </w:numPr>
        <w:tabs>
          <w:tab w:pos="539" w:val="left" w:leader="none"/>
          <w:tab w:pos="540" w:val="left" w:leader="none"/>
          <w:tab w:pos="9201" w:val="right" w:leader="dot"/>
        </w:tabs>
        <w:spacing w:line="240" w:lineRule="auto" w:before="8" w:after="0"/>
        <w:ind w:left="541" w:right="0" w:hanging="421"/>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p>
      <w:pPr>
        <w:pStyle w:val="ListParagraph"/>
        <w:numPr>
          <w:ilvl w:val="0"/>
          <w:numId w:val="2"/>
        </w:numPr>
        <w:tabs>
          <w:tab w:pos="539" w:val="left" w:leader="none"/>
          <w:tab w:pos="540" w:val="left" w:leader="none"/>
          <w:tab w:pos="9201" w:val="right" w:leader="dot"/>
        </w:tabs>
        <w:spacing w:line="240" w:lineRule="auto" w:before="49" w:after="0"/>
        <w:ind w:left="541" w:right="0" w:hanging="421"/>
        <w:jc w:val="left"/>
        <w:rPr>
          <w:rFonts w:ascii="Times New Roman" w:eastAsia="Times New Roman"/>
          <w:sz w:val="21"/>
        </w:rPr>
      </w:pPr>
      <w:r>
        <w:rPr>
          <w:sz w:val="21"/>
        </w:rPr>
        <w:t>您应当按时交纳保险费</w:t>
        <w:tab/>
      </w:r>
      <w:r>
        <w:rPr>
          <w:rFonts w:ascii="Times New Roman" w:eastAsia="Times New Roman"/>
          <w:sz w:val="21"/>
        </w:rPr>
        <w:t>3.1</w:t>
      </w:r>
    </w:p>
    <w:p>
      <w:pPr>
        <w:pStyle w:val="ListParagraph"/>
        <w:numPr>
          <w:ilvl w:val="0"/>
          <w:numId w:val="2"/>
        </w:numPr>
        <w:tabs>
          <w:tab w:pos="539" w:val="left" w:leader="none"/>
          <w:tab w:pos="540" w:val="left" w:leader="none"/>
          <w:tab w:pos="9044" w:val="right" w:leader="dot"/>
        </w:tabs>
        <w:spacing w:line="240" w:lineRule="auto" w:before="48" w:after="0"/>
        <w:ind w:left="541" w:right="0" w:hanging="421"/>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6</w:t>
      </w:r>
    </w:p>
    <w:p>
      <w:pPr>
        <w:spacing w:after="0" w:line="240" w:lineRule="auto"/>
        <w:jc w:val="left"/>
        <w:rPr>
          <w:rFonts w:ascii="Times New Roman" w:eastAsia="Times New Roman"/>
          <w:sz w:val="21"/>
        </w:rPr>
        <w:sectPr>
          <w:type w:val="continuous"/>
          <w:pgSz w:w="11910" w:h="16840"/>
          <w:pgMar w:top="1380" w:bottom="280" w:left="1680" w:right="560"/>
        </w:sectPr>
      </w:pPr>
    </w:p>
    <w:p>
      <w:pPr>
        <w:pStyle w:val="Heading1"/>
        <w:spacing w:line="405" w:lineRule="exact"/>
        <w:ind w:right="1081"/>
        <w:jc w:val="center"/>
      </w:pPr>
      <w:r>
        <w:rPr/>
        <w:t>人保寿险附加少儿重大疾病保险（</w:t>
      </w:r>
      <w:r>
        <w:rPr>
          <w:rFonts w:ascii="Times New Roman" w:eastAsia="Times New Roman"/>
        </w:rPr>
        <w:t>A </w:t>
      </w:r>
      <w:r>
        <w:rPr/>
        <w:t>款）条款</w:t>
      </w:r>
    </w:p>
    <w:p>
      <w:pPr>
        <w:pStyle w:val="BodyText"/>
        <w:spacing w:before="436"/>
        <w:ind w:left="884" w:right="1197"/>
        <w:jc w:val="center"/>
      </w:pPr>
      <w:r>
        <w:rPr/>
        <w:pict>
          <v:shapetype id="_x0000_t202" o:spt="202" coordsize="21600,21600" path="m,l,21600r21600,l21600,xe">
            <v:stroke joinstyle="miter"/>
            <v:path gradientshapeok="t" o:connecttype="rect"/>
          </v:shapetype>
          <v:shape style="position:absolute;margin-left:63pt;margin-top:38.144093pt;width:479.2pt;height:15pt;mso-position-horizontal-relative:page;mso-position-vertical-relative:paragraph;z-index:1072"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spacing w:val="-23"/>
        </w:rPr>
        <w:t>在本条款中，“您”指投保人，“我们”、“本公司”均指中国人民人寿保险股份有限公司。</w:t>
      </w:r>
    </w:p>
    <w:p>
      <w:pPr>
        <w:spacing w:after="0"/>
        <w:jc w:val="center"/>
        <w:sectPr>
          <w:pgSz w:w="11910" w:h="16840"/>
          <w:pgMar w:top="1520" w:bottom="280" w:left="1160" w:right="960"/>
        </w:sectPr>
      </w:pPr>
    </w:p>
    <w:p>
      <w:pPr>
        <w:pStyle w:val="Heading2"/>
        <w:numPr>
          <w:ilvl w:val="1"/>
          <w:numId w:val="3"/>
        </w:numPr>
        <w:tabs>
          <w:tab w:pos="943" w:val="left" w:leader="none"/>
        </w:tabs>
        <w:spacing w:line="247" w:lineRule="auto" w:before="459" w:after="0"/>
        <w:ind w:left="942" w:right="0" w:hanging="734"/>
        <w:jc w:val="both"/>
      </w:pPr>
      <w:r>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943" w:val="left" w:leader="none"/>
        </w:tabs>
        <w:spacing w:line="254" w:lineRule="auto" w:before="0" w:after="0"/>
        <w:ind w:left="942" w:right="0" w:hanging="735"/>
        <w:jc w:val="both"/>
        <w:rPr>
          <w:b/>
          <w:sz w:val="21"/>
        </w:rPr>
      </w:pPr>
      <w:r>
        <w:rPr>
          <w:b/>
          <w:sz w:val="21"/>
        </w:rPr>
        <w:t>附加合同成立与生效</w:t>
      </w:r>
    </w:p>
    <w:p>
      <w:pPr>
        <w:pStyle w:val="BodyText"/>
        <w:rPr>
          <w:b/>
          <w:sz w:val="20"/>
        </w:rPr>
      </w:pPr>
      <w:r>
        <w:rPr/>
        <w:br w:type="column"/>
      </w:r>
      <w:r>
        <w:rPr>
          <w:b/>
          <w:sz w:val="20"/>
        </w:rPr>
      </w:r>
    </w:p>
    <w:p>
      <w:pPr>
        <w:pStyle w:val="BodyText"/>
        <w:spacing w:before="1"/>
        <w:rPr>
          <w:b/>
          <w:sz w:val="15"/>
        </w:rPr>
      </w:pPr>
    </w:p>
    <w:p>
      <w:pPr>
        <w:pStyle w:val="BodyText"/>
        <w:spacing w:line="252" w:lineRule="auto"/>
        <w:ind w:left="208" w:right="242"/>
        <w:jc w:val="both"/>
      </w:pPr>
      <w:r>
        <w:rPr/>
        <w:t>人保寿险附加少儿重大疾病保险（</w:t>
      </w:r>
      <w:r>
        <w:rPr>
          <w:rFonts w:ascii="Times New Roman" w:hAnsi="Times New Roman" w:eastAsia="Times New Roman"/>
        </w:rPr>
        <w:t>A </w:t>
      </w:r>
      <w:r>
        <w:rPr/>
        <w:t>款）合同（以下简称</w:t>
      </w:r>
      <w:r>
        <w:rPr>
          <w:rFonts w:ascii="Times New Roman" w:hAnsi="Times New Roman" w:eastAsia="Times New Roman"/>
        </w:rPr>
        <w:t>“</w:t>
      </w:r>
      <w:r>
        <w:rPr/>
        <w:t>本附加合同</w:t>
      </w:r>
      <w:r>
        <w:rPr>
          <w:rFonts w:ascii="Times New Roman" w:hAnsi="Times New Roman" w:eastAsia="Times New Roman"/>
        </w:rPr>
        <w:t>”</w:t>
      </w:r>
      <w:r>
        <w:rPr/>
        <w:t>）由主保险合同（以下简称</w:t>
      </w:r>
      <w:r>
        <w:rPr>
          <w:rFonts w:ascii="Times New Roman" w:hAnsi="Times New Roman" w:eastAsia="Times New Roman"/>
        </w:rPr>
        <w:t>“</w:t>
      </w:r>
      <w:r>
        <w:rPr/>
        <w:t>主合同</w:t>
      </w:r>
      <w:r>
        <w:rPr>
          <w:rFonts w:ascii="Times New Roman" w:hAnsi="Times New Roman" w:eastAsia="Times New Roman"/>
        </w:rPr>
        <w:t>”</w:t>
      </w:r>
      <w:r>
        <w:rPr/>
        <w:t>）投保人提出申请，经我们同意而订立。主合同条款适用于本附加合同，若主合同条款与本附加合同的条款互有抵触，则以本附加合同条款为准。</w:t>
      </w:r>
    </w:p>
    <w:p>
      <w:pPr>
        <w:pStyle w:val="BodyText"/>
        <w:spacing w:line="360" w:lineRule="auto" w:before="14"/>
        <w:ind w:left="207" w:right="452"/>
      </w:pPr>
      <w:r>
        <w:rPr/>
        <w:t>若本附加合同未在主合同保险单上或批注单上载明，本附加合同不发生效力。若本附加合同与主合同同时投保，本附加合同的生效日期与主合同相同。</w:t>
      </w:r>
    </w:p>
    <w:p>
      <w:pPr>
        <w:pStyle w:val="BodyText"/>
        <w:spacing w:line="195" w:lineRule="exact"/>
        <w:ind w:left="207"/>
      </w:pPr>
      <w:r>
        <w:rPr/>
        <w:t>若本附加合同在主合同有效期内投保，您提出保险申请，我们同意承保，本附加</w:t>
      </w:r>
    </w:p>
    <w:p>
      <w:pPr>
        <w:pStyle w:val="BodyText"/>
        <w:spacing w:before="25"/>
        <w:ind w:left="207"/>
      </w:pPr>
      <w:r>
        <w:rPr/>
        <w:t>合同成立。</w:t>
      </w:r>
    </w:p>
    <w:p>
      <w:pPr>
        <w:pStyle w:val="BodyText"/>
        <w:spacing w:line="261" w:lineRule="auto" w:before="24"/>
        <w:ind w:left="207" w:right="242"/>
        <w:jc w:val="both"/>
      </w:pPr>
      <w:r>
        <w:rPr/>
        <w:t>本附加合同成立、我们收取首期保险费并签发保险单为本附加合同的生效条件， 附加合同生效日期在保险单或批注单上载明。保单周年日、保单年度、保险费约定交纳日均以该日期计算。</w:t>
      </w:r>
    </w:p>
    <w:p>
      <w:pPr>
        <w:spacing w:after="0" w:line="261" w:lineRule="auto"/>
        <w:jc w:val="both"/>
        <w:sectPr>
          <w:type w:val="continuous"/>
          <w:pgSz w:w="11910" w:h="16840"/>
          <w:pgMar w:top="1380" w:bottom="280" w:left="1160" w:right="960"/>
          <w:cols w:num="2" w:equalWidth="0">
            <w:col w:w="1788" w:space="195"/>
            <w:col w:w="7807"/>
          </w:cols>
        </w:sectPr>
      </w:pPr>
    </w:p>
    <w:p>
      <w:pPr>
        <w:pStyle w:val="BodyText"/>
        <w:spacing w:before="5" w:after="1"/>
        <w:rPr>
          <w:sz w:val="9"/>
        </w:rPr>
      </w:pPr>
    </w:p>
    <w:p>
      <w:pPr>
        <w:pStyle w:val="BodyText"/>
        <w:ind w:left="100"/>
        <w:rPr>
          <w:sz w:val="20"/>
        </w:rPr>
      </w:pPr>
      <w:r>
        <w:rPr>
          <w:sz w:val="20"/>
        </w:rPr>
        <w:pict>
          <v:shape style="width:479.2pt;height:15pt;mso-position-horizontal-relative:char;mso-position-vertical-relative:line" type="#_x0000_t202" filled="true" fillcolor="#e6e6e6" stroked="false">
            <w10:anchorlock/>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380" w:bottom="280" w:left="1160" w:right="960"/>
        </w:sectPr>
      </w:pPr>
    </w:p>
    <w:p>
      <w:pPr>
        <w:pStyle w:val="ListParagraph"/>
        <w:numPr>
          <w:ilvl w:val="1"/>
          <w:numId w:val="4"/>
        </w:numPr>
        <w:tabs>
          <w:tab w:pos="942" w:val="left" w:leader="none"/>
          <w:tab w:pos="943" w:val="left" w:leader="none"/>
        </w:tabs>
        <w:spacing w:line="247" w:lineRule="auto" w:before="24" w:after="0"/>
        <w:ind w:left="942" w:right="0" w:hanging="734"/>
        <w:jc w:val="left"/>
        <w:rPr>
          <w:b/>
          <w:sz w:val="21"/>
        </w:rPr>
      </w:pPr>
      <w:r>
        <w:rPr>
          <w:b/>
          <w:sz w:val="21"/>
        </w:rPr>
        <w:t>基本保险金额</w:t>
      </w:r>
    </w:p>
    <w:p>
      <w:pPr>
        <w:pStyle w:val="BodyText"/>
        <w:spacing w:line="261" w:lineRule="auto" w:before="24"/>
        <w:ind w:left="208" w:right="453"/>
      </w:pPr>
      <w:r>
        <w:rPr/>
        <w:br w:type="column"/>
      </w:r>
      <w:r>
        <w:rPr/>
        <w:t>本附加合同的基本保险金额由您在投保时与我们约定并在保险单或批注单上载明。若该金额发生变更，则以变更后的金额为基本保险金额。</w:t>
      </w:r>
    </w:p>
    <w:p>
      <w:pPr>
        <w:spacing w:after="0" w:line="261" w:lineRule="auto"/>
        <w:sectPr>
          <w:type w:val="continuous"/>
          <w:pgSz w:w="11910" w:h="16840"/>
          <w:pgMar w:top="1380" w:bottom="280" w:left="1160" w:right="960"/>
          <w:cols w:num="2" w:equalWidth="0">
            <w:col w:w="1788" w:space="195"/>
            <w:col w:w="7807"/>
          </w:cols>
        </w:sectPr>
      </w:pPr>
    </w:p>
    <w:p>
      <w:pPr>
        <w:pStyle w:val="ListParagraph"/>
        <w:numPr>
          <w:ilvl w:val="1"/>
          <w:numId w:val="4"/>
        </w:numPr>
        <w:tabs>
          <w:tab w:pos="942" w:val="left" w:leader="none"/>
          <w:tab w:pos="943" w:val="left" w:leader="none"/>
          <w:tab w:pos="2190" w:val="left" w:leader="none"/>
        </w:tabs>
        <w:spacing w:line="247" w:lineRule="auto" w:before="119" w:after="0"/>
        <w:ind w:left="2190" w:right="207" w:hanging="1982"/>
        <w:jc w:val="left"/>
        <w:rPr>
          <w:sz w:val="21"/>
        </w:rPr>
      </w:pPr>
      <w:r>
        <w:rPr>
          <w:b/>
          <w:sz w:val="21"/>
        </w:rPr>
        <w:t>保险期间</w:t>
        <w:tab/>
      </w:r>
      <w:r>
        <w:rPr>
          <w:sz w:val="21"/>
        </w:rPr>
        <w:t>本附加合同的保险期间至被保险人年满</w:t>
      </w:r>
      <w:r>
        <w:rPr>
          <w:spacing w:val="-44"/>
          <w:sz w:val="21"/>
        </w:rPr>
        <w:t> </w:t>
      </w:r>
      <w:r>
        <w:rPr>
          <w:rFonts w:ascii="Times New Roman" w:eastAsia="Times New Roman"/>
          <w:sz w:val="21"/>
        </w:rPr>
        <w:t>25</w:t>
      </w:r>
      <w:r>
        <w:rPr>
          <w:rFonts w:ascii="Times New Roman" w:eastAsia="Times New Roman"/>
          <w:spacing w:val="8"/>
          <w:sz w:val="21"/>
        </w:rPr>
        <w:t> </w:t>
      </w:r>
      <w:r>
        <w:rPr>
          <w:b/>
          <w:sz w:val="21"/>
        </w:rPr>
        <w:t>周岁</w:t>
      </w:r>
      <w:r>
        <w:rPr>
          <w:sz w:val="21"/>
        </w:rPr>
        <w:t>（见</w:t>
      </w:r>
      <w:r>
        <w:rPr>
          <w:spacing w:val="-44"/>
          <w:sz w:val="21"/>
        </w:rPr>
        <w:t> </w:t>
      </w:r>
      <w:r>
        <w:rPr>
          <w:rFonts w:ascii="Times New Roman" w:eastAsia="Times New Roman"/>
          <w:sz w:val="21"/>
        </w:rPr>
        <w:t>6.1</w:t>
      </w:r>
      <w:r>
        <w:rPr>
          <w:sz w:val="21"/>
        </w:rPr>
        <w:t>）后的首个保单周年日零时止。</w:t>
      </w:r>
    </w:p>
    <w:p>
      <w:pPr>
        <w:pStyle w:val="BodyText"/>
        <w:spacing w:before="33"/>
        <w:ind w:left="2190"/>
      </w:pPr>
      <w:r>
        <w:rPr/>
        <w:t>除本附加合同另有约定外，自本附加合同生效日起，我们开始承担保险责任。</w:t>
      </w:r>
    </w:p>
    <w:p>
      <w:pPr>
        <w:pStyle w:val="ListParagraph"/>
        <w:numPr>
          <w:ilvl w:val="1"/>
          <w:numId w:val="4"/>
        </w:numPr>
        <w:tabs>
          <w:tab w:pos="942" w:val="left" w:leader="none"/>
          <w:tab w:pos="943" w:val="left" w:leader="none"/>
          <w:tab w:pos="2190" w:val="left" w:leader="none"/>
        </w:tabs>
        <w:spacing w:line="240" w:lineRule="auto" w:before="137" w:after="0"/>
        <w:ind w:left="942" w:right="0" w:hanging="734"/>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380" w:bottom="280" w:left="1160" w:right="960"/>
        </w:sectPr>
      </w:pPr>
    </w:p>
    <w:p>
      <w:pPr>
        <w:pStyle w:val="Heading2"/>
        <w:spacing w:line="196" w:lineRule="auto" w:before="121"/>
        <w:ind w:left="942" w:firstLine="0"/>
        <w:rPr>
          <w:rFonts w:ascii="Microsoft JhengHei" w:eastAsia="Microsoft JhengHei" w:hint="eastAsia"/>
        </w:rPr>
      </w:pPr>
      <w:r>
        <w:rPr>
          <w:rFonts w:ascii="Microsoft JhengHei" w:eastAsia="Microsoft JhengHei" w:hint="eastAsia"/>
        </w:rPr>
        <w:t>重大疾病保险金</w:t>
      </w:r>
    </w:p>
    <w:p>
      <w:pPr>
        <w:pStyle w:val="BodyText"/>
        <w:spacing w:line="247" w:lineRule="auto" w:before="122"/>
        <w:ind w:left="366" w:right="207"/>
        <w:jc w:val="both"/>
      </w:pPr>
      <w:r>
        <w:rPr/>
        <w:br w:type="column"/>
      </w:r>
      <w:r>
        <w:rPr/>
        <w:t>被保险人自本附加合同生效（或最后复效）</w:t>
      </w:r>
      <w:r>
        <w:rPr>
          <w:spacing w:val="-14"/>
        </w:rPr>
        <w:t>之日起 </w:t>
      </w:r>
      <w:r>
        <w:rPr>
          <w:rFonts w:ascii="Times New Roman" w:eastAsia="Times New Roman"/>
        </w:rPr>
        <w:t>180 </w:t>
      </w:r>
      <w:r>
        <w:rPr/>
        <w:t>日内因疾病，初次被确诊患有本附加合同约定的</w:t>
      </w:r>
      <w:r>
        <w:rPr>
          <w:b/>
          <w:spacing w:val="-11"/>
          <w:w w:val="99"/>
        </w:rPr>
        <w:t>重大疾病</w:t>
      </w:r>
      <w:r>
        <w:rPr>
          <w:spacing w:val="-2"/>
        </w:rPr>
        <w:t>（</w:t>
      </w:r>
      <w:r>
        <w:rPr>
          <w:spacing w:val="-27"/>
        </w:rPr>
        <w:t>见 </w:t>
      </w:r>
      <w:r>
        <w:rPr>
          <w:rFonts w:ascii="Times New Roman" w:eastAsia="Times New Roman"/>
        </w:rPr>
        <w:t>6</w:t>
      </w:r>
      <w:r>
        <w:rPr>
          <w:rFonts w:ascii="Times New Roman" w:eastAsia="Times New Roman"/>
          <w:spacing w:val="-1"/>
        </w:rPr>
        <w:t>.</w:t>
      </w:r>
      <w:r>
        <w:rPr>
          <w:rFonts w:ascii="Times New Roman" w:eastAsia="Times New Roman"/>
        </w:rPr>
        <w:t>1</w:t>
      </w:r>
      <w:r>
        <w:rPr>
          <w:rFonts w:ascii="Times New Roman" w:eastAsia="Times New Roman"/>
          <w:spacing w:val="-1"/>
        </w:rPr>
        <w:t>3</w:t>
      </w:r>
      <w:r>
        <w:rPr>
          <w:spacing w:val="-149"/>
        </w:rPr>
        <w:t>）</w:t>
      </w:r>
      <w:r>
        <w:rPr/>
        <w:t>（</w:t>
      </w:r>
      <w:r>
        <w:rPr>
          <w:spacing w:val="-1"/>
        </w:rPr>
        <w:t>一种或多种</w:t>
      </w:r>
      <w:r>
        <w:rPr>
          <w:spacing w:val="-105"/>
        </w:rPr>
        <w:t>）</w:t>
      </w:r>
      <w:r>
        <w:rPr>
          <w:spacing w:val="-12"/>
        </w:rPr>
        <w:t>，我们按所交保险费</w:t>
      </w:r>
      <w:r>
        <w:rPr/>
        <w:t>（不计利息）给付重大疾病保险金，本附加合同终止。</w:t>
      </w:r>
    </w:p>
    <w:p>
      <w:pPr>
        <w:pStyle w:val="BodyText"/>
        <w:spacing w:before="18"/>
        <w:ind w:left="366"/>
      </w:pPr>
      <w:r>
        <w:rPr/>
        <w:t>被保险人因遭受</w:t>
      </w:r>
      <w:r>
        <w:rPr>
          <w:b/>
        </w:rPr>
        <w:t>意外伤害</w:t>
      </w:r>
      <w:r>
        <w:rPr/>
        <w:t>（见 </w:t>
      </w:r>
      <w:r>
        <w:rPr>
          <w:rFonts w:ascii="Times New Roman" w:eastAsia="Times New Roman"/>
        </w:rPr>
        <w:t>6.2</w:t>
      </w:r>
      <w:r>
        <w:rPr/>
        <w:t>）或自本附加合同生效（或最后复效）之日起</w:t>
      </w:r>
    </w:p>
    <w:p>
      <w:pPr>
        <w:pStyle w:val="BodyText"/>
        <w:spacing w:line="254" w:lineRule="auto" w:before="9"/>
        <w:ind w:left="366" w:right="213"/>
        <w:jc w:val="both"/>
      </w:pPr>
      <w:r>
        <w:rPr>
          <w:rFonts w:ascii="Times New Roman" w:eastAsia="Times New Roman"/>
        </w:rPr>
        <w:t>1</w:t>
      </w:r>
      <w:r>
        <w:rPr>
          <w:rFonts w:ascii="Times New Roman" w:eastAsia="Times New Roman"/>
          <w:spacing w:val="-1"/>
        </w:rPr>
        <w:t>8</w:t>
      </w:r>
      <w:r>
        <w:rPr>
          <w:rFonts w:ascii="Times New Roman" w:eastAsia="Times New Roman"/>
        </w:rPr>
        <w:t>0 </w:t>
      </w:r>
      <w:r>
        <w:rPr>
          <w:spacing w:val="-3"/>
        </w:rPr>
        <w:t>日后因疾病，初次被确诊患有本附加合同约定的重大疾病</w:t>
      </w:r>
      <w:r>
        <w:rPr/>
        <w:t>（一种或多种</w:t>
      </w:r>
      <w:r>
        <w:rPr>
          <w:spacing w:val="-105"/>
        </w:rPr>
        <w:t>）</w:t>
      </w:r>
      <w:r>
        <w:rPr>
          <w:spacing w:val="-7"/>
        </w:rPr>
        <w:t>，我</w:t>
      </w:r>
      <w:r>
        <w:rPr/>
        <w:t>们按本附加合同《保险金给付比例表》的规定给付重大疾病保险金，本附加合同终止。</w:t>
      </w:r>
    </w:p>
    <w:p>
      <w:pPr>
        <w:spacing w:after="0" w:line="254" w:lineRule="auto"/>
        <w:jc w:val="both"/>
        <w:sectPr>
          <w:type w:val="continuous"/>
          <w:pgSz w:w="11910" w:h="16840"/>
          <w:pgMar w:top="1380" w:bottom="280" w:left="1160" w:right="960"/>
          <w:cols w:num="2" w:equalWidth="0">
            <w:col w:w="1784" w:space="40"/>
            <w:col w:w="7966"/>
          </w:cols>
        </w:sectPr>
      </w:pPr>
    </w:p>
    <w:p>
      <w:pPr>
        <w:pStyle w:val="BodyText"/>
        <w:spacing w:before="125" w:after="30"/>
        <w:ind w:left="5042"/>
      </w:pPr>
      <w:r>
        <w:rPr/>
        <w:t>保险金给付比例表</w:t>
      </w:r>
    </w:p>
    <w:tbl>
      <w:tblPr>
        <w:tblW w:w="0" w:type="auto"/>
        <w:jc w:val="left"/>
        <w:tblInd w:w="2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3360"/>
      </w:tblGrid>
      <w:tr>
        <w:trPr>
          <w:trHeight w:val="579" w:hRule="atLeast"/>
        </w:trPr>
        <w:tc>
          <w:tcPr>
            <w:tcW w:w="2941" w:type="dxa"/>
          </w:tcPr>
          <w:p>
            <w:pPr>
              <w:pStyle w:val="TableParagraph"/>
              <w:spacing w:line="300" w:lineRule="exact"/>
              <w:ind w:right="91"/>
              <w:rPr>
                <w:sz w:val="21"/>
              </w:rPr>
            </w:pPr>
            <w:r>
              <w:rPr>
                <w:sz w:val="21"/>
              </w:rPr>
              <w:t>被保险人初次被确诊为重大疾病时的年龄</w:t>
            </w:r>
          </w:p>
        </w:tc>
        <w:tc>
          <w:tcPr>
            <w:tcW w:w="3360" w:type="dxa"/>
          </w:tcPr>
          <w:p>
            <w:pPr>
              <w:pStyle w:val="TableParagraph"/>
              <w:spacing w:line="269" w:lineRule="exact"/>
              <w:ind w:right="-15"/>
              <w:rPr>
                <w:sz w:val="21"/>
              </w:rPr>
            </w:pPr>
            <w:r>
              <w:rPr>
                <w:spacing w:val="-11"/>
                <w:sz w:val="21"/>
              </w:rPr>
              <w:t>给付比例</w:t>
            </w:r>
            <w:r>
              <w:rPr>
                <w:sz w:val="21"/>
              </w:rPr>
              <w:t>（占基本保险金额的比例）</w:t>
            </w:r>
          </w:p>
        </w:tc>
      </w:tr>
      <w:tr>
        <w:trPr>
          <w:trHeight w:val="310" w:hRule="atLeast"/>
        </w:trPr>
        <w:tc>
          <w:tcPr>
            <w:tcW w:w="2941" w:type="dxa"/>
          </w:tcPr>
          <w:p>
            <w:pPr>
              <w:pStyle w:val="TableParagraph"/>
              <w:spacing w:line="266" w:lineRule="exact"/>
              <w:rPr>
                <w:sz w:val="21"/>
              </w:rPr>
            </w:pPr>
            <w:r>
              <w:rPr>
                <w:sz w:val="21"/>
              </w:rPr>
              <w:t>不满 </w:t>
            </w:r>
            <w:r>
              <w:rPr>
                <w:rFonts w:ascii="Times New Roman" w:eastAsia="Times New Roman"/>
                <w:sz w:val="21"/>
              </w:rPr>
              <w:t>1 </w:t>
            </w:r>
            <w:r>
              <w:rPr>
                <w:sz w:val="21"/>
              </w:rPr>
              <w:t>周岁</w:t>
            </w:r>
          </w:p>
        </w:tc>
        <w:tc>
          <w:tcPr>
            <w:tcW w:w="3360" w:type="dxa"/>
          </w:tcPr>
          <w:p>
            <w:pPr>
              <w:pStyle w:val="TableParagraph"/>
              <w:spacing w:before="24"/>
              <w:ind w:left="1378" w:right="1440"/>
              <w:jc w:val="center"/>
              <w:rPr>
                <w:rFonts w:ascii="Times New Roman"/>
                <w:sz w:val="21"/>
              </w:rPr>
            </w:pPr>
            <w:r>
              <w:rPr>
                <w:rFonts w:ascii="Times New Roman"/>
                <w:sz w:val="21"/>
              </w:rPr>
              <w:t>20%</w:t>
            </w:r>
          </w:p>
        </w:tc>
      </w:tr>
      <w:tr>
        <w:trPr>
          <w:trHeight w:val="329" w:hRule="atLeast"/>
        </w:trPr>
        <w:tc>
          <w:tcPr>
            <w:tcW w:w="2941" w:type="dxa"/>
          </w:tcPr>
          <w:p>
            <w:pPr>
              <w:pStyle w:val="TableParagraph"/>
              <w:spacing w:line="285" w:lineRule="exact"/>
              <w:rPr>
                <w:sz w:val="21"/>
              </w:rPr>
            </w:pPr>
            <w:r>
              <w:rPr>
                <w:sz w:val="21"/>
              </w:rPr>
              <w:t>满 </w:t>
            </w:r>
            <w:r>
              <w:rPr>
                <w:rFonts w:ascii="Times New Roman" w:eastAsia="Times New Roman"/>
                <w:sz w:val="21"/>
              </w:rPr>
              <w:t>1 </w:t>
            </w:r>
            <w:r>
              <w:rPr>
                <w:sz w:val="21"/>
              </w:rPr>
              <w:t>周岁但未满 </w:t>
            </w:r>
            <w:r>
              <w:rPr>
                <w:rFonts w:ascii="Times New Roman" w:eastAsia="Times New Roman"/>
                <w:sz w:val="21"/>
              </w:rPr>
              <w:t>2 </w:t>
            </w:r>
            <w:r>
              <w:rPr>
                <w:sz w:val="21"/>
              </w:rPr>
              <w:t>周岁</w:t>
            </w:r>
          </w:p>
        </w:tc>
        <w:tc>
          <w:tcPr>
            <w:tcW w:w="3360" w:type="dxa"/>
          </w:tcPr>
          <w:p>
            <w:pPr>
              <w:pStyle w:val="TableParagraph"/>
              <w:spacing w:before="43"/>
              <w:ind w:left="1378" w:right="1440"/>
              <w:jc w:val="center"/>
              <w:rPr>
                <w:rFonts w:ascii="Times New Roman"/>
                <w:sz w:val="21"/>
              </w:rPr>
            </w:pPr>
            <w:r>
              <w:rPr>
                <w:rFonts w:ascii="Times New Roman"/>
                <w:sz w:val="21"/>
              </w:rPr>
              <w:t>40%</w:t>
            </w:r>
          </w:p>
        </w:tc>
      </w:tr>
      <w:tr>
        <w:trPr>
          <w:trHeight w:val="329" w:hRule="atLeast"/>
        </w:trPr>
        <w:tc>
          <w:tcPr>
            <w:tcW w:w="2941" w:type="dxa"/>
          </w:tcPr>
          <w:p>
            <w:pPr>
              <w:pStyle w:val="TableParagraph"/>
              <w:spacing w:line="285" w:lineRule="exact"/>
              <w:rPr>
                <w:sz w:val="21"/>
              </w:rPr>
            </w:pPr>
            <w:r>
              <w:rPr>
                <w:sz w:val="21"/>
              </w:rPr>
              <w:t>满 </w:t>
            </w:r>
            <w:r>
              <w:rPr>
                <w:rFonts w:ascii="Times New Roman" w:eastAsia="Times New Roman"/>
                <w:sz w:val="21"/>
              </w:rPr>
              <w:t>2 </w:t>
            </w:r>
            <w:r>
              <w:rPr>
                <w:sz w:val="21"/>
              </w:rPr>
              <w:t>周岁但未满 </w:t>
            </w:r>
            <w:r>
              <w:rPr>
                <w:rFonts w:ascii="Times New Roman" w:eastAsia="Times New Roman"/>
                <w:sz w:val="21"/>
              </w:rPr>
              <w:t>3 </w:t>
            </w:r>
            <w:r>
              <w:rPr>
                <w:sz w:val="21"/>
              </w:rPr>
              <w:t>周岁</w:t>
            </w:r>
          </w:p>
        </w:tc>
        <w:tc>
          <w:tcPr>
            <w:tcW w:w="3360" w:type="dxa"/>
          </w:tcPr>
          <w:p>
            <w:pPr>
              <w:pStyle w:val="TableParagraph"/>
              <w:spacing w:before="43"/>
              <w:ind w:left="1378" w:right="1440"/>
              <w:jc w:val="center"/>
              <w:rPr>
                <w:rFonts w:ascii="Times New Roman"/>
                <w:sz w:val="21"/>
              </w:rPr>
            </w:pPr>
            <w:r>
              <w:rPr>
                <w:rFonts w:ascii="Times New Roman"/>
                <w:sz w:val="21"/>
              </w:rPr>
              <w:t>60%</w:t>
            </w:r>
          </w:p>
        </w:tc>
      </w:tr>
      <w:tr>
        <w:trPr>
          <w:trHeight w:val="330" w:hRule="atLeast"/>
        </w:trPr>
        <w:tc>
          <w:tcPr>
            <w:tcW w:w="2941" w:type="dxa"/>
          </w:tcPr>
          <w:p>
            <w:pPr>
              <w:pStyle w:val="TableParagraph"/>
              <w:spacing w:line="286" w:lineRule="exact"/>
              <w:rPr>
                <w:sz w:val="21"/>
              </w:rPr>
            </w:pPr>
            <w:r>
              <w:rPr>
                <w:sz w:val="21"/>
              </w:rPr>
              <w:t>满 </w:t>
            </w:r>
            <w:r>
              <w:rPr>
                <w:rFonts w:ascii="Times New Roman" w:eastAsia="Times New Roman"/>
                <w:sz w:val="21"/>
              </w:rPr>
              <w:t>3 </w:t>
            </w:r>
            <w:r>
              <w:rPr>
                <w:sz w:val="21"/>
              </w:rPr>
              <w:t>周岁但未满 </w:t>
            </w:r>
            <w:r>
              <w:rPr>
                <w:rFonts w:ascii="Times New Roman" w:eastAsia="Times New Roman"/>
                <w:sz w:val="21"/>
              </w:rPr>
              <w:t>4 </w:t>
            </w:r>
            <w:r>
              <w:rPr>
                <w:sz w:val="21"/>
              </w:rPr>
              <w:t>周岁</w:t>
            </w:r>
          </w:p>
        </w:tc>
        <w:tc>
          <w:tcPr>
            <w:tcW w:w="3360" w:type="dxa"/>
          </w:tcPr>
          <w:p>
            <w:pPr>
              <w:pStyle w:val="TableParagraph"/>
              <w:spacing w:before="45"/>
              <w:ind w:left="1378" w:right="1440"/>
              <w:jc w:val="center"/>
              <w:rPr>
                <w:rFonts w:ascii="Times New Roman"/>
                <w:sz w:val="21"/>
              </w:rPr>
            </w:pPr>
            <w:r>
              <w:rPr>
                <w:rFonts w:ascii="Times New Roman"/>
                <w:sz w:val="21"/>
              </w:rPr>
              <w:t>80%</w:t>
            </w:r>
          </w:p>
        </w:tc>
      </w:tr>
      <w:tr>
        <w:trPr>
          <w:trHeight w:val="329" w:hRule="atLeast"/>
        </w:trPr>
        <w:tc>
          <w:tcPr>
            <w:tcW w:w="2941" w:type="dxa"/>
          </w:tcPr>
          <w:p>
            <w:pPr>
              <w:pStyle w:val="TableParagraph"/>
              <w:spacing w:line="285" w:lineRule="exact"/>
              <w:rPr>
                <w:sz w:val="21"/>
              </w:rPr>
            </w:pPr>
            <w:r>
              <w:rPr>
                <w:rFonts w:ascii="Times New Roman" w:eastAsia="Times New Roman"/>
                <w:sz w:val="21"/>
              </w:rPr>
              <w:t>4 </w:t>
            </w:r>
            <w:r>
              <w:rPr>
                <w:sz w:val="21"/>
              </w:rPr>
              <w:t>周岁以上（含 </w:t>
            </w:r>
            <w:r>
              <w:rPr>
                <w:rFonts w:ascii="Times New Roman" w:eastAsia="Times New Roman"/>
                <w:sz w:val="21"/>
              </w:rPr>
              <w:t>4 </w:t>
            </w:r>
            <w:r>
              <w:rPr>
                <w:sz w:val="21"/>
              </w:rPr>
              <w:t>周岁）</w:t>
            </w:r>
          </w:p>
        </w:tc>
        <w:tc>
          <w:tcPr>
            <w:tcW w:w="3360" w:type="dxa"/>
          </w:tcPr>
          <w:p>
            <w:pPr>
              <w:pStyle w:val="TableParagraph"/>
              <w:spacing w:before="43"/>
              <w:ind w:left="1380" w:right="1440"/>
              <w:jc w:val="center"/>
              <w:rPr>
                <w:rFonts w:ascii="Times New Roman"/>
                <w:sz w:val="21"/>
              </w:rPr>
            </w:pPr>
            <w:r>
              <w:rPr>
                <w:rFonts w:ascii="Times New Roman"/>
                <w:sz w:val="21"/>
              </w:rPr>
              <w:t>100%</w:t>
            </w:r>
          </w:p>
        </w:tc>
      </w:tr>
    </w:tbl>
    <w:p>
      <w:pPr>
        <w:pStyle w:val="ListParagraph"/>
        <w:numPr>
          <w:ilvl w:val="1"/>
          <w:numId w:val="4"/>
        </w:numPr>
        <w:tabs>
          <w:tab w:pos="942" w:val="left" w:leader="none"/>
          <w:tab w:pos="943" w:val="left" w:leader="none"/>
          <w:tab w:pos="2192" w:val="left" w:leader="none"/>
        </w:tabs>
        <w:spacing w:line="247" w:lineRule="auto" w:before="108" w:after="0"/>
        <w:ind w:left="2192" w:right="204" w:hanging="1984"/>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因下列情形之一，导致被保险人发Th重大疾病、达到重大疾病状态或进行手术， 我们不承担给付保险金的责任：</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9"/>
        <w:ind w:left="2190"/>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）先天性疾病；</w:t>
      </w:r>
    </w:p>
    <w:p>
      <w:pPr>
        <w:spacing w:after="0"/>
        <w:rPr>
          <w:rFonts w:ascii="黑体" w:eastAsia="黑体" w:hint="eastAsia"/>
        </w:rPr>
        <w:sectPr>
          <w:type w:val="continuous"/>
          <w:pgSz w:w="11910" w:h="16840"/>
          <w:pgMar w:top="1380" w:bottom="280" w:left="1160" w:right="960"/>
        </w:sectPr>
      </w:pPr>
    </w:p>
    <w:p>
      <w:pPr>
        <w:pStyle w:val="BodyText"/>
        <w:spacing w:before="14"/>
        <w:ind w:left="2190"/>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）被保险人故意犯罪或者抗拒依法采取的刑事强制措施、故意自伤；</w:t>
      </w:r>
    </w:p>
    <w:p>
      <w:pPr>
        <w:pStyle w:val="BodyText"/>
        <w:spacing w:before="8"/>
        <w:ind w:left="2190"/>
        <w:rPr>
          <w:rFonts w:ascii="黑体" w:eastAsia="黑体" w:hint="eastAsia"/>
        </w:rPr>
      </w:pPr>
      <w:r>
        <w:rPr>
          <w:rFonts w:ascii="黑体" w:eastAsia="黑体" w:hint="eastAsia"/>
        </w:rPr>
        <w:t>（</w:t>
      </w:r>
      <w:r>
        <w:rPr>
          <w:rFonts w:ascii="Times New Roman" w:eastAsia="Times New Roman"/>
        </w:rPr>
        <w:t>4</w:t>
      </w:r>
      <w:r>
        <w:rPr>
          <w:rFonts w:ascii="黑体" w:eastAsia="黑体" w:hint="eastAsia"/>
        </w:rPr>
        <w:t>）被保险人斗殴、</w:t>
      </w:r>
      <w:r>
        <w:rPr>
          <w:rFonts w:ascii="黑体" w:eastAsia="黑体" w:hint="eastAsia"/>
          <w:b/>
        </w:rPr>
        <w:t>酗酒</w:t>
      </w:r>
      <w:r>
        <w:rPr>
          <w:rFonts w:ascii="黑体" w:eastAsia="黑体" w:hint="eastAsia"/>
        </w:rPr>
        <w:t>（见 </w:t>
      </w:r>
      <w:r>
        <w:rPr>
          <w:rFonts w:ascii="Times New Roman" w:eastAsia="Times New Roman"/>
        </w:rPr>
        <w:t>6.3</w:t>
      </w:r>
      <w:r>
        <w:rPr>
          <w:rFonts w:ascii="黑体" w:eastAsia="黑体" w:hint="eastAsia"/>
        </w:rPr>
        <w:t>）、主动吸食或注射毒品；</w:t>
      </w:r>
    </w:p>
    <w:p>
      <w:pPr>
        <w:pStyle w:val="BodyText"/>
        <w:spacing w:before="8"/>
        <w:ind w:left="2190"/>
        <w:rPr>
          <w:rFonts w:ascii="黑体" w:eastAsia="黑体" w:hint="eastAsia"/>
        </w:rPr>
      </w:pPr>
      <w:r>
        <w:rPr>
          <w:rFonts w:ascii="黑体" w:eastAsia="黑体" w:hint="eastAsia"/>
        </w:rPr>
        <w:t>（</w:t>
      </w:r>
      <w:r>
        <w:rPr>
          <w:rFonts w:ascii="Times New Roman" w:eastAsia="Times New Roman"/>
        </w:rPr>
        <w:t>5</w:t>
      </w:r>
      <w:r>
        <w:rPr>
          <w:rFonts w:ascii="黑体" w:eastAsia="黑体" w:hint="eastAsia"/>
        </w:rPr>
        <w:t>）被保险人未遵医嘱使用管制药物；</w:t>
      </w:r>
    </w:p>
    <w:p>
      <w:pPr>
        <w:pStyle w:val="BodyText"/>
        <w:spacing w:before="8"/>
        <w:ind w:left="2190"/>
        <w:rPr>
          <w:rFonts w:ascii="黑体" w:eastAsia="黑体" w:hint="eastAsia"/>
        </w:rPr>
      </w:pPr>
      <w:r>
        <w:rPr>
          <w:rFonts w:ascii="黑体" w:eastAsia="黑体" w:hint="eastAsia"/>
          <w:spacing w:val="-20"/>
        </w:rPr>
        <w:t>（</w:t>
      </w:r>
      <w:r>
        <w:rPr>
          <w:rFonts w:ascii="Times New Roman" w:eastAsia="Times New Roman"/>
          <w:spacing w:val="-20"/>
        </w:rPr>
        <w:t>6</w:t>
      </w:r>
      <w:r>
        <w:rPr>
          <w:rFonts w:ascii="黑体" w:eastAsia="黑体" w:hint="eastAsia"/>
          <w:spacing w:val="-20"/>
        </w:rPr>
        <w:t>）</w:t>
      </w:r>
      <w:r>
        <w:rPr>
          <w:rFonts w:ascii="黑体" w:eastAsia="黑体" w:hint="eastAsia"/>
          <w:spacing w:val="-10"/>
        </w:rPr>
        <w:t>被保险人酒后驾驶、无合法有效驾驶证驾驶，或驾驶无有效行驶证的机动车；</w:t>
      </w:r>
    </w:p>
    <w:p>
      <w:pPr>
        <w:pStyle w:val="BodyText"/>
        <w:spacing w:line="247" w:lineRule="auto" w:before="8"/>
        <w:ind w:left="2716" w:right="170" w:hanging="526"/>
        <w:rPr>
          <w:rFonts w:ascii="黑体" w:hAnsi="黑体" w:eastAsia="黑体" w:hint="eastAsia"/>
        </w:rPr>
      </w:pPr>
      <w:r>
        <w:rPr>
          <w:rFonts w:ascii="黑体" w:hAnsi="黑体" w:eastAsia="黑体" w:hint="eastAsia"/>
        </w:rPr>
        <w:t>（</w:t>
      </w:r>
      <w:r>
        <w:rPr>
          <w:rFonts w:ascii="Times New Roman" w:hAnsi="Times New Roman" w:eastAsia="Times New Roman"/>
        </w:rPr>
        <w:t>7</w:t>
      </w:r>
      <w:r>
        <w:rPr>
          <w:rFonts w:ascii="黑体" w:hAnsi="黑体" w:eastAsia="黑体" w:hint="eastAsia"/>
        </w:rPr>
        <w:t>）被保险人</w:t>
      </w:r>
      <w:r>
        <w:rPr>
          <w:rFonts w:ascii="黑体" w:hAnsi="黑体" w:eastAsia="黑体" w:hint="eastAsia"/>
          <w:b/>
        </w:rPr>
        <w:t>感染艾滋病病毒或患艾滋病</w:t>
      </w:r>
      <w:r>
        <w:rPr>
          <w:rFonts w:ascii="黑体" w:hAnsi="黑体" w:eastAsia="黑体" w:hint="eastAsia"/>
        </w:rPr>
        <w:t>（见 </w:t>
      </w:r>
      <w:r>
        <w:rPr>
          <w:rFonts w:ascii="Times New Roman" w:hAnsi="Times New Roman" w:eastAsia="Times New Roman"/>
        </w:rPr>
        <w:t>6.4</w:t>
      </w:r>
      <w:r>
        <w:rPr>
          <w:rFonts w:ascii="黑体" w:hAnsi="黑体" w:eastAsia="黑体" w:hint="eastAsia"/>
        </w:rPr>
        <w:t>）（被保险人感染艾滋病病毒但符合本附加合同</w:t>
      </w:r>
      <w:r>
        <w:rPr>
          <w:rFonts w:ascii="Times New Roman" w:hAnsi="Times New Roman" w:eastAsia="Times New Roman"/>
        </w:rPr>
        <w:t>“</w:t>
      </w:r>
      <w:r>
        <w:rPr>
          <w:rFonts w:ascii="黑体" w:hAnsi="黑体" w:eastAsia="黑体" w:hint="eastAsia"/>
        </w:rPr>
        <w:t>经输血导致的人类免疫缺陷病毒感染</w:t>
      </w:r>
      <w:r>
        <w:rPr>
          <w:rFonts w:ascii="Times New Roman" w:hAnsi="Times New Roman" w:eastAsia="Times New Roman"/>
        </w:rPr>
        <w:t>”</w:t>
      </w:r>
      <w:r>
        <w:rPr>
          <w:rFonts w:ascii="黑体" w:hAnsi="黑体" w:eastAsia="黑体" w:hint="eastAsia"/>
        </w:rPr>
        <w:t>定义的不在此</w:t>
      </w:r>
    </w:p>
    <w:p>
      <w:pPr>
        <w:pStyle w:val="BodyText"/>
        <w:spacing w:before="1"/>
        <w:ind w:left="2716"/>
        <w:rPr>
          <w:rFonts w:ascii="黑体" w:eastAsia="黑体" w:hint="eastAsia"/>
        </w:rPr>
      </w:pPr>
      <w:r>
        <w:rPr>
          <w:rFonts w:ascii="黑体" w:eastAsia="黑体" w:hint="eastAsia"/>
        </w:rPr>
        <w:t>限）；</w:t>
      </w:r>
    </w:p>
    <w:p>
      <w:pPr>
        <w:pStyle w:val="BodyText"/>
        <w:spacing w:before="24"/>
        <w:ind w:left="2190"/>
        <w:rPr>
          <w:rFonts w:ascii="黑体" w:eastAsia="黑体" w:hint="eastAsia"/>
        </w:rPr>
      </w:pPr>
      <w:r>
        <w:rPr>
          <w:rFonts w:ascii="黑体" w:eastAsia="黑体" w:hint="eastAsia"/>
        </w:rPr>
        <w:t>（</w:t>
      </w:r>
      <w:r>
        <w:rPr>
          <w:rFonts w:ascii="Times New Roman" w:eastAsia="Times New Roman"/>
        </w:rPr>
        <w:t>8</w:t>
      </w:r>
      <w:r>
        <w:rPr>
          <w:rFonts w:ascii="黑体" w:eastAsia="黑体" w:hint="eastAsia"/>
        </w:rPr>
        <w:t>）被保险人从事或参加任何</w:t>
      </w:r>
      <w:r>
        <w:rPr>
          <w:rFonts w:ascii="黑体" w:eastAsia="黑体" w:hint="eastAsia"/>
          <w:b/>
        </w:rPr>
        <w:t>潜水</w:t>
      </w:r>
      <w:r>
        <w:rPr>
          <w:rFonts w:ascii="黑体" w:eastAsia="黑体" w:hint="eastAsia"/>
        </w:rPr>
        <w:t>（见 </w:t>
      </w:r>
      <w:r>
        <w:rPr>
          <w:rFonts w:ascii="Times New Roman" w:eastAsia="Times New Roman"/>
        </w:rPr>
        <w:t>6.5</w:t>
      </w:r>
      <w:r>
        <w:rPr>
          <w:rFonts w:ascii="黑体" w:eastAsia="黑体" w:hint="eastAsia"/>
        </w:rPr>
        <w:t>）、</w:t>
      </w:r>
      <w:r>
        <w:rPr>
          <w:rFonts w:ascii="黑体" w:eastAsia="黑体" w:hint="eastAsia"/>
          <w:b/>
        </w:rPr>
        <w:t>空中运动</w:t>
      </w:r>
      <w:r>
        <w:rPr>
          <w:rFonts w:ascii="黑体" w:eastAsia="黑体" w:hint="eastAsia"/>
        </w:rPr>
        <w:t>（见 </w:t>
      </w:r>
      <w:r>
        <w:rPr>
          <w:rFonts w:ascii="Times New Roman" w:eastAsia="Times New Roman"/>
        </w:rPr>
        <w:t>6.6</w:t>
      </w:r>
      <w:r>
        <w:rPr>
          <w:rFonts w:ascii="黑体" w:eastAsia="黑体" w:hint="eastAsia"/>
        </w:rPr>
        <w:t>）、</w:t>
      </w:r>
      <w:r>
        <w:rPr>
          <w:rFonts w:ascii="黑体" w:eastAsia="黑体" w:hint="eastAsia"/>
          <w:b/>
        </w:rPr>
        <w:t>攀岩</w:t>
      </w:r>
      <w:r>
        <w:rPr>
          <w:rFonts w:ascii="黑体" w:eastAsia="黑体" w:hint="eastAsia"/>
        </w:rPr>
        <w:t>（见</w:t>
      </w:r>
    </w:p>
    <w:p>
      <w:pPr>
        <w:pStyle w:val="BodyText"/>
        <w:spacing w:line="247" w:lineRule="auto" w:before="8"/>
        <w:ind w:left="2681" w:right="102"/>
        <w:rPr>
          <w:rFonts w:ascii="黑体" w:eastAsia="黑体" w:hint="eastAsia"/>
        </w:rPr>
      </w:pPr>
      <w:r>
        <w:rPr>
          <w:rFonts w:ascii="Times New Roman" w:eastAsia="Times New Roman"/>
          <w:spacing w:val="-5"/>
        </w:rPr>
        <w:t>6.7</w:t>
      </w:r>
      <w:r>
        <w:rPr>
          <w:rFonts w:ascii="黑体" w:eastAsia="黑体" w:hint="eastAsia"/>
          <w:spacing w:val="-5"/>
        </w:rPr>
        <w:t>）</w:t>
      </w:r>
      <w:r>
        <w:rPr>
          <w:rFonts w:ascii="黑体" w:eastAsia="黑体" w:hint="eastAsia"/>
          <w:spacing w:val="-17"/>
        </w:rPr>
        <w:t>、</w:t>
      </w:r>
      <w:r>
        <w:rPr>
          <w:rFonts w:ascii="黑体" w:eastAsia="黑体" w:hint="eastAsia"/>
          <w:b/>
          <w:spacing w:val="-9"/>
        </w:rPr>
        <w:t>探险</w:t>
      </w:r>
      <w:r>
        <w:rPr>
          <w:rFonts w:ascii="黑体" w:eastAsia="黑体" w:hint="eastAsia"/>
        </w:rPr>
        <w:t>（</w:t>
      </w:r>
      <w:r>
        <w:rPr>
          <w:rFonts w:ascii="黑体" w:eastAsia="黑体" w:hint="eastAsia"/>
          <w:spacing w:val="-26"/>
        </w:rPr>
        <w:t>见 </w:t>
      </w:r>
      <w:r>
        <w:rPr>
          <w:rFonts w:ascii="Times New Roman" w:eastAsia="Times New Roman"/>
          <w:spacing w:val="-5"/>
        </w:rPr>
        <w:t>6.8</w:t>
      </w:r>
      <w:r>
        <w:rPr>
          <w:rFonts w:ascii="黑体" w:eastAsia="黑体" w:hint="eastAsia"/>
          <w:spacing w:val="-5"/>
        </w:rPr>
        <w:t>）</w:t>
      </w:r>
      <w:r>
        <w:rPr>
          <w:rFonts w:ascii="黑体" w:eastAsia="黑体" w:hint="eastAsia"/>
          <w:spacing w:val="-9"/>
        </w:rPr>
        <w:t>、摔跤、</w:t>
      </w:r>
      <w:r>
        <w:rPr>
          <w:rFonts w:ascii="黑体" w:eastAsia="黑体" w:hint="eastAsia"/>
          <w:b/>
          <w:spacing w:val="-9"/>
        </w:rPr>
        <w:t>武术</w:t>
      </w:r>
      <w:r>
        <w:rPr>
          <w:rFonts w:ascii="黑体" w:eastAsia="黑体" w:hint="eastAsia"/>
        </w:rPr>
        <w:t>（</w:t>
      </w:r>
      <w:r>
        <w:rPr>
          <w:rFonts w:ascii="黑体" w:eastAsia="黑体" w:hint="eastAsia"/>
          <w:spacing w:val="-26"/>
        </w:rPr>
        <w:t>见 </w:t>
      </w:r>
      <w:r>
        <w:rPr>
          <w:rFonts w:ascii="Times New Roman" w:eastAsia="Times New Roman"/>
          <w:spacing w:val="-5"/>
        </w:rPr>
        <w:t>6.9</w:t>
      </w:r>
      <w:r>
        <w:rPr>
          <w:rFonts w:ascii="黑体" w:eastAsia="黑体" w:hint="eastAsia"/>
          <w:spacing w:val="-5"/>
        </w:rPr>
        <w:t>）</w:t>
      </w:r>
      <w:r>
        <w:rPr>
          <w:rFonts w:ascii="黑体" w:eastAsia="黑体" w:hint="eastAsia"/>
          <w:spacing w:val="-18"/>
        </w:rPr>
        <w:t>、</w:t>
      </w:r>
      <w:r>
        <w:rPr>
          <w:rFonts w:ascii="黑体" w:eastAsia="黑体" w:hint="eastAsia"/>
          <w:b/>
          <w:spacing w:val="-4"/>
        </w:rPr>
        <w:t>特技表演</w:t>
      </w:r>
      <w:r>
        <w:rPr>
          <w:rFonts w:ascii="黑体" w:eastAsia="黑体" w:hint="eastAsia"/>
        </w:rPr>
        <w:t>（</w:t>
      </w:r>
      <w:r>
        <w:rPr>
          <w:rFonts w:ascii="黑体" w:eastAsia="黑体" w:hint="eastAsia"/>
          <w:spacing w:val="-26"/>
        </w:rPr>
        <w:t>见 </w:t>
      </w:r>
      <w:r>
        <w:rPr>
          <w:rFonts w:ascii="Times New Roman" w:eastAsia="Times New Roman"/>
          <w:spacing w:val="-4"/>
        </w:rPr>
        <w:t>6.10</w:t>
      </w:r>
      <w:r>
        <w:rPr>
          <w:rFonts w:ascii="黑体" w:eastAsia="黑体" w:hint="eastAsia"/>
          <w:spacing w:val="-4"/>
        </w:rPr>
        <w:t>）</w:t>
      </w:r>
      <w:r>
        <w:rPr>
          <w:rFonts w:ascii="黑体" w:eastAsia="黑体" w:hint="eastAsia"/>
          <w:spacing w:val="-5"/>
        </w:rPr>
        <w:t>、赛马、赛车及其他高危险活动或高危险运动；</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9</w:t>
      </w:r>
      <w:r>
        <w:rPr>
          <w:rFonts w:ascii="黑体" w:eastAsia="黑体" w:hint="eastAsia"/>
        </w:rPr>
        <w:t>）战争、军事冲突、暴乱或武装叛乱；</w:t>
      </w:r>
    </w:p>
    <w:p>
      <w:pPr>
        <w:pStyle w:val="BodyText"/>
        <w:spacing w:before="9"/>
        <w:ind w:left="2190"/>
        <w:rPr>
          <w:rFonts w:ascii="黑体" w:eastAsia="黑体" w:hint="eastAsia"/>
        </w:rPr>
      </w:pPr>
      <w:r>
        <w:rPr>
          <w:rFonts w:ascii="黑体" w:eastAsia="黑体" w:hint="eastAsia"/>
        </w:rPr>
        <w:t>（</w:t>
      </w:r>
      <w:r>
        <w:rPr>
          <w:rFonts w:ascii="Times New Roman" w:eastAsia="Times New Roman"/>
        </w:rPr>
        <w:t>10</w:t>
      </w:r>
      <w:r>
        <w:rPr>
          <w:rFonts w:ascii="黑体" w:eastAsia="黑体" w:hint="eastAsia"/>
        </w:rPr>
        <w:t>）核爆炸、核辐射或核污染。</w:t>
      </w:r>
    </w:p>
    <w:p>
      <w:pPr>
        <w:pStyle w:val="BodyText"/>
        <w:spacing w:line="261" w:lineRule="auto" w:before="9"/>
        <w:ind w:left="2191" w:right="207"/>
        <w:rPr>
          <w:rFonts w:ascii="黑体" w:eastAsia="黑体" w:hint="eastAsia"/>
        </w:rPr>
      </w:pPr>
      <w:r>
        <w:rPr>
          <w:rFonts w:ascii="黑体" w:eastAsia="黑体" w:hint="eastAsia"/>
        </w:rPr>
        <w:t>发Th</w:t>
      </w:r>
      <w:r>
        <w:rPr>
          <w:rFonts w:ascii="黑体" w:eastAsia="黑体" w:hint="eastAsia"/>
          <w:spacing w:val="-6"/>
        </w:rPr>
        <w:t>上述第（1）项情形，本附加合同终止，我们向重大疾病保险金受益人退还本附加合同的</w:t>
      </w:r>
      <w:r>
        <w:rPr>
          <w:rFonts w:ascii="黑体" w:eastAsia="黑体" w:hint="eastAsia"/>
          <w:b/>
          <w:spacing w:val="-6"/>
        </w:rPr>
        <w:t>现金价值</w:t>
      </w:r>
      <w:r>
        <w:rPr>
          <w:rFonts w:ascii="黑体" w:eastAsia="黑体" w:hint="eastAsia"/>
          <w:spacing w:val="-6"/>
        </w:rPr>
        <w:t>（</w:t>
      </w:r>
      <w:r>
        <w:rPr>
          <w:rFonts w:ascii="黑体" w:eastAsia="黑体" w:hint="eastAsia"/>
          <w:spacing w:val="-31"/>
        </w:rPr>
        <w:t>见 </w:t>
      </w:r>
      <w:r>
        <w:rPr>
          <w:rFonts w:ascii="Times New Roman" w:eastAsia="Times New Roman"/>
        </w:rPr>
        <w:t>6.11</w:t>
      </w:r>
      <w:r>
        <w:rPr>
          <w:rFonts w:ascii="黑体" w:eastAsia="黑体" w:hint="eastAsia"/>
        </w:rPr>
        <w:t>）。</w:t>
      </w:r>
    </w:p>
    <w:p>
      <w:pPr>
        <w:pStyle w:val="BodyText"/>
        <w:spacing w:line="263" w:lineRule="exact"/>
        <w:ind w:left="2190"/>
        <w:rPr>
          <w:rFonts w:ascii="黑体" w:eastAsia="黑体" w:hint="eastAsia"/>
        </w:rPr>
      </w:pPr>
      <w:r>
        <w:rPr>
          <w:rFonts w:ascii="黑体" w:eastAsia="黑体" w:hint="eastAsia"/>
        </w:rPr>
        <w:t>发Th上述其他情形，本附加合同终止，我们向您退还本附加合同的现金价值。</w:t>
      </w:r>
    </w:p>
    <w:p>
      <w:pPr>
        <w:pStyle w:val="BodyText"/>
        <w:spacing w:before="1"/>
        <w:rPr>
          <w:rFonts w:ascii="黑体"/>
          <w:sz w:val="9"/>
        </w:rPr>
      </w:pPr>
      <w:r>
        <w:rPr/>
        <w:pict>
          <v:shape style="position:absolute;margin-left:63pt;margin-top:7.168686pt;width:479.2pt;height:15pt;mso-position-horizontal-relative:page;mso-position-vertical-relative:paragraph;z-index:1096;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420" w:bottom="280" w:left="1160" w:right="960"/>
        </w:sectPr>
      </w:pPr>
    </w:p>
    <w:p>
      <w:pPr>
        <w:pStyle w:val="ListParagraph"/>
        <w:numPr>
          <w:ilvl w:val="1"/>
          <w:numId w:val="5"/>
        </w:numPr>
        <w:tabs>
          <w:tab w:pos="943" w:val="left" w:leader="none"/>
        </w:tabs>
        <w:spacing w:line="247" w:lineRule="auto" w:before="23" w:after="0"/>
        <w:ind w:left="942" w:right="0" w:hanging="734"/>
        <w:jc w:val="both"/>
        <w:rPr>
          <w:b/>
          <w:sz w:val="21"/>
        </w:rPr>
      </w:pPr>
      <w:r>
        <w:rPr>
          <w:b/>
          <w:sz w:val="21"/>
        </w:rPr>
        <w:t>保险费的交纳</w:t>
      </w:r>
    </w:p>
    <w:p>
      <w:pPr>
        <w:pStyle w:val="ListParagraph"/>
        <w:numPr>
          <w:ilvl w:val="1"/>
          <w:numId w:val="5"/>
        </w:numPr>
        <w:tabs>
          <w:tab w:pos="943" w:val="left" w:leader="none"/>
        </w:tabs>
        <w:spacing w:line="254" w:lineRule="auto" w:before="131" w:after="0"/>
        <w:ind w:left="942" w:right="0" w:hanging="735"/>
        <w:jc w:val="both"/>
        <w:rPr>
          <w:b/>
          <w:sz w:val="21"/>
        </w:rPr>
      </w:pPr>
      <w:r>
        <w:rPr>
          <w:b/>
          <w:sz w:val="21"/>
        </w:rPr>
        <w:t>您解除合同的手续及风险</w:t>
      </w:r>
    </w:p>
    <w:p>
      <w:pPr>
        <w:pStyle w:val="BodyText"/>
        <w:spacing w:before="23"/>
        <w:ind w:left="207"/>
      </w:pPr>
      <w:r>
        <w:rPr/>
        <w:br w:type="column"/>
      </w:r>
      <w:r>
        <w:rPr/>
        <w:t>本附加合同保险费的交纳方式与主合同相同。</w:t>
      </w:r>
    </w:p>
    <w:p>
      <w:pPr>
        <w:pStyle w:val="BodyText"/>
        <w:rPr>
          <w:sz w:val="20"/>
        </w:rPr>
      </w:pPr>
    </w:p>
    <w:p>
      <w:pPr>
        <w:pStyle w:val="BodyText"/>
        <w:spacing w:line="273" w:lineRule="auto" w:before="166"/>
        <w:ind w:left="207" w:right="242"/>
      </w:pPr>
      <w:r>
        <w:rPr/>
        <w:t>若您在犹豫期后申请解除本附加合同，请填写解除合同申请书并向我们提供下列资料：</w:t>
      </w:r>
    </w:p>
    <w:p>
      <w:pPr>
        <w:pStyle w:val="BodyText"/>
        <w:spacing w:before="7"/>
        <w:ind w:left="207"/>
      </w:pPr>
      <w:r>
        <w:rPr/>
        <w:t>（</w:t>
      </w:r>
      <w:r>
        <w:rPr>
          <w:rFonts w:ascii="Times New Roman" w:eastAsia="Times New Roman"/>
        </w:rPr>
        <w:t>1</w:t>
      </w:r>
      <w:r>
        <w:rPr/>
        <w:t>）保险合同；</w:t>
      </w:r>
    </w:p>
    <w:p>
      <w:pPr>
        <w:pStyle w:val="BodyText"/>
        <w:spacing w:before="21"/>
        <w:ind w:left="207"/>
      </w:pPr>
      <w:r>
        <w:rPr/>
        <w:t>（</w:t>
      </w:r>
      <w:r>
        <w:rPr>
          <w:rFonts w:ascii="Times New Roman" w:eastAsia="Times New Roman"/>
        </w:rPr>
        <w:t>2</w:t>
      </w:r>
      <w:r>
        <w:rPr/>
        <w:t>）您的有效身份证件。</w:t>
      </w:r>
    </w:p>
    <w:p>
      <w:pPr>
        <w:pStyle w:val="BodyText"/>
        <w:spacing w:line="261" w:lineRule="auto" w:before="30"/>
        <w:ind w:left="208" w:right="243"/>
      </w:pPr>
      <w:r>
        <w:rPr/>
        <w:t>自我们收到解除合同申请书时起，本附加合同终止。我们自收到解除合同申请书之日起 </w:t>
      </w:r>
      <w:r>
        <w:rPr>
          <w:rFonts w:ascii="Times New Roman" w:eastAsia="Times New Roman"/>
        </w:rPr>
        <w:t>30 </w:t>
      </w:r>
      <w:r>
        <w:rPr/>
        <w:t>日内向您退还本附加合同的现金价值。</w:t>
      </w:r>
    </w:p>
    <w:p>
      <w:pPr>
        <w:pStyle w:val="BodyText"/>
        <w:spacing w:line="263" w:lineRule="exact"/>
        <w:ind w:left="208"/>
      </w:pPr>
      <w:r>
        <w:rPr/>
        <w:t>您犹豫期后解除本附加合同会遭受一定损失。</w:t>
      </w:r>
    </w:p>
    <w:p>
      <w:pPr>
        <w:spacing w:after="0" w:line="263" w:lineRule="exact"/>
        <w:sectPr>
          <w:type w:val="continuous"/>
          <w:pgSz w:w="11910" w:h="16840"/>
          <w:pgMar w:top="1380" w:bottom="280" w:left="1160" w:right="960"/>
          <w:cols w:num="2" w:equalWidth="0">
            <w:col w:w="1788" w:space="195"/>
            <w:col w:w="7807"/>
          </w:cols>
        </w:sectPr>
      </w:pPr>
    </w:p>
    <w:p>
      <w:pPr>
        <w:pStyle w:val="ListParagraph"/>
        <w:numPr>
          <w:ilvl w:val="1"/>
          <w:numId w:val="5"/>
        </w:numPr>
        <w:tabs>
          <w:tab w:pos="942" w:val="left" w:leader="none"/>
          <w:tab w:pos="943" w:val="left" w:leader="none"/>
          <w:tab w:pos="2190" w:val="left" w:leader="none"/>
        </w:tabs>
        <w:spacing w:line="240" w:lineRule="auto" w:before="140" w:after="0"/>
        <w:ind w:left="942" w:right="0" w:hanging="734"/>
        <w:jc w:val="left"/>
        <w:rPr>
          <w:sz w:val="21"/>
        </w:rPr>
      </w:pPr>
      <w:r>
        <w:rPr>
          <w:b/>
          <w:sz w:val="21"/>
        </w:rPr>
        <w:t>效力终止</w:t>
        <w:tab/>
      </w:r>
      <w:r>
        <w:rPr>
          <w:sz w:val="21"/>
        </w:rPr>
        <w:t>当发生下列情形之一时，本附加合同效力自动终止：</w:t>
      </w:r>
    </w:p>
    <w:p>
      <w:pPr>
        <w:pStyle w:val="BodyText"/>
        <w:spacing w:before="9"/>
        <w:ind w:left="2190"/>
      </w:pPr>
      <w:r>
        <w:rPr/>
        <w:t>（</w:t>
      </w:r>
      <w:r>
        <w:rPr>
          <w:rFonts w:ascii="Times New Roman" w:eastAsia="Times New Roman"/>
        </w:rPr>
        <w:t>1</w:t>
      </w:r>
      <w:r>
        <w:rPr/>
        <w:t>）主合同效力终止；</w:t>
      </w:r>
    </w:p>
    <w:p>
      <w:pPr>
        <w:pStyle w:val="BodyText"/>
        <w:spacing w:before="9"/>
        <w:ind w:left="2190"/>
      </w:pPr>
      <w:r>
        <w:rPr/>
        <w:t>（</w:t>
      </w:r>
      <w:r>
        <w:rPr>
          <w:rFonts w:ascii="Times New Roman" w:eastAsia="Times New Roman"/>
        </w:rPr>
        <w:t>2</w:t>
      </w:r>
      <w:r>
        <w:rPr/>
        <w:t>）因本附加合同条款所列其他情况而终止。</w:t>
      </w:r>
    </w:p>
    <w:p>
      <w:pPr>
        <w:pStyle w:val="BodyText"/>
        <w:spacing w:before="11"/>
        <w:rPr>
          <w:sz w:val="7"/>
        </w:rPr>
      </w:pPr>
      <w:r>
        <w:rPr/>
        <w:pict>
          <v:shape style="position:absolute;margin-left:63pt;margin-top:6.369817pt;width:479.2pt;height:15pt;mso-position-horizontal-relative:page;mso-position-vertical-relative:paragraph;z-index:1120;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42" w:val="left" w:leader="none"/>
          <w:tab w:pos="943" w:val="left" w:leader="none"/>
          <w:tab w:pos="2190" w:val="left" w:leader="none"/>
        </w:tabs>
        <w:spacing w:line="240" w:lineRule="auto" w:before="82" w:after="0"/>
        <w:ind w:left="942" w:right="0" w:hanging="734"/>
        <w:jc w:val="left"/>
        <w:rPr>
          <w:sz w:val="21"/>
        </w:rPr>
      </w:pPr>
      <w:r>
        <w:rPr>
          <w:b/>
          <w:sz w:val="21"/>
        </w:rPr>
        <w:t>受益人</w:t>
        <w:tab/>
      </w:r>
      <w:r>
        <w:rPr>
          <w:position w:val="1"/>
          <w:sz w:val="21"/>
        </w:rPr>
        <w:t>除本附加合同另有指定外，重大疾病保险金受益人为被保险人本人。</w:t>
      </w:r>
    </w:p>
    <w:p>
      <w:pPr>
        <w:pStyle w:val="BodyText"/>
        <w:spacing w:before="11"/>
        <w:ind w:left="2190"/>
      </w:pPr>
      <w:r>
        <w:rPr/>
        <w:t>被保险人身故后，有下列情形之一的，保险金作为被保险人的遗产，由我们依照</w:t>
      </w:r>
    </w:p>
    <w:p>
      <w:pPr>
        <w:pStyle w:val="BodyText"/>
        <w:spacing w:before="37"/>
        <w:ind w:left="2190"/>
      </w:pPr>
      <w:r>
        <w:rPr/>
        <w:t>《中华人民共和国继承法》的规定履行给付保险金的义务：</w:t>
      </w:r>
    </w:p>
    <w:p>
      <w:pPr>
        <w:pStyle w:val="BodyText"/>
        <w:spacing w:before="37"/>
        <w:ind w:left="2190"/>
      </w:pPr>
      <w:r>
        <w:rPr/>
        <w:t>（</w:t>
      </w:r>
      <w:r>
        <w:rPr>
          <w:rFonts w:ascii="Times New Roman" w:eastAsia="Times New Roman"/>
        </w:rPr>
        <w:t>1</w:t>
      </w:r>
      <w:r>
        <w:rPr/>
        <w:t>）没有指定受益人，或者受益人指定不明无法确定的；</w:t>
      </w:r>
    </w:p>
    <w:p>
      <w:pPr>
        <w:pStyle w:val="BodyText"/>
        <w:spacing w:before="21"/>
        <w:ind w:left="2190"/>
      </w:pPr>
      <w:r>
        <w:rPr/>
        <w:t>（</w:t>
      </w:r>
      <w:r>
        <w:rPr>
          <w:rFonts w:ascii="Times New Roman" w:eastAsia="Times New Roman"/>
        </w:rPr>
        <w:t>2</w:t>
      </w:r>
      <w:r>
        <w:rPr/>
        <w:t>）受益人先于被保险人身故，没有其他受益人的；</w:t>
      </w:r>
    </w:p>
    <w:p>
      <w:pPr>
        <w:pStyle w:val="BodyText"/>
        <w:spacing w:before="21"/>
        <w:ind w:left="2190"/>
      </w:pPr>
      <w:r>
        <w:rPr/>
        <w:t>（</w:t>
      </w:r>
      <w:r>
        <w:rPr>
          <w:rFonts w:ascii="Times New Roman" w:eastAsia="Times New Roman"/>
        </w:rPr>
        <w:t>3</w:t>
      </w:r>
      <w:r>
        <w:rPr/>
        <w:t>）受益人依法丧失受益权或者放弃受益权，没有其他受益人的。</w:t>
      </w:r>
    </w:p>
    <w:p>
      <w:pPr>
        <w:pStyle w:val="BodyText"/>
        <w:spacing w:line="273" w:lineRule="auto" w:before="21"/>
        <w:ind w:left="2190" w:right="207"/>
      </w:pPr>
      <w:r>
        <w:rPr/>
        <w:t>受益人与被保险人在同一事件中身故，且不能确定身故顺序的，推定受益人身故在先。</w:t>
      </w:r>
    </w:p>
    <w:p>
      <w:pPr>
        <w:pStyle w:val="BodyText"/>
        <w:spacing w:line="261" w:lineRule="auto" w:before="17"/>
        <w:ind w:left="2190" w:right="241"/>
      </w:pPr>
      <w:r>
        <w:rPr/>
        <w:t>受益人故意造成被保险人身故、伤残、疾病的，或者故意杀害被保险人未遂的， 该受益人丧失受益权。</w:t>
      </w:r>
    </w:p>
    <w:p>
      <w:pPr>
        <w:spacing w:after="0" w:line="261" w:lineRule="auto"/>
        <w:sectPr>
          <w:type w:val="continuous"/>
          <w:pgSz w:w="11910" w:h="16840"/>
          <w:pgMar w:top="1380" w:bottom="280" w:left="1160" w:right="960"/>
        </w:sectPr>
      </w:pPr>
    </w:p>
    <w:p>
      <w:pPr>
        <w:pStyle w:val="Heading2"/>
        <w:numPr>
          <w:ilvl w:val="1"/>
          <w:numId w:val="6"/>
        </w:numPr>
        <w:tabs>
          <w:tab w:pos="942" w:val="left" w:leader="none"/>
          <w:tab w:pos="943" w:val="left" w:leader="none"/>
        </w:tabs>
        <w:spacing w:line="247" w:lineRule="auto" w:before="119" w:after="0"/>
        <w:ind w:left="942" w:right="0" w:hanging="734"/>
        <w:jc w:val="left"/>
      </w:pPr>
      <w:r>
        <w:rPr/>
        <w:t>保险金申请</w:t>
      </w:r>
    </w:p>
    <w:p>
      <w:pPr>
        <w:spacing w:line="196" w:lineRule="auto" w:before="131"/>
        <w:ind w:left="942" w:right="1" w:firstLine="0"/>
        <w:jc w:val="left"/>
        <w:rPr>
          <w:rFonts w:ascii="Microsoft JhengHei" w:eastAsia="Microsoft JhengHei" w:hint="eastAsia"/>
          <w:b/>
          <w:sz w:val="21"/>
        </w:rPr>
      </w:pPr>
      <w:r>
        <w:rPr>
          <w:rFonts w:ascii="Microsoft JhengHei" w:eastAsia="Microsoft JhengHei" w:hint="eastAsia"/>
          <w:b/>
          <w:sz w:val="21"/>
        </w:rPr>
        <w:t>重大疾病保险金申</w:t>
      </w:r>
    </w:p>
    <w:p>
      <w:pPr>
        <w:pStyle w:val="BodyText"/>
        <w:spacing w:before="119"/>
        <w:ind w:left="208"/>
      </w:pPr>
      <w:r>
        <w:rPr/>
        <w:br w:type="column"/>
      </w:r>
      <w:r>
        <w:rPr/>
        <w:t>在申请保险金时，请按照下列方式办理：</w:t>
      </w:r>
    </w:p>
    <w:p>
      <w:pPr>
        <w:pStyle w:val="BodyText"/>
        <w:rPr>
          <w:sz w:val="20"/>
        </w:rPr>
      </w:pPr>
    </w:p>
    <w:p>
      <w:pPr>
        <w:pStyle w:val="BodyText"/>
        <w:spacing w:line="261" w:lineRule="auto" w:before="176"/>
        <w:ind w:left="208" w:right="158"/>
      </w:pPr>
      <w:r>
        <w:rPr/>
        <w:t>在申请重大疾病保险金时，申请人须填写保险金给付申请书，并提供下列证明和资料：</w:t>
      </w:r>
    </w:p>
    <w:p>
      <w:pPr>
        <w:spacing w:after="0" w:line="261" w:lineRule="auto"/>
        <w:sectPr>
          <w:type w:val="continuous"/>
          <w:pgSz w:w="11910" w:h="16840"/>
          <w:pgMar w:top="1380" w:bottom="280" w:left="1160" w:right="960"/>
          <w:cols w:num="2" w:equalWidth="0">
            <w:col w:w="1788" w:space="195"/>
            <w:col w:w="7807"/>
          </w:cols>
        </w:sectPr>
      </w:pPr>
    </w:p>
    <w:p>
      <w:pPr>
        <w:pStyle w:val="BodyText"/>
        <w:tabs>
          <w:tab w:pos="2190" w:val="left" w:leader="none"/>
        </w:tabs>
        <w:spacing w:line="320" w:lineRule="exact"/>
        <w:ind w:left="942"/>
      </w:pPr>
      <w:r>
        <w:rPr>
          <w:rFonts w:ascii="Microsoft JhengHei" w:eastAsia="Microsoft JhengHei" w:hint="eastAsia"/>
          <w:b/>
          <w:position w:val="1"/>
        </w:rPr>
        <w:t>请</w:t>
        <w:tab/>
      </w:r>
      <w:r>
        <w:rPr>
          <w:spacing w:val="-1"/>
        </w:rPr>
        <w:t>（</w:t>
      </w:r>
      <w:r>
        <w:rPr>
          <w:rFonts w:ascii="Times New Roman" w:eastAsia="Times New Roman"/>
          <w:spacing w:val="-1"/>
        </w:rPr>
        <w:t>1</w:t>
      </w:r>
      <w:r>
        <w:rPr>
          <w:spacing w:val="-1"/>
        </w:rPr>
        <w:t>）</w:t>
      </w:r>
      <w:r>
        <w:rPr/>
        <w:t>保险合同；</w:t>
      </w:r>
    </w:p>
    <w:p>
      <w:pPr>
        <w:pStyle w:val="BodyText"/>
        <w:spacing w:before="23"/>
        <w:ind w:left="2190"/>
      </w:pPr>
      <w:r>
        <w:rPr/>
        <w:t>（</w:t>
      </w:r>
      <w:r>
        <w:rPr>
          <w:rFonts w:ascii="Times New Roman" w:eastAsia="Times New Roman"/>
        </w:rPr>
        <w:t>2</w:t>
      </w:r>
      <w:r>
        <w:rPr/>
        <w:t>）申请人的有效身份证件；</w:t>
      </w:r>
    </w:p>
    <w:p>
      <w:pPr>
        <w:pStyle w:val="BodyText"/>
        <w:spacing w:line="254" w:lineRule="auto" w:before="25"/>
        <w:ind w:left="2716" w:right="205" w:hanging="526"/>
        <w:jc w:val="both"/>
      </w:pPr>
      <w:r>
        <w:rPr>
          <w:spacing w:val="-7"/>
        </w:rPr>
        <w:t>（</w:t>
      </w:r>
      <w:r>
        <w:rPr>
          <w:rFonts w:ascii="Times New Roman" w:eastAsia="Times New Roman"/>
          <w:spacing w:val="-7"/>
        </w:rPr>
        <w:t>3</w:t>
      </w:r>
      <w:r>
        <w:rPr>
          <w:spacing w:val="-7"/>
        </w:rPr>
        <w:t>）</w:t>
      </w:r>
      <w:r>
        <w:rPr>
          <w:b/>
          <w:spacing w:val="-3"/>
        </w:rPr>
        <w:t>我们认可的医院</w:t>
      </w:r>
      <w:r>
        <w:rPr/>
        <w:t>（</w:t>
      </w:r>
      <w:r>
        <w:rPr>
          <w:spacing w:val="-27"/>
        </w:rPr>
        <w:t>见 </w:t>
      </w:r>
      <w:r>
        <w:rPr>
          <w:rFonts w:ascii="Times New Roman" w:eastAsia="Times New Roman"/>
          <w:spacing w:val="-5"/>
        </w:rPr>
        <w:t>6.12</w:t>
      </w:r>
      <w:r>
        <w:rPr>
          <w:spacing w:val="-5"/>
        </w:rPr>
        <w:t>）</w:t>
      </w:r>
      <w:r>
        <w:rPr>
          <w:spacing w:val="-2"/>
        </w:rPr>
        <w:t>出具的疾病诊断证明书、病历记录和确诊疾病必</w:t>
      </w:r>
      <w:r>
        <w:rPr>
          <w:spacing w:val="-8"/>
        </w:rPr>
        <w:t>要的病理检验、血液检验、影像学检查及其他科学方法的检查报告。我们保留就疾病诊断咨询其他医疗专家的权利；</w:t>
      </w:r>
    </w:p>
    <w:p>
      <w:pPr>
        <w:pStyle w:val="BodyText"/>
        <w:spacing w:line="340" w:lineRule="auto" w:before="27"/>
        <w:ind w:left="2190" w:right="661" w:hanging="1"/>
      </w:pPr>
      <w:r>
        <w:rPr/>
        <w:t>（</w:t>
      </w:r>
      <w:r>
        <w:rPr>
          <w:rFonts w:ascii="Times New Roman" w:eastAsia="Times New Roman"/>
        </w:rPr>
        <w:t>4</w:t>
      </w:r>
      <w:r>
        <w:rPr/>
        <w:t>）所能提供的与确认保险事故的性质、原因等相关的其他证明和资料。保险金作为被保险人遗产时，必须提供可证明合法继承权的相关权利文件。</w:t>
      </w:r>
    </w:p>
    <w:p>
      <w:pPr>
        <w:pStyle w:val="BodyText"/>
        <w:spacing w:line="212" w:lineRule="exact"/>
        <w:ind w:left="2190"/>
      </w:pPr>
      <w:r>
        <w:rPr/>
        <w:t>以上证明和资料不完整的，我们将及时一次性通知申请人补充提供有关证明和资</w:t>
      </w:r>
    </w:p>
    <w:p>
      <w:pPr>
        <w:pStyle w:val="BodyText"/>
        <w:spacing w:before="26"/>
        <w:ind w:left="2190"/>
      </w:pPr>
      <w:r>
        <w:rPr/>
        <w:t>料。</w:t>
      </w:r>
    </w:p>
    <w:p>
      <w:pPr>
        <w:pStyle w:val="ListParagraph"/>
        <w:numPr>
          <w:ilvl w:val="1"/>
          <w:numId w:val="6"/>
        </w:numPr>
        <w:tabs>
          <w:tab w:pos="942" w:val="left" w:leader="none"/>
          <w:tab w:pos="943" w:val="left" w:leader="none"/>
          <w:tab w:pos="2190" w:val="left" w:leader="none"/>
        </w:tabs>
        <w:spacing w:line="247" w:lineRule="auto" w:before="138" w:after="0"/>
        <w:ind w:left="2190" w:right="241" w:hanging="1982"/>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年，自其知道或者应当知道保险事故发生之日起计算。</w:t>
      </w:r>
    </w:p>
    <w:p>
      <w:pPr>
        <w:pStyle w:val="BodyText"/>
        <w:spacing w:before="8"/>
        <w:rPr>
          <w:sz w:val="8"/>
        </w:rPr>
      </w:pPr>
      <w:r>
        <w:rPr/>
        <w:pict>
          <v:shape style="position:absolute;margin-left:63pt;margin-top:6.846728pt;width:479.2pt;height:15pt;mso-position-horizontal-relative:page;mso-position-vertical-relative:paragraph;z-index:1144;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5</w:t>
                    <w:tab/>
                  </w:r>
                  <w:r>
                    <w:rPr>
                      <w:b/>
                      <w:w w:val="95"/>
                      <w:sz w:val="21"/>
                    </w:rPr>
                    <w:t>您需要关注的其他事项</w:t>
                  </w:r>
                </w:p>
              </w:txbxContent>
            </v:textbox>
            <v:fill type="solid"/>
            <w10:wrap type="topAndBottom"/>
          </v:shape>
        </w:pict>
      </w:r>
    </w:p>
    <w:p>
      <w:pPr>
        <w:pStyle w:val="BodyText"/>
        <w:tabs>
          <w:tab w:pos="942" w:val="left" w:leader="none"/>
          <w:tab w:pos="2190" w:val="left" w:leader="none"/>
        </w:tabs>
        <w:spacing w:line="247" w:lineRule="auto" w:before="93"/>
        <w:ind w:left="2190" w:right="207" w:hanging="1983"/>
      </w:pPr>
      <w:r>
        <w:rPr>
          <w:rFonts w:ascii="Times New Roman" w:eastAsia="Times New Roman"/>
          <w:b/>
        </w:rPr>
        <w:t>5.1</w:t>
        <w:tab/>
      </w:r>
      <w:r>
        <w:rPr>
          <w:b/>
        </w:rPr>
        <w:t>投保范围</w:t>
        <w:tab/>
      </w:r>
      <w:r>
        <w:rPr/>
        <w:t>投保人：凡具有完全民事行为能力且对被保险人具有保险利益的人可作为投保人 向我们投保本保险。</w:t>
      </w:r>
    </w:p>
    <w:p>
      <w:pPr>
        <w:pStyle w:val="BodyText"/>
        <w:spacing w:before="18"/>
        <w:ind w:left="2190"/>
      </w:pPr>
      <w:r>
        <w:rPr/>
        <w:t>被保险人：凡出生满 </w:t>
      </w:r>
      <w:r>
        <w:rPr>
          <w:rFonts w:ascii="Times New Roman" w:eastAsia="Times New Roman"/>
        </w:rPr>
        <w:t>28 </w:t>
      </w:r>
      <w:r>
        <w:rPr/>
        <w:t>日至 </w:t>
      </w:r>
      <w:r>
        <w:rPr>
          <w:rFonts w:ascii="Times New Roman" w:eastAsia="Times New Roman"/>
        </w:rPr>
        <w:t>14 </w:t>
      </w:r>
      <w:r>
        <w:rPr/>
        <w:t>周岁，身体健康者均可作为被保险人。</w:t>
      </w:r>
    </w:p>
    <w:p>
      <w:pPr>
        <w:pStyle w:val="BodyText"/>
        <w:spacing w:before="5"/>
        <w:rPr>
          <w:sz w:val="10"/>
        </w:rPr>
      </w:pPr>
      <w:r>
        <w:rPr/>
        <w:pict>
          <v:shape style="position:absolute;margin-left:63pt;margin-top:8.039407pt;width:479.2pt;height:15pt;mso-position-horizontal-relative:page;mso-position-vertical-relative:paragraph;z-index:1168;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6</w:t>
                    <w:tab/>
                  </w:r>
                  <w:r>
                    <w:rPr>
                      <w:b/>
                      <w:w w:val="95"/>
                      <w:sz w:val="21"/>
                    </w:rPr>
                    <w:t>您需要了解的重要术语</w:t>
                  </w:r>
                </w:p>
              </w:txbxContent>
            </v:textbox>
            <v:fill type="solid"/>
            <w10:wrap type="topAndBottom"/>
          </v:shape>
        </w:pict>
      </w:r>
    </w:p>
    <w:p>
      <w:pPr>
        <w:pStyle w:val="ListParagraph"/>
        <w:numPr>
          <w:ilvl w:val="1"/>
          <w:numId w:val="7"/>
        </w:numPr>
        <w:tabs>
          <w:tab w:pos="926" w:val="left" w:leader="none"/>
          <w:tab w:pos="927" w:val="left" w:leader="none"/>
          <w:tab w:pos="2190" w:val="left" w:leader="none"/>
        </w:tabs>
        <w:spacing w:line="240" w:lineRule="auto" w:before="92" w:after="0"/>
        <w:ind w:left="2190" w:right="0" w:hanging="1982"/>
        <w:jc w:val="left"/>
        <w:rPr>
          <w:sz w:val="21"/>
        </w:rPr>
      </w:pPr>
      <w:r>
        <w:rPr>
          <w:b/>
          <w:sz w:val="21"/>
        </w:rPr>
        <w:t>周岁</w:t>
        <w:tab/>
      </w:r>
      <w:r>
        <w:rPr>
          <w:sz w:val="21"/>
        </w:rPr>
        <w:t>以有效身份证件中记载的出生日期为基准计算。</w:t>
      </w:r>
    </w:p>
    <w:p>
      <w:pPr>
        <w:pStyle w:val="ListParagraph"/>
        <w:numPr>
          <w:ilvl w:val="1"/>
          <w:numId w:val="7"/>
        </w:numPr>
        <w:tabs>
          <w:tab w:pos="926" w:val="left" w:leader="none"/>
          <w:tab w:pos="927" w:val="left" w:leader="none"/>
          <w:tab w:pos="2190" w:val="left" w:leader="none"/>
        </w:tabs>
        <w:spacing w:line="240" w:lineRule="auto" w:before="126" w:after="0"/>
        <w:ind w:left="2190" w:right="0" w:hanging="1982"/>
        <w:jc w:val="left"/>
        <w:rPr>
          <w:sz w:val="21"/>
        </w:rPr>
      </w:pPr>
      <w:r>
        <w:rPr>
          <w:b/>
          <w:position w:val="1"/>
          <w:sz w:val="21"/>
        </w:rPr>
        <w:t>意外伤害</w:t>
        <w:tab/>
      </w:r>
      <w:r>
        <w:rPr>
          <w:sz w:val="21"/>
        </w:rPr>
        <w:t>指外来的、突发的、非本意的、非疾病的使身体受到伤害的客观事件。</w:t>
      </w:r>
    </w:p>
    <w:p>
      <w:pPr>
        <w:pStyle w:val="ListParagraph"/>
        <w:numPr>
          <w:ilvl w:val="1"/>
          <w:numId w:val="7"/>
        </w:numPr>
        <w:tabs>
          <w:tab w:pos="927" w:val="left" w:leader="none"/>
        </w:tabs>
        <w:spacing w:line="259" w:lineRule="auto" w:before="137" w:after="0"/>
        <w:ind w:left="2190" w:right="243" w:hanging="1982"/>
        <w:jc w:val="both"/>
        <w:rPr>
          <w:sz w:val="21"/>
        </w:rPr>
      </w:pPr>
      <w:r>
        <w:rPr>
          <w:b/>
          <w:spacing w:val="11"/>
          <w:position w:val="1"/>
          <w:sz w:val="21"/>
        </w:rPr>
        <w:t>酗酒      </w:t>
      </w:r>
      <w:r>
        <w:rPr>
          <w:sz w:val="21"/>
        </w:rPr>
        <w:t>指酒精摄入过量。长期过量饮酒导致身体脏器严重损害，或一次大量饮酒导致急性酒精中毒或自制力丧失造成自身伤害、斗殴肇事或交通肇事。酒精摄入过量由医疗机构或公安部门判定。</w:t>
      </w:r>
    </w:p>
    <w:p>
      <w:pPr>
        <w:spacing w:after="0" w:line="259" w:lineRule="auto"/>
        <w:jc w:val="both"/>
        <w:rPr>
          <w:sz w:val="21"/>
        </w:rPr>
        <w:sectPr>
          <w:pgSz w:w="11910" w:h="16840"/>
          <w:pgMar w:top="1420" w:bottom="280" w:left="1160" w:right="960"/>
        </w:sectPr>
      </w:pPr>
    </w:p>
    <w:p>
      <w:pPr>
        <w:pStyle w:val="Heading2"/>
        <w:numPr>
          <w:ilvl w:val="1"/>
          <w:numId w:val="7"/>
        </w:numPr>
        <w:tabs>
          <w:tab w:pos="927" w:val="left" w:leader="none"/>
        </w:tabs>
        <w:spacing w:line="254" w:lineRule="auto" w:before="120" w:after="0"/>
        <w:ind w:left="926" w:right="0" w:hanging="718"/>
        <w:jc w:val="both"/>
      </w:pPr>
      <w:r>
        <w:rPr>
          <w:spacing w:val="17"/>
        </w:rPr>
        <w:t>感 染艾滋</w:t>
      </w:r>
      <w:r>
        <w:rPr>
          <w:spacing w:val="21"/>
        </w:rPr>
        <w:t>病 病毒或患艾滋病</w:t>
      </w:r>
    </w:p>
    <w:p>
      <w:pPr>
        <w:pStyle w:val="BodyText"/>
        <w:spacing w:line="247" w:lineRule="auto" w:before="120"/>
        <w:ind w:left="108" w:right="207"/>
        <w:jc w:val="both"/>
      </w:pPr>
      <w:r>
        <w:rPr/>
        <w:br w:type="column"/>
      </w:r>
      <w:r>
        <w:rPr>
          <w:spacing w:val="-2"/>
        </w:rPr>
        <w:t>艾滋病病毒指人类免疫缺陷病毒，英文缩写为 </w:t>
      </w:r>
      <w:r>
        <w:rPr>
          <w:rFonts w:ascii="Times New Roman" w:eastAsia="Times New Roman"/>
        </w:rPr>
        <w:t>HIV</w:t>
      </w:r>
      <w:r>
        <w:rPr/>
        <w:t>。艾滋病指人类免疫缺陷病毒</w:t>
      </w:r>
      <w:r>
        <w:rPr>
          <w:spacing w:val="-3"/>
        </w:rPr>
        <w:t>引起的获得性免疫缺陷综合征，英文缩写为 </w:t>
      </w:r>
      <w:r>
        <w:rPr>
          <w:rFonts w:ascii="Times New Roman" w:eastAsia="Times New Roman"/>
        </w:rPr>
        <w:t>AIDS</w:t>
      </w:r>
      <w:r>
        <w:rPr/>
        <w:t>。</w:t>
      </w:r>
    </w:p>
    <w:p>
      <w:pPr>
        <w:pStyle w:val="BodyText"/>
        <w:spacing w:line="261" w:lineRule="auto" w:before="2"/>
        <w:ind w:left="108" w:right="207"/>
        <w:jc w:val="both"/>
      </w:pPr>
      <w:r>
        <w:rPr/>
        <w:t>在人体血液或其它样本中检测到艾滋病病毒或其抗体呈阳性，没有出现临床症状或体征的，为感染艾滋病病毒；若同时出现了明显临床症状或体征的，为患艾滋病。</w:t>
      </w:r>
    </w:p>
    <w:p>
      <w:pPr>
        <w:spacing w:after="0" w:line="261" w:lineRule="auto"/>
        <w:jc w:val="both"/>
        <w:sectPr>
          <w:type w:val="continuous"/>
          <w:pgSz w:w="11910" w:h="16840"/>
          <w:pgMar w:top="1380" w:bottom="280" w:left="1160" w:right="960"/>
          <w:cols w:num="2" w:equalWidth="0">
            <w:col w:w="2042" w:space="40"/>
            <w:col w:w="7708"/>
          </w:cols>
        </w:sectPr>
      </w:pPr>
    </w:p>
    <w:p>
      <w:pPr>
        <w:pStyle w:val="ListParagraph"/>
        <w:numPr>
          <w:ilvl w:val="1"/>
          <w:numId w:val="7"/>
        </w:numPr>
        <w:tabs>
          <w:tab w:pos="926" w:val="left" w:leader="none"/>
          <w:tab w:pos="927" w:val="left" w:leader="none"/>
          <w:tab w:pos="2190" w:val="left" w:leader="none"/>
        </w:tabs>
        <w:spacing w:line="240" w:lineRule="auto" w:before="119" w:after="0"/>
        <w:ind w:left="2190" w:right="0" w:hanging="1982"/>
        <w:jc w:val="left"/>
        <w:rPr>
          <w:sz w:val="21"/>
        </w:rPr>
      </w:pPr>
      <w:r>
        <w:rPr>
          <w:b/>
          <w:sz w:val="21"/>
        </w:rPr>
        <w:t>潜水</w:t>
        <w:tab/>
      </w:r>
      <w:r>
        <w:rPr>
          <w:sz w:val="21"/>
        </w:rPr>
        <w:t>指以辅助呼吸器材在江、河、湖、海、水库、运河等水域进行的水下运动。</w:t>
      </w:r>
    </w:p>
    <w:p>
      <w:pPr>
        <w:pStyle w:val="ListParagraph"/>
        <w:numPr>
          <w:ilvl w:val="1"/>
          <w:numId w:val="7"/>
        </w:numPr>
        <w:tabs>
          <w:tab w:pos="926" w:val="left" w:leader="none"/>
          <w:tab w:pos="927" w:val="left" w:leader="none"/>
          <w:tab w:pos="2190" w:val="left" w:leader="none"/>
        </w:tabs>
        <w:spacing w:line="240" w:lineRule="auto" w:before="122" w:after="0"/>
        <w:ind w:left="2190" w:right="0" w:hanging="1982"/>
        <w:jc w:val="left"/>
        <w:rPr>
          <w:sz w:val="21"/>
        </w:rPr>
      </w:pPr>
      <w:r>
        <w:rPr>
          <w:b/>
          <w:sz w:val="21"/>
        </w:rPr>
        <w:t>空中运动</w:t>
        <w:tab/>
      </w:r>
      <w:r>
        <w:rPr>
          <w:spacing w:val="-1"/>
          <w:sz w:val="21"/>
        </w:rPr>
        <w:t>指从</w:t>
      </w:r>
      <w:r>
        <w:rPr>
          <w:sz w:val="21"/>
        </w:rPr>
        <w:t>事跳伞、滑翔翼（机</w:t>
      </w:r>
      <w:r>
        <w:rPr>
          <w:spacing w:val="-105"/>
          <w:sz w:val="21"/>
        </w:rPr>
        <w:t>）</w:t>
      </w:r>
      <w:r>
        <w:rPr>
          <w:sz w:val="21"/>
        </w:rPr>
        <w:t>、蹦极、乘热气球等空中运动的训练、娱乐或表演。</w:t>
      </w:r>
    </w:p>
    <w:p>
      <w:pPr>
        <w:pStyle w:val="ListParagraph"/>
        <w:numPr>
          <w:ilvl w:val="1"/>
          <w:numId w:val="7"/>
        </w:numPr>
        <w:tabs>
          <w:tab w:pos="926" w:val="left" w:leader="none"/>
          <w:tab w:pos="927" w:val="left" w:leader="none"/>
          <w:tab w:pos="2190" w:val="left" w:leader="none"/>
        </w:tabs>
        <w:spacing w:line="240" w:lineRule="auto" w:before="122" w:after="0"/>
        <w:ind w:left="926" w:right="0" w:hanging="718"/>
        <w:jc w:val="left"/>
        <w:rPr>
          <w:sz w:val="21"/>
        </w:rPr>
      </w:pPr>
      <w:r>
        <w:rPr>
          <w:b/>
          <w:sz w:val="21"/>
        </w:rPr>
        <w:t>攀岩</w:t>
        <w:tab/>
      </w:r>
      <w:r>
        <w:rPr>
          <w:sz w:val="21"/>
        </w:rPr>
        <w:t>指攀登悬崖、建筑物外墙、人造悬崖、冰崖、冰ft等运动。</w:t>
      </w:r>
    </w:p>
    <w:p>
      <w:pPr>
        <w:pStyle w:val="ListParagraph"/>
        <w:numPr>
          <w:ilvl w:val="1"/>
          <w:numId w:val="7"/>
        </w:numPr>
        <w:tabs>
          <w:tab w:pos="926" w:val="left" w:leader="none"/>
          <w:tab w:pos="927" w:val="left" w:leader="none"/>
          <w:tab w:pos="2190" w:val="left" w:leader="none"/>
        </w:tabs>
        <w:spacing w:line="247" w:lineRule="auto" w:before="122" w:after="0"/>
        <w:ind w:left="2190" w:right="207" w:hanging="1982"/>
        <w:jc w:val="left"/>
        <w:rPr>
          <w:sz w:val="21"/>
        </w:rPr>
      </w:pPr>
      <w:r>
        <w:rPr>
          <w:b/>
          <w:sz w:val="21"/>
        </w:rPr>
        <w:t>探险</w:t>
        <w:tab/>
      </w:r>
      <w:r>
        <w:rPr>
          <w:sz w:val="21"/>
        </w:rPr>
        <w:t>指明知在某种特定的自然条件下有失去生命或使身体受到伤害的危险，而故意使 自己置身其中的行为，如：江河漂流、徒步穿越沙漠或原始森林等活动。</w:t>
      </w:r>
    </w:p>
    <w:p>
      <w:pPr>
        <w:pStyle w:val="ListParagraph"/>
        <w:numPr>
          <w:ilvl w:val="1"/>
          <w:numId w:val="7"/>
        </w:numPr>
        <w:tabs>
          <w:tab w:pos="926" w:val="left" w:leader="none"/>
          <w:tab w:pos="927" w:val="left" w:leader="none"/>
          <w:tab w:pos="2190" w:val="left" w:leader="none"/>
        </w:tabs>
        <w:spacing w:line="247" w:lineRule="auto" w:before="133" w:after="0"/>
        <w:ind w:left="2190" w:right="207" w:hanging="1982"/>
        <w:jc w:val="left"/>
        <w:rPr>
          <w:sz w:val="21"/>
        </w:rPr>
      </w:pPr>
      <w:r>
        <w:rPr>
          <w:b/>
          <w:sz w:val="21"/>
        </w:rPr>
        <w:t>武术</w:t>
        <w:tab/>
      </w:r>
      <w:r>
        <w:rPr>
          <w:sz w:val="21"/>
        </w:rPr>
        <w:t>指两人或两人以上对抗性柔道、空手道、跆拳道、散打、拳击等各种拳术及各种 使用器械的对抗性训练或比赛。</w:t>
      </w:r>
    </w:p>
    <w:p>
      <w:pPr>
        <w:pStyle w:val="ListParagraph"/>
        <w:numPr>
          <w:ilvl w:val="1"/>
          <w:numId w:val="7"/>
        </w:numPr>
        <w:tabs>
          <w:tab w:pos="926" w:val="left" w:leader="none"/>
          <w:tab w:pos="927" w:val="left" w:leader="none"/>
          <w:tab w:pos="2190" w:val="left" w:leader="none"/>
        </w:tabs>
        <w:spacing w:line="240" w:lineRule="auto" w:before="131" w:after="0"/>
        <w:ind w:left="926" w:right="0" w:hanging="718"/>
        <w:jc w:val="left"/>
        <w:rPr>
          <w:sz w:val="21"/>
        </w:rPr>
      </w:pPr>
      <w:r>
        <w:rPr>
          <w:b/>
          <w:sz w:val="21"/>
        </w:rPr>
        <w:t>特技表演</w:t>
        <w:tab/>
      </w:r>
      <w:r>
        <w:rPr>
          <w:sz w:val="21"/>
        </w:rPr>
        <w:t>指从事马术、杂技、飞车、驯兽等特殊技能训练或比赛。</w:t>
      </w:r>
    </w:p>
    <w:p>
      <w:pPr>
        <w:pStyle w:val="ListParagraph"/>
        <w:numPr>
          <w:ilvl w:val="1"/>
          <w:numId w:val="7"/>
        </w:numPr>
        <w:tabs>
          <w:tab w:pos="926" w:val="left" w:leader="none"/>
          <w:tab w:pos="927" w:val="left" w:leader="none"/>
          <w:tab w:pos="2190" w:val="left" w:leader="none"/>
        </w:tabs>
        <w:spacing w:line="247" w:lineRule="auto" w:before="121" w:after="0"/>
        <w:ind w:left="2190" w:right="241" w:hanging="1982"/>
        <w:jc w:val="left"/>
        <w:rPr>
          <w:sz w:val="21"/>
        </w:rPr>
      </w:pPr>
      <w:r>
        <w:rPr>
          <w:b/>
          <w:sz w:val="21"/>
        </w:rPr>
        <w:t>现金价值</w:t>
        <w:tab/>
      </w:r>
      <w:r>
        <w:rPr>
          <w:sz w:val="21"/>
        </w:rPr>
        <w:t>指保证现金价值。保单年度末的保证现金价值是指保险单上“现金价值表”所列明的金额。保单年度内的保证现金价值，您可以向我们咨询。</w:t>
      </w:r>
    </w:p>
    <w:p>
      <w:pPr>
        <w:spacing w:after="0" w:line="247" w:lineRule="auto"/>
        <w:jc w:val="left"/>
        <w:rPr>
          <w:sz w:val="21"/>
        </w:rPr>
        <w:sectPr>
          <w:type w:val="continuous"/>
          <w:pgSz w:w="11910" w:h="16840"/>
          <w:pgMar w:top="1380" w:bottom="280" w:left="1160" w:right="960"/>
        </w:sectPr>
      </w:pPr>
    </w:p>
    <w:p>
      <w:pPr>
        <w:pStyle w:val="Heading2"/>
        <w:numPr>
          <w:ilvl w:val="1"/>
          <w:numId w:val="7"/>
        </w:numPr>
        <w:tabs>
          <w:tab w:pos="926" w:val="left" w:leader="none"/>
          <w:tab w:pos="927" w:val="left" w:leader="none"/>
        </w:tabs>
        <w:spacing w:line="247" w:lineRule="auto" w:before="131" w:after="0"/>
        <w:ind w:left="926" w:right="0" w:hanging="718"/>
        <w:jc w:val="left"/>
      </w:pPr>
      <w:r>
        <w:rPr/>
        <w:t>我们认可的医院</w:t>
      </w:r>
    </w:p>
    <w:p>
      <w:pPr>
        <w:pStyle w:val="BodyText"/>
        <w:spacing w:line="261" w:lineRule="auto" w:before="131"/>
        <w:ind w:left="208" w:right="207"/>
        <w:jc w:val="both"/>
      </w:pPr>
      <w:r>
        <w:rPr/>
        <w:br w:type="column"/>
      </w:r>
      <w:r>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w:t>
      </w:r>
    </w:p>
    <w:p>
      <w:pPr>
        <w:spacing w:after="0" w:line="261" w:lineRule="auto"/>
        <w:jc w:val="both"/>
        <w:sectPr>
          <w:type w:val="continuous"/>
          <w:pgSz w:w="11910" w:h="16840"/>
          <w:pgMar w:top="1380" w:bottom="280" w:left="1160" w:right="960"/>
          <w:cols w:num="2" w:equalWidth="0">
            <w:col w:w="1772" w:space="210"/>
            <w:col w:w="7808"/>
          </w:cols>
        </w:sectPr>
      </w:pPr>
    </w:p>
    <w:p>
      <w:pPr>
        <w:pStyle w:val="BodyText"/>
        <w:spacing w:before="14"/>
        <w:ind w:left="2090"/>
      </w:pPr>
      <w:r>
        <w:rPr/>
        <w:t>的二级或三级医院的联合医院或联合病房。</w:t>
      </w:r>
    </w:p>
    <w:p>
      <w:pPr>
        <w:pStyle w:val="BodyText"/>
        <w:spacing w:before="5"/>
        <w:rPr>
          <w:sz w:val="22"/>
        </w:rPr>
      </w:pPr>
    </w:p>
    <w:p>
      <w:pPr>
        <w:pStyle w:val="ListParagraph"/>
        <w:numPr>
          <w:ilvl w:val="1"/>
          <w:numId w:val="7"/>
        </w:numPr>
        <w:tabs>
          <w:tab w:pos="827" w:val="left" w:leader="none"/>
        </w:tabs>
        <w:spacing w:line="247" w:lineRule="auto" w:before="0" w:after="0"/>
        <w:ind w:left="2090" w:right="107" w:hanging="1982"/>
        <w:jc w:val="both"/>
        <w:rPr>
          <w:sz w:val="21"/>
        </w:rPr>
      </w:pPr>
      <w:r>
        <w:rPr>
          <w:b/>
          <w:spacing w:val="2"/>
          <w:sz w:val="21"/>
        </w:rPr>
        <w:t>重大疾病   </w:t>
      </w:r>
      <w:r>
        <w:rPr>
          <w:sz w:val="21"/>
        </w:rPr>
        <w:t>指被保险人经我们认可的医院确诊，初次发生符合下列定义的疾病或初次接受符合下列定义的手术。</w:t>
      </w:r>
    </w:p>
    <w:p>
      <w:pPr>
        <w:pStyle w:val="ListParagraph"/>
        <w:numPr>
          <w:ilvl w:val="0"/>
          <w:numId w:val="8"/>
        </w:numPr>
        <w:tabs>
          <w:tab w:pos="826" w:val="left" w:leader="none"/>
          <w:tab w:pos="827" w:val="left" w:leader="none"/>
        </w:tabs>
        <w:spacing w:line="256" w:lineRule="auto" w:before="131" w:after="0"/>
        <w:ind w:left="2090" w:right="106" w:hanging="1982"/>
        <w:jc w:val="both"/>
        <w:rPr>
          <w:rFonts w:ascii="Times New Roman" w:eastAsia="Times New Roman"/>
          <w:sz w:val="21"/>
        </w:rPr>
      </w:pPr>
      <w:r>
        <w:rPr>
          <w:b/>
          <w:spacing w:val="2"/>
          <w:sz w:val="21"/>
        </w:rPr>
        <w:t>恶性肿瘤： </w:t>
      </w:r>
      <w:r>
        <w:rPr>
          <w:sz w:val="21"/>
        </w:rPr>
        <w:t>是指被保险人患有特征为恶性细胞不受控制的进行性生长和扩散并且浸润和破坏正常周围组织的恶性肿瘤。对该恶性肿瘤已经实施了广泛切除手术，或者已经开始了姑息性治疗。恶性肿瘤必须基于阳性的组织病理学检验结果确诊，并且归属</w:t>
      </w:r>
      <w:r>
        <w:rPr>
          <w:spacing w:val="6"/>
          <w:sz w:val="21"/>
        </w:rPr>
        <w:t>于世界卫生组织最新出版的国际疾病分类</w:t>
      </w:r>
      <w:r>
        <w:rPr>
          <w:sz w:val="21"/>
        </w:rPr>
        <w:t>（</w:t>
      </w:r>
      <w:r>
        <w:rPr>
          <w:rFonts w:ascii="Times New Roman" w:eastAsia="Times New Roman"/>
          <w:sz w:val="21"/>
        </w:rPr>
        <w:t>ICD</w:t>
      </w:r>
      <w:r>
        <w:rPr>
          <w:sz w:val="21"/>
        </w:rPr>
        <w:t>，</w:t>
      </w:r>
      <w:r>
        <w:rPr>
          <w:rFonts w:ascii="Times New Roman" w:eastAsia="Times New Roman"/>
          <w:sz w:val="21"/>
        </w:rPr>
        <w:t>International</w:t>
      </w:r>
      <w:r>
        <w:rPr>
          <w:rFonts w:ascii="Times New Roman" w:eastAsia="Times New Roman"/>
          <w:spacing w:val="11"/>
          <w:sz w:val="21"/>
        </w:rPr>
        <w:t>  </w:t>
      </w:r>
      <w:r>
        <w:rPr>
          <w:rFonts w:ascii="Times New Roman" w:eastAsia="Times New Roman"/>
          <w:sz w:val="21"/>
        </w:rPr>
        <w:t>Classification</w:t>
      </w:r>
      <w:r>
        <w:rPr>
          <w:rFonts w:ascii="Times New Roman" w:eastAsia="Times New Roman"/>
          <w:spacing w:val="11"/>
          <w:sz w:val="21"/>
        </w:rPr>
        <w:t>  </w:t>
      </w:r>
      <w:r>
        <w:rPr>
          <w:rFonts w:ascii="Times New Roman" w:eastAsia="Times New Roman"/>
          <w:sz w:val="21"/>
        </w:rPr>
        <w:t>of</w:t>
      </w:r>
    </w:p>
    <w:p>
      <w:pPr>
        <w:pStyle w:val="BodyText"/>
        <w:spacing w:line="284" w:lineRule="exact"/>
        <w:ind w:left="2090"/>
      </w:pPr>
      <w:r>
        <w:rPr>
          <w:rFonts w:ascii="Times New Roman" w:eastAsia="Times New Roman"/>
        </w:rPr>
        <w:t>Diseases</w:t>
      </w:r>
      <w:r>
        <w:rPr/>
        <w:t>）之恶性肿瘤范畴。下列肿瘤除外：</w:t>
      </w:r>
    </w:p>
    <w:p>
      <w:pPr>
        <w:pStyle w:val="BodyText"/>
        <w:spacing w:line="247" w:lineRule="auto" w:before="9"/>
        <w:ind w:left="2616" w:right="107" w:hanging="526"/>
      </w:pPr>
      <w:r>
        <w:rPr>
          <w:spacing w:val="-12"/>
        </w:rPr>
        <w:t>（</w:t>
      </w:r>
      <w:r>
        <w:rPr>
          <w:rFonts w:ascii="Times New Roman" w:eastAsia="Times New Roman"/>
          <w:spacing w:val="-12"/>
        </w:rPr>
        <w:t>1</w:t>
      </w:r>
      <w:r>
        <w:rPr>
          <w:spacing w:val="-12"/>
        </w:rPr>
        <w:t>）</w:t>
      </w:r>
      <w:r>
        <w:rPr>
          <w:spacing w:val="-2"/>
        </w:rPr>
        <w:t>白血病细胞尚在造血骨髓中未广泛播散的白血病</w:t>
      </w:r>
      <w:r>
        <w:rPr/>
        <w:t>（不包括慢性淋巴细胞性白血病</w:t>
      </w:r>
      <w:r>
        <w:rPr>
          <w:spacing w:val="-105"/>
        </w:rPr>
        <w:t>）</w:t>
      </w:r>
      <w:r>
        <w:rPr/>
        <w:t>；</w:t>
      </w:r>
    </w:p>
    <w:p>
      <w:pPr>
        <w:pStyle w:val="BodyText"/>
        <w:spacing w:before="18"/>
        <w:ind w:left="2090"/>
      </w:pPr>
      <w:r>
        <w:rPr/>
        <w:t>（</w:t>
      </w:r>
      <w:r>
        <w:rPr>
          <w:rFonts w:ascii="Times New Roman" w:eastAsia="Times New Roman"/>
        </w:rPr>
        <w:t>2</w:t>
      </w:r>
      <w:r>
        <w:rPr/>
        <w:t>）原位癌或组织病理学描述为癌前病变的肿瘤，包括子宫颈上皮非典型增生</w:t>
      </w:r>
    </w:p>
    <w:p>
      <w:pPr>
        <w:pStyle w:val="BodyText"/>
        <w:spacing w:before="9"/>
        <w:ind w:left="2616"/>
      </w:pPr>
      <w:r>
        <w:rPr>
          <w:rFonts w:ascii="Times New Roman" w:eastAsia="Times New Roman"/>
        </w:rPr>
        <w:t>CIN-1</w:t>
      </w:r>
      <w:r>
        <w:rPr/>
        <w:t>、</w:t>
      </w:r>
      <w:r>
        <w:rPr>
          <w:rFonts w:ascii="Times New Roman" w:eastAsia="Times New Roman"/>
        </w:rPr>
        <w:t>CIN-2 </w:t>
      </w:r>
      <w:r>
        <w:rPr/>
        <w:t>和 </w:t>
      </w:r>
      <w:r>
        <w:rPr>
          <w:rFonts w:ascii="Times New Roman" w:eastAsia="Times New Roman"/>
        </w:rPr>
        <w:t>CIN-3</w:t>
      </w:r>
      <w:r>
        <w:rPr/>
        <w:t>；</w:t>
      </w:r>
    </w:p>
    <w:p>
      <w:pPr>
        <w:pStyle w:val="BodyText"/>
        <w:spacing w:before="9"/>
        <w:ind w:left="2090"/>
        <w:rPr>
          <w:rFonts w:ascii="Times New Roman" w:eastAsia="Times New Roman"/>
        </w:rPr>
      </w:pPr>
      <w:r>
        <w:rPr/>
        <w:t>（</w:t>
      </w:r>
      <w:r>
        <w:rPr>
          <w:rFonts w:ascii="Times New Roman" w:eastAsia="Times New Roman"/>
        </w:rPr>
        <w:t>3</w:t>
      </w:r>
      <w:r>
        <w:rPr/>
        <w:t>）所有皮肤的恶性肿瘤，不包括已经发生远位转移的皮肤恶性肿瘤及用 </w:t>
      </w:r>
      <w:r>
        <w:rPr>
          <w:rFonts w:ascii="Times New Roman" w:eastAsia="Times New Roman"/>
        </w:rPr>
        <w:t>AJCC</w:t>
      </w:r>
    </w:p>
    <w:p>
      <w:pPr>
        <w:pStyle w:val="BodyText"/>
        <w:spacing w:before="9"/>
        <w:ind w:left="2616"/>
      </w:pPr>
      <w:r>
        <w:rPr>
          <w:rFonts w:ascii="Times New Roman" w:eastAsia="Times New Roman"/>
        </w:rPr>
        <w:t>VI</w:t>
      </w:r>
      <w:r>
        <w:rPr/>
        <w:t>（美国癌症联合委员会第六版分期系统）肿瘤分期 </w:t>
      </w:r>
      <w:r>
        <w:rPr>
          <w:rFonts w:ascii="Times New Roman" w:eastAsia="Times New Roman"/>
        </w:rPr>
        <w:t>IB </w:t>
      </w:r>
      <w:r>
        <w:rPr/>
        <w:t>期以上分期（不含</w:t>
      </w:r>
    </w:p>
    <w:p>
      <w:pPr>
        <w:pStyle w:val="BodyText"/>
        <w:spacing w:before="9"/>
        <w:ind w:left="2616"/>
      </w:pPr>
      <w:r>
        <w:rPr>
          <w:rFonts w:ascii="Times New Roman" w:eastAsia="Times New Roman"/>
        </w:rPr>
        <w:t>IB </w:t>
      </w:r>
      <w:r>
        <w:rPr/>
        <w:t>期）的恶性黑色素瘤；</w:t>
      </w:r>
    </w:p>
    <w:p>
      <w:pPr>
        <w:pStyle w:val="BodyText"/>
        <w:spacing w:line="247" w:lineRule="auto" w:before="9"/>
        <w:ind w:left="2616" w:right="107" w:hanging="526"/>
      </w:pPr>
      <w:r>
        <w:rPr>
          <w:spacing w:val="-20"/>
        </w:rPr>
        <w:t>（</w:t>
      </w:r>
      <w:r>
        <w:rPr>
          <w:rFonts w:ascii="Times New Roman" w:eastAsia="Times New Roman"/>
          <w:spacing w:val="-20"/>
        </w:rPr>
        <w:t>4</w:t>
      </w:r>
      <w:r>
        <w:rPr>
          <w:spacing w:val="-20"/>
        </w:rPr>
        <w:t>）</w:t>
      </w:r>
      <w:r>
        <w:rPr>
          <w:spacing w:val="-7"/>
        </w:rPr>
        <w:t>组织病理学描述为 </w:t>
      </w:r>
      <w:r>
        <w:rPr>
          <w:rFonts w:ascii="Times New Roman" w:eastAsia="Times New Roman"/>
        </w:rPr>
        <w:t>TNM </w:t>
      </w:r>
      <w:r>
        <w:rPr>
          <w:spacing w:val="-14"/>
        </w:rPr>
        <w:t>分期为 </w:t>
      </w:r>
      <w:r>
        <w:rPr>
          <w:rFonts w:ascii="Times New Roman" w:eastAsia="Times New Roman"/>
        </w:rPr>
        <w:t>T1N0M0 </w:t>
      </w:r>
      <w:r>
        <w:rPr/>
        <w:t>或其他相当或更轻的分期的甲状腺或膀胱的乳头状癌；</w:t>
      </w:r>
    </w:p>
    <w:p>
      <w:pPr>
        <w:pStyle w:val="BodyText"/>
        <w:spacing w:line="247" w:lineRule="auto" w:before="19"/>
        <w:ind w:left="2090" w:right="1829"/>
      </w:pPr>
      <w:r>
        <w:rPr/>
        <w:t>（</w:t>
      </w:r>
      <w:r>
        <w:rPr>
          <w:rFonts w:ascii="Times New Roman" w:eastAsia="Times New Roman"/>
        </w:rPr>
        <w:t>5</w:t>
      </w:r>
      <w:r>
        <w:rPr/>
        <w:t>）</w:t>
      </w:r>
      <w:r>
        <w:rPr>
          <w:rFonts w:ascii="Times New Roman" w:eastAsia="Times New Roman"/>
        </w:rPr>
        <w:t>RAI 1 </w:t>
      </w:r>
      <w:r>
        <w:rPr/>
        <w:t>期或 </w:t>
      </w:r>
      <w:r>
        <w:rPr>
          <w:rFonts w:ascii="Times New Roman" w:eastAsia="Times New Roman"/>
        </w:rPr>
        <w:t>Binet A-1 </w:t>
      </w:r>
      <w:r>
        <w:rPr/>
        <w:t>期以下的慢性淋巴细胞性白血病。被保险人自确诊之日起必须生存 </w:t>
      </w:r>
      <w:r>
        <w:rPr>
          <w:rFonts w:ascii="Times New Roman" w:eastAsia="Times New Roman"/>
        </w:rPr>
        <w:t>28 </w:t>
      </w:r>
      <w:r>
        <w:rPr/>
        <w:t>日以上。</w:t>
      </w:r>
    </w:p>
    <w:p>
      <w:pPr>
        <w:spacing w:after="0" w:line="247" w:lineRule="auto"/>
        <w:sectPr>
          <w:pgSz w:w="11910" w:h="16840"/>
          <w:pgMar w:top="1420" w:bottom="280" w:left="1260" w:right="1060"/>
        </w:sectPr>
      </w:pPr>
    </w:p>
    <w:p>
      <w:pPr>
        <w:pStyle w:val="Heading2"/>
        <w:numPr>
          <w:ilvl w:val="0"/>
          <w:numId w:val="8"/>
        </w:numPr>
        <w:tabs>
          <w:tab w:pos="826" w:val="left" w:leader="none"/>
          <w:tab w:pos="827" w:val="left" w:leader="none"/>
        </w:tabs>
        <w:spacing w:line="247" w:lineRule="auto" w:before="115" w:after="0"/>
        <w:ind w:left="826" w:right="0" w:hanging="718"/>
        <w:jc w:val="left"/>
      </w:pPr>
      <w:r>
        <w:rPr>
          <w:spacing w:val="17"/>
        </w:rPr>
        <w:t>主 动脉手术：</w:t>
      </w:r>
    </w:p>
    <w:p>
      <w:pPr>
        <w:pStyle w:val="BodyText"/>
        <w:rPr>
          <w:b/>
          <w:sz w:val="20"/>
        </w:rPr>
      </w:pPr>
    </w:p>
    <w:p>
      <w:pPr>
        <w:pStyle w:val="ListParagraph"/>
        <w:numPr>
          <w:ilvl w:val="0"/>
          <w:numId w:val="8"/>
        </w:numPr>
        <w:tabs>
          <w:tab w:pos="826" w:val="left" w:leader="none"/>
          <w:tab w:pos="827" w:val="left" w:leader="none"/>
        </w:tabs>
        <w:spacing w:line="247" w:lineRule="auto" w:before="171" w:after="0"/>
        <w:ind w:left="826" w:right="0" w:hanging="718"/>
        <w:jc w:val="left"/>
        <w:rPr>
          <w:b/>
          <w:sz w:val="21"/>
        </w:rPr>
      </w:pPr>
      <w:r>
        <w:rPr>
          <w:b/>
          <w:spacing w:val="17"/>
          <w:sz w:val="21"/>
        </w:rPr>
        <w:t>重 要器官移植：</w:t>
      </w:r>
    </w:p>
    <w:p>
      <w:pPr>
        <w:pStyle w:val="BodyText"/>
        <w:rPr>
          <w:b/>
          <w:sz w:val="20"/>
        </w:rPr>
      </w:pPr>
    </w:p>
    <w:p>
      <w:pPr>
        <w:pStyle w:val="ListParagraph"/>
        <w:numPr>
          <w:ilvl w:val="0"/>
          <w:numId w:val="8"/>
        </w:numPr>
        <w:tabs>
          <w:tab w:pos="826" w:val="left" w:leader="none"/>
          <w:tab w:pos="827" w:val="left" w:leader="none"/>
        </w:tabs>
        <w:spacing w:line="247" w:lineRule="auto" w:before="170" w:after="0"/>
        <w:ind w:left="826" w:right="0" w:hanging="718"/>
        <w:jc w:val="left"/>
        <w:rPr>
          <w:b/>
          <w:sz w:val="21"/>
        </w:rPr>
      </w:pPr>
      <w:r>
        <w:rPr>
          <w:b/>
          <w:spacing w:val="17"/>
          <w:sz w:val="21"/>
        </w:rPr>
        <w:t>慢 性肾脏衰竭：</w:t>
      </w:r>
    </w:p>
    <w:p>
      <w:pPr>
        <w:pStyle w:val="ListParagraph"/>
        <w:numPr>
          <w:ilvl w:val="0"/>
          <w:numId w:val="8"/>
        </w:numPr>
        <w:tabs>
          <w:tab w:pos="826" w:val="left" w:leader="none"/>
          <w:tab w:pos="827" w:val="left" w:leader="none"/>
        </w:tabs>
        <w:spacing w:line="247" w:lineRule="auto" w:before="131" w:after="0"/>
        <w:ind w:left="826" w:right="0" w:hanging="718"/>
        <w:jc w:val="left"/>
        <w:rPr>
          <w:b/>
          <w:sz w:val="21"/>
        </w:rPr>
      </w:pPr>
      <w:r>
        <w:rPr>
          <w:b/>
          <w:spacing w:val="17"/>
          <w:sz w:val="21"/>
        </w:rPr>
        <w:t>暴 发性肝炎：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0"/>
          <w:numId w:val="8"/>
        </w:numPr>
        <w:tabs>
          <w:tab w:pos="826" w:val="left" w:leader="none"/>
          <w:tab w:pos="827" w:val="left" w:leader="none"/>
        </w:tabs>
        <w:spacing w:line="247" w:lineRule="auto" w:before="0" w:after="0"/>
        <w:ind w:left="826" w:right="0" w:hanging="718"/>
        <w:jc w:val="left"/>
        <w:rPr>
          <w:b/>
          <w:sz w:val="21"/>
        </w:rPr>
      </w:pPr>
      <w:r>
        <w:rPr>
          <w:b/>
          <w:spacing w:val="17"/>
          <w:sz w:val="21"/>
        </w:rPr>
        <w:t>Ⅰ 型糖尿病：</w:t>
      </w:r>
    </w:p>
    <w:p>
      <w:pPr>
        <w:pStyle w:val="BodyText"/>
        <w:rPr>
          <w:b/>
          <w:sz w:val="20"/>
        </w:rPr>
      </w:pPr>
    </w:p>
    <w:p>
      <w:pPr>
        <w:pStyle w:val="BodyText"/>
        <w:rPr>
          <w:b/>
          <w:sz w:val="20"/>
        </w:rPr>
      </w:pPr>
    </w:p>
    <w:p>
      <w:pPr>
        <w:pStyle w:val="BodyText"/>
        <w:rPr>
          <w:b/>
          <w:sz w:val="20"/>
        </w:rPr>
      </w:pPr>
    </w:p>
    <w:p>
      <w:pPr>
        <w:pStyle w:val="BodyText"/>
        <w:spacing w:before="6"/>
        <w:rPr>
          <w:b/>
          <w:sz w:val="22"/>
        </w:rPr>
      </w:pPr>
    </w:p>
    <w:p>
      <w:pPr>
        <w:pStyle w:val="ListParagraph"/>
        <w:numPr>
          <w:ilvl w:val="0"/>
          <w:numId w:val="8"/>
        </w:numPr>
        <w:tabs>
          <w:tab w:pos="826" w:val="left" w:leader="none"/>
          <w:tab w:pos="827" w:val="left" w:leader="none"/>
        </w:tabs>
        <w:spacing w:line="247" w:lineRule="auto" w:before="0" w:after="0"/>
        <w:ind w:left="826" w:right="0" w:hanging="704"/>
        <w:jc w:val="left"/>
        <w:rPr>
          <w:b/>
          <w:sz w:val="21"/>
        </w:rPr>
      </w:pPr>
      <w:r>
        <w:rPr>
          <w:b/>
          <w:spacing w:val="17"/>
          <w:sz w:val="21"/>
        </w:rPr>
        <w:t>再 生障碍性贫血：</w:t>
      </w:r>
    </w:p>
    <w:p>
      <w:pPr>
        <w:pStyle w:val="BodyText"/>
        <w:spacing w:line="261" w:lineRule="auto" w:before="115"/>
        <w:ind w:left="108" w:right="107"/>
        <w:jc w:val="both"/>
      </w:pPr>
      <w:r>
        <w:rPr/>
        <w:br w:type="column"/>
      </w:r>
      <w:r>
        <w:rPr/>
        <w:t>是指实际接受了经胸廓切开手术或剖腹手术而进行的主动脉切除和人造血管移植手术。这里的主动脉是指胸主动脉和腹主动脉，不包括主动脉的分支血管和主动脉瓣。</w:t>
      </w:r>
    </w:p>
    <w:p>
      <w:pPr>
        <w:pStyle w:val="BodyText"/>
        <w:spacing w:line="261" w:lineRule="auto" w:before="120"/>
        <w:ind w:left="108" w:right="107"/>
        <w:jc w:val="both"/>
      </w:pPr>
      <w:r>
        <w:rPr/>
        <w:t>是指实际接受了人与人之间的，器官自捐献者至被保险人的，一个或多个重要器官的移植。重要器官移植是指肾脏、肝脏、心脏、肺、胰脏、或骨髓移植。任何其他器官、部分器官、组织或细胞移植不在此保障范围内。</w:t>
      </w:r>
    </w:p>
    <w:p>
      <w:pPr>
        <w:pStyle w:val="BodyText"/>
        <w:spacing w:line="261" w:lineRule="auto" w:before="119"/>
        <w:ind w:left="108" w:right="107"/>
        <w:jc w:val="both"/>
      </w:pPr>
      <w:r>
        <w:rPr/>
        <w:t>是指双侧肾脏功能呈现慢性且不可逆性的衰竭，致使患者已经接受长期定期的肾脏透析治疗或者接受了肾脏移植手术。</w:t>
      </w:r>
    </w:p>
    <w:p>
      <w:pPr>
        <w:pStyle w:val="BodyText"/>
        <w:spacing w:line="261" w:lineRule="auto" w:before="119"/>
        <w:ind w:left="108" w:right="107"/>
        <w:jc w:val="both"/>
      </w:pPr>
      <w:r>
        <w:rPr/>
        <w:t>是指因病毒性肝炎导致肝实质严重破坏，呈亚广泛至广泛性坏死，发生暴发性肝脏衰竭。必须满足下列所有条件：</w:t>
      </w:r>
    </w:p>
    <w:p>
      <w:pPr>
        <w:pStyle w:val="BodyText"/>
        <w:spacing w:before="6"/>
        <w:ind w:left="108"/>
        <w:jc w:val="both"/>
      </w:pPr>
      <w:r>
        <w:rPr/>
        <w:t>（</w:t>
      </w:r>
      <w:r>
        <w:rPr>
          <w:rFonts w:ascii="Times New Roman" w:eastAsia="Times New Roman"/>
        </w:rPr>
        <w:t>1</w:t>
      </w:r>
      <w:r>
        <w:rPr/>
        <w:t>）肝脏急剧萎缩；</w:t>
      </w:r>
    </w:p>
    <w:p>
      <w:pPr>
        <w:pStyle w:val="BodyText"/>
        <w:spacing w:before="9"/>
        <w:ind w:left="108"/>
        <w:jc w:val="both"/>
      </w:pPr>
      <w:r>
        <w:rPr/>
        <w:t>（</w:t>
      </w:r>
      <w:r>
        <w:rPr>
          <w:rFonts w:ascii="Times New Roman" w:eastAsia="Times New Roman"/>
        </w:rPr>
        <w:t>2</w:t>
      </w:r>
      <w:r>
        <w:rPr/>
        <w:t>）坏死区域涵盖整个肝叶，只存留萎陷的网状结构；</w:t>
      </w:r>
    </w:p>
    <w:p>
      <w:pPr>
        <w:pStyle w:val="BodyText"/>
        <w:spacing w:before="9"/>
        <w:ind w:left="108"/>
        <w:jc w:val="both"/>
      </w:pPr>
      <w:r>
        <w:rPr/>
        <w:t>（</w:t>
      </w:r>
      <w:r>
        <w:rPr>
          <w:rFonts w:ascii="Times New Roman" w:eastAsia="Times New Roman"/>
        </w:rPr>
        <w:t>3</w:t>
      </w:r>
      <w:r>
        <w:rPr/>
        <w:t>）肝功能迅速恶化；</w:t>
      </w:r>
    </w:p>
    <w:p>
      <w:pPr>
        <w:pStyle w:val="BodyText"/>
        <w:spacing w:before="9"/>
        <w:ind w:left="108"/>
        <w:jc w:val="both"/>
      </w:pPr>
      <w:r>
        <w:rPr/>
        <w:t>（</w:t>
      </w:r>
      <w:r>
        <w:rPr>
          <w:rFonts w:ascii="Times New Roman" w:eastAsia="Times New Roman"/>
        </w:rPr>
        <w:t>4</w:t>
      </w:r>
      <w:r>
        <w:rPr/>
        <w:t>）黄疸迅速加深；</w:t>
      </w:r>
    </w:p>
    <w:p>
      <w:pPr>
        <w:pStyle w:val="BodyText"/>
        <w:spacing w:before="9"/>
        <w:ind w:left="108"/>
        <w:jc w:val="both"/>
      </w:pPr>
      <w:r>
        <w:rPr/>
        <w:t>（</w:t>
      </w:r>
      <w:r>
        <w:rPr>
          <w:rFonts w:ascii="Times New Roman" w:eastAsia="Times New Roman"/>
        </w:rPr>
        <w:t>5</w:t>
      </w:r>
      <w:r>
        <w:rPr/>
        <w:t>）肝性脑病。</w:t>
      </w:r>
    </w:p>
    <w:p>
      <w:pPr>
        <w:pStyle w:val="BodyText"/>
        <w:spacing w:before="9"/>
        <w:ind w:left="108"/>
        <w:jc w:val="both"/>
      </w:pPr>
      <w:r>
        <w:rPr/>
        <w:t>被保险人自确诊之日起必须生存 </w:t>
      </w:r>
      <w:r>
        <w:rPr>
          <w:rFonts w:ascii="Times New Roman" w:eastAsia="Times New Roman"/>
        </w:rPr>
        <w:t>28 </w:t>
      </w:r>
      <w:r>
        <w:rPr/>
        <w:t>日以上。</w:t>
      </w:r>
    </w:p>
    <w:p>
      <w:pPr>
        <w:pStyle w:val="BodyText"/>
        <w:spacing w:line="256" w:lineRule="auto" w:before="112"/>
        <w:ind w:left="108" w:right="107"/>
        <w:jc w:val="both"/>
      </w:pPr>
      <w:r>
        <w:rPr>
          <w:rFonts w:ascii="Times New Roman" w:hAnsi="Times New Roman" w:eastAsia="Times New Roman"/>
        </w:rPr>
        <w:t>1 </w:t>
      </w:r>
      <w:r>
        <w:rPr/>
        <w:t>型糖尿病的特征为严重的胰岛素缺乏并且依赖外源性胰岛素进行机体的葡萄糖代谢和维持生命。</w:t>
      </w:r>
      <w:r>
        <w:rPr>
          <w:rFonts w:ascii="Times New Roman" w:hAnsi="Times New Roman" w:eastAsia="Times New Roman"/>
        </w:rPr>
        <w:t>1 </w:t>
      </w:r>
      <w:r>
        <w:rPr/>
        <w:t>型糖尿病的临床特点为烦渴、多尿、多食、体重下降、低血</w:t>
      </w:r>
      <w:r>
        <w:rPr>
          <w:spacing w:val="-2"/>
        </w:rPr>
        <w:t>浆胰岛素水平和酮症酸中毒；免疫介质攻击破坏胰岛 </w:t>
      </w:r>
      <w:r>
        <w:rPr>
          <w:rFonts w:ascii="Times New Roman" w:hAnsi="Times New Roman" w:eastAsia="Times New Roman"/>
        </w:rPr>
        <w:t>β </w:t>
      </w:r>
      <w:r>
        <w:rPr/>
        <w:t>细胞；需要胰岛素治疗和规律控制饮食。</w:t>
      </w:r>
    </w:p>
    <w:p>
      <w:pPr>
        <w:pStyle w:val="BodyText"/>
        <w:spacing w:before="31"/>
        <w:ind w:left="108"/>
        <w:jc w:val="both"/>
      </w:pPr>
      <w:r>
        <w:rPr/>
        <w:t>本保单仅对已经接受了 </w:t>
      </w:r>
      <w:r>
        <w:rPr>
          <w:rFonts w:ascii="Times New Roman" w:eastAsia="Times New Roman"/>
        </w:rPr>
        <w:t>6 </w:t>
      </w:r>
      <w:r>
        <w:rPr/>
        <w:t>个月以上持续的胰岛素治疗的 </w:t>
      </w:r>
      <w:r>
        <w:rPr>
          <w:rFonts w:ascii="Times New Roman" w:eastAsia="Times New Roman"/>
        </w:rPr>
        <w:t>1 </w:t>
      </w:r>
      <w:r>
        <w:rPr/>
        <w:t>型糖尿病予以理赔。</w:t>
      </w:r>
    </w:p>
    <w:p>
      <w:pPr>
        <w:pStyle w:val="BodyText"/>
        <w:spacing w:line="261" w:lineRule="auto" w:before="121"/>
        <w:ind w:left="108" w:right="107"/>
        <w:jc w:val="both"/>
      </w:pPr>
      <w:r>
        <w:rPr/>
        <w:t>是指因不可逆性的骨髓功能衰竭导致的贫血、中性粒细胞减少和血小板减少。再生障碍性贫血诊断必须得到骨髓活体组织检查诊断证实。末梢血象必须具备所有</w:t>
      </w:r>
    </w:p>
    <w:p>
      <w:pPr>
        <w:spacing w:after="0" w:line="261" w:lineRule="auto"/>
        <w:jc w:val="both"/>
        <w:sectPr>
          <w:type w:val="continuous"/>
          <w:pgSz w:w="11910" w:h="16840"/>
          <w:pgMar w:top="1380" w:bottom="280" w:left="1260" w:right="1060"/>
          <w:cols w:num="2" w:equalWidth="0">
            <w:col w:w="1942" w:space="40"/>
            <w:col w:w="7608"/>
          </w:cols>
        </w:sectPr>
      </w:pPr>
    </w:p>
    <w:p>
      <w:pPr>
        <w:pStyle w:val="BodyText"/>
        <w:spacing w:before="74"/>
        <w:ind w:left="2090"/>
        <w:rPr>
          <w:rFonts w:ascii="Times New Roman" w:hAnsi="Times New Roman" w:eastAsia="Times New Roman"/>
        </w:rPr>
      </w:pPr>
      <w:r>
        <w:rPr/>
        <w:t>以下三项条件（</w:t>
      </w:r>
      <w:r>
        <w:rPr>
          <w:rFonts w:ascii="Times New Roman" w:hAnsi="Times New Roman" w:eastAsia="Times New Roman"/>
        </w:rPr>
        <w:t>1</w:t>
      </w:r>
      <w:r>
        <w:rPr/>
        <w:t>）中性粒细胞绝对值 </w:t>
      </w:r>
      <w:r>
        <w:rPr>
          <w:rFonts w:ascii="Times New Roman" w:hAnsi="Times New Roman" w:eastAsia="Times New Roman"/>
        </w:rPr>
        <w:t>≤ 500/</w:t>
      </w:r>
    </w:p>
    <w:p>
      <w:pPr>
        <w:spacing w:before="74"/>
        <w:ind w:left="99" w:right="0" w:firstLine="0"/>
        <w:jc w:val="left"/>
        <w:rPr>
          <w:rFonts w:ascii="Times New Roman" w:hAnsi="Times New Roman" w:eastAsia="Times New Roman"/>
          <w:sz w:val="21"/>
        </w:rPr>
      </w:pPr>
      <w:r>
        <w:rPr/>
        <w:br w:type="column"/>
      </w:r>
      <w:r>
        <w:rPr>
          <w:rFonts w:ascii="Times New Roman" w:hAnsi="Times New Roman" w:eastAsia="Times New Roman"/>
          <w:sz w:val="24"/>
        </w:rPr>
        <w:t>mm</w:t>
      </w:r>
      <w:r>
        <w:rPr>
          <w:rFonts w:ascii="Times New Roman" w:hAnsi="Times New Roman" w:eastAsia="Times New Roman"/>
          <w:position w:val="11"/>
          <w:sz w:val="14"/>
        </w:rPr>
        <w:t>3 </w:t>
      </w:r>
      <w:r>
        <w:rPr>
          <w:sz w:val="21"/>
        </w:rPr>
        <w:t>；（</w:t>
      </w:r>
      <w:r>
        <w:rPr>
          <w:rFonts w:ascii="Times New Roman" w:hAnsi="Times New Roman" w:eastAsia="Times New Roman"/>
          <w:sz w:val="21"/>
        </w:rPr>
        <w:t>2</w:t>
      </w:r>
      <w:r>
        <w:rPr>
          <w:sz w:val="21"/>
        </w:rPr>
        <w:t>）网织红细胞绝对数 </w:t>
      </w:r>
      <w:r>
        <w:rPr>
          <w:rFonts w:ascii="Times New Roman" w:hAnsi="Times New Roman" w:eastAsia="Times New Roman"/>
          <w:sz w:val="21"/>
        </w:rPr>
        <w:t>≤</w:t>
      </w:r>
    </w:p>
    <w:p>
      <w:pPr>
        <w:spacing w:after="0"/>
        <w:jc w:val="left"/>
        <w:rPr>
          <w:rFonts w:ascii="Times New Roman" w:hAnsi="Times New Roman" w:eastAsia="Times New Roman"/>
          <w:sz w:val="21"/>
        </w:rPr>
        <w:sectPr>
          <w:pgSz w:w="11910" w:h="16840"/>
          <w:pgMar w:top="1360" w:bottom="280" w:left="1260" w:right="1060"/>
          <w:cols w:num="2" w:equalWidth="0">
            <w:col w:w="6217" w:space="40"/>
            <w:col w:w="3333"/>
          </w:cols>
        </w:sectPr>
      </w:pPr>
    </w:p>
    <w:p>
      <w:pPr>
        <w:pStyle w:val="BodyText"/>
        <w:spacing w:before="51"/>
        <w:jc w:val="right"/>
        <w:rPr>
          <w:rFonts w:ascii="Times New Roman"/>
        </w:rPr>
      </w:pPr>
      <w:r>
        <w:rPr>
          <w:rFonts w:ascii="Times New Roman"/>
        </w:rPr>
        <w:t>20,000/</w:t>
      </w:r>
    </w:p>
    <w:p>
      <w:pPr>
        <w:spacing w:before="2"/>
        <w:ind w:left="100" w:right="0" w:firstLine="0"/>
        <w:jc w:val="left"/>
        <w:rPr>
          <w:rFonts w:ascii="Times New Roman" w:hAnsi="Times New Roman" w:eastAsia="Times New Roman"/>
          <w:sz w:val="21"/>
        </w:rPr>
      </w:pPr>
      <w:r>
        <w:rPr/>
        <w:br w:type="column"/>
      </w:r>
      <w:r>
        <w:rPr>
          <w:rFonts w:ascii="Times New Roman" w:hAnsi="Times New Roman" w:eastAsia="Times New Roman"/>
          <w:sz w:val="24"/>
        </w:rPr>
        <w:t>mm</w:t>
      </w:r>
      <w:r>
        <w:rPr>
          <w:rFonts w:ascii="Times New Roman" w:hAnsi="Times New Roman" w:eastAsia="Times New Roman"/>
          <w:position w:val="11"/>
          <w:sz w:val="14"/>
        </w:rPr>
        <w:t>3 </w:t>
      </w:r>
      <w:r>
        <w:rPr>
          <w:sz w:val="21"/>
        </w:rPr>
        <w:t>；（</w:t>
      </w:r>
      <w:r>
        <w:rPr>
          <w:rFonts w:ascii="Times New Roman" w:hAnsi="Times New Roman" w:eastAsia="Times New Roman"/>
          <w:sz w:val="21"/>
        </w:rPr>
        <w:t>3</w:t>
      </w:r>
      <w:r>
        <w:rPr>
          <w:sz w:val="21"/>
        </w:rPr>
        <w:t>）血小板数 </w:t>
      </w:r>
      <w:r>
        <w:rPr>
          <w:rFonts w:ascii="Times New Roman" w:hAnsi="Times New Roman" w:eastAsia="Times New Roman"/>
          <w:sz w:val="21"/>
        </w:rPr>
        <w:t>≤  20,000/</w:t>
      </w:r>
    </w:p>
    <w:p>
      <w:pPr>
        <w:spacing w:before="2"/>
        <w:ind w:left="102" w:right="0" w:firstLine="0"/>
        <w:jc w:val="left"/>
        <w:rPr>
          <w:sz w:val="21"/>
        </w:rPr>
      </w:pPr>
      <w:r>
        <w:rPr/>
        <w:br w:type="column"/>
      </w:r>
      <w:r>
        <w:rPr>
          <w:rFonts w:ascii="Times New Roman" w:eastAsia="Times New Roman"/>
          <w:sz w:val="24"/>
        </w:rPr>
        <w:t>mm</w:t>
      </w:r>
      <w:r>
        <w:rPr>
          <w:rFonts w:ascii="Times New Roman" w:eastAsia="Times New Roman"/>
          <w:position w:val="11"/>
          <w:sz w:val="14"/>
        </w:rPr>
        <w:t>3 </w:t>
      </w:r>
      <w:r>
        <w:rPr>
          <w:sz w:val="21"/>
        </w:rPr>
        <w:t>并且被保人至少已经接受了下列</w:t>
      </w:r>
    </w:p>
    <w:p>
      <w:pPr>
        <w:spacing w:after="0"/>
        <w:jc w:val="left"/>
        <w:rPr>
          <w:sz w:val="21"/>
        </w:rPr>
        <w:sectPr>
          <w:type w:val="continuous"/>
          <w:pgSz w:w="11910" w:h="16840"/>
          <w:pgMar w:top="1380" w:bottom="280" w:left="1260" w:right="1060"/>
          <w:cols w:num="3" w:equalWidth="0">
            <w:col w:w="2728" w:space="40"/>
            <w:col w:w="3129" w:space="39"/>
            <w:col w:w="365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Heading2"/>
        <w:numPr>
          <w:ilvl w:val="0"/>
          <w:numId w:val="8"/>
        </w:numPr>
        <w:tabs>
          <w:tab w:pos="826" w:val="left" w:leader="none"/>
          <w:tab w:pos="827" w:val="left" w:leader="none"/>
        </w:tabs>
        <w:spacing w:line="247" w:lineRule="auto" w:before="0" w:after="0"/>
        <w:ind w:left="826" w:right="0" w:hanging="718"/>
        <w:jc w:val="left"/>
      </w:pPr>
      <w:r>
        <w:rPr>
          <w:spacing w:val="17"/>
        </w:rPr>
        <w:t>肌 营养不良症：</w:t>
      </w:r>
    </w:p>
    <w:p>
      <w:pPr>
        <w:pStyle w:val="BodyText"/>
        <w:spacing w:before="2"/>
        <w:ind w:left="108"/>
        <w:jc w:val="both"/>
      </w:pPr>
      <w:r>
        <w:rPr/>
        <w:br w:type="column"/>
      </w:r>
      <w:r>
        <w:rPr/>
        <w:t>治疗中的一项治疗：</w:t>
      </w:r>
    </w:p>
    <w:p>
      <w:pPr>
        <w:pStyle w:val="BodyText"/>
        <w:spacing w:before="24"/>
        <w:ind w:left="108"/>
        <w:jc w:val="both"/>
      </w:pPr>
      <w:r>
        <w:rPr/>
        <w:t>（</w:t>
      </w:r>
      <w:r>
        <w:rPr>
          <w:rFonts w:ascii="Times New Roman" w:eastAsia="Times New Roman"/>
        </w:rPr>
        <w:t>1</w:t>
      </w:r>
      <w:r>
        <w:rPr/>
        <w:t>）定期输血或输注血液制品（治疗历时 </w:t>
      </w:r>
      <w:r>
        <w:rPr>
          <w:rFonts w:ascii="Times New Roman" w:eastAsia="Times New Roman"/>
        </w:rPr>
        <w:t>90 </w:t>
      </w:r>
      <w:r>
        <w:rPr/>
        <w:t>日以上）；</w:t>
      </w:r>
    </w:p>
    <w:p>
      <w:pPr>
        <w:pStyle w:val="BodyText"/>
        <w:spacing w:before="9"/>
        <w:ind w:left="108"/>
        <w:jc w:val="both"/>
      </w:pPr>
      <w:r>
        <w:rPr/>
        <w:t>（</w:t>
      </w:r>
      <w:r>
        <w:rPr>
          <w:rFonts w:ascii="Times New Roman" w:eastAsia="Times New Roman"/>
        </w:rPr>
        <w:t>2</w:t>
      </w:r>
      <w:r>
        <w:rPr/>
        <w:t>）骨髓刺激性药物（治疗历时 </w:t>
      </w:r>
      <w:r>
        <w:rPr>
          <w:rFonts w:ascii="Times New Roman" w:eastAsia="Times New Roman"/>
        </w:rPr>
        <w:t>90 </w:t>
      </w:r>
      <w:r>
        <w:rPr/>
        <w:t>日以上）；</w:t>
      </w:r>
    </w:p>
    <w:p>
      <w:pPr>
        <w:pStyle w:val="BodyText"/>
        <w:spacing w:before="9"/>
        <w:ind w:left="108"/>
        <w:jc w:val="both"/>
      </w:pPr>
      <w:r>
        <w:rPr/>
        <w:t>（</w:t>
      </w:r>
      <w:r>
        <w:rPr>
          <w:rFonts w:ascii="Times New Roman" w:eastAsia="Times New Roman"/>
        </w:rPr>
        <w:t>3</w:t>
      </w:r>
      <w:r>
        <w:rPr/>
        <w:t>）免疫抑制剂（治疗历时 </w:t>
      </w:r>
      <w:r>
        <w:rPr>
          <w:rFonts w:ascii="Times New Roman" w:eastAsia="Times New Roman"/>
        </w:rPr>
        <w:t>90 </w:t>
      </w:r>
      <w:r>
        <w:rPr/>
        <w:t>日以上）；</w:t>
      </w:r>
    </w:p>
    <w:p>
      <w:pPr>
        <w:pStyle w:val="BodyText"/>
        <w:spacing w:before="9"/>
        <w:ind w:left="108"/>
        <w:jc w:val="both"/>
      </w:pPr>
      <w:r>
        <w:rPr/>
        <w:t>（</w:t>
      </w:r>
      <w:r>
        <w:rPr>
          <w:rFonts w:ascii="Times New Roman" w:eastAsia="Times New Roman"/>
        </w:rPr>
        <w:t>4</w:t>
      </w:r>
      <w:r>
        <w:rPr/>
        <w:t>）骨髓移植。</w:t>
      </w:r>
    </w:p>
    <w:p>
      <w:pPr>
        <w:pStyle w:val="BodyText"/>
        <w:spacing w:before="9"/>
        <w:ind w:left="108"/>
        <w:jc w:val="both"/>
      </w:pPr>
      <w:r>
        <w:rPr/>
        <w:t>被保险人自确诊之日起必须生存 </w:t>
      </w:r>
      <w:r>
        <w:rPr>
          <w:rFonts w:ascii="Times New Roman" w:eastAsia="Times New Roman"/>
        </w:rPr>
        <w:t>28 </w:t>
      </w:r>
      <w:r>
        <w:rPr/>
        <w:t>日以上。</w:t>
      </w:r>
    </w:p>
    <w:p>
      <w:pPr>
        <w:pStyle w:val="BodyText"/>
        <w:spacing w:line="256" w:lineRule="auto" w:before="121"/>
        <w:ind w:left="108" w:right="104"/>
        <w:jc w:val="both"/>
      </w:pPr>
      <w:r>
        <w:rPr/>
        <w:t>肌营养不良症是一组遗传性肌肉变性性病变，临床特征为与神经系统无关的肌肉无力和肌肉萎缩。本保单仅对肌营养不良症造成的神经系统功能损害已导致被保险人</w:t>
      </w:r>
      <w:r>
        <w:rPr>
          <w:b/>
        </w:rPr>
        <w:t>永久不可逆性</w:t>
      </w:r>
      <w:r>
        <w:rPr/>
        <w:t>（见注 </w:t>
      </w:r>
      <w:r>
        <w:rPr>
          <w:rFonts w:ascii="Times New Roman" w:eastAsia="Times New Roman"/>
        </w:rPr>
        <w:t>1</w:t>
      </w:r>
      <w:r>
        <w:rPr/>
        <w:t>）的丧失在室内从房间到房间之间的平地移动的能力的情况予以理赔。</w:t>
      </w:r>
    </w:p>
    <w:p>
      <w:pPr>
        <w:spacing w:after="0" w:line="256" w:lineRule="auto"/>
        <w:jc w:val="both"/>
        <w:sectPr>
          <w:type w:val="continuous"/>
          <w:pgSz w:w="11910" w:h="16840"/>
          <w:pgMar w:top="1380" w:bottom="280" w:left="1260" w:right="1060"/>
          <w:cols w:num="2" w:equalWidth="0">
            <w:col w:w="1942" w:space="40"/>
            <w:col w:w="7608"/>
          </w:cols>
        </w:sectPr>
      </w:pPr>
    </w:p>
    <w:p>
      <w:pPr>
        <w:pStyle w:val="ListParagraph"/>
        <w:numPr>
          <w:ilvl w:val="0"/>
          <w:numId w:val="8"/>
        </w:numPr>
        <w:tabs>
          <w:tab w:pos="826" w:val="left" w:leader="none"/>
          <w:tab w:pos="827" w:val="left" w:leader="none"/>
          <w:tab w:pos="2090" w:val="left" w:leader="none"/>
        </w:tabs>
        <w:spacing w:line="240" w:lineRule="auto" w:before="122" w:after="0"/>
        <w:ind w:left="2090" w:right="0" w:hanging="1982"/>
        <w:jc w:val="left"/>
        <w:rPr>
          <w:sz w:val="21"/>
        </w:rPr>
      </w:pPr>
      <w:r>
        <w:rPr>
          <w:b/>
          <w:sz w:val="21"/>
        </w:rPr>
        <w:t>脑炎：</w:t>
        <w:tab/>
      </w:r>
      <w:r>
        <w:rPr>
          <w:spacing w:val="5"/>
          <w:sz w:val="21"/>
        </w:rPr>
        <w:t>被保险人</w:t>
      </w:r>
      <w:r>
        <w:rPr>
          <w:spacing w:val="6"/>
          <w:sz w:val="21"/>
        </w:rPr>
        <w:t>由</w:t>
      </w:r>
      <w:r>
        <w:rPr>
          <w:spacing w:val="5"/>
          <w:sz w:val="21"/>
        </w:rPr>
        <w:t>我们认可</w:t>
      </w:r>
      <w:r>
        <w:rPr>
          <w:spacing w:val="6"/>
          <w:sz w:val="21"/>
        </w:rPr>
        <w:t>的</w:t>
      </w:r>
      <w:r>
        <w:rPr>
          <w:spacing w:val="5"/>
          <w:sz w:val="21"/>
        </w:rPr>
        <w:t>医院的专</w:t>
      </w:r>
      <w:r>
        <w:rPr>
          <w:spacing w:val="6"/>
          <w:sz w:val="21"/>
        </w:rPr>
        <w:t>科</w:t>
      </w:r>
      <w:r>
        <w:rPr>
          <w:spacing w:val="5"/>
          <w:sz w:val="21"/>
        </w:rPr>
        <w:t>主任级医</w:t>
      </w:r>
      <w:r>
        <w:rPr>
          <w:spacing w:val="6"/>
          <w:sz w:val="21"/>
        </w:rPr>
        <w:t>生</w:t>
      </w:r>
      <w:r>
        <w:rPr>
          <w:spacing w:val="5"/>
          <w:sz w:val="21"/>
        </w:rPr>
        <w:t>确诊为由</w:t>
      </w:r>
      <w:r>
        <w:rPr>
          <w:spacing w:val="6"/>
          <w:sz w:val="21"/>
        </w:rPr>
        <w:t>于</w:t>
      </w:r>
      <w:r>
        <w:rPr>
          <w:spacing w:val="5"/>
          <w:sz w:val="21"/>
        </w:rPr>
        <w:t>病毒或细</w:t>
      </w:r>
      <w:r>
        <w:rPr>
          <w:spacing w:val="6"/>
          <w:sz w:val="21"/>
        </w:rPr>
        <w:t>菌</w:t>
      </w:r>
      <w:r>
        <w:rPr>
          <w:spacing w:val="5"/>
          <w:sz w:val="21"/>
        </w:rPr>
        <w:t>侵袭脑皮</w:t>
      </w:r>
    </w:p>
    <w:p>
      <w:pPr>
        <w:pStyle w:val="BodyText"/>
        <w:spacing w:line="254" w:lineRule="auto" w:before="8"/>
        <w:ind w:left="2090" w:right="107"/>
        <w:jc w:val="both"/>
      </w:pPr>
      <w:r>
        <w:rPr/>
        <w:t>（髓）</w:t>
      </w:r>
      <w:r>
        <w:rPr>
          <w:spacing w:val="-2"/>
        </w:rPr>
        <w:t>质引发的脑组织炎症。脑炎必须导致严重的持续至少 </w:t>
      </w:r>
      <w:r>
        <w:rPr>
          <w:rFonts w:ascii="Times New Roman" w:eastAsia="Times New Roman"/>
        </w:rPr>
        <w:t>6 </w:t>
      </w:r>
      <w:r>
        <w:rPr/>
        <w:t>个月以上的包括永久性神经系统功能损害在内的并发症。神经系统功能损害必须导致被保险人永久不可逆性的丧失下列活动能力：</w:t>
      </w:r>
    </w:p>
    <w:p>
      <w:pPr>
        <w:pStyle w:val="BodyText"/>
        <w:spacing w:before="12"/>
        <w:ind w:left="2090"/>
      </w:pPr>
      <w:r>
        <w:rPr/>
        <w:t>（</w:t>
      </w:r>
      <w:r>
        <w:rPr>
          <w:rFonts w:ascii="Times New Roman" w:eastAsia="Times New Roman"/>
        </w:rPr>
        <w:t>1</w:t>
      </w:r>
      <w:r>
        <w:rPr/>
        <w:t>）在室内从房间到房间之间的平地移动；或者</w:t>
      </w:r>
    </w:p>
    <w:p>
      <w:pPr>
        <w:pStyle w:val="BodyText"/>
        <w:spacing w:line="247" w:lineRule="auto" w:before="9"/>
        <w:ind w:left="2090" w:right="3334" w:hanging="1"/>
      </w:pPr>
      <w:r>
        <w:rPr/>
        <w:t>（</w:t>
      </w:r>
      <w:r>
        <w:rPr>
          <w:rFonts w:ascii="Times New Roman" w:eastAsia="Times New Roman"/>
        </w:rPr>
        <w:t>2</w:t>
      </w:r>
      <w:r>
        <w:rPr/>
        <w:t>）在食物已经准备好的情况下自己进食。被保险人自确诊之日起必须生存 </w:t>
      </w:r>
      <w:r>
        <w:rPr>
          <w:rFonts w:ascii="Times New Roman" w:eastAsia="Times New Roman"/>
        </w:rPr>
        <w:t>28 </w:t>
      </w:r>
      <w:r>
        <w:rPr/>
        <w:t>日以上。</w:t>
      </w:r>
    </w:p>
    <w:p>
      <w:pPr>
        <w:pStyle w:val="BodyText"/>
        <w:spacing w:line="261" w:lineRule="auto" w:before="2"/>
        <w:ind w:left="2090" w:right="107"/>
        <w:jc w:val="both"/>
      </w:pPr>
      <w:r>
        <w:rPr/>
        <w:t>若被保险人在四周岁之前，导致上述神经系统功能损害，必须在其四周岁之后进行评估。</w:t>
      </w:r>
    </w:p>
    <w:p>
      <w:pPr>
        <w:spacing w:after="0" w:line="261" w:lineRule="auto"/>
        <w:jc w:val="both"/>
        <w:sectPr>
          <w:type w:val="continuous"/>
          <w:pgSz w:w="11910" w:h="16840"/>
          <w:pgMar w:top="1380" w:bottom="280" w:left="1260" w:right="1060"/>
        </w:sectPr>
      </w:pPr>
    </w:p>
    <w:p>
      <w:pPr>
        <w:pStyle w:val="Heading2"/>
        <w:numPr>
          <w:ilvl w:val="0"/>
          <w:numId w:val="8"/>
        </w:numPr>
        <w:tabs>
          <w:tab w:pos="826" w:val="left" w:leader="none"/>
          <w:tab w:pos="827" w:val="left" w:leader="none"/>
        </w:tabs>
        <w:spacing w:line="247" w:lineRule="auto" w:before="119" w:after="0"/>
        <w:ind w:left="826" w:right="0" w:hanging="718"/>
        <w:jc w:val="left"/>
      </w:pPr>
      <w:r>
        <w:rPr>
          <w:spacing w:val="17"/>
        </w:rPr>
        <w:t>细 菌性脑</w:t>
      </w:r>
      <w:r>
        <w:rPr>
          <w:spacing w:val="7"/>
        </w:rPr>
        <w:t>膜炎 ：</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7"/>
        </w:rPr>
      </w:pPr>
    </w:p>
    <w:p>
      <w:pPr>
        <w:pStyle w:val="ListParagraph"/>
        <w:numPr>
          <w:ilvl w:val="0"/>
          <w:numId w:val="8"/>
        </w:numPr>
        <w:tabs>
          <w:tab w:pos="826" w:val="left" w:leader="none"/>
          <w:tab w:pos="827" w:val="left" w:leader="none"/>
        </w:tabs>
        <w:spacing w:line="247" w:lineRule="auto" w:before="0" w:after="0"/>
        <w:ind w:left="826" w:right="0" w:hanging="718"/>
        <w:jc w:val="left"/>
        <w:rPr>
          <w:b/>
          <w:sz w:val="21"/>
        </w:rPr>
      </w:pPr>
      <w:r>
        <w:rPr>
          <w:b/>
          <w:spacing w:val="17"/>
          <w:sz w:val="21"/>
        </w:rPr>
        <w:t>良 性脑肿瘤：</w:t>
      </w:r>
    </w:p>
    <w:p>
      <w:pPr>
        <w:pStyle w:val="BodyText"/>
        <w:spacing w:line="261" w:lineRule="auto" w:before="119"/>
        <w:ind w:left="108" w:right="107"/>
        <w:jc w:val="both"/>
      </w:pPr>
      <w:r>
        <w:rPr/>
        <w:br w:type="column"/>
      </w:r>
      <w:r>
        <w:rPr/>
        <w:t>被保险人由本公司认可的医院的专科主任级医生确诊为细菌性脑膜炎。细菌性脑膜炎必须造成永久性神经系统功能损害，并且导致被保险人永久不可逆性的丧失下列活动能力：</w:t>
      </w:r>
    </w:p>
    <w:p>
      <w:pPr>
        <w:pStyle w:val="BodyText"/>
        <w:spacing w:before="6"/>
        <w:ind w:left="108"/>
      </w:pPr>
      <w:r>
        <w:rPr/>
        <w:t>（</w:t>
      </w:r>
      <w:r>
        <w:rPr>
          <w:rFonts w:ascii="Times New Roman" w:eastAsia="Times New Roman"/>
        </w:rPr>
        <w:t>1</w:t>
      </w:r>
      <w:r>
        <w:rPr/>
        <w:t>）在室内从房间到房间之间的平地移动；</w:t>
      </w:r>
    </w:p>
    <w:p>
      <w:pPr>
        <w:pStyle w:val="BodyText"/>
        <w:spacing w:line="247" w:lineRule="auto" w:before="9"/>
        <w:ind w:left="108" w:right="3334" w:hanging="1"/>
      </w:pPr>
      <w:r>
        <w:rPr/>
        <w:t>（</w:t>
      </w:r>
      <w:r>
        <w:rPr>
          <w:rFonts w:ascii="Times New Roman" w:eastAsia="Times New Roman"/>
        </w:rPr>
        <w:t>2</w:t>
      </w:r>
      <w:r>
        <w:rPr/>
        <w:t>）在食物已经准备好的情况下自己进食。被保险人自确诊之日起必须生存 </w:t>
      </w:r>
      <w:r>
        <w:rPr>
          <w:rFonts w:ascii="Times New Roman" w:eastAsia="Times New Roman"/>
        </w:rPr>
        <w:t>28 </w:t>
      </w:r>
      <w:r>
        <w:rPr/>
        <w:t>日以上。</w:t>
      </w:r>
    </w:p>
    <w:p>
      <w:pPr>
        <w:pStyle w:val="BodyText"/>
        <w:spacing w:line="261" w:lineRule="auto" w:before="2"/>
        <w:ind w:left="108" w:right="107"/>
      </w:pPr>
      <w:r>
        <w:rPr/>
        <w:t>若被保险人在四周岁之前，导致上述神经系统功能损害，必须在其四周岁之后进行评估。</w:t>
      </w:r>
    </w:p>
    <w:p>
      <w:pPr>
        <w:pStyle w:val="BodyText"/>
        <w:spacing w:line="261" w:lineRule="auto" w:before="120"/>
        <w:ind w:left="108" w:right="107"/>
        <w:rPr>
          <w:rFonts w:ascii="Times New Roman" w:eastAsia="Times New Roman"/>
        </w:rPr>
      </w:pPr>
      <w:r>
        <w:rPr/>
        <w:t>是指引起颅内压增高的脑内良性肿瘤。脑内肿瘤的存在必须由影像学检查证实。被保险人必须满足下列条件之一</w:t>
      </w:r>
      <w:r>
        <w:rPr>
          <w:rFonts w:ascii="Times New Roman" w:eastAsia="Times New Roman"/>
        </w:rPr>
        <w:t>:</w:t>
      </w:r>
    </w:p>
    <w:p>
      <w:pPr>
        <w:pStyle w:val="BodyText"/>
        <w:spacing w:line="247" w:lineRule="auto"/>
        <w:ind w:left="633" w:right="36" w:hanging="526"/>
      </w:pPr>
      <w:r>
        <w:rPr/>
        <w:t>（</w:t>
      </w:r>
      <w:r>
        <w:rPr>
          <w:rFonts w:ascii="Times New Roman" w:eastAsia="Times New Roman"/>
        </w:rPr>
        <w:t>1</w:t>
      </w:r>
      <w:r>
        <w:rPr/>
        <w:t>）实际接受了经颅骨切开手术进行的脑肿瘤完全切除手术或者尽可能缩小肿瘤的手术；</w:t>
      </w:r>
    </w:p>
    <w:p>
      <w:pPr>
        <w:pStyle w:val="BodyText"/>
        <w:spacing w:before="30"/>
        <w:ind w:left="108"/>
      </w:pPr>
      <w:r>
        <w:rPr/>
        <w:t>（</w:t>
      </w:r>
      <w:r>
        <w:rPr>
          <w:rFonts w:ascii="Times New Roman" w:eastAsia="Times New Roman"/>
        </w:rPr>
        <w:t>2</w:t>
      </w:r>
      <w:r>
        <w:rPr/>
        <w:t>）实际接受了对脑肿瘤进行的化学治疗或者放射治疗；</w:t>
      </w:r>
    </w:p>
    <w:p>
      <w:pPr>
        <w:pStyle w:val="BodyText"/>
        <w:spacing w:line="247" w:lineRule="auto" w:before="8"/>
        <w:ind w:left="633" w:right="36" w:hanging="526"/>
      </w:pPr>
      <w:r>
        <w:rPr/>
        <w:t>（</w:t>
      </w:r>
      <w:r>
        <w:rPr>
          <w:rFonts w:ascii="Times New Roman" w:eastAsia="Times New Roman"/>
        </w:rPr>
        <w:t>3</w:t>
      </w:r>
      <w:r>
        <w:rPr/>
        <w:t>）被认为不宜进行脑肿瘤外科手术治疗并且肿瘤不断增大，已经开始接受以减轻症状为目的的姑息治疗。</w:t>
      </w:r>
    </w:p>
    <w:p>
      <w:pPr>
        <w:pStyle w:val="BodyText"/>
        <w:spacing w:line="261" w:lineRule="auto" w:before="18"/>
        <w:ind w:left="108" w:right="107"/>
      </w:pPr>
      <w:r>
        <w:rPr/>
        <w:t>脑的囊肿、钙化、肉芽肿、血肿、脑动静脉畸形、脑动脉瘤、脑垂体肿瘤和脊髓肿瘤等不在本保障范围內。</w:t>
      </w:r>
    </w:p>
    <w:p>
      <w:pPr>
        <w:spacing w:after="0" w:line="261" w:lineRule="auto"/>
        <w:sectPr>
          <w:type w:val="continuous"/>
          <w:pgSz w:w="11910" w:h="16840"/>
          <w:pgMar w:top="1380" w:bottom="280" w:left="1260" w:right="1060"/>
          <w:cols w:num="2" w:equalWidth="0">
            <w:col w:w="1942" w:space="40"/>
            <w:col w:w="7608"/>
          </w:cols>
        </w:sectPr>
      </w:pPr>
    </w:p>
    <w:p>
      <w:pPr>
        <w:pStyle w:val="ListParagraph"/>
        <w:numPr>
          <w:ilvl w:val="0"/>
          <w:numId w:val="8"/>
        </w:numPr>
        <w:tabs>
          <w:tab w:pos="827" w:val="left" w:leader="none"/>
        </w:tabs>
        <w:spacing w:line="247" w:lineRule="auto" w:before="118" w:after="0"/>
        <w:ind w:left="2090" w:right="107" w:hanging="1982"/>
        <w:jc w:val="both"/>
        <w:rPr>
          <w:sz w:val="21"/>
        </w:rPr>
      </w:pPr>
      <w:r>
        <w:rPr>
          <w:b/>
          <w:spacing w:val="1"/>
          <w:sz w:val="21"/>
        </w:rPr>
        <w:t>失明：     </w:t>
      </w:r>
      <w:r>
        <w:rPr>
          <w:sz w:val="21"/>
        </w:rPr>
        <w:t>由疾病或意外所导致双眼视力完全、永久且不可恢复性的丧失。视力丧失必须持</w:t>
      </w:r>
      <w:r>
        <w:rPr>
          <w:spacing w:val="-27"/>
          <w:sz w:val="21"/>
        </w:rPr>
        <w:t>续 </w:t>
      </w:r>
      <w:r>
        <w:rPr>
          <w:rFonts w:ascii="Times New Roman" w:eastAsia="Times New Roman"/>
          <w:sz w:val="21"/>
        </w:rPr>
        <w:t>12</w:t>
      </w:r>
      <w:r>
        <w:rPr>
          <w:rFonts w:ascii="Times New Roman" w:eastAsia="Times New Roman"/>
          <w:spacing w:val="-1"/>
          <w:sz w:val="21"/>
        </w:rPr>
        <w:t> </w:t>
      </w:r>
      <w:r>
        <w:rPr>
          <w:spacing w:val="-5"/>
          <w:sz w:val="21"/>
        </w:rPr>
        <w:t>个月以上</w:t>
      </w:r>
      <w:r>
        <w:rPr>
          <w:sz w:val="21"/>
        </w:rPr>
        <w:t>（眼球摘除除外</w:t>
      </w:r>
      <w:r>
        <w:rPr>
          <w:spacing w:val="-18"/>
          <w:sz w:val="21"/>
        </w:rPr>
        <w:t>）</w:t>
      </w:r>
      <w:r>
        <w:rPr>
          <w:spacing w:val="-7"/>
          <w:sz w:val="21"/>
        </w:rPr>
        <w:t>，最佳矫正视力低于国际标准视力表 </w:t>
      </w:r>
      <w:r>
        <w:rPr>
          <w:rFonts w:ascii="Times New Roman" w:eastAsia="Times New Roman"/>
          <w:spacing w:val="-4"/>
          <w:sz w:val="21"/>
        </w:rPr>
        <w:t>0.02</w:t>
      </w:r>
      <w:r>
        <w:rPr>
          <w:spacing w:val="-2"/>
          <w:sz w:val="21"/>
        </w:rPr>
        <w:t>，或视</w:t>
      </w:r>
      <w:r>
        <w:rPr>
          <w:spacing w:val="-11"/>
          <w:sz w:val="21"/>
        </w:rPr>
        <w:t>野半径小于 </w:t>
      </w:r>
      <w:r>
        <w:rPr>
          <w:rFonts w:ascii="Times New Roman" w:eastAsia="Times New Roman"/>
          <w:sz w:val="21"/>
        </w:rPr>
        <w:t>5</w:t>
      </w:r>
      <w:r>
        <w:rPr>
          <w:rFonts w:ascii="Times New Roman" w:eastAsia="Times New Roman"/>
          <w:spacing w:val="-1"/>
          <w:sz w:val="21"/>
        </w:rPr>
        <w:t> </w:t>
      </w:r>
      <w:r>
        <w:rPr>
          <w:sz w:val="21"/>
        </w:rPr>
        <w:t>度。失明须由我们认可的医院的专科主任级医生确认。</w:t>
      </w:r>
    </w:p>
    <w:p>
      <w:pPr>
        <w:spacing w:after="0" w:line="247" w:lineRule="auto"/>
        <w:jc w:val="both"/>
        <w:rPr>
          <w:sz w:val="21"/>
        </w:rPr>
        <w:sectPr>
          <w:type w:val="continuous"/>
          <w:pgSz w:w="11910" w:h="16840"/>
          <w:pgMar w:top="1380" w:bottom="280" w:left="1260" w:right="1060"/>
        </w:sectPr>
      </w:pPr>
    </w:p>
    <w:p>
      <w:pPr>
        <w:pStyle w:val="Heading2"/>
        <w:numPr>
          <w:ilvl w:val="0"/>
          <w:numId w:val="8"/>
        </w:numPr>
        <w:tabs>
          <w:tab w:pos="827" w:val="left" w:leader="none"/>
        </w:tabs>
        <w:spacing w:line="254" w:lineRule="auto" w:before="114" w:after="0"/>
        <w:ind w:left="826" w:right="0" w:hanging="718"/>
        <w:jc w:val="both"/>
      </w:pPr>
      <w:r>
        <w:rPr>
          <w:spacing w:val="-3"/>
        </w:rPr>
        <w:t>川崎病</w:t>
      </w:r>
      <w:r>
        <w:rPr/>
        <w:t>（伴</w:t>
      </w:r>
      <w:r>
        <w:rPr>
          <w:spacing w:val="17"/>
        </w:rPr>
        <w:t>有 冠状动脉瘤）：</w:t>
      </w:r>
    </w:p>
    <w:p>
      <w:pPr>
        <w:pStyle w:val="BodyText"/>
        <w:spacing w:line="273" w:lineRule="auto" w:before="104"/>
        <w:ind w:left="108" w:right="107"/>
        <w:jc w:val="both"/>
      </w:pPr>
      <w:r>
        <w:rPr/>
        <w:br w:type="column"/>
      </w:r>
      <w:r>
        <w:rPr/>
        <w:t>川崎病为一种病因不明的系统性血管炎，主要发生于八岁以下的儿童。川崎病根据轻度贫血、白细胞计数升高和红细胞沉降率升高诊断。血液化验也可能发现血小板（血液中重要的凝血成份）显著升高。</w:t>
      </w:r>
    </w:p>
    <w:p>
      <w:pPr>
        <w:spacing w:after="0" w:line="273" w:lineRule="auto"/>
        <w:jc w:val="both"/>
        <w:sectPr>
          <w:type w:val="continuous"/>
          <w:pgSz w:w="11910" w:h="16840"/>
          <w:pgMar w:top="1380" w:bottom="280" w:left="1260" w:right="1060"/>
          <w:cols w:num="2" w:equalWidth="0">
            <w:col w:w="1942" w:space="40"/>
            <w:col w:w="7608"/>
          </w:cols>
        </w:sectPr>
      </w:pPr>
    </w:p>
    <w:p>
      <w:pPr>
        <w:pStyle w:val="BodyText"/>
        <w:rPr>
          <w:sz w:val="20"/>
        </w:rPr>
      </w:pPr>
    </w:p>
    <w:p>
      <w:pPr>
        <w:pStyle w:val="BodyText"/>
        <w:rPr>
          <w:sz w:val="20"/>
        </w:rPr>
      </w:pPr>
    </w:p>
    <w:p>
      <w:pPr>
        <w:pStyle w:val="BodyText"/>
        <w:rPr>
          <w:sz w:val="20"/>
        </w:rPr>
      </w:pPr>
    </w:p>
    <w:p>
      <w:pPr>
        <w:pStyle w:val="BodyText"/>
        <w:spacing w:before="11"/>
      </w:pPr>
    </w:p>
    <w:p>
      <w:pPr>
        <w:pStyle w:val="Heading2"/>
        <w:numPr>
          <w:ilvl w:val="0"/>
          <w:numId w:val="8"/>
        </w:numPr>
        <w:tabs>
          <w:tab w:pos="827" w:val="left" w:leader="none"/>
        </w:tabs>
        <w:spacing w:line="254" w:lineRule="auto" w:before="0" w:after="0"/>
        <w:ind w:left="826" w:right="0" w:hanging="718"/>
        <w:jc w:val="both"/>
      </w:pPr>
      <w:r>
        <w:rPr>
          <w:spacing w:val="17"/>
        </w:rPr>
        <w:t>严 重幼年</w:t>
      </w:r>
      <w:r>
        <w:rPr>
          <w:spacing w:val="21"/>
        </w:rPr>
        <w:t>型 类风湿关节炎：</w:t>
      </w:r>
    </w:p>
    <w:p>
      <w:pPr>
        <w:pStyle w:val="BodyText"/>
        <w:spacing w:line="273" w:lineRule="auto" w:before="25"/>
        <w:ind w:left="108" w:right="207"/>
      </w:pPr>
      <w:r>
        <w:rPr/>
        <w:br w:type="column"/>
      </w:r>
      <w:r>
        <w:rPr/>
        <w:t>本保单仅对诊断性检查证实川崎病并伴有冠状动脉瘤或其他心血管并发症，而且实际接受了对此等并发症进行的手术治疗的情况予以理赔。</w:t>
      </w:r>
    </w:p>
    <w:p>
      <w:pPr>
        <w:pStyle w:val="BodyText"/>
        <w:spacing w:before="17"/>
        <w:ind w:left="107"/>
      </w:pPr>
      <w:r>
        <w:rPr/>
        <w:t>被保险人自确诊之日起必须生存 </w:t>
      </w:r>
      <w:r>
        <w:rPr>
          <w:rFonts w:ascii="Times New Roman" w:eastAsia="Times New Roman"/>
        </w:rPr>
        <w:t>28 </w:t>
      </w:r>
      <w:r>
        <w:rPr/>
        <w:t>日以上。</w:t>
      </w:r>
    </w:p>
    <w:p>
      <w:pPr>
        <w:pStyle w:val="BodyText"/>
        <w:spacing w:line="256" w:lineRule="auto" w:before="122"/>
        <w:ind w:left="107" w:right="104"/>
      </w:pPr>
      <w:r>
        <w:rPr/>
        <w:t>一种幼年发病的慢性关节炎，特点为关节炎发生数月前出现高热和系统性疾病体征。主要临床表现包括：每日高热、迅速消散的皮疹、关节炎、脾肿大、淋巴结</w:t>
      </w:r>
      <w:r>
        <w:rPr>
          <w:spacing w:val="-26"/>
        </w:rPr>
        <w:t>病、浆膜炎、体重减轻、嗜中性粒细胞增多、急性时蛋白升高和血清抗核抗体</w:t>
      </w:r>
      <w:r>
        <w:rPr/>
        <w:t>（</w:t>
      </w:r>
      <w:r>
        <w:rPr>
          <w:rFonts w:ascii="Times New Roman" w:eastAsia="Times New Roman"/>
        </w:rPr>
        <w:t>ANA</w:t>
      </w:r>
      <w:r>
        <w:rPr/>
        <w:t>） </w:t>
      </w:r>
      <w:r>
        <w:rPr>
          <w:spacing w:val="-1"/>
        </w:rPr>
        <w:t>及类风湿因子</w:t>
      </w:r>
      <w:r>
        <w:rPr/>
        <w:t>（</w:t>
      </w:r>
      <w:r>
        <w:rPr>
          <w:rFonts w:ascii="Times New Roman" w:eastAsia="Times New Roman"/>
        </w:rPr>
        <w:t>RF</w:t>
      </w:r>
      <w:r>
        <w:rPr/>
        <w:t>）阴性。必须由小儿风湿科专家医师确诊。</w:t>
      </w:r>
    </w:p>
    <w:p>
      <w:pPr>
        <w:pStyle w:val="BodyText"/>
        <w:spacing w:line="261" w:lineRule="auto"/>
        <w:ind w:left="108" w:right="207"/>
      </w:pPr>
      <w:r>
        <w:rPr/>
        <w:t>本保单仅对实际接受了膝关节或髋关节置换手术治疗的严重的幼年型类风湿关节炎予以理赔。</w:t>
      </w:r>
    </w:p>
    <w:p>
      <w:pPr>
        <w:pStyle w:val="BodyText"/>
        <w:spacing w:before="13"/>
        <w:ind w:left="108"/>
      </w:pPr>
      <w:r>
        <w:rPr/>
        <w:t>被保险人自确诊之日起必须生存 </w:t>
      </w:r>
      <w:r>
        <w:rPr>
          <w:rFonts w:ascii="Times New Roman" w:eastAsia="Times New Roman"/>
        </w:rPr>
        <w:t>28 </w:t>
      </w:r>
      <w:r>
        <w:rPr/>
        <w:t>日以上。</w:t>
      </w:r>
    </w:p>
    <w:p>
      <w:pPr>
        <w:spacing w:after="0"/>
        <w:sectPr>
          <w:pgSz w:w="11910" w:h="16840"/>
          <w:pgMar w:top="1400" w:bottom="280" w:left="1260" w:right="960"/>
          <w:cols w:num="2" w:equalWidth="0">
            <w:col w:w="1942" w:space="40"/>
            <w:col w:w="7708"/>
          </w:cols>
        </w:sectPr>
      </w:pPr>
    </w:p>
    <w:p>
      <w:pPr>
        <w:pStyle w:val="ListParagraph"/>
        <w:numPr>
          <w:ilvl w:val="0"/>
          <w:numId w:val="8"/>
        </w:numPr>
        <w:tabs>
          <w:tab w:pos="826" w:val="left" w:leader="none"/>
          <w:tab w:pos="827" w:val="left" w:leader="none"/>
          <w:tab w:pos="2090" w:val="left" w:leader="none"/>
        </w:tabs>
        <w:spacing w:line="240" w:lineRule="auto" w:before="122" w:after="0"/>
        <w:ind w:left="2090" w:right="0" w:hanging="1982"/>
        <w:jc w:val="left"/>
        <w:rPr>
          <w:sz w:val="21"/>
        </w:rPr>
      </w:pPr>
      <w:r>
        <w:rPr>
          <w:b/>
          <w:sz w:val="21"/>
        </w:rPr>
        <w:t>肢体缺失：</w:t>
        <w:tab/>
      </w:r>
      <w:r>
        <w:rPr>
          <w:sz w:val="21"/>
        </w:rPr>
        <w:t>疾病或外伤造成的两个以上（含两个）肢体功能完全永久性丧失，或者两个以上</w:t>
      </w:r>
    </w:p>
    <w:p>
      <w:pPr>
        <w:pStyle w:val="BodyText"/>
        <w:spacing w:before="9"/>
        <w:ind w:left="2090"/>
      </w:pPr>
      <w:r>
        <w:rPr/>
        <w:t>（含两个）肢体自腕关节或踝关节以上断离。</w:t>
      </w:r>
    </w:p>
    <w:p>
      <w:pPr>
        <w:pStyle w:val="ListParagraph"/>
        <w:numPr>
          <w:ilvl w:val="0"/>
          <w:numId w:val="8"/>
        </w:numPr>
        <w:tabs>
          <w:tab w:pos="826" w:val="left" w:leader="none"/>
          <w:tab w:pos="827" w:val="left" w:leader="none"/>
          <w:tab w:pos="2090" w:val="left" w:leader="none"/>
        </w:tabs>
        <w:spacing w:line="240" w:lineRule="auto" w:before="137" w:after="0"/>
        <w:ind w:left="826" w:right="0" w:hanging="718"/>
        <w:jc w:val="left"/>
        <w:rPr>
          <w:rFonts w:ascii="Times New Roman" w:eastAsia="Times New Roman"/>
          <w:sz w:val="21"/>
        </w:rPr>
      </w:pPr>
      <w:r>
        <w:rPr>
          <w:b/>
          <w:sz w:val="21"/>
        </w:rPr>
        <w:t>严重烧伤：</w:t>
        <w:tab/>
      </w:r>
      <w:r>
        <w:rPr>
          <w:sz w:val="21"/>
        </w:rPr>
        <w:t>指经我们认可的医院的专科医生确诊的，由于热、电或化学物质引起的超过</w:t>
      </w:r>
      <w:r>
        <w:rPr>
          <w:spacing w:val="-36"/>
          <w:sz w:val="21"/>
        </w:rPr>
        <w:t> </w:t>
      </w:r>
      <w:r>
        <w:rPr>
          <w:rFonts w:ascii="Times New Roman" w:eastAsia="Times New Roman"/>
          <w:sz w:val="21"/>
        </w:rPr>
        <w:t>20%</w:t>
      </w:r>
    </w:p>
    <w:p>
      <w:pPr>
        <w:pStyle w:val="BodyText"/>
        <w:spacing w:line="261" w:lineRule="auto" w:before="8"/>
        <w:ind w:left="2090" w:right="2027" w:hanging="1"/>
      </w:pPr>
      <w:r>
        <w:rPr/>
        <w:t>的体表面积受到三度烧伤。体表面积根据 《九分法》计算。被保险人自确诊之日起必须生存 </w:t>
      </w:r>
      <w:r>
        <w:rPr>
          <w:rFonts w:ascii="Times New Roman" w:eastAsia="Times New Roman"/>
        </w:rPr>
        <w:t>28 </w:t>
      </w:r>
      <w:r>
        <w:rPr/>
        <w:t>日以上。</w:t>
      </w:r>
    </w:p>
    <w:p>
      <w:pPr>
        <w:spacing w:after="0" w:line="261" w:lineRule="auto"/>
        <w:sectPr>
          <w:type w:val="continuous"/>
          <w:pgSz w:w="11910" w:h="16840"/>
          <w:pgMar w:top="1380" w:bottom="280" w:left="1260" w:right="960"/>
        </w:sectPr>
      </w:pPr>
    </w:p>
    <w:p>
      <w:pPr>
        <w:pStyle w:val="Heading2"/>
        <w:numPr>
          <w:ilvl w:val="0"/>
          <w:numId w:val="8"/>
        </w:numPr>
        <w:tabs>
          <w:tab w:pos="826" w:val="left" w:leader="none"/>
          <w:tab w:pos="827" w:val="left" w:leader="none"/>
        </w:tabs>
        <w:spacing w:line="247" w:lineRule="auto" w:before="101" w:after="0"/>
        <w:ind w:left="826" w:right="0" w:hanging="718"/>
        <w:jc w:val="left"/>
      </w:pPr>
      <w:r>
        <w:rPr>
          <w:spacing w:val="17"/>
        </w:rPr>
        <w:t>严 重头部创伤：</w:t>
      </w:r>
    </w:p>
    <w:p>
      <w:pPr>
        <w:pStyle w:val="BodyText"/>
        <w:spacing w:line="261" w:lineRule="auto" w:before="101"/>
        <w:ind w:left="108" w:right="207"/>
      </w:pPr>
      <w:r>
        <w:rPr/>
        <w:br w:type="column"/>
      </w:r>
      <w:r>
        <w:rPr/>
        <w:t>因外部物理打击所致严重头部创伤造成神经系统功能损害，并且必须导致被保险人永久不可逆性的丧失下列活动能力：</w:t>
      </w:r>
    </w:p>
    <w:p>
      <w:pPr>
        <w:pStyle w:val="BodyText"/>
        <w:spacing w:before="5"/>
        <w:ind w:left="108"/>
      </w:pPr>
      <w:r>
        <w:rPr/>
        <w:t>（</w:t>
      </w:r>
      <w:r>
        <w:rPr>
          <w:rFonts w:ascii="Times New Roman" w:eastAsia="Times New Roman"/>
        </w:rPr>
        <w:t>1</w:t>
      </w:r>
      <w:r>
        <w:rPr/>
        <w:t>）在室内从房间到房间之间的平地移动；</w:t>
      </w:r>
    </w:p>
    <w:p>
      <w:pPr>
        <w:pStyle w:val="BodyText"/>
        <w:spacing w:line="247" w:lineRule="auto" w:before="8"/>
        <w:ind w:left="108" w:right="3434" w:hanging="1"/>
      </w:pPr>
      <w:r>
        <w:rPr/>
        <w:t>（</w:t>
      </w:r>
      <w:r>
        <w:rPr>
          <w:rFonts w:ascii="Times New Roman" w:eastAsia="Times New Roman"/>
        </w:rPr>
        <w:t>2</w:t>
      </w:r>
      <w:r>
        <w:rPr/>
        <w:t>）在食物已经准备好的情况下自己进食。被保险人自确诊之日起必须生存 </w:t>
      </w:r>
      <w:r>
        <w:rPr>
          <w:rFonts w:ascii="Times New Roman" w:eastAsia="Times New Roman"/>
        </w:rPr>
        <w:t>28 </w:t>
      </w:r>
      <w:r>
        <w:rPr/>
        <w:t>日以上。</w:t>
      </w:r>
    </w:p>
    <w:p>
      <w:pPr>
        <w:pStyle w:val="BodyText"/>
        <w:spacing w:line="261" w:lineRule="auto" w:before="1"/>
        <w:ind w:left="108" w:right="207"/>
      </w:pPr>
      <w:r>
        <w:rPr/>
        <w:t>若被保险人在四周岁之前，导致上述神经系统功能损害，必须在其四周岁之后进行评估。</w:t>
      </w:r>
    </w:p>
    <w:p>
      <w:pPr>
        <w:spacing w:after="0" w:line="261" w:lineRule="auto"/>
        <w:sectPr>
          <w:type w:val="continuous"/>
          <w:pgSz w:w="11910" w:h="16840"/>
          <w:pgMar w:top="1380" w:bottom="280" w:left="1260" w:right="960"/>
          <w:cols w:num="2" w:equalWidth="0">
            <w:col w:w="1942" w:space="40"/>
            <w:col w:w="7708"/>
          </w:cols>
        </w:sectPr>
      </w:pPr>
    </w:p>
    <w:p>
      <w:pPr>
        <w:pStyle w:val="ListParagraph"/>
        <w:numPr>
          <w:ilvl w:val="0"/>
          <w:numId w:val="8"/>
        </w:numPr>
        <w:tabs>
          <w:tab w:pos="826" w:val="left" w:leader="none"/>
          <w:tab w:pos="827" w:val="left" w:leader="none"/>
          <w:tab w:pos="2090" w:val="left" w:leader="none"/>
        </w:tabs>
        <w:spacing w:line="247" w:lineRule="auto" w:before="118" w:after="0"/>
        <w:ind w:left="2090" w:right="205" w:hanging="1982"/>
        <w:jc w:val="left"/>
        <w:rPr>
          <w:sz w:val="21"/>
        </w:rPr>
      </w:pPr>
      <w:r>
        <w:rPr>
          <w:b/>
          <w:sz w:val="21"/>
        </w:rPr>
        <w:t>瘫痪：</w:t>
        <w:tab/>
      </w:r>
      <w:r>
        <w:rPr>
          <w:spacing w:val="-1"/>
          <w:sz w:val="21"/>
        </w:rPr>
        <w:t>因</w:t>
      </w:r>
      <w:r>
        <w:rPr>
          <w:sz w:val="21"/>
        </w:rPr>
        <w:t>为脊髓外伤或脊髓疾病造成两个以上</w:t>
      </w:r>
      <w:r>
        <w:rPr>
          <w:rFonts w:ascii="Times New Roman" w:eastAsia="Times New Roman"/>
          <w:sz w:val="21"/>
        </w:rPr>
        <w:t>(</w:t>
      </w:r>
      <w:r>
        <w:rPr>
          <w:sz w:val="21"/>
        </w:rPr>
        <w:t>含两个</w:t>
      </w:r>
      <w:r>
        <w:rPr>
          <w:rFonts w:ascii="Times New Roman" w:eastAsia="Times New Roman"/>
          <w:sz w:val="21"/>
        </w:rPr>
        <w:t>)</w:t>
      </w:r>
      <w:r>
        <w:rPr>
          <w:sz w:val="21"/>
        </w:rPr>
        <w:t>肢体功能的完全和永久性丧失</w:t>
      </w:r>
      <w:r>
        <w:rPr>
          <w:spacing w:val="-105"/>
          <w:sz w:val="21"/>
        </w:rPr>
        <w:t>。</w:t>
      </w:r>
      <w:r>
        <w:rPr>
          <w:sz w:val="21"/>
        </w:rPr>
        <w:t>肢体的定义为整个上肢或是整个下肢。</w:t>
      </w:r>
      <w:r>
        <w:rPr>
          <w:spacing w:val="-2"/>
          <w:sz w:val="21"/>
        </w:rPr>
        <w:t> </w:t>
      </w:r>
      <w:r>
        <w:rPr>
          <w:sz w:val="21"/>
        </w:rPr>
        <w:t>或者是下列任何一项的瘫痪：</w:t>
      </w:r>
    </w:p>
    <w:p>
      <w:pPr>
        <w:pStyle w:val="BodyText"/>
        <w:spacing w:line="247" w:lineRule="auto" w:before="18"/>
        <w:ind w:left="2616" w:right="135" w:hanging="526"/>
      </w:pPr>
      <w:r>
        <w:rPr/>
        <w:t>（</w:t>
      </w:r>
      <w:r>
        <w:rPr>
          <w:rFonts w:ascii="Times New Roman" w:eastAsia="Times New Roman"/>
        </w:rPr>
        <w:t>1</w:t>
      </w:r>
      <w:r>
        <w:rPr/>
        <w:t>）四肢瘫痪指脊髓外伤或脊髓疾病所导致的双上肢和双下肢功能完全和永久性丧失。</w:t>
      </w:r>
    </w:p>
    <w:p>
      <w:pPr>
        <w:pStyle w:val="BodyText"/>
        <w:spacing w:before="18"/>
        <w:ind w:left="2090"/>
      </w:pPr>
      <w:r>
        <w:rPr/>
        <w:t>（</w:t>
      </w:r>
      <w:r>
        <w:rPr>
          <w:rFonts w:ascii="Times New Roman" w:eastAsia="Times New Roman"/>
        </w:rPr>
        <w:t>2</w:t>
      </w:r>
      <w:r>
        <w:rPr/>
        <w:t>）截瘫指脊髓外伤或脊髓疾病所导致的双下肢功能完全和永久性丧失。</w:t>
      </w:r>
    </w:p>
    <w:p>
      <w:pPr>
        <w:pStyle w:val="BodyText"/>
        <w:spacing w:before="9"/>
        <w:ind w:left="2090"/>
      </w:pPr>
      <w:r>
        <w:rPr/>
        <w:t>（</w:t>
      </w:r>
      <w:r>
        <w:rPr>
          <w:rFonts w:ascii="Times New Roman" w:eastAsia="Times New Roman"/>
        </w:rPr>
        <w:t>3</w:t>
      </w:r>
      <w:r>
        <w:rPr/>
        <w:t>）双侧瘫指脊髓外伤或脊髓疾病所导致的双侧肢体功能完全和永久性丧失。</w:t>
      </w:r>
    </w:p>
    <w:p>
      <w:pPr>
        <w:pStyle w:val="BodyText"/>
        <w:spacing w:before="9"/>
        <w:ind w:left="2090"/>
      </w:pPr>
      <w:r>
        <w:rPr/>
        <w:t>（</w:t>
      </w:r>
      <w:r>
        <w:rPr>
          <w:rFonts w:ascii="Times New Roman" w:eastAsia="Times New Roman"/>
        </w:rPr>
        <w:t>4</w:t>
      </w:r>
      <w:r>
        <w:rPr/>
        <w:t>）偏瘫指脊髓外伤或脊髓疾病所导致的一侧身体功能完全和永久性丧失。</w:t>
      </w:r>
    </w:p>
    <w:p>
      <w:pPr>
        <w:pStyle w:val="BodyText"/>
        <w:spacing w:line="247" w:lineRule="auto" w:before="8"/>
        <w:ind w:left="2616" w:right="135" w:hanging="526"/>
      </w:pPr>
      <w:r>
        <w:rPr/>
        <w:t>（</w:t>
      </w:r>
      <w:r>
        <w:rPr>
          <w:rFonts w:ascii="Times New Roman" w:eastAsia="Times New Roman"/>
        </w:rPr>
        <w:t>5</w:t>
      </w:r>
      <w:r>
        <w:rPr/>
        <w:t>）全瘫指脊髓外伤或脊髓疾病所导致的双上肢和双下肢功能以及头部运动完全和永久性丧失。</w:t>
      </w:r>
    </w:p>
    <w:p>
      <w:pPr>
        <w:pStyle w:val="BodyText"/>
        <w:spacing w:before="18"/>
        <w:ind w:left="2090"/>
      </w:pPr>
      <w:r>
        <w:rPr/>
        <w:t>除外责任：因格林巴利综合征导致的瘫痪 。</w:t>
      </w:r>
    </w:p>
    <w:p>
      <w:pPr>
        <w:spacing w:after="0"/>
        <w:sectPr>
          <w:type w:val="continuous"/>
          <w:pgSz w:w="11910" w:h="16840"/>
          <w:pgMar w:top="1380" w:bottom="280" w:left="1260" w:right="960"/>
        </w:sectPr>
      </w:pPr>
    </w:p>
    <w:p>
      <w:pPr>
        <w:pStyle w:val="Heading2"/>
        <w:numPr>
          <w:ilvl w:val="0"/>
          <w:numId w:val="8"/>
        </w:numPr>
        <w:tabs>
          <w:tab w:pos="827" w:val="left" w:leader="none"/>
        </w:tabs>
        <w:spacing w:line="256" w:lineRule="auto" w:before="137" w:after="0"/>
        <w:ind w:left="826" w:right="0" w:hanging="718"/>
        <w:jc w:val="both"/>
      </w:pPr>
      <w:r>
        <w:rPr>
          <w:spacing w:val="17"/>
        </w:rPr>
        <w:t>经 输血导</w:t>
      </w:r>
      <w:r>
        <w:rPr>
          <w:spacing w:val="21"/>
        </w:rPr>
        <w:t>致 的人类</w:t>
      </w:r>
      <w:r>
        <w:rPr>
          <w:spacing w:val="22"/>
        </w:rPr>
        <w:t>免 疫缺陷</w:t>
      </w:r>
      <w:r>
        <w:rPr>
          <w:spacing w:val="22"/>
          <w:w w:val="95"/>
        </w:rPr>
        <w:t>病毒感染：</w:t>
      </w:r>
    </w:p>
    <w:p>
      <w:pPr>
        <w:pStyle w:val="BodyText"/>
        <w:spacing w:before="138"/>
        <w:ind w:left="108"/>
      </w:pPr>
      <w:r>
        <w:rPr/>
        <w:br w:type="column"/>
      </w:r>
      <w:r>
        <w:rPr/>
        <w:t>是指被保险人感染上人类免疫缺陷病毒并且符合下列所有条件：</w:t>
      </w:r>
    </w:p>
    <w:p>
      <w:pPr>
        <w:pStyle w:val="BodyText"/>
        <w:spacing w:line="247" w:lineRule="auto" w:before="25"/>
        <w:ind w:left="633" w:right="135" w:hanging="526"/>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8"/>
        <w:ind w:left="633" w:right="137" w:hanging="526"/>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8"/>
        <w:ind w:left="108"/>
      </w:pPr>
      <w:r>
        <w:rPr/>
        <w:t>（</w:t>
      </w:r>
      <w:r>
        <w:rPr>
          <w:rFonts w:ascii="Times New Roman" w:eastAsia="Times New Roman"/>
        </w:rPr>
        <w:t>3</w:t>
      </w:r>
      <w:r>
        <w:rPr/>
        <w:t>）提供输血治疗的输血中心或医院必须拥有合法经营执照；</w:t>
      </w:r>
    </w:p>
    <w:p>
      <w:pPr>
        <w:pStyle w:val="BodyText"/>
        <w:spacing w:before="9"/>
        <w:ind w:left="108"/>
      </w:pPr>
      <w:r>
        <w:rPr/>
        <w:t>（</w:t>
      </w:r>
      <w:r>
        <w:rPr>
          <w:rFonts w:ascii="Times New Roman" w:eastAsia="Times New Roman"/>
        </w:rPr>
        <w:t>4</w:t>
      </w:r>
      <w:r>
        <w:rPr/>
        <w:t>）受感染的被保险人不是血友病患者；</w:t>
      </w:r>
    </w:p>
    <w:p>
      <w:pPr>
        <w:pStyle w:val="BodyText"/>
        <w:spacing w:line="261" w:lineRule="auto" w:before="9"/>
        <w:ind w:left="108" w:right="207"/>
      </w:pPr>
      <w:r>
        <w:rPr/>
        <w:t>在任何治愈艾滋病或阻止人类免疫缺陷病毒病毒作用的疗法被发现以后，或能防止艾滋病发生的医疗方法被研究出来以后，本保障将不再予以赔付。</w:t>
      </w:r>
    </w:p>
    <w:p>
      <w:pPr>
        <w:pStyle w:val="BodyText"/>
        <w:spacing w:line="261" w:lineRule="auto" w:before="6"/>
        <w:ind w:left="108" w:right="207"/>
      </w:pPr>
      <w:r>
        <w:rPr/>
        <w:t>任何因其他传播方式（包括：性传播或静脉注射毒品）导致的人类免疫缺陷病毒感染不在本保单保障范围内。</w:t>
      </w:r>
    </w:p>
    <w:p>
      <w:pPr>
        <w:pStyle w:val="BodyText"/>
        <w:spacing w:before="6"/>
        <w:ind w:left="108"/>
      </w:pPr>
      <w:r>
        <w:rPr/>
        <w:t>保险公司必须拥有获得使用被保险人的血液样本的权利和能够对这些样本进行独</w:t>
      </w:r>
    </w:p>
    <w:p>
      <w:pPr>
        <w:spacing w:after="0"/>
        <w:sectPr>
          <w:type w:val="continuous"/>
          <w:pgSz w:w="11910" w:h="16840"/>
          <w:pgMar w:top="1380" w:bottom="280" w:left="1260" w:right="960"/>
          <w:cols w:num="2" w:equalWidth="0">
            <w:col w:w="1942" w:space="40"/>
            <w:col w:w="7708"/>
          </w:cols>
        </w:sectPr>
      </w:pPr>
    </w:p>
    <w:p>
      <w:pPr>
        <w:pStyle w:val="BodyText"/>
        <w:rPr>
          <w:sz w:val="22"/>
        </w:rPr>
      </w:pPr>
    </w:p>
    <w:p>
      <w:pPr>
        <w:pStyle w:val="BodyText"/>
        <w:rPr>
          <w:sz w:val="22"/>
        </w:rPr>
      </w:pPr>
    </w:p>
    <w:p>
      <w:pPr>
        <w:pStyle w:val="Heading2"/>
        <w:tabs>
          <w:tab w:pos="826" w:val="left" w:leader="none"/>
        </w:tabs>
        <w:spacing w:before="151"/>
        <w:ind w:left="108" w:firstLine="0"/>
      </w:pPr>
      <w:r>
        <w:rPr/>
        <w:t>注</w:t>
      </w:r>
      <w:r>
        <w:rPr>
          <w:spacing w:val="-53"/>
        </w:rPr>
        <w:t> </w:t>
      </w:r>
      <w:r>
        <w:rPr>
          <w:rFonts w:ascii="Times New Roman" w:eastAsia="Times New Roman"/>
        </w:rPr>
        <w:t>1.</w:t>
        <w:tab/>
      </w:r>
      <w:r>
        <w:rPr/>
        <w:t>永</w:t>
      </w:r>
      <w:r>
        <w:rPr>
          <w:spacing w:val="-39"/>
        </w:rPr>
        <w:t> </w:t>
      </w:r>
      <w:r>
        <w:rPr>
          <w:spacing w:val="66"/>
        </w:rPr>
        <w:t>久不</w:t>
      </w:r>
      <w:r>
        <w:rPr/>
        <w:t>可</w:t>
      </w:r>
      <w:r>
        <w:rPr>
          <w:spacing w:val="-38"/>
        </w:rPr>
        <w:t> </w:t>
      </w:r>
    </w:p>
    <w:p>
      <w:pPr>
        <w:spacing w:before="8"/>
        <w:ind w:left="826" w:right="0" w:firstLine="0"/>
        <w:jc w:val="left"/>
        <w:rPr>
          <w:b/>
          <w:sz w:val="21"/>
        </w:rPr>
      </w:pPr>
      <w:r>
        <w:rPr>
          <w:b/>
          <w:sz w:val="21"/>
        </w:rPr>
        <w:t>逆性：</w:t>
      </w:r>
    </w:p>
    <w:p>
      <w:pPr>
        <w:pStyle w:val="BodyText"/>
        <w:spacing w:before="14"/>
        <w:ind w:left="108"/>
      </w:pPr>
      <w:r>
        <w:rPr/>
        <w:br w:type="column"/>
      </w:r>
      <w:r>
        <w:rPr/>
        <w:t>立检验的权利。</w:t>
      </w:r>
    </w:p>
    <w:p>
      <w:pPr>
        <w:pStyle w:val="BodyText"/>
        <w:spacing w:before="24"/>
        <w:ind w:left="108"/>
      </w:pPr>
      <w:r>
        <w:rPr/>
        <w:t>被保险人自确诊之日起必须生存 </w:t>
      </w:r>
      <w:r>
        <w:rPr>
          <w:rFonts w:ascii="Times New Roman" w:eastAsia="Times New Roman"/>
        </w:rPr>
        <w:t>28 </w:t>
      </w:r>
      <w:r>
        <w:rPr/>
        <w:t>日以上。</w:t>
      </w:r>
    </w:p>
    <w:p>
      <w:pPr>
        <w:pStyle w:val="BodyText"/>
        <w:spacing w:line="247" w:lineRule="auto" w:before="121"/>
        <w:ind w:left="108" w:right="61"/>
      </w:pPr>
      <w:r>
        <w:rPr/>
        <w:t>是指由于疾病或意外伤害导致被保险人丧失某种能力持续超过 </w:t>
      </w:r>
      <w:r>
        <w:rPr>
          <w:rFonts w:ascii="Times New Roman" w:eastAsia="Times New Roman"/>
        </w:rPr>
        <w:t>180 </w:t>
      </w:r>
      <w:r>
        <w:rPr/>
        <w:t>日，并且这种能力丧失将不可能恢复并且后遗终身。</w:t>
      </w:r>
    </w:p>
    <w:p>
      <w:pPr>
        <w:pStyle w:val="BodyText"/>
        <w:rPr>
          <w:sz w:val="20"/>
        </w:rPr>
      </w:pPr>
    </w:p>
    <w:p>
      <w:pPr>
        <w:pStyle w:val="BodyText"/>
        <w:spacing w:before="2"/>
      </w:pPr>
    </w:p>
    <w:p>
      <w:pPr>
        <w:pStyle w:val="BodyText"/>
        <w:ind w:left="1870"/>
      </w:pPr>
      <w:r>
        <w:rPr/>
        <w:t>（条款全文结束）</w:t>
      </w:r>
    </w:p>
    <w:sectPr>
      <w:pgSz w:w="11910" w:h="16840"/>
      <w:pgMar w:top="1420" w:bottom="280" w:left="1260" w:right="1060"/>
      <w:cols w:num="2" w:equalWidth="0">
        <w:col w:w="1942" w:space="40"/>
        <w:col w:w="760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2090" w:hanging="719"/>
        <w:jc w:val="left"/>
      </w:pPr>
      <w:rPr>
        <w:rFonts w:hint="default" w:ascii="Times New Roman" w:hAnsi="Times New Roman" w:eastAsia="Times New Roman" w:cs="Times New Roman"/>
        <w:b/>
        <w:bCs/>
        <w:spacing w:val="-2"/>
        <w:w w:val="99"/>
        <w:sz w:val="21"/>
        <w:szCs w:val="21"/>
      </w:rPr>
    </w:lvl>
    <w:lvl w:ilvl="1">
      <w:start w:val="0"/>
      <w:numFmt w:val="bullet"/>
      <w:lvlText w:val="•"/>
      <w:lvlJc w:val="left"/>
      <w:pPr>
        <w:ind w:left="2848" w:hanging="719"/>
      </w:pPr>
      <w:rPr>
        <w:rFonts w:hint="default"/>
      </w:rPr>
    </w:lvl>
    <w:lvl w:ilvl="2">
      <w:start w:val="0"/>
      <w:numFmt w:val="bullet"/>
      <w:lvlText w:val="•"/>
      <w:lvlJc w:val="left"/>
      <w:pPr>
        <w:ind w:left="3596" w:hanging="719"/>
      </w:pPr>
      <w:rPr>
        <w:rFonts w:hint="default"/>
      </w:rPr>
    </w:lvl>
    <w:lvl w:ilvl="3">
      <w:start w:val="0"/>
      <w:numFmt w:val="bullet"/>
      <w:lvlText w:val="•"/>
      <w:lvlJc w:val="left"/>
      <w:pPr>
        <w:ind w:left="4345" w:hanging="719"/>
      </w:pPr>
      <w:rPr>
        <w:rFonts w:hint="default"/>
      </w:rPr>
    </w:lvl>
    <w:lvl w:ilvl="4">
      <w:start w:val="0"/>
      <w:numFmt w:val="bullet"/>
      <w:lvlText w:val="•"/>
      <w:lvlJc w:val="left"/>
      <w:pPr>
        <w:ind w:left="5093" w:hanging="719"/>
      </w:pPr>
      <w:rPr>
        <w:rFonts w:hint="default"/>
      </w:rPr>
    </w:lvl>
    <w:lvl w:ilvl="5">
      <w:start w:val="0"/>
      <w:numFmt w:val="bullet"/>
      <w:lvlText w:val="•"/>
      <w:lvlJc w:val="left"/>
      <w:pPr>
        <w:ind w:left="5842" w:hanging="719"/>
      </w:pPr>
      <w:rPr>
        <w:rFonts w:hint="default"/>
      </w:rPr>
    </w:lvl>
    <w:lvl w:ilvl="6">
      <w:start w:val="0"/>
      <w:numFmt w:val="bullet"/>
      <w:lvlText w:val="•"/>
      <w:lvlJc w:val="left"/>
      <w:pPr>
        <w:ind w:left="6590" w:hanging="719"/>
      </w:pPr>
      <w:rPr>
        <w:rFonts w:hint="default"/>
      </w:rPr>
    </w:lvl>
    <w:lvl w:ilvl="7">
      <w:start w:val="0"/>
      <w:numFmt w:val="bullet"/>
      <w:lvlText w:val="•"/>
      <w:lvlJc w:val="left"/>
      <w:pPr>
        <w:ind w:left="7339" w:hanging="719"/>
      </w:pPr>
      <w:rPr>
        <w:rFonts w:hint="default"/>
      </w:rPr>
    </w:lvl>
    <w:lvl w:ilvl="8">
      <w:start w:val="0"/>
      <w:numFmt w:val="bullet"/>
      <w:lvlText w:val="•"/>
      <w:lvlJc w:val="left"/>
      <w:pPr>
        <w:ind w:left="8087" w:hanging="719"/>
      </w:pPr>
      <w:rPr>
        <w:rFonts w:hint="default"/>
      </w:rPr>
    </w:lvl>
  </w:abstractNum>
  <w:abstractNum w:abstractNumId="6">
    <w:multiLevelType w:val="hybridMultilevel"/>
    <w:lvl w:ilvl="0">
      <w:start w:val="6"/>
      <w:numFmt w:val="decimal"/>
      <w:lvlText w:val="%1"/>
      <w:lvlJc w:val="left"/>
      <w:pPr>
        <w:ind w:left="926" w:hanging="719"/>
        <w:jc w:val="left"/>
      </w:pPr>
      <w:rPr>
        <w:rFonts w:hint="default"/>
      </w:rPr>
    </w:lvl>
    <w:lvl w:ilvl="1">
      <w:start w:val="1"/>
      <w:numFmt w:val="decimal"/>
      <w:lvlText w:val="%1.%2"/>
      <w:lvlJc w:val="left"/>
      <w:pPr>
        <w:ind w:left="2190" w:hanging="719"/>
        <w:jc w:val="right"/>
      </w:pPr>
      <w:rPr>
        <w:rFonts w:hint="default" w:ascii="Times New Roman" w:hAnsi="Times New Roman" w:eastAsia="Times New Roman" w:cs="Times New Roman"/>
        <w:b/>
        <w:bCs/>
        <w:w w:val="99"/>
        <w:sz w:val="21"/>
        <w:szCs w:val="21"/>
      </w:rPr>
    </w:lvl>
    <w:lvl w:ilvl="2">
      <w:start w:val="0"/>
      <w:numFmt w:val="bullet"/>
      <w:lvlText w:val="•"/>
      <w:lvlJc w:val="left"/>
      <w:pPr>
        <w:ind w:left="3042" w:hanging="719"/>
      </w:pPr>
      <w:rPr>
        <w:rFonts w:hint="default"/>
      </w:rPr>
    </w:lvl>
    <w:lvl w:ilvl="3">
      <w:start w:val="0"/>
      <w:numFmt w:val="bullet"/>
      <w:lvlText w:val="•"/>
      <w:lvlJc w:val="left"/>
      <w:pPr>
        <w:ind w:left="3885" w:hanging="719"/>
      </w:pPr>
      <w:rPr>
        <w:rFonts w:hint="default"/>
      </w:rPr>
    </w:lvl>
    <w:lvl w:ilvl="4">
      <w:start w:val="0"/>
      <w:numFmt w:val="bullet"/>
      <w:lvlText w:val="•"/>
      <w:lvlJc w:val="left"/>
      <w:pPr>
        <w:ind w:left="4728" w:hanging="719"/>
      </w:pPr>
      <w:rPr>
        <w:rFonts w:hint="default"/>
      </w:rPr>
    </w:lvl>
    <w:lvl w:ilvl="5">
      <w:start w:val="0"/>
      <w:numFmt w:val="bullet"/>
      <w:lvlText w:val="•"/>
      <w:lvlJc w:val="left"/>
      <w:pPr>
        <w:ind w:left="5570" w:hanging="719"/>
      </w:pPr>
      <w:rPr>
        <w:rFonts w:hint="default"/>
      </w:rPr>
    </w:lvl>
    <w:lvl w:ilvl="6">
      <w:start w:val="0"/>
      <w:numFmt w:val="bullet"/>
      <w:lvlText w:val="•"/>
      <w:lvlJc w:val="left"/>
      <w:pPr>
        <w:ind w:left="6413" w:hanging="719"/>
      </w:pPr>
      <w:rPr>
        <w:rFonts w:hint="default"/>
      </w:rPr>
    </w:lvl>
    <w:lvl w:ilvl="7">
      <w:start w:val="0"/>
      <w:numFmt w:val="bullet"/>
      <w:lvlText w:val="•"/>
      <w:lvlJc w:val="left"/>
      <w:pPr>
        <w:ind w:left="7256" w:hanging="719"/>
      </w:pPr>
      <w:rPr>
        <w:rFonts w:hint="default"/>
      </w:rPr>
    </w:lvl>
    <w:lvl w:ilvl="8">
      <w:start w:val="0"/>
      <w:numFmt w:val="bullet"/>
      <w:lvlText w:val="•"/>
      <w:lvlJc w:val="left"/>
      <w:pPr>
        <w:ind w:left="8098" w:hanging="719"/>
      </w:pPr>
      <w:rPr>
        <w:rFonts w:hint="default"/>
      </w:rPr>
    </w:lvl>
  </w:abstractNum>
  <w:abstractNum w:abstractNumId="5">
    <w:multiLevelType w:val="hybridMultilevel"/>
    <w:lvl w:ilvl="0">
      <w:start w:val="4"/>
      <w:numFmt w:val="decimal"/>
      <w:lvlText w:val="%1"/>
      <w:lvlJc w:val="left"/>
      <w:pPr>
        <w:ind w:left="942" w:hanging="735"/>
        <w:jc w:val="left"/>
      </w:pPr>
      <w:rPr>
        <w:rFonts w:hint="default"/>
      </w:rPr>
    </w:lvl>
    <w:lvl w:ilvl="1">
      <w:start w:val="1"/>
      <w:numFmt w:val="decimal"/>
      <w:lvlText w:val="%1.%2"/>
      <w:lvlJc w:val="left"/>
      <w:pPr>
        <w:ind w:left="942" w:hanging="735"/>
        <w:jc w:val="left"/>
      </w:pPr>
      <w:rPr>
        <w:rFonts w:hint="default" w:ascii="Times New Roman" w:hAnsi="Times New Roman" w:eastAsia="Times New Roman" w:cs="Times New Roman"/>
        <w:b/>
        <w:bCs/>
        <w:w w:val="99"/>
        <w:sz w:val="21"/>
        <w:szCs w:val="21"/>
      </w:rPr>
    </w:lvl>
    <w:lvl w:ilvl="2">
      <w:start w:val="0"/>
      <w:numFmt w:val="bullet"/>
      <w:lvlText w:val="•"/>
      <w:lvlJc w:val="left"/>
      <w:pPr>
        <w:ind w:left="2708" w:hanging="735"/>
      </w:pPr>
      <w:rPr>
        <w:rFonts w:hint="default"/>
      </w:rPr>
    </w:lvl>
    <w:lvl w:ilvl="3">
      <w:start w:val="0"/>
      <w:numFmt w:val="bullet"/>
      <w:lvlText w:val="•"/>
      <w:lvlJc w:val="left"/>
      <w:pPr>
        <w:ind w:left="3593" w:hanging="735"/>
      </w:pPr>
      <w:rPr>
        <w:rFonts w:hint="default"/>
      </w:rPr>
    </w:lvl>
    <w:lvl w:ilvl="4">
      <w:start w:val="0"/>
      <w:numFmt w:val="bullet"/>
      <w:lvlText w:val="•"/>
      <w:lvlJc w:val="left"/>
      <w:pPr>
        <w:ind w:left="4477" w:hanging="735"/>
      </w:pPr>
      <w:rPr>
        <w:rFonts w:hint="default"/>
      </w:rPr>
    </w:lvl>
    <w:lvl w:ilvl="5">
      <w:start w:val="0"/>
      <w:numFmt w:val="bullet"/>
      <w:lvlText w:val="•"/>
      <w:lvlJc w:val="left"/>
      <w:pPr>
        <w:ind w:left="5362" w:hanging="735"/>
      </w:pPr>
      <w:rPr>
        <w:rFonts w:hint="default"/>
      </w:rPr>
    </w:lvl>
    <w:lvl w:ilvl="6">
      <w:start w:val="0"/>
      <w:numFmt w:val="bullet"/>
      <w:lvlText w:val="•"/>
      <w:lvlJc w:val="left"/>
      <w:pPr>
        <w:ind w:left="6246" w:hanging="735"/>
      </w:pPr>
      <w:rPr>
        <w:rFonts w:hint="default"/>
      </w:rPr>
    </w:lvl>
    <w:lvl w:ilvl="7">
      <w:start w:val="0"/>
      <w:numFmt w:val="bullet"/>
      <w:lvlText w:val="•"/>
      <w:lvlJc w:val="left"/>
      <w:pPr>
        <w:ind w:left="7131" w:hanging="735"/>
      </w:pPr>
      <w:rPr>
        <w:rFonts w:hint="default"/>
      </w:rPr>
    </w:lvl>
    <w:lvl w:ilvl="8">
      <w:start w:val="0"/>
      <w:numFmt w:val="bullet"/>
      <w:lvlText w:val="•"/>
      <w:lvlJc w:val="left"/>
      <w:pPr>
        <w:ind w:left="8015" w:hanging="735"/>
      </w:pPr>
      <w:rPr>
        <w:rFonts w:hint="default"/>
      </w:rPr>
    </w:lvl>
  </w:abstractNum>
  <w:abstractNum w:abstractNumId="4">
    <w:multiLevelType w:val="hybridMultilevel"/>
    <w:lvl w:ilvl="0">
      <w:start w:val="3"/>
      <w:numFmt w:val="decimal"/>
      <w:lvlText w:val="%1"/>
      <w:lvlJc w:val="left"/>
      <w:pPr>
        <w:ind w:left="942" w:hanging="735"/>
        <w:jc w:val="left"/>
      </w:pPr>
      <w:rPr>
        <w:rFonts w:hint="default"/>
      </w:rPr>
    </w:lvl>
    <w:lvl w:ilvl="1">
      <w:start w:val="1"/>
      <w:numFmt w:val="decimal"/>
      <w:lvlText w:val="%1.%2"/>
      <w:lvlJc w:val="left"/>
      <w:pPr>
        <w:ind w:left="942" w:hanging="735"/>
        <w:jc w:val="left"/>
      </w:pPr>
      <w:rPr>
        <w:rFonts w:hint="default" w:ascii="Times New Roman" w:hAnsi="Times New Roman" w:eastAsia="Times New Roman" w:cs="Times New Roman"/>
        <w:b/>
        <w:bCs/>
        <w:spacing w:val="-2"/>
        <w:w w:val="99"/>
        <w:sz w:val="21"/>
        <w:szCs w:val="21"/>
      </w:rPr>
    </w:lvl>
    <w:lvl w:ilvl="2">
      <w:start w:val="0"/>
      <w:numFmt w:val="bullet"/>
      <w:lvlText w:val="•"/>
      <w:lvlJc w:val="left"/>
      <w:pPr>
        <w:ind w:left="1109" w:hanging="735"/>
      </w:pPr>
      <w:rPr>
        <w:rFonts w:hint="default"/>
      </w:rPr>
    </w:lvl>
    <w:lvl w:ilvl="3">
      <w:start w:val="0"/>
      <w:numFmt w:val="bullet"/>
      <w:lvlText w:val="•"/>
      <w:lvlJc w:val="left"/>
      <w:pPr>
        <w:ind w:left="1194" w:hanging="735"/>
      </w:pPr>
      <w:rPr>
        <w:rFonts w:hint="default"/>
      </w:rPr>
    </w:lvl>
    <w:lvl w:ilvl="4">
      <w:start w:val="0"/>
      <w:numFmt w:val="bullet"/>
      <w:lvlText w:val="•"/>
      <w:lvlJc w:val="left"/>
      <w:pPr>
        <w:ind w:left="1278" w:hanging="735"/>
      </w:pPr>
      <w:rPr>
        <w:rFonts w:hint="default"/>
      </w:rPr>
    </w:lvl>
    <w:lvl w:ilvl="5">
      <w:start w:val="0"/>
      <w:numFmt w:val="bullet"/>
      <w:lvlText w:val="•"/>
      <w:lvlJc w:val="left"/>
      <w:pPr>
        <w:ind w:left="1363" w:hanging="735"/>
      </w:pPr>
      <w:rPr>
        <w:rFonts w:hint="default"/>
      </w:rPr>
    </w:lvl>
    <w:lvl w:ilvl="6">
      <w:start w:val="0"/>
      <w:numFmt w:val="bullet"/>
      <w:lvlText w:val="•"/>
      <w:lvlJc w:val="left"/>
      <w:pPr>
        <w:ind w:left="1448" w:hanging="735"/>
      </w:pPr>
      <w:rPr>
        <w:rFonts w:hint="default"/>
      </w:rPr>
    </w:lvl>
    <w:lvl w:ilvl="7">
      <w:start w:val="0"/>
      <w:numFmt w:val="bullet"/>
      <w:lvlText w:val="•"/>
      <w:lvlJc w:val="left"/>
      <w:pPr>
        <w:ind w:left="1533" w:hanging="735"/>
      </w:pPr>
      <w:rPr>
        <w:rFonts w:hint="default"/>
      </w:rPr>
    </w:lvl>
    <w:lvl w:ilvl="8">
      <w:start w:val="0"/>
      <w:numFmt w:val="bullet"/>
      <w:lvlText w:val="•"/>
      <w:lvlJc w:val="left"/>
      <w:pPr>
        <w:ind w:left="1617" w:hanging="735"/>
      </w:pPr>
      <w:rPr>
        <w:rFonts w:hint="default"/>
      </w:rPr>
    </w:lvl>
  </w:abstractNum>
  <w:abstractNum w:abstractNumId="3">
    <w:multiLevelType w:val="hybridMultilevel"/>
    <w:lvl w:ilvl="0">
      <w:start w:val="2"/>
      <w:numFmt w:val="decimal"/>
      <w:lvlText w:val="%1"/>
      <w:lvlJc w:val="left"/>
      <w:pPr>
        <w:ind w:left="942" w:hanging="735"/>
        <w:jc w:val="left"/>
      </w:pPr>
      <w:rPr>
        <w:rFonts w:hint="default"/>
      </w:rPr>
    </w:lvl>
    <w:lvl w:ilvl="1">
      <w:start w:val="1"/>
      <w:numFmt w:val="decimal"/>
      <w:lvlText w:val="%1.%2"/>
      <w:lvlJc w:val="left"/>
      <w:pPr>
        <w:ind w:left="942" w:hanging="735"/>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35"/>
      </w:pPr>
      <w:rPr>
        <w:rFonts w:hint="default"/>
      </w:rPr>
    </w:lvl>
    <w:lvl w:ilvl="3">
      <w:start w:val="0"/>
      <w:numFmt w:val="bullet"/>
      <w:lvlText w:val="•"/>
      <w:lvlJc w:val="left"/>
      <w:pPr>
        <w:ind w:left="1194" w:hanging="735"/>
      </w:pPr>
      <w:rPr>
        <w:rFonts w:hint="default"/>
      </w:rPr>
    </w:lvl>
    <w:lvl w:ilvl="4">
      <w:start w:val="0"/>
      <w:numFmt w:val="bullet"/>
      <w:lvlText w:val="•"/>
      <w:lvlJc w:val="left"/>
      <w:pPr>
        <w:ind w:left="1278" w:hanging="735"/>
      </w:pPr>
      <w:rPr>
        <w:rFonts w:hint="default"/>
      </w:rPr>
    </w:lvl>
    <w:lvl w:ilvl="5">
      <w:start w:val="0"/>
      <w:numFmt w:val="bullet"/>
      <w:lvlText w:val="•"/>
      <w:lvlJc w:val="left"/>
      <w:pPr>
        <w:ind w:left="1363" w:hanging="735"/>
      </w:pPr>
      <w:rPr>
        <w:rFonts w:hint="default"/>
      </w:rPr>
    </w:lvl>
    <w:lvl w:ilvl="6">
      <w:start w:val="0"/>
      <w:numFmt w:val="bullet"/>
      <w:lvlText w:val="•"/>
      <w:lvlJc w:val="left"/>
      <w:pPr>
        <w:ind w:left="1448" w:hanging="735"/>
      </w:pPr>
      <w:rPr>
        <w:rFonts w:hint="default"/>
      </w:rPr>
    </w:lvl>
    <w:lvl w:ilvl="7">
      <w:start w:val="0"/>
      <w:numFmt w:val="bullet"/>
      <w:lvlText w:val="•"/>
      <w:lvlJc w:val="left"/>
      <w:pPr>
        <w:ind w:left="1533" w:hanging="735"/>
      </w:pPr>
      <w:rPr>
        <w:rFonts w:hint="default"/>
      </w:rPr>
    </w:lvl>
    <w:lvl w:ilvl="8">
      <w:start w:val="0"/>
      <w:numFmt w:val="bullet"/>
      <w:lvlText w:val="•"/>
      <w:lvlJc w:val="left"/>
      <w:pPr>
        <w:ind w:left="1617" w:hanging="735"/>
      </w:pPr>
      <w:rPr>
        <w:rFonts w:hint="default"/>
      </w:rPr>
    </w:lvl>
  </w:abstractNum>
  <w:abstractNum w:abstractNumId="2">
    <w:multiLevelType w:val="hybridMultilevel"/>
    <w:lvl w:ilvl="0">
      <w:start w:val="1"/>
      <w:numFmt w:val="decimal"/>
      <w:lvlText w:val="%1"/>
      <w:lvlJc w:val="left"/>
      <w:pPr>
        <w:ind w:left="942" w:hanging="735"/>
        <w:jc w:val="left"/>
      </w:pPr>
      <w:rPr>
        <w:rFonts w:hint="default"/>
      </w:rPr>
    </w:lvl>
    <w:lvl w:ilvl="1">
      <w:start w:val="1"/>
      <w:numFmt w:val="decimal"/>
      <w:lvlText w:val="%1.%2"/>
      <w:lvlJc w:val="left"/>
      <w:pPr>
        <w:ind w:left="942" w:hanging="735"/>
        <w:jc w:val="left"/>
      </w:pPr>
      <w:rPr>
        <w:rFonts w:hint="default" w:ascii="Times New Roman" w:hAnsi="Times New Roman" w:eastAsia="Times New Roman" w:cs="Times New Roman"/>
        <w:b/>
        <w:bCs/>
        <w:spacing w:val="-2"/>
        <w:w w:val="99"/>
        <w:sz w:val="21"/>
        <w:szCs w:val="21"/>
      </w:rPr>
    </w:lvl>
    <w:lvl w:ilvl="2">
      <w:start w:val="0"/>
      <w:numFmt w:val="bullet"/>
      <w:lvlText w:val="•"/>
      <w:lvlJc w:val="left"/>
      <w:pPr>
        <w:ind w:left="1109" w:hanging="735"/>
      </w:pPr>
      <w:rPr>
        <w:rFonts w:hint="default"/>
      </w:rPr>
    </w:lvl>
    <w:lvl w:ilvl="3">
      <w:start w:val="0"/>
      <w:numFmt w:val="bullet"/>
      <w:lvlText w:val="•"/>
      <w:lvlJc w:val="left"/>
      <w:pPr>
        <w:ind w:left="1194" w:hanging="735"/>
      </w:pPr>
      <w:rPr>
        <w:rFonts w:hint="default"/>
      </w:rPr>
    </w:lvl>
    <w:lvl w:ilvl="4">
      <w:start w:val="0"/>
      <w:numFmt w:val="bullet"/>
      <w:lvlText w:val="•"/>
      <w:lvlJc w:val="left"/>
      <w:pPr>
        <w:ind w:left="1278" w:hanging="735"/>
      </w:pPr>
      <w:rPr>
        <w:rFonts w:hint="default"/>
      </w:rPr>
    </w:lvl>
    <w:lvl w:ilvl="5">
      <w:start w:val="0"/>
      <w:numFmt w:val="bullet"/>
      <w:lvlText w:val="•"/>
      <w:lvlJc w:val="left"/>
      <w:pPr>
        <w:ind w:left="1363" w:hanging="735"/>
      </w:pPr>
      <w:rPr>
        <w:rFonts w:hint="default"/>
      </w:rPr>
    </w:lvl>
    <w:lvl w:ilvl="6">
      <w:start w:val="0"/>
      <w:numFmt w:val="bullet"/>
      <w:lvlText w:val="•"/>
      <w:lvlJc w:val="left"/>
      <w:pPr>
        <w:ind w:left="1448" w:hanging="735"/>
      </w:pPr>
      <w:rPr>
        <w:rFonts w:hint="default"/>
      </w:rPr>
    </w:lvl>
    <w:lvl w:ilvl="7">
      <w:start w:val="0"/>
      <w:numFmt w:val="bullet"/>
      <w:lvlText w:val="•"/>
      <w:lvlJc w:val="left"/>
      <w:pPr>
        <w:ind w:left="1533" w:hanging="735"/>
      </w:pPr>
      <w:rPr>
        <w:rFonts w:hint="default"/>
      </w:rPr>
    </w:lvl>
    <w:lvl w:ilvl="8">
      <w:start w:val="0"/>
      <w:numFmt w:val="bullet"/>
      <w:lvlText w:val="•"/>
      <w:lvlJc w:val="left"/>
      <w:pPr>
        <w:ind w:left="1617" w:hanging="735"/>
      </w:pPr>
      <w:rPr>
        <w:rFonts w:hint="default"/>
      </w:rPr>
    </w:lvl>
  </w:abstractNum>
  <w:abstractNum w:abstractNumId="1">
    <w:multiLevelType w:val="hybridMultilevel"/>
    <w:lvl w:ilvl="0">
      <w:start w:val="0"/>
      <w:numFmt w:val="bullet"/>
      <w:lvlText w:val=""/>
      <w:lvlJc w:val="left"/>
      <w:pPr>
        <w:ind w:left="541" w:hanging="420"/>
      </w:pPr>
      <w:rPr>
        <w:rFonts w:hint="default" w:ascii="Wingdings" w:hAnsi="Wingdings" w:eastAsia="Wingdings" w:cs="Wingdings"/>
        <w:w w:val="100"/>
        <w:sz w:val="21"/>
        <w:szCs w:val="21"/>
      </w:rPr>
    </w:lvl>
    <w:lvl w:ilvl="1">
      <w:start w:val="0"/>
      <w:numFmt w:val="bullet"/>
      <w:lvlText w:val="•"/>
      <w:lvlJc w:val="left"/>
      <w:pPr>
        <w:ind w:left="1452" w:hanging="420"/>
      </w:pPr>
      <w:rPr>
        <w:rFonts w:hint="default"/>
      </w:rPr>
    </w:lvl>
    <w:lvl w:ilvl="2">
      <w:start w:val="0"/>
      <w:numFmt w:val="bullet"/>
      <w:lvlText w:val="•"/>
      <w:lvlJc w:val="left"/>
      <w:pPr>
        <w:ind w:left="2364"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189" w:hanging="420"/>
      </w:pPr>
      <w:rPr>
        <w:rFonts w:hint="default"/>
      </w:rPr>
    </w:lvl>
    <w:lvl w:ilvl="5">
      <w:start w:val="0"/>
      <w:numFmt w:val="bullet"/>
      <w:lvlText w:val="•"/>
      <w:lvlJc w:val="left"/>
      <w:pPr>
        <w:ind w:left="5102" w:hanging="420"/>
      </w:pPr>
      <w:rPr>
        <w:rFonts w:hint="default"/>
      </w:rPr>
    </w:lvl>
    <w:lvl w:ilvl="6">
      <w:start w:val="0"/>
      <w:numFmt w:val="bullet"/>
      <w:lvlText w:val="•"/>
      <w:lvlJc w:val="left"/>
      <w:pPr>
        <w:ind w:left="6014" w:hanging="420"/>
      </w:pPr>
      <w:rPr>
        <w:rFonts w:hint="default"/>
      </w:rPr>
    </w:lvl>
    <w:lvl w:ilvl="7">
      <w:start w:val="0"/>
      <w:numFmt w:val="bullet"/>
      <w:lvlText w:val="•"/>
      <w:lvlJc w:val="left"/>
      <w:pPr>
        <w:ind w:left="6927" w:hanging="420"/>
      </w:pPr>
      <w:rPr>
        <w:rFonts w:hint="default"/>
      </w:rPr>
    </w:lvl>
    <w:lvl w:ilvl="8">
      <w:start w:val="0"/>
      <w:numFmt w:val="bullet"/>
      <w:lvlText w:val="•"/>
      <w:lvlJc w:val="left"/>
      <w:pPr>
        <w:ind w:left="7839" w:hanging="420"/>
      </w:pPr>
      <w:rPr>
        <w:rFonts w:hint="default"/>
      </w:rPr>
    </w:lvl>
  </w:abstractNum>
  <w:abstractNum w:abstractNumId="0">
    <w:multiLevelType w:val="hybridMultilevel"/>
    <w:lvl w:ilvl="0">
      <w:start w:val="1"/>
      <w:numFmt w:val="decimal"/>
      <w:lvlText w:val="%1."/>
      <w:lvlJc w:val="left"/>
      <w:pPr>
        <w:ind w:left="383"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908"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873" w:hanging="369"/>
      </w:pPr>
      <w:rPr>
        <w:rFonts w:hint="default"/>
      </w:rPr>
    </w:lvl>
    <w:lvl w:ilvl="3">
      <w:start w:val="0"/>
      <w:numFmt w:val="bullet"/>
      <w:lvlText w:val="•"/>
      <w:lvlJc w:val="left"/>
      <w:pPr>
        <w:ind w:left="2847" w:hanging="369"/>
      </w:pPr>
      <w:rPr>
        <w:rFonts w:hint="default"/>
      </w:rPr>
    </w:lvl>
    <w:lvl w:ilvl="4">
      <w:start w:val="0"/>
      <w:numFmt w:val="bullet"/>
      <w:lvlText w:val="•"/>
      <w:lvlJc w:val="left"/>
      <w:pPr>
        <w:ind w:left="3821" w:hanging="369"/>
      </w:pPr>
      <w:rPr>
        <w:rFonts w:hint="default"/>
      </w:rPr>
    </w:lvl>
    <w:lvl w:ilvl="5">
      <w:start w:val="0"/>
      <w:numFmt w:val="bullet"/>
      <w:lvlText w:val="•"/>
      <w:lvlJc w:val="left"/>
      <w:pPr>
        <w:ind w:left="4795" w:hanging="369"/>
      </w:pPr>
      <w:rPr>
        <w:rFonts w:hint="default"/>
      </w:rPr>
    </w:lvl>
    <w:lvl w:ilvl="6">
      <w:start w:val="0"/>
      <w:numFmt w:val="bullet"/>
      <w:lvlText w:val="•"/>
      <w:lvlJc w:val="left"/>
      <w:pPr>
        <w:ind w:left="5769" w:hanging="369"/>
      </w:pPr>
      <w:rPr>
        <w:rFonts w:hint="default"/>
      </w:rPr>
    </w:lvl>
    <w:lvl w:ilvl="7">
      <w:start w:val="0"/>
      <w:numFmt w:val="bullet"/>
      <w:lvlText w:val="•"/>
      <w:lvlJc w:val="left"/>
      <w:pPr>
        <w:ind w:left="6742" w:hanging="369"/>
      </w:pPr>
      <w:rPr>
        <w:rFonts w:hint="default"/>
      </w:rPr>
    </w:lvl>
    <w:lvl w:ilvl="8">
      <w:start w:val="0"/>
      <w:numFmt w:val="bullet"/>
      <w:lvlText w:val="•"/>
      <w:lvlJc w:val="left"/>
      <w:pPr>
        <w:ind w:left="7716" w:hanging="36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84"/>
      <w:outlineLvl w:val="1"/>
    </w:pPr>
    <w:rPr>
      <w:rFonts w:ascii="宋体" w:hAnsi="宋体" w:eastAsia="宋体" w:cs="宋体"/>
      <w:b/>
      <w:bCs/>
      <w:sz w:val="30"/>
      <w:szCs w:val="30"/>
    </w:rPr>
  </w:style>
  <w:style w:styleId="Heading2" w:type="paragraph">
    <w:name w:val="Heading 2"/>
    <w:basedOn w:val="Normal"/>
    <w:uiPriority w:val="1"/>
    <w:qFormat/>
    <w:pPr>
      <w:ind w:left="826" w:hanging="718"/>
      <w:outlineLvl w:val="2"/>
    </w:pPr>
    <w:rPr>
      <w:rFonts w:ascii="宋体" w:hAnsi="宋体" w:eastAsia="宋体" w:cs="宋体"/>
      <w:b/>
      <w:bCs/>
      <w:sz w:val="21"/>
      <w:szCs w:val="21"/>
    </w:rPr>
  </w:style>
  <w:style w:styleId="ListParagraph" w:type="paragraph">
    <w:name w:val="List Paragraph"/>
    <w:basedOn w:val="Normal"/>
    <w:uiPriority w:val="1"/>
    <w:qFormat/>
    <w:pPr>
      <w:ind w:left="826" w:hanging="718"/>
    </w:pPr>
    <w:rPr>
      <w:rFonts w:ascii="宋体" w:hAnsi="宋体" w:eastAsia="宋体" w:cs="宋体"/>
    </w:rPr>
  </w:style>
  <w:style w:styleId="TableParagraph" w:type="paragraph">
    <w:name w:val="Table Paragraph"/>
    <w:basedOn w:val="Normal"/>
    <w:uiPriority w:val="1"/>
    <w:qFormat/>
    <w:pPr>
      <w:ind w:left="3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2018-10-19T23:49:52Z</dcterms:created>
  <dcterms:modified xsi:type="dcterms:W3CDTF">2018-10-19T23:49:52Z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2018-10-19T00:00:00Z</vt:filetime>
  </property>
</Properties>
</file>