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7"/>
        <w:ind w:left="0" w:right="102"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627655</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6176645</wp:posOffset>
            </wp:positionH>
            <wp:positionV relativeFrom="paragraph">
              <wp:posOffset>272690</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-359</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[2017]</w:t>
      </w:r>
      <w:r>
        <w:rPr>
          <w:sz w:val="18"/>
        </w:rPr>
        <w:t>疾病保险 </w:t>
      </w:r>
      <w:r>
        <w:rPr>
          <w:rFonts w:ascii="Times New Roman" w:eastAsia="Times New Roman"/>
          <w:sz w:val="18"/>
        </w:rPr>
        <w:t>048 </w:t>
      </w:r>
      <w:r>
        <w:rPr>
          <w:sz w:val="18"/>
        </w:rPr>
        <w:t>号</w:t>
      </w:r>
    </w:p>
    <w:p>
      <w:pPr>
        <w:spacing w:line="201" w:lineRule="exact" w:before="0"/>
        <w:ind w:left="0" w:right="333" w:firstLine="0"/>
        <w:jc w:val="right"/>
        <w:rPr>
          <w:sz w:val="18"/>
        </w:rPr>
      </w:pPr>
      <w:r>
        <w:rPr>
          <w:sz w:val="18"/>
        </w:rPr>
        <w:t>请扫描以查询验证条款</w:t>
      </w:r>
    </w:p>
    <w:p>
      <w:pPr>
        <w:spacing w:line="363" w:lineRule="exact" w:before="0"/>
        <w:ind w:left="3652" w:right="3617" w:firstLine="0"/>
        <w:jc w:val="center"/>
        <w:rPr>
          <w:b/>
          <w:sz w:val="30"/>
        </w:rPr>
      </w:pPr>
      <w:r>
        <w:rPr>
          <w:b/>
          <w:w w:val="95"/>
          <w:sz w:val="30"/>
        </w:rPr>
        <w:t>太平超疾保重大疾病保险条款</w:t>
      </w:r>
    </w:p>
    <w:p>
      <w:pPr>
        <w:pStyle w:val="BodyText"/>
        <w:rPr>
          <w:b/>
          <w:sz w:val="30"/>
        </w:rPr>
      </w:pPr>
    </w:p>
    <w:p>
      <w:pPr>
        <w:spacing w:before="222"/>
        <w:ind w:left="3652" w:right="3617" w:firstLine="0"/>
        <w:jc w:val="center"/>
        <w:rPr>
          <w:b/>
          <w:sz w:val="28"/>
        </w:rPr>
      </w:pPr>
      <w:r>
        <w:rPr>
          <w:b/>
          <w:sz w:val="28"/>
        </w:rPr>
        <w:t>特别提示</w:t>
      </w:r>
    </w:p>
    <w:p>
      <w:pPr>
        <w:pStyle w:val="BodyText"/>
        <w:rPr>
          <w:b/>
          <w:sz w:val="28"/>
        </w:rPr>
      </w:pPr>
    </w:p>
    <w:p>
      <w:pPr>
        <w:pStyle w:val="BodyText"/>
        <w:spacing w:before="1"/>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27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第十七条</w:t>
      </w:r>
    </w:p>
    <w:p>
      <w:pPr>
        <w:pStyle w:val="BodyText"/>
        <w:rPr>
          <w:b/>
          <w:sz w:val="26"/>
        </w:rPr>
      </w:pPr>
    </w:p>
    <w:p>
      <w:pPr>
        <w:pStyle w:val="BodyText"/>
        <w:spacing w:before="8"/>
        <w:rPr>
          <w:b/>
          <w:sz w:val="29"/>
        </w:rPr>
      </w:pPr>
    </w:p>
    <w:p>
      <w:pPr>
        <w:spacing w:line="276" w:lineRule="auto" w:before="0"/>
        <w:ind w:left="1058" w:right="42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BodyText"/>
        <w:spacing w:before="43"/>
        <w:ind w:left="3652" w:right="3614"/>
        <w:jc w:val="center"/>
      </w:pPr>
      <w:r>
        <w:rPr/>
        <w:t>第</w:t>
      </w:r>
      <w:r>
        <w:rPr>
          <w:rFonts w:ascii="Times New Roman" w:eastAsia="Times New Roman"/>
        </w:rPr>
        <w:t>1</w:t>
      </w:r>
      <w:r>
        <w:rPr/>
        <w:t>页，共</w:t>
      </w:r>
      <w:r>
        <w:rPr>
          <w:rFonts w:ascii="Times New Roman" w:eastAsia="Times New Roman"/>
        </w:rPr>
        <w:t>23</w:t>
      </w:r>
      <w:r>
        <w:rPr/>
        <w:t>页</w:t>
      </w:r>
    </w:p>
    <w:p>
      <w:pPr>
        <w:spacing w:after="0"/>
        <w:jc w:val="center"/>
        <w:sectPr>
          <w:type w:val="continuous"/>
          <w:pgSz w:w="11910" w:h="16160"/>
          <w:pgMar w:top="580" w:bottom="280" w:left="500" w:right="380"/>
        </w:sectPr>
      </w:pPr>
    </w:p>
    <w:p>
      <w:pPr>
        <w:tabs>
          <w:tab w:pos="1415" w:val="left" w:leader="none"/>
        </w:tabs>
        <w:spacing w:line="314" w:lineRule="exact" w:before="0"/>
        <w:ind w:left="573"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14"/>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10013" w:val="right" w:leader="dot"/>
            </w:tabs>
            <w:spacing w:before="62"/>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37" w:val="left" w:leader="none"/>
              <w:tab w:pos="10013" w:val="right" w:leader="dot"/>
            </w:tabs>
            <w:spacing w:before="62"/>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37" w:val="left" w:leader="none"/>
              <w:tab w:pos="10013" w:val="right" w:leader="dot"/>
            </w:tabs>
            <w:spacing w:before="62"/>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10013" w:val="right" w:leader="dot"/>
            </w:tabs>
            <w:spacing w:before="4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spacing w:before="42"/>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37"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37" w:val="left" w:leader="none"/>
              <w:tab w:pos="10013" w:val="right" w:leader="dot"/>
            </w:tabs>
            <w:spacing w:before="62"/>
            <w:rPr>
              <w:rFonts w:ascii="Times New Roman" w:eastAsia="Times New Roman"/>
            </w:rPr>
          </w:pPr>
          <w:hyperlink w:history="true" w:anchor="_bookmark12">
            <w:r>
              <w:rPr/>
              <w:t>第十条</w:t>
              <w:tab/>
              <w:t>续保</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37"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37" w:val="left" w:leader="none"/>
              <w:tab w:pos="10013" w:val="right" w:leader="dot"/>
            </w:tabs>
            <w:spacing w:before="62"/>
            <w:rPr>
              <w:rFonts w:ascii="Times New Roman" w:eastAsia="Times New Roman"/>
            </w:rPr>
          </w:pPr>
          <w:hyperlink w:history="true" w:anchor="_bookmark15">
            <w:r>
              <w:rPr/>
              <w:t>第十二条</w:t>
              <w:tab/>
              <w:t>保险事故通知</w:t>
              <w:tab/>
            </w:r>
            <w:r>
              <w:rPr>
                <w:rFonts w:ascii="Times New Roman" w:eastAsia="Times New Roman"/>
              </w:rPr>
              <w:t>6</w:t>
            </w:r>
          </w:hyperlink>
        </w:p>
        <w:p>
          <w:pPr>
            <w:pStyle w:val="TOC2"/>
            <w:tabs>
              <w:tab w:pos="1737" w:val="left" w:leader="none"/>
              <w:tab w:pos="10013" w:val="right" w:leader="dot"/>
            </w:tabs>
            <w:spacing w:before="62"/>
            <w:rPr>
              <w:rFonts w:ascii="Times New Roman" w:eastAsia="Times New Roman"/>
            </w:rPr>
          </w:pPr>
          <w:hyperlink w:history="true" w:anchor="_bookmark16">
            <w:r>
              <w:rPr/>
              <w:t>第十三条</w:t>
              <w:tab/>
              <w:t>诉讼时效</w:t>
              <w:tab/>
            </w:r>
            <w:r>
              <w:rPr>
                <w:rFonts w:ascii="Times New Roman" w:eastAsia="Times New Roman"/>
              </w:rPr>
              <w:t>6</w:t>
            </w:r>
          </w:hyperlink>
        </w:p>
        <w:p>
          <w:pPr>
            <w:pStyle w:val="TOC2"/>
            <w:tabs>
              <w:tab w:pos="1737" w:val="left" w:leader="none"/>
              <w:tab w:pos="10013" w:val="right" w:leader="dot"/>
            </w:tabs>
            <w:spacing w:before="62"/>
            <w:rPr>
              <w:rFonts w:ascii="Times New Roman" w:eastAsia="Times New Roman"/>
            </w:rPr>
          </w:pPr>
          <w:hyperlink w:history="true" w:anchor="_bookmark17">
            <w:r>
              <w:rPr/>
              <w:t>第十四条</w:t>
              <w:tab/>
              <w:t>保险金申请</w:t>
              <w:tab/>
            </w:r>
            <w:r>
              <w:rPr>
                <w:rFonts w:ascii="Times New Roman" w:eastAsia="Times New Roman"/>
              </w:rPr>
              <w:t>6</w:t>
            </w:r>
          </w:hyperlink>
        </w:p>
        <w:p>
          <w:pPr>
            <w:pStyle w:val="TOC2"/>
            <w:tabs>
              <w:tab w:pos="1737" w:val="left" w:leader="none"/>
              <w:tab w:pos="10013" w:val="right" w:leader="dot"/>
            </w:tabs>
            <w:spacing w:before="62"/>
            <w:rPr>
              <w:rFonts w:ascii="Times New Roman" w:eastAsia="Times New Roman"/>
            </w:rPr>
          </w:pPr>
          <w:hyperlink w:history="true" w:anchor="_bookmark18">
            <w:r>
              <w:rPr/>
              <w:t>第十五条</w:t>
              <w:tab/>
              <w:t>保险金给付</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9">
            <w:r>
              <w:rPr/>
              <w:t>第五部分</w:t>
              <w:tab/>
              <w:t>您还享有哪些权益</w:t>
              <w:tab/>
            </w:r>
            <w:r>
              <w:rPr>
                <w:rFonts w:ascii="Times New Roman" w:eastAsia="Times New Roman"/>
              </w:rPr>
              <w:t>7</w:t>
            </w:r>
          </w:hyperlink>
        </w:p>
        <w:p>
          <w:pPr>
            <w:pStyle w:val="TOC2"/>
            <w:tabs>
              <w:tab w:pos="1737" w:val="left" w:leader="none"/>
              <w:tab w:pos="10013" w:val="right" w:leader="dot"/>
            </w:tabs>
            <w:spacing w:before="41"/>
            <w:rPr>
              <w:rFonts w:ascii="Times New Roman" w:eastAsia="Times New Roman"/>
            </w:rPr>
          </w:pPr>
          <w:hyperlink w:history="true" w:anchor="_bookmark20">
            <w:r>
              <w:rPr/>
              <w:t>第十六条</w:t>
              <w:tab/>
              <w:t>合同内容的变更权</w:t>
              <w:tab/>
            </w:r>
            <w:r>
              <w:rPr>
                <w:rFonts w:ascii="Times New Roman" w:eastAsia="Times New Roman"/>
              </w:rPr>
              <w:t>7</w:t>
            </w:r>
          </w:hyperlink>
        </w:p>
        <w:p>
          <w:pPr>
            <w:pStyle w:val="TOC2"/>
            <w:tabs>
              <w:tab w:pos="1737" w:val="left" w:leader="none"/>
              <w:tab w:pos="10013" w:val="right" w:leader="dot"/>
            </w:tabs>
            <w:spacing w:before="62"/>
            <w:rPr>
              <w:rFonts w:ascii="Times New Roman" w:eastAsia="Times New Roman"/>
            </w:rPr>
          </w:pPr>
          <w:hyperlink w:history="true" w:anchor="_bookmark21">
            <w:r>
              <w:rPr/>
              <w:t>第十七条</w:t>
              <w:tab/>
              <w:t>您解除合同的手续及风险</w:t>
              <w:tab/>
            </w:r>
            <w:r>
              <w:rPr>
                <w:rFonts w:ascii="Times New Roman" w:eastAsia="Times New Roman"/>
              </w:rPr>
              <w:t>7</w:t>
            </w:r>
          </w:hyperlink>
        </w:p>
        <w:p>
          <w:pPr>
            <w:pStyle w:val="TOC1"/>
            <w:tabs>
              <w:tab w:pos="1377" w:val="left" w:leader="none"/>
              <w:tab w:pos="10019" w:val="right" w:leader="dot"/>
            </w:tabs>
            <w:spacing w:before="42"/>
            <w:rPr>
              <w:rFonts w:ascii="Times New Roman" w:eastAsia="Times New Roman"/>
            </w:rPr>
          </w:pPr>
          <w:hyperlink w:history="true" w:anchor="_bookmark22">
            <w:r>
              <w:rPr/>
              <w:t>第六部分</w:t>
              <w:tab/>
              <w:t>您必须了解的其他</w:t>
            </w:r>
            <w:r>
              <w:rPr>
                <w:spacing w:val="-3"/>
              </w:rPr>
              <w:t>事</w:t>
            </w:r>
            <w:r>
              <w:rPr/>
              <w:t>项</w:t>
              <w:tab/>
            </w:r>
            <w:r>
              <w:rPr>
                <w:rFonts w:ascii="Times New Roman" w:eastAsia="Times New Roman"/>
              </w:rPr>
              <w:t>7</w:t>
            </w:r>
          </w:hyperlink>
        </w:p>
        <w:p>
          <w:pPr>
            <w:pStyle w:val="TOC2"/>
            <w:tabs>
              <w:tab w:pos="1737" w:val="left" w:leader="none"/>
              <w:tab w:pos="10013" w:val="right" w:leader="dot"/>
            </w:tabs>
            <w:spacing w:before="42"/>
            <w:rPr>
              <w:rFonts w:ascii="Times New Roman" w:eastAsia="Times New Roman"/>
            </w:rPr>
          </w:pPr>
          <w:hyperlink w:history="true" w:anchor="_bookmark23">
            <w:r>
              <w:rPr/>
              <w:t>第十八条</w:t>
              <w:tab/>
              <w:t>明确说明与如实告知</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24">
            <w:r>
              <w:rPr/>
              <w:t>第十九条</w:t>
              <w:tab/>
              <w:t>我们合同解除权的限制</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25">
            <w:r>
              <w:rPr/>
              <w:t>第二十条</w:t>
              <w:tab/>
              <w:t>年龄错误</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26">
            <w:r>
              <w:rPr/>
              <w:t>第二十一条</w:t>
              <w:tab/>
              <w:t>性别错误</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27">
            <w:r>
              <w:rPr/>
              <w:t>第二十二条</w:t>
              <w:tab/>
              <w:t>保险合同的终止</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28">
            <w:r>
              <w:rPr/>
              <w:t>第二十三条</w:t>
              <w:tab/>
              <w:t>联系方式的变更</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29">
            <w:r>
              <w:rPr/>
              <w:t>第二十四条</w:t>
              <w:tab/>
              <w:t>争议处理</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30">
            <w:r>
              <w:rPr/>
              <w:t>第二十五条</w:t>
              <w:tab/>
              <w:t>特定疾病的种类及定义</w:t>
              <w:tab/>
            </w:r>
            <w:r>
              <w:rPr>
                <w:rFonts w:ascii="Times New Roman" w:eastAsia="Times New Roman"/>
              </w:rPr>
              <w:t>8</w:t>
            </w:r>
          </w:hyperlink>
        </w:p>
        <w:p>
          <w:pPr>
            <w:pStyle w:val="TOC2"/>
            <w:tabs>
              <w:tab w:pos="1737" w:val="left" w:leader="none"/>
              <w:tab w:pos="10010" w:val="right" w:leader="dot"/>
            </w:tabs>
            <w:rPr>
              <w:rFonts w:ascii="Times New Roman" w:eastAsia="Times New Roman"/>
            </w:rPr>
          </w:pPr>
          <w:hyperlink w:history="true" w:anchor="_bookmark31">
            <w:r>
              <w:rPr/>
              <w:t>第二十六条</w:t>
              <w:tab/>
              <w:t>重大疾病的种类及定义</w:t>
              <w:tab/>
            </w:r>
            <w:r>
              <w:rPr>
                <w:rFonts w:ascii="Times New Roman" w:eastAsia="Times New Roman"/>
                <w:spacing w:val="-6"/>
              </w:rPr>
              <w:t>11</w:t>
            </w:r>
          </w:hyperlink>
        </w:p>
        <w:p>
          <w:pPr>
            <w:pStyle w:val="TOC2"/>
            <w:tabs>
              <w:tab w:pos="1737" w:val="left" w:leader="none"/>
              <w:tab w:pos="10017" w:val="right" w:leader="dot"/>
            </w:tabs>
            <w:spacing w:before="62"/>
            <w:rPr>
              <w:rFonts w:ascii="Times New Roman" w:eastAsia="Times New Roman"/>
            </w:rPr>
          </w:pPr>
          <w:hyperlink w:history="true" w:anchor="_bookmark32">
            <w:r>
              <w:rPr/>
              <w:t>第二十七条</w:t>
              <w:tab/>
              <w:t>特定癌症的种类及定义</w:t>
              <w:tab/>
            </w:r>
            <w:r>
              <w:rPr>
                <w:rFonts w:ascii="Times New Roman" w:eastAsia="Times New Roman"/>
              </w:rPr>
              <w:t>22</w:t>
            </w:r>
          </w:hyperlink>
        </w:p>
        <w:p>
          <w:pPr/>
          <w:r>
            <w:fldChar w:fldCharType="end"/>
          </w:r>
        </w:p>
      </w:sdtContent>
    </w:sdt>
    <w:p>
      <w:pPr>
        <w:spacing w:after="0"/>
        <w:sectPr>
          <w:footerReference w:type="default" r:id="rId8"/>
          <w:pgSz w:w="11910" w:h="16160"/>
          <w:pgMar w:footer="1031" w:header="0" w:top="1340" w:bottom="1220" w:left="960" w:right="820"/>
          <w:pgNumType w:start="2"/>
        </w:sectPr>
      </w:pPr>
    </w:p>
    <w:p>
      <w:pPr>
        <w:pStyle w:val="Heading1"/>
        <w:tabs>
          <w:tab w:pos="2888" w:val="left" w:leader="none"/>
        </w:tabs>
        <w:spacing w:line="314" w:lineRule="exact"/>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7"/>
        <w:ind w:left="117" w:right="220" w:firstLine="420"/>
      </w:pPr>
      <w:r>
        <w:rPr>
          <w:spacing w:val="-3"/>
        </w:rPr>
        <w:t>本合同由以下几个部分构成：保险单及所附条款、投保单</w:t>
      </w:r>
      <w:r>
        <w:rPr/>
        <w:t>（</w:t>
      </w:r>
      <w:r>
        <w:rPr>
          <w:spacing w:val="-3"/>
        </w:rPr>
        <w:t>其复印件或电子影像印刷件与正本具有同等</w:t>
      </w:r>
      <w:r>
        <w:rPr>
          <w:spacing w:val="-1"/>
        </w:rPr>
        <w:t>效力</w:t>
      </w:r>
      <w:r>
        <w:rPr>
          <w:spacing w:val="-108"/>
        </w:rPr>
        <w:t>）</w:t>
      </w:r>
      <w:r>
        <w:rPr>
          <w:spacing w:val="-3"/>
        </w:rPr>
        <w:t>、批注，以及经您与我们共同认可的、与本合同有关的其他书面文件或电子文件。</w:t>
      </w:r>
    </w:p>
    <w:p>
      <w:pPr>
        <w:pStyle w:val="BodyText"/>
        <w:spacing w:before="5"/>
        <w:rPr>
          <w:sz w:val="24"/>
        </w:rPr>
      </w:pPr>
    </w:p>
    <w:p>
      <w:pPr>
        <w:pStyle w:val="Heading2"/>
        <w:tabs>
          <w:tab w:pos="957" w:val="left" w:leader="none"/>
        </w:tabs>
      </w:pPr>
      <w:bookmarkStart w:name="_bookmark2" w:id="3"/>
      <w:bookmarkEnd w:id="3"/>
      <w:r>
        <w:rPr>
          <w:b w:val="0"/>
        </w:rPr>
      </w:r>
      <w:r>
        <w:rPr/>
        <w:t>第二条</w:t>
        <w:tab/>
        <w:t>投保范围</w:t>
      </w:r>
    </w:p>
    <w:p>
      <w:pPr>
        <w:pStyle w:val="BodyText"/>
        <w:spacing w:line="256" w:lineRule="auto" w:before="36"/>
        <w:ind w:left="117" w:right="109" w:firstLine="420"/>
      </w:pPr>
      <w:r>
        <w:rPr>
          <w:spacing w:val="-6"/>
        </w:rPr>
        <w:t>本合同接受的被保险人的投保年龄为出生满 </w:t>
      </w:r>
      <w:r>
        <w:rPr>
          <w:rFonts w:ascii="Times New Roman" w:eastAsia="Times New Roman"/>
        </w:rPr>
        <w:t>28 </w:t>
      </w:r>
      <w:r>
        <w:rPr>
          <w:spacing w:val="-17"/>
        </w:rPr>
        <w:t>日至 </w:t>
      </w:r>
      <w:r>
        <w:rPr>
          <w:rFonts w:ascii="Times New Roman" w:eastAsia="Times New Roman"/>
        </w:rPr>
        <w:t>60 </w:t>
      </w:r>
      <w:r>
        <w:rPr>
          <w:b/>
          <w:spacing w:val="-2"/>
        </w:rPr>
        <w:t>周岁</w:t>
      </w:r>
      <w:r>
        <w:rPr>
          <w:rFonts w:ascii="Times New Roman" w:eastAsia="Times New Roman"/>
          <w:b/>
          <w:spacing w:val="-9"/>
          <w:vertAlign w:val="superscript"/>
        </w:rPr>
        <w:t>1</w:t>
      </w:r>
      <w:r>
        <w:rPr>
          <w:rFonts w:ascii="Times New Roman" w:eastAsia="Times New Roman"/>
          <w:b/>
          <w:spacing w:val="-9"/>
          <w:vertAlign w:val="baseline"/>
        </w:rPr>
      </w:r>
      <w:r>
        <w:rPr>
          <w:spacing w:val="-8"/>
          <w:vertAlign w:val="baseline"/>
        </w:rPr>
        <w:t>，续保时最高年龄可至 </w:t>
      </w:r>
      <w:r>
        <w:rPr>
          <w:rFonts w:ascii="Times New Roman" w:eastAsia="Times New Roman"/>
          <w:vertAlign w:val="baseline"/>
        </w:rPr>
        <w:t>80 </w:t>
      </w:r>
      <w:r>
        <w:rPr>
          <w:spacing w:val="-10"/>
          <w:vertAlign w:val="baseline"/>
        </w:rPr>
        <w:t>周岁</w:t>
      </w:r>
      <w:r>
        <w:rPr>
          <w:spacing w:val="-3"/>
          <w:vertAlign w:val="baseline"/>
        </w:rPr>
        <w:t>（有关续保， 请参照本合同第十条</w:t>
      </w:r>
      <w:r>
        <w:rPr>
          <w:spacing w:val="-106"/>
          <w:vertAlign w:val="baseline"/>
        </w:rPr>
        <w:t>）</w:t>
      </w:r>
      <w:r>
        <w:rPr>
          <w:vertAlign w:val="baseline"/>
        </w:rPr>
        <w:t>。</w:t>
      </w:r>
    </w:p>
    <w:p>
      <w:pPr>
        <w:pStyle w:val="BodyText"/>
        <w:spacing w:before="6"/>
        <w:rPr>
          <w:sz w:val="25"/>
        </w:rPr>
      </w:pPr>
    </w:p>
    <w:p>
      <w:pPr>
        <w:pStyle w:val="Heading2"/>
        <w:tabs>
          <w:tab w:pos="957" w:val="left" w:leader="none"/>
        </w:tabs>
      </w:pPr>
      <w:bookmarkStart w:name="_bookmark3" w:id="4"/>
      <w:bookmarkEnd w:id="4"/>
      <w:r>
        <w:rPr>
          <w:b w:val="0"/>
        </w:rPr>
      </w:r>
      <w:r>
        <w:rPr/>
        <w:t>第三条</w:t>
        <w:tab/>
      </w:r>
      <w:r>
        <w:rPr>
          <w:spacing w:val="-1"/>
        </w:rPr>
        <w:t>保</w:t>
      </w:r>
      <w:r>
        <w:rPr/>
        <w:t>险合同成立与生效</w:t>
      </w:r>
    </w:p>
    <w:p>
      <w:pPr>
        <w:pStyle w:val="BodyText"/>
        <w:spacing w:before="37"/>
        <w:ind w:left="538"/>
      </w:pPr>
      <w:r>
        <w:rPr/>
        <w:t>您提出保险申请、我们同意承保，本合同成立。</w:t>
      </w:r>
    </w:p>
    <w:p>
      <w:pPr>
        <w:spacing w:before="37"/>
        <w:ind w:left="538" w:right="0" w:firstLine="0"/>
        <w:jc w:val="left"/>
        <w:rPr>
          <w:sz w:val="21"/>
        </w:rPr>
      </w:pPr>
      <w:r>
        <w:rPr>
          <w:sz w:val="21"/>
        </w:rPr>
        <w:t>合同生效日期在保险单上载明。</w:t>
      </w:r>
      <w:r>
        <w:rPr>
          <w:b/>
          <w:sz w:val="21"/>
        </w:rPr>
        <w:t>保险费约定支付日</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以该日期计算。</w:t>
      </w:r>
    </w:p>
    <w:p>
      <w:pPr>
        <w:pStyle w:val="BodyText"/>
        <w:spacing w:before="6"/>
        <w:rPr>
          <w:sz w:val="25"/>
        </w:rPr>
      </w:pPr>
    </w:p>
    <w:p>
      <w:pPr>
        <w:pStyle w:val="Heading2"/>
        <w:tabs>
          <w:tab w:pos="957" w:val="left" w:leader="none"/>
        </w:tabs>
      </w:pPr>
      <w:bookmarkStart w:name="_bookmark4" w:id="5"/>
      <w:bookmarkEnd w:id="5"/>
      <w:r>
        <w:rPr>
          <w:b w:val="0"/>
        </w:rPr>
      </w:r>
      <w:r>
        <w:rPr/>
        <w:t>第四条</w:t>
        <w:tab/>
        <w:t>保险期间</w:t>
      </w:r>
    </w:p>
    <w:p>
      <w:pPr>
        <w:pStyle w:val="BodyText"/>
        <w:spacing w:before="37"/>
        <w:ind w:left="538"/>
      </w:pPr>
      <w:r>
        <w:rPr/>
        <w:t>本合同的保险期间为 </w:t>
      </w:r>
      <w:r>
        <w:rPr>
          <w:rFonts w:ascii="Times New Roman" w:eastAsia="Times New Roman"/>
        </w:rPr>
        <w:t>1 </w:t>
      </w:r>
      <w:r>
        <w:rPr/>
        <w:t>年，自本合同生效日零时起至本合同约定的终止时止，并在保险单上载明。</w:t>
      </w:r>
    </w:p>
    <w:p>
      <w:pPr>
        <w:pStyle w:val="BodyText"/>
        <w:spacing w:before="4"/>
        <w:rPr>
          <w:sz w:val="23"/>
        </w:rPr>
      </w:pPr>
    </w:p>
    <w:p>
      <w:pPr>
        <w:pStyle w:val="Heading1"/>
        <w:tabs>
          <w:tab w:pos="1418" w:val="left" w:leader="none"/>
        </w:tabs>
        <w:ind w:right="10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57" w:val="left" w:leader="none"/>
        </w:tabs>
      </w:pPr>
      <w:bookmarkStart w:name="_bookmark6" w:id="7"/>
      <w:bookmarkEnd w:id="7"/>
      <w:r>
        <w:rPr>
          <w:b w:val="0"/>
        </w:rPr>
      </w:r>
      <w:r>
        <w:rPr/>
        <w:t>第五条</w:t>
        <w:tab/>
        <w:t>基本保险金额</w:t>
      </w:r>
    </w:p>
    <w:p>
      <w:pPr>
        <w:pStyle w:val="BodyText"/>
        <w:spacing w:line="273" w:lineRule="auto" w:before="37"/>
        <w:ind w:left="117" w:right="220" w:firstLine="420"/>
      </w:pPr>
      <w:r>
        <w:rPr/>
        <w:t>本合同的基本保险金额在投保时由您和我们约定，并在保险单或批注上列明。如果该金额发生变更，则以变更后的金额为基本保险金额。</w:t>
      </w:r>
    </w:p>
    <w:p>
      <w:pPr>
        <w:pStyle w:val="BodyText"/>
        <w:spacing w:before="6"/>
        <w:rPr>
          <w:sz w:val="24"/>
        </w:rPr>
      </w:pPr>
    </w:p>
    <w:p>
      <w:pPr>
        <w:pStyle w:val="Heading2"/>
        <w:tabs>
          <w:tab w:pos="957" w:val="left" w:leader="none"/>
        </w:tabs>
      </w:pPr>
      <w:bookmarkStart w:name="_bookmark7" w:id="8"/>
      <w:bookmarkEnd w:id="8"/>
      <w:r>
        <w:rPr>
          <w:b w:val="0"/>
        </w:rPr>
      </w:r>
      <w:r>
        <w:rPr/>
        <w:t>第六条</w:t>
        <w:tab/>
        <w:t>等待期</w:t>
      </w:r>
    </w:p>
    <w:p>
      <w:pPr>
        <w:pStyle w:val="BodyText"/>
        <w:spacing w:before="37"/>
        <w:ind w:left="538"/>
      </w:pPr>
      <w:r>
        <w:rPr/>
        <w:t>自本合同生效日零时起 </w:t>
      </w:r>
      <w:r>
        <w:rPr>
          <w:rFonts w:ascii="Times New Roman" w:eastAsia="Times New Roman"/>
        </w:rPr>
        <w:t>90 </w:t>
      </w:r>
      <w:r>
        <w:rPr/>
        <w:t>日为等待期，续保无等待期。</w:t>
      </w:r>
    </w:p>
    <w:p>
      <w:pPr>
        <w:pStyle w:val="BodyText"/>
        <w:spacing w:before="6"/>
        <w:rPr>
          <w:sz w:val="25"/>
        </w:rPr>
      </w:pPr>
    </w:p>
    <w:p>
      <w:pPr>
        <w:pStyle w:val="Heading2"/>
        <w:tabs>
          <w:tab w:pos="957" w:val="left" w:leader="none"/>
        </w:tabs>
      </w:pPr>
      <w:bookmarkStart w:name="_bookmark8" w:id="9"/>
      <w:bookmarkEnd w:id="9"/>
      <w:r>
        <w:rPr>
          <w:b w:val="0"/>
        </w:rPr>
      </w:r>
      <w:r>
        <w:rPr/>
        <w:t>第七条</w:t>
        <w:tab/>
        <w:t>保险责任</w:t>
      </w:r>
    </w:p>
    <w:p>
      <w:pPr>
        <w:pStyle w:val="BodyText"/>
        <w:spacing w:line="273" w:lineRule="auto" w:before="37"/>
        <w:ind w:left="538" w:right="1929"/>
      </w:pPr>
      <w:r>
        <w:rPr/>
        <w:t>在本合同保险期间内且本合同有效，我们按照下列约定承担给付相应保险金的责任： 一、特定疾病保险金</w:t>
      </w:r>
    </w:p>
    <w:p>
      <w:pPr>
        <w:pStyle w:val="ListParagraph"/>
        <w:numPr>
          <w:ilvl w:val="0"/>
          <w:numId w:val="2"/>
        </w:numPr>
        <w:tabs>
          <w:tab w:pos="805" w:val="left" w:leader="none"/>
        </w:tabs>
        <w:spacing w:line="256" w:lineRule="auto" w:before="7" w:after="0"/>
        <w:ind w:left="117" w:right="210" w:firstLine="421"/>
        <w:jc w:val="both"/>
        <w:rPr>
          <w:sz w:val="21"/>
        </w:rPr>
      </w:pPr>
      <w:r>
        <w:rPr>
          <w:sz w:val="21"/>
        </w:rPr>
        <w:t>如果被保险人因</w:t>
      </w:r>
      <w:r>
        <w:rPr>
          <w:b/>
          <w:sz w:val="21"/>
        </w:rPr>
        <w:t>意外伤害事故</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4</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5</w:t>
      </w:r>
      <w:r>
        <w:rPr>
          <w:rFonts w:ascii="Times New Roman" w:eastAsia="Times New Roman"/>
          <w:b/>
          <w:spacing w:val="2"/>
          <w:sz w:val="21"/>
          <w:vertAlign w:val="baseline"/>
        </w:rPr>
      </w:r>
      <w:r>
        <w:rPr>
          <w:spacing w:val="5"/>
          <w:sz w:val="21"/>
          <w:vertAlign w:val="baseline"/>
        </w:rPr>
        <w:t>确诊</w:t>
      </w:r>
      <w:r>
        <w:rPr>
          <w:spacing w:val="-3"/>
          <w:sz w:val="21"/>
          <w:vertAlign w:val="baseline"/>
        </w:rPr>
        <w:t>初次患上一种或多种本合同第二十五条所定义的特定疾病，我们按本合同基本保险金额的 </w:t>
      </w:r>
      <w:r>
        <w:rPr>
          <w:rFonts w:ascii="Times New Roman" w:eastAsia="Times New Roman"/>
          <w:sz w:val="21"/>
          <w:vertAlign w:val="baseline"/>
        </w:rPr>
        <w:t>20%</w:t>
      </w:r>
      <w:r>
        <w:rPr>
          <w:spacing w:val="-3"/>
          <w:sz w:val="21"/>
          <w:vertAlign w:val="baseline"/>
        </w:rPr>
        <w:t>给付特定疾病保险金，给付以一次为限，</w:t>
      </w:r>
      <w:r>
        <w:rPr>
          <w:b/>
          <w:sz w:val="21"/>
          <w:vertAlign w:val="baseline"/>
        </w:rPr>
        <w:t>同时本项责任终止</w:t>
      </w:r>
      <w:r>
        <w:rPr>
          <w:sz w:val="21"/>
          <w:vertAlign w:val="baseline"/>
        </w:rPr>
        <w:t>。</w:t>
      </w:r>
    </w:p>
    <w:p>
      <w:pPr>
        <w:pStyle w:val="ListParagraph"/>
        <w:numPr>
          <w:ilvl w:val="0"/>
          <w:numId w:val="2"/>
        </w:numPr>
        <w:tabs>
          <w:tab w:pos="807" w:val="left" w:leader="none"/>
        </w:tabs>
        <w:spacing w:line="240" w:lineRule="auto" w:before="21" w:after="0"/>
        <w:ind w:left="806" w:right="0" w:hanging="268"/>
        <w:jc w:val="left"/>
        <w:rPr>
          <w:sz w:val="21"/>
        </w:rPr>
      </w:pPr>
      <w:r>
        <w:rPr>
          <w:sz w:val="21"/>
        </w:rPr>
        <w:t>如果被保险人因意外伤害事故以外的原因经医院确诊初次患上一种或多种本合同第二十五条所定义</w:t>
      </w:r>
    </w:p>
    <w:p>
      <w:pPr>
        <w:pStyle w:val="BodyText"/>
        <w:spacing w:before="3"/>
        <w:rPr>
          <w:sz w:val="25"/>
        </w:rPr>
      </w:pPr>
      <w:r>
        <w:rPr/>
        <w:pict>
          <v:line style="position:absolute;mso-position-horizontal-relative:page;mso-position-vertical-relative:paragraph;z-index:1120;mso-wrap-distance-left:0;mso-wrap-distance-right:0" from="53.880001pt,18.723822pt" to="197.930001pt,18.723822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ind w:left="117"/>
        <w:rPr>
          <w:rFonts w:ascii="楷体" w:eastAsia="楷体" w:hint="eastAsia"/>
        </w:rPr>
      </w:pPr>
      <w:r>
        <w:rPr>
          <w:rFonts w:ascii="楷体" w:eastAsia="楷体" w:hint="eastAsia"/>
        </w:rPr>
        <w:t>之日起为零周岁，每经过一年增加一岁，不足一年的不计。</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2</w:t>
      </w:r>
      <w:r>
        <w:rPr>
          <w:rFonts w:ascii="楷体" w:eastAsia="楷体" w:hint="eastAsia"/>
          <w:b/>
          <w:sz w:val="21"/>
        </w:rPr>
        <w:t>保险费约定支付日：</w:t>
      </w:r>
      <w:r>
        <w:rPr>
          <w:rFonts w:ascii="楷体" w:eastAsia="楷体" w:hint="eastAsia"/>
          <w:sz w:val="21"/>
        </w:rPr>
        <w:t>指在本合同交费期限内，保险单或批注上列明的合同生效日在每月、每季、每半年或每</w:t>
      </w:r>
    </w:p>
    <w:p>
      <w:pPr>
        <w:pStyle w:val="BodyText"/>
        <w:spacing w:line="271" w:lineRule="exact"/>
        <w:ind w:left="117"/>
        <w:rPr>
          <w:rFonts w:ascii="楷体" w:eastAsia="楷体" w:hint="eastAsia"/>
        </w:rPr>
      </w:pPr>
      <w:r>
        <w:rPr>
          <w:rFonts w:ascii="楷体" w:eastAsia="楷体" w:hint="eastAsia"/>
        </w:rPr>
        <w:t>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发病：</w:t>
      </w:r>
      <w:r>
        <w:rPr>
          <w:rFonts w:ascii="楷体" w:eastAsia="楷体" w:hint="eastAsia"/>
        </w:rPr>
        <w:t>指被保险人出现本合同所界定疾病的前兆或异常的身体状况，且已经显现足以使一般人士引起注意并</w:t>
      </w:r>
    </w:p>
    <w:p>
      <w:pPr>
        <w:pStyle w:val="BodyText"/>
        <w:spacing w:line="272" w:lineRule="exact"/>
        <w:ind w:left="117"/>
        <w:rPr>
          <w:rFonts w:ascii="楷体" w:eastAsia="楷体" w:hint="eastAsia"/>
        </w:rPr>
      </w:pPr>
      <w:r>
        <w:rPr>
          <w:rFonts w:ascii="楷体" w:eastAsia="楷体" w:hint="eastAsia"/>
        </w:rPr>
        <w:t>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5</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90"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90" w:lineRule="exact"/>
        <w:rPr>
          <w:rFonts w:ascii="楷体" w:eastAsia="楷体" w:hint="eastAsia"/>
        </w:rPr>
        <w:sectPr>
          <w:pgSz w:w="11910" w:h="16160"/>
          <w:pgMar w:header="0" w:footer="1031" w:top="1340" w:bottom="1220" w:left="960" w:right="700"/>
        </w:sectPr>
      </w:pPr>
    </w:p>
    <w:p>
      <w:pPr>
        <w:spacing w:line="273" w:lineRule="auto" w:before="7"/>
        <w:ind w:left="538" w:right="1857" w:hanging="421"/>
        <w:jc w:val="left"/>
        <w:rPr>
          <w:sz w:val="21"/>
        </w:rPr>
      </w:pPr>
      <w:r>
        <w:rPr>
          <w:sz w:val="21"/>
        </w:rPr>
        <w:t>的特定疾病，并且首次发病时间在等待期内，</w:t>
      </w:r>
      <w:r>
        <w:rPr>
          <w:b/>
          <w:sz w:val="21"/>
        </w:rPr>
        <w:t>我们不承担本项责任，同时本项责任终止。</w:t>
      </w:r>
      <w:r>
        <w:rPr>
          <w:sz w:val="21"/>
        </w:rPr>
        <w:t>二、重大疾病保险金</w:t>
      </w:r>
    </w:p>
    <w:p>
      <w:pPr>
        <w:pStyle w:val="ListParagraph"/>
        <w:numPr>
          <w:ilvl w:val="0"/>
          <w:numId w:val="3"/>
        </w:numPr>
        <w:tabs>
          <w:tab w:pos="807" w:val="left" w:leader="none"/>
        </w:tabs>
        <w:spacing w:line="264" w:lineRule="auto" w:before="7" w:after="0"/>
        <w:ind w:left="117" w:right="157"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次患上一种或多种本合同第二十六条所定义的重大疾病，我们按当日本合同的基本保险金额给付重大疾病保</w:t>
      </w:r>
      <w:r>
        <w:rPr>
          <w:spacing w:val="-1"/>
          <w:sz w:val="21"/>
        </w:rPr>
        <w:t>险金，</w:t>
      </w:r>
      <w:r>
        <w:rPr>
          <w:b/>
          <w:spacing w:val="-2"/>
          <w:sz w:val="21"/>
        </w:rPr>
        <w:t>同时本合同终止</w:t>
      </w:r>
      <w:r>
        <w:rPr>
          <w:sz w:val="21"/>
        </w:rPr>
        <w:t>。</w:t>
      </w:r>
    </w:p>
    <w:p>
      <w:pPr>
        <w:spacing w:line="273" w:lineRule="auto" w:before="16"/>
        <w:ind w:left="117" w:right="157" w:firstLine="422"/>
        <w:jc w:val="both"/>
        <w:rPr>
          <w:b/>
          <w:sz w:val="21"/>
        </w:rPr>
      </w:pPr>
      <w:r>
        <w:rPr>
          <w:b/>
          <w:sz w:val="21"/>
        </w:rPr>
        <w:t>在给付重大疾病保险金时，如果我们已给付过特定疾病保险金，我们按当日本合同的基本保险金额扣除已给付的特定疾病保险金后的余额给付重大疾病保险金，同时本合同终止。</w:t>
      </w:r>
    </w:p>
    <w:p>
      <w:pPr>
        <w:pStyle w:val="ListParagraph"/>
        <w:numPr>
          <w:ilvl w:val="0"/>
          <w:numId w:val="3"/>
        </w:numPr>
        <w:tabs>
          <w:tab w:pos="807" w:val="left" w:leader="none"/>
        </w:tabs>
        <w:spacing w:line="264" w:lineRule="auto" w:before="8" w:after="0"/>
        <w:ind w:left="117" w:right="157" w:firstLine="421"/>
        <w:jc w:val="both"/>
        <w:rPr>
          <w:sz w:val="21"/>
        </w:rPr>
      </w:pPr>
      <w:r>
        <w:rPr>
          <w:sz w:val="21"/>
        </w:rPr>
        <w:t>如果被保险人因意外伤害事故以外的原因经医院确诊初次患上一种或多种本合同第二十六条所定义</w:t>
      </w:r>
      <w:r>
        <w:rPr>
          <w:spacing w:val="-3"/>
          <w:sz w:val="21"/>
        </w:rPr>
        <w:t>的重大疾病，并且首次发病时间在等待期内，我们按本合同的已交保险费给付重大疾病保险金，</w:t>
      </w:r>
      <w:r>
        <w:rPr>
          <w:b/>
          <w:sz w:val="21"/>
        </w:rPr>
        <w:t>同时本合同终止</w:t>
      </w:r>
      <w:r>
        <w:rPr>
          <w:sz w:val="21"/>
        </w:rPr>
        <w:t>。</w:t>
      </w:r>
    </w:p>
    <w:p>
      <w:pPr>
        <w:pStyle w:val="BodyText"/>
        <w:spacing w:before="16"/>
        <w:ind w:left="538"/>
      </w:pPr>
      <w:r>
        <w:rPr/>
        <w:t>三、特定癌症保险金</w:t>
      </w:r>
    </w:p>
    <w:p>
      <w:pPr>
        <w:pStyle w:val="ListParagraph"/>
        <w:numPr>
          <w:ilvl w:val="0"/>
          <w:numId w:val="4"/>
        </w:numPr>
        <w:tabs>
          <w:tab w:pos="807" w:val="left" w:leader="none"/>
        </w:tabs>
        <w:spacing w:line="256" w:lineRule="auto" w:before="37" w:after="0"/>
        <w:ind w:left="117" w:right="154"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次患上一种或多种本合同第二十七条所定义的特定癌症，我们按当日本合同的基本保险金额的 </w:t>
      </w:r>
      <w:r>
        <w:rPr>
          <w:rFonts w:ascii="Times New Roman" w:eastAsia="Times New Roman"/>
          <w:sz w:val="21"/>
        </w:rPr>
        <w:t>50%</w:t>
      </w:r>
      <w:r>
        <w:rPr>
          <w:spacing w:val="-3"/>
          <w:sz w:val="21"/>
        </w:rPr>
        <w:t>额外给付特定癌症保险金，</w:t>
      </w:r>
      <w:r>
        <w:rPr>
          <w:b/>
          <w:sz w:val="21"/>
        </w:rPr>
        <w:t>同时本合同终止</w:t>
      </w:r>
      <w:r>
        <w:rPr>
          <w:sz w:val="21"/>
        </w:rPr>
        <w:t>。</w:t>
      </w:r>
    </w:p>
    <w:p>
      <w:pPr>
        <w:pStyle w:val="ListParagraph"/>
        <w:numPr>
          <w:ilvl w:val="0"/>
          <w:numId w:val="4"/>
        </w:numPr>
        <w:tabs>
          <w:tab w:pos="807" w:val="left" w:leader="none"/>
        </w:tabs>
        <w:spacing w:line="256" w:lineRule="auto" w:before="22" w:after="0"/>
        <w:ind w:left="117" w:right="157" w:firstLine="421"/>
        <w:jc w:val="both"/>
        <w:rPr>
          <w:sz w:val="21"/>
        </w:rPr>
      </w:pPr>
      <w:r>
        <w:rPr>
          <w:sz w:val="21"/>
        </w:rPr>
        <w:t>如果被保险人因意外伤害事故以外的原因经医院确诊初次患上一种或多种本合同第二十七条所定义</w:t>
      </w:r>
      <w:r>
        <w:rPr>
          <w:spacing w:val="-3"/>
          <w:sz w:val="21"/>
        </w:rPr>
        <w:t>的特定癌症，并且首次发病时间在等待期内，</w:t>
      </w:r>
      <w:r>
        <w:rPr>
          <w:b/>
          <w:spacing w:val="-3"/>
          <w:sz w:val="21"/>
        </w:rPr>
        <w:t>我们不承担本项责任，同时本合同终止</w:t>
      </w:r>
      <w:r>
        <w:rPr>
          <w:sz w:val="21"/>
        </w:rPr>
        <w:t>。</w:t>
      </w:r>
    </w:p>
    <w:p>
      <w:pPr>
        <w:pStyle w:val="BodyText"/>
        <w:spacing w:before="7"/>
        <w:rPr>
          <w:sz w:val="25"/>
        </w:rPr>
      </w:pPr>
    </w:p>
    <w:p>
      <w:pPr>
        <w:pStyle w:val="Heading2"/>
        <w:tabs>
          <w:tab w:pos="957" w:val="left" w:leader="none"/>
        </w:tabs>
      </w:pPr>
      <w:bookmarkStart w:name="_bookmark9" w:id="10"/>
      <w:bookmarkEnd w:id="10"/>
      <w:r>
        <w:rPr>
          <w:b w:val="0"/>
        </w:rPr>
      </w:r>
      <w:r>
        <w:rPr/>
        <w:t>第八条</w:t>
        <w:tab/>
        <w:t>责任免除</w:t>
      </w:r>
    </w:p>
    <w:p>
      <w:pPr>
        <w:pStyle w:val="BodyText"/>
        <w:spacing w:line="273" w:lineRule="auto" w:before="37"/>
        <w:ind w:left="117" w:right="162" w:firstLine="420"/>
        <w:jc w:val="both"/>
        <w:rPr>
          <w:rFonts w:ascii="黑体" w:eastAsia="黑体" w:hint="eastAsia"/>
        </w:rPr>
      </w:pPr>
      <w:r>
        <w:rPr>
          <w:rFonts w:ascii="黑体" w:eastAsia="黑体" w:hint="eastAsia"/>
        </w:rPr>
        <w:t>因下列情形之一导致被保险人患上本合同所定义的特定疾病、重大疾病或特定癌症的，我们不承担给付相应保险金的责任：</w:t>
      </w:r>
    </w:p>
    <w:p>
      <w:pPr>
        <w:pStyle w:val="ListParagraph"/>
        <w:numPr>
          <w:ilvl w:val="0"/>
          <w:numId w:val="5"/>
        </w:numPr>
        <w:tabs>
          <w:tab w:pos="803" w:val="left" w:leader="none"/>
        </w:tabs>
        <w:spacing w:line="240" w:lineRule="auto" w:before="8"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6</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BodyText"/>
        <w:spacing w:before="8"/>
        <w:rPr>
          <w:rFonts w:ascii="黑体"/>
          <w:sz w:val="25"/>
        </w:rPr>
      </w:pPr>
      <w:r>
        <w:rPr/>
        <w:pict>
          <v:line style="position:absolute;mso-position-horizontal-relative:page;mso-position-vertical-relative:paragraph;z-index:1144;mso-wrap-distance-left:0;mso-wrap-distance-right:0" from="53.880001pt,18.969669pt" to="197.930001pt,18.969669pt" stroked="true" strokeweight=".48001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6</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ind w:left="117" w:right="18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2"/>
        <w:ind w:left="117"/>
        <w:rPr>
          <w:rFonts w:ascii="楷体" w:eastAsia="楷体" w:hint="eastAsia"/>
        </w:rPr>
      </w:pPr>
      <w:r>
        <w:rPr>
          <w:rFonts w:ascii="Times New Roman" w:eastAsia="Times New Roman"/>
          <w:position w:val="10"/>
          <w:sz w:val="14"/>
        </w:rPr>
        <w:t>7</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1" w:lineRule="exact" w:before="0"/>
        <w:ind w:left="117" w:right="0" w:firstLine="0"/>
        <w:jc w:val="left"/>
        <w:rPr>
          <w:rFonts w:ascii="楷体" w:eastAsia="楷体" w:hint="eastAsia"/>
          <w:sz w:val="21"/>
        </w:rPr>
      </w:pPr>
      <w:r>
        <w:rPr>
          <w:rFonts w:ascii="Times New Roman" w:eastAsia="Times New Roman"/>
          <w:w w:val="99"/>
          <w:position w:val="10"/>
          <w:sz w:val="14"/>
        </w:rPr>
        <w:t>8</w:t>
      </w:r>
      <w:r>
        <w:rPr>
          <w:rFonts w:ascii="楷体" w:eastAsia="楷体" w:hint="eastAsia"/>
          <w:b/>
          <w:spacing w:val="-2"/>
          <w:w w:val="100"/>
          <w:sz w:val="21"/>
        </w:rPr>
        <w:t>无合法有效驾驶证驾驶：</w:t>
      </w:r>
      <w:r>
        <w:rPr>
          <w:rFonts w:ascii="楷体" w:eastAsia="楷体" w:hint="eastAsia"/>
          <w:spacing w:val="-18"/>
          <w:w w:val="100"/>
          <w:sz w:val="21"/>
        </w:rPr>
        <w:t>指下列情形之一：</w:t>
      </w:r>
      <w:r>
        <w:rPr>
          <w:rFonts w:ascii="楷体" w:eastAsia="楷体" w:hint="eastAsia"/>
          <w:spacing w:val="-1"/>
          <w:w w:val="100"/>
          <w:sz w:val="21"/>
        </w:rPr>
        <w:t>（</w:t>
      </w:r>
      <w:r>
        <w:rPr>
          <w:rFonts w:ascii="Times New Roman" w:eastAsia="Times New Roman"/>
          <w:w w:val="100"/>
          <w:sz w:val="21"/>
        </w:rPr>
        <w:t>1</w:t>
      </w:r>
      <w:r>
        <w:rPr>
          <w:rFonts w:ascii="楷体" w:eastAsia="楷体" w:hint="eastAsia"/>
          <w:spacing w:val="-13"/>
          <w:w w:val="100"/>
          <w:sz w:val="21"/>
        </w:rPr>
        <w:t>）</w:t>
      </w:r>
      <w:r>
        <w:rPr>
          <w:rFonts w:ascii="楷体" w:eastAsia="楷体" w:hint="eastAsia"/>
          <w:spacing w:val="-16"/>
          <w:w w:val="100"/>
          <w:sz w:val="21"/>
        </w:rPr>
        <w:t>没有取得驾驶资格；</w:t>
      </w:r>
      <w:r>
        <w:rPr>
          <w:rFonts w:ascii="楷体" w:eastAsia="楷体" w:hint="eastAsia"/>
          <w:w w:val="100"/>
          <w:sz w:val="21"/>
        </w:rPr>
        <w:t>（</w:t>
      </w:r>
      <w:r>
        <w:rPr>
          <w:rFonts w:ascii="Times New Roman" w:eastAsia="Times New Roman"/>
          <w:w w:val="100"/>
          <w:sz w:val="21"/>
        </w:rPr>
        <w:t>2</w:t>
      </w:r>
      <w:r>
        <w:rPr>
          <w:rFonts w:ascii="楷体" w:eastAsia="楷体" w:hint="eastAsia"/>
          <w:spacing w:val="-13"/>
          <w:w w:val="100"/>
          <w:sz w:val="21"/>
        </w:rPr>
        <w:t>）</w:t>
      </w:r>
      <w:r>
        <w:rPr>
          <w:rFonts w:ascii="楷体" w:eastAsia="楷体" w:hint="eastAsia"/>
          <w:spacing w:val="-3"/>
          <w:w w:val="100"/>
          <w:sz w:val="21"/>
        </w:rPr>
        <w:t>驾驶与驾驶证准驾车型不相符合的</w:t>
      </w:r>
    </w:p>
    <w:p>
      <w:pPr>
        <w:pStyle w:val="BodyText"/>
        <w:spacing w:line="223" w:lineRule="auto" w:before="12"/>
        <w:ind w:left="117" w:right="186"/>
        <w:rPr>
          <w:rFonts w:ascii="楷体" w:eastAsia="楷体" w:hint="eastAsia"/>
        </w:rPr>
      </w:pPr>
      <w:r>
        <w:rPr>
          <w:rFonts w:ascii="楷体" w:eastAsia="楷体" w:hint="eastAsia"/>
          <w:spacing w:val="-36"/>
          <w:w w:val="100"/>
        </w:rPr>
        <w:t>车辆；</w:t>
      </w:r>
      <w:r>
        <w:rPr>
          <w:rFonts w:ascii="楷体" w:eastAsia="楷体" w:hint="eastAsia"/>
          <w:w w:val="100"/>
        </w:rPr>
        <w:t>（</w:t>
      </w:r>
      <w:r>
        <w:rPr>
          <w:rFonts w:ascii="Times New Roman" w:eastAsia="Times New Roman"/>
          <w:w w:val="100"/>
        </w:rPr>
        <w:t>3</w:t>
      </w:r>
      <w:r>
        <w:rPr>
          <w:rFonts w:ascii="楷体" w:eastAsia="楷体" w:hint="eastAsia"/>
          <w:spacing w:val="-3"/>
          <w:w w:val="100"/>
        </w:rPr>
        <w:t>）</w:t>
      </w:r>
      <w:r>
        <w:rPr>
          <w:rFonts w:ascii="楷体" w:eastAsia="楷体" w:hint="eastAsia"/>
          <w:spacing w:val="-12"/>
          <w:w w:val="100"/>
        </w:rPr>
        <w:t>持审验不合格的驾驶证驾驶；</w:t>
      </w:r>
      <w:r>
        <w:rPr>
          <w:rFonts w:ascii="楷体" w:eastAsia="楷体" w:hint="eastAsia"/>
          <w:spacing w:val="-1"/>
          <w:w w:val="100"/>
        </w:rPr>
        <w:t>（</w:t>
      </w:r>
      <w:r>
        <w:rPr>
          <w:rFonts w:ascii="Times New Roman" w:eastAsia="Times New Roman"/>
          <w:w w:val="100"/>
        </w:rPr>
        <w:t>4</w:t>
      </w:r>
      <w:r>
        <w:rPr>
          <w:rFonts w:ascii="楷体" w:eastAsia="楷体" w:hint="eastAsia"/>
          <w:spacing w:val="-3"/>
          <w:w w:val="100"/>
        </w:rPr>
        <w:t>）持学习驾驶证学习驾车时，无教练员随车指导，或不按指定时</w:t>
      </w:r>
      <w:r>
        <w:rPr>
          <w:rFonts w:ascii="楷体" w:eastAsia="楷体" w:hint="eastAsia"/>
          <w:spacing w:val="-3"/>
        </w:rPr>
        <w:t>间、路线学习驾车。</w:t>
      </w:r>
    </w:p>
    <w:p>
      <w:pPr>
        <w:pStyle w:val="BodyText"/>
        <w:spacing w:line="272" w:lineRule="exact"/>
        <w:ind w:left="117"/>
        <w:rPr>
          <w:rFonts w:ascii="楷体" w:eastAsia="楷体" w:hint="eastAsia"/>
        </w:rPr>
      </w:pPr>
      <w:r>
        <w:rPr>
          <w:rFonts w:ascii="Times New Roman" w:eastAsia="Times New Roman"/>
          <w:position w:val="10"/>
          <w:sz w:val="14"/>
        </w:rPr>
        <w:t>9</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指发生保险事故时没有按照公安机关交通管理部门机动车登记制度的规定进行登记并领取机</w:t>
      </w:r>
    </w:p>
    <w:p>
      <w:pPr>
        <w:pStyle w:val="BodyText"/>
        <w:spacing w:line="225" w:lineRule="auto" w:before="16"/>
        <w:ind w:left="117" w:right="186"/>
        <w:jc w:val="both"/>
        <w:rPr>
          <w:rFonts w:ascii="楷体" w:eastAsia="楷体" w:hint="eastAsia"/>
        </w:rPr>
      </w:pPr>
      <w:r>
        <w:rPr>
          <w:rFonts w:ascii="楷体" w:eastAsia="楷体" w:hint="eastAsia"/>
          <w:spacing w:val="-7"/>
          <w:w w:val="100"/>
        </w:rPr>
        <w:t>动车行驶证或者临时通行牌证等法定证件。包括下列情形之一：</w:t>
      </w:r>
      <w:r>
        <w:rPr>
          <w:rFonts w:ascii="楷体" w:eastAsia="楷体" w:hint="eastAsia"/>
          <w:spacing w:val="-1"/>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3"/>
          <w:w w:val="100"/>
        </w:rPr>
        <w:t>未办理行驶证或者行驶证在申办过程中</w:t>
      </w:r>
      <w:r>
        <w:rPr>
          <w:rFonts w:ascii="楷体" w:eastAsia="楷体" w:hint="eastAsia"/>
          <w:spacing w:val="-55"/>
          <w:w w:val="100"/>
        </w:rPr>
        <w:t>的；</w:t>
      </w:r>
      <w:r>
        <w:rPr>
          <w:rFonts w:ascii="楷体" w:eastAsia="楷体" w:hint="eastAsia"/>
          <w:w w:val="100"/>
        </w:rPr>
        <w:t>（</w:t>
      </w:r>
      <w:r>
        <w:rPr>
          <w:rFonts w:ascii="Times New Roman" w:eastAsia="Times New Roman"/>
          <w:spacing w:val="-3"/>
          <w:w w:val="100"/>
        </w:rPr>
        <w:t>2</w:t>
      </w:r>
      <w:r>
        <w:rPr>
          <w:rFonts w:ascii="楷体" w:eastAsia="楷体" w:hint="eastAsia"/>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未在行驶证检验有效期内依法按时进行或者未通过机动车安</w:t>
      </w:r>
      <w:r>
        <w:rPr>
          <w:rFonts w:ascii="楷体" w:eastAsia="楷体" w:hint="eastAsia"/>
          <w:spacing w:val="-3"/>
        </w:rPr>
        <w:t>全技术检验的。</w:t>
      </w:r>
    </w:p>
    <w:p>
      <w:pPr>
        <w:pStyle w:val="BodyText"/>
        <w:spacing w:line="271" w:lineRule="exact"/>
        <w:ind w:left="117"/>
        <w:rPr>
          <w:rFonts w:ascii="楷体" w:eastAsia="楷体" w:hint="eastAsia"/>
        </w:rPr>
      </w:pPr>
      <w:r>
        <w:rPr>
          <w:rFonts w:ascii="Times New Roman" w:eastAsia="Times New Roman"/>
          <w:position w:val="10"/>
          <w:sz w:val="14"/>
        </w:rPr>
        <w:t>10</w:t>
      </w:r>
      <w:r>
        <w:rPr>
          <w:rFonts w:ascii="楷体" w:eastAsia="楷体" w:hint="eastAsia"/>
          <w:b/>
        </w:rPr>
        <w:t>机动车：</w:t>
      </w:r>
      <w:r>
        <w:rPr>
          <w:rFonts w:ascii="楷体" w:eastAsia="楷体" w:hint="eastAsia"/>
        </w:rPr>
        <w:t>指以动力装置驱动或牵引，上道路行驶的供人员乘用或用于运送物品以及进行工程专项作业的轮</w:t>
      </w:r>
    </w:p>
    <w:p>
      <w:pPr>
        <w:pStyle w:val="BodyText"/>
        <w:spacing w:line="272" w:lineRule="exact"/>
        <w:ind w:left="117"/>
        <w:rPr>
          <w:rFonts w:ascii="楷体" w:eastAsia="楷体" w:hint="eastAsia"/>
        </w:rPr>
      </w:pPr>
      <w:r>
        <w:rPr>
          <w:rFonts w:ascii="楷体" w:eastAsia="楷体" w:hint="eastAsia"/>
        </w:rPr>
        <w:t>式车辆。</w:t>
      </w:r>
    </w:p>
    <w:p>
      <w:pPr>
        <w:pStyle w:val="BodyText"/>
        <w:spacing w:line="230" w:lineRule="auto" w:before="10"/>
        <w:ind w:left="117" w:right="152"/>
        <w:rPr>
          <w:rFonts w:ascii="楷体" w:eastAsia="楷体" w:hint="eastAsia"/>
        </w:rPr>
      </w:pPr>
      <w:r>
        <w:rPr>
          <w:rFonts w:ascii="Times New Roman" w:eastAsia="Times New Roman"/>
          <w:position w:val="10"/>
          <w:sz w:val="14"/>
        </w:rPr>
        <w:t>11</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spacing w:after="0" w:line="230" w:lineRule="auto"/>
        <w:rPr>
          <w:rFonts w:ascii="楷体" w:eastAsia="楷体" w:hint="eastAsia"/>
        </w:rPr>
        <w:sectPr>
          <w:footerReference w:type="default" r:id="rId9"/>
          <w:pgSz w:w="11910" w:h="16160"/>
          <w:pgMar w:footer="993" w:header="0" w:top="1360" w:bottom="1180" w:left="960" w:right="760"/>
          <w:pgNumType w:start="4"/>
        </w:sectPr>
      </w:pPr>
    </w:p>
    <w:p>
      <w:pPr>
        <w:pStyle w:val="ListParagraph"/>
        <w:numPr>
          <w:ilvl w:val="0"/>
          <w:numId w:val="5"/>
        </w:numPr>
        <w:tabs>
          <w:tab w:pos="803" w:val="left" w:leader="none"/>
        </w:tabs>
        <w:spacing w:line="240" w:lineRule="auto" w:before="27"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left="117" w:right="107" w:firstLine="427"/>
        <w:rPr>
          <w:rFonts w:ascii="黑体" w:eastAsia="黑体" w:hint="eastAsia"/>
        </w:rPr>
      </w:pPr>
      <w:r>
        <w:rPr>
          <w:rFonts w:ascii="黑体" w:eastAsia="黑体" w:hint="eastAsia"/>
        </w:rPr>
        <w:t>发Th</w:t>
      </w:r>
      <w:r>
        <w:rPr>
          <w:rFonts w:ascii="黑体" w:eastAsia="黑体" w:hint="eastAsia"/>
          <w:spacing w:val="-10"/>
        </w:rPr>
        <w:t>上述第 </w:t>
      </w:r>
      <w:r>
        <w:rPr>
          <w:rFonts w:ascii="Times New Roman" w:eastAsia="Times New Roman"/>
        </w:rPr>
        <w:t>1 </w:t>
      </w:r>
      <w:r>
        <w:rPr>
          <w:rFonts w:ascii="黑体" w:eastAsia="黑体" w:hint="eastAsia"/>
          <w:spacing w:val="-7"/>
        </w:rPr>
        <w:t>项情形导致被保险人患上本合同所定义的特定疾病、重大疾病或特定癌症的，本合同终止， </w:t>
      </w:r>
      <w:r>
        <w:rPr>
          <w:rFonts w:ascii="黑体" w:eastAsia="黑体" w:hint="eastAsia"/>
          <w:spacing w:val="-3"/>
        </w:rPr>
        <w:t>我们向其他权利人退还保险单的</w:t>
      </w:r>
      <w:r>
        <w:rPr>
          <w:rFonts w:ascii="黑体" w:eastAsia="黑体" w:hint="eastAsia"/>
          <w:b/>
          <w:spacing w:val="-1"/>
        </w:rPr>
        <w:t>未经过净保费</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line="273" w:lineRule="auto" w:before="5"/>
        <w:ind w:left="117" w:right="219" w:firstLine="420"/>
        <w:jc w:val="both"/>
        <w:rPr>
          <w:rFonts w:ascii="黑体" w:eastAsia="黑体" w:hint="eastAsia"/>
        </w:rPr>
      </w:pPr>
      <w:r>
        <w:rPr>
          <w:rFonts w:ascii="黑体" w:eastAsia="黑体" w:hint="eastAsia"/>
        </w:rPr>
        <w:t>发Th上述其他情形导致被保险人患上本合同所定义的特定疾病、重大疾病或特定癌症的，本合同终止， 我们向您退还保险单的未经过净保费。</w:t>
      </w:r>
    </w:p>
    <w:p>
      <w:pPr>
        <w:pStyle w:val="BodyText"/>
        <w:spacing w:before="13"/>
        <w:rPr>
          <w:rFonts w:ascii="黑体"/>
          <w:sz w:val="16"/>
        </w:rPr>
      </w:pPr>
    </w:p>
    <w:p>
      <w:pPr>
        <w:pStyle w:val="Heading1"/>
        <w:tabs>
          <w:tab w:pos="1418" w:val="left" w:leader="none"/>
        </w:tabs>
        <w:ind w:right="99"/>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57" w:val="left" w:leader="none"/>
        </w:tabs>
      </w:pPr>
      <w:bookmarkStart w:name="_bookmark11" w:id="12"/>
      <w:bookmarkEnd w:id="12"/>
      <w:r>
        <w:rPr>
          <w:b w:val="0"/>
        </w:rPr>
      </w:r>
      <w:r>
        <w:rPr/>
        <w:t>第九条</w:t>
        <w:tab/>
      </w:r>
      <w:r>
        <w:rPr>
          <w:spacing w:val="-1"/>
        </w:rPr>
        <w:t>保</w:t>
      </w:r>
      <w:r>
        <w:rPr/>
        <w:t>险费的支付</w:t>
      </w:r>
    </w:p>
    <w:p>
      <w:pPr>
        <w:pStyle w:val="BodyText"/>
        <w:spacing w:line="273" w:lineRule="auto" w:before="36"/>
        <w:ind w:left="117" w:right="217" w:firstLine="420"/>
        <w:jc w:val="both"/>
      </w:pPr>
      <w:r>
        <w:rPr/>
        <w:t>本合同保险费的交费方式和交费期限由您和我们约定，并在保险单或批注上列明。本合同的首年保险费以被保险人投保时的年龄为基础，按首年费率计算。续保保险费以续保时被保险人的年龄为基础，按续保费率计算，并按本合同的约定在每个保险费约定支付日支付当期应支付的保险费。</w:t>
      </w:r>
    </w:p>
    <w:p>
      <w:pPr>
        <w:pStyle w:val="BodyText"/>
        <w:spacing w:before="5"/>
        <w:rPr>
          <w:sz w:val="24"/>
        </w:rPr>
      </w:pPr>
    </w:p>
    <w:p>
      <w:pPr>
        <w:pStyle w:val="Heading2"/>
        <w:tabs>
          <w:tab w:pos="957" w:val="left" w:leader="none"/>
        </w:tabs>
      </w:pPr>
      <w:bookmarkStart w:name="_bookmark12" w:id="13"/>
      <w:bookmarkEnd w:id="13"/>
      <w:r>
        <w:rPr>
          <w:b w:val="0"/>
        </w:rPr>
      </w:r>
      <w:r>
        <w:rPr/>
        <w:t>第十条</w:t>
        <w:tab/>
        <w:t>续保</w:t>
      </w:r>
    </w:p>
    <w:p>
      <w:pPr>
        <w:pStyle w:val="BodyText"/>
        <w:spacing w:line="266" w:lineRule="auto" w:before="37"/>
        <w:ind w:left="117" w:right="217" w:firstLine="425"/>
        <w:jc w:val="both"/>
      </w:pPr>
      <w:r>
        <w:rPr/>
        <w:t>我们将在</w:t>
      </w:r>
      <w:r>
        <w:rPr>
          <w:b/>
        </w:rPr>
        <w:t>本合同期满日</w:t>
      </w:r>
      <w:r>
        <w:rPr>
          <w:rFonts w:ascii="Times New Roman" w:eastAsia="Times New Roman"/>
          <w:b/>
          <w:vertAlign w:val="superscript"/>
        </w:rPr>
        <w:t>1</w:t>
      </w:r>
      <w:r>
        <w:rPr>
          <w:rFonts w:ascii="Times New Roman" w:eastAsia="Times New Roman"/>
          <w:b/>
          <w:vertAlign w:val="superscript"/>
        </w:rPr>
        <w:t>5</w:t>
      </w:r>
      <w:r>
        <w:rPr>
          <w:rFonts w:ascii="Times New Roman" w:eastAsia="Times New Roman"/>
          <w:b/>
          <w:vertAlign w:val="baseline"/>
        </w:rPr>
      </w:r>
      <w:r>
        <w:rPr>
          <w:vertAlign w:val="baseline"/>
        </w:rPr>
        <w:t>前根据被保险人的健康状况、职业工种状况进行审核，并根据审核结果做出是否同意您续保本合同的决定。如果我们同意您按本合同约定的承保条件续保本合同，且在本合同期满日前未收到您停止续保本合同的书面申请，我们将为您自动办理相关续保手续，新续保的合同自本合同期满日零时起生效，有效期为 </w:t>
      </w:r>
      <w:r>
        <w:rPr>
          <w:rFonts w:ascii="Times New Roman" w:eastAsia="Times New Roman"/>
          <w:vertAlign w:val="baseline"/>
        </w:rPr>
        <w:t>1 </w:t>
      </w:r>
      <w:r>
        <w:rPr>
          <w:vertAlign w:val="baseline"/>
        </w:rPr>
        <w:t>年。每次续保，均按前述规则执行。</w:t>
      </w:r>
    </w:p>
    <w:p>
      <w:pPr>
        <w:pStyle w:val="BodyText"/>
        <w:spacing w:line="266" w:lineRule="auto"/>
        <w:ind w:left="117" w:right="212" w:firstLine="425"/>
        <w:jc w:val="both"/>
      </w:pPr>
      <w:r>
        <w:rPr>
          <w:spacing w:val="-3"/>
        </w:rPr>
        <w:t>如果我们认为需要变更本合同约定的承保条件才能同意您续保本合同，我们将在本合同期满日前以书面形式通知您。您接受变更本合同约定的承保条件续保本合同且在书面通知上签署同意意见后，我们将按变更</w:t>
      </w:r>
      <w:r>
        <w:rPr>
          <w:spacing w:val="-4"/>
        </w:rPr>
        <w:t>后的续保条件为您办理相关续保手续，新续保的合同自本合同期满日零时起生效，有效期为 </w:t>
      </w:r>
      <w:r>
        <w:rPr>
          <w:rFonts w:ascii="Times New Roman" w:eastAsia="Times New Roman"/>
        </w:rPr>
        <w:t>1 </w:t>
      </w:r>
      <w:r>
        <w:rPr>
          <w:spacing w:val="-3"/>
        </w:rPr>
        <w:t>年。您不接受变更续保条件的，本合同自本合同期满日零时终止。</w:t>
      </w:r>
    </w:p>
    <w:p>
      <w:pPr>
        <w:spacing w:line="273" w:lineRule="auto" w:before="18"/>
        <w:ind w:left="545" w:right="109" w:hanging="3"/>
        <w:jc w:val="left"/>
        <w:rPr>
          <w:b/>
          <w:sz w:val="21"/>
        </w:rPr>
      </w:pPr>
      <w:r>
        <w:rPr>
          <w:spacing w:val="-6"/>
          <w:sz w:val="21"/>
        </w:rPr>
        <w:t>如果我们做出不同意您续保本合同的决定，我们将以书面形式通知您，本合同自本合同期满日零时终止。</w:t>
      </w:r>
      <w:r>
        <w:rPr>
          <w:b/>
          <w:spacing w:val="-8"/>
          <w:sz w:val="21"/>
        </w:rPr>
        <w:t>我们接受续保本合同的被保险人的年龄最高不超过 </w:t>
      </w:r>
      <w:r>
        <w:rPr>
          <w:rFonts w:ascii="Times New Roman" w:eastAsia="Times New Roman"/>
          <w:b/>
          <w:sz w:val="21"/>
        </w:rPr>
        <w:t>80 </w:t>
      </w:r>
      <w:r>
        <w:rPr>
          <w:b/>
          <w:sz w:val="21"/>
        </w:rPr>
        <w:t>周岁。</w:t>
      </w:r>
    </w:p>
    <w:p>
      <w:pPr>
        <w:spacing w:line="268" w:lineRule="auto" w:before="0"/>
        <w:ind w:left="117" w:right="212" w:firstLine="427"/>
        <w:jc w:val="both"/>
        <w:rPr>
          <w:sz w:val="21"/>
        </w:rPr>
      </w:pPr>
      <w:r>
        <w:rPr>
          <w:b/>
          <w:sz w:val="21"/>
        </w:rPr>
        <w:t>保险事故</w:t>
      </w:r>
      <w:r>
        <w:rPr>
          <w:rFonts w:ascii="Times New Roman" w:eastAsia="Times New Roman"/>
          <w:b/>
          <w:sz w:val="21"/>
          <w:vertAlign w:val="superscript"/>
        </w:rPr>
        <w:t>1</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发生后，您或者被保险人未按本合同的要求及时通知我们，导致我们在不知情的状况下承保该续保合同的，我们有权对该续保合同重新审核，并根据审核结果决定是否变更续保条件或者不同意续保该合同。</w:t>
      </w:r>
      <w:r>
        <w:rPr>
          <w:b/>
          <w:sz w:val="21"/>
          <w:vertAlign w:val="baseline"/>
        </w:rPr>
        <w:t>如果我们不同意续保该合同的，我们对被保险人在该续保合同保险期间内发生的保险事故不承担保险金给付责任，</w:t>
      </w:r>
      <w:r>
        <w:rPr>
          <w:sz w:val="21"/>
          <w:vertAlign w:val="baseline"/>
        </w:rPr>
        <w:t>但向您全额退还续保合同的保险费；如果我们认为需要变更续保条件，但您不接受变更续保条件的，我们将按前述解除该续保合同的约定处理。</w:t>
      </w:r>
    </w:p>
    <w:p>
      <w:pPr>
        <w:pStyle w:val="BodyText"/>
        <w:spacing w:line="264" w:lineRule="auto" w:before="23"/>
        <w:ind w:left="117" w:right="217" w:firstLine="420"/>
        <w:jc w:val="both"/>
      </w:pPr>
      <w:r>
        <w:rPr>
          <w:spacing w:val="-5"/>
        </w:rPr>
        <w:t>新续保的合同自本合同期满日零时起 </w:t>
      </w:r>
      <w:r>
        <w:rPr>
          <w:rFonts w:ascii="Times New Roman" w:eastAsia="Times New Roman"/>
        </w:rPr>
        <w:t>60 </w:t>
      </w:r>
      <w:r>
        <w:rPr>
          <w:spacing w:val="-9"/>
        </w:rPr>
        <w:t>日为交费宽限期。在宽限期内发生保险事故，我们仍承担保险责</w:t>
      </w:r>
      <w:r>
        <w:rPr>
          <w:spacing w:val="-5"/>
        </w:rPr>
        <w:t>任，但我们有权从给付的保险金中扣除当期应付而未付的保险费。如果宽限期后，您仍未支付保险费，自本</w:t>
      </w:r>
      <w:r>
        <w:rPr>
          <w:spacing w:val="-4"/>
        </w:rPr>
        <w:t>合同期满日零时起，</w:t>
      </w:r>
      <w:r>
        <w:rPr>
          <w:b/>
          <w:spacing w:val="-2"/>
        </w:rPr>
        <w:t>本合同终止</w:t>
      </w:r>
      <w:r>
        <w:rPr/>
        <w:t>。</w:t>
      </w:r>
    </w:p>
    <w:p>
      <w:pPr>
        <w:pStyle w:val="BodyText"/>
        <w:rPr>
          <w:sz w:val="20"/>
        </w:rPr>
      </w:pPr>
    </w:p>
    <w:p>
      <w:pPr>
        <w:pStyle w:val="BodyText"/>
        <w:rPr>
          <w:sz w:val="20"/>
        </w:rPr>
      </w:pPr>
    </w:p>
    <w:p>
      <w:pPr>
        <w:pStyle w:val="BodyText"/>
        <w:spacing w:before="11"/>
        <w:rPr>
          <w:sz w:val="10"/>
        </w:rPr>
      </w:pPr>
      <w:r>
        <w:rPr/>
        <w:pict>
          <v:line style="position:absolute;mso-position-horizontal-relative:page;mso-position-vertical-relative:paragraph;z-index:1168;mso-wrap-distance-left:0;mso-wrap-distance-right:0" from="53.880001pt,9.334490pt" to="197.930001pt,9.334490pt" stroked="true" strokeweight=".47998pt" strokecolor="#000000">
            <v:stroke dashstyle="solid"/>
            <w10:wrap type="topAndBottom"/>
          </v:line>
        </w:pict>
      </w:r>
    </w:p>
    <w:p>
      <w:pPr>
        <w:pStyle w:val="BodyText"/>
        <w:spacing w:line="274" w:lineRule="exact" w:before="35"/>
        <w:ind w:left="117"/>
        <w:rPr>
          <w:rFonts w:ascii="楷体" w:eastAsia="楷体" w:hint="eastAsia"/>
        </w:rPr>
      </w:pPr>
      <w:r>
        <w:rPr>
          <w:rFonts w:ascii="Times New Roman" w:eastAsia="Times New Roman"/>
          <w:position w:val="10"/>
          <w:sz w:val="14"/>
        </w:rPr>
        <w:t>12</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13</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72" w:lineRule="exact"/>
        <w:ind w:left="117"/>
        <w:rPr>
          <w:rFonts w:ascii="楷体" w:hAnsi="楷体" w:eastAsia="楷体" w:hint="eastAsia"/>
        </w:rPr>
      </w:pPr>
      <w:r>
        <w:rPr>
          <w:rFonts w:ascii="Times New Roman" w:hAnsi="Times New Roman" w:eastAsia="Times New Roman"/>
          <w:position w:val="10"/>
          <w:sz w:val="14"/>
        </w:rPr>
        <w:t>14</w:t>
      </w:r>
      <w:r>
        <w:rPr>
          <w:rFonts w:ascii="楷体" w:hAnsi="楷体" w:eastAsia="楷体" w:hint="eastAsia"/>
          <w:b/>
        </w:rPr>
        <w:t>未经过净保费：</w:t>
      </w:r>
      <w:r>
        <w:rPr>
          <w:rFonts w:ascii="楷体" w:hAnsi="楷体" w:eastAsia="楷体" w:hint="eastAsia"/>
        </w:rPr>
        <w:t>已支付的当期保险费×（</w:t>
      </w:r>
      <w:r>
        <w:rPr>
          <w:rFonts w:ascii="Times New Roman" w:hAnsi="Times New Roman" w:eastAsia="Times New Roman"/>
        </w:rPr>
        <w:t>1-35%</w:t>
      </w:r>
      <w:r>
        <w:rPr>
          <w:rFonts w:ascii="楷体" w:hAnsi="楷体" w:eastAsia="楷体" w:hint="eastAsia"/>
        </w:rPr>
        <w:t>）×（</w:t>
      </w:r>
      <w:r>
        <w:rPr>
          <w:rFonts w:ascii="Times New Roman" w:hAnsi="Times New Roman" w:eastAsia="Times New Roman"/>
        </w:rPr>
        <w:t>1-</w:t>
      </w:r>
      <w:r>
        <w:rPr>
          <w:rFonts w:ascii="楷体" w:hAnsi="楷体" w:eastAsia="楷体" w:hint="eastAsia"/>
        </w:rPr>
        <w:t>该保险费所保障的已经过日数</w:t>
      </w:r>
      <w:r>
        <w:rPr>
          <w:rFonts w:ascii="Times New Roman" w:hAnsi="Times New Roman" w:eastAsia="Times New Roman"/>
        </w:rPr>
        <w:t>/</w:t>
      </w:r>
      <w:r>
        <w:rPr>
          <w:rFonts w:ascii="楷体" w:hAnsi="楷体" w:eastAsia="楷体" w:hint="eastAsia"/>
        </w:rPr>
        <w:t>该保险费所保障的日</w:t>
      </w:r>
    </w:p>
    <w:p>
      <w:pPr>
        <w:pStyle w:val="BodyText"/>
        <w:spacing w:line="264" w:lineRule="exact"/>
        <w:ind w:left="117"/>
        <w:rPr>
          <w:rFonts w:ascii="楷体" w:eastAsia="楷体" w:hint="eastAsia"/>
        </w:rPr>
      </w:pPr>
      <w:r>
        <w:rPr>
          <w:rFonts w:ascii="楷体" w:eastAsia="楷体" w:hint="eastAsia"/>
          <w:spacing w:val="-1"/>
        </w:rPr>
        <w:t>数</w:t>
      </w:r>
      <w:r>
        <w:rPr>
          <w:rFonts w:ascii="楷体" w:eastAsia="楷体" w:hint="eastAsia"/>
          <w:spacing w:val="-106"/>
        </w:rPr>
        <w:t>）</w:t>
      </w:r>
      <w:r>
        <w:rPr>
          <w:rFonts w:ascii="楷体" w:eastAsia="楷体" w:hint="eastAsia"/>
          <w:spacing w:val="-3"/>
        </w:rPr>
        <w:t>。经过日数不足一日的按一日计算。</w:t>
      </w:r>
    </w:p>
    <w:p>
      <w:pPr>
        <w:pStyle w:val="BodyText"/>
        <w:spacing w:line="272" w:lineRule="exact"/>
        <w:ind w:left="117"/>
        <w:rPr>
          <w:rFonts w:ascii="楷体" w:eastAsia="楷体" w:hint="eastAsia"/>
        </w:rPr>
      </w:pPr>
      <w:r>
        <w:rPr>
          <w:rFonts w:ascii="Times New Roman" w:eastAsia="Times New Roman"/>
          <w:position w:val="10"/>
          <w:sz w:val="14"/>
        </w:rPr>
        <w:t>15</w:t>
      </w:r>
      <w:r>
        <w:rPr>
          <w:rFonts w:ascii="楷体" w:eastAsia="楷体" w:hint="eastAsia"/>
          <w:b/>
        </w:rPr>
        <w:t>本合同期满日：</w:t>
      </w:r>
      <w:r>
        <w:rPr>
          <w:rFonts w:ascii="楷体" w:eastAsia="楷体" w:hint="eastAsia"/>
        </w:rPr>
        <w:t>指保险单或批注上列明的合同生效日经过保险期间后的对应日。如果当月无对应的同一日，</w:t>
      </w:r>
    </w:p>
    <w:p>
      <w:pPr>
        <w:pStyle w:val="BodyText"/>
        <w:spacing w:line="272" w:lineRule="exact"/>
        <w:ind w:left="117"/>
        <w:rPr>
          <w:rFonts w:ascii="楷体" w:eastAsia="楷体" w:hint="eastAsia"/>
        </w:rPr>
      </w:pPr>
      <w:r>
        <w:rPr>
          <w:rFonts w:ascii="楷体" w:eastAsia="楷体" w:hint="eastAsia"/>
        </w:rPr>
        <w:t>则以该月最后一日作为对应日。</w:t>
      </w:r>
    </w:p>
    <w:p>
      <w:pPr>
        <w:spacing w:line="274" w:lineRule="exact" w:before="0"/>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保险事故：</w:t>
      </w:r>
      <w:r>
        <w:rPr>
          <w:rFonts w:ascii="楷体" w:eastAsia="楷体" w:hint="eastAsia"/>
          <w:sz w:val="21"/>
        </w:rPr>
        <w:t>指本合同约定的保险责任范围内的事故。</w:t>
      </w:r>
    </w:p>
    <w:p>
      <w:pPr>
        <w:spacing w:after="0" w:line="274" w:lineRule="exact"/>
        <w:jc w:val="left"/>
        <w:rPr>
          <w:rFonts w:ascii="楷体" w:eastAsia="楷体" w:hint="eastAsia"/>
          <w:sz w:val="21"/>
        </w:rPr>
        <w:sectPr>
          <w:pgSz w:w="11910" w:h="16160"/>
          <w:pgMar w:header="0" w:footer="993" w:top="1340" w:bottom="1240" w:left="960" w:right="700"/>
        </w:sectPr>
      </w:pPr>
    </w:p>
    <w:p>
      <w:pPr>
        <w:pStyle w:val="Heading1"/>
        <w:tabs>
          <w:tab w:pos="1418" w:val="left" w:leader="none"/>
        </w:tabs>
        <w:spacing w:line="314" w:lineRule="exact"/>
        <w:ind w:right="100"/>
      </w:pPr>
      <w:bookmarkStart w:name="_bookmark13" w:id="14"/>
      <w:bookmarkEnd w:id="14"/>
      <w:r>
        <w:rPr>
          <w:b w:val="0"/>
        </w:rPr>
      </w:r>
      <w:r>
        <w:rPr/>
        <w:t>第四部分</w:t>
        <w:tab/>
      </w:r>
      <w:r>
        <w:rPr>
          <w:w w:val="95"/>
        </w:rPr>
        <w:t>如何申请保险金</w:t>
      </w:r>
    </w:p>
    <w:p>
      <w:pPr>
        <w:pStyle w:val="BodyText"/>
        <w:spacing w:before="11"/>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before="37"/>
        <w:ind w:left="538"/>
      </w:pPr>
      <w:r>
        <w:rPr/>
        <w:t>除另有约定外，特定疾病保险金、重大疾病保险金和特定癌症保险金的受益人为被保险人本人。</w:t>
      </w:r>
    </w:p>
    <w:p>
      <w:pPr>
        <w:pStyle w:val="BodyText"/>
        <w:spacing w:before="8"/>
        <w:rPr>
          <w:sz w:val="26"/>
        </w:rPr>
      </w:pPr>
    </w:p>
    <w:p>
      <w:pPr>
        <w:pStyle w:val="Heading2"/>
        <w:tabs>
          <w:tab w:pos="1197" w:val="left" w:leader="none"/>
        </w:tabs>
      </w:pPr>
      <w:bookmarkStart w:name="_bookmark15" w:id="16"/>
      <w:bookmarkEnd w:id="16"/>
      <w:r>
        <w:rPr>
          <w:b w:val="0"/>
        </w:rPr>
      </w:r>
      <w:r>
        <w:rPr/>
        <w:t>第十二条</w:t>
        <w:tab/>
        <w:t>保险事故通知</w:t>
      </w:r>
    </w:p>
    <w:p>
      <w:pPr>
        <w:pStyle w:val="BodyText"/>
        <w:spacing w:before="36"/>
        <w:ind w:left="538"/>
      </w:pPr>
      <w:r>
        <w:rPr/>
        <w:t>您或受益人知道保险事故后应当在 </w:t>
      </w:r>
      <w:r>
        <w:rPr>
          <w:rFonts w:ascii="Times New Roman" w:eastAsia="Times New Roman"/>
        </w:rPr>
        <w:t>10 </w:t>
      </w:r>
      <w:r>
        <w:rPr/>
        <w:t>日内通知我们。</w:t>
      </w:r>
    </w:p>
    <w:p>
      <w:pPr>
        <w:spacing w:line="273" w:lineRule="auto" w:before="21"/>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p>
      <w:pPr>
        <w:pStyle w:val="BodyText"/>
        <w:spacing w:before="6"/>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before="36"/>
        <w:ind w:left="538"/>
      </w:pPr>
      <w:r>
        <w:rPr>
          <w:spacing w:val="-4"/>
        </w:rPr>
        <w:t>受益人向我们请求给付保险金的诉讼时效期间为 </w:t>
      </w:r>
      <w:r>
        <w:rPr>
          <w:rFonts w:ascii="Times New Roman" w:eastAsia="Times New Roman"/>
        </w:rPr>
        <w:t>2 </w:t>
      </w:r>
      <w:r>
        <w:rPr>
          <w:spacing w:val="-10"/>
        </w:rPr>
        <w:t>年，自其知道或者应当知道保险事故发生之日起计算。</w:t>
      </w:r>
    </w:p>
    <w:p>
      <w:pPr>
        <w:pStyle w:val="BodyText"/>
        <w:spacing w:before="5"/>
        <w:rPr>
          <w:sz w:val="25"/>
        </w:rPr>
      </w:pPr>
    </w:p>
    <w:p>
      <w:pPr>
        <w:pStyle w:val="Heading2"/>
        <w:tabs>
          <w:tab w:pos="1197" w:val="left" w:leader="none"/>
        </w:tabs>
      </w:pPr>
      <w:bookmarkStart w:name="_bookmark17" w:id="18"/>
      <w:bookmarkEnd w:id="18"/>
      <w:r>
        <w:rPr>
          <w:b w:val="0"/>
        </w:rPr>
      </w:r>
      <w:r>
        <w:rPr/>
        <w:t>第十四条</w:t>
        <w:tab/>
        <w:t>保险金申请</w:t>
      </w:r>
    </w:p>
    <w:p>
      <w:pPr>
        <w:pStyle w:val="BodyText"/>
        <w:spacing w:line="273" w:lineRule="auto" w:before="37"/>
        <w:ind w:left="117" w:right="219" w:firstLine="420"/>
      </w:pPr>
      <w:r>
        <w:rPr/>
        <w:t>在申请本合同的特定疾病保险金、重大疾病保险金或特定癌症保险金时，由相应保险金的受益人作为申请人填写保险金给付申请书，并提供下列证明和资料：</w:t>
      </w:r>
    </w:p>
    <w:p>
      <w:pPr>
        <w:pStyle w:val="ListParagraph"/>
        <w:numPr>
          <w:ilvl w:val="0"/>
          <w:numId w:val="6"/>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68" w:lineRule="auto"/>
        <w:ind w:left="117" w:right="2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8</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9"/>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0"/>
        <w:ind w:left="117" w:right="1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1"/>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left="117" w:right="21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rPr>
          <w:sz w:val="20"/>
        </w:rPr>
      </w:pPr>
    </w:p>
    <w:p>
      <w:pPr>
        <w:pStyle w:val="BodyText"/>
        <w:rPr>
          <w:sz w:val="20"/>
        </w:rPr>
      </w:pPr>
    </w:p>
    <w:p>
      <w:pPr>
        <w:pStyle w:val="BodyText"/>
        <w:rPr>
          <w:sz w:val="20"/>
        </w:rPr>
      </w:pPr>
    </w:p>
    <w:p>
      <w:pPr>
        <w:pStyle w:val="BodyText"/>
        <w:spacing w:before="9"/>
        <w:rPr>
          <w:sz w:val="18"/>
        </w:rPr>
      </w:pPr>
      <w:r>
        <w:rPr/>
        <w:pict>
          <v:line style="position:absolute;mso-position-horizontal-relative:page;mso-position-vertical-relative:paragraph;z-index:1192;mso-wrap-distance-left:0;mso-wrap-distance-right:0" from="53.880001pt,14.440273pt" to="197.930001pt,14.440273pt" stroked="true" strokeweight=".48004pt" strokecolor="#000000">
            <v:stroke dashstyle="solid"/>
            <w10:wrap type="topAndBottom"/>
          </v:line>
        </w:pict>
      </w:r>
    </w:p>
    <w:p>
      <w:pPr>
        <w:pStyle w:val="BodyText"/>
        <w:spacing w:line="274" w:lineRule="exact" w:before="32"/>
        <w:ind w:left="117"/>
        <w:rPr>
          <w:rFonts w:ascii="楷体" w:eastAsia="楷体" w:hint="eastAsia"/>
        </w:rPr>
      </w:pPr>
      <w:r>
        <w:rPr>
          <w:rFonts w:ascii="Times New Roman" w:eastAsia="Times New Roman"/>
          <w:position w:val="10"/>
          <w:sz w:val="14"/>
        </w:rPr>
        <w:t>17</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2" w:lineRule="exact"/>
        <w:ind w:left="117"/>
        <w:rPr>
          <w:rFonts w:ascii="楷体" w:eastAsia="楷体" w:hint="eastAsia"/>
        </w:rPr>
      </w:pPr>
      <w:r>
        <w:rPr>
          <w:rFonts w:ascii="楷体" w:eastAsia="楷体" w:hint="eastAsia"/>
        </w:rPr>
        <w:t>证件。</w:t>
      </w:r>
    </w:p>
    <w:p>
      <w:pPr>
        <w:pStyle w:val="BodyText"/>
        <w:ind w:left="117" w:right="214"/>
        <w:rPr>
          <w:rFonts w:ascii="楷体" w:eastAsia="楷体" w:hint="eastAsia"/>
        </w:rPr>
      </w:pPr>
      <w:r>
        <w:rPr>
          <w:rFonts w:ascii="Times New Roman" w:eastAsia="Times New Roman"/>
          <w:position w:val="10"/>
          <w:sz w:val="14"/>
        </w:rPr>
        <w:t>18</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rPr>
          <w:rFonts w:ascii="楷体" w:eastAsia="楷体" w:hint="eastAsia"/>
        </w:rPr>
        <w:sectPr>
          <w:pgSz w:w="11910" w:h="16160"/>
          <w:pgMar w:header="0" w:footer="993" w:top="1340" w:bottom="1240" w:left="960" w:right="700"/>
        </w:sectPr>
      </w:pPr>
    </w:p>
    <w:p>
      <w:pPr>
        <w:pStyle w:val="Heading1"/>
        <w:tabs>
          <w:tab w:pos="1418" w:val="left" w:leader="none"/>
        </w:tabs>
        <w:spacing w:line="314" w:lineRule="exact"/>
      </w:pPr>
      <w:bookmarkStart w:name="_bookmark19" w:id="20"/>
      <w:bookmarkEnd w:id="20"/>
      <w:r>
        <w:rPr>
          <w:b w:val="0"/>
        </w:rPr>
      </w:r>
      <w:r>
        <w:rPr/>
        <w:t>第五部分</w:t>
        <w:tab/>
      </w:r>
      <w:r>
        <w:rPr>
          <w:w w:val="95"/>
        </w:rPr>
        <w:t>您还享有哪些权益</w:t>
      </w:r>
    </w:p>
    <w:p>
      <w:pPr>
        <w:pStyle w:val="BodyText"/>
        <w:spacing w:before="11"/>
        <w:rPr>
          <w:b/>
          <w:sz w:val="25"/>
        </w:rPr>
      </w:pPr>
    </w:p>
    <w:p>
      <w:pPr>
        <w:pStyle w:val="Heading2"/>
        <w:tabs>
          <w:tab w:pos="1250" w:val="left" w:leader="none"/>
        </w:tabs>
      </w:pPr>
      <w:bookmarkStart w:name="_bookmark20" w:id="21"/>
      <w:bookmarkEnd w:id="21"/>
      <w:r>
        <w:rPr>
          <w:b w:val="0"/>
        </w:rPr>
      </w:r>
      <w:r>
        <w:rPr/>
        <w:t>第十六条</w:t>
        <w:tab/>
        <w:t>合同内容的变更权</w:t>
      </w:r>
    </w:p>
    <w:p>
      <w:pPr>
        <w:pStyle w:val="BodyText"/>
        <w:spacing w:line="273" w:lineRule="auto" w:before="37"/>
        <w:ind w:left="117" w:right="120" w:firstLine="420"/>
      </w:pPr>
      <w:r>
        <w:rPr/>
        <w:t>您与我们协商同意后，有权变更本合同的有关内容，并由我们在保险单或保险凭证上批注，或签订合同变更的书面协议。</w:t>
      </w:r>
    </w:p>
    <w:p>
      <w:pPr>
        <w:pStyle w:val="BodyText"/>
        <w:spacing w:before="5"/>
        <w:rPr>
          <w:sz w:val="24"/>
        </w:rPr>
      </w:pPr>
    </w:p>
    <w:p>
      <w:pPr>
        <w:pStyle w:val="Heading2"/>
        <w:tabs>
          <w:tab w:pos="1250" w:val="left" w:leader="none"/>
        </w:tabs>
      </w:pPr>
      <w:bookmarkStart w:name="_bookmark21" w:id="22"/>
      <w:bookmarkEnd w:id="22"/>
      <w:r>
        <w:rPr>
          <w:b w:val="0"/>
        </w:rPr>
      </w:r>
      <w:r>
        <w:rPr/>
        <w:t>第十七条</w:t>
        <w:tab/>
        <w:t>您解除合同的手续</w:t>
      </w:r>
      <w:r>
        <w:rPr>
          <w:spacing w:val="-3"/>
        </w:rPr>
        <w:t>及</w:t>
      </w:r>
      <w:r>
        <w:rPr/>
        <w:t>风险</w:t>
      </w:r>
    </w:p>
    <w:p>
      <w:pPr>
        <w:pStyle w:val="BodyText"/>
        <w:spacing w:line="273" w:lineRule="auto" w:before="36"/>
        <w:ind w:left="538" w:right="148"/>
      </w:pPr>
      <w:r>
        <w:rPr/>
        <w:t>如果被保险人未发生保险事故，且您申请解除本合同，请填写解除合同申请书并向我们提供下列资料： 一、保险合同；</w:t>
      </w:r>
    </w:p>
    <w:p>
      <w:pPr>
        <w:pStyle w:val="BodyText"/>
        <w:spacing w:before="7"/>
        <w:ind w:left="538"/>
      </w:pPr>
      <w:r>
        <w:rPr/>
        <w:t>二、您的有效身份证件。</w:t>
      </w:r>
    </w:p>
    <w:p>
      <w:pPr>
        <w:spacing w:line="259" w:lineRule="auto" w:before="37"/>
        <w:ind w:left="117" w:right="114" w:firstLine="420"/>
        <w:jc w:val="left"/>
        <w:rPr>
          <w:b/>
          <w:sz w:val="21"/>
        </w:rPr>
      </w:pPr>
      <w:r>
        <w:rPr>
          <w:spacing w:val="-9"/>
          <w:sz w:val="21"/>
        </w:rPr>
        <w:t>自我们收到解除合同申请书时起，本合同终止。我们自收到解除合同申请书之日起 </w:t>
      </w:r>
      <w:r>
        <w:rPr>
          <w:rFonts w:ascii="Times New Roman" w:eastAsia="Times New Roman"/>
          <w:sz w:val="21"/>
        </w:rPr>
        <w:t>30 </w:t>
      </w:r>
      <w:r>
        <w:rPr>
          <w:spacing w:val="-3"/>
          <w:sz w:val="21"/>
        </w:rPr>
        <w:t>日内向您退还保险单的未经过净保费。</w:t>
      </w:r>
      <w:r>
        <w:rPr>
          <w:b/>
          <w:spacing w:val="-3"/>
          <w:sz w:val="21"/>
        </w:rPr>
        <w:t>在您要求解除本合同之前，如果我们已给付过任何保险金，则不退还未经过净保费。</w:t>
      </w:r>
    </w:p>
    <w:p>
      <w:pPr>
        <w:pStyle w:val="BodyText"/>
        <w:spacing w:before="20"/>
        <w:ind w:left="538"/>
      </w:pPr>
      <w:r>
        <w:rPr/>
        <w:t>您解除合同会遭受一定损失。</w:t>
      </w:r>
    </w:p>
    <w:p>
      <w:pPr>
        <w:pStyle w:val="BodyText"/>
        <w:spacing w:before="6"/>
        <w:rPr>
          <w:sz w:val="24"/>
        </w:rPr>
      </w:pPr>
    </w:p>
    <w:p>
      <w:pPr>
        <w:pStyle w:val="Heading1"/>
        <w:tabs>
          <w:tab w:pos="1418" w:val="left" w:leader="none"/>
        </w:tabs>
        <w:spacing w:before="1"/>
        <w:ind w:right="2"/>
      </w:pPr>
      <w:bookmarkStart w:name="_bookmark22" w:id="23"/>
      <w:bookmarkEnd w:id="23"/>
      <w:r>
        <w:rPr>
          <w:b w:val="0"/>
        </w:rPr>
      </w:r>
      <w:r>
        <w:rPr/>
        <w:t>第六部分</w:t>
        <w:tab/>
      </w:r>
      <w:r>
        <w:rPr>
          <w:w w:val="95"/>
        </w:rPr>
        <w:t>您必须了解的其他事项</w:t>
      </w:r>
    </w:p>
    <w:p>
      <w:pPr>
        <w:pStyle w:val="BodyText"/>
        <w:spacing w:before="10"/>
        <w:rPr>
          <w:b/>
          <w:sz w:val="25"/>
        </w:rPr>
      </w:pPr>
    </w:p>
    <w:p>
      <w:pPr>
        <w:pStyle w:val="Heading2"/>
        <w:tabs>
          <w:tab w:pos="1250" w:val="left" w:leader="none"/>
        </w:tabs>
      </w:pPr>
      <w:bookmarkStart w:name="_bookmark23" w:id="24"/>
      <w:bookmarkEnd w:id="24"/>
      <w:r>
        <w:rPr>
          <w:b w:val="0"/>
        </w:rPr>
      </w:r>
      <w:r>
        <w:rPr/>
        <w:t>第十八条</w:t>
        <w:tab/>
        <w:t>明确说明与如实告知</w:t>
      </w:r>
    </w:p>
    <w:p>
      <w:pPr>
        <w:pStyle w:val="BodyText"/>
        <w:spacing w:before="36"/>
        <w:ind w:left="538"/>
      </w:pPr>
      <w:r>
        <w:rPr/>
        <w:t>订立本合同时，我们应向您说明本合同的内容。</w:t>
      </w:r>
    </w:p>
    <w:p>
      <w:pPr>
        <w:pStyle w:val="BodyText"/>
        <w:spacing w:line="273" w:lineRule="auto" w:before="36"/>
        <w:ind w:left="117" w:right="117"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7"/>
        <w:ind w:left="538"/>
      </w:pPr>
      <w:r>
        <w:rPr/>
        <w:t>我们就您和被保险人的有关情况提出询问，您应当如实告知。</w:t>
      </w:r>
    </w:p>
    <w:p>
      <w:pPr>
        <w:spacing w:line="273" w:lineRule="auto" w:before="37"/>
        <w:ind w:left="117" w:right="120" w:firstLine="422"/>
        <w:jc w:val="left"/>
        <w:rPr>
          <w:b/>
          <w:sz w:val="21"/>
        </w:rPr>
      </w:pPr>
      <w:r>
        <w:rPr>
          <w:b/>
          <w:sz w:val="21"/>
        </w:rPr>
        <w:t>如果您故意或者因重大过失未履行前款规定的如实告知义务，足以影响我们决定是否同意承保或者提高保险费率的，我们有权解除本合同。</w:t>
      </w:r>
    </w:p>
    <w:p>
      <w:pPr>
        <w:spacing w:line="273" w:lineRule="auto" w:before="7"/>
        <w:ind w:left="117" w:right="118" w:firstLine="422"/>
        <w:jc w:val="left"/>
        <w:rPr>
          <w:b/>
          <w:sz w:val="21"/>
        </w:rPr>
      </w:pPr>
      <w:r>
        <w:rPr>
          <w:b/>
          <w:sz w:val="21"/>
        </w:rPr>
        <w:t>如果您故意不履行如实告知义务，对于本合同解除前发生的保险事故，我们不承担给付保险金的责任， 并不退还保险费。</w:t>
      </w:r>
    </w:p>
    <w:p>
      <w:pPr>
        <w:spacing w:line="273" w:lineRule="auto" w:before="7"/>
        <w:ind w:left="117" w:right="118" w:firstLine="42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7"/>
        <w:ind w:left="117" w:right="120" w:firstLine="420"/>
      </w:pPr>
      <w:r>
        <w:rPr/>
        <w:t>我们在合同订立时已经知道您未如实告知的情况的，我们不得解除合同；发生保险事故的，我们承担给付保险金的责任。</w:t>
      </w:r>
    </w:p>
    <w:p>
      <w:pPr>
        <w:pStyle w:val="BodyText"/>
        <w:spacing w:before="5"/>
        <w:rPr>
          <w:sz w:val="24"/>
        </w:rPr>
      </w:pPr>
    </w:p>
    <w:p>
      <w:pPr>
        <w:pStyle w:val="Heading2"/>
        <w:tabs>
          <w:tab w:pos="1250" w:val="left" w:leader="none"/>
        </w:tabs>
      </w:pPr>
      <w:bookmarkStart w:name="_bookmark24" w:id="25"/>
      <w:bookmarkEnd w:id="25"/>
      <w:r>
        <w:rPr>
          <w:b w:val="0"/>
        </w:rPr>
      </w:r>
      <w:r>
        <w:rPr/>
        <w:t>第十九条</w:t>
        <w:tab/>
        <w:t>我们合同解除权的</w:t>
      </w:r>
      <w:r>
        <w:rPr>
          <w:spacing w:val="-3"/>
        </w:rPr>
        <w:t>限</w:t>
      </w:r>
      <w:r>
        <w:rPr/>
        <w:t>制</w:t>
      </w:r>
    </w:p>
    <w:p>
      <w:pPr>
        <w:pStyle w:val="BodyText"/>
        <w:spacing w:before="36"/>
        <w:ind w:left="538"/>
      </w:pPr>
      <w:r>
        <w:rPr/>
        <w:t>前条规定的合同解除权，自我们知道有解除事由之日起，超过 </w:t>
      </w:r>
      <w:r>
        <w:rPr>
          <w:rFonts w:ascii="Times New Roman" w:eastAsia="Times New Roman"/>
        </w:rPr>
        <w:t>30 </w:t>
      </w:r>
      <w:r>
        <w:rPr/>
        <w:t>日不行使而消灭。</w:t>
      </w:r>
    </w:p>
    <w:p>
      <w:pPr>
        <w:pStyle w:val="BodyText"/>
        <w:spacing w:before="5"/>
        <w:rPr>
          <w:sz w:val="25"/>
        </w:rPr>
      </w:pPr>
    </w:p>
    <w:p>
      <w:pPr>
        <w:pStyle w:val="Heading2"/>
        <w:tabs>
          <w:tab w:pos="1250" w:val="left" w:leader="none"/>
        </w:tabs>
        <w:spacing w:before="1"/>
      </w:pPr>
      <w:bookmarkStart w:name="_bookmark25" w:id="26"/>
      <w:bookmarkEnd w:id="26"/>
      <w:r>
        <w:rPr>
          <w:b w:val="0"/>
        </w:rPr>
      </w:r>
      <w:r>
        <w:rPr/>
        <w:t>第二十条</w:t>
        <w:tab/>
        <w:t>年龄错误</w:t>
      </w:r>
    </w:p>
    <w:p>
      <w:pPr>
        <w:pStyle w:val="BodyText"/>
        <w:spacing w:line="273" w:lineRule="auto" w:before="37"/>
        <w:ind w:left="117" w:right="120" w:firstLine="420"/>
      </w:pPr>
      <w:r>
        <w:rPr/>
        <w:t>您在申请投保时，应将与有效身份证件相符的被保险人的出生日期在投保单上填明，如果发生错误按照下列方式办理：</w:t>
      </w:r>
    </w:p>
    <w:p>
      <w:pPr>
        <w:spacing w:line="273" w:lineRule="auto" w:before="7"/>
        <w:ind w:left="117" w:right="112"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您申报的被保险人年龄不真实，并且其真实年龄不符合本合同约定投保年龄限制的，在保险事故发生之前我们有权解除合同，并向您退还保险单的未经过净保费。</w:t>
      </w:r>
      <w:r>
        <w:rPr>
          <w:sz w:val="21"/>
        </w:rPr>
        <w:t>我们行使合同解除权适用“我们合同解除权的限制”的规定。</w:t>
      </w:r>
    </w:p>
    <w:p>
      <w:pPr>
        <w:spacing w:line="273" w:lineRule="auto" w:before="7"/>
        <w:ind w:left="117" w:right="120" w:firstLine="420"/>
        <w:jc w:val="left"/>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before="7"/>
        <w:ind w:left="538"/>
      </w:pPr>
      <w:r>
        <w:rPr/>
        <w:t>三、您申报的被保险人年龄不真实，致使您实付保险费多于应付保险费的，我们会将多收的保险费退还</w:t>
      </w:r>
    </w:p>
    <w:p>
      <w:pPr>
        <w:spacing w:after="0"/>
        <w:sectPr>
          <w:pgSz w:w="11910" w:h="16160"/>
          <w:pgMar w:header="0" w:footer="993" w:top="1340" w:bottom="1260" w:left="960" w:right="800"/>
        </w:sectPr>
      </w:pPr>
    </w:p>
    <w:p>
      <w:pPr>
        <w:pStyle w:val="BodyText"/>
        <w:spacing w:before="7"/>
        <w:ind w:left="317"/>
      </w:pPr>
      <w:r>
        <w:rPr/>
        <w:t>给您。</w:t>
      </w:r>
    </w:p>
    <w:p>
      <w:pPr>
        <w:pStyle w:val="BodyText"/>
        <w:spacing w:before="5"/>
        <w:rPr>
          <w:sz w:val="25"/>
        </w:rPr>
      </w:pPr>
    </w:p>
    <w:p>
      <w:pPr>
        <w:pStyle w:val="Heading2"/>
        <w:tabs>
          <w:tab w:pos="1577" w:val="left" w:leader="none"/>
        </w:tabs>
        <w:ind w:left="317"/>
      </w:pPr>
      <w:bookmarkStart w:name="_bookmark26" w:id="27"/>
      <w:bookmarkEnd w:id="27"/>
      <w:r>
        <w:rPr>
          <w:b w:val="0"/>
        </w:rPr>
      </w:r>
      <w:r>
        <w:rPr/>
        <w:t>第二十一条</w:t>
        <w:tab/>
        <w:t>性别错误</w:t>
      </w:r>
    </w:p>
    <w:p>
      <w:pPr>
        <w:pStyle w:val="BodyText"/>
        <w:spacing w:line="273" w:lineRule="auto" w:before="13"/>
        <w:ind w:left="317" w:right="300" w:firstLine="420"/>
      </w:pPr>
      <w:r>
        <w:rPr/>
        <w:t>您在申请投保时，应将与有效身份证件相符的被保险人的性别在投保单上填明，如果发生错误按照下列方式办理：</w:t>
      </w:r>
    </w:p>
    <w:p>
      <w:pPr>
        <w:spacing w:line="273" w:lineRule="auto" w:before="7"/>
        <w:ind w:left="317" w:right="300" w:firstLine="420"/>
        <w:jc w:val="left"/>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left="317" w:right="300" w:firstLine="420"/>
      </w:pPr>
      <w:r>
        <w:rPr/>
        <w:t>二、您申报的被保险人性别不真实，致使您实付保险费多于应付保险费的，我们会将多收的保险费退还给您。</w:t>
      </w:r>
    </w:p>
    <w:p>
      <w:pPr>
        <w:pStyle w:val="BodyText"/>
        <w:spacing w:before="1"/>
        <w:rPr>
          <w:sz w:val="23"/>
        </w:rPr>
      </w:pPr>
    </w:p>
    <w:p>
      <w:pPr>
        <w:pStyle w:val="Heading2"/>
        <w:tabs>
          <w:tab w:pos="1577" w:val="left" w:leader="none"/>
        </w:tabs>
        <w:spacing w:before="1"/>
        <w:ind w:left="317"/>
      </w:pPr>
      <w:bookmarkStart w:name="_bookmark27" w:id="28"/>
      <w:bookmarkEnd w:id="28"/>
      <w:r>
        <w:rPr>
          <w:b w:val="0"/>
        </w:rPr>
      </w:r>
      <w:r>
        <w:rPr/>
        <w:t>第二十二条</w:t>
        <w:tab/>
        <w:t>保险合同的终止</w:t>
      </w:r>
    </w:p>
    <w:p>
      <w:pPr>
        <w:pStyle w:val="BodyText"/>
        <w:spacing w:line="273" w:lineRule="auto" w:before="11"/>
        <w:ind w:left="738" w:right="3900"/>
      </w:pPr>
      <w:r>
        <w:rPr/>
        <w:t>除本合同另有约定外，本合同在发生下列情况之一时自动终止： 一、本合同期满日零时，且我们不接受续保；</w:t>
      </w:r>
    </w:p>
    <w:p>
      <w:pPr>
        <w:pStyle w:val="BodyText"/>
        <w:spacing w:line="273" w:lineRule="auto" w:before="8"/>
        <w:ind w:left="738" w:right="5160"/>
      </w:pPr>
      <w:r>
        <w:rPr/>
        <w:t>二、我们已按本合同的约定给付重大疾病保险金； 三、被保险人身故；</w:t>
      </w:r>
    </w:p>
    <w:p>
      <w:pPr>
        <w:pStyle w:val="BodyText"/>
        <w:spacing w:before="8"/>
        <w:ind w:left="738"/>
      </w:pPr>
      <w:r>
        <w:rPr/>
        <w:t>四、本合同内约定的其他终止情况。</w:t>
      </w:r>
    </w:p>
    <w:p>
      <w:pPr>
        <w:pStyle w:val="BodyText"/>
        <w:spacing w:before="7"/>
        <w:rPr>
          <w:sz w:val="23"/>
        </w:rPr>
      </w:pPr>
    </w:p>
    <w:p>
      <w:pPr>
        <w:pStyle w:val="Heading2"/>
        <w:tabs>
          <w:tab w:pos="1577" w:val="left" w:leader="none"/>
        </w:tabs>
        <w:ind w:left="317"/>
      </w:pPr>
      <w:bookmarkStart w:name="_bookmark28" w:id="29"/>
      <w:bookmarkEnd w:id="29"/>
      <w:r>
        <w:rPr>
          <w:b w:val="0"/>
        </w:rPr>
      </w:r>
      <w:r>
        <w:rPr/>
        <w:t>第二十三条</w:t>
        <w:tab/>
        <w:t>联系方式的变更</w:t>
      </w:r>
    </w:p>
    <w:p>
      <w:pPr>
        <w:pStyle w:val="BodyText"/>
        <w:spacing w:line="273" w:lineRule="auto" w:before="36"/>
        <w:ind w:left="317" w:right="300" w:firstLine="420"/>
      </w:pPr>
      <w:r>
        <w:rPr/>
        <w:t>为了保障您的权益，如果您的联系方式（如联系地址、联系电话、电子邮箱等）发生变化，请及时通知我们。否则，我们将按已知的最后联系方式与您联系。</w:t>
      </w:r>
    </w:p>
    <w:p>
      <w:pPr>
        <w:pStyle w:val="BodyText"/>
        <w:spacing w:before="5"/>
        <w:rPr>
          <w:sz w:val="24"/>
        </w:rPr>
      </w:pPr>
    </w:p>
    <w:p>
      <w:pPr>
        <w:pStyle w:val="Heading2"/>
        <w:tabs>
          <w:tab w:pos="1577" w:val="left" w:leader="none"/>
        </w:tabs>
        <w:ind w:left="317"/>
      </w:pPr>
      <w:bookmarkStart w:name="_bookmark29" w:id="30"/>
      <w:bookmarkEnd w:id="30"/>
      <w:r>
        <w:rPr>
          <w:b w:val="0"/>
        </w:rPr>
      </w:r>
      <w:r>
        <w:rPr/>
        <w:t>第二十四条</w:t>
        <w:tab/>
        <w:t>争议处理</w:t>
      </w:r>
    </w:p>
    <w:p>
      <w:pPr>
        <w:pStyle w:val="BodyText"/>
        <w:spacing w:before="37"/>
        <w:ind w:left="738"/>
      </w:pPr>
      <w:r>
        <w:rPr/>
        <w:t>在合同履行过程中，双方发生争议时，可以从下列两种方式中选择一种争议处理方式：</w:t>
      </w:r>
    </w:p>
    <w:p>
      <w:pPr>
        <w:pStyle w:val="BodyText"/>
        <w:spacing w:line="273" w:lineRule="auto" w:before="37"/>
        <w:ind w:left="738" w:right="53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7"/>
        <w:ind w:left="738"/>
      </w:pPr>
      <w:r>
        <w:rPr/>
        <w:t>如果双方选择仲裁方式，应当达成仲裁协议并明确约定仲裁事项、仲裁机构。</w:t>
      </w:r>
    </w:p>
    <w:p>
      <w:pPr>
        <w:pStyle w:val="BodyText"/>
        <w:spacing w:before="8"/>
        <w:rPr>
          <w:sz w:val="26"/>
        </w:rPr>
      </w:pPr>
    </w:p>
    <w:p>
      <w:pPr>
        <w:pStyle w:val="Heading2"/>
        <w:tabs>
          <w:tab w:pos="1577" w:val="left" w:leader="none"/>
        </w:tabs>
        <w:ind w:left="317"/>
      </w:pPr>
      <w:bookmarkStart w:name="_bookmark30" w:id="31"/>
      <w:bookmarkEnd w:id="31"/>
      <w:r>
        <w:rPr>
          <w:b w:val="0"/>
        </w:rPr>
      </w:r>
      <w:r>
        <w:rPr/>
        <w:t>第二十五条</w:t>
        <w:tab/>
        <w:t>特定疾病的种类及</w:t>
      </w:r>
      <w:r>
        <w:rPr>
          <w:spacing w:val="-3"/>
        </w:rPr>
        <w:t>定义</w:t>
      </w:r>
    </w:p>
    <w:p>
      <w:pPr>
        <w:pStyle w:val="BodyText"/>
        <w:spacing w:line="256" w:lineRule="auto" w:before="36"/>
        <w:ind w:left="317" w:right="301" w:firstLine="420"/>
      </w:pPr>
      <w:r>
        <w:rPr/>
        <w:t>本合同所保障的特定疾病，是指被保险人经</w:t>
      </w:r>
      <w:r>
        <w:rPr>
          <w:b/>
        </w:rPr>
        <w:t>专科医生</w:t>
      </w:r>
      <w:r>
        <w:rPr>
          <w:rFonts w:ascii="Times New Roman" w:eastAsia="Times New Roman"/>
          <w:b/>
          <w:vertAlign w:val="superscript"/>
        </w:rPr>
        <w:t>1</w:t>
      </w:r>
      <w:r>
        <w:rPr>
          <w:rFonts w:ascii="Times New Roman" w:eastAsia="Times New Roman"/>
          <w:b/>
          <w:vertAlign w:val="superscript"/>
        </w:rPr>
        <w:t>9</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本合同所保障的特定疾病共 </w:t>
      </w:r>
      <w:r>
        <w:rPr>
          <w:rFonts w:ascii="Times New Roman" w:eastAsia="Times New Roman"/>
        </w:rPr>
        <w:t>20 </w:t>
      </w:r>
      <w:r>
        <w:rPr/>
        <w:t>种。</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128"/>
      </w:tblGrid>
      <w:tr>
        <w:trPr>
          <w:trHeight w:val="1210" w:hRule="atLeast"/>
        </w:trPr>
        <w:tc>
          <w:tcPr>
            <w:tcW w:w="421" w:type="dxa"/>
          </w:tcPr>
          <w:p>
            <w:pPr>
              <w:pStyle w:val="TableParagraph"/>
              <w:spacing w:line="234" w:lineRule="exact"/>
              <w:ind w:left="0" w:right="60"/>
              <w:jc w:val="right"/>
              <w:rPr>
                <w:rFonts w:ascii="Times New Roman"/>
                <w:sz w:val="21"/>
              </w:rPr>
            </w:pPr>
            <w:r>
              <w:rPr>
                <w:rFonts w:ascii="Times New Roman"/>
                <w:sz w:val="21"/>
              </w:rPr>
              <w:t>1.</w:t>
            </w:r>
          </w:p>
        </w:tc>
        <w:tc>
          <w:tcPr>
            <w:tcW w:w="2755" w:type="dxa"/>
          </w:tcPr>
          <w:p>
            <w:pPr>
              <w:pStyle w:val="TableParagraph"/>
              <w:spacing w:line="220" w:lineRule="exact"/>
              <w:ind w:left="62"/>
              <w:rPr>
                <w:sz w:val="21"/>
              </w:rPr>
            </w:pPr>
            <w:r>
              <w:rPr>
                <w:sz w:val="21"/>
              </w:rPr>
              <w:t>糖尿病及其并发症</w:t>
            </w:r>
          </w:p>
        </w:tc>
        <w:tc>
          <w:tcPr>
            <w:tcW w:w="7128" w:type="dxa"/>
          </w:tcPr>
          <w:p>
            <w:pPr>
              <w:pStyle w:val="TableParagraph"/>
              <w:spacing w:line="220" w:lineRule="exact"/>
              <w:ind w:left="142"/>
              <w:rPr>
                <w:sz w:val="21"/>
              </w:rPr>
            </w:pPr>
            <w:r>
              <w:rPr>
                <w:sz w:val="21"/>
              </w:rPr>
              <w:t>指被保险人被确诊为糖尿病，并且出现以下任意一项并发症：</w:t>
            </w:r>
          </w:p>
          <w:p>
            <w:pPr>
              <w:pStyle w:val="TableParagraph"/>
              <w:spacing w:before="37"/>
              <w:ind w:left="142"/>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142"/>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0"/>
              <w:ind w:left="142"/>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pacing w:val="0"/>
                <w:sz w:val="21"/>
              </w:rPr>
              <w:t> </w:t>
            </w:r>
            <w:r>
              <w:rPr>
                <w:spacing w:val="-16"/>
                <w:w w:val="100"/>
                <w:sz w:val="21"/>
              </w:rPr>
              <w:t>或肾小球滤过率</w:t>
            </w:r>
            <w:r>
              <w:rPr>
                <w:spacing w:val="-3"/>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1210" w:hRule="atLeast"/>
        </w:trPr>
        <w:tc>
          <w:tcPr>
            <w:tcW w:w="421" w:type="dxa"/>
          </w:tcPr>
          <w:p>
            <w:pPr>
              <w:pStyle w:val="TableParagraph"/>
              <w:spacing w:before="30"/>
              <w:ind w:left="0"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128" w:type="dxa"/>
          </w:tcPr>
          <w:p>
            <w:pPr>
              <w:pStyle w:val="TableParagraph"/>
              <w:spacing w:line="258" w:lineRule="exact"/>
              <w:ind w:left="142"/>
              <w:rPr>
                <w:sz w:val="21"/>
              </w:rPr>
            </w:pPr>
            <w:r>
              <w:rPr>
                <w:sz w:val="21"/>
              </w:rPr>
              <w:t>指被保险人经组织病理学检查被明确诊断为下列恶性病变，并且接受了相</w:t>
            </w:r>
          </w:p>
          <w:p>
            <w:pPr>
              <w:pStyle w:val="TableParagraph"/>
              <w:spacing w:before="37"/>
              <w:ind w:left="142"/>
              <w:rPr>
                <w:sz w:val="21"/>
              </w:rPr>
            </w:pPr>
            <w:r>
              <w:rPr>
                <w:sz w:val="21"/>
              </w:rPr>
              <w:t>应的治疗。</w:t>
            </w:r>
          </w:p>
          <w:p>
            <w:pPr>
              <w:pStyle w:val="TableParagraph"/>
              <w:spacing w:before="37"/>
              <w:ind w:left="142"/>
              <w:rPr>
                <w:sz w:val="21"/>
              </w:rPr>
            </w:pPr>
            <w:r>
              <w:rPr>
                <w:sz w:val="21"/>
              </w:rPr>
              <w:t>（</w:t>
            </w:r>
            <w:r>
              <w:rPr>
                <w:rFonts w:ascii="Times New Roman" w:eastAsia="Times New Roman"/>
                <w:sz w:val="21"/>
              </w:rPr>
              <w:t>1</w:t>
            </w:r>
            <w:r>
              <w:rPr>
                <w:sz w:val="21"/>
              </w:rPr>
              <w:t>）原位癌；</w:t>
            </w:r>
          </w:p>
          <w:p>
            <w:pPr>
              <w:pStyle w:val="TableParagraph"/>
              <w:spacing w:line="271" w:lineRule="exact" w:before="21"/>
              <w:ind w:left="142"/>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bl>
    <w:p>
      <w:pPr>
        <w:pStyle w:val="BodyText"/>
        <w:spacing w:before="8"/>
        <w:rPr>
          <w:sz w:val="16"/>
        </w:rPr>
      </w:pPr>
      <w:r>
        <w:rPr/>
        <w:pict>
          <v:line style="position:absolute;mso-position-horizontal-relative:page;mso-position-vertical-relative:paragraph;z-index:1216;mso-wrap-distance-left:0;mso-wrap-distance-right:0" from="53.880001pt,13.104315pt" to="197.930001pt,13.104315pt" stroked="true" strokeweight=".48004pt" strokecolor="#000000">
            <v:stroke dashstyle="solid"/>
            <w10:wrap type="topAndBottom"/>
          </v:line>
        </w:pict>
      </w:r>
    </w:p>
    <w:p>
      <w:pPr>
        <w:pStyle w:val="BodyText"/>
        <w:spacing w:line="282" w:lineRule="exact" w:before="32"/>
        <w:ind w:left="317"/>
        <w:rPr>
          <w:rFonts w:ascii="楷体" w:eastAsia="楷体" w:hint="eastAsia"/>
        </w:rPr>
      </w:pPr>
      <w:r>
        <w:rPr>
          <w:rFonts w:ascii="Times New Roman" w:eastAsia="Times New Roman"/>
          <w:w w:val="99"/>
          <w:position w:val="10"/>
          <w:sz w:val="14"/>
        </w:rPr>
        <w:t>19</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8"/>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993" w:top="136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228"/>
      </w:tblGrid>
      <w:tr>
        <w:trPr>
          <w:trHeight w:val="1512" w:hRule="atLeast"/>
        </w:trPr>
        <w:tc>
          <w:tcPr>
            <w:tcW w:w="474" w:type="dxa"/>
          </w:tcPr>
          <w:p>
            <w:pPr>
              <w:pStyle w:val="TableParagraph"/>
              <w:ind w:left="0"/>
              <w:rPr>
                <w:rFonts w:ascii="Times New Roman"/>
                <w:sz w:val="20"/>
              </w:rPr>
            </w:pPr>
          </w:p>
        </w:tc>
        <w:tc>
          <w:tcPr>
            <w:tcW w:w="2705" w:type="dxa"/>
          </w:tcPr>
          <w:p>
            <w:pPr>
              <w:pStyle w:val="TableParagraph"/>
              <w:ind w:left="0"/>
              <w:rPr>
                <w:rFonts w:ascii="Times New Roman"/>
                <w:sz w:val="20"/>
              </w:rPr>
            </w:pPr>
          </w:p>
        </w:tc>
        <w:tc>
          <w:tcPr>
            <w:tcW w:w="7228" w:type="dxa"/>
          </w:tcPr>
          <w:p>
            <w:pPr>
              <w:pStyle w:val="TableParagraph"/>
              <w:spacing w:line="234" w:lineRule="exact"/>
              <w:ind w:left="13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39"/>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0"/>
              <w:ind w:left="139" w:right="300"/>
              <w:rPr>
                <w:sz w:val="21"/>
              </w:rPr>
            </w:pPr>
            <w:r>
              <w:rPr>
                <w:spacing w:val="-6"/>
                <w:sz w:val="21"/>
              </w:rPr>
              <w:t>（</w:t>
            </w:r>
            <w:r>
              <w:rPr>
                <w:rFonts w:ascii="Times New Roman" w:eastAsia="Times New Roman"/>
                <w:spacing w:val="-6"/>
                <w:sz w:val="21"/>
              </w:rPr>
              <w:t>5</w:t>
            </w:r>
            <w:r>
              <w:rPr>
                <w:spacing w:val="-6"/>
                <w:sz w:val="21"/>
              </w:rPr>
              <w:t>）</w:t>
            </w:r>
            <w:r>
              <w:rPr>
                <w:rFonts w:ascii="Times New Roman" w:eastAsia="Times New Roman"/>
                <w:spacing w:val="-6"/>
                <w:sz w:val="21"/>
              </w:rPr>
              <w:t>TNM </w:t>
            </w:r>
            <w:r>
              <w:rPr>
                <w:spacing w:val="-13"/>
                <w:sz w:val="21"/>
              </w:rPr>
              <w:t>分期为 </w:t>
            </w:r>
            <w:r>
              <w:rPr>
                <w:rFonts w:ascii="Times New Roman" w:eastAsia="Times New Roman"/>
                <w:sz w:val="21"/>
              </w:rPr>
              <w:t>T1N0M0 </w:t>
            </w:r>
            <w:r>
              <w:rPr>
                <w:spacing w:val="-3"/>
                <w:sz w:val="21"/>
              </w:rPr>
              <w:t>期或更轻分期的前列腺癌</w:t>
            </w:r>
            <w:r>
              <w:rPr>
                <w:spacing w:val="-135"/>
                <w:sz w:val="21"/>
              </w:rPr>
              <w:t>。</w:t>
            </w:r>
            <w:r>
              <w:rPr>
                <w:spacing w:val="-3"/>
                <w:sz w:val="21"/>
              </w:rPr>
              <w:t>（</w:t>
            </w:r>
            <w:r>
              <w:rPr>
                <w:spacing w:val="-7"/>
                <w:sz w:val="21"/>
              </w:rPr>
              <w:t>注：如果为女性重</w:t>
            </w:r>
            <w:r>
              <w:rPr>
                <w:spacing w:val="-5"/>
                <w:sz w:val="21"/>
              </w:rPr>
              <w:t>大疾病保险，则不包括此项</w:t>
            </w:r>
            <w:r>
              <w:rPr>
                <w:sz w:val="21"/>
              </w:rPr>
              <w:t>）</w:t>
            </w:r>
          </w:p>
          <w:p>
            <w:pPr>
              <w:pStyle w:val="TableParagraph"/>
              <w:spacing w:before="22"/>
              <w:ind w:left="139"/>
              <w:rPr>
                <w:b/>
                <w:sz w:val="21"/>
              </w:rPr>
            </w:pPr>
            <w:r>
              <w:rPr>
                <w:b/>
                <w:sz w:val="21"/>
              </w:rPr>
              <w:t>任何在诊断时已经超越以上阶段的癌症不在本项责任的保障范围内。</w:t>
            </w:r>
          </w:p>
        </w:tc>
      </w:tr>
      <w:tr>
        <w:trPr>
          <w:trHeight w:val="935" w:hRule="atLeast"/>
        </w:trPr>
        <w:tc>
          <w:tcPr>
            <w:tcW w:w="474" w:type="dxa"/>
          </w:tcPr>
          <w:p>
            <w:pPr>
              <w:pStyle w:val="TableParagraph"/>
              <w:spacing w:before="38"/>
              <w:ind w:left="200"/>
              <w:rPr>
                <w:rFonts w:ascii="Times New Roman"/>
                <w:sz w:val="21"/>
              </w:rPr>
            </w:pPr>
            <w:r>
              <w:rPr>
                <w:rFonts w:ascii="Times New Roman"/>
                <w:sz w:val="21"/>
              </w:rPr>
              <w:t>3.</w:t>
            </w:r>
          </w:p>
        </w:tc>
        <w:tc>
          <w:tcPr>
            <w:tcW w:w="2705" w:type="dxa"/>
          </w:tcPr>
          <w:p>
            <w:pPr>
              <w:pStyle w:val="TableParagraph"/>
              <w:spacing w:line="273" w:lineRule="auto"/>
              <w:ind w:left="9" w:right="144"/>
              <w:rPr>
                <w:sz w:val="21"/>
              </w:rPr>
            </w:pPr>
            <w:r>
              <w:rPr>
                <w:sz w:val="21"/>
              </w:rPr>
              <w:t>冠状动脉介入手术（非开胸手术）</w:t>
            </w:r>
          </w:p>
        </w:tc>
        <w:tc>
          <w:tcPr>
            <w:tcW w:w="7228" w:type="dxa"/>
          </w:tcPr>
          <w:p>
            <w:pPr>
              <w:pStyle w:val="TableParagraph"/>
              <w:spacing w:line="266" w:lineRule="exact"/>
              <w:ind w:left="139"/>
              <w:rPr>
                <w:sz w:val="21"/>
              </w:rPr>
            </w:pPr>
            <w:r>
              <w:rPr>
                <w:sz w:val="21"/>
              </w:rPr>
              <w:t>冠状动脉介入手术是指为了治疗明显的冠状动脉狭窄性疾病，首次实际实</w:t>
            </w:r>
          </w:p>
          <w:p>
            <w:pPr>
              <w:pStyle w:val="TableParagraph"/>
              <w:spacing w:line="310" w:lineRule="atLeast" w:before="2"/>
              <w:ind w:left="139" w:right="304"/>
              <w:rPr>
                <w:sz w:val="21"/>
              </w:rPr>
            </w:pPr>
            <w:r>
              <w:rPr>
                <w:sz w:val="21"/>
              </w:rPr>
              <w:t>施了冠状动脉球囊扩张成形术、冠状动脉支架植入术或激光冠状动脉成形术。</w:t>
            </w:r>
          </w:p>
        </w:tc>
      </w:tr>
      <w:tr>
        <w:trPr>
          <w:trHeight w:val="2496" w:hRule="atLeast"/>
        </w:trPr>
        <w:tc>
          <w:tcPr>
            <w:tcW w:w="474" w:type="dxa"/>
          </w:tcPr>
          <w:p>
            <w:pPr>
              <w:pStyle w:val="TableParagraph"/>
              <w:spacing w:before="38"/>
              <w:ind w:left="200"/>
              <w:rPr>
                <w:rFonts w:ascii="Times New Roman"/>
                <w:sz w:val="21"/>
              </w:rPr>
            </w:pPr>
            <w:r>
              <w:rPr>
                <w:rFonts w:ascii="Times New Roman"/>
                <w:sz w:val="21"/>
              </w:rPr>
              <w:t>4.</w:t>
            </w:r>
          </w:p>
        </w:tc>
        <w:tc>
          <w:tcPr>
            <w:tcW w:w="2705" w:type="dxa"/>
          </w:tcPr>
          <w:p>
            <w:pPr>
              <w:pStyle w:val="TableParagraph"/>
              <w:spacing w:line="266" w:lineRule="exact"/>
              <w:ind w:left="9"/>
              <w:rPr>
                <w:sz w:val="21"/>
              </w:rPr>
            </w:pPr>
            <w:r>
              <w:rPr>
                <w:sz w:val="21"/>
              </w:rPr>
              <w:t>轻微脑中风</w:t>
            </w:r>
          </w:p>
        </w:tc>
        <w:tc>
          <w:tcPr>
            <w:tcW w:w="7228" w:type="dxa"/>
          </w:tcPr>
          <w:p>
            <w:pPr>
              <w:pStyle w:val="TableParagraph"/>
              <w:spacing w:line="261" w:lineRule="auto"/>
              <w:ind w:left="139" w:right="300"/>
              <w:jc w:val="both"/>
              <w:rPr>
                <w:sz w:val="21"/>
              </w:rPr>
            </w:pPr>
            <w:r>
              <w:rPr>
                <w:sz w:val="21"/>
              </w:rPr>
              <w:t>指被保险人实际发生了脑血管的突发病变出现神经系统功能障碍表现，头</w:t>
            </w:r>
            <w:r>
              <w:rPr>
                <w:w w:val="100"/>
                <w:sz w:val="21"/>
              </w:rPr>
              <w:t>颅</w:t>
            </w:r>
            <w:r>
              <w:rPr>
                <w:sz w:val="21"/>
              </w:rPr>
              <w:t> </w:t>
            </w:r>
            <w:r>
              <w:rPr>
                <w:rFonts w:ascii="Times New Roman" w:hAnsi="Times New Roman" w:eastAsia="Times New Roman"/>
                <w:w w:val="100"/>
                <w:sz w:val="21"/>
              </w:rPr>
              <w:t>X</w:t>
            </w:r>
            <w:r>
              <w:rPr>
                <w:rFonts w:ascii="Times New Roman" w:hAnsi="Times New Roman" w:eastAsia="Times New Roman"/>
                <w:spacing w:val="-6"/>
                <w:sz w:val="21"/>
              </w:rPr>
              <w:t>  </w:t>
            </w:r>
            <w:r>
              <w:rPr>
                <w:spacing w:val="-3"/>
                <w:w w:val="100"/>
                <w:sz w:val="21"/>
              </w:rPr>
              <w:t>线断层扫描（</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等影像学检查证实存在对</w:t>
            </w:r>
            <w:r>
              <w:rPr>
                <w:spacing w:val="-4"/>
                <w:sz w:val="21"/>
              </w:rPr>
              <w:t>应病灶，确诊为脑出血、脑栓塞或脑梗塞，在确诊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 </w:t>
            </w:r>
            <w:r>
              <w:rPr>
                <w:spacing w:val="-3"/>
                <w:sz w:val="21"/>
              </w:rPr>
              <w:t>的给付标准，但仍遗留下列一种或一种以上障碍：</w:t>
            </w:r>
          </w:p>
          <w:p>
            <w:pPr>
              <w:pStyle w:val="TableParagraph"/>
              <w:spacing w:before="27"/>
              <w:ind w:left="139"/>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p>
            <w:pPr>
              <w:pStyle w:val="TableParagraph"/>
              <w:spacing w:line="256" w:lineRule="auto" w:before="21"/>
              <w:ind w:left="139" w:right="302"/>
              <w:jc w:val="both"/>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中的两项或两项以上。</w:t>
            </w:r>
          </w:p>
        </w:tc>
      </w:tr>
      <w:tr>
        <w:trPr>
          <w:trHeight w:val="623" w:hRule="atLeast"/>
        </w:trPr>
        <w:tc>
          <w:tcPr>
            <w:tcW w:w="474" w:type="dxa"/>
          </w:tcPr>
          <w:p>
            <w:pPr>
              <w:pStyle w:val="TableParagraph"/>
              <w:spacing w:before="38"/>
              <w:ind w:left="200"/>
              <w:rPr>
                <w:rFonts w:ascii="Times New Roman"/>
                <w:sz w:val="21"/>
              </w:rPr>
            </w:pPr>
            <w:r>
              <w:rPr>
                <w:rFonts w:ascii="Times New Roman"/>
                <w:sz w:val="21"/>
              </w:rPr>
              <w:t>5.</w:t>
            </w:r>
          </w:p>
        </w:tc>
        <w:tc>
          <w:tcPr>
            <w:tcW w:w="2705" w:type="dxa"/>
          </w:tcPr>
          <w:p>
            <w:pPr>
              <w:pStyle w:val="TableParagraph"/>
              <w:spacing w:line="266" w:lineRule="exact"/>
              <w:ind w:left="9"/>
              <w:rPr>
                <w:sz w:val="21"/>
              </w:rPr>
            </w:pPr>
            <w:r>
              <w:rPr>
                <w:sz w:val="21"/>
              </w:rPr>
              <w:t>心脏瓣膜介入手术（非开胸</w:t>
            </w:r>
          </w:p>
          <w:p>
            <w:pPr>
              <w:pStyle w:val="TableParagraph"/>
              <w:spacing w:before="37"/>
              <w:ind w:left="9"/>
              <w:rPr>
                <w:sz w:val="21"/>
              </w:rPr>
            </w:pPr>
            <w:r>
              <w:rPr>
                <w:sz w:val="21"/>
              </w:rPr>
              <w:t>手术）</w:t>
            </w:r>
          </w:p>
        </w:tc>
        <w:tc>
          <w:tcPr>
            <w:tcW w:w="7228" w:type="dxa"/>
          </w:tcPr>
          <w:p>
            <w:pPr>
              <w:pStyle w:val="TableParagraph"/>
              <w:spacing w:line="266" w:lineRule="exact"/>
              <w:ind w:left="139"/>
              <w:rPr>
                <w:sz w:val="21"/>
              </w:rPr>
            </w:pPr>
            <w:r>
              <w:rPr>
                <w:sz w:val="21"/>
              </w:rPr>
              <w:t>为了治疗心脏瓣膜疾病，被保险人实际接受了非开胸的经胸壁打孔内镜手</w:t>
            </w:r>
          </w:p>
          <w:p>
            <w:pPr>
              <w:pStyle w:val="TableParagraph"/>
              <w:spacing w:before="37"/>
              <w:ind w:left="139"/>
              <w:rPr>
                <w:sz w:val="21"/>
              </w:rPr>
            </w:pPr>
            <w:r>
              <w:rPr>
                <w:sz w:val="21"/>
              </w:rPr>
              <w:t>术或经皮经导管介入手术进行的心脏瓣膜置换或修复手术。</w:t>
            </w:r>
          </w:p>
        </w:tc>
      </w:tr>
      <w:tr>
        <w:trPr>
          <w:trHeight w:val="1568" w:hRule="atLeast"/>
        </w:trPr>
        <w:tc>
          <w:tcPr>
            <w:tcW w:w="474" w:type="dxa"/>
          </w:tcPr>
          <w:p>
            <w:pPr>
              <w:pStyle w:val="TableParagraph"/>
              <w:spacing w:before="38"/>
              <w:ind w:left="200"/>
              <w:rPr>
                <w:rFonts w:ascii="Times New Roman"/>
                <w:sz w:val="21"/>
              </w:rPr>
            </w:pPr>
            <w:r>
              <w:rPr>
                <w:rFonts w:ascii="Times New Roman"/>
                <w:sz w:val="21"/>
              </w:rPr>
              <w:t>6.</w:t>
            </w:r>
          </w:p>
        </w:tc>
        <w:tc>
          <w:tcPr>
            <w:tcW w:w="2705" w:type="dxa"/>
          </w:tcPr>
          <w:p>
            <w:pPr>
              <w:pStyle w:val="TableParagraph"/>
              <w:spacing w:line="273" w:lineRule="auto"/>
              <w:ind w:left="9" w:right="144"/>
              <w:rPr>
                <w:sz w:val="21"/>
              </w:rPr>
            </w:pPr>
            <w:r>
              <w:rPr>
                <w:sz w:val="21"/>
              </w:rPr>
              <w:t>脑垂体瘤、脑囊肿、脑动脉瘤、脑血管瘤</w:t>
            </w:r>
          </w:p>
        </w:tc>
        <w:tc>
          <w:tcPr>
            <w:tcW w:w="7228" w:type="dxa"/>
          </w:tcPr>
          <w:p>
            <w:pPr>
              <w:pStyle w:val="TableParagraph"/>
              <w:spacing w:line="256" w:lineRule="auto"/>
              <w:ind w:left="139" w:right="302"/>
              <w:rPr>
                <w:sz w:val="21"/>
              </w:rPr>
            </w:pPr>
            <w:r>
              <w:rPr>
                <w:spacing w:val="-3"/>
                <w:w w:val="100"/>
                <w:sz w:val="21"/>
              </w:rPr>
              <w:t>指被保险人经头颅</w:t>
            </w:r>
            <w:r>
              <w:rPr>
                <w:spacing w:val="-3"/>
                <w:sz w:val="21"/>
              </w:rPr>
              <w:t> </w:t>
            </w:r>
            <w:r>
              <w:rPr>
                <w:rFonts w:ascii="Times New Roman" w:eastAsia="Times New Roman"/>
                <w:w w:val="100"/>
                <w:sz w:val="21"/>
              </w:rPr>
              <w:t>X</w:t>
            </w:r>
            <w:r>
              <w:rPr>
                <w:rFonts w:ascii="Times New Roman" w:eastAsia="Times New Roman"/>
                <w:spacing w:val="-6"/>
                <w:sz w:val="21"/>
              </w:rPr>
              <w:t>  </w:t>
            </w:r>
            <w:r>
              <w:rPr>
                <w:spacing w:val="-3"/>
                <w:w w:val="100"/>
                <w:sz w:val="21"/>
              </w:rPr>
              <w:t>线断层扫描（</w:t>
            </w:r>
            <w:r>
              <w:rPr>
                <w:rFonts w:ascii="Times New Roman" w:eastAsia="Times New Roman"/>
                <w:w w:val="100"/>
                <w:sz w:val="21"/>
              </w:rPr>
              <w:t>C</w:t>
            </w:r>
            <w:r>
              <w:rPr>
                <w:rFonts w:ascii="Times New Roman" w:eastAsia="Times New Roman"/>
                <w:spacing w:val="0"/>
                <w:w w:val="100"/>
                <w:sz w:val="21"/>
              </w:rPr>
              <w:t>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或其他影</w:t>
            </w:r>
            <w:r>
              <w:rPr>
                <w:spacing w:val="-3"/>
                <w:sz w:val="21"/>
              </w:rPr>
              <w:t>像学检查被确诊为下列病变，并实际接受了手术或放射治疗。</w:t>
            </w:r>
          </w:p>
          <w:p>
            <w:pPr>
              <w:pStyle w:val="TableParagraph"/>
              <w:spacing w:before="31"/>
              <w:ind w:left="139"/>
              <w:rPr>
                <w:sz w:val="21"/>
              </w:rPr>
            </w:pPr>
            <w:r>
              <w:rPr>
                <w:sz w:val="21"/>
              </w:rPr>
              <w:t>（</w:t>
            </w:r>
            <w:r>
              <w:rPr>
                <w:rFonts w:ascii="Times New Roman" w:eastAsia="Times New Roman"/>
                <w:sz w:val="21"/>
              </w:rPr>
              <w:t>1</w:t>
            </w:r>
            <w:r>
              <w:rPr>
                <w:sz w:val="21"/>
              </w:rPr>
              <w:t>）脑垂体瘤；</w:t>
            </w:r>
          </w:p>
          <w:p>
            <w:pPr>
              <w:pStyle w:val="TableParagraph"/>
              <w:spacing w:before="21"/>
              <w:ind w:left="139"/>
              <w:rPr>
                <w:sz w:val="21"/>
              </w:rPr>
            </w:pPr>
            <w:r>
              <w:rPr>
                <w:sz w:val="21"/>
              </w:rPr>
              <w:t>（</w:t>
            </w:r>
            <w:r>
              <w:rPr>
                <w:rFonts w:ascii="Times New Roman" w:eastAsia="Times New Roman"/>
                <w:sz w:val="21"/>
              </w:rPr>
              <w:t>2</w:t>
            </w:r>
            <w:r>
              <w:rPr>
                <w:sz w:val="21"/>
              </w:rPr>
              <w:t>）脑囊肿；</w:t>
            </w:r>
          </w:p>
          <w:p>
            <w:pPr>
              <w:pStyle w:val="TableParagraph"/>
              <w:spacing w:before="21"/>
              <w:ind w:left="139"/>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74" w:type="dxa"/>
          </w:tcPr>
          <w:p>
            <w:pPr>
              <w:pStyle w:val="TableParagraph"/>
              <w:spacing w:before="30"/>
              <w:ind w:left="200"/>
              <w:rPr>
                <w:rFonts w:ascii="Times New Roman"/>
                <w:sz w:val="21"/>
              </w:rPr>
            </w:pPr>
            <w:r>
              <w:rPr>
                <w:rFonts w:ascii="Times New Roman"/>
                <w:sz w:val="21"/>
              </w:rPr>
              <w:t>7.</w:t>
            </w:r>
          </w:p>
        </w:tc>
        <w:tc>
          <w:tcPr>
            <w:tcW w:w="2705" w:type="dxa"/>
          </w:tcPr>
          <w:p>
            <w:pPr>
              <w:pStyle w:val="TableParagraph"/>
              <w:spacing w:line="258" w:lineRule="exact"/>
              <w:ind w:left="9"/>
              <w:rPr>
                <w:sz w:val="21"/>
              </w:rPr>
            </w:pPr>
            <w:r>
              <w:rPr>
                <w:sz w:val="21"/>
              </w:rPr>
              <w:t>重症头部外伤</w:t>
            </w:r>
          </w:p>
        </w:tc>
        <w:tc>
          <w:tcPr>
            <w:tcW w:w="7228" w:type="dxa"/>
          </w:tcPr>
          <w:p>
            <w:pPr>
              <w:pStyle w:val="TableParagraph"/>
              <w:spacing w:line="274" w:lineRule="exact"/>
              <w:ind w:left="139"/>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56" w:lineRule="auto" w:before="21"/>
              <w:ind w:left="139" w:right="300"/>
              <w:jc w:val="both"/>
              <w:rPr>
                <w:sz w:val="21"/>
              </w:rPr>
            </w:pP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2"/>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6"/>
                <w:sz w:val="21"/>
              </w:rPr>
              <w:t>像学检查证实。头部外伤导致神经系统功能障碍，未达到重大疾病</w:t>
            </w:r>
            <w:r>
              <w:rPr>
                <w:rFonts w:ascii="Times New Roman" w:hAnsi="Times New Roman" w:eastAsia="Times New Roman"/>
                <w:sz w:val="21"/>
              </w:rPr>
              <w:t>“</w:t>
            </w:r>
            <w:r>
              <w:rPr>
                <w:spacing w:val="-2"/>
                <w:sz w:val="21"/>
              </w:rPr>
              <w:t>严重脑</w:t>
            </w:r>
            <w:r>
              <w:rPr>
                <w:spacing w:val="-1"/>
                <w:sz w:val="21"/>
              </w:rPr>
              <w:t>损伤</w:t>
            </w:r>
            <w:r>
              <w:rPr>
                <w:rFonts w:ascii="Times New Roman" w:hAnsi="Times New Roman" w:eastAsia="Times New Roman"/>
                <w:spacing w:val="-3"/>
                <w:sz w:val="21"/>
              </w:rPr>
              <w:t>”</w:t>
            </w:r>
            <w:r>
              <w:rPr>
                <w:spacing w:val="-3"/>
                <w:sz w:val="21"/>
              </w:rPr>
              <w:t>的给付标准，但是符合以下条件之一：</w:t>
            </w:r>
          </w:p>
          <w:p>
            <w:pPr>
              <w:pStyle w:val="TableParagraph"/>
              <w:spacing w:before="4"/>
              <w:ind w:left="139"/>
              <w:rPr>
                <w:sz w:val="21"/>
              </w:rPr>
            </w:pPr>
            <w:r>
              <w:rPr>
                <w:w w:val="100"/>
                <w:sz w:val="21"/>
              </w:rPr>
              <w:t>（</w:t>
            </w:r>
            <w:r>
              <w:rPr>
                <w:rFonts w:ascii="Times New Roman" w:eastAsia="Times New Roman"/>
                <w:w w:val="100"/>
                <w:sz w:val="21"/>
              </w:rPr>
              <w:t>1</w:t>
            </w:r>
            <w:r>
              <w:rPr>
                <w:spacing w:val="-25"/>
                <w:w w:val="100"/>
                <w:sz w:val="21"/>
              </w:rPr>
              <w:t>）</w:t>
            </w:r>
            <w:r>
              <w:rPr>
                <w:spacing w:val="-4"/>
                <w:w w:val="100"/>
                <w:sz w:val="21"/>
              </w:rPr>
              <w:t>被保险人接受了全麻下颅骨切开颅内血肿清除术</w:t>
            </w:r>
            <w:r>
              <w:rPr>
                <w:spacing w:val="-3"/>
                <w:w w:val="100"/>
                <w:sz w:val="21"/>
              </w:rPr>
              <w:t>（颅骨钻孔术除外</w:t>
            </w:r>
            <w:r>
              <w:rPr>
                <w:spacing w:val="-108"/>
                <w:w w:val="100"/>
                <w:sz w:val="21"/>
              </w:rPr>
              <w:t>）</w:t>
            </w:r>
            <w:r>
              <w:rPr>
                <w:w w:val="100"/>
                <w:sz w:val="21"/>
              </w:rPr>
              <w:t>；</w:t>
            </w:r>
          </w:p>
          <w:p>
            <w:pPr>
              <w:pStyle w:val="TableParagraph"/>
              <w:spacing w:line="256" w:lineRule="auto" w:before="20"/>
              <w:ind w:left="139" w:right="300"/>
              <w:jc w:val="both"/>
              <w:rPr>
                <w:sz w:val="21"/>
              </w:rPr>
            </w:pPr>
            <w:r>
              <w:rPr>
                <w:sz w:val="21"/>
              </w:rPr>
              <w:t>（</w:t>
            </w:r>
            <w:r>
              <w:rPr>
                <w:rFonts w:ascii="Times New Roman" w:eastAsia="Times New Roman"/>
                <w:sz w:val="21"/>
              </w:rPr>
              <w:t>2</w:t>
            </w:r>
            <w:r>
              <w:rPr>
                <w:sz w:val="21"/>
              </w:rPr>
              <w:t>）</w:t>
            </w:r>
            <w:r>
              <w:rPr>
                <w:spacing w:val="-10"/>
                <w:sz w:val="21"/>
              </w:rPr>
              <w:t>在外伤 </w:t>
            </w:r>
            <w:r>
              <w:rPr>
                <w:rFonts w:ascii="Times New Roman" w:eastAsia="Times New Roman"/>
                <w:sz w:val="21"/>
              </w:rPr>
              <w:t>180 </w:t>
            </w:r>
            <w:r>
              <w:rPr>
                <w:spacing w:val="-5"/>
                <w:sz w:val="21"/>
              </w:rPr>
              <w:t>天后仍然遗留一肢或一肢以上肢体肌力 </w:t>
            </w:r>
            <w:r>
              <w:rPr>
                <w:rFonts w:ascii="Times New Roman" w:eastAsia="Times New Roman"/>
                <w:sz w:val="21"/>
              </w:rPr>
              <w:t>II </w:t>
            </w:r>
            <w:r>
              <w:rPr>
                <w:spacing w:val="-11"/>
                <w:sz w:val="21"/>
              </w:rPr>
              <w:t>级或 </w:t>
            </w:r>
            <w:r>
              <w:rPr>
                <w:rFonts w:ascii="Times New Roman" w:eastAsia="Times New Roman"/>
                <w:sz w:val="21"/>
              </w:rPr>
              <w:t>II </w:t>
            </w:r>
            <w:r>
              <w:rPr>
                <w:sz w:val="21"/>
              </w:rPr>
              <w:t>级以下</w:t>
            </w:r>
            <w:r>
              <w:rPr>
                <w:spacing w:val="-3"/>
                <w:sz w:val="21"/>
              </w:rPr>
              <w:t>的运动功能障碍。</w:t>
            </w:r>
          </w:p>
        </w:tc>
      </w:tr>
      <w:tr>
        <w:trPr>
          <w:trHeight w:val="631" w:hRule="atLeast"/>
        </w:trPr>
        <w:tc>
          <w:tcPr>
            <w:tcW w:w="474" w:type="dxa"/>
          </w:tcPr>
          <w:p>
            <w:pPr>
              <w:pStyle w:val="TableParagraph"/>
              <w:spacing w:before="38"/>
              <w:ind w:left="200"/>
              <w:rPr>
                <w:rFonts w:ascii="Times New Roman"/>
                <w:sz w:val="21"/>
              </w:rPr>
            </w:pPr>
            <w:r>
              <w:rPr>
                <w:rFonts w:ascii="Times New Roman"/>
                <w:sz w:val="21"/>
              </w:rPr>
              <w:t>8.</w:t>
            </w:r>
          </w:p>
        </w:tc>
        <w:tc>
          <w:tcPr>
            <w:tcW w:w="2705" w:type="dxa"/>
          </w:tcPr>
          <w:p>
            <w:pPr>
              <w:pStyle w:val="TableParagraph"/>
              <w:spacing w:line="266" w:lineRule="exact"/>
              <w:ind w:left="9"/>
              <w:rPr>
                <w:sz w:val="21"/>
              </w:rPr>
            </w:pPr>
            <w:r>
              <w:rPr>
                <w:sz w:val="21"/>
              </w:rPr>
              <w:t>特定面积Ⅲ度烧伤</w:t>
            </w:r>
          </w:p>
        </w:tc>
        <w:tc>
          <w:tcPr>
            <w:tcW w:w="7228" w:type="dxa"/>
          </w:tcPr>
          <w:p>
            <w:pPr>
              <w:pStyle w:val="TableParagraph"/>
              <w:spacing w:line="256" w:lineRule="auto"/>
              <w:ind w:left="139" w:right="224"/>
              <w:rPr>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r>
              <w:rPr>
                <w:sz w:val="21"/>
              </w:rPr>
              <w:t>以上， 但尚未达到 </w:t>
            </w:r>
            <w:r>
              <w:rPr>
                <w:rFonts w:ascii="Times New Roman" w:hAnsi="Times New Roman" w:eastAsia="Times New Roman"/>
                <w:sz w:val="21"/>
              </w:rPr>
              <w:t>20%</w:t>
            </w:r>
            <w:r>
              <w:rPr>
                <w:sz w:val="21"/>
              </w:rPr>
              <w:t>。体表面积根据《中国新九分法》计算。</w:t>
            </w:r>
          </w:p>
        </w:tc>
      </w:tr>
      <w:tr>
        <w:trPr>
          <w:trHeight w:val="599" w:hRule="atLeast"/>
        </w:trPr>
        <w:tc>
          <w:tcPr>
            <w:tcW w:w="474" w:type="dxa"/>
          </w:tcPr>
          <w:p>
            <w:pPr>
              <w:pStyle w:val="TableParagraph"/>
              <w:spacing w:before="30"/>
              <w:ind w:left="200"/>
              <w:rPr>
                <w:rFonts w:ascii="Times New Roman"/>
                <w:sz w:val="21"/>
              </w:rPr>
            </w:pPr>
            <w:r>
              <w:rPr>
                <w:rFonts w:ascii="Times New Roman"/>
                <w:sz w:val="21"/>
              </w:rPr>
              <w:t>9.</w:t>
            </w:r>
          </w:p>
        </w:tc>
        <w:tc>
          <w:tcPr>
            <w:tcW w:w="2705" w:type="dxa"/>
          </w:tcPr>
          <w:p>
            <w:pPr>
              <w:pStyle w:val="TableParagraph"/>
              <w:spacing w:line="258" w:lineRule="exact"/>
              <w:ind w:left="9"/>
              <w:rPr>
                <w:sz w:val="21"/>
              </w:rPr>
            </w:pPr>
            <w:r>
              <w:rPr>
                <w:sz w:val="21"/>
              </w:rPr>
              <w:t>主动脉介入手术</w:t>
            </w:r>
          </w:p>
        </w:tc>
        <w:tc>
          <w:tcPr>
            <w:tcW w:w="7228" w:type="dxa"/>
          </w:tcPr>
          <w:p>
            <w:pPr>
              <w:pStyle w:val="TableParagraph"/>
              <w:spacing w:line="258" w:lineRule="exact"/>
              <w:ind w:left="139"/>
              <w:rPr>
                <w:sz w:val="21"/>
              </w:rPr>
            </w:pPr>
            <w:r>
              <w:rPr>
                <w:sz w:val="21"/>
              </w:rPr>
              <w:t>指为治疗主动脉疾病实际实施了经皮经导管进行的动脉内手术。主动脉指</w:t>
            </w:r>
          </w:p>
          <w:p>
            <w:pPr>
              <w:pStyle w:val="TableParagraph"/>
              <w:spacing w:before="37"/>
              <w:ind w:left="139"/>
              <w:rPr>
                <w:sz w:val="21"/>
              </w:rPr>
            </w:pPr>
            <w:r>
              <w:rPr>
                <w:sz w:val="21"/>
              </w:rPr>
              <w:t>胸主动脉和腹主动脉，但不包括胸主动脉和腹主动脉的分支血管。</w:t>
            </w:r>
          </w:p>
        </w:tc>
      </w:tr>
      <w:tr>
        <w:trPr>
          <w:trHeight w:val="1531" w:hRule="atLeast"/>
        </w:trPr>
        <w:tc>
          <w:tcPr>
            <w:tcW w:w="474" w:type="dxa"/>
          </w:tcPr>
          <w:p>
            <w:pPr>
              <w:pStyle w:val="TableParagraph"/>
              <w:spacing w:before="55"/>
              <w:ind w:left="200"/>
              <w:rPr>
                <w:rFonts w:ascii="Times New Roman"/>
                <w:sz w:val="21"/>
              </w:rPr>
            </w:pPr>
            <w:r>
              <w:rPr>
                <w:rFonts w:ascii="Times New Roman"/>
                <w:sz w:val="21"/>
              </w:rPr>
              <w:t>10.</w:t>
            </w:r>
          </w:p>
        </w:tc>
        <w:tc>
          <w:tcPr>
            <w:tcW w:w="2705" w:type="dxa"/>
          </w:tcPr>
          <w:p>
            <w:pPr>
              <w:pStyle w:val="TableParagraph"/>
              <w:spacing w:line="256" w:lineRule="auto" w:before="8"/>
              <w:ind w:left="9" w:right="137"/>
              <w:rPr>
                <w:b/>
                <w:sz w:val="21"/>
              </w:rPr>
            </w:pPr>
            <w:r>
              <w:rPr>
                <w:sz w:val="21"/>
              </w:rPr>
              <w:t>视力严重受损</w:t>
            </w:r>
            <w:r>
              <w:rPr>
                <w:rFonts w:ascii="Times New Roman" w:eastAsia="Times New Roman"/>
                <w:sz w:val="21"/>
              </w:rPr>
              <w:t>- </w:t>
            </w:r>
            <w:r>
              <w:rPr>
                <w:b/>
                <w:sz w:val="21"/>
              </w:rPr>
              <w:t>三周岁始理赔</w:t>
            </w:r>
          </w:p>
        </w:tc>
        <w:tc>
          <w:tcPr>
            <w:tcW w:w="7228" w:type="dxa"/>
          </w:tcPr>
          <w:p>
            <w:pPr>
              <w:pStyle w:val="TableParagraph"/>
              <w:spacing w:line="256" w:lineRule="auto" w:before="8"/>
              <w:ind w:left="139" w:right="302"/>
              <w:jc w:val="both"/>
              <w:rPr>
                <w:sz w:val="21"/>
              </w:rPr>
            </w:pPr>
            <w:r>
              <w:rPr>
                <w:spacing w:val="-3"/>
                <w:sz w:val="21"/>
              </w:rPr>
              <w:t>是指因疾病或意外伤害导致双眼视力</w:t>
            </w:r>
            <w:r>
              <w:rPr>
                <w:b/>
                <w:sz w:val="21"/>
              </w:rPr>
              <w:t>永久不可逆</w:t>
            </w:r>
            <w:r>
              <w:rPr>
                <w:rFonts w:ascii="Times New Roman" w:hAnsi="Times New Roman" w:eastAsia="Times New Roman"/>
                <w:b/>
                <w:sz w:val="21"/>
                <w:vertAlign w:val="superscript"/>
              </w:rPr>
              <w:t>21</w:t>
            </w:r>
            <w:r>
              <w:rPr>
                <w:rFonts w:ascii="Times New Roman" w:hAnsi="Times New Roman" w:eastAsia="Times New Roman"/>
                <w:b/>
                <w:sz w:val="21"/>
                <w:vertAlign w:val="baseline"/>
              </w:rPr>
            </w:r>
            <w:r>
              <w:rPr>
                <w:spacing w:val="-12"/>
                <w:sz w:val="21"/>
                <w:vertAlign w:val="baseline"/>
              </w:rPr>
              <w:t>性丧失，未达到本合同所</w:t>
            </w:r>
            <w:r>
              <w:rPr>
                <w:spacing w:val="-6"/>
                <w:sz w:val="21"/>
                <w:vertAlign w:val="baseline"/>
              </w:rPr>
              <w:t>指重大疾病“双目失明</w:t>
            </w:r>
            <w:r>
              <w:rPr>
                <w:rFonts w:ascii="Times New Roman" w:hAnsi="Times New Roman" w:eastAsia="Times New Roman"/>
                <w:spacing w:val="-4"/>
                <w:sz w:val="21"/>
                <w:vertAlign w:val="baseline"/>
              </w:rPr>
              <w:t>-</w:t>
            </w:r>
            <w:r>
              <w:rPr>
                <w:spacing w:val="-4"/>
                <w:sz w:val="21"/>
                <w:vertAlign w:val="baseline"/>
              </w:rPr>
              <w:t>三周岁始理赔”的给付标准，但须满足下列全部条件：</w:t>
            </w:r>
          </w:p>
          <w:p>
            <w:pPr>
              <w:pStyle w:val="TableParagraph"/>
              <w:spacing w:line="290" w:lineRule="atLeast" w:before="22"/>
              <w:ind w:left="139" w:right="300"/>
              <w:jc w:val="both"/>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tc>
      </w:tr>
    </w:tbl>
    <w:p>
      <w:pPr>
        <w:pStyle w:val="BodyText"/>
        <w:spacing w:before="5"/>
        <w:rPr>
          <w:rFonts w:ascii="楷体"/>
          <w:sz w:val="29"/>
        </w:rPr>
      </w:pPr>
      <w:r>
        <w:rPr/>
        <w:pict>
          <v:line style="position:absolute;mso-position-horizontal-relative:page;mso-position-vertical-relative:paragraph;z-index:1240;mso-wrap-distance-left:0;mso-wrap-distance-right:0" from="53.880001pt,21.424854pt" to="197.930001pt,21.424854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20</w:t>
      </w:r>
      <w:r>
        <w:rPr>
          <w:rFonts w:ascii="楷体" w:eastAsia="楷体" w:hint="eastAsia"/>
          <w:b/>
          <w:sz w:val="21"/>
        </w:rPr>
        <w:t>六项基本日常生活活动：</w:t>
      </w:r>
      <w:r>
        <w:rPr>
          <w:rFonts w:ascii="楷体" w:eastAsia="楷体" w:hint="eastAsia"/>
          <w:sz w:val="21"/>
        </w:rPr>
        <w:t>指食物摄取、大小便始末、穿脱衣服、起居、步行、入浴。</w:t>
      </w:r>
    </w:p>
    <w:p>
      <w:pPr>
        <w:pStyle w:val="BodyText"/>
        <w:spacing w:line="225" w:lineRule="auto" w:before="15"/>
        <w:ind w:left="317" w:right="392"/>
        <w:rPr>
          <w:rFonts w:ascii="楷体" w:eastAsia="楷体" w:hint="eastAsia"/>
        </w:rPr>
      </w:pPr>
      <w:r>
        <w:rPr>
          <w:rFonts w:ascii="Times New Roman" w:eastAsia="Times New Roman"/>
          <w:position w:val="10"/>
          <w:sz w:val="14"/>
        </w:rPr>
        <w:t>21</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5" w:lineRule="auto"/>
        <w:rPr>
          <w:rFonts w:ascii="楷体" w:eastAsia="楷体" w:hint="eastAsia"/>
        </w:rPr>
        <w:sectPr>
          <w:pgSz w:w="11910" w:h="16160"/>
          <w:pgMar w:header="0" w:footer="993" w:top="1420" w:bottom="124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228"/>
      </w:tblGrid>
      <w:tr>
        <w:trPr>
          <w:trHeight w:val="888" w:hRule="atLeast"/>
        </w:trPr>
        <w:tc>
          <w:tcPr>
            <w:tcW w:w="474" w:type="dxa"/>
          </w:tcPr>
          <w:p>
            <w:pPr>
              <w:pStyle w:val="TableParagraph"/>
              <w:ind w:left="0"/>
              <w:rPr>
                <w:rFonts w:ascii="Times New Roman"/>
                <w:sz w:val="20"/>
              </w:rPr>
            </w:pPr>
          </w:p>
        </w:tc>
        <w:tc>
          <w:tcPr>
            <w:tcW w:w="2705" w:type="dxa"/>
          </w:tcPr>
          <w:p>
            <w:pPr>
              <w:pStyle w:val="TableParagraph"/>
              <w:ind w:left="0"/>
              <w:rPr>
                <w:rFonts w:ascii="Times New Roman"/>
                <w:sz w:val="20"/>
              </w:rPr>
            </w:pPr>
          </w:p>
        </w:tc>
        <w:tc>
          <w:tcPr>
            <w:tcW w:w="7228" w:type="dxa"/>
          </w:tcPr>
          <w:p>
            <w:pPr>
              <w:pStyle w:val="TableParagraph"/>
              <w:spacing w:line="234" w:lineRule="exact"/>
              <w:ind w:left="139"/>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7"/>
              <w:ind w:left="139" w:right="304"/>
              <w:rPr>
                <w:sz w:val="21"/>
              </w:rPr>
            </w:pPr>
            <w:r>
              <w:rPr>
                <w:sz w:val="21"/>
              </w:rPr>
              <w:t>被保险人申请理赔时年龄必须在三周岁以上，并且提供理赔当时的视力丧失诊断及检查证据。</w:t>
            </w:r>
          </w:p>
        </w:tc>
      </w:tr>
      <w:tr>
        <w:trPr>
          <w:trHeight w:val="1560" w:hRule="atLeast"/>
        </w:trPr>
        <w:tc>
          <w:tcPr>
            <w:tcW w:w="474" w:type="dxa"/>
          </w:tcPr>
          <w:p>
            <w:pPr>
              <w:pStyle w:val="TableParagraph"/>
              <w:spacing w:before="38"/>
              <w:ind w:left="0" w:right="15"/>
              <w:jc w:val="right"/>
              <w:rPr>
                <w:rFonts w:ascii="Times New Roman"/>
                <w:sz w:val="21"/>
              </w:rPr>
            </w:pPr>
            <w:r>
              <w:rPr>
                <w:rFonts w:ascii="Times New Roman"/>
                <w:sz w:val="21"/>
              </w:rPr>
              <w:t>11.</w:t>
            </w:r>
          </w:p>
        </w:tc>
        <w:tc>
          <w:tcPr>
            <w:tcW w:w="2705" w:type="dxa"/>
          </w:tcPr>
          <w:p>
            <w:pPr>
              <w:pStyle w:val="TableParagraph"/>
              <w:spacing w:line="256" w:lineRule="auto"/>
              <w:ind w:left="9" w:right="137"/>
              <w:rPr>
                <w:b/>
                <w:sz w:val="21"/>
              </w:rPr>
            </w:pPr>
            <w:r>
              <w:rPr>
                <w:sz w:val="21"/>
              </w:rPr>
              <w:t>听力严重受损</w:t>
            </w:r>
            <w:r>
              <w:rPr>
                <w:rFonts w:ascii="Times New Roman" w:eastAsia="Times New Roman"/>
                <w:sz w:val="21"/>
              </w:rPr>
              <w:t>- </w:t>
            </w:r>
            <w:r>
              <w:rPr>
                <w:b/>
                <w:sz w:val="21"/>
              </w:rPr>
              <w:t>三周岁始理赔</w:t>
            </w:r>
          </w:p>
        </w:tc>
        <w:tc>
          <w:tcPr>
            <w:tcW w:w="7228" w:type="dxa"/>
          </w:tcPr>
          <w:p>
            <w:pPr>
              <w:pStyle w:val="TableParagraph"/>
              <w:spacing w:line="282" w:lineRule="exact"/>
              <w:ind w:left="139"/>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139" w:right="408"/>
              <w:rPr>
                <w:sz w:val="21"/>
              </w:rPr>
            </w:pPr>
            <w:r>
              <w:rPr>
                <w:spacing w:val="-13"/>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w:t>
            </w:r>
            <w:r>
              <w:rPr>
                <w:spacing w:val="-5"/>
                <w:sz w:val="21"/>
              </w:rPr>
              <w:t>声导抗检测或听觉诱发电位检测等证实。</w:t>
            </w:r>
          </w:p>
          <w:p>
            <w:pPr>
              <w:pStyle w:val="TableParagraph"/>
              <w:spacing w:line="312" w:lineRule="exact" w:before="18"/>
              <w:ind w:left="139" w:right="304"/>
              <w:rPr>
                <w:sz w:val="21"/>
              </w:rPr>
            </w:pPr>
            <w:r>
              <w:rPr>
                <w:sz w:val="21"/>
              </w:rPr>
              <w:t>被保险人申请理赔时年龄必须在三周岁以上，并且提供理赔当时的听力丧失诊断及检查证据。</w:t>
            </w:r>
          </w:p>
        </w:tc>
      </w:tr>
      <w:tr>
        <w:trPr>
          <w:trHeight w:val="624" w:hRule="atLeast"/>
        </w:trPr>
        <w:tc>
          <w:tcPr>
            <w:tcW w:w="474" w:type="dxa"/>
          </w:tcPr>
          <w:p>
            <w:pPr>
              <w:pStyle w:val="TableParagraph"/>
              <w:spacing w:before="38"/>
              <w:ind w:left="0" w:right="9"/>
              <w:jc w:val="right"/>
              <w:rPr>
                <w:rFonts w:ascii="Times New Roman"/>
                <w:sz w:val="21"/>
              </w:rPr>
            </w:pPr>
            <w:r>
              <w:rPr>
                <w:rFonts w:ascii="Times New Roman"/>
                <w:sz w:val="21"/>
              </w:rPr>
              <w:t>12.</w:t>
            </w:r>
          </w:p>
        </w:tc>
        <w:tc>
          <w:tcPr>
            <w:tcW w:w="2705" w:type="dxa"/>
          </w:tcPr>
          <w:p>
            <w:pPr>
              <w:pStyle w:val="TableParagraph"/>
              <w:spacing w:line="266" w:lineRule="exact"/>
              <w:ind w:left="9"/>
              <w:rPr>
                <w:sz w:val="21"/>
              </w:rPr>
            </w:pPr>
            <w:r>
              <w:rPr>
                <w:sz w:val="21"/>
              </w:rPr>
              <w:t>单肢缺失</w:t>
            </w:r>
          </w:p>
        </w:tc>
        <w:tc>
          <w:tcPr>
            <w:tcW w:w="7228" w:type="dxa"/>
          </w:tcPr>
          <w:p>
            <w:pPr>
              <w:pStyle w:val="TableParagraph"/>
              <w:spacing w:line="266" w:lineRule="exact"/>
              <w:ind w:left="139"/>
              <w:rPr>
                <w:sz w:val="21"/>
              </w:rPr>
            </w:pPr>
            <w:r>
              <w:rPr>
                <w:sz w:val="21"/>
              </w:rPr>
              <w:t>因疾病或意外导致单肢已断离并且不可接回，未达到本合同所保障重大疾</w:t>
            </w:r>
          </w:p>
          <w:p>
            <w:pPr>
              <w:pStyle w:val="TableParagraph"/>
              <w:spacing w:before="37"/>
              <w:ind w:left="139"/>
              <w:rPr>
                <w:sz w:val="21"/>
              </w:rPr>
            </w:pPr>
            <w:r>
              <w:rPr>
                <w:sz w:val="21"/>
              </w:rPr>
              <w:t>病的给付标准，但断肢必须是在膝部或肘部以上。</w:t>
            </w:r>
          </w:p>
        </w:tc>
      </w:tr>
      <w:tr>
        <w:trPr>
          <w:trHeight w:val="1568" w:hRule="atLeast"/>
        </w:trPr>
        <w:tc>
          <w:tcPr>
            <w:tcW w:w="474" w:type="dxa"/>
          </w:tcPr>
          <w:p>
            <w:pPr>
              <w:pStyle w:val="TableParagraph"/>
              <w:spacing w:before="38"/>
              <w:ind w:left="0" w:right="9"/>
              <w:jc w:val="right"/>
              <w:rPr>
                <w:rFonts w:ascii="Times New Roman"/>
                <w:sz w:val="21"/>
              </w:rPr>
            </w:pPr>
            <w:r>
              <w:rPr>
                <w:rFonts w:ascii="Times New Roman"/>
                <w:sz w:val="21"/>
              </w:rPr>
              <w:t>13.</w:t>
            </w:r>
          </w:p>
        </w:tc>
        <w:tc>
          <w:tcPr>
            <w:tcW w:w="2705" w:type="dxa"/>
          </w:tcPr>
          <w:p>
            <w:pPr>
              <w:pStyle w:val="TableParagraph"/>
              <w:spacing w:line="266" w:lineRule="exact"/>
              <w:ind w:left="9"/>
              <w:rPr>
                <w:sz w:val="21"/>
              </w:rPr>
            </w:pPr>
            <w:r>
              <w:rPr>
                <w:sz w:val="21"/>
              </w:rPr>
              <w:t>心脏起搏器或除颤器植入</w:t>
            </w:r>
          </w:p>
        </w:tc>
        <w:tc>
          <w:tcPr>
            <w:tcW w:w="7228" w:type="dxa"/>
          </w:tcPr>
          <w:p>
            <w:pPr>
              <w:pStyle w:val="TableParagraph"/>
              <w:spacing w:line="273" w:lineRule="auto"/>
              <w:ind w:left="139" w:right="304"/>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ind w:left="139"/>
              <w:jc w:val="both"/>
              <w:rPr>
                <w:b/>
                <w:sz w:val="21"/>
              </w:rPr>
            </w:pPr>
            <w:r>
              <w:rPr>
                <w:b/>
                <w:sz w:val="21"/>
              </w:rPr>
              <w:t>若被保险人因同一原因导致其同时满足本合同重大疾病严重 </w:t>
            </w:r>
            <w:r>
              <w:rPr>
                <w:rFonts w:ascii="Times New Roman" w:eastAsia="Times New Roman"/>
                <w:b/>
                <w:sz w:val="21"/>
              </w:rPr>
              <w:t>1 </w:t>
            </w:r>
            <w:r>
              <w:rPr>
                <w:b/>
                <w:sz w:val="21"/>
              </w:rPr>
              <w:t>型糖尿病和</w:t>
            </w:r>
          </w:p>
          <w:p>
            <w:pPr>
              <w:pStyle w:val="TableParagraph"/>
              <w:spacing w:before="20"/>
              <w:ind w:left="139"/>
              <w:jc w:val="both"/>
              <w:rPr>
                <w:b/>
                <w:sz w:val="21"/>
              </w:rPr>
            </w:pPr>
            <w:r>
              <w:rPr>
                <w:b/>
                <w:sz w:val="21"/>
              </w:rPr>
              <w:t>心脏起搏器或除颤器植入手术的，仅按重大疾病严重 </w:t>
            </w:r>
            <w:r>
              <w:rPr>
                <w:rFonts w:ascii="Times New Roman" w:eastAsia="Times New Roman"/>
                <w:b/>
                <w:sz w:val="21"/>
              </w:rPr>
              <w:t>1 </w:t>
            </w:r>
            <w:r>
              <w:rPr>
                <w:b/>
                <w:sz w:val="21"/>
              </w:rPr>
              <w:t>型糖尿病一项给付。</w:t>
            </w:r>
          </w:p>
        </w:tc>
      </w:tr>
      <w:tr>
        <w:trPr>
          <w:trHeight w:val="616" w:hRule="atLeast"/>
        </w:trPr>
        <w:tc>
          <w:tcPr>
            <w:tcW w:w="474" w:type="dxa"/>
          </w:tcPr>
          <w:p>
            <w:pPr>
              <w:pStyle w:val="TableParagraph"/>
              <w:spacing w:before="30"/>
              <w:ind w:left="0" w:right="9"/>
              <w:jc w:val="right"/>
              <w:rPr>
                <w:rFonts w:ascii="Times New Roman"/>
                <w:sz w:val="21"/>
              </w:rPr>
            </w:pPr>
            <w:r>
              <w:rPr>
                <w:rFonts w:ascii="Times New Roman"/>
                <w:sz w:val="21"/>
              </w:rPr>
              <w:t>14.</w:t>
            </w:r>
          </w:p>
        </w:tc>
        <w:tc>
          <w:tcPr>
            <w:tcW w:w="2705" w:type="dxa"/>
          </w:tcPr>
          <w:p>
            <w:pPr>
              <w:pStyle w:val="TableParagraph"/>
              <w:spacing w:line="258" w:lineRule="exact"/>
              <w:ind w:left="9"/>
              <w:rPr>
                <w:sz w:val="21"/>
              </w:rPr>
            </w:pPr>
            <w:r>
              <w:rPr>
                <w:sz w:val="21"/>
              </w:rPr>
              <w:t>轻度颅脑手术</w:t>
            </w:r>
          </w:p>
        </w:tc>
        <w:tc>
          <w:tcPr>
            <w:tcW w:w="7228" w:type="dxa"/>
          </w:tcPr>
          <w:p>
            <w:pPr>
              <w:pStyle w:val="TableParagraph"/>
              <w:spacing w:line="258" w:lineRule="exact"/>
              <w:ind w:left="139"/>
              <w:rPr>
                <w:b/>
                <w:sz w:val="21"/>
              </w:rPr>
            </w:pPr>
            <w:r>
              <w:rPr>
                <w:sz w:val="21"/>
              </w:rPr>
              <w:t>被保险人确已实施全麻下的颅骨钻孔手术或经鼻蝶窦入颅手术。</w:t>
            </w:r>
            <w:r>
              <w:rPr>
                <w:b/>
                <w:sz w:val="21"/>
              </w:rPr>
              <w:t>因外伤而</w:t>
            </w:r>
          </w:p>
          <w:p>
            <w:pPr>
              <w:pStyle w:val="TableParagraph"/>
              <w:spacing w:before="37"/>
              <w:ind w:left="139"/>
              <w:rPr>
                <w:b/>
                <w:sz w:val="21"/>
              </w:rPr>
            </w:pPr>
            <w:r>
              <w:rPr>
                <w:b/>
                <w:sz w:val="21"/>
              </w:rPr>
              <w:t>实施的脑外科手术不在保障范围内。</w:t>
            </w:r>
          </w:p>
        </w:tc>
      </w:tr>
      <w:tr>
        <w:trPr>
          <w:trHeight w:val="2496" w:hRule="atLeast"/>
        </w:trPr>
        <w:tc>
          <w:tcPr>
            <w:tcW w:w="474" w:type="dxa"/>
          </w:tcPr>
          <w:p>
            <w:pPr>
              <w:pStyle w:val="TableParagraph"/>
              <w:spacing w:before="38"/>
              <w:ind w:left="0" w:right="9"/>
              <w:jc w:val="right"/>
              <w:rPr>
                <w:rFonts w:ascii="Times New Roman"/>
                <w:sz w:val="21"/>
              </w:rPr>
            </w:pPr>
            <w:r>
              <w:rPr>
                <w:rFonts w:ascii="Times New Roman"/>
                <w:sz w:val="21"/>
              </w:rPr>
              <w:t>15.</w:t>
            </w:r>
          </w:p>
        </w:tc>
        <w:tc>
          <w:tcPr>
            <w:tcW w:w="2705" w:type="dxa"/>
          </w:tcPr>
          <w:p>
            <w:pPr>
              <w:pStyle w:val="TableParagraph"/>
              <w:spacing w:line="282" w:lineRule="exact"/>
              <w:ind w:left="9"/>
              <w:rPr>
                <w:b/>
                <w:sz w:val="21"/>
              </w:rPr>
            </w:pPr>
            <w:r>
              <w:rPr>
                <w:sz w:val="21"/>
              </w:rPr>
              <w:t>单目失明</w:t>
            </w:r>
            <w:r>
              <w:rPr>
                <w:rFonts w:ascii="Times New Roman" w:eastAsia="Times New Roman"/>
                <w:sz w:val="21"/>
              </w:rPr>
              <w:t>-  </w:t>
            </w:r>
            <w:r>
              <w:rPr>
                <w:b/>
                <w:sz w:val="21"/>
              </w:rPr>
              <w:t>三周岁始理赔</w:t>
            </w:r>
          </w:p>
        </w:tc>
        <w:tc>
          <w:tcPr>
            <w:tcW w:w="7228" w:type="dxa"/>
          </w:tcPr>
          <w:p>
            <w:pPr>
              <w:pStyle w:val="TableParagraph"/>
              <w:spacing w:line="273" w:lineRule="auto"/>
              <w:ind w:left="139" w:right="304"/>
              <w:rPr>
                <w:sz w:val="21"/>
              </w:rPr>
            </w:pPr>
            <w:r>
              <w:rPr>
                <w:sz w:val="21"/>
              </w:rPr>
              <w:t>指因疾病或者意外伤害导致单眼视力永久不可逆性丧失，患眼须满足下列至少一项条件：</w:t>
            </w:r>
          </w:p>
          <w:p>
            <w:pPr>
              <w:pStyle w:val="TableParagraph"/>
              <w:spacing w:before="16"/>
              <w:ind w:left="139"/>
              <w:rPr>
                <w:sz w:val="21"/>
              </w:rPr>
            </w:pPr>
            <w:r>
              <w:rPr>
                <w:sz w:val="21"/>
              </w:rPr>
              <w:t>（</w:t>
            </w:r>
            <w:r>
              <w:rPr>
                <w:rFonts w:ascii="Times New Roman" w:eastAsia="Times New Roman"/>
                <w:sz w:val="21"/>
              </w:rPr>
              <w:t>1</w:t>
            </w:r>
            <w:r>
              <w:rPr>
                <w:sz w:val="21"/>
              </w:rPr>
              <w:t>）眼球缺失或者摘除；</w:t>
            </w:r>
          </w:p>
          <w:p>
            <w:pPr>
              <w:pStyle w:val="TableParagraph"/>
              <w:spacing w:line="256" w:lineRule="auto" w:before="20"/>
              <w:ind w:left="139" w:right="302"/>
              <w:rPr>
                <w:sz w:val="21"/>
              </w:rPr>
            </w:pPr>
            <w:r>
              <w:rPr>
                <w:spacing w:val="-6"/>
                <w:sz w:val="21"/>
              </w:rPr>
              <w:t>（</w:t>
            </w:r>
            <w:r>
              <w:rPr>
                <w:rFonts w:ascii="Times New Roman" w:eastAsia="Times New Roman"/>
                <w:spacing w:val="-6"/>
                <w:sz w:val="21"/>
              </w:rPr>
              <w:t>2</w:t>
            </w:r>
            <w:r>
              <w:rPr>
                <w:spacing w:val="-6"/>
                <w:sz w:val="21"/>
              </w:rPr>
              <w:t>）矫正视力低于 </w:t>
            </w:r>
            <w:r>
              <w:rPr>
                <w:rFonts w:ascii="Times New Roman" w:eastAsia="Times New Roman"/>
                <w:spacing w:val="-4"/>
                <w:sz w:val="21"/>
              </w:rPr>
              <w:t>0.02</w:t>
            </w:r>
            <w:r>
              <w:rPr>
                <w:spacing w:val="-4"/>
                <w:sz w:val="21"/>
              </w:rPr>
              <w:t>（</w:t>
            </w:r>
            <w:r>
              <w:rPr>
                <w:spacing w:val="-5"/>
                <w:sz w:val="21"/>
              </w:rPr>
              <w:t>采用国际标准视力表，如果使用其他视力表应进</w:t>
            </w:r>
            <w:r>
              <w:rPr>
                <w:spacing w:val="-5"/>
                <w:w w:val="100"/>
                <w:sz w:val="21"/>
              </w:rPr>
              <w:t>行换算</w:t>
            </w:r>
            <w:r>
              <w:rPr>
                <w:spacing w:val="-106"/>
                <w:w w:val="100"/>
                <w:sz w:val="21"/>
              </w:rPr>
              <w:t>）</w:t>
            </w:r>
            <w:r>
              <w:rPr>
                <w:w w:val="100"/>
                <w:sz w:val="21"/>
              </w:rPr>
              <w:t>；</w:t>
            </w:r>
          </w:p>
          <w:p>
            <w:pPr>
              <w:pStyle w:val="TableParagraph"/>
              <w:spacing w:before="22"/>
              <w:ind w:left="13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139" w:right="301"/>
              <w:rPr>
                <w:sz w:val="21"/>
              </w:rPr>
            </w:pPr>
            <w:r>
              <w:rPr>
                <w:sz w:val="21"/>
              </w:rPr>
              <w:t>被保险人申请理赔时年龄必须在三周岁以上，并且提供理赔当时的视力丧失诊断及检查证据。</w:t>
            </w:r>
          </w:p>
        </w:tc>
      </w:tr>
      <w:tr>
        <w:trPr>
          <w:trHeight w:val="936" w:hRule="atLeast"/>
        </w:trPr>
        <w:tc>
          <w:tcPr>
            <w:tcW w:w="474" w:type="dxa"/>
          </w:tcPr>
          <w:p>
            <w:pPr>
              <w:pStyle w:val="TableParagraph"/>
              <w:spacing w:before="38"/>
              <w:ind w:left="0" w:right="9"/>
              <w:jc w:val="right"/>
              <w:rPr>
                <w:rFonts w:ascii="Times New Roman"/>
                <w:sz w:val="21"/>
              </w:rPr>
            </w:pPr>
            <w:r>
              <w:rPr>
                <w:rFonts w:ascii="Times New Roman"/>
                <w:sz w:val="21"/>
              </w:rPr>
              <w:t>16.</w:t>
            </w:r>
          </w:p>
        </w:tc>
        <w:tc>
          <w:tcPr>
            <w:tcW w:w="2705" w:type="dxa"/>
          </w:tcPr>
          <w:p>
            <w:pPr>
              <w:pStyle w:val="TableParagraph"/>
              <w:spacing w:line="266" w:lineRule="exact"/>
              <w:ind w:left="9"/>
              <w:rPr>
                <w:sz w:val="21"/>
              </w:rPr>
            </w:pPr>
            <w:r>
              <w:rPr>
                <w:sz w:val="21"/>
              </w:rPr>
              <w:t>双侧睾丸切除手术</w:t>
            </w:r>
          </w:p>
        </w:tc>
        <w:tc>
          <w:tcPr>
            <w:tcW w:w="7228" w:type="dxa"/>
          </w:tcPr>
          <w:p>
            <w:pPr>
              <w:pStyle w:val="TableParagraph"/>
              <w:spacing w:line="273" w:lineRule="auto"/>
              <w:ind w:left="139" w:right="301"/>
              <w:rPr>
                <w:b/>
                <w:sz w:val="21"/>
              </w:rPr>
            </w:pPr>
            <w:r>
              <w:rPr>
                <w:sz w:val="21"/>
              </w:rPr>
              <w:t>因疾病或者意外伤害导致接受了双侧睾丸完全切除手术。</w:t>
            </w:r>
            <w:r>
              <w:rPr>
                <w:b/>
                <w:sz w:val="21"/>
              </w:rPr>
              <w:t>部分睾丸切除不在保障范围内。</w:t>
            </w:r>
          </w:p>
          <w:p>
            <w:pPr>
              <w:pStyle w:val="TableParagraph"/>
              <w:spacing w:before="16"/>
              <w:ind w:left="139"/>
              <w:rPr>
                <w:b/>
                <w:sz w:val="21"/>
              </w:rPr>
            </w:pPr>
            <w:r>
              <w:rPr>
                <w:b/>
                <w:sz w:val="21"/>
              </w:rPr>
              <w:t>被保险人在六十周岁之后接受该手术，我们不承担保险责任。</w:t>
            </w:r>
          </w:p>
        </w:tc>
      </w:tr>
      <w:tr>
        <w:trPr>
          <w:trHeight w:val="935" w:hRule="atLeast"/>
        </w:trPr>
        <w:tc>
          <w:tcPr>
            <w:tcW w:w="474" w:type="dxa"/>
          </w:tcPr>
          <w:p>
            <w:pPr>
              <w:pStyle w:val="TableParagraph"/>
              <w:spacing w:before="38"/>
              <w:ind w:left="0" w:right="9"/>
              <w:jc w:val="right"/>
              <w:rPr>
                <w:rFonts w:ascii="Times New Roman"/>
                <w:sz w:val="21"/>
              </w:rPr>
            </w:pPr>
            <w:r>
              <w:rPr>
                <w:rFonts w:ascii="Times New Roman"/>
                <w:sz w:val="21"/>
              </w:rPr>
              <w:t>17.</w:t>
            </w:r>
          </w:p>
        </w:tc>
        <w:tc>
          <w:tcPr>
            <w:tcW w:w="2705" w:type="dxa"/>
          </w:tcPr>
          <w:p>
            <w:pPr>
              <w:pStyle w:val="TableParagraph"/>
              <w:spacing w:line="266" w:lineRule="exact"/>
              <w:ind w:left="9"/>
              <w:rPr>
                <w:sz w:val="21"/>
              </w:rPr>
            </w:pPr>
            <w:r>
              <w:rPr>
                <w:sz w:val="21"/>
              </w:rPr>
              <w:t>双侧卵巢切除手术</w:t>
            </w:r>
          </w:p>
        </w:tc>
        <w:tc>
          <w:tcPr>
            <w:tcW w:w="7228" w:type="dxa"/>
          </w:tcPr>
          <w:p>
            <w:pPr>
              <w:pStyle w:val="TableParagraph"/>
              <w:spacing w:line="273" w:lineRule="auto"/>
              <w:ind w:left="139" w:right="301"/>
              <w:rPr>
                <w:b/>
                <w:sz w:val="21"/>
              </w:rPr>
            </w:pPr>
            <w:r>
              <w:rPr>
                <w:sz w:val="21"/>
              </w:rPr>
              <w:t>因疾病或者意外伤害导致接受了双侧卵巢完全切除手术。</w:t>
            </w:r>
            <w:r>
              <w:rPr>
                <w:b/>
                <w:sz w:val="21"/>
              </w:rPr>
              <w:t>部分卵巢切除不在保障范围内。</w:t>
            </w:r>
          </w:p>
          <w:p>
            <w:pPr>
              <w:pStyle w:val="TableParagraph"/>
              <w:spacing w:before="16"/>
              <w:ind w:left="139"/>
              <w:rPr>
                <w:b/>
                <w:sz w:val="21"/>
              </w:rPr>
            </w:pPr>
            <w:r>
              <w:rPr>
                <w:b/>
                <w:sz w:val="21"/>
              </w:rPr>
              <w:t>被保险人在六十周岁之后接受该手术，我们不承担保险责任。</w:t>
            </w:r>
          </w:p>
        </w:tc>
      </w:tr>
      <w:tr>
        <w:trPr>
          <w:trHeight w:val="1568" w:hRule="atLeast"/>
        </w:trPr>
        <w:tc>
          <w:tcPr>
            <w:tcW w:w="474" w:type="dxa"/>
          </w:tcPr>
          <w:p>
            <w:pPr>
              <w:pStyle w:val="TableParagraph"/>
              <w:spacing w:before="38"/>
              <w:ind w:left="0" w:right="9"/>
              <w:jc w:val="right"/>
              <w:rPr>
                <w:rFonts w:ascii="Times New Roman"/>
                <w:sz w:val="21"/>
              </w:rPr>
            </w:pPr>
            <w:r>
              <w:rPr>
                <w:rFonts w:ascii="Times New Roman"/>
                <w:sz w:val="21"/>
              </w:rPr>
              <w:t>18.</w:t>
            </w:r>
          </w:p>
        </w:tc>
        <w:tc>
          <w:tcPr>
            <w:tcW w:w="2705" w:type="dxa"/>
          </w:tcPr>
          <w:p>
            <w:pPr>
              <w:pStyle w:val="TableParagraph"/>
              <w:spacing w:line="266" w:lineRule="exact"/>
              <w:ind w:left="9"/>
              <w:rPr>
                <w:sz w:val="21"/>
              </w:rPr>
            </w:pPr>
            <w:r>
              <w:rPr>
                <w:sz w:val="21"/>
              </w:rPr>
              <w:t>单侧肺脏切除</w:t>
            </w:r>
          </w:p>
        </w:tc>
        <w:tc>
          <w:tcPr>
            <w:tcW w:w="7228" w:type="dxa"/>
          </w:tcPr>
          <w:p>
            <w:pPr>
              <w:pStyle w:val="TableParagraph"/>
              <w:spacing w:line="273" w:lineRule="auto"/>
              <w:ind w:left="139" w:right="2460"/>
              <w:rPr>
                <w:b/>
                <w:sz w:val="21"/>
              </w:rPr>
            </w:pPr>
            <w:r>
              <w:rPr>
                <w:sz w:val="21"/>
              </w:rPr>
              <w:t>指因疾病或意外伤害实际实施的一侧肺脏切除术。</w:t>
            </w:r>
            <w:r>
              <w:rPr>
                <w:b/>
                <w:sz w:val="21"/>
              </w:rPr>
              <w:t>下列情况不在保障范围内：</w:t>
            </w:r>
          </w:p>
          <w:p>
            <w:pPr>
              <w:pStyle w:val="TableParagraph"/>
              <w:spacing w:before="17"/>
              <w:ind w:left="139"/>
              <w:rPr>
                <w:b/>
                <w:sz w:val="21"/>
              </w:rPr>
            </w:pPr>
            <w:r>
              <w:rPr>
                <w:b/>
                <w:sz w:val="21"/>
              </w:rPr>
              <w:t>（</w:t>
            </w:r>
            <w:r>
              <w:rPr>
                <w:rFonts w:ascii="Times New Roman" w:eastAsia="Times New Roman"/>
                <w:b/>
                <w:sz w:val="21"/>
              </w:rPr>
              <w:t>1</w:t>
            </w:r>
            <w:r>
              <w:rPr>
                <w:b/>
                <w:sz w:val="21"/>
              </w:rPr>
              <w:t>）肺脏部分切除手术；</w:t>
            </w:r>
          </w:p>
          <w:p>
            <w:pPr>
              <w:pStyle w:val="TableParagraph"/>
              <w:spacing w:before="21"/>
              <w:ind w:left="139"/>
              <w:rPr>
                <w:b/>
                <w:sz w:val="21"/>
              </w:rPr>
            </w:pPr>
            <w:r>
              <w:rPr>
                <w:b/>
                <w:sz w:val="21"/>
              </w:rPr>
              <w:t>（</w:t>
            </w:r>
            <w:r>
              <w:rPr>
                <w:rFonts w:ascii="Times New Roman" w:eastAsia="Times New Roman"/>
                <w:b/>
                <w:sz w:val="21"/>
              </w:rPr>
              <w:t>2</w:t>
            </w:r>
            <w:r>
              <w:rPr>
                <w:b/>
                <w:sz w:val="21"/>
              </w:rPr>
              <w:t>）因恶性肿瘤进行的肺切除手术；</w:t>
            </w:r>
          </w:p>
          <w:p>
            <w:pPr>
              <w:pStyle w:val="TableParagraph"/>
              <w:spacing w:before="21"/>
              <w:ind w:left="139"/>
              <w:rPr>
                <w:b/>
                <w:sz w:val="21"/>
              </w:rPr>
            </w:pPr>
            <w:r>
              <w:rPr>
                <w:b/>
                <w:sz w:val="21"/>
              </w:rPr>
              <w:t>（</w:t>
            </w:r>
            <w:r>
              <w:rPr>
                <w:rFonts w:ascii="Times New Roman" w:eastAsia="Times New Roman"/>
                <w:b/>
                <w:sz w:val="21"/>
              </w:rPr>
              <w:t>3</w:t>
            </w:r>
            <w:r>
              <w:rPr>
                <w:b/>
                <w:sz w:val="21"/>
              </w:rPr>
              <w:t>）作为器官捐献者而实施的肺切除手术。</w:t>
            </w:r>
          </w:p>
        </w:tc>
      </w:tr>
      <w:tr>
        <w:trPr>
          <w:trHeight w:val="2146" w:hRule="atLeast"/>
        </w:trPr>
        <w:tc>
          <w:tcPr>
            <w:tcW w:w="474" w:type="dxa"/>
          </w:tcPr>
          <w:p>
            <w:pPr>
              <w:pStyle w:val="TableParagraph"/>
              <w:spacing w:before="30"/>
              <w:ind w:left="0" w:right="9"/>
              <w:jc w:val="right"/>
              <w:rPr>
                <w:rFonts w:ascii="Times New Roman"/>
                <w:sz w:val="21"/>
              </w:rPr>
            </w:pPr>
            <w:r>
              <w:rPr>
                <w:rFonts w:ascii="Times New Roman"/>
                <w:sz w:val="21"/>
              </w:rPr>
              <w:t>19.</w:t>
            </w:r>
          </w:p>
        </w:tc>
        <w:tc>
          <w:tcPr>
            <w:tcW w:w="2705" w:type="dxa"/>
          </w:tcPr>
          <w:p>
            <w:pPr>
              <w:pStyle w:val="TableParagraph"/>
              <w:spacing w:line="258" w:lineRule="exact"/>
              <w:ind w:left="9"/>
              <w:rPr>
                <w:sz w:val="21"/>
              </w:rPr>
            </w:pPr>
            <w:r>
              <w:rPr>
                <w:sz w:val="21"/>
              </w:rPr>
              <w:t>肝脏整叶切除</w:t>
            </w:r>
          </w:p>
        </w:tc>
        <w:tc>
          <w:tcPr>
            <w:tcW w:w="7228" w:type="dxa"/>
          </w:tcPr>
          <w:p>
            <w:pPr>
              <w:pStyle w:val="TableParagraph"/>
              <w:spacing w:line="258" w:lineRule="exact"/>
              <w:ind w:left="139"/>
              <w:rPr>
                <w:sz w:val="21"/>
              </w:rPr>
            </w:pPr>
            <w:r>
              <w:rPr>
                <w:sz w:val="21"/>
              </w:rPr>
              <w:t>指因疾病或意外伤害实际实施的肝脏部分切除术，手术切除最少一整叶左</w:t>
            </w:r>
          </w:p>
          <w:p>
            <w:pPr>
              <w:pStyle w:val="TableParagraph"/>
              <w:spacing w:before="37"/>
              <w:ind w:left="139"/>
              <w:rPr>
                <w:sz w:val="21"/>
              </w:rPr>
            </w:pPr>
            <w:r>
              <w:rPr>
                <w:sz w:val="21"/>
              </w:rPr>
              <w:t>肝脏或一整叶右肝脏。</w:t>
            </w:r>
          </w:p>
          <w:p>
            <w:pPr>
              <w:pStyle w:val="TableParagraph"/>
              <w:spacing w:before="37"/>
              <w:ind w:left="139"/>
              <w:rPr>
                <w:b/>
                <w:sz w:val="21"/>
              </w:rPr>
            </w:pPr>
            <w:r>
              <w:rPr>
                <w:b/>
                <w:sz w:val="21"/>
              </w:rPr>
              <w:t>下列情况不在保障范围内：</w:t>
            </w:r>
          </w:p>
          <w:p>
            <w:pPr>
              <w:pStyle w:val="TableParagraph"/>
              <w:spacing w:before="37"/>
              <w:ind w:left="139"/>
              <w:rPr>
                <w:b/>
                <w:sz w:val="21"/>
              </w:rPr>
            </w:pPr>
            <w:r>
              <w:rPr>
                <w:b/>
                <w:sz w:val="21"/>
              </w:rPr>
              <w:t>（</w:t>
            </w:r>
            <w:r>
              <w:rPr>
                <w:rFonts w:ascii="Times New Roman" w:eastAsia="Times New Roman"/>
                <w:b/>
                <w:sz w:val="21"/>
              </w:rPr>
              <w:t>1</w:t>
            </w:r>
            <w:r>
              <w:rPr>
                <w:b/>
                <w:sz w:val="21"/>
              </w:rPr>
              <w:t>）肝区切除、肝段切除手术；</w:t>
            </w:r>
          </w:p>
          <w:p>
            <w:pPr>
              <w:pStyle w:val="TableParagraph"/>
              <w:spacing w:before="21"/>
              <w:ind w:left="139"/>
              <w:rPr>
                <w:b/>
                <w:sz w:val="21"/>
              </w:rPr>
            </w:pPr>
            <w:r>
              <w:rPr>
                <w:b/>
                <w:sz w:val="21"/>
              </w:rPr>
              <w:t>（</w:t>
            </w:r>
            <w:r>
              <w:rPr>
                <w:rFonts w:ascii="Times New Roman" w:eastAsia="Times New Roman"/>
                <w:b/>
                <w:sz w:val="21"/>
              </w:rPr>
              <w:t>2</w:t>
            </w:r>
            <w:r>
              <w:rPr>
                <w:b/>
                <w:sz w:val="21"/>
              </w:rPr>
              <w:t>）因治疗酒精或滥用药物导致的疾病或肝脏紊乱所致的肝脏整叶切除；</w:t>
            </w:r>
          </w:p>
          <w:p>
            <w:pPr>
              <w:pStyle w:val="TableParagraph"/>
              <w:spacing w:before="21"/>
              <w:ind w:left="139"/>
              <w:rPr>
                <w:b/>
                <w:sz w:val="21"/>
              </w:rPr>
            </w:pPr>
            <w:r>
              <w:rPr>
                <w:b/>
                <w:sz w:val="21"/>
              </w:rPr>
              <w:t>（</w:t>
            </w:r>
            <w:r>
              <w:rPr>
                <w:rFonts w:ascii="Times New Roman" w:eastAsia="Times New Roman"/>
                <w:b/>
                <w:sz w:val="21"/>
              </w:rPr>
              <w:t>3</w:t>
            </w:r>
            <w:r>
              <w:rPr>
                <w:b/>
                <w:sz w:val="21"/>
              </w:rPr>
              <w:t>）因恶性肿瘤进行的肝切除手术；</w:t>
            </w:r>
          </w:p>
          <w:p>
            <w:pPr>
              <w:pStyle w:val="TableParagraph"/>
              <w:spacing w:line="271" w:lineRule="exact" w:before="21"/>
              <w:ind w:left="139"/>
              <w:rPr>
                <w:b/>
                <w:sz w:val="21"/>
              </w:rPr>
            </w:pPr>
            <w:r>
              <w:rPr>
                <w:b/>
                <w:sz w:val="21"/>
              </w:rPr>
              <w:t>（</w:t>
            </w:r>
            <w:r>
              <w:rPr>
                <w:rFonts w:ascii="Times New Roman" w:eastAsia="Times New Roman"/>
                <w:b/>
                <w:sz w:val="21"/>
              </w:rPr>
              <w:t>4</w:t>
            </w:r>
            <w:r>
              <w:rPr>
                <w:b/>
                <w:sz w:val="21"/>
              </w:rPr>
              <w:t>）作为器官捐献者而实施的肝切除手术。</w:t>
            </w:r>
          </w:p>
        </w:tc>
      </w:tr>
    </w:tbl>
    <w:p>
      <w:pPr>
        <w:spacing w:after="0" w:line="271" w:lineRule="exact"/>
        <w:rPr>
          <w:sz w:val="21"/>
        </w:rPr>
        <w:sectPr>
          <w:pgSz w:w="11910" w:h="16160"/>
          <w:pgMar w:header="0" w:footer="993" w:top="1420" w:bottom="118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059"/>
        <w:gridCol w:w="5612"/>
      </w:tblGrid>
      <w:tr>
        <w:trPr>
          <w:trHeight w:val="1484" w:hRule="atLeast"/>
        </w:trPr>
        <w:tc>
          <w:tcPr>
            <w:tcW w:w="474" w:type="dxa"/>
          </w:tcPr>
          <w:p>
            <w:pPr>
              <w:pStyle w:val="TableParagraph"/>
              <w:spacing w:line="234" w:lineRule="exact"/>
              <w:ind w:left="200"/>
              <w:rPr>
                <w:rFonts w:ascii="Times New Roman"/>
                <w:sz w:val="21"/>
              </w:rPr>
            </w:pPr>
            <w:r>
              <w:rPr>
                <w:rFonts w:ascii="Times New Roman"/>
                <w:sz w:val="21"/>
              </w:rPr>
              <w:t>20.</w:t>
            </w:r>
          </w:p>
        </w:tc>
        <w:tc>
          <w:tcPr>
            <w:tcW w:w="2059" w:type="dxa"/>
          </w:tcPr>
          <w:p>
            <w:pPr>
              <w:pStyle w:val="TableParagraph"/>
              <w:spacing w:line="220" w:lineRule="exact"/>
              <w:ind w:left="9"/>
              <w:rPr>
                <w:sz w:val="21"/>
              </w:rPr>
            </w:pPr>
            <w:r>
              <w:rPr>
                <w:sz w:val="21"/>
              </w:rPr>
              <w:t>单侧肾脏切除</w:t>
            </w:r>
          </w:p>
        </w:tc>
        <w:tc>
          <w:tcPr>
            <w:tcW w:w="5612" w:type="dxa"/>
          </w:tcPr>
          <w:p>
            <w:pPr>
              <w:pStyle w:val="TableParagraph"/>
              <w:spacing w:line="220" w:lineRule="exact"/>
              <w:ind w:left="785"/>
              <w:rPr>
                <w:sz w:val="21"/>
              </w:rPr>
            </w:pPr>
            <w:r>
              <w:rPr>
                <w:sz w:val="21"/>
              </w:rPr>
              <w:t>指因疾病或意外伤害实际实施的一侧肾脏切除术。</w:t>
            </w:r>
          </w:p>
          <w:p>
            <w:pPr>
              <w:pStyle w:val="TableParagraph"/>
              <w:spacing w:before="37"/>
              <w:ind w:left="785"/>
              <w:rPr>
                <w:b/>
                <w:sz w:val="21"/>
              </w:rPr>
            </w:pPr>
            <w:r>
              <w:rPr>
                <w:b/>
                <w:sz w:val="21"/>
              </w:rPr>
              <w:t>下列情况不在保障范围内：</w:t>
            </w:r>
          </w:p>
          <w:p>
            <w:pPr>
              <w:pStyle w:val="TableParagraph"/>
              <w:spacing w:before="36"/>
              <w:ind w:left="785"/>
              <w:rPr>
                <w:b/>
                <w:sz w:val="21"/>
              </w:rPr>
            </w:pPr>
            <w:r>
              <w:rPr>
                <w:b/>
                <w:sz w:val="21"/>
              </w:rPr>
              <w:t>（</w:t>
            </w:r>
            <w:r>
              <w:rPr>
                <w:rFonts w:ascii="Times New Roman" w:eastAsia="Times New Roman"/>
                <w:b/>
                <w:sz w:val="21"/>
              </w:rPr>
              <w:t>1</w:t>
            </w:r>
            <w:r>
              <w:rPr>
                <w:b/>
                <w:sz w:val="21"/>
              </w:rPr>
              <w:t>）肾脏部分切除手术；</w:t>
            </w:r>
          </w:p>
          <w:p>
            <w:pPr>
              <w:pStyle w:val="TableParagraph"/>
              <w:spacing w:before="20"/>
              <w:ind w:left="785"/>
              <w:rPr>
                <w:b/>
                <w:sz w:val="21"/>
              </w:rPr>
            </w:pPr>
            <w:r>
              <w:rPr>
                <w:b/>
                <w:sz w:val="21"/>
              </w:rPr>
              <w:t>（</w:t>
            </w:r>
            <w:r>
              <w:rPr>
                <w:rFonts w:ascii="Times New Roman" w:eastAsia="Times New Roman"/>
                <w:b/>
                <w:sz w:val="21"/>
              </w:rPr>
              <w:t>2</w:t>
            </w:r>
            <w:r>
              <w:rPr>
                <w:b/>
                <w:sz w:val="21"/>
              </w:rPr>
              <w:t>）因恶性肿瘤进行的肾切除手术；</w:t>
            </w:r>
          </w:p>
          <w:p>
            <w:pPr>
              <w:pStyle w:val="TableParagraph"/>
              <w:spacing w:line="271" w:lineRule="exact" w:before="20"/>
              <w:ind w:left="785"/>
              <w:rPr>
                <w:b/>
                <w:sz w:val="21"/>
              </w:rPr>
            </w:pPr>
            <w:r>
              <w:rPr>
                <w:b/>
                <w:sz w:val="21"/>
              </w:rPr>
              <w:t>（</w:t>
            </w:r>
            <w:r>
              <w:rPr>
                <w:rFonts w:ascii="Times New Roman" w:eastAsia="Times New Roman"/>
                <w:b/>
                <w:sz w:val="21"/>
              </w:rPr>
              <w:t>3</w:t>
            </w:r>
            <w:r>
              <w:rPr>
                <w:b/>
                <w:sz w:val="21"/>
              </w:rPr>
              <w:t>）作为器官捐献者而实施的肾切除手术。</w:t>
            </w:r>
          </w:p>
        </w:tc>
      </w:tr>
    </w:tbl>
    <w:p>
      <w:pPr>
        <w:pStyle w:val="BodyText"/>
        <w:spacing w:before="11"/>
        <w:rPr>
          <w:rFonts w:ascii="楷体"/>
          <w:sz w:val="22"/>
        </w:rPr>
      </w:pPr>
    </w:p>
    <w:p>
      <w:pPr>
        <w:pStyle w:val="Heading2"/>
        <w:tabs>
          <w:tab w:pos="1577" w:val="left" w:leader="none"/>
        </w:tabs>
        <w:spacing w:before="36"/>
        <w:ind w:left="317"/>
      </w:pPr>
      <w:bookmarkStart w:name="_bookmark31" w:id="32"/>
      <w:bookmarkEnd w:id="32"/>
      <w:r>
        <w:rPr>
          <w:b w:val="0"/>
        </w:rPr>
      </w:r>
      <w:r>
        <w:rPr/>
        <w:t>第二十六条</w:t>
        <w:tab/>
        <w:t>重大疾病的种类及</w:t>
      </w:r>
      <w:r>
        <w:rPr>
          <w:spacing w:val="-3"/>
        </w:rPr>
        <w:t>定</w:t>
      </w:r>
      <w:r>
        <w:rPr/>
        <w:t>义</w:t>
      </w:r>
    </w:p>
    <w:p>
      <w:pPr>
        <w:pStyle w:val="BodyText"/>
        <w:spacing w:line="273" w:lineRule="auto" w:before="37"/>
        <w:ind w:left="317" w:right="479" w:firstLine="420"/>
      </w:pPr>
      <w:r>
        <w:rPr/>
        <w:t>本合同所保障的重大疾病，是指被保险人经专科医生明确诊断初次发生下列疾病或初次达到下列疾病状态或在医院初次接受下列手术。</w:t>
      </w:r>
    </w:p>
    <w:p>
      <w:pPr>
        <w:pStyle w:val="BodyText"/>
        <w:spacing w:line="256" w:lineRule="auto" w:before="8"/>
        <w:ind w:left="317" w:right="472" w:firstLine="420"/>
      </w:pPr>
      <w:r>
        <w:rPr>
          <w:spacing w:val="-7"/>
        </w:rPr>
        <w:t>本合同所保障的重大疾病共 </w:t>
      </w:r>
      <w:r>
        <w:rPr>
          <w:rFonts w:ascii="Times New Roman" w:eastAsia="Times New Roman"/>
        </w:rPr>
        <w:t>80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3"/>
        </w:rPr>
        <w:t>用规范》中列明的重大疾病，该规范由中国保险行业协会制定，其他为我们增加的重大疾病。</w:t>
      </w:r>
    </w:p>
    <w:p>
      <w:pPr>
        <w:pStyle w:val="BodyText"/>
        <w:spacing w:before="12"/>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gridCol w:w="2223"/>
        <w:gridCol w:w="7816"/>
      </w:tblGrid>
      <w:tr>
        <w:trPr>
          <w:trHeight w:val="3706" w:hRule="atLeast"/>
        </w:trPr>
        <w:tc>
          <w:tcPr>
            <w:tcW w:w="444" w:type="dxa"/>
          </w:tcPr>
          <w:p>
            <w:pPr>
              <w:pStyle w:val="TableParagraph"/>
              <w:spacing w:line="234" w:lineRule="exact"/>
              <w:ind w:right="66"/>
              <w:jc w:val="center"/>
              <w:rPr>
                <w:rFonts w:ascii="Times New Roman"/>
                <w:sz w:val="21"/>
              </w:rPr>
            </w:pPr>
            <w:r>
              <w:rPr>
                <w:rFonts w:ascii="Times New Roman"/>
                <w:sz w:val="21"/>
              </w:rPr>
              <w:t>1.</w:t>
            </w:r>
          </w:p>
        </w:tc>
        <w:tc>
          <w:tcPr>
            <w:tcW w:w="2223" w:type="dxa"/>
          </w:tcPr>
          <w:p>
            <w:pPr>
              <w:pStyle w:val="TableParagraph"/>
              <w:spacing w:line="220" w:lineRule="exact"/>
              <w:ind w:left="85"/>
              <w:rPr>
                <w:sz w:val="21"/>
              </w:rPr>
            </w:pPr>
            <w:r>
              <w:rPr>
                <w:sz w:val="21"/>
              </w:rPr>
              <w:t>恶性肿瘤</w:t>
            </w:r>
          </w:p>
        </w:tc>
        <w:tc>
          <w:tcPr>
            <w:tcW w:w="7816" w:type="dxa"/>
          </w:tcPr>
          <w:p>
            <w:pPr>
              <w:pStyle w:val="TableParagraph"/>
              <w:spacing w:line="220" w:lineRule="exact"/>
              <w:ind w:left="874"/>
              <w:rPr>
                <w:sz w:val="21"/>
              </w:rPr>
            </w:pPr>
            <w:r>
              <w:rPr>
                <w:sz w:val="21"/>
              </w:rPr>
              <w:t>指恶性细胞不受控制的进行性增长和扩散，浸润和破坏周围正常组织，可</w:t>
            </w:r>
          </w:p>
          <w:p>
            <w:pPr>
              <w:pStyle w:val="TableParagraph"/>
              <w:spacing w:line="273" w:lineRule="auto" w:before="37"/>
              <w:ind w:left="874" w:right="203"/>
              <w:jc w:val="both"/>
              <w:rPr>
                <w:sz w:val="21"/>
              </w:rPr>
            </w:pPr>
            <w:r>
              <w:rPr>
                <w:sz w:val="21"/>
              </w:rPr>
              <w:t>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874"/>
              <w:jc w:val="both"/>
              <w:rPr>
                <w:b/>
                <w:sz w:val="21"/>
              </w:rPr>
            </w:pPr>
            <w:r>
              <w:rPr>
                <w:b/>
                <w:sz w:val="21"/>
              </w:rPr>
              <w:t>下列疾病不在保障范围内：</w:t>
            </w:r>
          </w:p>
          <w:p>
            <w:pPr>
              <w:pStyle w:val="TableParagraph"/>
              <w:spacing w:before="37"/>
              <w:ind w:left="874"/>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874"/>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874"/>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874"/>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874" w:right="201"/>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10"/>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（注：如果为女性重</w:t>
            </w:r>
            <w:r>
              <w:rPr>
                <w:b/>
                <w:spacing w:val="-2"/>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2"/>
              <w:ind w:left="874"/>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5" w:hRule="atLeast"/>
        </w:trPr>
        <w:tc>
          <w:tcPr>
            <w:tcW w:w="444" w:type="dxa"/>
          </w:tcPr>
          <w:p>
            <w:pPr>
              <w:pStyle w:val="TableParagraph"/>
              <w:spacing w:before="30"/>
              <w:ind w:right="66"/>
              <w:jc w:val="center"/>
              <w:rPr>
                <w:rFonts w:ascii="Times New Roman"/>
                <w:sz w:val="21"/>
              </w:rPr>
            </w:pPr>
            <w:r>
              <w:rPr>
                <w:rFonts w:ascii="Times New Roman"/>
                <w:sz w:val="21"/>
              </w:rPr>
              <w:t>2.</w:t>
            </w:r>
          </w:p>
        </w:tc>
        <w:tc>
          <w:tcPr>
            <w:tcW w:w="2223" w:type="dxa"/>
          </w:tcPr>
          <w:p>
            <w:pPr>
              <w:pStyle w:val="TableParagraph"/>
              <w:spacing w:line="258" w:lineRule="exact"/>
              <w:ind w:left="85"/>
              <w:rPr>
                <w:sz w:val="21"/>
              </w:rPr>
            </w:pPr>
            <w:r>
              <w:rPr>
                <w:sz w:val="21"/>
              </w:rPr>
              <w:t>急性心肌梗塞</w:t>
            </w:r>
          </w:p>
        </w:tc>
        <w:tc>
          <w:tcPr>
            <w:tcW w:w="7816" w:type="dxa"/>
          </w:tcPr>
          <w:p>
            <w:pPr>
              <w:pStyle w:val="TableParagraph"/>
              <w:spacing w:line="258" w:lineRule="exact"/>
              <w:ind w:left="874"/>
              <w:rPr>
                <w:sz w:val="21"/>
              </w:rPr>
            </w:pPr>
            <w:r>
              <w:rPr>
                <w:sz w:val="21"/>
              </w:rPr>
              <w:t>指因冠状动脉阻塞导致的相应区域供血不足造成部分心肌坏死。须满足下</w:t>
            </w:r>
          </w:p>
          <w:p>
            <w:pPr>
              <w:pStyle w:val="TableParagraph"/>
              <w:spacing w:before="37"/>
              <w:ind w:left="874"/>
              <w:rPr>
                <w:sz w:val="21"/>
              </w:rPr>
            </w:pPr>
            <w:r>
              <w:rPr>
                <w:sz w:val="21"/>
              </w:rPr>
              <w:t>列至少三项条件：</w:t>
            </w:r>
          </w:p>
          <w:p>
            <w:pPr>
              <w:pStyle w:val="TableParagraph"/>
              <w:spacing w:before="37"/>
              <w:ind w:left="874"/>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874"/>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874" w:right="203"/>
              <w:rPr>
                <w:sz w:val="21"/>
              </w:rPr>
            </w:pPr>
            <w:r>
              <w:rPr>
                <w:spacing w:val="-17"/>
                <w:sz w:val="21"/>
              </w:rPr>
              <w:t>（</w:t>
            </w:r>
            <w:r>
              <w:rPr>
                <w:rFonts w:ascii="Times New Roman" w:eastAsia="Times New Roman"/>
                <w:spacing w:val="-17"/>
                <w:sz w:val="21"/>
              </w:rPr>
              <w:t>3</w:t>
            </w:r>
            <w:r>
              <w:rPr>
                <w:spacing w:val="-17"/>
                <w:sz w:val="21"/>
              </w:rPr>
              <w:t>）</w:t>
            </w:r>
            <w:r>
              <w:rPr>
                <w:spacing w:val="-6"/>
                <w:sz w:val="21"/>
              </w:rPr>
              <w:t>心肌酶或肌钙蛋白有诊断意义的升高，或呈符合急性心肌梗塞的动态</w:t>
            </w:r>
            <w:r>
              <w:rPr>
                <w:spacing w:val="-4"/>
                <w:sz w:val="21"/>
              </w:rPr>
              <w:t>性变化；</w:t>
            </w:r>
          </w:p>
          <w:p>
            <w:pPr>
              <w:pStyle w:val="TableParagraph"/>
              <w:spacing w:before="22"/>
              <w:ind w:left="874"/>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874"/>
              <w:rPr>
                <w:sz w:val="21"/>
              </w:rPr>
            </w:pPr>
            <w:r>
              <w:rPr>
                <w:rFonts w:ascii="Times New Roman" w:eastAsia="Times New Roman"/>
                <w:sz w:val="21"/>
              </w:rPr>
              <w:t>50%</w:t>
            </w:r>
            <w:r>
              <w:rPr>
                <w:sz w:val="21"/>
              </w:rPr>
              <w:t>。</w:t>
            </w:r>
          </w:p>
        </w:tc>
      </w:tr>
      <w:tr>
        <w:trPr>
          <w:trHeight w:val="1834" w:hRule="atLeast"/>
        </w:trPr>
        <w:tc>
          <w:tcPr>
            <w:tcW w:w="444" w:type="dxa"/>
          </w:tcPr>
          <w:p>
            <w:pPr>
              <w:pStyle w:val="TableParagraph"/>
              <w:spacing w:before="30"/>
              <w:ind w:right="66"/>
              <w:jc w:val="center"/>
              <w:rPr>
                <w:rFonts w:ascii="Times New Roman"/>
                <w:sz w:val="21"/>
              </w:rPr>
            </w:pPr>
            <w:r>
              <w:rPr>
                <w:rFonts w:ascii="Times New Roman"/>
                <w:sz w:val="21"/>
              </w:rPr>
              <w:t>3.</w:t>
            </w:r>
          </w:p>
        </w:tc>
        <w:tc>
          <w:tcPr>
            <w:tcW w:w="2223" w:type="dxa"/>
          </w:tcPr>
          <w:p>
            <w:pPr>
              <w:pStyle w:val="TableParagraph"/>
              <w:spacing w:line="258" w:lineRule="exact"/>
              <w:ind w:left="85"/>
              <w:rPr>
                <w:sz w:val="21"/>
              </w:rPr>
            </w:pPr>
            <w:r>
              <w:rPr>
                <w:sz w:val="21"/>
              </w:rPr>
              <w:t>脑中风后遗症</w:t>
            </w:r>
          </w:p>
        </w:tc>
        <w:tc>
          <w:tcPr>
            <w:tcW w:w="7816" w:type="dxa"/>
          </w:tcPr>
          <w:p>
            <w:pPr>
              <w:pStyle w:val="TableParagraph"/>
              <w:spacing w:line="258" w:lineRule="exact"/>
              <w:ind w:left="874"/>
              <w:rPr>
                <w:sz w:val="21"/>
              </w:rPr>
            </w:pPr>
            <w:r>
              <w:rPr>
                <w:sz w:val="21"/>
              </w:rPr>
              <w:t>指因脑血管的突发病变引起脑血管出血、栓塞或梗塞，并导致神经系统永</w:t>
            </w:r>
          </w:p>
          <w:p>
            <w:pPr>
              <w:pStyle w:val="TableParagraph"/>
              <w:spacing w:line="259" w:lineRule="auto" w:before="37"/>
              <w:ind w:left="874" w:right="144"/>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0"/>
              <w:ind w:left="874"/>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before="21"/>
              <w:ind w:left="874"/>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line="271" w:lineRule="exact" w:before="21"/>
              <w:ind w:left="874"/>
              <w:rPr>
                <w:sz w:val="21"/>
              </w:rPr>
            </w:pPr>
            <w:r>
              <w:rPr>
                <w:sz w:val="21"/>
              </w:rPr>
              <w:t>（</w:t>
            </w:r>
            <w:r>
              <w:rPr>
                <w:rFonts w:ascii="Times New Roman" w:eastAsia="Times New Roman"/>
                <w:sz w:val="21"/>
              </w:rPr>
              <w:t>3</w:t>
            </w:r>
            <w:r>
              <w:rPr>
                <w:sz w:val="21"/>
              </w:rPr>
              <w:t>）自主生活能力完全丧失， 无法独立完成六项基本日常生活活动中的</w:t>
            </w:r>
          </w:p>
        </w:tc>
      </w:tr>
    </w:tbl>
    <w:p>
      <w:pPr>
        <w:pStyle w:val="BodyText"/>
        <w:spacing w:before="2"/>
        <w:rPr>
          <w:sz w:val="13"/>
        </w:rPr>
      </w:pPr>
      <w:r>
        <w:rPr/>
        <w:pict>
          <v:line style="position:absolute;mso-position-horizontal-relative:page;mso-position-vertical-relative:paragraph;z-index:1264;mso-wrap-distance-left:0;mso-wrap-distance-right:0" from="53.880001pt,10.815153pt" to="197.930001pt,10.815153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47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993" w:top="1420" w:bottom="11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864"/>
        <w:gridCol w:w="7120"/>
      </w:tblGrid>
      <w:tr>
        <w:trPr>
          <w:trHeight w:val="266" w:hRule="atLeast"/>
        </w:trPr>
        <w:tc>
          <w:tcPr>
            <w:tcW w:w="497" w:type="dxa"/>
          </w:tcPr>
          <w:p>
            <w:pPr>
              <w:pStyle w:val="TableParagraph"/>
              <w:ind w:left="0"/>
              <w:rPr>
                <w:rFonts w:ascii="Times New Roman"/>
                <w:sz w:val="18"/>
              </w:rPr>
            </w:pPr>
          </w:p>
        </w:tc>
        <w:tc>
          <w:tcPr>
            <w:tcW w:w="2864" w:type="dxa"/>
          </w:tcPr>
          <w:p>
            <w:pPr>
              <w:pStyle w:val="TableParagraph"/>
              <w:ind w:left="0"/>
              <w:rPr>
                <w:rFonts w:ascii="Times New Roman"/>
                <w:sz w:val="18"/>
              </w:rPr>
            </w:pPr>
          </w:p>
        </w:tc>
        <w:tc>
          <w:tcPr>
            <w:tcW w:w="7120" w:type="dxa"/>
          </w:tcPr>
          <w:p>
            <w:pPr>
              <w:pStyle w:val="TableParagraph"/>
              <w:spacing w:line="202" w:lineRule="exact"/>
              <w:rPr>
                <w:sz w:val="21"/>
              </w:rPr>
            </w:pPr>
            <w:r>
              <w:rPr>
                <w:sz w:val="21"/>
              </w:rPr>
              <w:t>三项或三项以上。</w:t>
            </w:r>
          </w:p>
        </w:tc>
      </w:tr>
      <w:tr>
        <w:trPr>
          <w:trHeight w:val="1569" w:hRule="atLeast"/>
        </w:trPr>
        <w:tc>
          <w:tcPr>
            <w:tcW w:w="497" w:type="dxa"/>
          </w:tcPr>
          <w:p>
            <w:pPr>
              <w:pStyle w:val="TableParagraph"/>
              <w:spacing w:before="39"/>
              <w:ind w:left="200"/>
              <w:rPr>
                <w:rFonts w:ascii="Times New Roman"/>
                <w:sz w:val="21"/>
              </w:rPr>
            </w:pPr>
            <w:r>
              <w:rPr>
                <w:rFonts w:ascii="Times New Roman"/>
                <w:sz w:val="21"/>
              </w:rPr>
              <w:t>4.</w:t>
            </w:r>
          </w:p>
        </w:tc>
        <w:tc>
          <w:tcPr>
            <w:tcW w:w="2864" w:type="dxa"/>
          </w:tcPr>
          <w:p>
            <w:pPr>
              <w:pStyle w:val="TableParagraph"/>
              <w:spacing w:line="273" w:lineRule="auto"/>
              <w:ind w:left="32" w:right="182"/>
              <w:rPr>
                <w:sz w:val="21"/>
              </w:rPr>
            </w:pPr>
            <w:r>
              <w:rPr>
                <w:sz w:val="21"/>
              </w:rPr>
              <w:t>重大器官移植术或造血干细胞移植术</w:t>
            </w:r>
          </w:p>
        </w:tc>
        <w:tc>
          <w:tcPr>
            <w:tcW w:w="7120" w:type="dxa"/>
          </w:tcPr>
          <w:p>
            <w:pPr>
              <w:pStyle w:val="TableParagraph"/>
              <w:spacing w:line="273" w:lineRule="auto"/>
              <w:ind w:right="202"/>
              <w:rPr>
                <w:sz w:val="21"/>
              </w:rPr>
            </w:pPr>
            <w:r>
              <w:rPr>
                <w:sz w:val="21"/>
              </w:rPr>
              <w:t>重大器官移植术，指因相应器官功能衰竭，已经实施了肾脏、肝脏、心脏或肺脏的异体移植手术。</w:t>
            </w:r>
          </w:p>
          <w:p>
            <w:pPr>
              <w:pStyle w:val="TableParagraph"/>
              <w:spacing w:line="273" w:lineRule="auto" w:before="15"/>
              <w:ind w:right="202"/>
              <w:rPr>
                <w:sz w:val="21"/>
              </w:rPr>
            </w:pPr>
            <w:r>
              <w:rPr>
                <w:spacing w:val="-3"/>
                <w:sz w:val="21"/>
              </w:rPr>
              <w:t>造血干细胞移植术，指因造血功能损害或造血系统恶性肿瘤，已经实施了</w:t>
            </w:r>
            <w:r>
              <w:rPr>
                <w:spacing w:val="-12"/>
                <w:sz w:val="21"/>
              </w:rPr>
              <w:t>造血干细胞</w:t>
            </w:r>
            <w:r>
              <w:rPr>
                <w:spacing w:val="-3"/>
                <w:sz w:val="21"/>
              </w:rPr>
              <w:t>（</w:t>
            </w:r>
            <w:r>
              <w:rPr>
                <w:spacing w:val="-8"/>
                <w:sz w:val="21"/>
              </w:rPr>
              <w:t>包括骨髓造血干细胞、外周血造血干细胞和脐血造血干细胞</w:t>
            </w:r>
            <w:r>
              <w:rPr>
                <w:spacing w:val="-5"/>
                <w:sz w:val="21"/>
              </w:rPr>
              <w:t>的异体移植手术。</w:t>
            </w:r>
          </w:p>
        </w:tc>
      </w:tr>
      <w:tr>
        <w:trPr>
          <w:trHeight w:val="1248" w:hRule="atLeast"/>
        </w:trPr>
        <w:tc>
          <w:tcPr>
            <w:tcW w:w="497" w:type="dxa"/>
          </w:tcPr>
          <w:p>
            <w:pPr>
              <w:pStyle w:val="TableParagraph"/>
              <w:spacing w:before="29"/>
              <w:ind w:left="200"/>
              <w:rPr>
                <w:rFonts w:ascii="Times New Roman"/>
                <w:sz w:val="21"/>
              </w:rPr>
            </w:pPr>
            <w:r>
              <w:rPr>
                <w:rFonts w:ascii="Times New Roman"/>
                <w:sz w:val="21"/>
              </w:rPr>
              <w:t>5.</w:t>
            </w:r>
          </w:p>
        </w:tc>
        <w:tc>
          <w:tcPr>
            <w:tcW w:w="2864" w:type="dxa"/>
          </w:tcPr>
          <w:p>
            <w:pPr>
              <w:pStyle w:val="TableParagraph"/>
              <w:spacing w:line="257" w:lineRule="exact"/>
              <w:ind w:left="32"/>
              <w:rPr>
                <w:sz w:val="21"/>
              </w:rPr>
            </w:pPr>
            <w:r>
              <w:rPr>
                <w:sz w:val="21"/>
              </w:rPr>
              <w:t>冠状动脉搭桥术（或称冠状动</w:t>
            </w:r>
          </w:p>
          <w:p>
            <w:pPr>
              <w:pStyle w:val="TableParagraph"/>
              <w:spacing w:before="37"/>
              <w:ind w:left="32"/>
              <w:rPr>
                <w:sz w:val="21"/>
              </w:rPr>
            </w:pPr>
            <w:r>
              <w:rPr>
                <w:sz w:val="21"/>
              </w:rPr>
              <w:t>脉旁路移植术）</w:t>
            </w:r>
          </w:p>
        </w:tc>
        <w:tc>
          <w:tcPr>
            <w:tcW w:w="7120" w:type="dxa"/>
          </w:tcPr>
          <w:p>
            <w:pPr>
              <w:pStyle w:val="TableParagraph"/>
              <w:spacing w:line="257" w:lineRule="exact"/>
              <w:rPr>
                <w:sz w:val="21"/>
              </w:rPr>
            </w:pPr>
            <w:r>
              <w:rPr>
                <w:sz w:val="21"/>
              </w:rPr>
              <w:t>指为治疗严重的冠心病，实际实施了开胸进行的冠状动脉血管旁路移植的</w:t>
            </w:r>
          </w:p>
          <w:p>
            <w:pPr>
              <w:pStyle w:val="TableParagraph"/>
              <w:spacing w:before="37"/>
              <w:rPr>
                <w:sz w:val="21"/>
              </w:rPr>
            </w:pPr>
            <w:r>
              <w:rPr>
                <w:sz w:val="21"/>
              </w:rPr>
              <w:t>手术。</w:t>
            </w:r>
          </w:p>
          <w:p>
            <w:pPr>
              <w:pStyle w:val="TableParagraph"/>
              <w:spacing w:line="273" w:lineRule="auto" w:before="37"/>
              <w:ind w:right="158"/>
              <w:rPr>
                <w:b/>
                <w:sz w:val="21"/>
              </w:rPr>
            </w:pPr>
            <w:r>
              <w:rPr>
                <w:b/>
                <w:sz w:val="21"/>
              </w:rPr>
              <w:t>冠状动脉支架植入术、心导管球囊扩张术、激光射频技术及其他非开胸的介入手术、腔镜手术不在保障范围内。</w:t>
            </w:r>
          </w:p>
        </w:tc>
      </w:tr>
      <w:tr>
        <w:trPr>
          <w:trHeight w:val="632" w:hRule="atLeast"/>
        </w:trPr>
        <w:tc>
          <w:tcPr>
            <w:tcW w:w="497" w:type="dxa"/>
          </w:tcPr>
          <w:p>
            <w:pPr>
              <w:pStyle w:val="TableParagraph"/>
              <w:spacing w:before="29"/>
              <w:ind w:left="200"/>
              <w:rPr>
                <w:rFonts w:ascii="Times New Roman"/>
                <w:sz w:val="21"/>
              </w:rPr>
            </w:pPr>
            <w:r>
              <w:rPr>
                <w:rFonts w:ascii="Times New Roman"/>
                <w:sz w:val="21"/>
              </w:rPr>
              <w:t>6.</w:t>
            </w:r>
          </w:p>
        </w:tc>
        <w:tc>
          <w:tcPr>
            <w:tcW w:w="2864" w:type="dxa"/>
          </w:tcPr>
          <w:p>
            <w:pPr>
              <w:pStyle w:val="TableParagraph"/>
              <w:spacing w:line="257" w:lineRule="exact"/>
              <w:ind w:left="32"/>
              <w:rPr>
                <w:sz w:val="21"/>
              </w:rPr>
            </w:pPr>
            <w:r>
              <w:rPr>
                <w:sz w:val="21"/>
              </w:rPr>
              <w:t>终末期肾病（或称慢性肾功能</w:t>
            </w:r>
          </w:p>
          <w:p>
            <w:pPr>
              <w:pStyle w:val="TableParagraph"/>
              <w:spacing w:before="37"/>
              <w:ind w:left="32"/>
              <w:rPr>
                <w:sz w:val="21"/>
              </w:rPr>
            </w:pPr>
            <w:r>
              <w:rPr>
                <w:sz w:val="21"/>
              </w:rPr>
              <w:t>衰竭尿毒症期）</w:t>
            </w:r>
          </w:p>
        </w:tc>
        <w:tc>
          <w:tcPr>
            <w:tcW w:w="7120" w:type="dxa"/>
          </w:tcPr>
          <w:p>
            <w:pPr>
              <w:pStyle w:val="TableParagraph"/>
              <w:spacing w:line="257" w:lineRule="exact"/>
              <w:rPr>
                <w:sz w:val="21"/>
              </w:rPr>
            </w:pPr>
            <w:r>
              <w:rPr>
                <w:sz w:val="21"/>
              </w:rPr>
              <w:t>指双肾功能慢性不可逆性衰竭，达到尿毒症期，经诊断后已经进行了至少</w:t>
            </w:r>
          </w:p>
          <w:p>
            <w:pPr>
              <w:pStyle w:val="TableParagraph"/>
              <w:spacing w:before="37"/>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97" w:type="dxa"/>
          </w:tcPr>
          <w:p>
            <w:pPr>
              <w:pStyle w:val="TableParagraph"/>
              <w:spacing w:before="21"/>
              <w:ind w:left="200"/>
              <w:rPr>
                <w:rFonts w:ascii="Times New Roman"/>
                <w:sz w:val="21"/>
              </w:rPr>
            </w:pPr>
            <w:r>
              <w:rPr>
                <w:rFonts w:ascii="Times New Roman"/>
                <w:sz w:val="21"/>
              </w:rPr>
              <w:t>7.</w:t>
            </w:r>
          </w:p>
        </w:tc>
        <w:tc>
          <w:tcPr>
            <w:tcW w:w="2864" w:type="dxa"/>
          </w:tcPr>
          <w:p>
            <w:pPr>
              <w:pStyle w:val="TableParagraph"/>
              <w:spacing w:line="249" w:lineRule="exact"/>
              <w:ind w:left="32"/>
              <w:rPr>
                <w:sz w:val="21"/>
              </w:rPr>
            </w:pPr>
            <w:r>
              <w:rPr>
                <w:sz w:val="21"/>
              </w:rPr>
              <w:t>多个肢体缺失</w:t>
            </w:r>
          </w:p>
        </w:tc>
        <w:tc>
          <w:tcPr>
            <w:tcW w:w="7120" w:type="dxa"/>
          </w:tcPr>
          <w:p>
            <w:pPr>
              <w:pStyle w:val="TableParagraph"/>
              <w:spacing w:line="249" w:lineRule="exact"/>
              <w:rPr>
                <w:sz w:val="21"/>
              </w:rPr>
            </w:pPr>
            <w:r>
              <w:rPr>
                <w:sz w:val="21"/>
              </w:rPr>
              <w:t>指因疾病或意外伤害导致两个或两个以上肢体自腕关节或踝关节近端（靠</w:t>
            </w:r>
          </w:p>
          <w:p>
            <w:pPr>
              <w:pStyle w:val="TableParagraph"/>
              <w:spacing w:before="37"/>
              <w:rPr>
                <w:sz w:val="21"/>
              </w:rPr>
            </w:pPr>
            <w:r>
              <w:rPr>
                <w:sz w:val="21"/>
              </w:rPr>
              <w:t>近躯干端）以上完全性断离。</w:t>
            </w:r>
          </w:p>
        </w:tc>
      </w:tr>
      <w:tr>
        <w:trPr>
          <w:trHeight w:val="1879" w:hRule="atLeast"/>
        </w:trPr>
        <w:tc>
          <w:tcPr>
            <w:tcW w:w="497" w:type="dxa"/>
          </w:tcPr>
          <w:p>
            <w:pPr>
              <w:pStyle w:val="TableParagraph"/>
              <w:spacing w:before="29"/>
              <w:ind w:left="200"/>
              <w:rPr>
                <w:rFonts w:ascii="Times New Roman"/>
                <w:sz w:val="21"/>
              </w:rPr>
            </w:pPr>
            <w:r>
              <w:rPr>
                <w:rFonts w:ascii="Times New Roman"/>
                <w:sz w:val="21"/>
              </w:rPr>
              <w:t>8.</w:t>
            </w:r>
          </w:p>
        </w:tc>
        <w:tc>
          <w:tcPr>
            <w:tcW w:w="2864" w:type="dxa"/>
          </w:tcPr>
          <w:p>
            <w:pPr>
              <w:pStyle w:val="TableParagraph"/>
              <w:spacing w:line="257" w:lineRule="exact"/>
              <w:ind w:left="32"/>
              <w:rPr>
                <w:sz w:val="21"/>
              </w:rPr>
            </w:pPr>
            <w:r>
              <w:rPr>
                <w:sz w:val="21"/>
              </w:rPr>
              <w:t>急性或亚急性重症肝炎</w:t>
            </w:r>
          </w:p>
        </w:tc>
        <w:tc>
          <w:tcPr>
            <w:tcW w:w="7120" w:type="dxa"/>
          </w:tcPr>
          <w:p>
            <w:pPr>
              <w:pStyle w:val="TableParagraph"/>
              <w:spacing w:line="257" w:lineRule="exact"/>
              <w:rPr>
                <w:sz w:val="21"/>
              </w:rPr>
            </w:pPr>
            <w:r>
              <w:rPr>
                <w:sz w:val="21"/>
              </w:rPr>
              <w:t>指因肝炎病毒感染引起肝脏组织弥漫性坏死，导致急性肝功能衰竭，且经</w:t>
            </w:r>
          </w:p>
          <w:p>
            <w:pPr>
              <w:pStyle w:val="TableParagraph"/>
              <w:spacing w:before="37"/>
              <w:rPr>
                <w:sz w:val="21"/>
              </w:rPr>
            </w:pPr>
            <w:r>
              <w:rPr>
                <w:sz w:val="21"/>
              </w:rPr>
              <w:t>血清学或病毒学检查证实，并须满足下列全部条件：</w:t>
            </w:r>
          </w:p>
          <w:p>
            <w:pPr>
              <w:pStyle w:val="TableParagraph"/>
              <w:spacing w:before="37"/>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97" w:type="dxa"/>
          </w:tcPr>
          <w:p>
            <w:pPr>
              <w:pStyle w:val="TableParagraph"/>
              <w:spacing w:before="21"/>
              <w:ind w:left="200"/>
              <w:rPr>
                <w:rFonts w:ascii="Times New Roman"/>
                <w:sz w:val="21"/>
              </w:rPr>
            </w:pPr>
            <w:r>
              <w:rPr>
                <w:rFonts w:ascii="Times New Roman"/>
                <w:sz w:val="21"/>
              </w:rPr>
              <w:t>9.</w:t>
            </w:r>
          </w:p>
        </w:tc>
        <w:tc>
          <w:tcPr>
            <w:tcW w:w="2864" w:type="dxa"/>
          </w:tcPr>
          <w:p>
            <w:pPr>
              <w:pStyle w:val="TableParagraph"/>
              <w:spacing w:line="249" w:lineRule="exact"/>
              <w:ind w:left="32"/>
              <w:rPr>
                <w:sz w:val="21"/>
              </w:rPr>
            </w:pPr>
            <w:r>
              <w:rPr>
                <w:sz w:val="21"/>
              </w:rPr>
              <w:t>良性脑肿瘤</w:t>
            </w:r>
          </w:p>
        </w:tc>
        <w:tc>
          <w:tcPr>
            <w:tcW w:w="7120" w:type="dxa"/>
          </w:tcPr>
          <w:p>
            <w:pPr>
              <w:pStyle w:val="TableParagraph"/>
              <w:spacing w:line="249" w:lineRule="exact"/>
              <w:rPr>
                <w:sz w:val="21"/>
              </w:rPr>
            </w:pPr>
            <w:r>
              <w:rPr>
                <w:sz w:val="21"/>
              </w:rPr>
              <w:t>指脑的良性肿瘤，已经引起颅内压增高，临床表现为视神经乳头水肿、精</w:t>
            </w:r>
          </w:p>
          <w:p>
            <w:pPr>
              <w:pStyle w:val="TableParagraph"/>
              <w:spacing w:before="37"/>
              <w:rPr>
                <w:sz w:val="21"/>
              </w:rPr>
            </w:pPr>
            <w:r>
              <w:rPr>
                <w:sz w:val="21"/>
              </w:rPr>
              <w:t>神症状、癫痫及运动感觉障碍等，并危及生命。须由头颅 </w:t>
            </w:r>
            <w:r>
              <w:rPr>
                <w:rFonts w:ascii="Times New Roman" w:eastAsia="Times New Roman"/>
                <w:sz w:val="21"/>
              </w:rPr>
              <w:t>X  </w:t>
            </w:r>
            <w:r>
              <w:rPr>
                <w:sz w:val="21"/>
              </w:rPr>
              <w:t>线断层扫描</w:t>
            </w:r>
          </w:p>
          <w:p>
            <w:pPr>
              <w:pStyle w:val="TableParagraph"/>
              <w:spacing w:line="256" w:lineRule="auto" w:before="21"/>
              <w:ind w:right="201"/>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7"/>
                <w:w w:val="100"/>
                <w:sz w:val="21"/>
              </w:rPr>
              <w:t>、核磁共振检查</w:t>
            </w:r>
            <w:r>
              <w:rPr>
                <w:spacing w:val="-3"/>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7"/>
                <w:w w:val="100"/>
                <w:sz w:val="21"/>
              </w:rPr>
              <w:t>）</w:t>
            </w:r>
            <w:r>
              <w:rPr>
                <w:spacing w:val="-5"/>
                <w:w w:val="100"/>
                <w:sz w:val="21"/>
              </w:rPr>
              <w:t>或正电子发射断层扫描</w:t>
            </w:r>
            <w:r>
              <w:rPr>
                <w:spacing w:val="-2"/>
                <w:w w:val="100"/>
                <w:sz w:val="21"/>
              </w:rPr>
              <w:t>（</w:t>
            </w:r>
            <w:r>
              <w:rPr>
                <w:rFonts w:ascii="Times New Roman" w:eastAsia="Times New Roman"/>
                <w:w w:val="100"/>
                <w:sz w:val="21"/>
              </w:rPr>
              <w:t>PE</w:t>
            </w:r>
            <w:r>
              <w:rPr>
                <w:rFonts w:ascii="Times New Roman" w:eastAsia="Times New Roman"/>
                <w:w w:val="100"/>
                <w:sz w:val="21"/>
              </w:rPr>
              <w:t>T</w:t>
            </w:r>
            <w:r>
              <w:rPr>
                <w:spacing w:val="-20"/>
                <w:w w:val="100"/>
                <w:sz w:val="21"/>
              </w:rPr>
              <w:t>）</w:t>
            </w:r>
            <w:r>
              <w:rPr>
                <w:spacing w:val="-3"/>
                <w:w w:val="100"/>
                <w:sz w:val="21"/>
              </w:rPr>
              <w:t>等影像学检</w:t>
            </w:r>
            <w:r>
              <w:rPr>
                <w:spacing w:val="-3"/>
                <w:sz w:val="21"/>
              </w:rPr>
              <w:t>查证实，并须满足下列至少一项条件：</w:t>
            </w:r>
          </w:p>
          <w:p>
            <w:pPr>
              <w:pStyle w:val="TableParagraph"/>
              <w:spacing w:before="2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b/>
                <w:sz w:val="21"/>
              </w:rPr>
            </w:pPr>
            <w:r>
              <w:rPr>
                <w:b/>
                <w:sz w:val="21"/>
              </w:rPr>
              <w:t>脑垂体瘤、脑囊肿、脑血管性疾病不在保障范围内。</w:t>
            </w:r>
          </w:p>
        </w:tc>
      </w:tr>
      <w:tr>
        <w:trPr>
          <w:trHeight w:val="1872" w:hRule="atLeast"/>
        </w:trPr>
        <w:tc>
          <w:tcPr>
            <w:tcW w:w="497" w:type="dxa"/>
          </w:tcPr>
          <w:p>
            <w:pPr>
              <w:pStyle w:val="TableParagraph"/>
              <w:spacing w:before="29"/>
              <w:ind w:left="200"/>
              <w:rPr>
                <w:rFonts w:ascii="Times New Roman"/>
                <w:sz w:val="21"/>
              </w:rPr>
            </w:pPr>
            <w:r>
              <w:rPr>
                <w:rFonts w:ascii="Times New Roman"/>
                <w:sz w:val="21"/>
              </w:rPr>
              <w:t>10.</w:t>
            </w:r>
          </w:p>
        </w:tc>
        <w:tc>
          <w:tcPr>
            <w:tcW w:w="2864" w:type="dxa"/>
          </w:tcPr>
          <w:p>
            <w:pPr>
              <w:pStyle w:val="TableParagraph"/>
              <w:spacing w:line="257" w:lineRule="exact"/>
              <w:ind w:left="32"/>
              <w:rPr>
                <w:sz w:val="21"/>
              </w:rPr>
            </w:pPr>
            <w:r>
              <w:rPr>
                <w:sz w:val="21"/>
              </w:rPr>
              <w:t>慢性肝功能衰竭失代偿期</w:t>
            </w:r>
          </w:p>
        </w:tc>
        <w:tc>
          <w:tcPr>
            <w:tcW w:w="7120" w:type="dxa"/>
          </w:tcPr>
          <w:p>
            <w:pPr>
              <w:pStyle w:val="TableParagraph"/>
              <w:spacing w:line="257"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1788"/>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497" w:type="dxa"/>
          </w:tcPr>
          <w:p>
            <w:pPr>
              <w:pStyle w:val="TableParagraph"/>
              <w:spacing w:before="29"/>
              <w:ind w:left="200"/>
              <w:rPr>
                <w:rFonts w:ascii="Times New Roman"/>
                <w:sz w:val="21"/>
              </w:rPr>
            </w:pPr>
            <w:r>
              <w:rPr>
                <w:rFonts w:ascii="Times New Roman"/>
                <w:sz w:val="21"/>
              </w:rPr>
              <w:t>11.</w:t>
            </w:r>
          </w:p>
        </w:tc>
        <w:tc>
          <w:tcPr>
            <w:tcW w:w="2864" w:type="dxa"/>
          </w:tcPr>
          <w:p>
            <w:pPr>
              <w:pStyle w:val="TableParagraph"/>
              <w:spacing w:line="258" w:lineRule="exact"/>
              <w:ind w:left="32"/>
              <w:rPr>
                <w:sz w:val="21"/>
              </w:rPr>
            </w:pPr>
            <w:r>
              <w:rPr>
                <w:sz w:val="21"/>
              </w:rPr>
              <w:t>脑炎后遗症或脑膜炎后遗症</w:t>
            </w:r>
          </w:p>
        </w:tc>
        <w:tc>
          <w:tcPr>
            <w:tcW w:w="7120" w:type="dxa"/>
          </w:tcPr>
          <w:p>
            <w:pPr>
              <w:pStyle w:val="TableParagraph"/>
              <w:spacing w:line="258" w:lineRule="exact"/>
              <w:rPr>
                <w:sz w:val="21"/>
              </w:rPr>
            </w:pPr>
            <w:r>
              <w:rPr>
                <w:sz w:val="21"/>
              </w:rPr>
              <w:t>指因患脑炎或脑膜炎导致的神经系统永久性的功能障碍。神经系统永久性</w:t>
            </w:r>
          </w:p>
          <w:p>
            <w:pPr>
              <w:pStyle w:val="TableParagraph"/>
              <w:spacing w:before="37"/>
              <w:rPr>
                <w:sz w:val="21"/>
              </w:rPr>
            </w:pPr>
            <w:r>
              <w:rPr>
                <w:sz w:val="21"/>
              </w:rPr>
              <w:t>的功能障碍，指疾病确诊 </w:t>
            </w: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201"/>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自主生活能力完全丧失，无法独立完成六项基本日常生活活动中的三</w:t>
            </w:r>
            <w:r>
              <w:rPr>
                <w:spacing w:val="-5"/>
                <w:sz w:val="21"/>
              </w:rPr>
              <w:t>项或三项以上。</w:t>
            </w:r>
          </w:p>
        </w:tc>
      </w:tr>
      <w:tr>
        <w:trPr>
          <w:trHeight w:val="1202" w:hRule="atLeast"/>
        </w:trPr>
        <w:tc>
          <w:tcPr>
            <w:tcW w:w="497" w:type="dxa"/>
          </w:tcPr>
          <w:p>
            <w:pPr>
              <w:pStyle w:val="TableParagraph"/>
              <w:spacing w:before="29"/>
              <w:ind w:left="200"/>
              <w:rPr>
                <w:rFonts w:ascii="Times New Roman"/>
                <w:sz w:val="21"/>
              </w:rPr>
            </w:pPr>
            <w:r>
              <w:rPr>
                <w:rFonts w:ascii="Times New Roman"/>
                <w:sz w:val="21"/>
              </w:rPr>
              <w:t>12.</w:t>
            </w:r>
          </w:p>
        </w:tc>
        <w:tc>
          <w:tcPr>
            <w:tcW w:w="2864" w:type="dxa"/>
          </w:tcPr>
          <w:p>
            <w:pPr>
              <w:pStyle w:val="TableParagraph"/>
              <w:spacing w:line="257" w:lineRule="exact"/>
              <w:ind w:left="32"/>
              <w:rPr>
                <w:sz w:val="21"/>
              </w:rPr>
            </w:pPr>
            <w:r>
              <w:rPr>
                <w:sz w:val="21"/>
              </w:rPr>
              <w:t>深度昏迷</w:t>
            </w:r>
          </w:p>
        </w:tc>
        <w:tc>
          <w:tcPr>
            <w:tcW w:w="7120" w:type="dxa"/>
          </w:tcPr>
          <w:p>
            <w:pPr>
              <w:pStyle w:val="TableParagraph"/>
              <w:spacing w:line="257" w:lineRule="exact"/>
              <w:rPr>
                <w:sz w:val="21"/>
              </w:rPr>
            </w:pPr>
            <w:r>
              <w:rPr>
                <w:sz w:val="21"/>
              </w:rPr>
              <w:t>指因疾病或意外伤害导致意识丧失，对外界刺激和体内需求均无反应，昏</w:t>
            </w:r>
          </w:p>
          <w:p>
            <w:pPr>
              <w:pStyle w:val="TableParagraph"/>
              <w:spacing w:line="256" w:lineRule="auto" w:before="37"/>
              <w:ind w:right="200"/>
              <w:rPr>
                <w:sz w:val="21"/>
              </w:rPr>
            </w:pPr>
            <w:r>
              <w:rPr>
                <w:spacing w:val="-5"/>
                <w:sz w:val="21"/>
              </w:rPr>
              <w:t>迷程度按照格拉斯哥昏迷分级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64" w:lineRule="exact" w:before="5"/>
              <w:rPr>
                <w:b/>
                <w:sz w:val="21"/>
              </w:rPr>
            </w:pPr>
            <w:r>
              <w:rPr>
                <w:b/>
                <w:sz w:val="21"/>
              </w:rPr>
              <w:t>因酗酒或药物滥用导致的深度昏迷不在保障范围内。</w:t>
            </w:r>
          </w:p>
        </w:tc>
      </w:tr>
    </w:tbl>
    <w:p>
      <w:pPr>
        <w:spacing w:after="0" w:line="264" w:lineRule="exact"/>
        <w:rPr>
          <w:sz w:val="21"/>
        </w:rPr>
        <w:sectPr>
          <w:pgSz w:w="11910" w:h="16160"/>
          <w:pgMar w:header="0" w:footer="993" w:top="1440" w:bottom="11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733"/>
        <w:gridCol w:w="7251"/>
      </w:tblGrid>
      <w:tr>
        <w:trPr>
          <w:trHeight w:val="1514" w:hRule="atLeast"/>
        </w:trPr>
        <w:tc>
          <w:tcPr>
            <w:tcW w:w="497" w:type="dxa"/>
          </w:tcPr>
          <w:p>
            <w:pPr>
              <w:pStyle w:val="TableParagraph"/>
              <w:spacing w:line="234" w:lineRule="exact"/>
              <w:ind w:left="0" w:right="32"/>
              <w:jc w:val="right"/>
              <w:rPr>
                <w:rFonts w:ascii="Times New Roman"/>
                <w:sz w:val="21"/>
              </w:rPr>
            </w:pPr>
            <w:r>
              <w:rPr>
                <w:rFonts w:ascii="Times New Roman"/>
                <w:sz w:val="21"/>
              </w:rPr>
              <w:t>13.</w:t>
            </w:r>
          </w:p>
        </w:tc>
        <w:tc>
          <w:tcPr>
            <w:tcW w:w="2733" w:type="dxa"/>
          </w:tcPr>
          <w:p>
            <w:pPr>
              <w:pStyle w:val="TableParagraph"/>
              <w:spacing w:line="236" w:lineRule="exact"/>
              <w:ind w:left="32"/>
              <w:rPr>
                <w:b/>
                <w:sz w:val="21"/>
              </w:rPr>
            </w:pPr>
            <w:r>
              <w:rPr>
                <w:sz w:val="21"/>
              </w:rPr>
              <w:t>双耳失聪 </w:t>
            </w:r>
            <w:r>
              <w:rPr>
                <w:rFonts w:ascii="Times New Roman" w:eastAsia="Times New Roman"/>
                <w:sz w:val="21"/>
              </w:rPr>
              <w:t>-  </w:t>
            </w:r>
            <w:r>
              <w:rPr>
                <w:b/>
                <w:sz w:val="21"/>
              </w:rPr>
              <w:t>三周岁始理赔</w:t>
            </w:r>
          </w:p>
        </w:tc>
        <w:tc>
          <w:tcPr>
            <w:tcW w:w="7251" w:type="dxa"/>
          </w:tcPr>
          <w:p>
            <w:pPr>
              <w:pStyle w:val="TableParagraph"/>
              <w:spacing w:line="236" w:lineRule="exact"/>
              <w:ind w:left="311"/>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311" w:right="307"/>
              <w:rPr>
                <w:sz w:val="21"/>
              </w:rPr>
            </w:pPr>
            <w:r>
              <w:rPr>
                <w:spacing w:val="-13"/>
                <w:sz w:val="21"/>
              </w:rPr>
              <w:t>赫兹和 </w:t>
            </w:r>
            <w:r>
              <w:rPr>
                <w:rFonts w:ascii="Times New Roman" w:eastAsia="Times New Roman"/>
                <w:sz w:val="21"/>
              </w:rPr>
              <w:t>2000 </w:t>
            </w:r>
            <w:r>
              <w:rPr>
                <w:spacing w:val="-11"/>
                <w:sz w:val="21"/>
              </w:rPr>
              <w:t>赫兹语音频率下，平均听阈大于 </w:t>
            </w:r>
            <w:r>
              <w:rPr>
                <w:rFonts w:ascii="Times New Roman" w:eastAsia="Times New Roman"/>
                <w:sz w:val="21"/>
              </w:rPr>
              <w:t>90 </w:t>
            </w:r>
            <w:r>
              <w:rPr>
                <w:spacing w:val="-9"/>
                <w:sz w:val="21"/>
              </w:rPr>
              <w:t>分贝，且经纯音听力测试</w:t>
            </w:r>
            <w:r>
              <w:rPr>
                <w:spacing w:val="-5"/>
                <w:sz w:val="21"/>
              </w:rPr>
              <w:t>声导抗检测或听觉诱发电位检测等证实。</w:t>
            </w:r>
          </w:p>
          <w:p>
            <w:pPr>
              <w:pStyle w:val="TableParagraph"/>
              <w:spacing w:line="312" w:lineRule="exact" w:before="17"/>
              <w:ind w:left="311" w:right="158"/>
              <w:rPr>
                <w:b/>
                <w:sz w:val="21"/>
              </w:rPr>
            </w:pPr>
            <w:r>
              <w:rPr>
                <w:b/>
                <w:sz w:val="21"/>
              </w:rPr>
              <w:t>被保险人申请理赔时年龄必须在三周岁以上，并且提供理赔当时的听力丧失诊断及检查证据。</w:t>
            </w:r>
          </w:p>
        </w:tc>
      </w:tr>
      <w:tr>
        <w:trPr>
          <w:trHeight w:val="2496" w:hRule="atLeast"/>
        </w:trPr>
        <w:tc>
          <w:tcPr>
            <w:tcW w:w="497" w:type="dxa"/>
          </w:tcPr>
          <w:p>
            <w:pPr>
              <w:pStyle w:val="TableParagraph"/>
              <w:spacing w:before="38"/>
              <w:ind w:left="0" w:right="32"/>
              <w:jc w:val="right"/>
              <w:rPr>
                <w:rFonts w:ascii="Times New Roman"/>
                <w:sz w:val="21"/>
              </w:rPr>
            </w:pPr>
            <w:r>
              <w:rPr>
                <w:rFonts w:ascii="Times New Roman"/>
                <w:sz w:val="21"/>
              </w:rPr>
              <w:t>14.</w:t>
            </w:r>
          </w:p>
        </w:tc>
        <w:tc>
          <w:tcPr>
            <w:tcW w:w="2733" w:type="dxa"/>
          </w:tcPr>
          <w:p>
            <w:pPr>
              <w:pStyle w:val="TableParagraph"/>
              <w:spacing w:line="282" w:lineRule="exact"/>
              <w:ind w:left="32"/>
              <w:rPr>
                <w:b/>
                <w:sz w:val="21"/>
              </w:rPr>
            </w:pPr>
            <w:r>
              <w:rPr>
                <w:sz w:val="21"/>
              </w:rPr>
              <w:t>双目失明 </w:t>
            </w:r>
            <w:r>
              <w:rPr>
                <w:rFonts w:ascii="Times New Roman" w:eastAsia="Times New Roman"/>
                <w:sz w:val="21"/>
              </w:rPr>
              <w:t>-  </w:t>
            </w:r>
            <w:r>
              <w:rPr>
                <w:b/>
                <w:sz w:val="21"/>
              </w:rPr>
              <w:t>三周岁始理赔</w:t>
            </w:r>
          </w:p>
        </w:tc>
        <w:tc>
          <w:tcPr>
            <w:tcW w:w="7251" w:type="dxa"/>
          </w:tcPr>
          <w:p>
            <w:pPr>
              <w:pStyle w:val="TableParagraph"/>
              <w:spacing w:line="273" w:lineRule="auto"/>
              <w:ind w:left="311" w:right="202"/>
              <w:rPr>
                <w:sz w:val="21"/>
              </w:rPr>
            </w:pPr>
            <w:r>
              <w:rPr>
                <w:sz w:val="21"/>
              </w:rPr>
              <w:t>指因疾病或意外伤害导致双眼视力永久不可逆性丧失，双眼中较好眼须满足下列至少一项条件：</w:t>
            </w:r>
          </w:p>
          <w:p>
            <w:pPr>
              <w:pStyle w:val="TableParagraph"/>
              <w:spacing w:before="16"/>
              <w:ind w:left="311"/>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311" w:right="201"/>
              <w:rPr>
                <w:sz w:val="21"/>
              </w:rPr>
            </w:pPr>
            <w:r>
              <w:rPr>
                <w:spacing w:val="-12"/>
                <w:sz w:val="21"/>
              </w:rPr>
              <w:t>（</w:t>
            </w:r>
            <w:r>
              <w:rPr>
                <w:rFonts w:ascii="Times New Roman" w:eastAsia="Times New Roman"/>
                <w:spacing w:val="-12"/>
                <w:sz w:val="21"/>
              </w:rPr>
              <w:t>2</w:t>
            </w:r>
            <w:r>
              <w:rPr>
                <w:spacing w:val="-12"/>
                <w:sz w:val="21"/>
              </w:rPr>
              <w:t>）</w:t>
            </w:r>
            <w:r>
              <w:rPr>
                <w:spacing w:val="-6"/>
                <w:sz w:val="21"/>
              </w:rPr>
              <w:t>矫正视力低于 </w:t>
            </w:r>
            <w:r>
              <w:rPr>
                <w:rFonts w:ascii="Times New Roman" w:eastAsia="Times New Roman"/>
                <w:spacing w:val="-8"/>
                <w:sz w:val="21"/>
              </w:rPr>
              <w:t>0.02</w:t>
            </w:r>
            <w:r>
              <w:rPr>
                <w:spacing w:val="-8"/>
                <w:sz w:val="21"/>
              </w:rPr>
              <w:t>（</w:t>
            </w:r>
            <w:r>
              <w:rPr>
                <w:spacing w:val="-6"/>
                <w:sz w:val="21"/>
              </w:rPr>
              <w:t>采用国际标准视力表，如果使用其他视力表应进</w:t>
            </w:r>
            <w:r>
              <w:rPr>
                <w:spacing w:val="-5"/>
                <w:w w:val="100"/>
                <w:sz w:val="21"/>
              </w:rPr>
              <w:t>行换算</w:t>
            </w:r>
            <w:r>
              <w:rPr>
                <w:spacing w:val="-106"/>
                <w:w w:val="100"/>
                <w:sz w:val="21"/>
              </w:rPr>
              <w:t>）</w:t>
            </w:r>
            <w:r>
              <w:rPr>
                <w:w w:val="100"/>
                <w:sz w:val="21"/>
              </w:rPr>
              <w:t>；</w:t>
            </w:r>
          </w:p>
          <w:p>
            <w:pPr>
              <w:pStyle w:val="TableParagraph"/>
              <w:spacing w:before="22"/>
              <w:ind w:left="31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311" w:right="158"/>
              <w:rPr>
                <w:b/>
                <w:sz w:val="21"/>
              </w:rPr>
            </w:pPr>
            <w:r>
              <w:rPr>
                <w:b/>
                <w:sz w:val="21"/>
              </w:rPr>
              <w:t>被保险人申请理赔时年龄必须在三周岁以上，并且提供理赔当时的视力丧失诊断及检查证据。</w:t>
            </w:r>
          </w:p>
        </w:tc>
      </w:tr>
      <w:tr>
        <w:trPr>
          <w:trHeight w:val="936" w:hRule="atLeast"/>
        </w:trPr>
        <w:tc>
          <w:tcPr>
            <w:tcW w:w="497" w:type="dxa"/>
          </w:tcPr>
          <w:p>
            <w:pPr>
              <w:pStyle w:val="TableParagraph"/>
              <w:spacing w:before="38"/>
              <w:ind w:left="0" w:right="32"/>
              <w:jc w:val="right"/>
              <w:rPr>
                <w:rFonts w:ascii="Times New Roman"/>
                <w:sz w:val="21"/>
              </w:rPr>
            </w:pPr>
            <w:r>
              <w:rPr>
                <w:rFonts w:ascii="Times New Roman"/>
                <w:sz w:val="21"/>
              </w:rPr>
              <w:t>15.</w:t>
            </w:r>
          </w:p>
        </w:tc>
        <w:tc>
          <w:tcPr>
            <w:tcW w:w="2733" w:type="dxa"/>
          </w:tcPr>
          <w:p>
            <w:pPr>
              <w:pStyle w:val="TableParagraph"/>
              <w:spacing w:line="266" w:lineRule="exact"/>
              <w:ind w:left="32"/>
              <w:rPr>
                <w:sz w:val="21"/>
              </w:rPr>
            </w:pPr>
            <w:r>
              <w:rPr>
                <w:sz w:val="21"/>
              </w:rPr>
              <w:t>瘫痪</w:t>
            </w:r>
          </w:p>
        </w:tc>
        <w:tc>
          <w:tcPr>
            <w:tcW w:w="7251" w:type="dxa"/>
          </w:tcPr>
          <w:p>
            <w:pPr>
              <w:pStyle w:val="TableParagraph"/>
              <w:spacing w:line="264" w:lineRule="auto"/>
              <w:ind w:left="311" w:right="199"/>
              <w:jc w:val="both"/>
              <w:rPr>
                <w:sz w:val="21"/>
              </w:rPr>
            </w:pPr>
            <w:r>
              <w:rPr>
                <w:spacing w:val="-3"/>
                <w:sz w:val="21"/>
              </w:rPr>
              <w:t>指因疾病或意外伤害导致两肢或两肢以上肢体机能永久完全丧失。肢体机</w:t>
            </w:r>
            <w:r>
              <w:rPr>
                <w:spacing w:val="-6"/>
                <w:sz w:val="21"/>
              </w:rPr>
              <w:t>能永久完全丧失，指疾病确诊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23" w:hRule="atLeast"/>
        </w:trPr>
        <w:tc>
          <w:tcPr>
            <w:tcW w:w="497" w:type="dxa"/>
          </w:tcPr>
          <w:p>
            <w:pPr>
              <w:pStyle w:val="TableParagraph"/>
              <w:spacing w:before="38"/>
              <w:ind w:left="0" w:right="32"/>
              <w:jc w:val="right"/>
              <w:rPr>
                <w:rFonts w:ascii="Times New Roman"/>
                <w:sz w:val="21"/>
              </w:rPr>
            </w:pPr>
            <w:r>
              <w:rPr>
                <w:rFonts w:ascii="Times New Roman"/>
                <w:sz w:val="21"/>
              </w:rPr>
              <w:t>16.</w:t>
            </w:r>
          </w:p>
        </w:tc>
        <w:tc>
          <w:tcPr>
            <w:tcW w:w="2733" w:type="dxa"/>
          </w:tcPr>
          <w:p>
            <w:pPr>
              <w:pStyle w:val="TableParagraph"/>
              <w:spacing w:line="266" w:lineRule="exact"/>
              <w:ind w:left="32"/>
              <w:rPr>
                <w:sz w:val="21"/>
              </w:rPr>
            </w:pPr>
            <w:r>
              <w:rPr>
                <w:sz w:val="21"/>
              </w:rPr>
              <w:t>心脏瓣膜手术</w:t>
            </w:r>
          </w:p>
        </w:tc>
        <w:tc>
          <w:tcPr>
            <w:tcW w:w="7251" w:type="dxa"/>
          </w:tcPr>
          <w:p>
            <w:pPr>
              <w:pStyle w:val="TableParagraph"/>
              <w:spacing w:line="266" w:lineRule="exact"/>
              <w:ind w:left="311"/>
              <w:rPr>
                <w:sz w:val="21"/>
              </w:rPr>
            </w:pPr>
            <w:r>
              <w:rPr>
                <w:sz w:val="21"/>
              </w:rPr>
              <w:t>指为治疗心脏瓣膜疾病，实际实施了开胸进行的心脏瓣膜置换或修复的手</w:t>
            </w:r>
          </w:p>
          <w:p>
            <w:pPr>
              <w:pStyle w:val="TableParagraph"/>
              <w:spacing w:before="37"/>
              <w:ind w:left="311"/>
              <w:rPr>
                <w:sz w:val="21"/>
              </w:rPr>
            </w:pPr>
            <w:r>
              <w:rPr>
                <w:sz w:val="21"/>
              </w:rPr>
              <w:t>术。</w:t>
            </w:r>
          </w:p>
        </w:tc>
      </w:tr>
      <w:tr>
        <w:trPr>
          <w:trHeight w:val="1872" w:hRule="atLeast"/>
        </w:trPr>
        <w:tc>
          <w:tcPr>
            <w:tcW w:w="497" w:type="dxa"/>
          </w:tcPr>
          <w:p>
            <w:pPr>
              <w:pStyle w:val="TableParagraph"/>
              <w:spacing w:before="38"/>
              <w:ind w:left="0" w:right="32"/>
              <w:jc w:val="right"/>
              <w:rPr>
                <w:rFonts w:ascii="Times New Roman"/>
                <w:sz w:val="21"/>
              </w:rPr>
            </w:pPr>
            <w:r>
              <w:rPr>
                <w:rFonts w:ascii="Times New Roman"/>
                <w:sz w:val="21"/>
              </w:rPr>
              <w:t>17.</w:t>
            </w:r>
          </w:p>
        </w:tc>
        <w:tc>
          <w:tcPr>
            <w:tcW w:w="2733" w:type="dxa"/>
          </w:tcPr>
          <w:p>
            <w:pPr>
              <w:pStyle w:val="TableParagraph"/>
              <w:spacing w:line="266" w:lineRule="exact"/>
              <w:ind w:left="32"/>
              <w:rPr>
                <w:sz w:val="21"/>
              </w:rPr>
            </w:pPr>
            <w:r>
              <w:rPr>
                <w:sz w:val="21"/>
              </w:rPr>
              <w:t>严重阿尔茨海默病</w:t>
            </w:r>
          </w:p>
        </w:tc>
        <w:tc>
          <w:tcPr>
            <w:tcW w:w="7251" w:type="dxa"/>
          </w:tcPr>
          <w:p>
            <w:pPr>
              <w:pStyle w:val="TableParagraph"/>
              <w:spacing w:line="264" w:lineRule="auto"/>
              <w:ind w:left="311" w:right="201"/>
              <w:jc w:val="both"/>
              <w:rPr>
                <w:sz w:val="21"/>
              </w:rPr>
            </w:pPr>
            <w:r>
              <w:rPr>
                <w:spacing w:val="-3"/>
                <w:sz w:val="21"/>
              </w:rPr>
              <w:t>指因大脑进行性、不可逆性改变导致智能严重衰退或丧失，临床表现为明显的认知能力障碍、行为异常和社交能力减退，其日常生活必须持续受到</w:t>
            </w:r>
            <w:r>
              <w:rPr>
                <w:spacing w:val="-3"/>
                <w:w w:val="100"/>
                <w:sz w:val="21"/>
              </w:rPr>
              <w:t>他人监护。须由头颅</w:t>
            </w:r>
            <w:r>
              <w:rPr>
                <w:spacing w:val="-3"/>
                <w:sz w:val="21"/>
              </w:rPr>
              <w:t> </w:t>
            </w:r>
            <w:r>
              <w:rPr>
                <w:rFonts w:ascii="Times New Roman" w:eastAsia="Times New Roman"/>
                <w:w w:val="100"/>
                <w:sz w:val="21"/>
              </w:rPr>
              <w:t>X</w:t>
            </w:r>
            <w:r>
              <w:rPr>
                <w:rFonts w:ascii="Times New Roman" w:eastAsia="Times New Roman"/>
                <w:sz w:val="21"/>
              </w:rPr>
              <w:t> </w:t>
            </w:r>
            <w:r>
              <w:rPr>
                <w:spacing w:val="-3"/>
                <w:w w:val="100"/>
                <w:sz w:val="21"/>
              </w:rPr>
              <w:t>线断层扫描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2"/>
                <w:w w:val="100"/>
                <w:sz w:val="21"/>
              </w:rPr>
              <w:t>或正电</w:t>
            </w:r>
            <w:r>
              <w:rPr>
                <w:spacing w:val="-2"/>
                <w:sz w:val="21"/>
              </w:rPr>
              <w:t>子发射断层扫描（</w:t>
            </w:r>
            <w:r>
              <w:rPr>
                <w:rFonts w:ascii="Times New Roman" w:eastAsia="Times New Roman"/>
                <w:spacing w:val="-2"/>
                <w:sz w:val="21"/>
              </w:rPr>
              <w:t>PET</w:t>
            </w:r>
            <w:r>
              <w:rPr>
                <w:spacing w:val="-2"/>
                <w:sz w:val="21"/>
              </w:rPr>
              <w:t>）等影像学检查证实，且自主生活能力完全丧失， </w:t>
            </w:r>
            <w:r>
              <w:rPr>
                <w:spacing w:val="-3"/>
                <w:sz w:val="21"/>
              </w:rPr>
              <w:t>无法独立完成六项基本日常生活活动中的三项或三项以上。</w:t>
            </w:r>
          </w:p>
          <w:p>
            <w:pPr>
              <w:pStyle w:val="TableParagraph"/>
              <w:spacing w:before="25"/>
              <w:ind w:left="311"/>
              <w:jc w:val="both"/>
              <w:rPr>
                <w:b/>
                <w:sz w:val="21"/>
              </w:rPr>
            </w:pPr>
            <w:r>
              <w:rPr>
                <w:b/>
                <w:sz w:val="21"/>
              </w:rPr>
              <w:t>神经官能症和精神疾病不在保障范围内。</w:t>
            </w:r>
          </w:p>
        </w:tc>
      </w:tr>
      <w:tr>
        <w:trPr>
          <w:trHeight w:val="2496" w:hRule="atLeast"/>
        </w:trPr>
        <w:tc>
          <w:tcPr>
            <w:tcW w:w="497" w:type="dxa"/>
          </w:tcPr>
          <w:p>
            <w:pPr>
              <w:pStyle w:val="TableParagraph"/>
              <w:spacing w:before="38"/>
              <w:ind w:left="0" w:right="32"/>
              <w:jc w:val="right"/>
              <w:rPr>
                <w:rFonts w:ascii="Times New Roman"/>
                <w:sz w:val="21"/>
              </w:rPr>
            </w:pPr>
            <w:r>
              <w:rPr>
                <w:rFonts w:ascii="Times New Roman"/>
                <w:sz w:val="21"/>
              </w:rPr>
              <w:t>18.</w:t>
            </w:r>
          </w:p>
        </w:tc>
        <w:tc>
          <w:tcPr>
            <w:tcW w:w="2733" w:type="dxa"/>
          </w:tcPr>
          <w:p>
            <w:pPr>
              <w:pStyle w:val="TableParagraph"/>
              <w:spacing w:line="266" w:lineRule="exact"/>
              <w:ind w:left="32"/>
              <w:rPr>
                <w:sz w:val="21"/>
              </w:rPr>
            </w:pPr>
            <w:r>
              <w:rPr>
                <w:sz w:val="21"/>
              </w:rPr>
              <w:t>严重脑损伤</w:t>
            </w:r>
          </w:p>
        </w:tc>
        <w:tc>
          <w:tcPr>
            <w:tcW w:w="7251" w:type="dxa"/>
          </w:tcPr>
          <w:p>
            <w:pPr>
              <w:pStyle w:val="TableParagraph"/>
              <w:spacing w:line="261" w:lineRule="auto"/>
              <w:ind w:left="311" w:right="201"/>
              <w:rPr>
                <w:sz w:val="21"/>
              </w:rPr>
            </w:pPr>
            <w:r>
              <w:rPr>
                <w:spacing w:val="-3"/>
                <w:sz w:val="21"/>
              </w:rPr>
              <w:t>指因头部遭受机械性外力，引起脑重要部位损伤，导致神经系统永久性的</w:t>
            </w:r>
            <w:r>
              <w:rPr>
                <w:spacing w:val="-3"/>
                <w:w w:val="100"/>
                <w:sz w:val="21"/>
              </w:rPr>
              <w:t>功能障碍。须由头颅</w:t>
            </w:r>
            <w:r>
              <w:rPr>
                <w:spacing w:val="-3"/>
                <w:sz w:val="21"/>
              </w:rPr>
              <w:t> </w:t>
            </w:r>
            <w:r>
              <w:rPr>
                <w:rFonts w:ascii="Times New Roman" w:eastAsia="Times New Roman"/>
                <w:w w:val="100"/>
                <w:sz w:val="21"/>
              </w:rPr>
              <w:t>X</w:t>
            </w:r>
            <w:r>
              <w:rPr>
                <w:rFonts w:ascii="Times New Roman" w:eastAsia="Times New Roman"/>
                <w:sz w:val="21"/>
              </w:rPr>
              <w:t> </w:t>
            </w:r>
            <w:r>
              <w:rPr>
                <w:spacing w:val="-3"/>
                <w:w w:val="100"/>
                <w:sz w:val="21"/>
              </w:rPr>
              <w:t>线断层扫描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2"/>
                <w:w w:val="100"/>
                <w:sz w:val="21"/>
              </w:rPr>
              <w:t>或正电</w:t>
            </w:r>
            <w:r>
              <w:rPr>
                <w:spacing w:val="-5"/>
                <w:sz w:val="21"/>
              </w:rPr>
              <w:t>子发射断层扫描（</w:t>
            </w:r>
            <w:r>
              <w:rPr>
                <w:rFonts w:ascii="Times New Roman" w:eastAsia="Times New Roman"/>
                <w:spacing w:val="-5"/>
                <w:sz w:val="21"/>
              </w:rPr>
              <w:t>PET</w:t>
            </w:r>
            <w:r>
              <w:rPr>
                <w:spacing w:val="-5"/>
                <w:sz w:val="21"/>
              </w:rPr>
              <w:t>）等影像学检查证实。神经系统永久性的功能障碍</w:t>
            </w:r>
            <w:r>
              <w:rPr>
                <w:spacing w:val="-12"/>
                <w:sz w:val="21"/>
              </w:rPr>
              <w:t>指脑损伤 </w:t>
            </w:r>
            <w:r>
              <w:rPr>
                <w:rFonts w:ascii="Times New Roman" w:eastAsia="Times New Roman"/>
                <w:sz w:val="21"/>
              </w:rPr>
              <w:t>180 </w:t>
            </w:r>
            <w:r>
              <w:rPr>
                <w:spacing w:val="-3"/>
                <w:sz w:val="21"/>
              </w:rPr>
              <w:t>天后，仍遗留下列一种或一种以上障碍：</w:t>
            </w:r>
          </w:p>
          <w:p>
            <w:pPr>
              <w:pStyle w:val="TableParagraph"/>
              <w:spacing w:before="9"/>
              <w:ind w:left="31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31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311" w:right="201"/>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自主生活能力完全丧失，无法独立完成六项基本日常生活活动中的三</w:t>
            </w:r>
            <w:r>
              <w:rPr>
                <w:spacing w:val="-5"/>
                <w:sz w:val="21"/>
              </w:rPr>
              <w:t>项或三项以上。</w:t>
            </w:r>
          </w:p>
        </w:tc>
      </w:tr>
      <w:tr>
        <w:trPr>
          <w:trHeight w:val="1872" w:hRule="atLeast"/>
        </w:trPr>
        <w:tc>
          <w:tcPr>
            <w:tcW w:w="497" w:type="dxa"/>
          </w:tcPr>
          <w:p>
            <w:pPr>
              <w:pStyle w:val="TableParagraph"/>
              <w:spacing w:before="38"/>
              <w:ind w:left="0" w:right="32"/>
              <w:jc w:val="right"/>
              <w:rPr>
                <w:rFonts w:ascii="Times New Roman"/>
                <w:sz w:val="21"/>
              </w:rPr>
            </w:pPr>
            <w:r>
              <w:rPr>
                <w:rFonts w:ascii="Times New Roman"/>
                <w:sz w:val="21"/>
              </w:rPr>
              <w:t>19.</w:t>
            </w:r>
          </w:p>
        </w:tc>
        <w:tc>
          <w:tcPr>
            <w:tcW w:w="2733" w:type="dxa"/>
          </w:tcPr>
          <w:p>
            <w:pPr>
              <w:pStyle w:val="TableParagraph"/>
              <w:spacing w:line="266" w:lineRule="exact"/>
              <w:ind w:left="32"/>
              <w:rPr>
                <w:sz w:val="21"/>
              </w:rPr>
            </w:pPr>
            <w:r>
              <w:rPr>
                <w:sz w:val="21"/>
              </w:rPr>
              <w:t>严重帕金森病</w:t>
            </w:r>
          </w:p>
        </w:tc>
        <w:tc>
          <w:tcPr>
            <w:tcW w:w="7251" w:type="dxa"/>
          </w:tcPr>
          <w:p>
            <w:pPr>
              <w:pStyle w:val="TableParagraph"/>
              <w:spacing w:line="273" w:lineRule="auto"/>
              <w:ind w:left="311" w:right="202"/>
              <w:rPr>
                <w:sz w:val="21"/>
              </w:rPr>
            </w:pPr>
            <w:r>
              <w:rPr>
                <w:sz w:val="21"/>
              </w:rPr>
              <w:t>是一种中枢神经系统的退行性疾病，临床表现为震颤麻痹、共济失调等。须满足下列全部条件：</w:t>
            </w:r>
          </w:p>
          <w:p>
            <w:pPr>
              <w:pStyle w:val="TableParagraph"/>
              <w:spacing w:before="16"/>
              <w:ind w:left="311"/>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311" w:right="201"/>
              <w:rPr>
                <w:sz w:val="21"/>
              </w:rPr>
            </w:pPr>
            <w:r>
              <w:rPr>
                <w:spacing w:val="-17"/>
                <w:sz w:val="21"/>
              </w:rPr>
              <w:t>（</w:t>
            </w:r>
            <w:r>
              <w:rPr>
                <w:rFonts w:ascii="Times New Roman" w:eastAsia="Times New Roman"/>
                <w:spacing w:val="-17"/>
                <w:sz w:val="21"/>
              </w:rPr>
              <w:t>2</w:t>
            </w:r>
            <w:r>
              <w:rPr>
                <w:spacing w:val="-17"/>
                <w:sz w:val="21"/>
              </w:rPr>
              <w:t>）</w:t>
            </w:r>
            <w:r>
              <w:rPr>
                <w:spacing w:val="-8"/>
                <w:sz w:val="21"/>
              </w:rPr>
              <w:t>自主生活能力完全丧失，无法独立完成六项基本日常生活活动中的三</w:t>
            </w:r>
            <w:r>
              <w:rPr>
                <w:spacing w:val="-5"/>
                <w:sz w:val="21"/>
              </w:rPr>
              <w:t>项或三项以上。</w:t>
            </w:r>
          </w:p>
          <w:p>
            <w:pPr>
              <w:pStyle w:val="TableParagraph"/>
              <w:spacing w:before="22"/>
              <w:ind w:left="311"/>
              <w:rPr>
                <w:b/>
                <w:sz w:val="21"/>
              </w:rPr>
            </w:pPr>
            <w:r>
              <w:rPr>
                <w:b/>
                <w:sz w:val="21"/>
              </w:rPr>
              <w:t>继发性帕金森综合征不在保障范围内。</w:t>
            </w:r>
          </w:p>
        </w:tc>
      </w:tr>
      <w:tr>
        <w:trPr>
          <w:trHeight w:val="623" w:hRule="atLeast"/>
        </w:trPr>
        <w:tc>
          <w:tcPr>
            <w:tcW w:w="497" w:type="dxa"/>
          </w:tcPr>
          <w:p>
            <w:pPr>
              <w:pStyle w:val="TableParagraph"/>
              <w:spacing w:before="38"/>
              <w:ind w:left="0" w:right="32"/>
              <w:jc w:val="right"/>
              <w:rPr>
                <w:rFonts w:ascii="Times New Roman"/>
                <w:sz w:val="21"/>
              </w:rPr>
            </w:pPr>
            <w:r>
              <w:rPr>
                <w:rFonts w:ascii="Times New Roman"/>
                <w:sz w:val="21"/>
              </w:rPr>
              <w:t>20.</w:t>
            </w:r>
          </w:p>
        </w:tc>
        <w:tc>
          <w:tcPr>
            <w:tcW w:w="2733" w:type="dxa"/>
          </w:tcPr>
          <w:p>
            <w:pPr>
              <w:pStyle w:val="TableParagraph"/>
              <w:spacing w:line="266" w:lineRule="exact"/>
              <w:ind w:left="32"/>
              <w:rPr>
                <w:sz w:val="21"/>
              </w:rPr>
            </w:pPr>
            <w:r>
              <w:rPr>
                <w:sz w:val="21"/>
              </w:rPr>
              <w:t>严重Ⅲ度烧伤</w:t>
            </w:r>
          </w:p>
        </w:tc>
        <w:tc>
          <w:tcPr>
            <w:tcW w:w="7251" w:type="dxa"/>
          </w:tcPr>
          <w:p>
            <w:pPr>
              <w:pStyle w:val="TableParagraph"/>
              <w:spacing w:line="256" w:lineRule="auto"/>
              <w:ind w:left="311" w:right="203"/>
              <w:rPr>
                <w:sz w:val="21"/>
              </w:rPr>
            </w:pPr>
            <w:r>
              <w:rPr>
                <w:spacing w:val="-14"/>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2"/>
                <w:sz w:val="21"/>
              </w:rPr>
              <w:t>％以</w:t>
            </w:r>
            <w:r>
              <w:rPr>
                <w:spacing w:val="-3"/>
                <w:sz w:val="21"/>
              </w:rPr>
              <w:t>上。体表面积根据《中国新九分法》计算。</w:t>
            </w:r>
          </w:p>
        </w:tc>
      </w:tr>
      <w:tr>
        <w:trPr>
          <w:trHeight w:val="906" w:hRule="atLeast"/>
        </w:trPr>
        <w:tc>
          <w:tcPr>
            <w:tcW w:w="497" w:type="dxa"/>
          </w:tcPr>
          <w:p>
            <w:pPr>
              <w:pStyle w:val="TableParagraph"/>
              <w:spacing w:before="38"/>
              <w:ind w:left="0" w:right="32"/>
              <w:jc w:val="right"/>
              <w:rPr>
                <w:rFonts w:ascii="Times New Roman"/>
                <w:sz w:val="21"/>
              </w:rPr>
            </w:pPr>
            <w:r>
              <w:rPr>
                <w:rFonts w:ascii="Times New Roman"/>
                <w:sz w:val="21"/>
              </w:rPr>
              <w:t>21.</w:t>
            </w:r>
          </w:p>
        </w:tc>
        <w:tc>
          <w:tcPr>
            <w:tcW w:w="2733" w:type="dxa"/>
          </w:tcPr>
          <w:p>
            <w:pPr>
              <w:pStyle w:val="TableParagraph"/>
              <w:spacing w:line="266" w:lineRule="exact"/>
              <w:ind w:left="32"/>
              <w:rPr>
                <w:sz w:val="21"/>
              </w:rPr>
            </w:pPr>
            <w:r>
              <w:rPr>
                <w:sz w:val="21"/>
              </w:rPr>
              <w:t>严重原发性肺动脉高压</w:t>
            </w:r>
          </w:p>
        </w:tc>
        <w:tc>
          <w:tcPr>
            <w:tcW w:w="7251" w:type="dxa"/>
          </w:tcPr>
          <w:p>
            <w:pPr>
              <w:pStyle w:val="TableParagraph"/>
              <w:spacing w:line="273" w:lineRule="auto"/>
              <w:ind w:left="311" w:right="202"/>
              <w:rPr>
                <w:sz w:val="21"/>
              </w:rPr>
            </w:pPr>
            <w:r>
              <w:rPr>
                <w:sz w:val="21"/>
              </w:rPr>
              <w:t>指不明原因的肺动脉压力持续性增高，进行性发展而导致的慢性疾病，已经造成永久不可逆性的体力活动能力受限，达到美国纽约心脏病学会心功</w:t>
            </w:r>
          </w:p>
          <w:p>
            <w:pPr>
              <w:pStyle w:val="TableParagraph"/>
              <w:spacing w:line="271" w:lineRule="exact" w:before="16"/>
              <w:ind w:left="311"/>
              <w:rPr>
                <w:sz w:val="21"/>
              </w:rPr>
            </w:pPr>
            <w:r>
              <w:rPr>
                <w:sz w:val="21"/>
              </w:rPr>
              <w:t>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bl>
    <w:p>
      <w:pPr>
        <w:spacing w:after="0" w:line="271" w:lineRule="exact"/>
        <w:rPr>
          <w:sz w:val="21"/>
        </w:rPr>
        <w:sectPr>
          <w:pgSz w:w="11910" w:h="16160"/>
          <w:pgMar w:header="0" w:footer="993" w:top="1420" w:bottom="11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3046"/>
        <w:gridCol w:w="6939"/>
      </w:tblGrid>
      <w:tr>
        <w:trPr>
          <w:trHeight w:val="1202" w:hRule="atLeast"/>
        </w:trPr>
        <w:tc>
          <w:tcPr>
            <w:tcW w:w="497" w:type="dxa"/>
          </w:tcPr>
          <w:p>
            <w:pPr>
              <w:pStyle w:val="TableParagraph"/>
              <w:spacing w:line="234" w:lineRule="exact"/>
              <w:ind w:left="0" w:right="32"/>
              <w:jc w:val="right"/>
              <w:rPr>
                <w:rFonts w:ascii="Times New Roman"/>
                <w:sz w:val="21"/>
              </w:rPr>
            </w:pPr>
            <w:r>
              <w:rPr>
                <w:rFonts w:ascii="Times New Roman"/>
                <w:sz w:val="21"/>
              </w:rPr>
              <w:t>22.</w:t>
            </w:r>
          </w:p>
        </w:tc>
        <w:tc>
          <w:tcPr>
            <w:tcW w:w="3046" w:type="dxa"/>
          </w:tcPr>
          <w:p>
            <w:pPr>
              <w:pStyle w:val="TableParagraph"/>
              <w:spacing w:line="220" w:lineRule="exact"/>
              <w:ind w:left="32"/>
              <w:rPr>
                <w:sz w:val="21"/>
              </w:rPr>
            </w:pPr>
            <w:r>
              <w:rPr>
                <w:sz w:val="21"/>
              </w:rPr>
              <w:t>严重运动神经元病</w:t>
            </w:r>
          </w:p>
        </w:tc>
        <w:tc>
          <w:tcPr>
            <w:tcW w:w="6939" w:type="dxa"/>
          </w:tcPr>
          <w:p>
            <w:pPr>
              <w:pStyle w:val="TableParagraph"/>
              <w:spacing w:line="220" w:lineRule="exact"/>
              <w:ind w:left="-2"/>
              <w:rPr>
                <w:sz w:val="21"/>
              </w:rPr>
            </w:pPr>
            <w:r>
              <w:rPr>
                <w:sz w:val="21"/>
              </w:rPr>
              <w:t>是一组中枢神经系统运动神经元的进行性变性疾病，包括进行性脊肌萎缩</w:t>
            </w:r>
          </w:p>
          <w:p>
            <w:pPr>
              <w:pStyle w:val="TableParagraph"/>
              <w:spacing w:line="310" w:lineRule="atLeast" w:before="2"/>
              <w:ind w:left="-2" w:right="203"/>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497" w:type="dxa"/>
          </w:tcPr>
          <w:p>
            <w:pPr>
              <w:pStyle w:val="TableParagraph"/>
              <w:spacing w:before="38"/>
              <w:ind w:left="0" w:right="32"/>
              <w:jc w:val="right"/>
              <w:rPr>
                <w:rFonts w:ascii="Times New Roman"/>
                <w:sz w:val="21"/>
              </w:rPr>
            </w:pPr>
            <w:r>
              <w:rPr>
                <w:rFonts w:ascii="Times New Roman"/>
                <w:sz w:val="21"/>
              </w:rPr>
              <w:t>23.</w:t>
            </w:r>
          </w:p>
        </w:tc>
        <w:tc>
          <w:tcPr>
            <w:tcW w:w="3046" w:type="dxa"/>
          </w:tcPr>
          <w:p>
            <w:pPr>
              <w:pStyle w:val="TableParagraph"/>
              <w:spacing w:line="256" w:lineRule="auto"/>
              <w:ind w:left="32" w:right="362"/>
              <w:rPr>
                <w:b/>
                <w:sz w:val="21"/>
              </w:rPr>
            </w:pPr>
            <w:r>
              <w:rPr>
                <w:sz w:val="21"/>
              </w:rPr>
              <w:t>语言能力丧失 </w:t>
            </w:r>
            <w:r>
              <w:rPr>
                <w:rFonts w:ascii="Times New Roman" w:eastAsia="Times New Roman"/>
                <w:sz w:val="21"/>
              </w:rPr>
              <w:t>- </w:t>
            </w:r>
            <w:r>
              <w:rPr>
                <w:b/>
                <w:sz w:val="21"/>
              </w:rPr>
              <w:t>三周岁始理赔</w:t>
            </w:r>
          </w:p>
        </w:tc>
        <w:tc>
          <w:tcPr>
            <w:tcW w:w="6939" w:type="dxa"/>
          </w:tcPr>
          <w:p>
            <w:pPr>
              <w:pStyle w:val="TableParagraph"/>
              <w:spacing w:line="282" w:lineRule="exact"/>
              <w:ind w:left="-2"/>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73" w:lineRule="auto" w:before="21"/>
              <w:ind w:left="-2" w:right="738"/>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312" w:lineRule="exact" w:before="3"/>
              <w:ind w:left="-2" w:right="159"/>
              <w:rPr>
                <w:b/>
                <w:sz w:val="21"/>
              </w:rPr>
            </w:pPr>
            <w:r>
              <w:rPr>
                <w:b/>
                <w:sz w:val="21"/>
              </w:rPr>
              <w:t>被保险人申请理赔时年龄必须在三周岁以上，并且提供理赔当时的语言能力丧失诊断及检查证据。</w:t>
            </w:r>
          </w:p>
        </w:tc>
      </w:tr>
      <w:tr>
        <w:trPr>
          <w:trHeight w:val="2192" w:hRule="atLeast"/>
        </w:trPr>
        <w:tc>
          <w:tcPr>
            <w:tcW w:w="497" w:type="dxa"/>
          </w:tcPr>
          <w:p>
            <w:pPr>
              <w:pStyle w:val="TableParagraph"/>
              <w:spacing w:before="38"/>
              <w:ind w:left="0" w:right="32"/>
              <w:jc w:val="right"/>
              <w:rPr>
                <w:rFonts w:ascii="Times New Roman"/>
                <w:sz w:val="21"/>
              </w:rPr>
            </w:pPr>
            <w:r>
              <w:rPr>
                <w:rFonts w:ascii="Times New Roman"/>
                <w:sz w:val="21"/>
              </w:rPr>
              <w:t>24.</w:t>
            </w:r>
          </w:p>
        </w:tc>
        <w:tc>
          <w:tcPr>
            <w:tcW w:w="3046" w:type="dxa"/>
          </w:tcPr>
          <w:p>
            <w:pPr>
              <w:pStyle w:val="TableParagraph"/>
              <w:spacing w:line="266" w:lineRule="exact"/>
              <w:ind w:left="32"/>
              <w:rPr>
                <w:sz w:val="21"/>
              </w:rPr>
            </w:pPr>
            <w:r>
              <w:rPr>
                <w:sz w:val="21"/>
              </w:rPr>
              <w:t>重型再生障碍性贫血</w:t>
            </w:r>
          </w:p>
        </w:tc>
        <w:tc>
          <w:tcPr>
            <w:tcW w:w="6939" w:type="dxa"/>
          </w:tcPr>
          <w:p>
            <w:pPr>
              <w:pStyle w:val="TableParagraph"/>
              <w:spacing w:line="273" w:lineRule="auto"/>
              <w:ind w:left="-2" w:right="203"/>
              <w:rPr>
                <w:sz w:val="21"/>
              </w:rPr>
            </w:pPr>
            <w:r>
              <w:rPr>
                <w:sz w:val="21"/>
              </w:rPr>
              <w:t>指因骨髓造血功能慢性持续性衰竭导致的贫血、中性粒细胞减少及血小板减少。须满足下列全部条件：</w:t>
            </w:r>
          </w:p>
          <w:p>
            <w:pPr>
              <w:pStyle w:val="TableParagraph"/>
              <w:spacing w:before="17"/>
              <w:ind w:left="-2"/>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2"/>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524"/>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524"/>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524"/>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497" w:type="dxa"/>
          </w:tcPr>
          <w:p>
            <w:pPr>
              <w:pStyle w:val="TableParagraph"/>
              <w:spacing w:before="30"/>
              <w:ind w:left="0" w:right="32"/>
              <w:jc w:val="right"/>
              <w:rPr>
                <w:rFonts w:ascii="Times New Roman"/>
                <w:sz w:val="21"/>
              </w:rPr>
            </w:pPr>
            <w:r>
              <w:rPr>
                <w:rFonts w:ascii="Times New Roman"/>
                <w:sz w:val="21"/>
              </w:rPr>
              <w:t>25.</w:t>
            </w:r>
          </w:p>
        </w:tc>
        <w:tc>
          <w:tcPr>
            <w:tcW w:w="3046" w:type="dxa"/>
          </w:tcPr>
          <w:p>
            <w:pPr>
              <w:pStyle w:val="TableParagraph"/>
              <w:spacing w:line="258" w:lineRule="exact"/>
              <w:ind w:left="32"/>
              <w:rPr>
                <w:sz w:val="21"/>
              </w:rPr>
            </w:pPr>
            <w:r>
              <w:rPr>
                <w:sz w:val="21"/>
              </w:rPr>
              <w:t>主动脉手术</w:t>
            </w:r>
          </w:p>
        </w:tc>
        <w:tc>
          <w:tcPr>
            <w:tcW w:w="6939" w:type="dxa"/>
          </w:tcPr>
          <w:p>
            <w:pPr>
              <w:pStyle w:val="TableParagraph"/>
              <w:spacing w:line="258" w:lineRule="exact"/>
              <w:ind w:left="-2"/>
              <w:rPr>
                <w:sz w:val="21"/>
              </w:rPr>
            </w:pPr>
            <w:r>
              <w:rPr>
                <w:sz w:val="21"/>
              </w:rPr>
              <w:t>指为治疗主动脉疾病，实际实施了开胸或开腹进行的切除、置换、修补病</w:t>
            </w:r>
          </w:p>
          <w:p>
            <w:pPr>
              <w:pStyle w:val="TableParagraph"/>
              <w:spacing w:line="273" w:lineRule="auto" w:before="37"/>
              <w:ind w:left="-2" w:right="205"/>
              <w:rPr>
                <w:b/>
                <w:sz w:val="21"/>
              </w:rPr>
            </w:pPr>
            <w:r>
              <w:rPr>
                <w:sz w:val="21"/>
              </w:rPr>
              <w:t>损主动脉血管的手术。主动脉指胸主动脉和腹主动脉，</w:t>
            </w:r>
            <w:r>
              <w:rPr>
                <w:b/>
                <w:sz w:val="21"/>
              </w:rPr>
              <w:t>不包括胸主动脉和腹主动脉的分支血管。</w:t>
            </w:r>
          </w:p>
          <w:p>
            <w:pPr>
              <w:pStyle w:val="TableParagraph"/>
              <w:spacing w:before="7"/>
              <w:ind w:left="-2"/>
              <w:rPr>
                <w:b/>
                <w:sz w:val="21"/>
              </w:rPr>
            </w:pPr>
            <w:r>
              <w:rPr>
                <w:b/>
                <w:sz w:val="21"/>
              </w:rPr>
              <w:t>动脉内血管成形术不在保障范围内。</w:t>
            </w:r>
          </w:p>
        </w:tc>
      </w:tr>
      <w:tr>
        <w:trPr>
          <w:trHeight w:val="2192" w:hRule="atLeast"/>
        </w:trPr>
        <w:tc>
          <w:tcPr>
            <w:tcW w:w="497" w:type="dxa"/>
          </w:tcPr>
          <w:p>
            <w:pPr>
              <w:pStyle w:val="TableParagraph"/>
              <w:spacing w:before="38"/>
              <w:ind w:left="0" w:right="32"/>
              <w:jc w:val="right"/>
              <w:rPr>
                <w:rFonts w:ascii="Times New Roman"/>
                <w:sz w:val="21"/>
              </w:rPr>
            </w:pPr>
            <w:r>
              <w:rPr>
                <w:rFonts w:ascii="Times New Roman"/>
                <w:sz w:val="21"/>
              </w:rPr>
              <w:t>26.</w:t>
            </w:r>
          </w:p>
        </w:tc>
        <w:tc>
          <w:tcPr>
            <w:tcW w:w="3046" w:type="dxa"/>
          </w:tcPr>
          <w:p>
            <w:pPr>
              <w:pStyle w:val="TableParagraph"/>
              <w:spacing w:line="266" w:lineRule="exact"/>
              <w:ind w:left="32"/>
              <w:rPr>
                <w:sz w:val="21"/>
              </w:rPr>
            </w:pPr>
            <w:r>
              <w:rPr>
                <w:sz w:val="21"/>
              </w:rPr>
              <w:t>严重多发性硬化</w:t>
            </w:r>
          </w:p>
        </w:tc>
        <w:tc>
          <w:tcPr>
            <w:tcW w:w="6939" w:type="dxa"/>
          </w:tcPr>
          <w:p>
            <w:pPr>
              <w:pStyle w:val="TableParagraph"/>
              <w:spacing w:line="264" w:lineRule="auto"/>
              <w:ind w:left="-2" w:right="200"/>
              <w:jc w:val="both"/>
              <w:rPr>
                <w:sz w:val="21"/>
              </w:rPr>
            </w:pPr>
            <w:r>
              <w:rPr>
                <w:spacing w:val="-3"/>
                <w:sz w:val="21"/>
              </w:rPr>
              <w:t>多发性硬化为中枢神经系统白质多灶性脱髓鞘病变，病变有时累及灰质。多发性硬化须由核磁共振检查（</w:t>
            </w:r>
            <w:r>
              <w:rPr>
                <w:rFonts w:ascii="Times New Roman" w:eastAsia="Times New Roman"/>
                <w:spacing w:val="-3"/>
                <w:sz w:val="21"/>
              </w:rPr>
              <w:t>MRI</w:t>
            </w:r>
            <w:r>
              <w:rPr>
                <w:spacing w:val="-3"/>
                <w:sz w:val="21"/>
              </w:rPr>
              <w:t>）等影像学检查证实，经三级医院神经科专科医生明确诊断，并且已经造成永久不可逆的神经系统功能损害。</w:t>
            </w:r>
            <w:r>
              <w:rPr>
                <w:spacing w:val="-5"/>
                <w:sz w:val="21"/>
              </w:rPr>
              <w:t>永久不可逆神经系统功能损害指被保险人持续 </w:t>
            </w:r>
            <w:r>
              <w:rPr>
                <w:rFonts w:ascii="Times New Roman" w:eastAsia="Times New Roman"/>
                <w:sz w:val="21"/>
              </w:rPr>
              <w:t>180 </w:t>
            </w:r>
            <w:r>
              <w:rPr>
                <w:spacing w:val="-3"/>
                <w:sz w:val="21"/>
              </w:rPr>
              <w:t>天无法独立完成下列基本日常生活活动：</w:t>
            </w:r>
          </w:p>
          <w:p>
            <w:pPr>
              <w:pStyle w:val="TableParagraph"/>
              <w:spacing w:before="25"/>
              <w:ind w:left="1"/>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ind w:left="1"/>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4708" w:hRule="atLeast"/>
        </w:trPr>
        <w:tc>
          <w:tcPr>
            <w:tcW w:w="497" w:type="dxa"/>
          </w:tcPr>
          <w:p>
            <w:pPr>
              <w:pStyle w:val="TableParagraph"/>
              <w:spacing w:before="30"/>
              <w:ind w:left="0" w:right="32"/>
              <w:jc w:val="right"/>
              <w:rPr>
                <w:rFonts w:ascii="Times New Roman"/>
                <w:sz w:val="21"/>
              </w:rPr>
            </w:pPr>
            <w:r>
              <w:rPr>
                <w:rFonts w:ascii="Times New Roman"/>
                <w:sz w:val="21"/>
              </w:rPr>
              <w:t>27.</w:t>
            </w:r>
          </w:p>
        </w:tc>
        <w:tc>
          <w:tcPr>
            <w:tcW w:w="3046" w:type="dxa"/>
            <w:tcBorders>
              <w:right w:val="single" w:sz="4" w:space="0" w:color="000000"/>
            </w:tcBorders>
          </w:tcPr>
          <w:p>
            <w:pPr>
              <w:pStyle w:val="TableParagraph"/>
              <w:spacing w:line="274" w:lineRule="exact"/>
              <w:ind w:left="32"/>
              <w:rPr>
                <w:sz w:val="21"/>
              </w:rPr>
            </w:pPr>
            <w:r>
              <w:rPr>
                <w:sz w:val="21"/>
              </w:rPr>
              <w:t>因职业关系导致的 </w:t>
            </w:r>
            <w:r>
              <w:rPr>
                <w:rFonts w:ascii="Times New Roman" w:eastAsia="Times New Roman"/>
                <w:sz w:val="21"/>
              </w:rPr>
              <w:t>HIV </w:t>
            </w:r>
            <w:r>
              <w:rPr>
                <w:sz w:val="21"/>
              </w:rPr>
              <w:t>感染</w:t>
            </w:r>
          </w:p>
        </w:tc>
        <w:tc>
          <w:tcPr>
            <w:tcW w:w="6939" w:type="dxa"/>
            <w:tcBorders>
              <w:left w:val="single" w:sz="4" w:space="0" w:color="000000"/>
            </w:tcBorders>
          </w:tcPr>
          <w:p>
            <w:pPr>
              <w:pStyle w:val="TableParagraph"/>
              <w:spacing w:line="258" w:lineRule="exact"/>
              <w:ind w:left="-7"/>
              <w:rPr>
                <w:sz w:val="21"/>
              </w:rPr>
            </w:pPr>
            <w:r>
              <w:rPr>
                <w:sz w:val="21"/>
              </w:rPr>
              <w:t>被保险人在其常规职业工作过程中遭遇外伤，或者职业需要处理血液或者</w:t>
            </w:r>
          </w:p>
          <w:p>
            <w:pPr>
              <w:pStyle w:val="TableParagraph"/>
              <w:spacing w:line="256" w:lineRule="auto" w:before="37"/>
              <w:ind w:left="-7" w:right="2780"/>
              <w:rPr>
                <w:sz w:val="21"/>
              </w:rPr>
            </w:pPr>
            <w:r>
              <w:rPr>
                <w:spacing w:val="-3"/>
                <w:w w:val="100"/>
                <w:sz w:val="21"/>
              </w:rPr>
              <w:t>其他体液时感染上人类免疫缺陷病毒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sz w:val="21"/>
              </w:rPr>
              <w:t>理赔必须符合下列所有条件：</w:t>
            </w:r>
          </w:p>
          <w:p>
            <w:pPr>
              <w:pStyle w:val="TableParagraph"/>
              <w:spacing w:line="256" w:lineRule="auto" w:before="22"/>
              <w:ind w:left="-7" w:right="200"/>
              <w:rPr>
                <w:sz w:val="21"/>
              </w:rPr>
            </w:pPr>
            <w:r>
              <w:rPr>
                <w:spacing w:val="-17"/>
                <w:sz w:val="21"/>
              </w:rPr>
              <w:t>（</w:t>
            </w:r>
            <w:r>
              <w:rPr>
                <w:rFonts w:ascii="Times New Roman" w:eastAsia="Times New Roman"/>
                <w:spacing w:val="-17"/>
                <w:sz w:val="21"/>
              </w:rPr>
              <w:t>1</w:t>
            </w:r>
            <w:r>
              <w:rPr>
                <w:spacing w:val="-17"/>
                <w:sz w:val="21"/>
              </w:rPr>
              <w:t>）</w:t>
            </w:r>
            <w:r>
              <w:rPr>
                <w:spacing w:val="-5"/>
                <w:sz w:val="21"/>
              </w:rPr>
              <w:t>感染必须是在被保险人正在从事其职业工作中发生，该职业必须属于</w:t>
            </w:r>
            <w:r>
              <w:rPr>
                <w:spacing w:val="-4"/>
                <w:sz w:val="21"/>
              </w:rPr>
              <w:t>以下列表内的职业：</w:t>
            </w:r>
          </w:p>
          <w:p>
            <w:pPr>
              <w:pStyle w:val="TableParagraph"/>
              <w:tabs>
                <w:tab w:pos="2794" w:val="left" w:leader="none"/>
              </w:tabs>
              <w:spacing w:before="31"/>
              <w:ind w:left="70"/>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794" w:val="left" w:leader="none"/>
              </w:tabs>
              <w:spacing w:before="53"/>
              <w:ind w:left="70"/>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2794" w:val="left" w:leader="none"/>
              </w:tabs>
              <w:spacing w:line="285" w:lineRule="auto" w:before="50"/>
              <w:ind w:left="70" w:right="2663"/>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 助产士</w:t>
              <w:tab/>
              <w:t>消防</w:t>
            </w:r>
            <w:r>
              <w:rPr>
                <w:spacing w:val="-3"/>
                <w:sz w:val="21"/>
              </w:rPr>
              <w:t>队</w:t>
            </w:r>
            <w:r>
              <w:rPr>
                <w:sz w:val="21"/>
              </w:rPr>
              <w:t>员</w:t>
            </w:r>
          </w:p>
          <w:p>
            <w:pPr>
              <w:pStyle w:val="TableParagraph"/>
              <w:tabs>
                <w:tab w:pos="2794" w:val="left" w:leader="none"/>
              </w:tabs>
              <w:spacing w:before="11"/>
              <w:ind w:left="70"/>
              <w:rPr>
                <w:sz w:val="21"/>
              </w:rPr>
            </w:pPr>
            <w:r>
              <w:rPr>
                <w:sz w:val="21"/>
              </w:rPr>
              <w:t>警察</w:t>
              <w:tab/>
              <w:t>狱警</w:t>
            </w:r>
          </w:p>
          <w:p>
            <w:pPr>
              <w:pStyle w:val="TableParagraph"/>
              <w:spacing w:line="256" w:lineRule="auto" w:before="49"/>
              <w:ind w:left="-7" w:right="200"/>
              <w:rPr>
                <w:sz w:val="21"/>
              </w:rPr>
            </w:pPr>
            <w:r>
              <w:rPr>
                <w:spacing w:val="-17"/>
                <w:sz w:val="21"/>
              </w:rPr>
              <w:t>（</w:t>
            </w:r>
            <w:r>
              <w:rPr>
                <w:rFonts w:ascii="Times New Roman" w:eastAsia="Times New Roman"/>
                <w:spacing w:val="-17"/>
                <w:sz w:val="21"/>
              </w:rPr>
              <w:t>2</w:t>
            </w:r>
            <w:r>
              <w:rPr>
                <w:spacing w:val="-17"/>
                <w:sz w:val="21"/>
              </w:rPr>
              <w:t>）</w:t>
            </w:r>
            <w:r>
              <w:rPr>
                <w:spacing w:val="-5"/>
                <w:sz w:val="21"/>
              </w:rPr>
              <w:t>必须提供被保险人在所报事故发生后的 </w:t>
            </w:r>
            <w:r>
              <w:rPr>
                <w:rFonts w:ascii="Times New Roman" w:eastAsia="Times New Roman"/>
                <w:sz w:val="21"/>
              </w:rPr>
              <w:t>5 </w:t>
            </w:r>
            <w:r>
              <w:rPr>
                <w:spacing w:val="-7"/>
                <w:sz w:val="21"/>
              </w:rPr>
              <w:t>天以内进行的检查报告，该</w:t>
            </w:r>
            <w:r>
              <w:rPr>
                <w:spacing w:val="-9"/>
                <w:sz w:val="21"/>
              </w:rPr>
              <w:t>报告必须显示被保险人血液 </w:t>
            </w:r>
            <w:r>
              <w:rPr>
                <w:rFonts w:ascii="Times New Roman" w:eastAsia="Times New Roman"/>
                <w:sz w:val="21"/>
              </w:rPr>
              <w:t>HIV </w:t>
            </w:r>
            <w:r>
              <w:rPr>
                <w:spacing w:val="-3"/>
                <w:sz w:val="21"/>
              </w:rPr>
              <w:t>病毒阴性和</w:t>
            </w:r>
            <w:r>
              <w:rPr>
                <w:rFonts w:ascii="Times New Roman" w:eastAsia="Times New Roman"/>
                <w:sz w:val="21"/>
              </w:rPr>
              <w:t>/</w:t>
            </w:r>
            <w:r>
              <w:rPr>
                <w:spacing w:val="-25"/>
                <w:sz w:val="21"/>
              </w:rPr>
              <w:t>或 </w:t>
            </w:r>
            <w:r>
              <w:rPr>
                <w:rFonts w:ascii="Times New Roman" w:eastAsia="Times New Roman"/>
                <w:sz w:val="21"/>
              </w:rPr>
              <w:t>HIV </w:t>
            </w:r>
            <w:r>
              <w:rPr>
                <w:spacing w:val="-3"/>
                <w:sz w:val="21"/>
              </w:rPr>
              <w:t>抗体阴性；</w:t>
            </w:r>
          </w:p>
          <w:p>
            <w:pPr>
              <w:pStyle w:val="TableParagraph"/>
              <w:spacing w:before="4"/>
              <w:ind w:left="-7"/>
              <w:rPr>
                <w:sz w:val="21"/>
              </w:rPr>
            </w:pPr>
            <w:r>
              <w:rPr>
                <w:sz w:val="21"/>
              </w:rPr>
              <w:t>（</w:t>
            </w:r>
            <w:r>
              <w:rPr>
                <w:rFonts w:ascii="Times New Roman" w:eastAsia="Times New Roman"/>
                <w:sz w:val="21"/>
              </w:rPr>
              <w:t>3</w:t>
            </w:r>
            <w:r>
              <w:rPr>
                <w:sz w:val="21"/>
              </w:rPr>
              <w:t>）必须在事故发生后的 </w:t>
            </w:r>
            <w:r>
              <w:rPr>
                <w:rFonts w:ascii="Times New Roman" w:eastAsia="Times New Roman"/>
                <w:sz w:val="21"/>
              </w:rPr>
              <w:t>6 </w:t>
            </w:r>
            <w:r>
              <w:rPr>
                <w:sz w:val="21"/>
              </w:rPr>
              <w:t>个月内证实被保险人体内存在 </w:t>
            </w:r>
            <w:r>
              <w:rPr>
                <w:rFonts w:ascii="Times New Roman" w:eastAsia="Times New Roman"/>
                <w:sz w:val="21"/>
              </w:rPr>
              <w:t>HIV </w:t>
            </w:r>
            <w:r>
              <w:rPr>
                <w:sz w:val="21"/>
              </w:rPr>
              <w:t>病毒或者</w:t>
            </w:r>
          </w:p>
          <w:p>
            <w:pPr>
              <w:pStyle w:val="TableParagraph"/>
              <w:spacing w:before="20"/>
              <w:ind w:left="-7"/>
              <w:rPr>
                <w:sz w:val="21"/>
              </w:rPr>
            </w:pP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line="255" w:lineRule="exact" w:before="21"/>
              <w:ind w:left="-7"/>
              <w:rPr>
                <w:sz w:val="21"/>
              </w:rPr>
            </w:pPr>
            <w:r>
              <w:rPr>
                <w:sz w:val="21"/>
              </w:rPr>
              <w:t>我们承担本项疾病责任不受本合同“责任免除”中“被保险人感染艾滋病</w:t>
            </w:r>
          </w:p>
        </w:tc>
      </w:tr>
    </w:tbl>
    <w:p>
      <w:pPr>
        <w:rPr>
          <w:sz w:val="2"/>
          <w:szCs w:val="2"/>
        </w:rPr>
      </w:pPr>
      <w:r>
        <w:rPr/>
        <w:pict>
          <v:group style="position:absolute;margin-left:221.449997pt;margin-top:569.230042pt;width:278.150pt;height:82.15pt;mso-position-horizontal-relative:page;mso-position-vertical-relative:page;z-index:-45352" coordorigin="4429,11385" coordsize="5563,1643">
            <v:line style="position:absolute" from="4429,11389" to="7144,11389" stroked="true" strokeweight=".47998pt" strokecolor="#000000">
              <v:stroke dashstyle="solid"/>
            </v:line>
            <v:rect style="position:absolute;left:7143;top:11384;width:10;height:10" filled="true" fillcolor="#000000" stroked="false">
              <v:fill type="solid"/>
            </v:rect>
            <v:line style="position:absolute" from="7153,11389" to="9982,11389" stroked="true" strokeweight=".47998pt" strokecolor="#000000">
              <v:stroke dashstyle="solid"/>
            </v:line>
            <v:line style="position:absolute" from="4429,11713" to="7144,11713" stroked="true" strokeweight=".71997pt" strokecolor="#000000">
              <v:stroke dashstyle="solid"/>
            </v:line>
            <v:line style="position:absolute" from="7158,11713" to="9982,11713" stroked="true" strokeweight=".71997pt" strokecolor="#000000">
              <v:stroke dashstyle="solid"/>
            </v:line>
            <v:line style="position:absolute" from="4429,12043" to="7144,12043" stroked="true" strokeweight=".72003pt" strokecolor="#000000">
              <v:stroke dashstyle="solid"/>
            </v:line>
            <v:line style="position:absolute" from="7158,12043" to="9982,12043" stroked="true" strokeweight=".72003pt" strokecolor="#000000">
              <v:stroke dashstyle="solid"/>
            </v:line>
            <v:line style="position:absolute" from="4429,12369" to="7144,12369" stroked="true" strokeweight=".71997pt" strokecolor="#000000">
              <v:stroke dashstyle="solid"/>
            </v:line>
            <v:line style="position:absolute" from="7158,12369" to="9982,12369" stroked="true" strokeweight=".71997pt" strokecolor="#000000">
              <v:stroke dashstyle="solid"/>
            </v:line>
            <v:line style="position:absolute" from="4429,12696" to="7144,12696" stroked="true" strokeweight=".71997pt" strokecolor="#000000">
              <v:stroke dashstyle="solid"/>
            </v:line>
            <v:line style="position:absolute" from="7158,12696" to="9982,12696" stroked="true" strokeweight=".71997pt" strokecolor="#000000">
              <v:stroke dashstyle="solid"/>
            </v:line>
            <v:line style="position:absolute" from="4429,13022" to="7144,13022" stroked="true" strokeweight=".47998pt" strokecolor="#000000">
              <v:stroke dashstyle="solid"/>
            </v:line>
            <v:line style="position:absolute" from="7151,11394" to="7151,13017" stroked="true" strokeweight=".72pt" strokecolor="#000000">
              <v:stroke dashstyle="solid"/>
            </v:line>
            <v:rect style="position:absolute;left:7143;top:13017;width:10;height:10" filled="true" fillcolor="#000000" stroked="false">
              <v:fill type="solid"/>
            </v:rect>
            <v:line style="position:absolute" from="7153,13022" to="9982,13022" stroked="true" strokeweight=".47998pt" strokecolor="#000000">
              <v:stroke dashstyle="solid"/>
            </v:line>
            <v:line style="position:absolute" from="9986,11385" to="9986,13017" stroked="true" strokeweight=".47998pt" strokecolor="#000000">
              <v:stroke dashstyle="solid"/>
            </v:line>
            <v:rect style="position:absolute;left:9981;top:13017;width:10;height:10" filled="true" fillcolor="#000000" stroked="false">
              <v:fill type="solid"/>
            </v:rect>
            <w10:wrap type="none"/>
          </v:group>
        </w:pict>
      </w:r>
    </w:p>
    <w:p>
      <w:pPr>
        <w:spacing w:after="0"/>
        <w:rPr>
          <w:sz w:val="2"/>
          <w:szCs w:val="2"/>
        </w:rPr>
        <w:sectPr>
          <w:pgSz w:w="11910" w:h="16160"/>
          <w:pgMar w:header="0" w:footer="993" w:top="1420" w:bottom="11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863"/>
        <w:gridCol w:w="7177"/>
      </w:tblGrid>
      <w:tr>
        <w:trPr>
          <w:trHeight w:val="266" w:hRule="atLeast"/>
        </w:trPr>
        <w:tc>
          <w:tcPr>
            <w:tcW w:w="497" w:type="dxa"/>
          </w:tcPr>
          <w:p>
            <w:pPr>
              <w:pStyle w:val="TableParagraph"/>
              <w:ind w:left="0"/>
              <w:rPr>
                <w:rFonts w:ascii="Times New Roman"/>
                <w:sz w:val="18"/>
              </w:rPr>
            </w:pPr>
          </w:p>
        </w:tc>
        <w:tc>
          <w:tcPr>
            <w:tcW w:w="2863" w:type="dxa"/>
          </w:tcPr>
          <w:p>
            <w:pPr>
              <w:pStyle w:val="TableParagraph"/>
              <w:ind w:left="0"/>
              <w:rPr>
                <w:rFonts w:ascii="Times New Roman"/>
                <w:sz w:val="18"/>
              </w:rPr>
            </w:pPr>
          </w:p>
        </w:tc>
        <w:tc>
          <w:tcPr>
            <w:tcW w:w="7177" w:type="dxa"/>
          </w:tcPr>
          <w:p>
            <w:pPr>
              <w:pStyle w:val="TableParagraph"/>
              <w:spacing w:line="202" w:lineRule="exact"/>
              <w:ind w:left="181"/>
              <w:rPr>
                <w:sz w:val="21"/>
              </w:rPr>
            </w:pPr>
            <w:r>
              <w:rPr>
                <w:sz w:val="21"/>
              </w:rPr>
              <w:t>病毒或患艾滋病”的限制。</w:t>
            </w:r>
          </w:p>
        </w:tc>
      </w:tr>
      <w:tr>
        <w:trPr>
          <w:trHeight w:val="3754" w:hRule="atLeast"/>
        </w:trPr>
        <w:tc>
          <w:tcPr>
            <w:tcW w:w="497" w:type="dxa"/>
          </w:tcPr>
          <w:p>
            <w:pPr>
              <w:pStyle w:val="TableParagraph"/>
              <w:spacing w:before="39"/>
              <w:ind w:left="0" w:right="32"/>
              <w:jc w:val="right"/>
              <w:rPr>
                <w:rFonts w:ascii="Times New Roman"/>
                <w:sz w:val="21"/>
              </w:rPr>
            </w:pPr>
            <w:r>
              <w:rPr>
                <w:rFonts w:ascii="Times New Roman"/>
                <w:sz w:val="21"/>
              </w:rPr>
              <w:t>28.</w:t>
            </w:r>
          </w:p>
        </w:tc>
        <w:tc>
          <w:tcPr>
            <w:tcW w:w="2863" w:type="dxa"/>
          </w:tcPr>
          <w:p>
            <w:pPr>
              <w:pStyle w:val="TableParagraph"/>
              <w:spacing w:line="273" w:lineRule="auto"/>
              <w:ind w:left="32" w:right="181"/>
              <w:rPr>
                <w:sz w:val="21"/>
              </w:rPr>
            </w:pPr>
            <w:r>
              <w:rPr>
                <w:sz w:val="21"/>
              </w:rPr>
              <w:t>特发性慢性肾上腺皮质功能减退</w:t>
            </w:r>
          </w:p>
        </w:tc>
        <w:tc>
          <w:tcPr>
            <w:tcW w:w="7177" w:type="dxa"/>
          </w:tcPr>
          <w:p>
            <w:pPr>
              <w:pStyle w:val="TableParagraph"/>
              <w:spacing w:line="273" w:lineRule="auto"/>
              <w:ind w:left="181" w:right="257"/>
              <w:rPr>
                <w:sz w:val="21"/>
              </w:rPr>
            </w:pPr>
            <w:r>
              <w:rPr>
                <w:sz w:val="21"/>
              </w:rPr>
              <w:t>指自身免疫性肾上腺炎（既往称：特发性肾上腺皮质萎缩）导致肾上腺萎缩和慢性肾上腺皮质功能减退。必须满足所有以下条件：</w:t>
            </w:r>
          </w:p>
          <w:p>
            <w:pPr>
              <w:pStyle w:val="TableParagraph"/>
              <w:spacing w:before="15"/>
              <w:ind w:left="181"/>
              <w:rPr>
                <w:sz w:val="21"/>
              </w:rPr>
            </w:pPr>
            <w:r>
              <w:rPr>
                <w:sz w:val="21"/>
              </w:rPr>
              <w:t>（</w:t>
            </w:r>
            <w:r>
              <w:rPr>
                <w:rFonts w:ascii="Times New Roman" w:eastAsia="Times New Roman"/>
                <w:sz w:val="21"/>
              </w:rPr>
              <w:t>1</w:t>
            </w:r>
            <w:r>
              <w:rPr>
                <w:sz w:val="21"/>
              </w:rPr>
              <w:t>）明确诊断，符合所有以下诊断标准；</w:t>
            </w:r>
          </w:p>
          <w:p>
            <w:pPr>
              <w:pStyle w:val="TableParagraph"/>
              <w:spacing w:before="20"/>
              <w:ind w:left="707"/>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56" w:lineRule="auto" w:before="20"/>
              <w:ind w:left="181" w:right="257" w:firstLine="525"/>
              <w:jc w:val="both"/>
              <w:rPr>
                <w:sz w:val="21"/>
              </w:rPr>
            </w:pPr>
            <w:r>
              <w:rPr>
                <w:spacing w:val="-7"/>
                <w:sz w:val="21"/>
              </w:rPr>
              <w:t>② 血浆和尿游离皮质醇及尿 </w:t>
            </w:r>
            <w:r>
              <w:rPr>
                <w:rFonts w:ascii="Times New Roman" w:hAnsi="Times New Roman" w:eastAsia="Times New Roman"/>
                <w:sz w:val="21"/>
              </w:rPr>
              <w:t>17 </w:t>
            </w:r>
            <w:r>
              <w:rPr>
                <w:spacing w:val="-3"/>
                <w:sz w:val="21"/>
              </w:rPr>
              <w:t>羟皮质类固醇、</w:t>
            </w:r>
            <w:r>
              <w:rPr>
                <w:rFonts w:ascii="Times New Roman" w:hAnsi="Times New Roman" w:eastAsia="Times New Roman"/>
                <w:sz w:val="21"/>
              </w:rPr>
              <w:t>17 </w:t>
            </w:r>
            <w:r>
              <w:rPr>
                <w:spacing w:val="-2"/>
                <w:sz w:val="21"/>
              </w:rPr>
              <w:t>酮皮质类固醇测</w:t>
            </w:r>
            <w:r>
              <w:rPr>
                <w:spacing w:val="-8"/>
                <w:sz w:val="21"/>
              </w:rPr>
              <w:t>定、血浆肾素活性、血管紧张素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6" w:lineRule="auto" w:before="22"/>
              <w:ind w:left="181" w:right="396" w:firstLine="525"/>
              <w:rPr>
                <w:sz w:val="21"/>
              </w:rPr>
            </w:pPr>
            <w:r>
              <w:rPr>
                <w:sz w:val="21"/>
              </w:rPr>
              <w:t>③ 血浆促肾上腺皮质激素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181"/>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left="181" w:right="198"/>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tc>
      </w:tr>
      <w:tr>
        <w:trPr>
          <w:trHeight w:val="2496" w:hRule="atLeast"/>
        </w:trPr>
        <w:tc>
          <w:tcPr>
            <w:tcW w:w="497" w:type="dxa"/>
          </w:tcPr>
          <w:p>
            <w:pPr>
              <w:pStyle w:val="TableParagraph"/>
              <w:spacing w:before="29"/>
              <w:ind w:left="0" w:right="32"/>
              <w:jc w:val="right"/>
              <w:rPr>
                <w:rFonts w:ascii="Times New Roman"/>
                <w:sz w:val="21"/>
              </w:rPr>
            </w:pPr>
            <w:r>
              <w:rPr>
                <w:rFonts w:ascii="Times New Roman"/>
                <w:sz w:val="21"/>
              </w:rPr>
              <w:t>29.</w:t>
            </w:r>
          </w:p>
        </w:tc>
        <w:tc>
          <w:tcPr>
            <w:tcW w:w="2863" w:type="dxa"/>
          </w:tcPr>
          <w:p>
            <w:pPr>
              <w:pStyle w:val="TableParagraph"/>
              <w:spacing w:line="257" w:lineRule="exact"/>
              <w:ind w:left="32"/>
              <w:rPr>
                <w:sz w:val="21"/>
              </w:rPr>
            </w:pPr>
            <w:r>
              <w:rPr>
                <w:sz w:val="21"/>
              </w:rPr>
              <w:t>严重冠状动脉粥样硬化性心</w:t>
            </w:r>
          </w:p>
          <w:p>
            <w:pPr>
              <w:pStyle w:val="TableParagraph"/>
              <w:spacing w:before="37"/>
              <w:ind w:left="32"/>
              <w:rPr>
                <w:sz w:val="21"/>
              </w:rPr>
            </w:pPr>
            <w:r>
              <w:rPr>
                <w:sz w:val="21"/>
              </w:rPr>
              <w:t>脏病</w:t>
            </w:r>
          </w:p>
        </w:tc>
        <w:tc>
          <w:tcPr>
            <w:tcW w:w="7177" w:type="dxa"/>
          </w:tcPr>
          <w:p>
            <w:pPr>
              <w:pStyle w:val="TableParagraph"/>
              <w:spacing w:line="257" w:lineRule="exact"/>
              <w:ind w:left="181"/>
              <w:rPr>
                <w:sz w:val="21"/>
              </w:rPr>
            </w:pPr>
            <w:r>
              <w:rPr>
                <w:sz w:val="21"/>
              </w:rPr>
              <w:t>指经心脏科专科医生根据冠状动脉造影检查结果确诊为主要血管严重狭窄</w:t>
            </w:r>
          </w:p>
          <w:p>
            <w:pPr>
              <w:pStyle w:val="TableParagraph"/>
              <w:spacing w:before="37"/>
              <w:ind w:left="181"/>
              <w:rPr>
                <w:sz w:val="21"/>
              </w:rPr>
            </w:pPr>
            <w:r>
              <w:rPr>
                <w:sz w:val="21"/>
              </w:rPr>
              <w:t>性病变，须满足下列至少一项条件：</w:t>
            </w:r>
          </w:p>
          <w:p>
            <w:pPr>
              <w:pStyle w:val="TableParagraph"/>
              <w:spacing w:line="256" w:lineRule="auto" w:before="37"/>
              <w:ind w:left="181" w:right="191"/>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5"/>
              <w:ind w:left="181" w:right="199"/>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 其他两支血管管腔堵塞</w:t>
            </w:r>
            <w:r>
              <w:rPr>
                <w:rFonts w:ascii="Times New Roman" w:eastAsia="Times New Roman"/>
                <w:sz w:val="21"/>
              </w:rPr>
              <w:t>60%</w:t>
            </w:r>
            <w:r>
              <w:rPr>
                <w:sz w:val="21"/>
              </w:rPr>
              <w:t>以上。</w:t>
            </w:r>
          </w:p>
          <w:p>
            <w:pPr>
              <w:pStyle w:val="TableParagraph"/>
              <w:spacing w:line="273" w:lineRule="auto" w:before="5"/>
              <w:ind w:left="181" w:right="214"/>
              <w:rPr>
                <w:b/>
                <w:sz w:val="21"/>
              </w:rPr>
            </w:pPr>
            <w:r>
              <w:rPr>
                <w:b/>
                <w:sz w:val="21"/>
              </w:rPr>
              <w:t>前降支的分支血管、左旋支的分支血管及右冠状动脉的分支血管的狭窄不作为本保障的衡量指标。</w:t>
            </w:r>
          </w:p>
        </w:tc>
      </w:tr>
      <w:tr>
        <w:trPr>
          <w:trHeight w:val="1560" w:hRule="atLeast"/>
        </w:trPr>
        <w:tc>
          <w:tcPr>
            <w:tcW w:w="497" w:type="dxa"/>
          </w:tcPr>
          <w:p>
            <w:pPr>
              <w:pStyle w:val="TableParagraph"/>
              <w:spacing w:before="29"/>
              <w:ind w:left="0" w:right="32"/>
              <w:jc w:val="right"/>
              <w:rPr>
                <w:rFonts w:ascii="Times New Roman"/>
                <w:sz w:val="21"/>
              </w:rPr>
            </w:pPr>
            <w:r>
              <w:rPr>
                <w:rFonts w:ascii="Times New Roman"/>
                <w:sz w:val="21"/>
              </w:rPr>
              <w:t>30.</w:t>
            </w:r>
          </w:p>
        </w:tc>
        <w:tc>
          <w:tcPr>
            <w:tcW w:w="2863" w:type="dxa"/>
          </w:tcPr>
          <w:p>
            <w:pPr>
              <w:pStyle w:val="TableParagraph"/>
              <w:spacing w:line="257" w:lineRule="exact"/>
              <w:ind w:left="32"/>
              <w:rPr>
                <w:sz w:val="21"/>
              </w:rPr>
            </w:pPr>
            <w:r>
              <w:rPr>
                <w:sz w:val="21"/>
              </w:rPr>
              <w:t>脊髓灰质炎</w:t>
            </w:r>
          </w:p>
        </w:tc>
        <w:tc>
          <w:tcPr>
            <w:tcW w:w="7177" w:type="dxa"/>
          </w:tcPr>
          <w:p>
            <w:pPr>
              <w:pStyle w:val="TableParagraph"/>
              <w:spacing w:line="257" w:lineRule="exact"/>
              <w:ind w:left="181"/>
              <w:rPr>
                <w:sz w:val="21"/>
              </w:rPr>
            </w:pPr>
            <w:r>
              <w:rPr>
                <w:sz w:val="21"/>
              </w:rPr>
              <w:t>指由于脊髓灰质炎病毒感染所致的瘫痪性疾病，临床表现为运动功能损害</w:t>
            </w:r>
          </w:p>
          <w:p>
            <w:pPr>
              <w:pStyle w:val="TableParagraph"/>
              <w:spacing w:line="266" w:lineRule="auto" w:before="37"/>
              <w:ind w:left="181" w:right="255"/>
              <w:jc w:val="both"/>
              <w:rPr>
                <w:sz w:val="21"/>
              </w:rPr>
            </w:pPr>
            <w:r>
              <w:rPr>
                <w:spacing w:val="-3"/>
                <w:sz w:val="21"/>
              </w:rPr>
              <w:t>或呼吸无力。脊髓灰质炎必须明确诊断。</w:t>
            </w:r>
            <w:r>
              <w:rPr>
                <w:b/>
                <w:spacing w:val="-1"/>
                <w:sz w:val="21"/>
              </w:rPr>
              <w:t>本合同仅对脊髓灰质炎造成的神</w:t>
            </w:r>
            <w:r>
              <w:rPr>
                <w:b/>
                <w:spacing w:val="1"/>
                <w:sz w:val="21"/>
              </w:rPr>
              <w:t>经系统功能损害导致被保险人一肢或一肢以上肢体机能永久完全丧失的</w:t>
            </w:r>
            <w:r>
              <w:rPr>
                <w:b/>
                <w:spacing w:val="-4"/>
                <w:sz w:val="21"/>
              </w:rPr>
              <w:t>情况予以理赔。</w:t>
            </w:r>
            <w:r>
              <w:rPr>
                <w:spacing w:val="-6"/>
                <w:sz w:val="21"/>
              </w:rPr>
              <w:t>肢体机能永久完全丧失，指疾病确诊</w:t>
            </w:r>
            <w:r>
              <w:rPr>
                <w:rFonts w:ascii="Times New Roman" w:eastAsia="Times New Roman"/>
                <w:sz w:val="21"/>
              </w:rPr>
              <w:t>180</w:t>
            </w:r>
            <w:r>
              <w:rPr>
                <w:spacing w:val="-7"/>
                <w:sz w:val="21"/>
              </w:rPr>
              <w:t>天后，每肢三大关</w:t>
            </w:r>
            <w:r>
              <w:rPr>
                <w:spacing w:val="-5"/>
                <w:sz w:val="21"/>
              </w:rPr>
              <w:t>节中的两大关节仍然完全僵硬，或不能随意识活动。</w:t>
            </w:r>
          </w:p>
        </w:tc>
      </w:tr>
      <w:tr>
        <w:trPr>
          <w:trHeight w:val="3120" w:hRule="atLeast"/>
        </w:trPr>
        <w:tc>
          <w:tcPr>
            <w:tcW w:w="497" w:type="dxa"/>
          </w:tcPr>
          <w:p>
            <w:pPr>
              <w:pStyle w:val="TableParagraph"/>
              <w:spacing w:before="29"/>
              <w:ind w:left="0" w:right="32"/>
              <w:jc w:val="right"/>
              <w:rPr>
                <w:rFonts w:ascii="Times New Roman"/>
                <w:sz w:val="21"/>
              </w:rPr>
            </w:pPr>
            <w:r>
              <w:rPr>
                <w:rFonts w:ascii="Times New Roman"/>
                <w:sz w:val="21"/>
              </w:rPr>
              <w:t>31.</w:t>
            </w:r>
          </w:p>
        </w:tc>
        <w:tc>
          <w:tcPr>
            <w:tcW w:w="2863" w:type="dxa"/>
          </w:tcPr>
          <w:p>
            <w:pPr>
              <w:pStyle w:val="TableParagraph"/>
              <w:spacing w:line="257" w:lineRule="exact"/>
              <w:ind w:left="32"/>
              <w:rPr>
                <w:sz w:val="21"/>
              </w:rPr>
            </w:pPr>
            <w:r>
              <w:rPr>
                <w:sz w:val="21"/>
              </w:rPr>
              <w:t>全身性（型）重症肌无力</w:t>
            </w:r>
          </w:p>
        </w:tc>
        <w:tc>
          <w:tcPr>
            <w:tcW w:w="7177" w:type="dxa"/>
          </w:tcPr>
          <w:p>
            <w:pPr>
              <w:pStyle w:val="TableParagraph"/>
              <w:spacing w:line="257" w:lineRule="exact"/>
              <w:ind w:left="181"/>
              <w:rPr>
                <w:sz w:val="21"/>
              </w:rPr>
            </w:pPr>
            <w:r>
              <w:rPr>
                <w:sz w:val="21"/>
              </w:rPr>
              <w:t>指一种神经与肌肉接头部位传递障碍的自身免疫性疾病，临床特征是局部</w:t>
            </w:r>
          </w:p>
          <w:p>
            <w:pPr>
              <w:pStyle w:val="TableParagraph"/>
              <w:spacing w:line="273" w:lineRule="auto" w:before="37"/>
              <w:ind w:left="181" w:right="258"/>
              <w:jc w:val="both"/>
              <w:rPr>
                <w:sz w:val="21"/>
              </w:rPr>
            </w:pPr>
            <w:r>
              <w:rPr>
                <w:sz w:val="21"/>
              </w:rPr>
              <w:t>或全身横纹肌于活动时易于疲劳无力，颅神经眼外肌最易累及，也可涉及呼吸肌、下肢近端肌群乃至全身肌肉。其诊断必须同时满足下列全部条件</w:t>
            </w:r>
          </w:p>
          <w:p>
            <w:pPr>
              <w:pStyle w:val="TableParagraph"/>
              <w:spacing w:line="264" w:lineRule="auto" w:before="7"/>
              <w:ind w:left="181" w:right="256"/>
              <w:jc w:val="both"/>
              <w:rPr>
                <w:sz w:val="21"/>
              </w:rPr>
            </w:pPr>
            <w:r>
              <w:rPr>
                <w:spacing w:val="-26"/>
                <w:sz w:val="21"/>
              </w:rPr>
              <w:t>（</w:t>
            </w:r>
            <w:r>
              <w:rPr>
                <w:rFonts w:ascii="Times New Roman" w:eastAsia="Times New Roman"/>
                <w:spacing w:val="-26"/>
                <w:sz w:val="21"/>
              </w:rPr>
              <w:t>1</w:t>
            </w:r>
            <w:r>
              <w:rPr>
                <w:spacing w:val="-26"/>
                <w:sz w:val="21"/>
              </w:rPr>
              <w:t>）</w:t>
            </w:r>
            <w:r>
              <w:rPr>
                <w:spacing w:val="-17"/>
                <w:sz w:val="21"/>
              </w:rPr>
              <w:t>经药物、胸腺手术治疗一年以上无法控制病情，丧失正常工作能力</w:t>
            </w:r>
            <w:r>
              <w:rPr>
                <w:sz w:val="21"/>
              </w:rPr>
              <w:t>（为</w:t>
            </w:r>
            <w:r>
              <w:rPr>
                <w:spacing w:val="-3"/>
                <w:sz w:val="21"/>
              </w:rPr>
              <w:t>维持生命必要的日常生活活动，全需他人扶助，系指食物摄取、大小便始</w:t>
            </w:r>
            <w:r>
              <w:rPr>
                <w:spacing w:val="-19"/>
                <w:sz w:val="21"/>
              </w:rPr>
              <w:t>末、穿脱衣服、起居、步行、入浴等，皆不能自己为之，需要他人帮助。</w:t>
            </w:r>
            <w:r>
              <w:rPr>
                <w:sz w:val="21"/>
              </w:rPr>
              <w:t>）</w:t>
            </w:r>
          </w:p>
          <w:p>
            <w:pPr>
              <w:pStyle w:val="TableParagraph"/>
              <w:spacing w:line="259" w:lineRule="auto" w:before="15"/>
              <w:ind w:left="181" w:right="257"/>
              <w:jc w:val="both"/>
              <w:rPr>
                <w:sz w:val="21"/>
              </w:rPr>
            </w:pPr>
            <w:r>
              <w:rPr>
                <w:spacing w:val="-12"/>
                <w:sz w:val="21"/>
              </w:rPr>
              <w:t>（</w:t>
            </w:r>
            <w:r>
              <w:rPr>
                <w:rFonts w:ascii="Times New Roman" w:eastAsia="Times New Roman"/>
                <w:spacing w:val="-12"/>
                <w:sz w:val="21"/>
              </w:rPr>
              <w:t>2</w:t>
            </w:r>
            <w:r>
              <w:rPr>
                <w:spacing w:val="-12"/>
                <w:sz w:val="21"/>
              </w:rPr>
              <w:t>）</w:t>
            </w:r>
            <w:r>
              <w:rPr>
                <w:spacing w:val="-7"/>
                <w:sz w:val="21"/>
              </w:rPr>
              <w:t>出现因延髓肌受累引起的构音困难、进食呛咳；或由于肌无力累及延</w:t>
            </w:r>
            <w:r>
              <w:rPr>
                <w:spacing w:val="-5"/>
                <w:sz w:val="21"/>
              </w:rPr>
              <w:t>髓肌、呼吸肌而致机体呼吸功能不正常的危急状态即肌无力危象；</w:t>
            </w:r>
          </w:p>
          <w:p>
            <w:pPr>
              <w:pStyle w:val="TableParagraph"/>
              <w:spacing w:line="256" w:lineRule="auto" w:before="20"/>
              <w:ind w:left="181" w:right="257"/>
              <w:jc w:val="both"/>
              <w:rPr>
                <w:sz w:val="21"/>
              </w:rPr>
            </w:pPr>
            <w:r>
              <w:rPr>
                <w:spacing w:val="-12"/>
                <w:sz w:val="21"/>
              </w:rPr>
              <w:t>（</w:t>
            </w:r>
            <w:r>
              <w:rPr>
                <w:rFonts w:ascii="Times New Roman" w:eastAsia="Times New Roman"/>
                <w:spacing w:val="-12"/>
                <w:sz w:val="21"/>
              </w:rPr>
              <w:t>3</w:t>
            </w:r>
            <w:r>
              <w:rPr>
                <w:spacing w:val="-12"/>
                <w:sz w:val="21"/>
              </w:rPr>
              <w:t>）</w:t>
            </w:r>
            <w:r>
              <w:rPr>
                <w:spacing w:val="-9"/>
                <w:sz w:val="21"/>
              </w:rPr>
              <w:t>症状缓解、复发及恶化交替出现，临床接受新斯的明等抗胆碱酯酶药</w:t>
            </w:r>
            <w:r>
              <w:rPr>
                <w:spacing w:val="-5"/>
                <w:sz w:val="21"/>
              </w:rPr>
              <w:t>物治疗的病史。</w:t>
            </w:r>
          </w:p>
        </w:tc>
      </w:tr>
      <w:tr>
        <w:trPr>
          <w:trHeight w:val="1247" w:hRule="atLeast"/>
        </w:trPr>
        <w:tc>
          <w:tcPr>
            <w:tcW w:w="497" w:type="dxa"/>
          </w:tcPr>
          <w:p>
            <w:pPr>
              <w:pStyle w:val="TableParagraph"/>
              <w:spacing w:before="29"/>
              <w:ind w:left="0" w:right="32"/>
              <w:jc w:val="right"/>
              <w:rPr>
                <w:rFonts w:ascii="Times New Roman"/>
                <w:sz w:val="21"/>
              </w:rPr>
            </w:pPr>
            <w:r>
              <w:rPr>
                <w:rFonts w:ascii="Times New Roman"/>
                <w:sz w:val="21"/>
              </w:rPr>
              <w:t>32.</w:t>
            </w:r>
          </w:p>
        </w:tc>
        <w:tc>
          <w:tcPr>
            <w:tcW w:w="2863" w:type="dxa"/>
          </w:tcPr>
          <w:p>
            <w:pPr>
              <w:pStyle w:val="TableParagraph"/>
              <w:spacing w:line="257" w:lineRule="exact"/>
              <w:ind w:left="32"/>
              <w:rPr>
                <w:sz w:val="21"/>
              </w:rPr>
            </w:pPr>
            <w:r>
              <w:rPr>
                <w:sz w:val="21"/>
              </w:rPr>
              <w:t>严重心肌病</w:t>
            </w:r>
          </w:p>
        </w:tc>
        <w:tc>
          <w:tcPr>
            <w:tcW w:w="7177" w:type="dxa"/>
          </w:tcPr>
          <w:p>
            <w:pPr>
              <w:pStyle w:val="TableParagraph"/>
              <w:spacing w:line="257" w:lineRule="exact"/>
              <w:ind w:left="181"/>
              <w:rPr>
                <w:sz w:val="21"/>
              </w:rPr>
            </w:pPr>
            <w:r>
              <w:rPr>
                <w:sz w:val="21"/>
              </w:rPr>
              <w:t>指被保人因心肌病导致慢性心功能损害造成永久不可逆性的心功能衰竭。</w:t>
            </w:r>
          </w:p>
          <w:p>
            <w:pPr>
              <w:pStyle w:val="TableParagraph"/>
              <w:spacing w:line="256" w:lineRule="auto" w:before="37"/>
              <w:ind w:left="181" w:right="256"/>
              <w:jc w:val="both"/>
              <w:rPr>
                <w:sz w:val="21"/>
              </w:rPr>
            </w:pPr>
            <w:r>
              <w:rPr>
                <w:spacing w:val="-3"/>
                <w:sz w:val="21"/>
              </w:rPr>
              <w:t>心功能衰竭程度达到纽约心脏病学会的心功能分级标准之心功能</w:t>
            </w:r>
            <w:r>
              <w:rPr>
                <w:rFonts w:ascii="Times New Roman" w:eastAsia="Times New Roman"/>
                <w:sz w:val="21"/>
              </w:rPr>
              <w:t>IV</w:t>
            </w:r>
            <w:r>
              <w:rPr>
                <w:spacing w:val="-2"/>
                <w:sz w:val="21"/>
              </w:rPr>
              <w:t>级，且</w:t>
            </w:r>
            <w:r>
              <w:rPr>
                <w:spacing w:val="-3"/>
                <w:sz w:val="21"/>
              </w:rPr>
              <w:t>心功能衰竭状态持续至少</w:t>
            </w:r>
            <w:r>
              <w:rPr>
                <w:rFonts w:ascii="Times New Roman" w:eastAsia="Times New Roman"/>
                <w:sz w:val="21"/>
              </w:rPr>
              <w:t>180</w:t>
            </w:r>
            <w:r>
              <w:rPr>
                <w:spacing w:val="-12"/>
                <w:sz w:val="21"/>
              </w:rPr>
              <w:t>天。被保险人永久不可逆性的体力活动能力受</w:t>
            </w:r>
            <w:r>
              <w:rPr>
                <w:spacing w:val="-6"/>
                <w:sz w:val="21"/>
              </w:rPr>
              <w:t>限，且不能从事任何体力活动。</w:t>
            </w:r>
          </w:p>
        </w:tc>
      </w:tr>
      <w:tr>
        <w:trPr>
          <w:trHeight w:val="890" w:hRule="atLeast"/>
        </w:trPr>
        <w:tc>
          <w:tcPr>
            <w:tcW w:w="497" w:type="dxa"/>
          </w:tcPr>
          <w:p>
            <w:pPr>
              <w:pStyle w:val="TableParagraph"/>
              <w:spacing w:before="29"/>
              <w:ind w:left="0" w:right="32"/>
              <w:jc w:val="right"/>
              <w:rPr>
                <w:rFonts w:ascii="Times New Roman"/>
                <w:sz w:val="21"/>
              </w:rPr>
            </w:pPr>
            <w:r>
              <w:rPr>
                <w:rFonts w:ascii="Times New Roman"/>
                <w:sz w:val="21"/>
              </w:rPr>
              <w:t>33.</w:t>
            </w:r>
          </w:p>
        </w:tc>
        <w:tc>
          <w:tcPr>
            <w:tcW w:w="2863" w:type="dxa"/>
          </w:tcPr>
          <w:p>
            <w:pPr>
              <w:pStyle w:val="TableParagraph"/>
              <w:spacing w:line="273" w:lineRule="exact"/>
              <w:ind w:left="32"/>
              <w:rPr>
                <w:sz w:val="21"/>
              </w:rPr>
            </w:pPr>
            <w:r>
              <w:rPr>
                <w:sz w:val="21"/>
              </w:rPr>
              <w:t>严重克罗恩病（</w:t>
            </w:r>
            <w:r>
              <w:rPr>
                <w:rFonts w:ascii="Times New Roman" w:hAnsi="Times New Roman" w:eastAsia="Times New Roman"/>
                <w:sz w:val="21"/>
              </w:rPr>
              <w:t>Crohn’s </w:t>
            </w:r>
            <w:r>
              <w:rPr>
                <w:sz w:val="21"/>
              </w:rPr>
              <w:t>病）</w:t>
            </w:r>
          </w:p>
        </w:tc>
        <w:tc>
          <w:tcPr>
            <w:tcW w:w="7177" w:type="dxa"/>
          </w:tcPr>
          <w:p>
            <w:pPr>
              <w:pStyle w:val="TableParagraph"/>
              <w:spacing w:line="257" w:lineRule="exact"/>
              <w:ind w:left="181"/>
              <w:rPr>
                <w:sz w:val="21"/>
              </w:rPr>
            </w:pPr>
            <w:r>
              <w:rPr>
                <w:sz w:val="21"/>
              </w:rPr>
              <w:t>克罗恩病是一种慢性肉芽肿性肠炎，具有特征性的克罗恩病病理组织学变</w:t>
            </w:r>
          </w:p>
          <w:p>
            <w:pPr>
              <w:pStyle w:val="TableParagraph"/>
              <w:spacing w:line="310" w:lineRule="atLeast" w:before="2"/>
              <w:ind w:left="181" w:right="258"/>
              <w:rPr>
                <w:sz w:val="21"/>
              </w:rPr>
            </w:pPr>
            <w:r>
              <w:rPr>
                <w:sz w:val="21"/>
              </w:rPr>
              <w:t>化。诊断必须由病理检查结果证实。被保险人所患的克罗恩病必须已经造成瘘管形成并伴有肠梗阻或肠穿孔。</w:t>
            </w:r>
          </w:p>
        </w:tc>
      </w:tr>
    </w:tbl>
    <w:p>
      <w:pPr>
        <w:spacing w:after="0" w:line="310" w:lineRule="atLeast"/>
        <w:rPr>
          <w:sz w:val="21"/>
        </w:rPr>
        <w:sectPr>
          <w:pgSz w:w="11910" w:h="16160"/>
          <w:pgMar w:header="0" w:footer="993" w:top="1440" w:bottom="1180" w:left="760" w:right="380"/>
        </w:sectPr>
      </w:pPr>
    </w:p>
    <w:p>
      <w:pPr>
        <w:pStyle w:val="ListParagraph"/>
        <w:numPr>
          <w:ilvl w:val="0"/>
          <w:numId w:val="7"/>
        </w:numPr>
        <w:tabs>
          <w:tab w:pos="447" w:val="left" w:leader="none"/>
          <w:tab w:pos="3459" w:val="left" w:leader="none"/>
        </w:tabs>
        <w:spacing w:line="240" w:lineRule="auto" w:before="27" w:after="0"/>
        <w:ind w:left="446" w:right="0" w:hanging="329"/>
        <w:jc w:val="left"/>
        <w:rPr>
          <w:sz w:val="21"/>
        </w:rPr>
      </w:pPr>
      <w:r>
        <w:rPr>
          <w:sz w:val="21"/>
        </w:rPr>
        <w:t>严重</w:t>
      </w:r>
      <w:r>
        <w:rPr>
          <w:spacing w:val="-3"/>
          <w:sz w:val="21"/>
        </w:rPr>
        <w:t>溃</w:t>
      </w:r>
      <w:r>
        <w:rPr>
          <w:sz w:val="21"/>
        </w:rPr>
        <w:t>疡</w:t>
      </w:r>
      <w:r>
        <w:rPr>
          <w:spacing w:val="-3"/>
          <w:sz w:val="21"/>
        </w:rPr>
        <w:t>性</w:t>
      </w:r>
      <w:r>
        <w:rPr>
          <w:sz w:val="21"/>
        </w:rPr>
        <w:t>结</w:t>
      </w:r>
      <w:r>
        <w:rPr>
          <w:spacing w:val="-3"/>
          <w:sz w:val="21"/>
        </w:rPr>
        <w:t>肠</w:t>
      </w:r>
      <w:r>
        <w:rPr>
          <w:sz w:val="21"/>
        </w:rPr>
        <w:t>炎</w:t>
        <w:tab/>
        <w:t>本合同</w:t>
      </w:r>
      <w:r>
        <w:rPr>
          <w:spacing w:val="-3"/>
          <w:sz w:val="21"/>
        </w:rPr>
        <w:t>所</w:t>
      </w:r>
      <w:r>
        <w:rPr>
          <w:sz w:val="21"/>
        </w:rPr>
        <w:t>保障</w:t>
      </w:r>
      <w:r>
        <w:rPr>
          <w:spacing w:val="-3"/>
          <w:sz w:val="21"/>
        </w:rPr>
        <w:t>的</w:t>
      </w:r>
      <w:r>
        <w:rPr>
          <w:sz w:val="21"/>
        </w:rPr>
        <w:t>溃疡</w:t>
      </w:r>
      <w:r>
        <w:rPr>
          <w:spacing w:val="-3"/>
          <w:sz w:val="21"/>
        </w:rPr>
        <w:t>性结</w:t>
      </w:r>
      <w:r>
        <w:rPr>
          <w:sz w:val="21"/>
        </w:rPr>
        <w:t>肠炎是</w:t>
      </w:r>
      <w:r>
        <w:rPr>
          <w:spacing w:val="-3"/>
          <w:sz w:val="21"/>
        </w:rPr>
        <w:t>指</w:t>
      </w:r>
      <w:r>
        <w:rPr>
          <w:sz w:val="21"/>
        </w:rPr>
        <w:t>伴有</w:t>
      </w:r>
      <w:r>
        <w:rPr>
          <w:spacing w:val="-3"/>
          <w:sz w:val="21"/>
        </w:rPr>
        <w:t>致</w:t>
      </w:r>
      <w:r>
        <w:rPr>
          <w:sz w:val="21"/>
        </w:rPr>
        <w:t>命性</w:t>
      </w:r>
      <w:r>
        <w:rPr>
          <w:spacing w:val="-3"/>
          <w:sz w:val="21"/>
        </w:rPr>
        <w:t>电解</w:t>
      </w:r>
      <w:r>
        <w:rPr>
          <w:sz w:val="21"/>
        </w:rPr>
        <w:t>质紊乱</w:t>
      </w:r>
      <w:r>
        <w:rPr>
          <w:spacing w:val="-3"/>
          <w:sz w:val="21"/>
        </w:rPr>
        <w:t>的</w:t>
      </w:r>
      <w:r>
        <w:rPr>
          <w:sz w:val="21"/>
        </w:rPr>
        <w:t>急性</w:t>
      </w:r>
      <w:r>
        <w:rPr>
          <w:spacing w:val="-3"/>
          <w:sz w:val="21"/>
        </w:rPr>
        <w:t>暴</w:t>
      </w:r>
      <w:r>
        <w:rPr>
          <w:sz w:val="21"/>
        </w:rPr>
        <w:t>发性溃</w:t>
      </w:r>
    </w:p>
    <w:p>
      <w:pPr>
        <w:pStyle w:val="BodyText"/>
        <w:spacing w:line="273" w:lineRule="auto" w:before="21"/>
        <w:ind w:left="3459" w:right="109"/>
        <w:jc w:val="both"/>
      </w:pPr>
      <w:r>
        <w:rPr/>
        <w:t>疡性结肠炎，病变累及全结肠，表现为严重的血便和系统性症状体征。溃疡性结肠炎必须根据组织病理学特点诊断，并且被保险人已经接受了结肠切除或回肠造瘘术。</w:t>
      </w:r>
    </w:p>
    <w:p>
      <w:pPr>
        <w:pStyle w:val="ListParagraph"/>
        <w:numPr>
          <w:ilvl w:val="0"/>
          <w:numId w:val="7"/>
        </w:numPr>
        <w:tabs>
          <w:tab w:pos="447" w:val="left" w:leader="none"/>
          <w:tab w:pos="3459" w:val="left" w:leader="none"/>
        </w:tabs>
        <w:spacing w:line="240" w:lineRule="auto" w:before="7" w:after="0"/>
        <w:ind w:left="446" w:right="0" w:hanging="329"/>
        <w:jc w:val="left"/>
        <w:rPr>
          <w:sz w:val="21"/>
        </w:rPr>
      </w:pPr>
      <w:r>
        <w:rPr>
          <w:sz w:val="21"/>
        </w:rPr>
        <w:t>植物</w:t>
      </w:r>
      <w:r>
        <w:rPr>
          <w:spacing w:val="-3"/>
          <w:sz w:val="21"/>
        </w:rPr>
        <w:t>人</w:t>
      </w:r>
      <w:r>
        <w:rPr>
          <w:sz w:val="21"/>
        </w:rPr>
        <w:t>状态</w:t>
        <w:tab/>
      </w:r>
      <w:r>
        <w:rPr>
          <w:spacing w:val="2"/>
          <w:sz w:val="21"/>
        </w:rPr>
        <w:t>植物人状</w:t>
      </w:r>
      <w:r>
        <w:rPr>
          <w:sz w:val="21"/>
        </w:rPr>
        <w:t>态</w:t>
      </w:r>
      <w:r>
        <w:rPr>
          <w:spacing w:val="5"/>
          <w:sz w:val="21"/>
        </w:rPr>
        <w:t>是</w:t>
      </w:r>
      <w:r>
        <w:rPr>
          <w:spacing w:val="2"/>
          <w:sz w:val="21"/>
        </w:rPr>
        <w:t>指</w:t>
      </w:r>
      <w:r>
        <w:rPr>
          <w:sz w:val="21"/>
        </w:rPr>
        <w:t>由</w:t>
      </w:r>
      <w:r>
        <w:rPr>
          <w:spacing w:val="2"/>
          <w:sz w:val="21"/>
        </w:rPr>
        <w:t>于严</w:t>
      </w:r>
      <w:r>
        <w:rPr>
          <w:sz w:val="21"/>
        </w:rPr>
        <w:t>重</w:t>
      </w:r>
      <w:r>
        <w:rPr>
          <w:spacing w:val="2"/>
          <w:sz w:val="21"/>
        </w:rPr>
        <w:t>颅脑外伤</w:t>
      </w:r>
      <w:r>
        <w:rPr>
          <w:sz w:val="21"/>
        </w:rPr>
        <w:t>造</w:t>
      </w:r>
      <w:r>
        <w:rPr>
          <w:spacing w:val="2"/>
          <w:sz w:val="21"/>
        </w:rPr>
        <w:t>成大</w:t>
      </w:r>
      <w:r>
        <w:rPr>
          <w:sz w:val="21"/>
        </w:rPr>
        <w:t>脑</w:t>
      </w:r>
      <w:r>
        <w:rPr>
          <w:spacing w:val="5"/>
          <w:sz w:val="21"/>
        </w:rPr>
        <w:t>和</w:t>
      </w:r>
      <w:r>
        <w:rPr>
          <w:rFonts w:ascii="Times New Roman" w:eastAsia="Times New Roman"/>
          <w:sz w:val="21"/>
        </w:rPr>
        <w:t>/</w:t>
      </w:r>
      <w:r>
        <w:rPr>
          <w:spacing w:val="2"/>
          <w:sz w:val="21"/>
        </w:rPr>
        <w:t>或</w:t>
      </w:r>
      <w:r>
        <w:rPr>
          <w:sz w:val="21"/>
        </w:rPr>
        <w:t>脑</w:t>
      </w:r>
      <w:r>
        <w:rPr>
          <w:spacing w:val="2"/>
          <w:sz w:val="21"/>
        </w:rPr>
        <w:t>干严重损</w:t>
      </w:r>
      <w:r>
        <w:rPr>
          <w:sz w:val="21"/>
        </w:rPr>
        <w:t>害</w:t>
      </w:r>
      <w:r>
        <w:rPr>
          <w:spacing w:val="2"/>
          <w:sz w:val="21"/>
        </w:rPr>
        <w:t>导致</w:t>
      </w:r>
      <w:r>
        <w:rPr>
          <w:sz w:val="21"/>
        </w:rPr>
        <w:t>完全</w:t>
      </w:r>
    </w:p>
    <w:p>
      <w:pPr>
        <w:pStyle w:val="BodyText"/>
        <w:spacing w:line="266" w:lineRule="auto" w:before="20"/>
        <w:ind w:left="3459" w:right="109"/>
        <w:jc w:val="both"/>
      </w:pPr>
      <w:r>
        <w:rPr/>
        <w:t>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rPr>
        <w:t>12</w:t>
      </w:r>
      <w:r>
        <w:rPr/>
        <w:t>个月以上。诊断必须明确并且具有严重颅脑外伤和脑损害的证据。</w:t>
      </w:r>
    </w:p>
    <w:p>
      <w:pPr>
        <w:pStyle w:val="ListParagraph"/>
        <w:numPr>
          <w:ilvl w:val="0"/>
          <w:numId w:val="7"/>
        </w:numPr>
        <w:tabs>
          <w:tab w:pos="447" w:val="left" w:leader="none"/>
          <w:tab w:pos="3459" w:val="left" w:leader="none"/>
        </w:tabs>
        <w:spacing w:line="240" w:lineRule="auto" w:before="13" w:after="0"/>
        <w:ind w:left="446" w:right="0" w:hanging="329"/>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w:t>
      </w:r>
      <w:r>
        <w:rPr>
          <w:spacing w:val="-3"/>
          <w:sz w:val="21"/>
        </w:rPr>
        <w:t>胰</w:t>
      </w:r>
      <w:r>
        <w:rPr>
          <w:sz w:val="21"/>
        </w:rPr>
        <w:t>岛素</w:t>
      </w:r>
      <w:r>
        <w:rPr>
          <w:spacing w:val="-3"/>
          <w:sz w:val="21"/>
        </w:rPr>
        <w:t>分</w:t>
      </w:r>
      <w:r>
        <w:rPr>
          <w:sz w:val="21"/>
        </w:rPr>
        <w:t>泌绝</w:t>
      </w:r>
      <w:r>
        <w:rPr>
          <w:spacing w:val="-3"/>
          <w:sz w:val="21"/>
        </w:rPr>
        <w:t>对不</w:t>
      </w:r>
      <w:r>
        <w:rPr>
          <w:sz w:val="21"/>
        </w:rPr>
        <w:t>足引起</w:t>
      </w:r>
      <w:r>
        <w:rPr>
          <w:spacing w:val="-3"/>
          <w:sz w:val="21"/>
        </w:rPr>
        <w:t>的</w:t>
      </w:r>
      <w:r>
        <w:rPr>
          <w:sz w:val="21"/>
        </w:rPr>
        <w:t>慢性</w:t>
      </w:r>
      <w:r>
        <w:rPr>
          <w:spacing w:val="-3"/>
          <w:sz w:val="21"/>
        </w:rPr>
        <w:t>血</w:t>
      </w:r>
      <w:r>
        <w:rPr>
          <w:sz w:val="21"/>
        </w:rPr>
        <w:t>糖升</w:t>
      </w:r>
      <w:r>
        <w:rPr>
          <w:spacing w:val="-3"/>
          <w:sz w:val="21"/>
        </w:rPr>
        <w:t>高，</w:t>
      </w:r>
      <w:r>
        <w:rPr>
          <w:sz w:val="21"/>
        </w:rPr>
        <w:t>且已经</w:t>
      </w:r>
      <w:r>
        <w:rPr>
          <w:spacing w:val="-3"/>
          <w:sz w:val="21"/>
        </w:rPr>
        <w:t>持</w:t>
      </w:r>
      <w:r>
        <w:rPr>
          <w:sz w:val="21"/>
        </w:rPr>
        <w:t>续性</w:t>
      </w:r>
      <w:r>
        <w:rPr>
          <w:spacing w:val="-3"/>
          <w:sz w:val="21"/>
        </w:rPr>
        <w:t>地</w:t>
      </w:r>
      <w:r>
        <w:rPr>
          <w:sz w:val="21"/>
        </w:rPr>
        <w:t>依赖外</w:t>
      </w:r>
    </w:p>
    <w:p>
      <w:pPr>
        <w:pStyle w:val="BodyText"/>
        <w:spacing w:line="266" w:lineRule="auto" w:before="21"/>
        <w:ind w:left="3459" w:right="109"/>
      </w:pPr>
      <w:r>
        <w:rPr>
          <w:spacing w:val="-3"/>
        </w:rPr>
        <w:t>源性胰岛素维持</w:t>
      </w:r>
      <w:r>
        <w:rPr>
          <w:rFonts w:ascii="Times New Roman" w:eastAsia="Times New Roman"/>
        </w:rPr>
        <w:t>180</w:t>
      </w:r>
      <w:r>
        <w:rPr>
          <w:spacing w:val="-9"/>
        </w:rPr>
        <w:t>天以上。须经血胰岛素测定、血</w:t>
      </w:r>
      <w:r>
        <w:rPr>
          <w:rFonts w:ascii="Times New Roman" w:eastAsia="Times New Roman"/>
        </w:rPr>
        <w:t>C</w:t>
      </w:r>
      <w:r>
        <w:rPr>
          <w:spacing w:val="-2"/>
        </w:rPr>
        <w:t>肽测定或尿</w:t>
      </w:r>
      <w:r>
        <w:rPr>
          <w:rFonts w:ascii="Times New Roman" w:eastAsia="Times New Roman"/>
        </w:rPr>
        <w:t>C</w:t>
      </w:r>
      <w:r>
        <w:rPr>
          <w:spacing w:val="-2"/>
        </w:rPr>
        <w:t>肽测定</w:t>
      </w:r>
      <w:r>
        <w:rPr>
          <w:spacing w:val="-3"/>
        </w:rPr>
        <w:t>结果异常，并由内分泌科专科医生明确诊断。并须在本合同有效期内，且已经接受下列治疗：因严重心律失常已经植入了心脏起搏器，或因坏疽需切除至少一个脚趾。</w:t>
      </w:r>
    </w:p>
    <w:p>
      <w:pPr>
        <w:spacing w:after="0" w:line="266" w:lineRule="auto"/>
        <w:sectPr>
          <w:pgSz w:w="11910" w:h="16160"/>
          <w:pgMar w:header="0" w:footer="993" w:top="1340" w:bottom="1180" w:left="960" w:right="640"/>
        </w:sectPr>
      </w:pPr>
    </w:p>
    <w:p>
      <w:pPr>
        <w:pStyle w:val="ListParagraph"/>
        <w:numPr>
          <w:ilvl w:val="0"/>
          <w:numId w:val="7"/>
        </w:numPr>
        <w:tabs>
          <w:tab w:pos="447" w:val="left" w:leader="none"/>
        </w:tabs>
        <w:spacing w:line="240" w:lineRule="auto" w:before="14" w:after="0"/>
        <w:ind w:left="446" w:right="0" w:hanging="329"/>
        <w:jc w:val="left"/>
        <w:rPr>
          <w:sz w:val="21"/>
        </w:rPr>
      </w:pPr>
      <w:r>
        <w:rPr>
          <w:spacing w:val="0"/>
          <w:sz w:val="21"/>
        </w:rPr>
        <w:t>系统性红斑狼疮 －</w:t>
      </w:r>
      <w:r>
        <w:rPr>
          <w:sz w:val="21"/>
        </w:rPr>
        <w:t>（并发）</w:t>
      </w:r>
    </w:p>
    <w:p>
      <w:pPr>
        <w:pStyle w:val="BodyText"/>
        <w:spacing w:before="21"/>
        <w:ind w:left="446"/>
      </w:pPr>
      <w:r>
        <w:rPr>
          <w:rFonts w:ascii="Times New Roman" w:eastAsia="Times New Roman"/>
        </w:rPr>
        <w:t>III </w:t>
      </w:r>
      <w:r>
        <w:rPr/>
        <w:t>型或以上狼疮性肾炎</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7"/>
        </w:rPr>
      </w:pPr>
    </w:p>
    <w:p>
      <w:pPr>
        <w:pStyle w:val="ListParagraph"/>
        <w:numPr>
          <w:ilvl w:val="0"/>
          <w:numId w:val="7"/>
        </w:numPr>
        <w:tabs>
          <w:tab w:pos="447" w:val="left" w:leader="none"/>
        </w:tabs>
        <w:spacing w:line="256" w:lineRule="auto" w:before="0" w:after="0"/>
        <w:ind w:left="446" w:right="0" w:hanging="329"/>
        <w:jc w:val="left"/>
        <w:rPr>
          <w:sz w:val="21"/>
        </w:rPr>
      </w:pPr>
      <w:r>
        <w:rPr>
          <w:spacing w:val="6"/>
          <w:sz w:val="21"/>
        </w:rPr>
        <w:t>非阿尔茨海默病所致严重痴呆</w:t>
      </w:r>
    </w:p>
    <w:p>
      <w:pPr>
        <w:pStyle w:val="BodyText"/>
        <w:spacing w:line="273" w:lineRule="auto" w:before="14"/>
        <w:ind w:left="117" w:right="119"/>
      </w:pPr>
      <w:r>
        <w:rPr/>
        <w:br w:type="column"/>
      </w:r>
      <w:r>
        <w:rPr/>
        <w:t>系统性红斑狼疮是由多种因素引起，累及多系统的自身免疫性疾病。其特点是生成自身抗体对抗多种自身抗原。多见于育龄妇女。</w:t>
      </w:r>
    </w:p>
    <w:p>
      <w:pPr>
        <w:pStyle w:val="BodyText"/>
        <w:spacing w:before="7"/>
        <w:ind w:left="117"/>
      </w:pPr>
      <w:r>
        <w:rPr/>
        <w:t>本合同所指的系统性红斑狼疮仅限于累及肾脏（经肾脏活检确认的，符合</w:t>
      </w:r>
    </w:p>
    <w:p>
      <w:pPr>
        <w:spacing w:line="264" w:lineRule="auto" w:before="36"/>
        <w:ind w:left="117" w:right="106" w:firstLine="0"/>
        <w:jc w:val="both"/>
        <w:rPr>
          <w:b/>
          <w:sz w:val="21"/>
        </w:rPr>
      </w:pPr>
      <w:r>
        <w:rPr>
          <w:rFonts w:ascii="Times New Roman" w:eastAsia="Times New Roman"/>
          <w:sz w:val="21"/>
        </w:rPr>
        <w:t>WHO </w:t>
      </w:r>
      <w:r>
        <w:rPr>
          <w:spacing w:val="-7"/>
          <w:sz w:val="21"/>
        </w:rPr>
        <w:t>诊断标准定义 </w:t>
      </w:r>
      <w:r>
        <w:rPr>
          <w:rFonts w:ascii="Times New Roman" w:eastAsia="Times New Roman"/>
          <w:sz w:val="21"/>
        </w:rPr>
        <w:t>III </w:t>
      </w:r>
      <w:r>
        <w:rPr>
          <w:spacing w:val="-11"/>
          <w:sz w:val="21"/>
        </w:rPr>
        <w:t>型或 </w:t>
      </w:r>
      <w:r>
        <w:rPr>
          <w:rFonts w:ascii="Times New Roman" w:eastAsia="Times New Roman"/>
          <w:sz w:val="21"/>
        </w:rPr>
        <w:t>III </w:t>
      </w:r>
      <w:r>
        <w:rPr>
          <w:spacing w:val="-2"/>
          <w:sz w:val="21"/>
        </w:rPr>
        <w:t>型以上狼疮性肾炎</w:t>
      </w:r>
      <w:r>
        <w:rPr>
          <w:spacing w:val="-3"/>
          <w:sz w:val="21"/>
        </w:rPr>
        <w:t>）的系统性红斑狼疮。</w:t>
      </w:r>
      <w:r>
        <w:rPr>
          <w:b/>
          <w:spacing w:val="-5"/>
          <w:sz w:val="21"/>
        </w:rPr>
        <w:t>其他类型的红斑性狼疮，如盘状狼疮、仅累及血液及关节的狼疮不在保障范围內。</w:t>
      </w:r>
    </w:p>
    <w:p>
      <w:pPr>
        <w:pStyle w:val="BodyText"/>
        <w:spacing w:before="15"/>
        <w:ind w:left="117"/>
      </w:pPr>
      <w:r>
        <w:rPr/>
        <w:t>世界卫生组织（</w:t>
      </w:r>
      <w:r>
        <w:rPr>
          <w:rFonts w:ascii="Times New Roman" w:eastAsia="Times New Roman"/>
        </w:rPr>
        <w:t>WHO</w:t>
      </w:r>
      <w:r>
        <w:rPr/>
        <w:t>）狼疮性肾炎分型：</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7"/>
              <w:rPr>
                <w:sz w:val="21"/>
              </w:rPr>
            </w:pPr>
            <w:r>
              <w:rPr>
                <w:sz w:val="21"/>
              </w:rPr>
              <w:t>微小病变型</w:t>
            </w:r>
          </w:p>
        </w:tc>
      </w:tr>
      <w:tr>
        <w:trPr>
          <w:trHeight w:val="314" w:hRule="atLeast"/>
        </w:trPr>
        <w:tc>
          <w:tcPr>
            <w:tcW w:w="2122" w:type="dxa"/>
          </w:tcPr>
          <w:p>
            <w:pPr>
              <w:pStyle w:val="TableParagraph"/>
              <w:spacing w:line="289" w:lineRule="exact"/>
              <w:ind w:left="107"/>
              <w:rPr>
                <w:sz w:val="21"/>
              </w:rPr>
            </w:pPr>
            <w:r>
              <w:rPr>
                <w:rFonts w:ascii="Times New Roman" w:eastAsia="Times New Roman"/>
                <w:sz w:val="21"/>
              </w:rPr>
              <w:t>II </w:t>
            </w:r>
            <w:r>
              <w:rPr>
                <w:sz w:val="21"/>
              </w:rPr>
              <w:t>型</w:t>
            </w:r>
          </w:p>
        </w:tc>
        <w:tc>
          <w:tcPr>
            <w:tcW w:w="1985" w:type="dxa"/>
          </w:tcPr>
          <w:p>
            <w:pPr>
              <w:pStyle w:val="TableParagraph"/>
              <w:spacing w:line="273" w:lineRule="exact"/>
              <w:ind w:left="107"/>
              <w:rPr>
                <w:sz w:val="21"/>
              </w:rPr>
            </w:pPr>
            <w:r>
              <w:rPr>
                <w:sz w:val="21"/>
              </w:rPr>
              <w:t>系膜病变型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7"/>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7"/>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7"/>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7"/>
              <w:rPr>
                <w:sz w:val="21"/>
              </w:rPr>
            </w:pPr>
            <w:r>
              <w:rPr>
                <w:sz w:val="21"/>
              </w:rPr>
              <w:t>肾小球硬化型</w:t>
            </w:r>
          </w:p>
        </w:tc>
      </w:tr>
    </w:tbl>
    <w:p>
      <w:pPr>
        <w:pStyle w:val="BodyText"/>
        <w:spacing w:line="273" w:lineRule="auto"/>
        <w:ind w:left="117" w:right="119"/>
        <w:rPr>
          <w:b/>
        </w:rPr>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 </w:t>
      </w:r>
      <w:r>
        <w:rPr>
          <w:b/>
          <w:spacing w:val="-3"/>
        </w:rPr>
        <w:t>神经官能症,精神疾病及酒精中毒所致脑损害不在保障范围内。</w:t>
      </w:r>
    </w:p>
    <w:p>
      <w:pPr>
        <w:spacing w:after="0" w:line="273" w:lineRule="auto"/>
        <w:sectPr>
          <w:type w:val="continuous"/>
          <w:pgSz w:w="11910" w:h="16160"/>
          <w:pgMar w:top="580" w:bottom="280" w:left="960" w:right="640"/>
          <w:cols w:num="2" w:equalWidth="0">
            <w:col w:w="3097" w:space="245"/>
            <w:col w:w="6968"/>
          </w:cols>
        </w:sectPr>
      </w:pPr>
    </w:p>
    <w:p>
      <w:pPr>
        <w:pStyle w:val="ListParagraph"/>
        <w:numPr>
          <w:ilvl w:val="0"/>
          <w:numId w:val="7"/>
        </w:numPr>
        <w:tabs>
          <w:tab w:pos="447" w:val="left" w:leader="none"/>
          <w:tab w:pos="3459" w:val="left" w:leader="none"/>
        </w:tabs>
        <w:spacing w:line="240" w:lineRule="auto" w:before="8" w:after="0"/>
        <w:ind w:left="446" w:right="0" w:hanging="329"/>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w:t>
      </w:r>
      <w:r>
        <w:rPr>
          <w:spacing w:val="-3"/>
          <w:sz w:val="21"/>
        </w:rPr>
        <w:t>犯</w:t>
      </w:r>
      <w:r>
        <w:rPr>
          <w:sz w:val="21"/>
        </w:rPr>
        <w:t>至</w:t>
      </w:r>
      <w:r>
        <w:rPr>
          <w:spacing w:val="-3"/>
          <w:sz w:val="21"/>
        </w:rPr>
        <w:t>少</w:t>
      </w:r>
      <w:r>
        <w:rPr>
          <w:sz w:val="21"/>
        </w:rPr>
        <w:t>三</w:t>
      </w:r>
    </w:p>
    <w:p>
      <w:pPr>
        <w:pStyle w:val="BodyText"/>
        <w:spacing w:line="266" w:lineRule="auto" w:before="21"/>
        <w:ind w:left="3459" w:right="106"/>
        <w:jc w:val="both"/>
      </w:pPr>
      <w:r>
        <w:rPr>
          <w:spacing w:val="-2"/>
        </w:rPr>
        <w:t>个主要关节</w:t>
      </w:r>
      <w:r>
        <w:rPr/>
        <w:t>（</w:t>
      </w:r>
      <w:r>
        <w:rPr>
          <w:spacing w:val="-3"/>
        </w:rPr>
        <w:t>腕关节、肘关节、肩关节、踝关节、膝关节、髋关节</w:t>
      </w:r>
      <w:r>
        <w:rPr/>
        <w:t>）</w:t>
      </w:r>
      <w:r>
        <w:rPr>
          <w:spacing w:val="-2"/>
        </w:rPr>
        <w:t>或关</w:t>
      </w:r>
      <w:r>
        <w:rPr>
          <w:spacing w:val="-11"/>
        </w:rPr>
        <w:t>节组</w:t>
      </w:r>
      <w:r>
        <w:rPr>
          <w:spacing w:val="-3"/>
        </w:rPr>
        <w:t>（</w:t>
      </w:r>
      <w:r>
        <w:rPr>
          <w:spacing w:val="-9"/>
        </w:rPr>
        <w:t>如手的多个指间、掌指关节，足的多个足趾、跖趾关节等</w:t>
      </w:r>
      <w:r>
        <w:rPr>
          <w:spacing w:val="-106"/>
        </w:rPr>
        <w:t>）</w:t>
      </w:r>
      <w:r>
        <w:rPr>
          <w:spacing w:val="-7"/>
        </w:rPr>
        <w:t>。类风湿</w:t>
      </w:r>
      <w:r>
        <w:rPr>
          <w:spacing w:val="-10"/>
        </w:rPr>
        <w:t>性关节炎须明确诊断，并已达到类风湿性关节炎功能活动分级</w:t>
      </w:r>
      <w:r>
        <w:rPr/>
        <w:t>（</w:t>
      </w:r>
      <w:r>
        <w:rPr>
          <w:spacing w:val="-3"/>
        </w:rPr>
        <w:t>注</w:t>
      </w:r>
      <w:r>
        <w:rPr>
          <w:spacing w:val="-13"/>
        </w:rPr>
        <w:t>）</w:t>
      </w:r>
      <w:r>
        <w:rPr>
          <w:rFonts w:ascii="Times New Roman" w:eastAsia="Times New Roman"/>
          <w:spacing w:val="-13"/>
        </w:rPr>
        <w:t>IV </w:t>
      </w:r>
      <w:r>
        <w:rPr/>
        <w:t>级</w:t>
      </w:r>
      <w:r>
        <w:rPr>
          <w:spacing w:val="-3"/>
        </w:rPr>
        <w:t>的永久不可逆性关节功能障碍，且须满足下列全部条件：</w:t>
      </w:r>
    </w:p>
    <w:p>
      <w:pPr>
        <w:pStyle w:val="BodyText"/>
        <w:spacing w:before="14"/>
        <w:ind w:left="1974" w:right="4202"/>
        <w:jc w:val="center"/>
      </w:pPr>
      <w:r>
        <w:rPr/>
        <w:t>（</w:t>
      </w:r>
      <w:r>
        <w:rPr>
          <w:rFonts w:ascii="Times New Roman" w:eastAsia="Times New Roman"/>
        </w:rPr>
        <w:t>1</w:t>
      </w:r>
      <w:r>
        <w:rPr/>
        <w:t>）晨僵；</w:t>
      </w:r>
    </w:p>
    <w:p>
      <w:pPr>
        <w:pStyle w:val="BodyText"/>
        <w:spacing w:before="21"/>
        <w:ind w:left="2814" w:right="4202"/>
        <w:jc w:val="center"/>
      </w:pPr>
      <w:r>
        <w:rPr/>
        <w:t>（</w:t>
      </w:r>
      <w:r>
        <w:rPr>
          <w:rFonts w:ascii="Times New Roman" w:eastAsia="Times New Roman"/>
        </w:rPr>
        <w:t>2</w:t>
      </w:r>
      <w:r>
        <w:rPr/>
        <w:t>）对称性关节炎；</w:t>
      </w:r>
    </w:p>
    <w:p>
      <w:pPr>
        <w:pStyle w:val="BodyText"/>
        <w:spacing w:before="21"/>
        <w:ind w:left="3234" w:right="4202"/>
        <w:jc w:val="center"/>
      </w:pPr>
      <w:r>
        <w:rPr/>
        <w:t>（</w:t>
      </w:r>
      <w:r>
        <w:rPr>
          <w:rFonts w:ascii="Times New Roman" w:eastAsia="Times New Roman"/>
        </w:rPr>
        <w:t>3</w:t>
      </w:r>
      <w:r>
        <w:rPr/>
        <w:t>）类风湿性皮下结节；</w:t>
      </w:r>
    </w:p>
    <w:p>
      <w:pPr>
        <w:pStyle w:val="BodyText"/>
        <w:spacing w:before="21"/>
        <w:ind w:left="3443" w:right="4202"/>
        <w:jc w:val="center"/>
      </w:pPr>
      <w:r>
        <w:rPr/>
        <w:t>（</w:t>
      </w:r>
      <w:r>
        <w:rPr>
          <w:rFonts w:ascii="Times New Roman" w:eastAsia="Times New Roman"/>
        </w:rPr>
        <w:t>4</w:t>
      </w:r>
      <w:r>
        <w:rPr/>
        <w:t>）类风湿因子滴度升高；</w:t>
      </w:r>
    </w:p>
    <w:p>
      <w:pPr>
        <w:spacing w:after="0"/>
        <w:jc w:val="center"/>
        <w:sectPr>
          <w:type w:val="continuous"/>
          <w:pgSz w:w="11910" w:h="16160"/>
          <w:pgMar w:top="580" w:bottom="280" w:left="960" w:right="6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864"/>
        <w:gridCol w:w="7117"/>
      </w:tblGrid>
      <w:tr>
        <w:trPr>
          <w:trHeight w:val="1824" w:hRule="atLeast"/>
        </w:trPr>
        <w:tc>
          <w:tcPr>
            <w:tcW w:w="497" w:type="dxa"/>
          </w:tcPr>
          <w:p>
            <w:pPr>
              <w:pStyle w:val="TableParagraph"/>
              <w:ind w:left="0"/>
              <w:rPr>
                <w:rFonts w:ascii="Times New Roman"/>
                <w:sz w:val="20"/>
              </w:rPr>
            </w:pPr>
          </w:p>
        </w:tc>
        <w:tc>
          <w:tcPr>
            <w:tcW w:w="2864" w:type="dxa"/>
          </w:tcPr>
          <w:p>
            <w:pPr>
              <w:pStyle w:val="TableParagraph"/>
              <w:ind w:left="0"/>
              <w:rPr>
                <w:rFonts w:ascii="Times New Roman"/>
                <w:sz w:val="20"/>
              </w:rPr>
            </w:pPr>
          </w:p>
        </w:tc>
        <w:tc>
          <w:tcPr>
            <w:tcW w:w="7117" w:type="dxa"/>
          </w:tcPr>
          <w:p>
            <w:pPr>
              <w:pStyle w:val="TableParagraph"/>
              <w:spacing w:line="234" w:lineRule="exact"/>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w:t>
            </w:r>
          </w:p>
          <w:p>
            <w:pPr>
              <w:pStyle w:val="TableParagraph"/>
              <w:spacing w:before="21"/>
              <w:rPr>
                <w:sz w:val="21"/>
              </w:rPr>
            </w:pPr>
            <w:r>
              <w:rPr>
                <w:sz w:val="21"/>
              </w:rPr>
              <w:t>注：类风湿性关节炎功能活动分级：</w:t>
            </w:r>
          </w:p>
          <w:p>
            <w:pPr>
              <w:pStyle w:val="TableParagraph"/>
              <w:spacing w:before="36"/>
              <w:ind w:left="586"/>
              <w:rPr>
                <w:sz w:val="21"/>
              </w:rPr>
            </w:pPr>
            <w:r>
              <w:rPr>
                <w:sz w:val="21"/>
              </w:rPr>
              <w:t>Ⅰ级：关节功能完整，一般活动无障碍。</w:t>
            </w:r>
          </w:p>
          <w:p>
            <w:pPr>
              <w:pStyle w:val="TableParagraph"/>
              <w:spacing w:before="36"/>
              <w:ind w:left="586"/>
              <w:rPr>
                <w:sz w:val="21"/>
              </w:rPr>
            </w:pPr>
            <w:r>
              <w:rPr>
                <w:sz w:val="21"/>
              </w:rPr>
              <w:t>Ⅱ级：有关节不适或障碍，但尚能完成一半活动。</w:t>
            </w:r>
          </w:p>
          <w:p>
            <w:pPr>
              <w:pStyle w:val="TableParagraph"/>
              <w:spacing w:before="36"/>
              <w:ind w:left="586"/>
              <w:rPr>
                <w:sz w:val="21"/>
              </w:rPr>
            </w:pPr>
            <w:r>
              <w:rPr>
                <w:sz w:val="21"/>
              </w:rPr>
              <w:t>Ⅲ级：功能活动明显受限，但大部分生活可自理。</w:t>
            </w:r>
          </w:p>
          <w:p>
            <w:pPr>
              <w:pStyle w:val="TableParagraph"/>
              <w:spacing w:before="36"/>
              <w:ind w:left="586"/>
              <w:rPr>
                <w:sz w:val="21"/>
              </w:rPr>
            </w:pPr>
            <w:r>
              <w:rPr>
                <w:sz w:val="21"/>
              </w:rPr>
              <w:t>Ⅳ级：生活不能自理或卧床。</w:t>
            </w:r>
          </w:p>
        </w:tc>
      </w:tr>
      <w:tr>
        <w:trPr>
          <w:trHeight w:val="2184" w:hRule="atLeast"/>
        </w:trPr>
        <w:tc>
          <w:tcPr>
            <w:tcW w:w="497" w:type="dxa"/>
          </w:tcPr>
          <w:p>
            <w:pPr>
              <w:pStyle w:val="TableParagraph"/>
              <w:spacing w:before="38"/>
              <w:ind w:left="0" w:right="30"/>
              <w:jc w:val="right"/>
              <w:rPr>
                <w:rFonts w:ascii="Times New Roman"/>
                <w:sz w:val="21"/>
              </w:rPr>
            </w:pPr>
            <w:r>
              <w:rPr>
                <w:rFonts w:ascii="Times New Roman"/>
                <w:sz w:val="21"/>
              </w:rPr>
              <w:t>40.</w:t>
            </w:r>
          </w:p>
        </w:tc>
        <w:tc>
          <w:tcPr>
            <w:tcW w:w="2864" w:type="dxa"/>
          </w:tcPr>
          <w:p>
            <w:pPr>
              <w:pStyle w:val="TableParagraph"/>
              <w:spacing w:line="256" w:lineRule="auto"/>
              <w:ind w:left="32" w:right="179"/>
              <w:rPr>
                <w:b/>
                <w:sz w:val="21"/>
              </w:rPr>
            </w:pPr>
            <w:r>
              <w:rPr>
                <w:sz w:val="21"/>
              </w:rPr>
              <w:t>严重哮喘 </w:t>
            </w:r>
            <w:r>
              <w:rPr>
                <w:rFonts w:ascii="Times New Roman" w:eastAsia="Times New Roman"/>
                <w:sz w:val="21"/>
              </w:rPr>
              <w:t>- </w:t>
            </w:r>
            <w:r>
              <w:rPr>
                <w:b/>
                <w:sz w:val="21"/>
              </w:rPr>
              <w:t>二十五周岁前理赔</w:t>
            </w:r>
          </w:p>
        </w:tc>
        <w:tc>
          <w:tcPr>
            <w:tcW w:w="7117" w:type="dxa"/>
          </w:tcPr>
          <w:p>
            <w:pPr>
              <w:pStyle w:val="TableParagraph"/>
              <w:spacing w:line="273" w:lineRule="auto"/>
              <w:ind w:right="199"/>
              <w:rPr>
                <w:sz w:val="21"/>
              </w:rPr>
            </w:pPr>
            <w:r>
              <w:rPr>
                <w:sz w:val="21"/>
              </w:rPr>
              <w:t>指一种反复发作的严重支气管阻塞性疾病，经我们认可的专科医生确诊， 且必须同时符合下列标准：</w:t>
            </w:r>
          </w:p>
          <w:p>
            <w:pPr>
              <w:pStyle w:val="TableParagraph"/>
              <w:spacing w:before="16"/>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rPr>
                <w:sz w:val="21"/>
              </w:rPr>
            </w:pPr>
            <w:r>
              <w:rPr>
                <w:sz w:val="21"/>
              </w:rPr>
              <w:t>（</w:t>
            </w:r>
            <w:r>
              <w:rPr>
                <w:rFonts w:ascii="Times New Roman" w:eastAsia="Times New Roman"/>
                <w:sz w:val="21"/>
              </w:rPr>
              <w:t>2</w:t>
            </w:r>
            <w:r>
              <w:rPr>
                <w:sz w:val="21"/>
              </w:rPr>
              <w:t>）因慢性过度换气导致胸廓畸形；</w:t>
            </w:r>
          </w:p>
          <w:p>
            <w:pPr>
              <w:pStyle w:val="TableParagraph"/>
              <w:spacing w:before="20"/>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right="1574"/>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tc>
      </w:tr>
      <w:tr>
        <w:trPr>
          <w:trHeight w:val="1872" w:hRule="atLeast"/>
        </w:trPr>
        <w:tc>
          <w:tcPr>
            <w:tcW w:w="497" w:type="dxa"/>
          </w:tcPr>
          <w:p>
            <w:pPr>
              <w:pStyle w:val="TableParagraph"/>
              <w:spacing w:before="38"/>
              <w:ind w:left="0" w:right="30"/>
              <w:jc w:val="right"/>
              <w:rPr>
                <w:rFonts w:ascii="Times New Roman"/>
                <w:sz w:val="21"/>
              </w:rPr>
            </w:pPr>
            <w:r>
              <w:rPr>
                <w:rFonts w:ascii="Times New Roman"/>
                <w:sz w:val="21"/>
              </w:rPr>
              <w:t>41.</w:t>
            </w:r>
          </w:p>
        </w:tc>
        <w:tc>
          <w:tcPr>
            <w:tcW w:w="2864" w:type="dxa"/>
          </w:tcPr>
          <w:p>
            <w:pPr>
              <w:pStyle w:val="TableParagraph"/>
              <w:spacing w:line="266" w:lineRule="exact"/>
              <w:ind w:left="32"/>
              <w:rPr>
                <w:sz w:val="21"/>
              </w:rPr>
            </w:pPr>
            <w:r>
              <w:rPr>
                <w:sz w:val="21"/>
              </w:rPr>
              <w:t>肾髓质囊性病</w:t>
            </w:r>
          </w:p>
        </w:tc>
        <w:tc>
          <w:tcPr>
            <w:tcW w:w="7117" w:type="dxa"/>
          </w:tcPr>
          <w:p>
            <w:pPr>
              <w:pStyle w:val="TableParagraph"/>
              <w:spacing w:line="266" w:lineRule="exact"/>
              <w:rPr>
                <w:sz w:val="21"/>
              </w:rPr>
            </w:pPr>
            <w:r>
              <w:rPr>
                <w:sz w:val="21"/>
              </w:rPr>
              <w:t>肾髓质囊性病的诊断须同时符合下列要求：</w:t>
            </w:r>
          </w:p>
          <w:p>
            <w:pPr>
              <w:pStyle w:val="TableParagraph"/>
              <w:spacing w:before="3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rPr>
                <w:sz w:val="21"/>
              </w:rPr>
            </w:pPr>
            <w:r>
              <w:rPr>
                <w:sz w:val="21"/>
              </w:rPr>
              <w:t>（</w:t>
            </w:r>
            <w:r>
              <w:rPr>
                <w:rFonts w:ascii="Times New Roman" w:eastAsia="Times New Roman"/>
                <w:sz w:val="21"/>
              </w:rPr>
              <w:t>2</w:t>
            </w:r>
            <w:r>
              <w:rPr>
                <w:sz w:val="21"/>
              </w:rPr>
              <w:t>）肾功能衰竭；</w:t>
            </w:r>
          </w:p>
          <w:p>
            <w:pPr>
              <w:pStyle w:val="TableParagraph"/>
              <w:spacing w:before="21"/>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right="199"/>
              <w:rPr>
                <w:sz w:val="21"/>
              </w:rPr>
            </w:pPr>
            <w:r>
              <w:rPr>
                <w:sz w:val="21"/>
              </w:rPr>
              <w:t>我们承担本项疾病责任不受本合同“责任免除”中“遗传性疾病，先天性畸形、变形或染色体异常”的限制。</w:t>
            </w:r>
          </w:p>
        </w:tc>
      </w:tr>
      <w:tr>
        <w:trPr>
          <w:trHeight w:val="1880" w:hRule="atLeast"/>
        </w:trPr>
        <w:tc>
          <w:tcPr>
            <w:tcW w:w="497" w:type="dxa"/>
          </w:tcPr>
          <w:p>
            <w:pPr>
              <w:pStyle w:val="TableParagraph"/>
              <w:spacing w:before="38"/>
              <w:ind w:left="0" w:right="30"/>
              <w:jc w:val="right"/>
              <w:rPr>
                <w:rFonts w:ascii="Times New Roman"/>
                <w:sz w:val="21"/>
              </w:rPr>
            </w:pPr>
            <w:r>
              <w:rPr>
                <w:rFonts w:ascii="Times New Roman"/>
                <w:sz w:val="21"/>
              </w:rPr>
              <w:t>42.</w:t>
            </w:r>
          </w:p>
        </w:tc>
        <w:tc>
          <w:tcPr>
            <w:tcW w:w="2864" w:type="dxa"/>
          </w:tcPr>
          <w:p>
            <w:pPr>
              <w:pStyle w:val="TableParagraph"/>
              <w:spacing w:line="266" w:lineRule="exact"/>
              <w:ind w:left="32"/>
              <w:rPr>
                <w:sz w:val="21"/>
              </w:rPr>
            </w:pPr>
            <w:r>
              <w:rPr>
                <w:sz w:val="21"/>
              </w:rPr>
              <w:t>重症急性坏死性筋膜炎</w:t>
            </w:r>
          </w:p>
        </w:tc>
        <w:tc>
          <w:tcPr>
            <w:tcW w:w="7117" w:type="dxa"/>
          </w:tcPr>
          <w:p>
            <w:pPr>
              <w:pStyle w:val="TableParagraph"/>
              <w:spacing w:line="273" w:lineRule="auto"/>
              <w:ind w:right="199"/>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17"/>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1"/>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497" w:type="dxa"/>
          </w:tcPr>
          <w:p>
            <w:pPr>
              <w:pStyle w:val="TableParagraph"/>
              <w:spacing w:before="30"/>
              <w:ind w:left="0" w:right="30"/>
              <w:jc w:val="right"/>
              <w:rPr>
                <w:rFonts w:ascii="Times New Roman"/>
                <w:sz w:val="21"/>
              </w:rPr>
            </w:pPr>
            <w:r>
              <w:rPr>
                <w:rFonts w:ascii="Times New Roman"/>
                <w:sz w:val="21"/>
              </w:rPr>
              <w:t>43.</w:t>
            </w:r>
          </w:p>
        </w:tc>
        <w:tc>
          <w:tcPr>
            <w:tcW w:w="2864" w:type="dxa"/>
          </w:tcPr>
          <w:p>
            <w:pPr>
              <w:pStyle w:val="TableParagraph"/>
              <w:spacing w:line="258" w:lineRule="exact"/>
              <w:ind w:left="32"/>
              <w:rPr>
                <w:sz w:val="21"/>
              </w:rPr>
            </w:pPr>
            <w:r>
              <w:rPr>
                <w:sz w:val="21"/>
              </w:rPr>
              <w:t>慢性呼吸功能衰竭终末期肺</w:t>
            </w:r>
          </w:p>
          <w:p>
            <w:pPr>
              <w:pStyle w:val="TableParagraph"/>
              <w:spacing w:before="37"/>
              <w:ind w:left="32"/>
              <w:rPr>
                <w:sz w:val="21"/>
              </w:rPr>
            </w:pPr>
            <w:r>
              <w:rPr>
                <w:w w:val="100"/>
                <w:sz w:val="21"/>
              </w:rPr>
              <w:t>病</w:t>
            </w:r>
          </w:p>
        </w:tc>
        <w:tc>
          <w:tcPr>
            <w:tcW w:w="7117" w:type="dxa"/>
          </w:tcPr>
          <w:p>
            <w:pPr>
              <w:pStyle w:val="TableParagraph"/>
              <w:spacing w:line="258" w:lineRule="exact"/>
              <w:rPr>
                <w:sz w:val="21"/>
              </w:rPr>
            </w:pPr>
            <w:r>
              <w:rPr>
                <w:sz w:val="21"/>
              </w:rPr>
              <w:t>指慢性肺部疾病导致永久不可逆性的慢性呼吸功能衰竭，必须由呼吸专科</w:t>
            </w:r>
          </w:p>
          <w:p>
            <w:pPr>
              <w:pStyle w:val="TableParagraph"/>
              <w:spacing w:before="37"/>
              <w:rPr>
                <w:sz w:val="21"/>
              </w:rPr>
            </w:pPr>
            <w:r>
              <w:rPr>
                <w:sz w:val="21"/>
              </w:rPr>
              <w:t>医生确认并符合下列所有条件：</w:t>
            </w:r>
          </w:p>
          <w:p>
            <w:pPr>
              <w:pStyle w:val="TableParagraph"/>
              <w:spacing w:before="37"/>
              <w:rPr>
                <w:sz w:val="21"/>
              </w:rPr>
            </w:pPr>
            <w:r>
              <w:rPr>
                <w:sz w:val="21"/>
              </w:rPr>
              <w:t>（</w:t>
            </w:r>
            <w:r>
              <w:rPr>
                <w:rFonts w:ascii="Times New Roman" w:eastAsia="Times New Roman"/>
                <w:sz w:val="21"/>
              </w:rPr>
              <w:t>1</w:t>
            </w:r>
            <w:r>
              <w:rPr>
                <w:sz w:val="21"/>
              </w:rPr>
              <w:t>）休息时出现呼吸困难；</w:t>
            </w:r>
          </w:p>
          <w:p>
            <w:pPr>
              <w:pStyle w:val="TableParagraph"/>
              <w:spacing w:before="2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497" w:type="dxa"/>
          </w:tcPr>
          <w:p>
            <w:pPr>
              <w:pStyle w:val="TableParagraph"/>
              <w:spacing w:before="30"/>
              <w:ind w:left="0" w:right="30"/>
              <w:jc w:val="right"/>
              <w:rPr>
                <w:rFonts w:ascii="Times New Roman"/>
                <w:sz w:val="21"/>
              </w:rPr>
            </w:pPr>
            <w:r>
              <w:rPr>
                <w:rFonts w:ascii="Times New Roman"/>
                <w:sz w:val="21"/>
              </w:rPr>
              <w:t>44.</w:t>
            </w:r>
          </w:p>
        </w:tc>
        <w:tc>
          <w:tcPr>
            <w:tcW w:w="2864" w:type="dxa"/>
          </w:tcPr>
          <w:p>
            <w:pPr>
              <w:pStyle w:val="TableParagraph"/>
              <w:spacing w:line="258" w:lineRule="exact"/>
              <w:ind w:left="32"/>
              <w:rPr>
                <w:sz w:val="21"/>
              </w:rPr>
            </w:pPr>
            <w:r>
              <w:rPr>
                <w:sz w:val="21"/>
              </w:rPr>
              <w:t>胰腺移植</w:t>
            </w:r>
          </w:p>
        </w:tc>
        <w:tc>
          <w:tcPr>
            <w:tcW w:w="7117" w:type="dxa"/>
          </w:tcPr>
          <w:p>
            <w:pPr>
              <w:pStyle w:val="TableParagraph"/>
              <w:spacing w:line="258" w:lineRule="exact"/>
              <w:rPr>
                <w:sz w:val="21"/>
              </w:rPr>
            </w:pPr>
            <w:r>
              <w:rPr>
                <w:sz w:val="21"/>
              </w:rPr>
              <w:t>指因胰腺功能衰竭，已经实施了在全身麻醉下进行的胰腺的异体器官移植</w:t>
            </w:r>
          </w:p>
          <w:p>
            <w:pPr>
              <w:pStyle w:val="TableParagraph"/>
              <w:spacing w:before="37"/>
              <w:rPr>
                <w:sz w:val="21"/>
              </w:rPr>
            </w:pPr>
            <w:r>
              <w:rPr>
                <w:sz w:val="21"/>
              </w:rPr>
              <w:t>手术</w:t>
            </w:r>
            <w:r>
              <w:rPr>
                <w:spacing w:val="-3"/>
                <w:sz w:val="21"/>
              </w:rPr>
              <w:t>（供体必须是人体器官</w:t>
            </w:r>
            <w:r>
              <w:rPr>
                <w:spacing w:val="-106"/>
                <w:sz w:val="21"/>
              </w:rPr>
              <w:t>）</w:t>
            </w:r>
            <w:r>
              <w:rPr>
                <w:sz w:val="21"/>
              </w:rPr>
              <w:t>。</w:t>
            </w:r>
          </w:p>
          <w:p>
            <w:pPr>
              <w:pStyle w:val="TableParagraph"/>
              <w:spacing w:before="37"/>
              <w:rPr>
                <w:b/>
                <w:sz w:val="21"/>
              </w:rPr>
            </w:pPr>
            <w:r>
              <w:rPr>
                <w:b/>
                <w:sz w:val="21"/>
              </w:rPr>
              <w:t>单纯胰岛移植、部分胰腺组织或细胞的移植不在保障范围内。</w:t>
            </w:r>
          </w:p>
        </w:tc>
      </w:tr>
      <w:tr>
        <w:trPr>
          <w:trHeight w:val="943" w:hRule="atLeast"/>
        </w:trPr>
        <w:tc>
          <w:tcPr>
            <w:tcW w:w="497" w:type="dxa"/>
          </w:tcPr>
          <w:p>
            <w:pPr>
              <w:pStyle w:val="TableParagraph"/>
              <w:spacing w:before="38"/>
              <w:ind w:left="0" w:right="32"/>
              <w:jc w:val="right"/>
              <w:rPr>
                <w:rFonts w:ascii="Times New Roman"/>
                <w:sz w:val="21"/>
              </w:rPr>
            </w:pPr>
            <w:r>
              <w:rPr>
                <w:rFonts w:ascii="Times New Roman"/>
                <w:sz w:val="21"/>
              </w:rPr>
              <w:t>45.</w:t>
            </w:r>
          </w:p>
        </w:tc>
        <w:tc>
          <w:tcPr>
            <w:tcW w:w="2864" w:type="dxa"/>
          </w:tcPr>
          <w:p>
            <w:pPr>
              <w:pStyle w:val="TableParagraph"/>
              <w:spacing w:line="266" w:lineRule="exact"/>
              <w:ind w:left="32"/>
              <w:rPr>
                <w:sz w:val="21"/>
              </w:rPr>
            </w:pPr>
            <w:r>
              <w:rPr>
                <w:sz w:val="21"/>
              </w:rPr>
              <w:t>埃博拉病毒感染</w:t>
            </w:r>
          </w:p>
        </w:tc>
        <w:tc>
          <w:tcPr>
            <w:tcW w:w="7117" w:type="dxa"/>
          </w:tcPr>
          <w:p>
            <w:pPr>
              <w:pStyle w:val="TableParagraph"/>
              <w:spacing w:line="266" w:lineRule="exact"/>
              <w:rPr>
                <w:sz w:val="21"/>
              </w:rPr>
            </w:pPr>
            <w:r>
              <w:rPr>
                <w:sz w:val="21"/>
              </w:rPr>
              <w:t>指受埃博拉病毒感染导致出血性发热。埃博拉病必须经国家机关认可的有</w:t>
            </w:r>
          </w:p>
          <w:p>
            <w:pPr>
              <w:pStyle w:val="TableParagraph"/>
              <w:spacing w:line="312" w:lineRule="exact" w:before="33"/>
              <w:ind w:right="199"/>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39" w:hRule="atLeast"/>
        </w:trPr>
        <w:tc>
          <w:tcPr>
            <w:tcW w:w="497" w:type="dxa"/>
          </w:tcPr>
          <w:p>
            <w:pPr>
              <w:pStyle w:val="TableParagraph"/>
              <w:spacing w:before="30"/>
              <w:ind w:left="0" w:right="30"/>
              <w:jc w:val="right"/>
              <w:rPr>
                <w:rFonts w:ascii="Times New Roman"/>
                <w:sz w:val="21"/>
              </w:rPr>
            </w:pPr>
            <w:r>
              <w:rPr>
                <w:rFonts w:ascii="Times New Roman"/>
                <w:sz w:val="21"/>
              </w:rPr>
              <w:t>46.</w:t>
            </w:r>
          </w:p>
        </w:tc>
        <w:tc>
          <w:tcPr>
            <w:tcW w:w="2864" w:type="dxa"/>
          </w:tcPr>
          <w:p>
            <w:pPr>
              <w:pStyle w:val="TableParagraph"/>
              <w:spacing w:line="258" w:lineRule="exact"/>
              <w:ind w:left="32"/>
              <w:rPr>
                <w:sz w:val="21"/>
              </w:rPr>
            </w:pPr>
            <w:r>
              <w:rPr>
                <w:sz w:val="21"/>
              </w:rPr>
              <w:t>破裂脑动脉瘤夹闭手术</w:t>
            </w:r>
          </w:p>
        </w:tc>
        <w:tc>
          <w:tcPr>
            <w:tcW w:w="7117" w:type="dxa"/>
          </w:tcPr>
          <w:p>
            <w:pPr>
              <w:pStyle w:val="TableParagraph"/>
              <w:spacing w:line="258" w:lineRule="exact"/>
              <w:rPr>
                <w:sz w:val="21"/>
              </w:rPr>
            </w:pPr>
            <w:r>
              <w:rPr>
                <w:sz w:val="21"/>
              </w:rPr>
              <w:t>指因脑动脉瘤破裂造成蛛网膜下腔出血，被保险人实际接受了在全麻下进</w:t>
            </w:r>
          </w:p>
          <w:p>
            <w:pPr>
              <w:pStyle w:val="TableParagraph"/>
              <w:spacing w:before="37"/>
              <w:rPr>
                <w:sz w:val="21"/>
              </w:rPr>
            </w:pPr>
            <w:r>
              <w:rPr>
                <w:sz w:val="21"/>
              </w:rPr>
              <w:t>行的开颅动脉瘤夹闭手术。</w:t>
            </w:r>
          </w:p>
          <w:p>
            <w:pPr>
              <w:pStyle w:val="TableParagraph"/>
              <w:spacing w:line="310" w:lineRule="atLeast" w:before="2"/>
              <w:ind w:right="154"/>
              <w:rPr>
                <w:b/>
                <w:sz w:val="21"/>
              </w:rPr>
            </w:pPr>
            <w:r>
              <w:rPr>
                <w:b/>
                <w:sz w:val="21"/>
              </w:rPr>
              <w:t>脑动脉瘤（未破裂）预防性手术、颅骨打孔手术、动脉瘤栓塞手术、血管内手术及其他颅脑手术不在保障范围内。</w:t>
            </w:r>
          </w:p>
        </w:tc>
      </w:tr>
      <w:tr>
        <w:trPr>
          <w:trHeight w:val="594" w:hRule="atLeast"/>
        </w:trPr>
        <w:tc>
          <w:tcPr>
            <w:tcW w:w="497" w:type="dxa"/>
          </w:tcPr>
          <w:p>
            <w:pPr>
              <w:pStyle w:val="TableParagraph"/>
              <w:spacing w:before="38"/>
              <w:ind w:left="0" w:right="30"/>
              <w:jc w:val="right"/>
              <w:rPr>
                <w:rFonts w:ascii="Times New Roman"/>
                <w:sz w:val="21"/>
              </w:rPr>
            </w:pPr>
            <w:r>
              <w:rPr>
                <w:rFonts w:ascii="Times New Roman"/>
                <w:sz w:val="21"/>
              </w:rPr>
              <w:t>47.</w:t>
            </w:r>
          </w:p>
        </w:tc>
        <w:tc>
          <w:tcPr>
            <w:tcW w:w="2864" w:type="dxa"/>
          </w:tcPr>
          <w:p>
            <w:pPr>
              <w:pStyle w:val="TableParagraph"/>
              <w:spacing w:line="266" w:lineRule="exact"/>
              <w:ind w:left="32"/>
              <w:rPr>
                <w:sz w:val="21"/>
              </w:rPr>
            </w:pPr>
            <w:r>
              <w:rPr>
                <w:sz w:val="21"/>
              </w:rPr>
              <w:t>丝虫病所致象皮肿</w:t>
            </w:r>
          </w:p>
        </w:tc>
        <w:tc>
          <w:tcPr>
            <w:tcW w:w="7117" w:type="dxa"/>
          </w:tcPr>
          <w:p>
            <w:pPr>
              <w:pStyle w:val="TableParagraph"/>
              <w:spacing w:line="266" w:lineRule="exact"/>
              <w:rPr>
                <w:sz w:val="21"/>
              </w:rPr>
            </w:pPr>
            <w:r>
              <w:rPr>
                <w:sz w:val="21"/>
              </w:rPr>
              <w:t>指因丝虫感染导致淋巴阻塞性出现严重淋巴水肿，达到国际淋巴学会淋巴</w:t>
            </w:r>
          </w:p>
          <w:p>
            <w:pPr>
              <w:pStyle w:val="TableParagraph"/>
              <w:spacing w:line="271" w:lineRule="exact" w:before="37"/>
              <w:rPr>
                <w:sz w:val="21"/>
              </w:rPr>
            </w:pPr>
            <w:r>
              <w:rPr>
                <w:sz w:val="21"/>
              </w:rPr>
              <w:t>水肿分期第 </w:t>
            </w:r>
            <w:r>
              <w:rPr>
                <w:rFonts w:ascii="Times New Roman" w:eastAsia="Times New Roman"/>
                <w:sz w:val="21"/>
              </w:rPr>
              <w:t>III </w:t>
            </w:r>
            <w:r>
              <w:rPr>
                <w:sz w:val="21"/>
              </w:rPr>
              <w:t>期，临床表现为肢体象皮肿，患肢较健肢增粗 </w:t>
            </w:r>
            <w:r>
              <w:rPr>
                <w:rFonts w:ascii="Times New Roman" w:eastAsia="Times New Roman"/>
                <w:sz w:val="21"/>
              </w:rPr>
              <w:t>30%</w:t>
            </w:r>
            <w:r>
              <w:rPr>
                <w:sz w:val="21"/>
              </w:rPr>
              <w:t>以上，</w:t>
            </w:r>
          </w:p>
        </w:tc>
      </w:tr>
    </w:tbl>
    <w:p>
      <w:pPr>
        <w:spacing w:after="0" w:line="271" w:lineRule="exact"/>
        <w:rPr>
          <w:sz w:val="21"/>
        </w:rPr>
        <w:sectPr>
          <w:pgSz w:w="11910" w:h="16160"/>
          <w:pgMar w:header="0" w:footer="993" w:top="1420" w:bottom="11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800"/>
        <w:gridCol w:w="7277"/>
      </w:tblGrid>
      <w:tr>
        <w:trPr>
          <w:trHeight w:val="263" w:hRule="atLeast"/>
        </w:trPr>
        <w:tc>
          <w:tcPr>
            <w:tcW w:w="497" w:type="dxa"/>
          </w:tcPr>
          <w:p>
            <w:pPr>
              <w:pStyle w:val="TableParagraph"/>
              <w:ind w:left="0"/>
              <w:rPr>
                <w:rFonts w:ascii="Times New Roman"/>
                <w:sz w:val="18"/>
              </w:rPr>
            </w:pPr>
          </w:p>
        </w:tc>
        <w:tc>
          <w:tcPr>
            <w:tcW w:w="2800" w:type="dxa"/>
          </w:tcPr>
          <w:p>
            <w:pPr>
              <w:pStyle w:val="TableParagraph"/>
              <w:ind w:left="0"/>
              <w:rPr>
                <w:rFonts w:ascii="Times New Roman"/>
                <w:sz w:val="18"/>
              </w:rPr>
            </w:pPr>
          </w:p>
        </w:tc>
        <w:tc>
          <w:tcPr>
            <w:tcW w:w="7277" w:type="dxa"/>
          </w:tcPr>
          <w:p>
            <w:pPr>
              <w:pStyle w:val="TableParagraph"/>
              <w:spacing w:line="202" w:lineRule="exact"/>
              <w:ind w:left="244"/>
              <w:rPr>
                <w:sz w:val="21"/>
              </w:rPr>
            </w:pPr>
            <w:r>
              <w:rPr>
                <w:sz w:val="21"/>
              </w:rPr>
              <w:t>日常生活不能自理。</w:t>
            </w:r>
          </w:p>
        </w:tc>
      </w:tr>
      <w:tr>
        <w:trPr>
          <w:trHeight w:val="942" w:hRule="atLeast"/>
        </w:trPr>
        <w:tc>
          <w:tcPr>
            <w:tcW w:w="497" w:type="dxa"/>
          </w:tcPr>
          <w:p>
            <w:pPr>
              <w:pStyle w:val="TableParagraph"/>
              <w:spacing w:before="35"/>
              <w:ind w:left="0" w:right="30"/>
              <w:jc w:val="right"/>
              <w:rPr>
                <w:rFonts w:ascii="Times New Roman"/>
                <w:sz w:val="21"/>
              </w:rPr>
            </w:pPr>
            <w:r>
              <w:rPr>
                <w:rFonts w:ascii="Times New Roman"/>
                <w:sz w:val="21"/>
              </w:rPr>
              <w:t>48.</w:t>
            </w:r>
          </w:p>
        </w:tc>
        <w:tc>
          <w:tcPr>
            <w:tcW w:w="2800" w:type="dxa"/>
          </w:tcPr>
          <w:p>
            <w:pPr>
              <w:pStyle w:val="TableParagraph"/>
              <w:spacing w:line="263" w:lineRule="exact"/>
              <w:ind w:left="32"/>
              <w:rPr>
                <w:sz w:val="21"/>
              </w:rPr>
            </w:pPr>
            <w:r>
              <w:rPr>
                <w:sz w:val="21"/>
              </w:rPr>
              <w:t>急性坏死性胰腺炎开腹手术</w:t>
            </w:r>
          </w:p>
        </w:tc>
        <w:tc>
          <w:tcPr>
            <w:tcW w:w="7277" w:type="dxa"/>
          </w:tcPr>
          <w:p>
            <w:pPr>
              <w:pStyle w:val="TableParagraph"/>
              <w:spacing w:line="273" w:lineRule="auto"/>
              <w:ind w:left="244" w:right="304"/>
              <w:rPr>
                <w:sz w:val="21"/>
              </w:rPr>
            </w:pPr>
            <w:r>
              <w:rPr>
                <w:sz w:val="21"/>
              </w:rPr>
              <w:t>指为治疗急性坏死性胰腺炎，实际实施了开腹进行的坏死组织清除术、病灶切除术或胰腺部分切除术。</w:t>
            </w:r>
          </w:p>
          <w:p>
            <w:pPr>
              <w:pStyle w:val="TableParagraph"/>
              <w:spacing w:before="19"/>
              <w:ind w:left="244"/>
              <w:rPr>
                <w:sz w:val="21"/>
              </w:rPr>
            </w:pPr>
            <w:r>
              <w:rPr>
                <w:b/>
                <w:sz w:val="21"/>
              </w:rPr>
              <w:t>为治疗因酒精中毒引起的急性坏死性胰腺炎的开腹手术不在保障范围内</w:t>
            </w:r>
            <w:r>
              <w:rPr>
                <w:sz w:val="21"/>
              </w:rPr>
              <w:t>。</w:t>
            </w:r>
          </w:p>
        </w:tc>
      </w:tr>
      <w:tr>
        <w:trPr>
          <w:trHeight w:val="1560" w:hRule="atLeast"/>
        </w:trPr>
        <w:tc>
          <w:tcPr>
            <w:tcW w:w="497" w:type="dxa"/>
          </w:tcPr>
          <w:p>
            <w:pPr>
              <w:pStyle w:val="TableParagraph"/>
              <w:spacing w:before="29"/>
              <w:ind w:left="0" w:right="30"/>
              <w:jc w:val="right"/>
              <w:rPr>
                <w:rFonts w:ascii="Times New Roman"/>
                <w:sz w:val="21"/>
              </w:rPr>
            </w:pPr>
            <w:r>
              <w:rPr>
                <w:rFonts w:ascii="Times New Roman"/>
                <w:sz w:val="21"/>
              </w:rPr>
              <w:t>49.</w:t>
            </w:r>
          </w:p>
        </w:tc>
        <w:tc>
          <w:tcPr>
            <w:tcW w:w="2800" w:type="dxa"/>
          </w:tcPr>
          <w:p>
            <w:pPr>
              <w:pStyle w:val="TableParagraph"/>
              <w:spacing w:line="257" w:lineRule="exact"/>
              <w:ind w:left="32"/>
              <w:rPr>
                <w:sz w:val="21"/>
              </w:rPr>
            </w:pPr>
            <w:r>
              <w:rPr>
                <w:sz w:val="21"/>
              </w:rPr>
              <w:t>主动脉夹层血肿</w:t>
            </w:r>
          </w:p>
        </w:tc>
        <w:tc>
          <w:tcPr>
            <w:tcW w:w="7277" w:type="dxa"/>
          </w:tcPr>
          <w:p>
            <w:pPr>
              <w:pStyle w:val="TableParagraph"/>
              <w:spacing w:line="257" w:lineRule="exact"/>
              <w:ind w:left="244"/>
              <w:rPr>
                <w:sz w:val="21"/>
              </w:rPr>
            </w:pPr>
            <w:r>
              <w:rPr>
                <w:sz w:val="21"/>
              </w:rPr>
              <w:t>是指主动脉壁在受到某些病理因素的破坏后，高速、高压的主动脉血流将</w:t>
            </w:r>
          </w:p>
          <w:p>
            <w:pPr>
              <w:pStyle w:val="TableParagraph"/>
              <w:spacing w:line="261" w:lineRule="auto" w:before="37"/>
              <w:ind w:left="244" w:right="294"/>
              <w:jc w:val="both"/>
              <w:rPr>
                <w:sz w:val="21"/>
              </w:rPr>
            </w:pPr>
            <w:r>
              <w:rPr>
                <w:spacing w:val="-3"/>
                <w:sz w:val="21"/>
              </w:rPr>
              <w:t>其内膜撕裂，以致主动脉腔内的血流通过主动脉内膜的破裂口进入主动脉</w:t>
            </w:r>
            <w:r>
              <w:rPr>
                <w:spacing w:val="-9"/>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5"/>
                <w:sz w:val="21"/>
              </w:rPr>
              <w:t>磁共振血管检验法（</w:t>
            </w:r>
            <w:r>
              <w:rPr>
                <w:rFonts w:ascii="Times New Roman" w:eastAsia="Times New Roman"/>
                <w:spacing w:val="-5"/>
                <w:sz w:val="21"/>
              </w:rPr>
              <w:t>MRA</w:t>
            </w:r>
            <w:r>
              <w:rPr>
                <w:spacing w:val="-5"/>
                <w:sz w:val="21"/>
              </w:rPr>
              <w:t>）或血管扫描等检查，并且实施了胸腹切开的直</w:t>
            </w:r>
            <w:r>
              <w:rPr>
                <w:spacing w:val="-4"/>
                <w:sz w:val="21"/>
              </w:rPr>
              <w:t>视主动脉手术。</w:t>
            </w:r>
          </w:p>
        </w:tc>
      </w:tr>
      <w:tr>
        <w:trPr>
          <w:trHeight w:val="1880" w:hRule="atLeast"/>
        </w:trPr>
        <w:tc>
          <w:tcPr>
            <w:tcW w:w="497" w:type="dxa"/>
          </w:tcPr>
          <w:p>
            <w:pPr>
              <w:pStyle w:val="TableParagraph"/>
              <w:spacing w:before="29"/>
              <w:ind w:left="0" w:right="30"/>
              <w:jc w:val="right"/>
              <w:rPr>
                <w:rFonts w:ascii="Times New Roman"/>
                <w:sz w:val="21"/>
              </w:rPr>
            </w:pPr>
            <w:r>
              <w:rPr>
                <w:rFonts w:ascii="Times New Roman"/>
                <w:sz w:val="21"/>
              </w:rPr>
              <w:t>50.</w:t>
            </w:r>
          </w:p>
        </w:tc>
        <w:tc>
          <w:tcPr>
            <w:tcW w:w="2800" w:type="dxa"/>
          </w:tcPr>
          <w:p>
            <w:pPr>
              <w:pStyle w:val="TableParagraph"/>
              <w:spacing w:line="257" w:lineRule="exact"/>
              <w:ind w:left="32"/>
              <w:rPr>
                <w:sz w:val="21"/>
              </w:rPr>
            </w:pPr>
            <w:r>
              <w:rPr>
                <w:sz w:val="21"/>
              </w:rPr>
              <w:t>系统性硬皮病</w:t>
            </w:r>
          </w:p>
        </w:tc>
        <w:tc>
          <w:tcPr>
            <w:tcW w:w="7277" w:type="dxa"/>
          </w:tcPr>
          <w:p>
            <w:pPr>
              <w:pStyle w:val="TableParagraph"/>
              <w:spacing w:line="257" w:lineRule="exact"/>
              <w:ind w:left="244"/>
              <w:rPr>
                <w:sz w:val="21"/>
              </w:rPr>
            </w:pPr>
            <w:r>
              <w:rPr>
                <w:sz w:val="21"/>
              </w:rPr>
              <w:t>指一种以局限性或弥漫性皮肤增厚和皮肤、血管、内脏器官异常纤维化为</w:t>
            </w:r>
          </w:p>
          <w:p>
            <w:pPr>
              <w:pStyle w:val="TableParagraph"/>
              <w:spacing w:line="273" w:lineRule="auto" w:before="37"/>
              <w:ind w:left="244" w:right="294"/>
              <w:rPr>
                <w:sz w:val="21"/>
              </w:rPr>
            </w:pPr>
            <w:r>
              <w:rPr>
                <w:sz w:val="21"/>
              </w:rPr>
              <w:t>特征的结缔组织病。本病须经专科医生明确诊断，并须满足下列至少一项条件：</w:t>
            </w:r>
          </w:p>
          <w:p>
            <w:pPr>
              <w:pStyle w:val="TableParagraph"/>
              <w:spacing w:before="7"/>
              <w:ind w:left="244"/>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244"/>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244"/>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497" w:type="dxa"/>
          </w:tcPr>
          <w:p>
            <w:pPr>
              <w:pStyle w:val="TableParagraph"/>
              <w:spacing w:before="21"/>
              <w:ind w:left="0" w:right="30"/>
              <w:jc w:val="right"/>
              <w:rPr>
                <w:rFonts w:ascii="Times New Roman"/>
                <w:sz w:val="21"/>
              </w:rPr>
            </w:pPr>
            <w:r>
              <w:rPr>
                <w:rFonts w:ascii="Times New Roman"/>
                <w:sz w:val="21"/>
              </w:rPr>
              <w:t>51.</w:t>
            </w:r>
          </w:p>
        </w:tc>
        <w:tc>
          <w:tcPr>
            <w:tcW w:w="2800" w:type="dxa"/>
          </w:tcPr>
          <w:p>
            <w:pPr>
              <w:pStyle w:val="TableParagraph"/>
              <w:spacing w:line="249" w:lineRule="exact"/>
              <w:ind w:left="32"/>
              <w:rPr>
                <w:sz w:val="21"/>
              </w:rPr>
            </w:pPr>
            <w:r>
              <w:rPr>
                <w:sz w:val="21"/>
              </w:rPr>
              <w:t>原发性硬化性胆管炎</w:t>
            </w:r>
          </w:p>
        </w:tc>
        <w:tc>
          <w:tcPr>
            <w:tcW w:w="7277" w:type="dxa"/>
          </w:tcPr>
          <w:p>
            <w:pPr>
              <w:pStyle w:val="TableParagraph"/>
              <w:spacing w:line="249" w:lineRule="exact"/>
              <w:ind w:left="244"/>
              <w:rPr>
                <w:sz w:val="21"/>
              </w:rPr>
            </w:pPr>
            <w:r>
              <w:rPr>
                <w:sz w:val="21"/>
              </w:rPr>
              <w:t>指一种胆汁淤积综合征，其特征是肝内、肝外胆道因纤维化性炎症逐渐狭</w:t>
            </w:r>
          </w:p>
          <w:p>
            <w:pPr>
              <w:pStyle w:val="TableParagraph"/>
              <w:spacing w:line="273" w:lineRule="auto" w:before="37"/>
              <w:ind w:left="244" w:right="295"/>
              <w:rPr>
                <w:sz w:val="21"/>
              </w:rPr>
            </w:pPr>
            <w:r>
              <w:rPr>
                <w:sz w:val="21"/>
              </w:rPr>
              <w:t>窄，并最终导致完全阻塞而发展为肝硬化。本病须经内镜逆行胰胆管造影等影像学检查证实，并须满足下列全部条件：</w:t>
            </w:r>
          </w:p>
          <w:p>
            <w:pPr>
              <w:pStyle w:val="TableParagraph"/>
              <w:spacing w:before="7"/>
              <w:ind w:left="244"/>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244"/>
              <w:rPr>
                <w:sz w:val="21"/>
              </w:rPr>
            </w:pPr>
            <w:r>
              <w:rPr>
                <w:sz w:val="21"/>
              </w:rPr>
              <w:t>（</w:t>
            </w:r>
            <w:r>
              <w:rPr>
                <w:rFonts w:ascii="Times New Roman" w:eastAsia="Times New Roman"/>
                <w:sz w:val="21"/>
              </w:rPr>
              <w:t>2</w:t>
            </w:r>
            <w:r>
              <w:rPr>
                <w:sz w:val="21"/>
              </w:rPr>
              <w:t>）持续性黄疸病史；</w:t>
            </w:r>
          </w:p>
          <w:p>
            <w:pPr>
              <w:pStyle w:val="TableParagraph"/>
              <w:spacing w:before="20"/>
              <w:ind w:left="244"/>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244"/>
              <w:rPr>
                <w:b/>
                <w:sz w:val="21"/>
              </w:rPr>
            </w:pPr>
            <w:r>
              <w:rPr>
                <w:b/>
                <w:sz w:val="21"/>
              </w:rPr>
              <w:t>因肿瘤或胆管损伤等继发性的硬化性胆管炎不在保障范围内。</w:t>
            </w:r>
          </w:p>
        </w:tc>
      </w:tr>
      <w:tr>
        <w:trPr>
          <w:trHeight w:val="3120" w:hRule="atLeast"/>
        </w:trPr>
        <w:tc>
          <w:tcPr>
            <w:tcW w:w="497" w:type="dxa"/>
          </w:tcPr>
          <w:p>
            <w:pPr>
              <w:pStyle w:val="TableParagraph"/>
              <w:spacing w:before="29"/>
              <w:ind w:left="0" w:right="30"/>
              <w:jc w:val="right"/>
              <w:rPr>
                <w:rFonts w:ascii="Times New Roman"/>
                <w:sz w:val="21"/>
              </w:rPr>
            </w:pPr>
            <w:r>
              <w:rPr>
                <w:rFonts w:ascii="Times New Roman"/>
                <w:sz w:val="21"/>
              </w:rPr>
              <w:t>52.</w:t>
            </w:r>
          </w:p>
        </w:tc>
        <w:tc>
          <w:tcPr>
            <w:tcW w:w="2800" w:type="dxa"/>
          </w:tcPr>
          <w:p>
            <w:pPr>
              <w:pStyle w:val="TableParagraph"/>
              <w:spacing w:line="273" w:lineRule="exact"/>
              <w:ind w:left="32"/>
              <w:rPr>
                <w:sz w:val="21"/>
              </w:rPr>
            </w:pPr>
            <w:r>
              <w:rPr>
                <w:sz w:val="21"/>
              </w:rPr>
              <w:t>经输血导致的 </w:t>
            </w:r>
            <w:r>
              <w:rPr>
                <w:rFonts w:ascii="Times New Roman" w:eastAsia="Times New Roman"/>
                <w:sz w:val="21"/>
              </w:rPr>
              <w:t>HIV </w:t>
            </w:r>
            <w:r>
              <w:rPr>
                <w:sz w:val="21"/>
              </w:rPr>
              <w:t>感染</w:t>
            </w:r>
          </w:p>
        </w:tc>
        <w:tc>
          <w:tcPr>
            <w:tcW w:w="7277" w:type="dxa"/>
          </w:tcPr>
          <w:p>
            <w:pPr>
              <w:pStyle w:val="TableParagraph"/>
              <w:spacing w:line="273" w:lineRule="exact"/>
              <w:ind w:left="244"/>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244"/>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244" w:right="292"/>
              <w:rPr>
                <w:sz w:val="21"/>
              </w:rPr>
            </w:pPr>
            <w:r>
              <w:rPr>
                <w:w w:val="100"/>
                <w:sz w:val="21"/>
              </w:rPr>
              <w:t>（</w:t>
            </w:r>
            <w:r>
              <w:rPr>
                <w:rFonts w:ascii="Times New Roman" w:eastAsia="Times New Roman"/>
                <w:w w:val="100"/>
                <w:sz w:val="21"/>
              </w:rPr>
              <w:t>2</w:t>
            </w:r>
            <w:r>
              <w:rPr>
                <w:spacing w:val="-94"/>
                <w:w w:val="100"/>
                <w:sz w:val="21"/>
              </w:rPr>
              <w:t>）</w:t>
            </w:r>
            <w:r>
              <w:rPr>
                <w:spacing w:val="-3"/>
                <w:w w:val="100"/>
                <w:sz w:val="21"/>
              </w:rPr>
              <w:t>提供输血治疗的输血中心或医院出具该项输血感染属医疗责任事故的</w:t>
            </w:r>
            <w:r>
              <w:rPr>
                <w:spacing w:val="-3"/>
                <w:sz w:val="21"/>
              </w:rPr>
              <w:t>报告，或者法院终审裁定为医疗责任并且不准上诉；</w:t>
            </w:r>
          </w:p>
          <w:p>
            <w:pPr>
              <w:pStyle w:val="TableParagraph"/>
              <w:spacing w:before="22"/>
              <w:ind w:left="244"/>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244" w:right="294"/>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273" w:lineRule="auto" w:before="16"/>
              <w:ind w:left="244" w:right="295"/>
              <w:rPr>
                <w:sz w:val="21"/>
              </w:rPr>
            </w:pPr>
            <w:r>
              <w:rPr>
                <w:sz w:val="21"/>
              </w:rPr>
              <w:t>我们承担本项疾病责任不受本合同“责任免除”中“被保险人感染艾滋病病毒或患艾滋病”的限制。</w:t>
            </w:r>
          </w:p>
        </w:tc>
      </w:tr>
      <w:tr>
        <w:trPr>
          <w:trHeight w:val="1248" w:hRule="atLeast"/>
        </w:trPr>
        <w:tc>
          <w:tcPr>
            <w:tcW w:w="497" w:type="dxa"/>
          </w:tcPr>
          <w:p>
            <w:pPr>
              <w:pStyle w:val="TableParagraph"/>
              <w:spacing w:before="29"/>
              <w:ind w:left="0" w:right="30"/>
              <w:jc w:val="right"/>
              <w:rPr>
                <w:rFonts w:ascii="Times New Roman"/>
                <w:sz w:val="21"/>
              </w:rPr>
            </w:pPr>
            <w:r>
              <w:rPr>
                <w:rFonts w:ascii="Times New Roman"/>
                <w:sz w:val="21"/>
              </w:rPr>
              <w:t>53.</w:t>
            </w:r>
          </w:p>
        </w:tc>
        <w:tc>
          <w:tcPr>
            <w:tcW w:w="2800" w:type="dxa"/>
          </w:tcPr>
          <w:p>
            <w:pPr>
              <w:pStyle w:val="TableParagraph"/>
              <w:spacing w:line="257" w:lineRule="exact"/>
              <w:ind w:left="32"/>
              <w:rPr>
                <w:sz w:val="21"/>
              </w:rPr>
            </w:pPr>
            <w:r>
              <w:rPr>
                <w:sz w:val="21"/>
              </w:rPr>
              <w:t>疯牛病</w:t>
            </w:r>
          </w:p>
        </w:tc>
        <w:tc>
          <w:tcPr>
            <w:tcW w:w="7277" w:type="dxa"/>
          </w:tcPr>
          <w:p>
            <w:pPr>
              <w:pStyle w:val="TableParagraph"/>
              <w:spacing w:line="257" w:lineRule="exact"/>
              <w:ind w:left="244"/>
              <w:rPr>
                <w:sz w:val="21"/>
              </w:rPr>
            </w:pPr>
            <w:r>
              <w:rPr>
                <w:sz w:val="21"/>
              </w:rPr>
              <w:t>一种由动物传染而来的中枢神经系统变性性疾病，大脑呈海绵状改变伴神</w:t>
            </w:r>
          </w:p>
          <w:p>
            <w:pPr>
              <w:pStyle w:val="TableParagraph"/>
              <w:spacing w:line="273" w:lineRule="auto" w:before="37"/>
              <w:ind w:left="244" w:right="295"/>
              <w:rPr>
                <w:b/>
                <w:sz w:val="21"/>
              </w:rPr>
            </w:pPr>
            <w:r>
              <w:rPr>
                <w:spacing w:val="-3"/>
                <w:sz w:val="21"/>
              </w:rPr>
              <w:t>经元缺失和胶质化。临床表现为进行性痴呆、不随意运动及抽搐、行动困难等等。疯牛病必须由权威医疗机构根据致病蛋白的发现而明确诊断。 </w:t>
            </w:r>
            <w:r>
              <w:rPr>
                <w:b/>
                <w:spacing w:val="-3"/>
                <w:sz w:val="21"/>
              </w:rPr>
              <w:t>疑似诊断不作为理赔依据。</w:t>
            </w:r>
          </w:p>
        </w:tc>
      </w:tr>
      <w:tr>
        <w:trPr>
          <w:trHeight w:val="1559" w:hRule="atLeast"/>
        </w:trPr>
        <w:tc>
          <w:tcPr>
            <w:tcW w:w="497" w:type="dxa"/>
          </w:tcPr>
          <w:p>
            <w:pPr>
              <w:pStyle w:val="TableParagraph"/>
              <w:spacing w:before="29"/>
              <w:ind w:left="0" w:right="30"/>
              <w:jc w:val="right"/>
              <w:rPr>
                <w:rFonts w:ascii="Times New Roman"/>
                <w:sz w:val="21"/>
              </w:rPr>
            </w:pPr>
            <w:r>
              <w:rPr>
                <w:rFonts w:ascii="Times New Roman"/>
                <w:sz w:val="21"/>
              </w:rPr>
              <w:t>54.</w:t>
            </w:r>
          </w:p>
        </w:tc>
        <w:tc>
          <w:tcPr>
            <w:tcW w:w="2800" w:type="dxa"/>
          </w:tcPr>
          <w:p>
            <w:pPr>
              <w:pStyle w:val="TableParagraph"/>
              <w:spacing w:line="257" w:lineRule="exact"/>
              <w:ind w:left="32"/>
              <w:rPr>
                <w:sz w:val="21"/>
              </w:rPr>
            </w:pPr>
            <w:r>
              <w:rPr>
                <w:sz w:val="21"/>
              </w:rPr>
              <w:t>慢性复发性胰腺炎</w:t>
            </w:r>
          </w:p>
        </w:tc>
        <w:tc>
          <w:tcPr>
            <w:tcW w:w="7277" w:type="dxa"/>
          </w:tcPr>
          <w:p>
            <w:pPr>
              <w:pStyle w:val="TableParagraph"/>
              <w:spacing w:line="257" w:lineRule="exact"/>
              <w:ind w:left="244"/>
              <w:rPr>
                <w:sz w:val="21"/>
              </w:rPr>
            </w:pPr>
            <w:r>
              <w:rPr>
                <w:sz w:val="21"/>
              </w:rPr>
              <w:t>指有腹痛等典型症状的胰腺炎反复发作，导致胰腺进行性破坏，并导致胰</w:t>
            </w:r>
          </w:p>
          <w:p>
            <w:pPr>
              <w:pStyle w:val="TableParagraph"/>
              <w:spacing w:line="256" w:lineRule="auto" w:before="37"/>
              <w:ind w:left="244" w:right="198"/>
              <w:rPr>
                <w:sz w:val="21"/>
              </w:rPr>
            </w:pPr>
            <w:r>
              <w:rPr>
                <w:spacing w:val="-6"/>
                <w:sz w:val="21"/>
              </w:rPr>
              <w:t>腺功能紊乱而导致严重糖尿病以及营养不良、恶液质。断层扫描</w:t>
            </w:r>
            <w:r>
              <w:rPr>
                <w:spacing w:val="-4"/>
                <w:sz w:val="21"/>
              </w:rPr>
              <w:t>（</w:t>
            </w:r>
            <w:r>
              <w:rPr>
                <w:rFonts w:ascii="Times New Roman" w:eastAsia="Times New Roman"/>
                <w:spacing w:val="-4"/>
                <w:sz w:val="21"/>
              </w:rPr>
              <w:t>CT</w:t>
            </w:r>
            <w:r>
              <w:rPr>
                <w:spacing w:val="-4"/>
                <w:sz w:val="21"/>
              </w:rPr>
              <w:t>）</w:t>
            </w:r>
            <w:r>
              <w:rPr>
                <w:spacing w:val="-12"/>
                <w:sz w:val="21"/>
              </w:rPr>
              <w:t>证</w:t>
            </w:r>
            <w:r>
              <w:rPr>
                <w:spacing w:val="-3"/>
                <w:sz w:val="21"/>
              </w:rPr>
              <w:t>实胰腺存在广泛钙化，且必须接受酶替代以及胰岛素替代治疗</w:t>
            </w:r>
            <w:r>
              <w:rPr>
                <w:rFonts w:ascii="Times New Roman" w:eastAsia="Times New Roman"/>
                <w:sz w:val="21"/>
              </w:rPr>
              <w:t>6</w:t>
            </w:r>
            <w:r>
              <w:rPr>
                <w:spacing w:val="-3"/>
                <w:sz w:val="21"/>
              </w:rPr>
              <w:t>个月以上。诊断必须由消化科专科医生确诊。</w:t>
            </w:r>
          </w:p>
          <w:p>
            <w:pPr>
              <w:pStyle w:val="TableParagraph"/>
              <w:spacing w:before="22"/>
              <w:ind w:left="244"/>
              <w:rPr>
                <w:b/>
                <w:sz w:val="21"/>
              </w:rPr>
            </w:pPr>
            <w:r>
              <w:rPr>
                <w:b/>
                <w:sz w:val="21"/>
              </w:rPr>
              <w:t>酒精导致的慢性复发性胰腺炎不在保障范围内。</w:t>
            </w:r>
          </w:p>
        </w:tc>
      </w:tr>
      <w:tr>
        <w:trPr>
          <w:trHeight w:val="594" w:hRule="atLeast"/>
        </w:trPr>
        <w:tc>
          <w:tcPr>
            <w:tcW w:w="497" w:type="dxa"/>
          </w:tcPr>
          <w:p>
            <w:pPr>
              <w:pStyle w:val="TableParagraph"/>
              <w:spacing w:before="29"/>
              <w:ind w:left="0" w:right="30"/>
              <w:jc w:val="right"/>
              <w:rPr>
                <w:rFonts w:ascii="Times New Roman"/>
                <w:sz w:val="21"/>
              </w:rPr>
            </w:pPr>
            <w:r>
              <w:rPr>
                <w:rFonts w:ascii="Times New Roman"/>
                <w:sz w:val="21"/>
              </w:rPr>
              <w:t>55.</w:t>
            </w:r>
          </w:p>
        </w:tc>
        <w:tc>
          <w:tcPr>
            <w:tcW w:w="2800" w:type="dxa"/>
          </w:tcPr>
          <w:p>
            <w:pPr>
              <w:pStyle w:val="TableParagraph"/>
              <w:spacing w:line="257" w:lineRule="exact"/>
              <w:ind w:left="32"/>
              <w:rPr>
                <w:sz w:val="21"/>
              </w:rPr>
            </w:pPr>
            <w:r>
              <w:rPr>
                <w:sz w:val="21"/>
              </w:rPr>
              <w:t>严重癫痫</w:t>
            </w:r>
          </w:p>
        </w:tc>
        <w:tc>
          <w:tcPr>
            <w:tcW w:w="7277" w:type="dxa"/>
          </w:tcPr>
          <w:p>
            <w:pPr>
              <w:pStyle w:val="TableParagraph"/>
              <w:spacing w:line="257" w:lineRule="exact"/>
              <w:ind w:left="244"/>
              <w:rPr>
                <w:sz w:val="21"/>
              </w:rPr>
            </w:pPr>
            <w:r>
              <w:rPr>
                <w:sz w:val="21"/>
              </w:rPr>
              <w:t>本病的诊断须由神经科或儿科专科医生根据典型临床症状和脑电图及</w:t>
            </w:r>
          </w:p>
          <w:p>
            <w:pPr>
              <w:pStyle w:val="TableParagraph"/>
              <w:spacing w:line="280" w:lineRule="exact" w:before="37"/>
              <w:ind w:left="244"/>
              <w:rPr>
                <w:sz w:val="21"/>
              </w:rPr>
            </w:pPr>
            <w:r>
              <w:rPr>
                <w:rFonts w:ascii="Times New Roman" w:eastAsia="Times New Roman"/>
                <w:sz w:val="21"/>
              </w:rPr>
              <w:t>MRI</w:t>
            </w:r>
            <w:r>
              <w:rPr>
                <w:sz w:val="21"/>
              </w:rPr>
              <w:t>、</w:t>
            </w:r>
            <w:r>
              <w:rPr>
                <w:rFonts w:ascii="Times New Roman" w:eastAsia="Times New Roman"/>
                <w:sz w:val="21"/>
              </w:rPr>
              <w:t>PET</w:t>
            </w:r>
            <w:r>
              <w:rPr>
                <w:sz w:val="21"/>
              </w:rPr>
              <w:t>、</w:t>
            </w:r>
            <w:r>
              <w:rPr>
                <w:rFonts w:ascii="Times New Roman" w:eastAsia="Times New Roman"/>
                <w:sz w:val="21"/>
              </w:rPr>
              <w:t>CT</w:t>
            </w:r>
            <w:r>
              <w:rPr>
                <w:sz w:val="21"/>
              </w:rPr>
              <w:t>等影相学检查做出。理赔时必须提供</w:t>
            </w:r>
            <w:r>
              <w:rPr>
                <w:rFonts w:ascii="Times New Roman" w:eastAsia="Times New Roman"/>
                <w:sz w:val="21"/>
              </w:rPr>
              <w:t>6</w:t>
            </w:r>
            <w:r>
              <w:rPr>
                <w:sz w:val="21"/>
              </w:rPr>
              <w:t>个月以上的相关病历</w:t>
            </w:r>
          </w:p>
        </w:tc>
      </w:tr>
    </w:tbl>
    <w:p>
      <w:pPr>
        <w:spacing w:after="0" w:line="280" w:lineRule="exact"/>
        <w:rPr>
          <w:sz w:val="21"/>
        </w:rPr>
        <w:sectPr>
          <w:pgSz w:w="11910" w:h="16160"/>
          <w:pgMar w:header="0" w:footer="993" w:top="1440" w:bottom="1180" w:left="760" w:right="3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864"/>
        <w:gridCol w:w="7120"/>
      </w:tblGrid>
      <w:tr>
        <w:trPr>
          <w:trHeight w:val="881" w:hRule="atLeast"/>
        </w:trPr>
        <w:tc>
          <w:tcPr>
            <w:tcW w:w="497" w:type="dxa"/>
          </w:tcPr>
          <w:p>
            <w:pPr>
              <w:pStyle w:val="TableParagraph"/>
              <w:ind w:left="0"/>
              <w:rPr>
                <w:rFonts w:ascii="Times New Roman"/>
                <w:sz w:val="20"/>
              </w:rPr>
            </w:pPr>
          </w:p>
        </w:tc>
        <w:tc>
          <w:tcPr>
            <w:tcW w:w="2864" w:type="dxa"/>
          </w:tcPr>
          <w:p>
            <w:pPr>
              <w:pStyle w:val="TableParagraph"/>
              <w:ind w:left="0"/>
              <w:rPr>
                <w:rFonts w:ascii="Times New Roman"/>
                <w:sz w:val="20"/>
              </w:rPr>
            </w:pPr>
          </w:p>
        </w:tc>
        <w:tc>
          <w:tcPr>
            <w:tcW w:w="7120" w:type="dxa"/>
          </w:tcPr>
          <w:p>
            <w:pPr>
              <w:pStyle w:val="TableParagraph"/>
              <w:spacing w:line="202" w:lineRule="exact"/>
              <w:rPr>
                <w:sz w:val="21"/>
              </w:rPr>
            </w:pPr>
            <w:r>
              <w:rPr>
                <w:sz w:val="21"/>
              </w:rPr>
              <w:t>记录证明被保险人存在经抗癫痫药物治疗无效而反复发作的强直阵挛性发</w:t>
            </w:r>
          </w:p>
          <w:p>
            <w:pPr>
              <w:pStyle w:val="TableParagraph"/>
              <w:spacing w:line="273" w:lineRule="auto" w:before="37"/>
              <w:ind w:right="201"/>
              <w:rPr>
                <w:b/>
                <w:sz w:val="21"/>
              </w:rPr>
            </w:pPr>
            <w:r>
              <w:rPr>
                <w:sz w:val="21"/>
              </w:rPr>
              <w:t>作或癫痫大发作，且已行神经外科手术以治疗反复发作的癫痫。</w:t>
            </w:r>
            <w:r>
              <w:rPr>
                <w:b/>
                <w:sz w:val="21"/>
              </w:rPr>
              <w:t>发热性惊厥以及没有全身性发作的失神发作（癫痫小发作）不在本保障范围内。</w:t>
            </w:r>
          </w:p>
        </w:tc>
      </w:tr>
      <w:tr>
        <w:trPr>
          <w:trHeight w:val="2504" w:hRule="atLeast"/>
        </w:trPr>
        <w:tc>
          <w:tcPr>
            <w:tcW w:w="497" w:type="dxa"/>
          </w:tcPr>
          <w:p>
            <w:pPr>
              <w:pStyle w:val="TableParagraph"/>
              <w:spacing w:before="29"/>
              <w:ind w:left="0" w:right="32"/>
              <w:jc w:val="right"/>
              <w:rPr>
                <w:rFonts w:ascii="Times New Roman"/>
                <w:sz w:val="21"/>
              </w:rPr>
            </w:pPr>
            <w:r>
              <w:rPr>
                <w:rFonts w:ascii="Times New Roman"/>
                <w:sz w:val="21"/>
              </w:rPr>
              <w:t>56.</w:t>
            </w:r>
          </w:p>
        </w:tc>
        <w:tc>
          <w:tcPr>
            <w:tcW w:w="2864" w:type="dxa"/>
          </w:tcPr>
          <w:p>
            <w:pPr>
              <w:pStyle w:val="TableParagraph"/>
              <w:spacing w:line="257" w:lineRule="exact"/>
              <w:ind w:left="32"/>
              <w:rPr>
                <w:sz w:val="21"/>
              </w:rPr>
            </w:pPr>
            <w:r>
              <w:rPr>
                <w:sz w:val="21"/>
              </w:rPr>
              <w:t>肺源性心脏病</w:t>
            </w:r>
          </w:p>
        </w:tc>
        <w:tc>
          <w:tcPr>
            <w:tcW w:w="7120" w:type="dxa"/>
          </w:tcPr>
          <w:p>
            <w:pPr>
              <w:pStyle w:val="TableParagraph"/>
              <w:spacing w:line="257" w:lineRule="exact"/>
              <w:rPr>
                <w:sz w:val="21"/>
              </w:rPr>
            </w:pPr>
            <w:r>
              <w:rPr>
                <w:sz w:val="21"/>
              </w:rPr>
              <w:t>指由于各种胸肺及支气管病变而继发的肺动脉高压，最后导致以右室肥大</w:t>
            </w:r>
          </w:p>
          <w:p>
            <w:pPr>
              <w:pStyle w:val="TableParagraph"/>
              <w:spacing w:before="37"/>
              <w:rPr>
                <w:sz w:val="21"/>
              </w:rPr>
            </w:pPr>
            <w:r>
              <w:rPr>
                <w:sz w:val="21"/>
              </w:rPr>
              <w:t>为特征的心脏病。须经呼吸专科医生确诊，且必须同时满足如下诊断标准</w:t>
            </w:r>
          </w:p>
          <w:p>
            <w:pPr>
              <w:pStyle w:val="TableParagraph"/>
              <w:spacing w:before="37"/>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497" w:type="dxa"/>
          </w:tcPr>
          <w:p>
            <w:pPr>
              <w:pStyle w:val="TableParagraph"/>
              <w:spacing w:before="21"/>
              <w:ind w:left="0" w:right="32"/>
              <w:jc w:val="right"/>
              <w:rPr>
                <w:rFonts w:ascii="Times New Roman"/>
                <w:sz w:val="21"/>
              </w:rPr>
            </w:pPr>
            <w:r>
              <w:rPr>
                <w:rFonts w:ascii="Times New Roman"/>
                <w:sz w:val="21"/>
              </w:rPr>
              <w:t>57.</w:t>
            </w:r>
          </w:p>
        </w:tc>
        <w:tc>
          <w:tcPr>
            <w:tcW w:w="2864" w:type="dxa"/>
          </w:tcPr>
          <w:p>
            <w:pPr>
              <w:pStyle w:val="TableParagraph"/>
              <w:spacing w:line="250" w:lineRule="exact"/>
              <w:ind w:left="32"/>
              <w:rPr>
                <w:sz w:val="21"/>
              </w:rPr>
            </w:pPr>
            <w:r>
              <w:rPr>
                <w:sz w:val="21"/>
              </w:rPr>
              <w:t>严重肌营养不良症</w:t>
            </w:r>
          </w:p>
        </w:tc>
        <w:tc>
          <w:tcPr>
            <w:tcW w:w="7120" w:type="dxa"/>
          </w:tcPr>
          <w:p>
            <w:pPr>
              <w:pStyle w:val="TableParagraph"/>
              <w:spacing w:line="250" w:lineRule="exact"/>
              <w:rPr>
                <w:sz w:val="21"/>
              </w:rPr>
            </w:pPr>
            <w:r>
              <w:rPr>
                <w:sz w:val="21"/>
              </w:rPr>
              <w:t>指一组原发于肌肉的遗传性疾病，临床表现为与神经系统无关的肌肉无力</w:t>
            </w:r>
          </w:p>
          <w:p>
            <w:pPr>
              <w:pStyle w:val="TableParagraph"/>
              <w:spacing w:before="37"/>
              <w:rPr>
                <w:sz w:val="21"/>
              </w:rPr>
            </w:pPr>
            <w:r>
              <w:rPr>
                <w:sz w:val="21"/>
              </w:rPr>
              <w:t>和肌肉萎缩。且须满足下列全部条件：</w:t>
            </w:r>
          </w:p>
          <w:p>
            <w:pPr>
              <w:pStyle w:val="TableParagraph"/>
              <w:spacing w:line="256" w:lineRule="auto" w:before="37"/>
              <w:ind w:right="199"/>
              <w:rPr>
                <w:sz w:val="21"/>
              </w:rPr>
            </w:pPr>
            <w:r>
              <w:rPr>
                <w:spacing w:val="-17"/>
                <w:sz w:val="21"/>
              </w:rPr>
              <w:t>（</w:t>
            </w:r>
            <w:r>
              <w:rPr>
                <w:rFonts w:ascii="Times New Roman" w:eastAsia="Times New Roman"/>
                <w:spacing w:val="-17"/>
                <w:sz w:val="21"/>
              </w:rPr>
              <w:t>1</w:t>
            </w:r>
            <w:r>
              <w:rPr>
                <w:spacing w:val="-17"/>
                <w:sz w:val="21"/>
              </w:rPr>
              <w:t>）</w:t>
            </w:r>
            <w:r>
              <w:rPr>
                <w:spacing w:val="-5"/>
                <w:sz w:val="21"/>
              </w:rPr>
              <w:t>肌肉组织活检结果满足肌营养不良症的肌肉细胞变性、坏死等阳性改变；</w:t>
            </w:r>
          </w:p>
          <w:p>
            <w:pPr>
              <w:pStyle w:val="TableParagraph"/>
              <w:spacing w:line="256" w:lineRule="auto" w:before="22"/>
              <w:ind w:right="201"/>
              <w:rPr>
                <w:sz w:val="21"/>
              </w:rPr>
            </w:pPr>
            <w:r>
              <w:rPr>
                <w:spacing w:val="-17"/>
                <w:sz w:val="21"/>
              </w:rPr>
              <w:t>（</w:t>
            </w:r>
            <w:r>
              <w:rPr>
                <w:rFonts w:ascii="Times New Roman" w:eastAsia="Times New Roman"/>
                <w:spacing w:val="-17"/>
                <w:sz w:val="21"/>
              </w:rPr>
              <w:t>2</w:t>
            </w:r>
            <w:r>
              <w:rPr>
                <w:spacing w:val="-17"/>
                <w:sz w:val="21"/>
              </w:rPr>
              <w:t>）</w:t>
            </w:r>
            <w:r>
              <w:rPr>
                <w:spacing w:val="-8"/>
                <w:sz w:val="21"/>
              </w:rPr>
              <w:t>自主生活能力完全丧失，无法独立完成六项基本日常生活活动中的三</w:t>
            </w:r>
            <w:r>
              <w:rPr>
                <w:spacing w:val="-5"/>
                <w:sz w:val="21"/>
              </w:rPr>
              <w:t>项或三项以上。</w:t>
            </w:r>
          </w:p>
          <w:p>
            <w:pPr>
              <w:pStyle w:val="TableParagraph"/>
              <w:spacing w:line="273" w:lineRule="auto" w:before="22"/>
              <w:ind w:right="202"/>
              <w:rPr>
                <w:sz w:val="21"/>
              </w:rPr>
            </w:pPr>
            <w:r>
              <w:rPr>
                <w:sz w:val="21"/>
              </w:rPr>
              <w:t>我们承担本项疾病责任不受本合同“责任免除”中“遗传性疾病，先天性畸形、变形或染色体异常”的限制。</w:t>
            </w:r>
          </w:p>
        </w:tc>
      </w:tr>
      <w:tr>
        <w:trPr>
          <w:trHeight w:val="623" w:hRule="atLeast"/>
        </w:trPr>
        <w:tc>
          <w:tcPr>
            <w:tcW w:w="497" w:type="dxa"/>
          </w:tcPr>
          <w:p>
            <w:pPr>
              <w:pStyle w:val="TableParagraph"/>
              <w:spacing w:before="29"/>
              <w:ind w:left="0" w:right="30"/>
              <w:jc w:val="right"/>
              <w:rPr>
                <w:rFonts w:ascii="Times New Roman"/>
                <w:sz w:val="21"/>
              </w:rPr>
            </w:pPr>
            <w:r>
              <w:rPr>
                <w:rFonts w:ascii="Times New Roman"/>
                <w:sz w:val="21"/>
              </w:rPr>
              <w:t>58.</w:t>
            </w:r>
          </w:p>
        </w:tc>
        <w:tc>
          <w:tcPr>
            <w:tcW w:w="2864" w:type="dxa"/>
          </w:tcPr>
          <w:p>
            <w:pPr>
              <w:pStyle w:val="TableParagraph"/>
              <w:spacing w:line="257" w:lineRule="exact"/>
              <w:ind w:left="32"/>
              <w:rPr>
                <w:sz w:val="21"/>
              </w:rPr>
            </w:pPr>
            <w:r>
              <w:rPr>
                <w:sz w:val="21"/>
              </w:rPr>
              <w:t>严重川崎病</w:t>
            </w:r>
          </w:p>
        </w:tc>
        <w:tc>
          <w:tcPr>
            <w:tcW w:w="7120" w:type="dxa"/>
          </w:tcPr>
          <w:p>
            <w:pPr>
              <w:pStyle w:val="TableParagraph"/>
              <w:spacing w:line="257" w:lineRule="exact"/>
              <w:rPr>
                <w:b/>
                <w:sz w:val="21"/>
              </w:rPr>
            </w:pPr>
            <w:r>
              <w:rPr>
                <w:sz w:val="21"/>
              </w:rPr>
              <w:t>为一种病因不明的系统性血管炎。</w:t>
            </w:r>
            <w:r>
              <w:rPr>
                <w:b/>
                <w:sz w:val="21"/>
              </w:rPr>
              <w:t>本合同仅对诊断性检查证实川崎病并发</w:t>
            </w:r>
          </w:p>
          <w:p>
            <w:pPr>
              <w:pStyle w:val="TableParagraph"/>
              <w:spacing w:before="37"/>
              <w:rPr>
                <w:b/>
                <w:sz w:val="21"/>
              </w:rPr>
            </w:pPr>
            <w:r>
              <w:rPr>
                <w:b/>
                <w:sz w:val="21"/>
              </w:rPr>
              <w:t>动脉瘤或其他心血管异常并且实际接受了手术治疗的情况予以理赔。</w:t>
            </w:r>
          </w:p>
        </w:tc>
      </w:tr>
      <w:tr>
        <w:trPr>
          <w:trHeight w:val="2504" w:hRule="atLeast"/>
        </w:trPr>
        <w:tc>
          <w:tcPr>
            <w:tcW w:w="497" w:type="dxa"/>
          </w:tcPr>
          <w:p>
            <w:pPr>
              <w:pStyle w:val="TableParagraph"/>
              <w:spacing w:before="29"/>
              <w:ind w:left="0" w:right="30"/>
              <w:jc w:val="right"/>
              <w:rPr>
                <w:rFonts w:ascii="Times New Roman"/>
                <w:sz w:val="21"/>
              </w:rPr>
            </w:pPr>
            <w:r>
              <w:rPr>
                <w:rFonts w:ascii="Times New Roman"/>
                <w:sz w:val="21"/>
              </w:rPr>
              <w:t>59.</w:t>
            </w:r>
          </w:p>
        </w:tc>
        <w:tc>
          <w:tcPr>
            <w:tcW w:w="2864" w:type="dxa"/>
          </w:tcPr>
          <w:p>
            <w:pPr>
              <w:pStyle w:val="TableParagraph"/>
              <w:spacing w:line="257" w:lineRule="exact"/>
              <w:ind w:left="32"/>
              <w:rPr>
                <w:sz w:val="21"/>
              </w:rPr>
            </w:pPr>
            <w:r>
              <w:rPr>
                <w:sz w:val="21"/>
              </w:rPr>
              <w:t>严重自身免疫性肝炎</w:t>
            </w:r>
          </w:p>
        </w:tc>
        <w:tc>
          <w:tcPr>
            <w:tcW w:w="7120" w:type="dxa"/>
          </w:tcPr>
          <w:p>
            <w:pPr>
              <w:pStyle w:val="TableParagraph"/>
              <w:spacing w:line="257" w:lineRule="exact"/>
              <w:rPr>
                <w:sz w:val="21"/>
              </w:rPr>
            </w:pPr>
            <w:r>
              <w:rPr>
                <w:sz w:val="21"/>
              </w:rPr>
              <w:t>自身免疫性肝炎是一种原因不明的慢性肝脏的坏死性炎性疾病，机体免疫</w:t>
            </w:r>
          </w:p>
          <w:p>
            <w:pPr>
              <w:pStyle w:val="TableParagraph"/>
              <w:spacing w:line="273" w:lineRule="auto" w:before="37"/>
              <w:ind w:right="202"/>
              <w:rPr>
                <w:sz w:val="21"/>
              </w:rPr>
            </w:pPr>
            <w:r>
              <w:rPr>
                <w:sz w:val="21"/>
              </w:rPr>
              <w:t>机制被破坏，产生针对肝脏自身抗原的抗体导致自身免疫反应，从而破坏肝细胞造成肝脏炎症坏死，进而发展为肝硬化。必须满足所有以下条件：</w:t>
            </w:r>
          </w:p>
          <w:p>
            <w:pPr>
              <w:pStyle w:val="TableParagraph"/>
              <w:spacing w:before="7"/>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56" w:lineRule="auto" w:before="21"/>
              <w:ind w:right="200"/>
              <w:rPr>
                <w:sz w:val="21"/>
              </w:rPr>
            </w:pPr>
            <w:r>
              <w:rPr>
                <w:spacing w:val="-9"/>
                <w:sz w:val="21"/>
              </w:rPr>
              <w:t>（</w:t>
            </w:r>
            <w:r>
              <w:rPr>
                <w:rFonts w:ascii="Times New Roman" w:eastAsia="Times New Roman"/>
                <w:spacing w:val="-9"/>
                <w:sz w:val="21"/>
              </w:rPr>
              <w:t>2</w:t>
            </w:r>
            <w:r>
              <w:rPr>
                <w:spacing w:val="-9"/>
                <w:sz w:val="21"/>
              </w:rPr>
              <w:t>）</w:t>
            </w:r>
            <w:r>
              <w:rPr>
                <w:spacing w:val="-6"/>
                <w:sz w:val="21"/>
              </w:rPr>
              <w:t>血液中存在高水平的自身免疫抗体，如 </w:t>
            </w:r>
            <w:r>
              <w:rPr>
                <w:rFonts w:ascii="Times New Roman" w:eastAsia="Times New Roman"/>
                <w:spacing w:val="-7"/>
                <w:sz w:val="21"/>
              </w:rPr>
              <w:t>ANA</w:t>
            </w:r>
            <w:r>
              <w:rPr>
                <w:spacing w:val="-7"/>
                <w:sz w:val="21"/>
              </w:rPr>
              <w:t>（</w:t>
            </w:r>
            <w:r>
              <w:rPr>
                <w:spacing w:val="-1"/>
                <w:sz w:val="21"/>
              </w:rPr>
              <w:t>抗核抗体</w:t>
            </w:r>
            <w:r>
              <w:rPr>
                <w:spacing w:val="-108"/>
                <w:sz w:val="21"/>
              </w:rPr>
              <w:t>）</w:t>
            </w:r>
            <w:r>
              <w:rPr>
                <w:spacing w:val="-22"/>
                <w:sz w:val="21"/>
              </w:rPr>
              <w:t>、</w:t>
            </w:r>
            <w:r>
              <w:rPr>
                <w:rFonts w:ascii="Times New Roman" w:eastAsia="Times New Roman"/>
                <w:spacing w:val="-7"/>
                <w:sz w:val="21"/>
              </w:rPr>
              <w:t>SMA</w:t>
            </w:r>
            <w:r>
              <w:rPr>
                <w:spacing w:val="-7"/>
                <w:sz w:val="21"/>
              </w:rPr>
              <w:t>（</w:t>
            </w:r>
            <w:r>
              <w:rPr>
                <w:sz w:val="21"/>
              </w:rPr>
              <w:t>抗</w:t>
            </w:r>
            <w:r>
              <w:rPr>
                <w:spacing w:val="-2"/>
                <w:sz w:val="21"/>
              </w:rPr>
              <w:t>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5"/>
              <w:rPr>
                <w:sz w:val="21"/>
              </w:rPr>
            </w:pPr>
            <w:r>
              <w:rPr>
                <w:sz w:val="21"/>
              </w:rPr>
              <w:t>（</w:t>
            </w:r>
            <w:r>
              <w:rPr>
                <w:rFonts w:ascii="Times New Roman" w:eastAsia="Times New Roman"/>
                <w:sz w:val="21"/>
              </w:rPr>
              <w:t>3</w:t>
            </w:r>
            <w:r>
              <w:rPr>
                <w:sz w:val="21"/>
              </w:rPr>
              <w:t>）肝脏活检证实免疫性肝炎；</w:t>
            </w:r>
          </w:p>
          <w:p>
            <w:pPr>
              <w:pStyle w:val="TableParagraph"/>
              <w:spacing w:before="21"/>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935" w:hRule="atLeast"/>
        </w:trPr>
        <w:tc>
          <w:tcPr>
            <w:tcW w:w="497" w:type="dxa"/>
          </w:tcPr>
          <w:p>
            <w:pPr>
              <w:pStyle w:val="TableParagraph"/>
              <w:spacing w:before="21"/>
              <w:ind w:left="0" w:right="30"/>
              <w:jc w:val="right"/>
              <w:rPr>
                <w:rFonts w:ascii="Times New Roman"/>
                <w:sz w:val="21"/>
              </w:rPr>
            </w:pPr>
            <w:r>
              <w:rPr>
                <w:rFonts w:ascii="Times New Roman"/>
                <w:sz w:val="21"/>
              </w:rPr>
              <w:t>60.</w:t>
            </w:r>
          </w:p>
        </w:tc>
        <w:tc>
          <w:tcPr>
            <w:tcW w:w="2864" w:type="dxa"/>
          </w:tcPr>
          <w:p>
            <w:pPr>
              <w:pStyle w:val="TableParagraph"/>
              <w:spacing w:line="249" w:lineRule="exact"/>
              <w:ind w:left="32"/>
              <w:rPr>
                <w:sz w:val="21"/>
              </w:rPr>
            </w:pPr>
            <w:r>
              <w:rPr>
                <w:sz w:val="21"/>
              </w:rPr>
              <w:t>严重心肌炎</w:t>
            </w:r>
          </w:p>
        </w:tc>
        <w:tc>
          <w:tcPr>
            <w:tcW w:w="7120" w:type="dxa"/>
          </w:tcPr>
          <w:p>
            <w:pPr>
              <w:pStyle w:val="TableParagraph"/>
              <w:spacing w:line="265" w:lineRule="exact"/>
              <w:rPr>
                <w:sz w:val="21"/>
              </w:rPr>
            </w:pPr>
            <w:r>
              <w:rPr>
                <w:sz w:val="21"/>
              </w:rPr>
              <w:t>心肌的严重感染而导致至少持续 </w:t>
            </w:r>
            <w:r>
              <w:rPr>
                <w:rFonts w:ascii="Times New Roman" w:eastAsia="Times New Roman"/>
                <w:sz w:val="21"/>
              </w:rPr>
              <w:t>6 </w:t>
            </w:r>
            <w:r>
              <w:rPr>
                <w:sz w:val="21"/>
              </w:rPr>
              <w:t>个月的心功能损害。严重的心功能损害</w:t>
            </w:r>
          </w:p>
          <w:p>
            <w:pPr>
              <w:pStyle w:val="TableParagraph"/>
              <w:spacing w:line="256" w:lineRule="auto" w:before="21"/>
              <w:ind w:right="201"/>
              <w:rPr>
                <w:sz w:val="21"/>
              </w:rPr>
            </w:pPr>
            <w:r>
              <w:rPr>
                <w:sz w:val="21"/>
              </w:rPr>
              <w:t>必须具备如下条件：左室腔扩大至少达到正常值上限的 </w:t>
            </w:r>
            <w:r>
              <w:rPr>
                <w:rFonts w:ascii="Times New Roman" w:eastAsia="Times New Roman"/>
                <w:sz w:val="21"/>
              </w:rPr>
              <w:t>120%</w:t>
            </w:r>
            <w:r>
              <w:rPr>
                <w:sz w:val="21"/>
              </w:rPr>
              <w:t>，且左室射血分数持续性低于 </w:t>
            </w:r>
            <w:r>
              <w:rPr>
                <w:rFonts w:ascii="Times New Roman" w:eastAsia="Times New Roman"/>
                <w:sz w:val="21"/>
              </w:rPr>
              <w:t>40%</w:t>
            </w:r>
            <w:r>
              <w:rPr>
                <w:sz w:val="21"/>
              </w:rPr>
              <w:t>。</w:t>
            </w:r>
          </w:p>
        </w:tc>
      </w:tr>
      <w:tr>
        <w:trPr>
          <w:trHeight w:val="624" w:hRule="atLeast"/>
        </w:trPr>
        <w:tc>
          <w:tcPr>
            <w:tcW w:w="497" w:type="dxa"/>
          </w:tcPr>
          <w:p>
            <w:pPr>
              <w:pStyle w:val="TableParagraph"/>
              <w:spacing w:before="21"/>
              <w:ind w:left="0" w:right="32"/>
              <w:jc w:val="right"/>
              <w:rPr>
                <w:rFonts w:ascii="Times New Roman"/>
                <w:sz w:val="21"/>
              </w:rPr>
            </w:pPr>
            <w:r>
              <w:rPr>
                <w:rFonts w:ascii="Times New Roman"/>
                <w:sz w:val="21"/>
              </w:rPr>
              <w:t>61.</w:t>
            </w:r>
          </w:p>
        </w:tc>
        <w:tc>
          <w:tcPr>
            <w:tcW w:w="2864" w:type="dxa"/>
          </w:tcPr>
          <w:p>
            <w:pPr>
              <w:pStyle w:val="TableParagraph"/>
              <w:spacing w:line="249" w:lineRule="exact"/>
              <w:ind w:left="32"/>
              <w:rPr>
                <w:sz w:val="21"/>
              </w:rPr>
            </w:pPr>
            <w:r>
              <w:rPr>
                <w:sz w:val="21"/>
              </w:rPr>
              <w:t>严重面部烧伤</w:t>
            </w:r>
          </w:p>
        </w:tc>
        <w:tc>
          <w:tcPr>
            <w:tcW w:w="7120" w:type="dxa"/>
          </w:tcPr>
          <w:p>
            <w:pPr>
              <w:pStyle w:val="TableParagraph"/>
              <w:spacing w:line="249" w:lineRule="exact"/>
              <w:rPr>
                <w:sz w:val="21"/>
              </w:rPr>
            </w:pPr>
            <w:r>
              <w:rPr>
                <w:sz w:val="21"/>
              </w:rPr>
              <w:t>指面部烧伤程度为Ⅲ度，即全层皮肤烧伤，包括表皮、真皮和皮下组织，</w:t>
            </w:r>
          </w:p>
          <w:p>
            <w:pPr>
              <w:pStyle w:val="TableParagraph"/>
              <w:spacing w:before="37"/>
              <w:rPr>
                <w:sz w:val="21"/>
              </w:rPr>
            </w:pPr>
            <w:r>
              <w:rPr>
                <w:sz w:val="21"/>
              </w:rPr>
              <w:t>且Ⅲ度烧伤的面积达到面部表面积的 </w:t>
            </w:r>
            <w:r>
              <w:rPr>
                <w:rFonts w:ascii="Times New Roman" w:hAnsi="Times New Roman" w:eastAsia="Times New Roman"/>
                <w:sz w:val="21"/>
              </w:rPr>
              <w:t>80%</w:t>
            </w:r>
            <w:r>
              <w:rPr>
                <w:sz w:val="21"/>
              </w:rPr>
              <w:t>或者 </w:t>
            </w:r>
            <w:r>
              <w:rPr>
                <w:rFonts w:ascii="Times New Roman" w:hAnsi="Times New Roman" w:eastAsia="Times New Roman"/>
                <w:sz w:val="21"/>
              </w:rPr>
              <w:t>80%</w:t>
            </w:r>
            <w:r>
              <w:rPr>
                <w:sz w:val="21"/>
              </w:rPr>
              <w:t>以上。</w:t>
            </w:r>
          </w:p>
        </w:tc>
      </w:tr>
      <w:tr>
        <w:trPr>
          <w:trHeight w:val="2754" w:hRule="atLeast"/>
        </w:trPr>
        <w:tc>
          <w:tcPr>
            <w:tcW w:w="497" w:type="dxa"/>
          </w:tcPr>
          <w:p>
            <w:pPr>
              <w:pStyle w:val="TableParagraph"/>
              <w:spacing w:before="21"/>
              <w:ind w:left="0" w:right="32"/>
              <w:jc w:val="right"/>
              <w:rPr>
                <w:rFonts w:ascii="Times New Roman"/>
                <w:sz w:val="21"/>
              </w:rPr>
            </w:pPr>
            <w:r>
              <w:rPr>
                <w:rFonts w:ascii="Times New Roman"/>
                <w:sz w:val="21"/>
              </w:rPr>
              <w:t>62.</w:t>
            </w:r>
          </w:p>
        </w:tc>
        <w:tc>
          <w:tcPr>
            <w:tcW w:w="2864" w:type="dxa"/>
          </w:tcPr>
          <w:p>
            <w:pPr>
              <w:pStyle w:val="TableParagraph"/>
              <w:spacing w:line="265" w:lineRule="exact"/>
              <w:ind w:left="32"/>
              <w:rPr>
                <w:rFonts w:ascii="Times New Roman" w:eastAsia="Times New Roman"/>
                <w:sz w:val="21"/>
              </w:rPr>
            </w:pPr>
            <w:r>
              <w:rPr>
                <w:sz w:val="21"/>
              </w:rPr>
              <w:t>肝豆状核变性（或称 </w:t>
            </w:r>
            <w:r>
              <w:rPr>
                <w:rFonts w:ascii="Times New Roman" w:eastAsia="Times New Roman"/>
                <w:sz w:val="21"/>
              </w:rPr>
              <w:t>Wilson</w:t>
            </w:r>
          </w:p>
          <w:p>
            <w:pPr>
              <w:pStyle w:val="TableParagraph"/>
              <w:spacing w:before="21"/>
              <w:ind w:left="32"/>
              <w:rPr>
                <w:sz w:val="21"/>
              </w:rPr>
            </w:pPr>
            <w:r>
              <w:rPr>
                <w:sz w:val="21"/>
              </w:rPr>
              <w:t>病）</w:t>
            </w:r>
          </w:p>
        </w:tc>
        <w:tc>
          <w:tcPr>
            <w:tcW w:w="7120" w:type="dxa"/>
          </w:tcPr>
          <w:p>
            <w:pPr>
              <w:pStyle w:val="TableParagraph"/>
              <w:spacing w:line="249" w:lineRule="exact"/>
              <w:rPr>
                <w:sz w:val="21"/>
              </w:rPr>
            </w:pPr>
            <w:r>
              <w:rPr>
                <w:sz w:val="21"/>
              </w:rPr>
              <w:t>指一种常染色体隐性遗传的铜代谢缺陷病，以不同程度的肝细胞损害、脑</w:t>
            </w:r>
          </w:p>
          <w:p>
            <w:pPr>
              <w:pStyle w:val="TableParagraph"/>
              <w:spacing w:line="273" w:lineRule="auto" w:before="37"/>
              <w:ind w:right="202"/>
              <w:rPr>
                <w:sz w:val="21"/>
              </w:rPr>
            </w:pPr>
            <w:r>
              <w:rPr>
                <w:sz w:val="21"/>
              </w:rPr>
              <w:t>退行性病变和角膜边缘有铜盐沉着环为其临床特征，并须满足下列全部条件：</w:t>
            </w:r>
          </w:p>
          <w:p>
            <w:pPr>
              <w:pStyle w:val="TableParagraph"/>
              <w:spacing w:before="7"/>
              <w:rPr>
                <w:sz w:val="21"/>
              </w:rPr>
            </w:pPr>
            <w:r>
              <w:rPr>
                <w:sz w:val="21"/>
              </w:rPr>
              <w:t>（</w:t>
            </w:r>
            <w:r>
              <w:rPr>
                <w:rFonts w:ascii="Times New Roman" w:eastAsia="Times New Roman"/>
                <w:sz w:val="21"/>
              </w:rPr>
              <w:t>1</w:t>
            </w:r>
            <w:r>
              <w:rPr>
                <w:sz w:val="21"/>
              </w:rPr>
              <w:t>）典型症状；</w:t>
            </w:r>
          </w:p>
          <w:p>
            <w:pPr>
              <w:pStyle w:val="TableParagraph"/>
              <w:spacing w:before="20"/>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0"/>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rPr>
                <w:sz w:val="21"/>
              </w:rPr>
            </w:pPr>
            <w:r>
              <w:rPr>
                <w:sz w:val="21"/>
              </w:rPr>
              <w:t>（</w:t>
            </w:r>
            <w:r>
              <w:rPr>
                <w:rFonts w:ascii="Times New Roman" w:eastAsia="Times New Roman"/>
                <w:sz w:val="21"/>
              </w:rPr>
              <w:t>4</w:t>
            </w:r>
            <w:r>
              <w:rPr>
                <w:sz w:val="21"/>
              </w:rPr>
              <w:t>）经皮做肝脏活检来定量分析肝脏铜的含量。</w:t>
            </w:r>
          </w:p>
          <w:p>
            <w:pPr>
              <w:pStyle w:val="TableParagraph"/>
              <w:spacing w:line="312" w:lineRule="exact" w:before="16"/>
              <w:ind w:right="202"/>
              <w:rPr>
                <w:sz w:val="21"/>
              </w:rPr>
            </w:pPr>
            <w:r>
              <w:rPr>
                <w:sz w:val="21"/>
              </w:rPr>
              <w:t>我们承担本项疾病责任不受本合同“责任免除”中“遗传性疾病，先天性畸形、变形或染色体异常”的限制。</w:t>
            </w:r>
          </w:p>
        </w:tc>
      </w:tr>
    </w:tbl>
    <w:p>
      <w:pPr>
        <w:spacing w:after="0" w:line="312" w:lineRule="exact"/>
        <w:rPr>
          <w:sz w:val="21"/>
        </w:rPr>
        <w:sectPr>
          <w:pgSz w:w="11910" w:h="16160"/>
          <w:pgMar w:header="0" w:footer="993" w:top="1440" w:bottom="11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866"/>
        <w:gridCol w:w="7210"/>
      </w:tblGrid>
      <w:tr>
        <w:trPr>
          <w:trHeight w:val="890" w:hRule="atLeast"/>
        </w:trPr>
        <w:tc>
          <w:tcPr>
            <w:tcW w:w="497" w:type="dxa"/>
          </w:tcPr>
          <w:p>
            <w:pPr>
              <w:pStyle w:val="TableParagraph"/>
              <w:spacing w:line="234" w:lineRule="exact"/>
              <w:ind w:left="0" w:right="32"/>
              <w:jc w:val="right"/>
              <w:rPr>
                <w:rFonts w:ascii="Times New Roman"/>
                <w:sz w:val="21"/>
              </w:rPr>
            </w:pPr>
            <w:r>
              <w:rPr>
                <w:rFonts w:ascii="Times New Roman"/>
                <w:sz w:val="21"/>
              </w:rPr>
              <w:t>63.</w:t>
            </w:r>
          </w:p>
        </w:tc>
        <w:tc>
          <w:tcPr>
            <w:tcW w:w="2866" w:type="dxa"/>
          </w:tcPr>
          <w:p>
            <w:pPr>
              <w:pStyle w:val="TableParagraph"/>
              <w:spacing w:line="220" w:lineRule="exact"/>
              <w:ind w:left="32"/>
              <w:rPr>
                <w:sz w:val="21"/>
              </w:rPr>
            </w:pPr>
            <w:r>
              <w:rPr>
                <w:sz w:val="21"/>
              </w:rPr>
              <w:t>溶血性链球菌引起的坏疽</w:t>
            </w:r>
          </w:p>
        </w:tc>
        <w:tc>
          <w:tcPr>
            <w:tcW w:w="7210" w:type="dxa"/>
          </w:tcPr>
          <w:p>
            <w:pPr>
              <w:pStyle w:val="TableParagraph"/>
              <w:spacing w:line="220" w:lineRule="exact"/>
              <w:ind w:left="178"/>
              <w:rPr>
                <w:sz w:val="21"/>
              </w:rPr>
            </w:pPr>
            <w:r>
              <w:rPr>
                <w:sz w:val="21"/>
              </w:rPr>
              <w:t>躯干或肢体的浅筋膜或涉及肌肉的深筋膜感染，呈暴发性进展，必须即刻</w:t>
            </w:r>
          </w:p>
          <w:p>
            <w:pPr>
              <w:pStyle w:val="TableParagraph"/>
              <w:spacing w:line="310" w:lineRule="atLeast" w:before="2"/>
              <w:ind w:left="178" w:right="294"/>
              <w:rPr>
                <w:sz w:val="21"/>
              </w:rPr>
            </w:pPr>
            <w:r>
              <w:rPr>
                <w:sz w:val="21"/>
              </w:rPr>
              <w:t>手术清创。须在外科手术后进行组织培养证实溶血性链球菌坏疽并由专科医生确诊。</w:t>
            </w:r>
          </w:p>
        </w:tc>
      </w:tr>
      <w:tr>
        <w:trPr>
          <w:trHeight w:val="943" w:hRule="atLeast"/>
        </w:trPr>
        <w:tc>
          <w:tcPr>
            <w:tcW w:w="497" w:type="dxa"/>
          </w:tcPr>
          <w:p>
            <w:pPr>
              <w:pStyle w:val="TableParagraph"/>
              <w:spacing w:before="38"/>
              <w:ind w:left="0" w:right="32"/>
              <w:jc w:val="right"/>
              <w:rPr>
                <w:rFonts w:ascii="Times New Roman"/>
                <w:sz w:val="21"/>
              </w:rPr>
            </w:pPr>
            <w:r>
              <w:rPr>
                <w:rFonts w:ascii="Times New Roman"/>
                <w:sz w:val="21"/>
              </w:rPr>
              <w:t>64.</w:t>
            </w:r>
          </w:p>
        </w:tc>
        <w:tc>
          <w:tcPr>
            <w:tcW w:w="2866" w:type="dxa"/>
          </w:tcPr>
          <w:p>
            <w:pPr>
              <w:pStyle w:val="TableParagraph"/>
              <w:spacing w:line="266" w:lineRule="exact"/>
              <w:ind w:left="32"/>
              <w:rPr>
                <w:sz w:val="21"/>
              </w:rPr>
            </w:pPr>
            <w:r>
              <w:rPr>
                <w:sz w:val="21"/>
              </w:rPr>
              <w:t>严重肠道疾病并发症</w:t>
            </w:r>
          </w:p>
        </w:tc>
        <w:tc>
          <w:tcPr>
            <w:tcW w:w="7210" w:type="dxa"/>
          </w:tcPr>
          <w:p>
            <w:pPr>
              <w:pStyle w:val="TableParagraph"/>
              <w:spacing w:line="266" w:lineRule="exact"/>
              <w:ind w:left="178"/>
              <w:rPr>
                <w:sz w:val="21"/>
              </w:rPr>
            </w:pPr>
            <w:r>
              <w:rPr>
                <w:sz w:val="21"/>
              </w:rPr>
              <w:t>严重肠道疾病或外伤导致小肠损害并发症，满足以下所有条件：</w:t>
            </w:r>
          </w:p>
          <w:p>
            <w:pPr>
              <w:pStyle w:val="TableParagraph"/>
              <w:spacing w:before="37"/>
              <w:ind w:left="178"/>
              <w:rPr>
                <w:sz w:val="21"/>
              </w:rPr>
            </w:pPr>
            <w:r>
              <w:rPr>
                <w:sz w:val="21"/>
              </w:rPr>
              <w:t>（</w:t>
            </w:r>
            <w:r>
              <w:rPr>
                <w:rFonts w:ascii="Times New Roman" w:eastAsia="Times New Roman"/>
                <w:sz w:val="21"/>
              </w:rPr>
              <w:t>1</w:t>
            </w:r>
            <w:r>
              <w:rPr>
                <w:sz w:val="21"/>
              </w:rPr>
              <w:t>）至少切除了三分之二小肠；</w:t>
            </w:r>
          </w:p>
          <w:p>
            <w:pPr>
              <w:pStyle w:val="TableParagraph"/>
              <w:spacing w:before="21"/>
              <w:ind w:left="178"/>
              <w:rPr>
                <w:sz w:val="21"/>
              </w:rPr>
            </w:pPr>
            <w:r>
              <w:rPr>
                <w:sz w:val="21"/>
              </w:rPr>
              <w:t>（</w:t>
            </w:r>
            <w:r>
              <w:rPr>
                <w:rFonts w:ascii="Times New Roman" w:eastAsia="Times New Roman"/>
                <w:sz w:val="21"/>
              </w:rPr>
              <w:t>2</w:t>
            </w:r>
            <w:r>
              <w:rPr>
                <w:sz w:val="21"/>
              </w:rPr>
              <w:t>）完全肠外营养支持三个月以上。</w:t>
            </w:r>
          </w:p>
        </w:tc>
      </w:tr>
      <w:tr>
        <w:trPr>
          <w:trHeight w:val="2496" w:hRule="atLeast"/>
        </w:trPr>
        <w:tc>
          <w:tcPr>
            <w:tcW w:w="497" w:type="dxa"/>
          </w:tcPr>
          <w:p>
            <w:pPr>
              <w:pStyle w:val="TableParagraph"/>
              <w:spacing w:before="30"/>
              <w:ind w:left="0" w:right="32"/>
              <w:jc w:val="right"/>
              <w:rPr>
                <w:rFonts w:ascii="Times New Roman"/>
                <w:sz w:val="21"/>
              </w:rPr>
            </w:pPr>
            <w:r>
              <w:rPr>
                <w:rFonts w:ascii="Times New Roman"/>
                <w:sz w:val="21"/>
              </w:rPr>
              <w:t>65.</w:t>
            </w:r>
          </w:p>
        </w:tc>
        <w:tc>
          <w:tcPr>
            <w:tcW w:w="2866" w:type="dxa"/>
          </w:tcPr>
          <w:p>
            <w:pPr>
              <w:pStyle w:val="TableParagraph"/>
              <w:spacing w:line="274" w:lineRule="exact"/>
              <w:ind w:left="32"/>
              <w:rPr>
                <w:sz w:val="21"/>
              </w:rPr>
            </w:pPr>
            <w:r>
              <w:rPr>
                <w:sz w:val="21"/>
              </w:rPr>
              <w:t>严重瑞氏综合征（</w:t>
            </w:r>
            <w:r>
              <w:rPr>
                <w:rFonts w:ascii="Times New Roman" w:eastAsia="Times New Roman"/>
                <w:sz w:val="21"/>
              </w:rPr>
              <w:t>Reye  </w:t>
            </w:r>
            <w:r>
              <w:rPr>
                <w:sz w:val="21"/>
              </w:rPr>
              <w:t>综合</w:t>
            </w:r>
          </w:p>
          <w:p>
            <w:pPr>
              <w:pStyle w:val="TableParagraph"/>
              <w:spacing w:line="273" w:lineRule="auto" w:before="21"/>
              <w:ind w:left="32" w:right="185"/>
              <w:rPr>
                <w:sz w:val="21"/>
              </w:rPr>
            </w:pPr>
            <w:r>
              <w:rPr>
                <w:spacing w:val="-12"/>
                <w:sz w:val="21"/>
              </w:rPr>
              <w:t>征，也称赖氏综合征、雷氏综</w:t>
            </w:r>
            <w:r>
              <w:rPr>
                <w:sz w:val="21"/>
              </w:rPr>
              <w:t>合征）</w:t>
            </w:r>
          </w:p>
        </w:tc>
        <w:tc>
          <w:tcPr>
            <w:tcW w:w="7210" w:type="dxa"/>
          </w:tcPr>
          <w:p>
            <w:pPr>
              <w:pStyle w:val="TableParagraph"/>
              <w:spacing w:line="258" w:lineRule="exact"/>
              <w:ind w:left="178"/>
              <w:rPr>
                <w:sz w:val="21"/>
              </w:rPr>
            </w:pPr>
            <w:r>
              <w:rPr>
                <w:sz w:val="21"/>
              </w:rPr>
              <w:t>瑞氏综合征是线粒体功能障碍性疾病。导致脂肪代谢障碍，引起短链脂肪</w:t>
            </w:r>
          </w:p>
          <w:p>
            <w:pPr>
              <w:pStyle w:val="TableParagraph"/>
              <w:spacing w:line="273" w:lineRule="auto" w:before="37"/>
              <w:ind w:left="178" w:right="294"/>
              <w:rPr>
                <w:sz w:val="21"/>
              </w:rPr>
            </w:pPr>
            <w:r>
              <w:rPr>
                <w:sz w:val="21"/>
              </w:rPr>
              <w:t>酸、血氨升高，造成脑水肿。主要临床表现为急性发热、反复呕吐、惊厥及意识障碍等等。</w:t>
            </w:r>
          </w:p>
          <w:p>
            <w:pPr>
              <w:pStyle w:val="TableParagraph"/>
              <w:spacing w:line="273" w:lineRule="auto" w:before="7"/>
              <w:ind w:left="178" w:right="294"/>
              <w:rPr>
                <w:sz w:val="21"/>
              </w:rPr>
            </w:pPr>
            <w:r>
              <w:rPr>
                <w:sz w:val="21"/>
              </w:rPr>
              <w:t>肝脏活检是确诊的重要手段。瑞氏综合征需由三级医院的儿科专科医生确诊，并符合下列所有条件：</w:t>
            </w:r>
          </w:p>
          <w:p>
            <w:pPr>
              <w:pStyle w:val="TableParagraph"/>
              <w:spacing w:before="7"/>
              <w:ind w:left="178"/>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0"/>
              <w:ind w:left="178"/>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0"/>
              <w:ind w:left="178"/>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1552" w:hRule="atLeast"/>
        </w:trPr>
        <w:tc>
          <w:tcPr>
            <w:tcW w:w="497" w:type="dxa"/>
          </w:tcPr>
          <w:p>
            <w:pPr>
              <w:pStyle w:val="TableParagraph"/>
              <w:spacing w:before="30"/>
              <w:ind w:left="0" w:right="32"/>
              <w:jc w:val="right"/>
              <w:rPr>
                <w:rFonts w:ascii="Times New Roman"/>
                <w:sz w:val="21"/>
              </w:rPr>
            </w:pPr>
            <w:r>
              <w:rPr>
                <w:rFonts w:ascii="Times New Roman"/>
                <w:sz w:val="21"/>
              </w:rPr>
              <w:t>66.</w:t>
            </w:r>
          </w:p>
        </w:tc>
        <w:tc>
          <w:tcPr>
            <w:tcW w:w="2866" w:type="dxa"/>
          </w:tcPr>
          <w:p>
            <w:pPr>
              <w:pStyle w:val="TableParagraph"/>
              <w:spacing w:line="274" w:lineRule="exact"/>
              <w:ind w:left="32"/>
              <w:rPr>
                <w:sz w:val="21"/>
              </w:rPr>
            </w:pPr>
            <w:r>
              <w:rPr>
                <w:rFonts w:ascii="Times New Roman" w:eastAsia="Times New Roman"/>
                <w:sz w:val="21"/>
              </w:rPr>
              <w:t>III </w:t>
            </w:r>
            <w:r>
              <w:rPr>
                <w:sz w:val="21"/>
              </w:rPr>
              <w:t>型成骨不全症</w:t>
            </w:r>
          </w:p>
        </w:tc>
        <w:tc>
          <w:tcPr>
            <w:tcW w:w="7210" w:type="dxa"/>
          </w:tcPr>
          <w:p>
            <w:pPr>
              <w:pStyle w:val="TableParagraph"/>
              <w:spacing w:line="258" w:lineRule="exact"/>
              <w:ind w:left="178"/>
              <w:rPr>
                <w:sz w:val="21"/>
              </w:rPr>
            </w:pPr>
            <w:r>
              <w:rPr>
                <w:sz w:val="21"/>
              </w:rPr>
              <w:t>骨生长不全症是一种胶原病，特征为骨易碎，骨质疏松和易骨折。该病有</w:t>
            </w:r>
          </w:p>
          <w:p>
            <w:pPr>
              <w:pStyle w:val="TableParagraph"/>
              <w:spacing w:line="261" w:lineRule="auto" w:before="37"/>
              <w:ind w:left="178" w:right="291"/>
              <w:rPr>
                <w:sz w:val="21"/>
              </w:rPr>
            </w:pPr>
            <w:r>
              <w:rPr>
                <w:rFonts w:ascii="Times New Roman" w:eastAsia="Times New Roman"/>
                <w:sz w:val="21"/>
              </w:rPr>
              <w:t>4 </w:t>
            </w:r>
            <w:r>
              <w:rPr>
                <w:spacing w:val="-6"/>
                <w:sz w:val="21"/>
              </w:rPr>
              <w:t>种类型：</w:t>
            </w:r>
            <w:r>
              <w:rPr>
                <w:rFonts w:ascii="Times New Roman" w:eastAsia="Times New Roman"/>
                <w:spacing w:val="-16"/>
                <w:sz w:val="21"/>
              </w:rPr>
              <w:t>I </w:t>
            </w:r>
            <w:r>
              <w:rPr>
                <w:spacing w:val="-16"/>
                <w:sz w:val="21"/>
              </w:rPr>
              <w:t>型、</w:t>
            </w:r>
            <w:r>
              <w:rPr>
                <w:rFonts w:ascii="Times New Roman" w:eastAsia="Times New Roman"/>
                <w:sz w:val="21"/>
              </w:rPr>
              <w:t>II </w:t>
            </w:r>
            <w:r>
              <w:rPr>
                <w:spacing w:val="-16"/>
                <w:sz w:val="21"/>
              </w:rPr>
              <w:t>型、</w:t>
            </w:r>
            <w:r>
              <w:rPr>
                <w:rFonts w:ascii="Times New Roman" w:eastAsia="Times New Roman"/>
                <w:sz w:val="21"/>
              </w:rPr>
              <w:t>III </w:t>
            </w:r>
            <w:r>
              <w:rPr>
                <w:spacing w:val="-16"/>
                <w:sz w:val="21"/>
              </w:rPr>
              <w:t>型、</w:t>
            </w:r>
            <w:r>
              <w:rPr>
                <w:rFonts w:ascii="Times New Roman" w:eastAsia="Times New Roman"/>
                <w:sz w:val="21"/>
              </w:rPr>
              <w:t>IV </w:t>
            </w:r>
            <w:r>
              <w:rPr>
                <w:spacing w:val="-12"/>
                <w:sz w:val="21"/>
              </w:rPr>
              <w:t>型。本保障范围仅涉及 </w:t>
            </w:r>
            <w:r>
              <w:rPr>
                <w:rFonts w:ascii="Times New Roman" w:eastAsia="Times New Roman"/>
                <w:sz w:val="21"/>
              </w:rPr>
              <w:t>III </w:t>
            </w:r>
            <w:r>
              <w:rPr>
                <w:spacing w:val="-1"/>
                <w:sz w:val="21"/>
              </w:rPr>
              <w:t>型成骨不全症</w:t>
            </w:r>
            <w:r>
              <w:rPr>
                <w:spacing w:val="-3"/>
                <w:sz w:val="21"/>
              </w:rPr>
              <w:t>其主要临床特点有：发展迟缓、多发性骨折、进行性脊柱后侧凸及听力损</w:t>
            </w:r>
            <w:r>
              <w:rPr>
                <w:spacing w:val="-8"/>
                <w:sz w:val="21"/>
              </w:rPr>
              <w:t>害。</w:t>
            </w:r>
            <w:r>
              <w:rPr>
                <w:rFonts w:ascii="Times New Roman" w:eastAsia="Times New Roman"/>
                <w:sz w:val="21"/>
              </w:rPr>
              <w:t>III </w:t>
            </w:r>
            <w:r>
              <w:rPr>
                <w:spacing w:val="-5"/>
                <w:sz w:val="21"/>
              </w:rPr>
              <w:t>型成骨不全的诊断必须根据身体检查，家族史，</w:t>
            </w:r>
            <w:r>
              <w:rPr>
                <w:rFonts w:ascii="Times New Roman" w:eastAsia="Times New Roman"/>
                <w:spacing w:val="-7"/>
                <w:sz w:val="21"/>
              </w:rPr>
              <w:t>X </w:t>
            </w:r>
            <w:r>
              <w:rPr>
                <w:spacing w:val="-3"/>
                <w:sz w:val="21"/>
              </w:rPr>
              <w:t>线检查和皮肤活检报告资料确诊，并经专科医生出具诊断证明。</w:t>
            </w:r>
          </w:p>
        </w:tc>
      </w:tr>
      <w:tr>
        <w:trPr>
          <w:trHeight w:val="2184" w:hRule="atLeast"/>
        </w:trPr>
        <w:tc>
          <w:tcPr>
            <w:tcW w:w="497" w:type="dxa"/>
          </w:tcPr>
          <w:p>
            <w:pPr>
              <w:pStyle w:val="TableParagraph"/>
              <w:spacing w:before="38"/>
              <w:ind w:left="0" w:right="32"/>
              <w:jc w:val="right"/>
              <w:rPr>
                <w:rFonts w:ascii="Times New Roman"/>
                <w:sz w:val="21"/>
              </w:rPr>
            </w:pPr>
            <w:r>
              <w:rPr>
                <w:rFonts w:ascii="Times New Roman"/>
                <w:sz w:val="21"/>
              </w:rPr>
              <w:t>67.</w:t>
            </w:r>
          </w:p>
        </w:tc>
        <w:tc>
          <w:tcPr>
            <w:tcW w:w="2866" w:type="dxa"/>
          </w:tcPr>
          <w:p>
            <w:pPr>
              <w:pStyle w:val="TableParagraph"/>
              <w:spacing w:line="266" w:lineRule="exact"/>
              <w:ind w:left="32"/>
              <w:rPr>
                <w:sz w:val="21"/>
              </w:rPr>
            </w:pPr>
            <w:r>
              <w:rPr>
                <w:sz w:val="21"/>
              </w:rPr>
              <w:t>严重传染性心内膜炎</w:t>
            </w:r>
          </w:p>
        </w:tc>
        <w:tc>
          <w:tcPr>
            <w:tcW w:w="7210" w:type="dxa"/>
          </w:tcPr>
          <w:p>
            <w:pPr>
              <w:pStyle w:val="TableParagraph"/>
              <w:spacing w:line="281" w:lineRule="exact"/>
              <w:ind w:left="178"/>
              <w:rPr>
                <w:sz w:val="21"/>
              </w:rPr>
            </w:pPr>
            <w:r>
              <w:rPr>
                <w:sz w:val="21"/>
              </w:rPr>
              <w:t>是指由感染性微生物引致的心脏内膜炎症，并须符合下</w:t>
            </w:r>
            <w:r>
              <w:rPr>
                <w:rFonts w:ascii="Arial" w:eastAsia="Arial"/>
                <w:w w:val="115"/>
                <w:sz w:val="21"/>
              </w:rPr>
              <w:t>列</w:t>
            </w:r>
            <w:r>
              <w:rPr>
                <w:sz w:val="21"/>
              </w:rPr>
              <w:t>所有条件：</w:t>
            </w:r>
          </w:p>
          <w:p>
            <w:pPr>
              <w:pStyle w:val="TableParagraph"/>
              <w:spacing w:line="256" w:lineRule="auto" w:before="22"/>
              <w:ind w:left="178" w:right="293"/>
              <w:rPr>
                <w:sz w:val="21"/>
              </w:rPr>
            </w:pPr>
            <w:r>
              <w:rPr>
                <w:spacing w:val="-12"/>
                <w:sz w:val="21"/>
              </w:rPr>
              <w:t>（</w:t>
            </w:r>
            <w:r>
              <w:rPr>
                <w:rFonts w:ascii="Times New Roman" w:eastAsia="Times New Roman"/>
                <w:spacing w:val="-12"/>
                <w:sz w:val="21"/>
              </w:rPr>
              <w:t>1</w:t>
            </w:r>
            <w:r>
              <w:rPr>
                <w:spacing w:val="-12"/>
                <w:sz w:val="21"/>
              </w:rPr>
              <w:t>）</w:t>
            </w:r>
            <w:r>
              <w:rPr>
                <w:spacing w:val="-8"/>
                <w:sz w:val="21"/>
              </w:rPr>
              <w:t>血液培植结果呈阳性反应，证明感染性微生物的存在，导致传染性心</w:t>
            </w:r>
            <w:r>
              <w:rPr>
                <w:spacing w:val="-6"/>
                <w:sz w:val="21"/>
              </w:rPr>
              <w:t>内膜炎；</w:t>
            </w:r>
          </w:p>
          <w:p>
            <w:pPr>
              <w:pStyle w:val="TableParagraph"/>
              <w:spacing w:line="256" w:lineRule="auto" w:before="22"/>
              <w:ind w:left="178" w:right="199"/>
              <w:rPr>
                <w:sz w:val="21"/>
              </w:rPr>
            </w:pPr>
            <w:r>
              <w:rPr>
                <w:w w:val="100"/>
                <w:sz w:val="21"/>
              </w:rPr>
              <w:t>（</w:t>
            </w:r>
            <w:r>
              <w:rPr>
                <w:rFonts w:ascii="Times New Roman" w:eastAsia="Times New Roman"/>
                <w:w w:val="100"/>
                <w:sz w:val="21"/>
              </w:rPr>
              <w:t>2</w:t>
            </w:r>
            <w:r>
              <w:rPr>
                <w:spacing w:val="-101"/>
                <w:w w:val="100"/>
                <w:sz w:val="21"/>
              </w:rPr>
              <w:t>）</w:t>
            </w:r>
            <w:r>
              <w:rPr>
                <w:spacing w:val="-3"/>
                <w:w w:val="100"/>
                <w:sz w:val="21"/>
              </w:rPr>
              <w:t>出现最少中度之心脏瓣膜功能</w:t>
            </w:r>
            <w:r>
              <w:rPr>
                <w:rFonts w:ascii="Arial" w:eastAsia="Arial"/>
                <w:spacing w:val="-2"/>
                <w:w w:val="134"/>
                <w:sz w:val="21"/>
              </w:rPr>
              <w:t>不</w:t>
            </w:r>
            <w:r>
              <w:rPr>
                <w:spacing w:val="-101"/>
                <w:w w:val="100"/>
                <w:sz w:val="21"/>
              </w:rPr>
              <w:t>全</w:t>
            </w:r>
            <w:r>
              <w:rPr>
                <w:w w:val="100"/>
                <w:sz w:val="21"/>
              </w:rPr>
              <w:t>（</w:t>
            </w:r>
            <w:r>
              <w:rPr>
                <w:spacing w:val="-3"/>
                <w:w w:val="100"/>
                <w:sz w:val="21"/>
              </w:rPr>
              <w:t>即返流部份达百分之二十或以上或中度之心脏瓣膜狭窄（即心脏瓣膜面积为正常值的百分之三十或以下</w:t>
            </w:r>
            <w:r>
              <w:rPr>
                <w:spacing w:val="-108"/>
                <w:w w:val="100"/>
                <w:sz w:val="21"/>
              </w:rPr>
              <w:t>）</w:t>
            </w:r>
            <w:r>
              <w:rPr>
                <w:w w:val="100"/>
                <w:sz w:val="21"/>
              </w:rPr>
              <w:t>；</w:t>
            </w:r>
          </w:p>
          <w:p>
            <w:pPr>
              <w:pStyle w:val="TableParagraph"/>
              <w:spacing w:line="256" w:lineRule="auto" w:before="22"/>
              <w:ind w:left="178" w:right="291"/>
              <w:rPr>
                <w:sz w:val="21"/>
              </w:rPr>
            </w:pPr>
            <w:r>
              <w:rPr>
                <w:w w:val="100"/>
                <w:sz w:val="21"/>
              </w:rPr>
              <w:t>（</w:t>
            </w:r>
            <w:r>
              <w:rPr>
                <w:rFonts w:ascii="Times New Roman" w:eastAsia="Times New Roman"/>
                <w:w w:val="100"/>
                <w:sz w:val="21"/>
              </w:rPr>
              <w:t>3</w:t>
            </w:r>
            <w:r>
              <w:rPr>
                <w:spacing w:val="-94"/>
                <w:w w:val="100"/>
                <w:sz w:val="21"/>
              </w:rPr>
              <w:t>）</w:t>
            </w:r>
            <w:r>
              <w:rPr>
                <w:spacing w:val="-3"/>
                <w:w w:val="100"/>
                <w:sz w:val="21"/>
              </w:rPr>
              <w:t>传染性心内膜炎的诊断及瓣膜受损的严重程度必须由心脏病专科医生</w:t>
            </w:r>
            <w:r>
              <w:rPr>
                <w:spacing w:val="-3"/>
                <w:sz w:val="21"/>
              </w:rPr>
              <w:t>出具相关证明。</w:t>
            </w:r>
          </w:p>
        </w:tc>
      </w:tr>
      <w:tr>
        <w:trPr>
          <w:trHeight w:val="2816" w:hRule="atLeast"/>
        </w:trPr>
        <w:tc>
          <w:tcPr>
            <w:tcW w:w="497" w:type="dxa"/>
          </w:tcPr>
          <w:p>
            <w:pPr>
              <w:pStyle w:val="TableParagraph"/>
              <w:spacing w:before="38"/>
              <w:ind w:left="0" w:right="32"/>
              <w:jc w:val="right"/>
              <w:rPr>
                <w:rFonts w:ascii="Times New Roman"/>
                <w:sz w:val="21"/>
              </w:rPr>
            </w:pPr>
            <w:r>
              <w:rPr>
                <w:rFonts w:ascii="Times New Roman"/>
                <w:sz w:val="21"/>
              </w:rPr>
              <w:t>68.</w:t>
            </w:r>
          </w:p>
        </w:tc>
        <w:tc>
          <w:tcPr>
            <w:tcW w:w="2866" w:type="dxa"/>
          </w:tcPr>
          <w:p>
            <w:pPr>
              <w:pStyle w:val="TableParagraph"/>
              <w:spacing w:line="266" w:lineRule="exact"/>
              <w:ind w:left="32"/>
              <w:rPr>
                <w:sz w:val="21"/>
              </w:rPr>
            </w:pPr>
            <w:r>
              <w:rPr>
                <w:sz w:val="21"/>
              </w:rPr>
              <w:t>失去一肢及一眼</w:t>
            </w:r>
          </w:p>
        </w:tc>
        <w:tc>
          <w:tcPr>
            <w:tcW w:w="7210" w:type="dxa"/>
          </w:tcPr>
          <w:p>
            <w:pPr>
              <w:pStyle w:val="TableParagraph"/>
              <w:spacing w:line="266" w:lineRule="exact"/>
              <w:ind w:left="178"/>
              <w:rPr>
                <w:sz w:val="21"/>
              </w:rPr>
            </w:pPr>
            <w:r>
              <w:rPr>
                <w:sz w:val="21"/>
              </w:rPr>
              <w:t>因疾病或意外伤害导致单眼视力丧失及任何一肢自腕关节或踝关节近端</w:t>
            </w:r>
          </w:p>
          <w:p>
            <w:pPr>
              <w:pStyle w:val="TableParagraph"/>
              <w:spacing w:before="37"/>
              <w:ind w:left="178"/>
              <w:rPr>
                <w:sz w:val="21"/>
              </w:rPr>
            </w:pPr>
            <w:r>
              <w:rPr>
                <w:sz w:val="21"/>
              </w:rPr>
              <w:t>（靠近躯干端）以上完全性断离。</w:t>
            </w:r>
          </w:p>
          <w:p>
            <w:pPr>
              <w:pStyle w:val="TableParagraph"/>
              <w:spacing w:line="273" w:lineRule="auto" w:before="37"/>
              <w:ind w:left="178" w:right="294"/>
              <w:rPr>
                <w:sz w:val="21"/>
              </w:rPr>
            </w:pPr>
            <w:r>
              <w:rPr>
                <w:sz w:val="21"/>
              </w:rPr>
              <w:t>单眼视力丧失指单眼视力永久不可逆性丧失，患眼须满足下列至少一项条件：</w:t>
            </w:r>
          </w:p>
          <w:p>
            <w:pPr>
              <w:pStyle w:val="TableParagraph"/>
              <w:spacing w:before="7"/>
              <w:ind w:left="178"/>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178" w:right="293"/>
              <w:rPr>
                <w:sz w:val="21"/>
              </w:rPr>
            </w:pPr>
            <w:r>
              <w:rPr>
                <w:spacing w:val="-12"/>
                <w:sz w:val="21"/>
              </w:rPr>
              <w:t>（</w:t>
            </w:r>
            <w:r>
              <w:rPr>
                <w:rFonts w:ascii="Times New Roman" w:eastAsia="Times New Roman"/>
                <w:spacing w:val="-12"/>
                <w:sz w:val="21"/>
              </w:rPr>
              <w:t>2</w:t>
            </w:r>
            <w:r>
              <w:rPr>
                <w:spacing w:val="-12"/>
                <w:sz w:val="21"/>
              </w:rPr>
              <w:t>）</w:t>
            </w:r>
            <w:r>
              <w:rPr>
                <w:spacing w:val="-6"/>
                <w:sz w:val="21"/>
              </w:rPr>
              <w:t>矫正视力低于 </w:t>
            </w:r>
            <w:r>
              <w:rPr>
                <w:rFonts w:ascii="Times New Roman" w:eastAsia="Times New Roman"/>
                <w:spacing w:val="-8"/>
                <w:sz w:val="21"/>
              </w:rPr>
              <w:t>0.02</w:t>
            </w:r>
            <w:r>
              <w:rPr>
                <w:spacing w:val="-8"/>
                <w:sz w:val="21"/>
              </w:rPr>
              <w:t>（</w:t>
            </w:r>
            <w:r>
              <w:rPr>
                <w:spacing w:val="-6"/>
                <w:sz w:val="21"/>
              </w:rPr>
              <w:t>采用国际标准视力表，如果使用其他视力表应进</w:t>
            </w:r>
            <w:r>
              <w:rPr>
                <w:spacing w:val="-5"/>
                <w:w w:val="100"/>
                <w:sz w:val="21"/>
              </w:rPr>
              <w:t>行换算</w:t>
            </w:r>
            <w:r>
              <w:rPr>
                <w:spacing w:val="-106"/>
                <w:w w:val="100"/>
                <w:sz w:val="21"/>
              </w:rPr>
              <w:t>）</w:t>
            </w:r>
            <w:r>
              <w:rPr>
                <w:w w:val="100"/>
                <w:sz w:val="21"/>
              </w:rPr>
              <w:t>；</w:t>
            </w:r>
          </w:p>
          <w:p>
            <w:pPr>
              <w:pStyle w:val="TableParagraph"/>
              <w:spacing w:before="22"/>
              <w:ind w:left="17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0"/>
              <w:ind w:left="178"/>
              <w:rPr>
                <w:b/>
                <w:sz w:val="21"/>
              </w:rPr>
            </w:pPr>
            <w:r>
              <w:rPr>
                <w:b/>
                <w:sz w:val="21"/>
              </w:rPr>
              <w:t>被保险人在 </w:t>
            </w:r>
            <w:r>
              <w:rPr>
                <w:rFonts w:ascii="Times New Roman" w:eastAsia="Times New Roman"/>
                <w:b/>
                <w:sz w:val="21"/>
              </w:rPr>
              <w:t>3 </w:t>
            </w:r>
            <w:r>
              <w:rPr>
                <w:b/>
                <w:sz w:val="21"/>
              </w:rPr>
              <w:t>周岁之前因疾病导致单眼视力丧失不在保障范围内。</w:t>
            </w:r>
          </w:p>
        </w:tc>
      </w:tr>
      <w:tr>
        <w:trPr>
          <w:trHeight w:val="1567" w:hRule="atLeast"/>
        </w:trPr>
        <w:tc>
          <w:tcPr>
            <w:tcW w:w="497" w:type="dxa"/>
          </w:tcPr>
          <w:p>
            <w:pPr>
              <w:pStyle w:val="TableParagraph"/>
              <w:spacing w:before="30"/>
              <w:ind w:left="0" w:right="32"/>
              <w:jc w:val="right"/>
              <w:rPr>
                <w:rFonts w:ascii="Times New Roman"/>
                <w:sz w:val="21"/>
              </w:rPr>
            </w:pPr>
            <w:r>
              <w:rPr>
                <w:rFonts w:ascii="Times New Roman"/>
                <w:sz w:val="21"/>
              </w:rPr>
              <w:t>69.</w:t>
            </w:r>
          </w:p>
        </w:tc>
        <w:tc>
          <w:tcPr>
            <w:tcW w:w="2866" w:type="dxa"/>
          </w:tcPr>
          <w:p>
            <w:pPr>
              <w:pStyle w:val="TableParagraph"/>
              <w:spacing w:line="258" w:lineRule="exact"/>
              <w:ind w:left="32"/>
              <w:rPr>
                <w:sz w:val="21"/>
              </w:rPr>
            </w:pPr>
            <w:r>
              <w:rPr>
                <w:sz w:val="21"/>
              </w:rPr>
              <w:t>肺淋巴管肌瘤病</w:t>
            </w:r>
          </w:p>
        </w:tc>
        <w:tc>
          <w:tcPr>
            <w:tcW w:w="7210" w:type="dxa"/>
          </w:tcPr>
          <w:p>
            <w:pPr>
              <w:pStyle w:val="TableParagraph"/>
              <w:spacing w:line="258" w:lineRule="exact"/>
              <w:ind w:left="178"/>
              <w:rPr>
                <w:sz w:val="21"/>
              </w:rPr>
            </w:pPr>
            <w:r>
              <w:rPr>
                <w:sz w:val="21"/>
              </w:rPr>
              <w:t>指一种弥漫性肺部疾病，主要病理改变为肺间质、支气管、血管和淋巴管</w:t>
            </w:r>
          </w:p>
          <w:p>
            <w:pPr>
              <w:pStyle w:val="TableParagraph"/>
              <w:spacing w:before="37"/>
              <w:ind w:left="178"/>
              <w:rPr>
                <w:sz w:val="21"/>
              </w:rPr>
            </w:pPr>
            <w:r>
              <w:rPr>
                <w:sz w:val="21"/>
              </w:rPr>
              <w:t>内出现未成熟的平滑肌异常增生，同时需满足下列全部条件：</w:t>
            </w:r>
          </w:p>
          <w:p>
            <w:pPr>
              <w:pStyle w:val="TableParagraph"/>
              <w:spacing w:before="37"/>
              <w:ind w:left="178"/>
              <w:rPr>
                <w:sz w:val="21"/>
              </w:rPr>
            </w:pPr>
            <w:r>
              <w:rPr>
                <w:sz w:val="21"/>
              </w:rPr>
              <w:t>（</w:t>
            </w:r>
            <w:r>
              <w:rPr>
                <w:rFonts w:ascii="Times New Roman" w:eastAsia="Times New Roman"/>
                <w:sz w:val="21"/>
              </w:rPr>
              <w:t>1</w:t>
            </w:r>
            <w:r>
              <w:rPr>
                <w:sz w:val="21"/>
              </w:rPr>
              <w:t>）经组织病理学诊断；</w:t>
            </w:r>
          </w:p>
          <w:p>
            <w:pPr>
              <w:pStyle w:val="TableParagraph"/>
              <w:spacing w:before="21"/>
              <w:ind w:left="178"/>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1"/>
              <w:ind w:left="178"/>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874" w:hRule="atLeast"/>
        </w:trPr>
        <w:tc>
          <w:tcPr>
            <w:tcW w:w="497" w:type="dxa"/>
          </w:tcPr>
          <w:p>
            <w:pPr>
              <w:pStyle w:val="TableParagraph"/>
              <w:spacing w:before="22"/>
              <w:ind w:left="0" w:right="32"/>
              <w:jc w:val="right"/>
              <w:rPr>
                <w:rFonts w:ascii="Times New Roman"/>
                <w:sz w:val="21"/>
              </w:rPr>
            </w:pPr>
            <w:r>
              <w:rPr>
                <w:rFonts w:ascii="Times New Roman"/>
                <w:sz w:val="21"/>
              </w:rPr>
              <w:t>70.</w:t>
            </w:r>
          </w:p>
        </w:tc>
        <w:tc>
          <w:tcPr>
            <w:tcW w:w="2866" w:type="dxa"/>
          </w:tcPr>
          <w:p>
            <w:pPr>
              <w:pStyle w:val="TableParagraph"/>
              <w:spacing w:line="250" w:lineRule="exact"/>
              <w:ind w:left="32"/>
              <w:rPr>
                <w:sz w:val="21"/>
              </w:rPr>
            </w:pPr>
            <w:r>
              <w:rPr>
                <w:sz w:val="21"/>
              </w:rPr>
              <w:t>肺泡蛋白质沉积症</w:t>
            </w:r>
          </w:p>
        </w:tc>
        <w:tc>
          <w:tcPr>
            <w:tcW w:w="7210" w:type="dxa"/>
          </w:tcPr>
          <w:p>
            <w:pPr>
              <w:pStyle w:val="TableParagraph"/>
              <w:spacing w:line="266" w:lineRule="exact"/>
              <w:ind w:left="178"/>
              <w:rPr>
                <w:sz w:val="21"/>
              </w:rPr>
            </w:pPr>
            <w:r>
              <w:rPr>
                <w:sz w:val="21"/>
              </w:rPr>
              <w:t>指肺泡和细支气管腔内充满不可溶性富磷脂蛋白的疾病，胸部 </w:t>
            </w:r>
            <w:r>
              <w:rPr>
                <w:rFonts w:ascii="Times New Roman" w:eastAsia="Times New Roman"/>
                <w:sz w:val="21"/>
              </w:rPr>
              <w:t>X </w:t>
            </w:r>
            <w:r>
              <w:rPr>
                <w:sz w:val="21"/>
              </w:rPr>
              <w:t>线呈双肺</w:t>
            </w:r>
          </w:p>
          <w:p>
            <w:pPr>
              <w:pStyle w:val="TableParagraph"/>
              <w:spacing w:line="290" w:lineRule="atLeast" w:before="21"/>
              <w:ind w:left="178" w:right="291"/>
              <w:rPr>
                <w:sz w:val="21"/>
              </w:rPr>
            </w:pPr>
            <w:r>
              <w:rPr>
                <w:sz w:val="21"/>
              </w:rPr>
              <w:t>弥漫性肺部磨玻璃影，病理学检查肺泡内充满有过碘酸雪夫（</w:t>
            </w:r>
            <w:r>
              <w:rPr>
                <w:rFonts w:ascii="Times New Roman" w:eastAsia="Times New Roman"/>
                <w:sz w:val="21"/>
              </w:rPr>
              <w:t>PAS</w:t>
            </w:r>
            <w:r>
              <w:rPr>
                <w:sz w:val="21"/>
              </w:rPr>
              <w:t>）染色阳性的蛋白样物质，并且接受了肺灌洗治疗。</w:t>
            </w:r>
          </w:p>
        </w:tc>
      </w:tr>
    </w:tbl>
    <w:p>
      <w:pPr>
        <w:spacing w:after="0" w:line="290" w:lineRule="atLeast"/>
        <w:rPr>
          <w:sz w:val="21"/>
        </w:rPr>
        <w:sectPr>
          <w:pgSz w:w="11910" w:h="16160"/>
          <w:pgMar w:header="0" w:footer="993" w:top="1420" w:bottom="1180" w:left="760" w:right="3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725"/>
        <w:gridCol w:w="7359"/>
      </w:tblGrid>
      <w:tr>
        <w:trPr>
          <w:trHeight w:val="2762" w:hRule="atLeast"/>
        </w:trPr>
        <w:tc>
          <w:tcPr>
            <w:tcW w:w="497" w:type="dxa"/>
          </w:tcPr>
          <w:p>
            <w:pPr>
              <w:pStyle w:val="TableParagraph"/>
              <w:spacing w:line="234" w:lineRule="exact"/>
              <w:ind w:left="0" w:right="32"/>
              <w:jc w:val="right"/>
              <w:rPr>
                <w:rFonts w:ascii="Times New Roman"/>
                <w:sz w:val="21"/>
              </w:rPr>
            </w:pPr>
            <w:r>
              <w:rPr>
                <w:rFonts w:ascii="Times New Roman"/>
                <w:sz w:val="21"/>
              </w:rPr>
              <w:t>71.</w:t>
            </w:r>
          </w:p>
        </w:tc>
        <w:tc>
          <w:tcPr>
            <w:tcW w:w="2725" w:type="dxa"/>
          </w:tcPr>
          <w:p>
            <w:pPr>
              <w:pStyle w:val="TableParagraph"/>
              <w:spacing w:line="220" w:lineRule="exact"/>
              <w:ind w:left="32"/>
              <w:rPr>
                <w:sz w:val="21"/>
              </w:rPr>
            </w:pPr>
            <w:r>
              <w:rPr>
                <w:sz w:val="21"/>
              </w:rPr>
              <w:t>原发性骨髓纤维化</w:t>
            </w:r>
          </w:p>
        </w:tc>
        <w:tc>
          <w:tcPr>
            <w:tcW w:w="7359" w:type="dxa"/>
          </w:tcPr>
          <w:p>
            <w:pPr>
              <w:pStyle w:val="TableParagraph"/>
              <w:spacing w:line="220" w:lineRule="exact"/>
              <w:ind w:left="319"/>
              <w:rPr>
                <w:sz w:val="21"/>
              </w:rPr>
            </w:pPr>
            <w:r>
              <w:rPr>
                <w:sz w:val="21"/>
              </w:rPr>
              <w:t>原发性骨髓纤维化为原因不明的骨髓中成纤维细胞增殖，伴有髓外造血，</w:t>
            </w:r>
          </w:p>
          <w:p>
            <w:pPr>
              <w:pStyle w:val="TableParagraph"/>
              <w:spacing w:line="273" w:lineRule="auto" w:before="37"/>
              <w:ind w:left="319" w:right="198"/>
              <w:jc w:val="both"/>
              <w:rPr>
                <w:sz w:val="21"/>
              </w:rPr>
            </w:pPr>
            <w:r>
              <w:rPr>
                <w:spacing w:val="-3"/>
                <w:sz w:val="21"/>
              </w:rPr>
              <w:t>表现为进行性贫血、脾肿大等症状。本病必须根据骨髓的活组织检查和周围血象检查由血液科专科医生明确诊断，并至少符合下列条件中的三项， </w:t>
            </w:r>
            <w:r>
              <w:rPr>
                <w:spacing w:val="-7"/>
                <w:sz w:val="21"/>
              </w:rPr>
              <w:t>且符合条件的状态持续 </w:t>
            </w:r>
            <w:r>
              <w:rPr>
                <w:rFonts w:ascii="Times New Roman" w:eastAsia="Times New Roman"/>
                <w:sz w:val="21"/>
              </w:rPr>
              <w:t>180 </w:t>
            </w:r>
            <w:r>
              <w:rPr>
                <w:spacing w:val="-12"/>
                <w:sz w:val="21"/>
              </w:rPr>
              <w:t>天及以上，并已经实际接受了针对此症的治疗：</w:t>
            </w:r>
          </w:p>
          <w:p>
            <w:pPr>
              <w:pStyle w:val="TableParagraph"/>
              <w:spacing w:line="279" w:lineRule="exact"/>
              <w:ind w:left="319"/>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2"/>
              <w:ind w:left="319"/>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319"/>
              <w:jc w:val="both"/>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1"/>
              <w:ind w:left="319"/>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319"/>
              <w:jc w:val="both"/>
              <w:rPr>
                <w:b/>
                <w:sz w:val="21"/>
              </w:rPr>
            </w:pPr>
            <w:r>
              <w:rPr>
                <w:b/>
                <w:sz w:val="21"/>
              </w:rPr>
              <w:t>继发性骨髓纤维化不在保障范围内。</w:t>
            </w:r>
          </w:p>
        </w:tc>
      </w:tr>
      <w:tr>
        <w:trPr>
          <w:trHeight w:val="2184" w:hRule="atLeast"/>
        </w:trPr>
        <w:tc>
          <w:tcPr>
            <w:tcW w:w="497" w:type="dxa"/>
          </w:tcPr>
          <w:p>
            <w:pPr>
              <w:pStyle w:val="TableParagraph"/>
              <w:spacing w:before="38"/>
              <w:ind w:left="0" w:right="32"/>
              <w:jc w:val="right"/>
              <w:rPr>
                <w:rFonts w:ascii="Times New Roman"/>
                <w:sz w:val="21"/>
              </w:rPr>
            </w:pPr>
            <w:r>
              <w:rPr>
                <w:rFonts w:ascii="Times New Roman"/>
                <w:sz w:val="21"/>
              </w:rPr>
              <w:t>72.</w:t>
            </w:r>
          </w:p>
        </w:tc>
        <w:tc>
          <w:tcPr>
            <w:tcW w:w="2725" w:type="dxa"/>
          </w:tcPr>
          <w:p>
            <w:pPr>
              <w:pStyle w:val="TableParagraph"/>
              <w:spacing w:line="266" w:lineRule="exact"/>
              <w:ind w:left="32"/>
              <w:rPr>
                <w:sz w:val="21"/>
              </w:rPr>
            </w:pPr>
            <w:r>
              <w:rPr>
                <w:sz w:val="21"/>
              </w:rPr>
              <w:t>严重慢性缩窄型心包炎</w:t>
            </w:r>
          </w:p>
        </w:tc>
        <w:tc>
          <w:tcPr>
            <w:tcW w:w="7359" w:type="dxa"/>
          </w:tcPr>
          <w:p>
            <w:pPr>
              <w:pStyle w:val="TableParagraph"/>
              <w:spacing w:line="273" w:lineRule="auto"/>
              <w:ind w:left="319" w:right="301"/>
              <w:jc w:val="both"/>
              <w:rPr>
                <w:sz w:val="21"/>
              </w:rPr>
            </w:pPr>
            <w:r>
              <w:rPr>
                <w:sz w:val="21"/>
              </w:rPr>
              <w:t>由于慢性心包炎症导致心包脏层和壁层广泛瘢痕粘连、增厚和钙化，心包腔闭塞，形成一个纤维瘢痕外壳，使心脏和大血管根部受压，阻碍心脏的舒张。被保险人被明确诊断为慢性缩窄性心包炎且必须满足下列全部条件</w:t>
            </w:r>
          </w:p>
          <w:p>
            <w:pPr>
              <w:pStyle w:val="TableParagraph"/>
              <w:spacing w:before="16"/>
              <w:ind w:left="319"/>
              <w:jc w:val="both"/>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w:t>
            </w:r>
          </w:p>
          <w:p>
            <w:pPr>
              <w:pStyle w:val="TableParagraph"/>
              <w:spacing w:before="20"/>
              <w:ind w:left="319"/>
              <w:jc w:val="both"/>
              <w:rPr>
                <w:sz w:val="21"/>
              </w:rPr>
            </w:pPr>
            <w:r>
              <w:rPr>
                <w:rFonts w:ascii="Times New Roman" w:eastAsia="Times New Roman"/>
                <w:sz w:val="21"/>
              </w:rPr>
              <w:t>180 </w:t>
            </w:r>
            <w:r>
              <w:rPr>
                <w:sz w:val="21"/>
              </w:rPr>
              <w:t>天以上；</w:t>
            </w:r>
          </w:p>
          <w:p>
            <w:pPr>
              <w:pStyle w:val="TableParagraph"/>
              <w:spacing w:before="20"/>
              <w:ind w:left="319"/>
              <w:jc w:val="both"/>
              <w:rPr>
                <w:sz w:val="21"/>
              </w:rPr>
            </w:pPr>
            <w:r>
              <w:rPr>
                <w:sz w:val="21"/>
              </w:rPr>
              <w:t>（</w:t>
            </w:r>
            <w:r>
              <w:rPr>
                <w:rFonts w:ascii="Times New Roman" w:eastAsia="Times New Roman"/>
                <w:sz w:val="21"/>
              </w:rPr>
              <w:t>2</w:t>
            </w:r>
            <w:r>
              <w:rPr>
                <w:sz w:val="21"/>
              </w:rPr>
              <w:t>）已经接受了开胸进行的心包剥脱或心包切除手术。</w:t>
            </w:r>
          </w:p>
          <w:p>
            <w:pPr>
              <w:pStyle w:val="TableParagraph"/>
              <w:spacing w:before="20"/>
              <w:ind w:left="319"/>
              <w:jc w:val="both"/>
              <w:rPr>
                <w:b/>
                <w:sz w:val="21"/>
              </w:rPr>
            </w:pPr>
            <w:r>
              <w:rPr>
                <w:b/>
                <w:sz w:val="21"/>
              </w:rPr>
              <w:t>经胸腔镜、胸壁打孔进行的手术、心包粘连松解手术不在保障范围内。</w:t>
            </w:r>
          </w:p>
        </w:tc>
      </w:tr>
      <w:tr>
        <w:trPr>
          <w:trHeight w:val="3432" w:hRule="atLeast"/>
        </w:trPr>
        <w:tc>
          <w:tcPr>
            <w:tcW w:w="497" w:type="dxa"/>
          </w:tcPr>
          <w:p>
            <w:pPr>
              <w:pStyle w:val="TableParagraph"/>
              <w:spacing w:before="38"/>
              <w:ind w:left="0" w:right="32"/>
              <w:jc w:val="right"/>
              <w:rPr>
                <w:rFonts w:ascii="Times New Roman"/>
                <w:sz w:val="21"/>
              </w:rPr>
            </w:pPr>
            <w:r>
              <w:rPr>
                <w:rFonts w:ascii="Times New Roman"/>
                <w:sz w:val="21"/>
              </w:rPr>
              <w:t>73.</w:t>
            </w:r>
          </w:p>
        </w:tc>
        <w:tc>
          <w:tcPr>
            <w:tcW w:w="2725" w:type="dxa"/>
          </w:tcPr>
          <w:p>
            <w:pPr>
              <w:pStyle w:val="TableParagraph"/>
              <w:spacing w:line="282" w:lineRule="exact"/>
              <w:ind w:left="32"/>
              <w:rPr>
                <w:sz w:val="21"/>
              </w:rPr>
            </w:pPr>
            <w:r>
              <w:rPr>
                <w:sz w:val="21"/>
              </w:rPr>
              <w:t>器官移植导致的 </w:t>
            </w:r>
            <w:r>
              <w:rPr>
                <w:rFonts w:ascii="Times New Roman" w:eastAsia="Times New Roman"/>
                <w:sz w:val="21"/>
              </w:rPr>
              <w:t>HIV </w:t>
            </w:r>
            <w:r>
              <w:rPr>
                <w:sz w:val="21"/>
              </w:rPr>
              <w:t>感染</w:t>
            </w:r>
          </w:p>
        </w:tc>
        <w:tc>
          <w:tcPr>
            <w:tcW w:w="7359" w:type="dxa"/>
          </w:tcPr>
          <w:p>
            <w:pPr>
              <w:pStyle w:val="TableParagraph"/>
              <w:spacing w:line="256" w:lineRule="auto"/>
              <w:ind w:left="319" w:right="299"/>
              <w:rPr>
                <w:sz w:val="21"/>
              </w:rPr>
            </w:pPr>
            <w:r>
              <w:rPr>
                <w:spacing w:val="-5"/>
                <w:w w:val="100"/>
                <w:sz w:val="21"/>
              </w:rPr>
              <w:t>指因进行器官移植而感染上人类免疫缺陷病毒</w:t>
            </w:r>
            <w:r>
              <w:rPr>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1"/>
                <w:w w:val="100"/>
                <w:sz w:val="21"/>
              </w:rPr>
              <w:t>V</w:t>
            </w:r>
            <w:r>
              <w:rPr>
                <w:spacing w:val="-106"/>
                <w:w w:val="100"/>
                <w:sz w:val="21"/>
              </w:rPr>
              <w:t>）</w:t>
            </w:r>
            <w:r>
              <w:rPr>
                <w:spacing w:val="-6"/>
                <w:w w:val="100"/>
                <w:sz w:val="21"/>
              </w:rPr>
              <w:t>，且须满足下列全部</w:t>
            </w:r>
            <w:r>
              <w:rPr>
                <w:spacing w:val="-6"/>
                <w:sz w:val="21"/>
              </w:rPr>
              <w:t>条件：</w:t>
            </w:r>
          </w:p>
          <w:p>
            <w:pPr>
              <w:pStyle w:val="TableParagraph"/>
              <w:spacing w:line="256" w:lineRule="auto" w:before="31"/>
              <w:ind w:left="319" w:right="207"/>
              <w:rPr>
                <w:sz w:val="21"/>
              </w:rPr>
            </w:pPr>
            <w:r>
              <w:rPr>
                <w:sz w:val="21"/>
              </w:rPr>
              <w:t>（</w:t>
            </w:r>
            <w:r>
              <w:rPr>
                <w:rFonts w:ascii="Times New Roman" w:eastAsia="Times New Roman"/>
                <w:sz w:val="21"/>
              </w:rPr>
              <w:t>1</w:t>
            </w:r>
            <w:r>
              <w:rPr>
                <w:sz w:val="21"/>
              </w:rPr>
              <w:t>）在保障起始日或复效日之后，被保险人因治疗必需而实施器官移植， 并且因器官移植而感染人类免疫缺陷病毒；</w:t>
            </w:r>
          </w:p>
          <w:p>
            <w:pPr>
              <w:pStyle w:val="TableParagraph"/>
              <w:spacing w:line="256" w:lineRule="auto" w:before="22"/>
              <w:ind w:left="319" w:right="299"/>
              <w:rPr>
                <w:sz w:val="21"/>
              </w:rPr>
            </w:pPr>
            <w:r>
              <w:rPr>
                <w:spacing w:val="-17"/>
                <w:sz w:val="21"/>
              </w:rPr>
              <w:t>（</w:t>
            </w:r>
            <w:r>
              <w:rPr>
                <w:rFonts w:ascii="Times New Roman" w:eastAsia="Times New Roman"/>
                <w:spacing w:val="-17"/>
                <w:sz w:val="21"/>
              </w:rPr>
              <w:t>2</w:t>
            </w:r>
            <w:r>
              <w:rPr>
                <w:spacing w:val="-17"/>
                <w:sz w:val="21"/>
              </w:rPr>
              <w:t>）</w:t>
            </w:r>
            <w:r>
              <w:rPr>
                <w:spacing w:val="-5"/>
                <w:sz w:val="21"/>
              </w:rPr>
              <w:t>提供器官移植治疗的器官移植中心或医院出具该项器官移植感染，属</w:t>
            </w:r>
            <w:r>
              <w:rPr>
                <w:spacing w:val="-4"/>
                <w:sz w:val="21"/>
              </w:rPr>
              <w:t>于医疗责任事故的报告，或者法院终审裁定为医疗责任并且不准上诉；</w:t>
            </w:r>
          </w:p>
          <w:p>
            <w:pPr>
              <w:pStyle w:val="TableParagraph"/>
              <w:spacing w:line="256" w:lineRule="auto" w:before="22"/>
              <w:ind w:left="319" w:right="303"/>
              <w:rPr>
                <w:b/>
                <w:sz w:val="21"/>
              </w:rPr>
            </w:pPr>
            <w:r>
              <w:rPr>
                <w:sz w:val="21"/>
              </w:rPr>
              <w:t>（</w:t>
            </w:r>
            <w:r>
              <w:rPr>
                <w:rFonts w:ascii="Times New Roman" w:eastAsia="Times New Roman"/>
                <w:sz w:val="21"/>
              </w:rPr>
              <w:t>3</w:t>
            </w:r>
            <w:r>
              <w:rPr>
                <w:sz w:val="21"/>
              </w:rPr>
              <w:t>）</w:t>
            </w:r>
            <w:r>
              <w:rPr>
                <w:spacing w:val="-3"/>
                <w:sz w:val="21"/>
              </w:rPr>
              <w:t>提供器官移植治疗的器官移植中心或医院必须拥有合法经营执照； </w:t>
            </w:r>
            <w:r>
              <w:rPr>
                <w:b/>
                <w:spacing w:val="-7"/>
                <w:sz w:val="21"/>
              </w:rPr>
              <w:t>任何因其他传播方式</w:t>
            </w:r>
            <w:r>
              <w:rPr>
                <w:b/>
                <w:sz w:val="21"/>
              </w:rPr>
              <w:t>（</w:t>
            </w:r>
            <w:r>
              <w:rPr>
                <w:b/>
                <w:spacing w:val="-6"/>
                <w:sz w:val="21"/>
              </w:rPr>
              <w:t>包括：性传播或静脉注射毒品</w:t>
            </w:r>
            <w:r>
              <w:rPr>
                <w:b/>
                <w:spacing w:val="-32"/>
                <w:sz w:val="21"/>
              </w:rPr>
              <w:t>）</w:t>
            </w:r>
            <w:r>
              <w:rPr>
                <w:b/>
                <w:spacing w:val="-12"/>
                <w:sz w:val="21"/>
              </w:rPr>
              <w:t>导致的 </w:t>
            </w:r>
            <w:r>
              <w:rPr>
                <w:rFonts w:ascii="Times New Roman" w:eastAsia="Times New Roman"/>
                <w:b/>
                <w:sz w:val="21"/>
              </w:rPr>
              <w:t>HIV</w:t>
            </w:r>
            <w:r>
              <w:rPr>
                <w:rFonts w:ascii="Times New Roman" w:eastAsia="Times New Roman"/>
                <w:b/>
                <w:spacing w:val="0"/>
                <w:sz w:val="21"/>
              </w:rPr>
              <w:t> </w:t>
            </w:r>
            <w:r>
              <w:rPr>
                <w:b/>
                <w:sz w:val="21"/>
              </w:rPr>
              <w:t>感染不在保障范围内。</w:t>
            </w:r>
          </w:p>
          <w:p>
            <w:pPr>
              <w:pStyle w:val="TableParagraph"/>
              <w:spacing w:line="312" w:lineRule="exact" w:before="17"/>
              <w:ind w:left="319" w:right="301"/>
              <w:rPr>
                <w:sz w:val="21"/>
              </w:rPr>
            </w:pPr>
            <w:r>
              <w:rPr>
                <w:sz w:val="21"/>
              </w:rPr>
              <w:t>我们承担本项疾病责任不受本合同“责任免除”中“被保险人感染艾滋病病毒或患艾滋病”的限制。</w:t>
            </w:r>
          </w:p>
        </w:tc>
      </w:tr>
      <w:tr>
        <w:trPr>
          <w:trHeight w:val="2184" w:hRule="atLeast"/>
        </w:trPr>
        <w:tc>
          <w:tcPr>
            <w:tcW w:w="497" w:type="dxa"/>
          </w:tcPr>
          <w:p>
            <w:pPr>
              <w:pStyle w:val="TableParagraph"/>
              <w:spacing w:before="38"/>
              <w:ind w:left="0" w:right="32"/>
              <w:jc w:val="right"/>
              <w:rPr>
                <w:rFonts w:ascii="Times New Roman"/>
                <w:sz w:val="21"/>
              </w:rPr>
            </w:pPr>
            <w:r>
              <w:rPr>
                <w:rFonts w:ascii="Times New Roman"/>
                <w:sz w:val="21"/>
              </w:rPr>
              <w:t>74.</w:t>
            </w:r>
          </w:p>
        </w:tc>
        <w:tc>
          <w:tcPr>
            <w:tcW w:w="2725" w:type="dxa"/>
          </w:tcPr>
          <w:p>
            <w:pPr>
              <w:pStyle w:val="TableParagraph"/>
              <w:spacing w:line="266" w:lineRule="exact"/>
              <w:ind w:left="32"/>
              <w:rPr>
                <w:sz w:val="21"/>
              </w:rPr>
            </w:pPr>
            <w:r>
              <w:rPr>
                <w:sz w:val="21"/>
              </w:rPr>
              <w:t>结核性脊髓炎</w:t>
            </w:r>
          </w:p>
        </w:tc>
        <w:tc>
          <w:tcPr>
            <w:tcW w:w="7359" w:type="dxa"/>
          </w:tcPr>
          <w:p>
            <w:pPr>
              <w:pStyle w:val="TableParagraph"/>
              <w:spacing w:line="273" w:lineRule="auto"/>
              <w:ind w:left="319" w:right="302"/>
              <w:rPr>
                <w:sz w:val="21"/>
              </w:rPr>
            </w:pPr>
            <w:r>
              <w:rPr>
                <w:sz w:val="21"/>
              </w:rPr>
              <w:t>因结核杆菌引起的脊髓炎，导致永久性神经系统功能中度障碍，即：疾病首次确诊 </w:t>
            </w:r>
            <w:r>
              <w:rPr>
                <w:rFonts w:ascii="Times New Roman" w:eastAsia="Times New Roman"/>
                <w:sz w:val="21"/>
              </w:rPr>
              <w:t>180 </w:t>
            </w:r>
            <w:r>
              <w:rPr>
                <w:sz w:val="21"/>
              </w:rPr>
              <w:t>天后，仍遗留下列一种或一种以上障碍：</w:t>
            </w:r>
          </w:p>
          <w:p>
            <w:pPr>
              <w:pStyle w:val="TableParagraph"/>
              <w:spacing w:line="279" w:lineRule="exact" w:before="9"/>
              <w:ind w:left="319"/>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56" w:lineRule="auto" w:before="21"/>
              <w:ind w:left="319" w:right="301"/>
              <w:rPr>
                <w:sz w:val="21"/>
              </w:rPr>
            </w:pPr>
            <w:r>
              <w:rPr>
                <w:spacing w:val="-17"/>
                <w:sz w:val="21"/>
              </w:rPr>
              <w:t>（</w:t>
            </w:r>
            <w:r>
              <w:rPr>
                <w:rFonts w:ascii="Times New Roman" w:eastAsia="Times New Roman"/>
                <w:spacing w:val="-17"/>
                <w:sz w:val="21"/>
              </w:rPr>
              <w:t>2</w:t>
            </w:r>
            <w:r>
              <w:rPr>
                <w:spacing w:val="-17"/>
                <w:sz w:val="21"/>
              </w:rPr>
              <w:t>）</w:t>
            </w:r>
            <w:r>
              <w:rPr>
                <w:spacing w:val="-8"/>
                <w:sz w:val="21"/>
              </w:rPr>
              <w:t>自主生活能力部分丧失，无法独立完成六项基本日常生活活动中的二</w:t>
            </w:r>
            <w:r>
              <w:rPr>
                <w:spacing w:val="-5"/>
                <w:sz w:val="21"/>
              </w:rPr>
              <w:t>项或二项以上。</w:t>
            </w:r>
          </w:p>
          <w:p>
            <w:pPr>
              <w:pStyle w:val="TableParagraph"/>
              <w:spacing w:line="312" w:lineRule="exact" w:before="17"/>
              <w:ind w:left="319" w:right="301"/>
              <w:rPr>
                <w:sz w:val="21"/>
              </w:rPr>
            </w:pPr>
            <w:r>
              <w:rPr>
                <w:sz w:val="21"/>
              </w:rPr>
              <w:t>该诊断必须由我们认可医院的神经专科医生证实，并必须由适当的检查证明为结核性脊髓炎。</w:t>
            </w:r>
          </w:p>
        </w:tc>
      </w:tr>
      <w:tr>
        <w:trPr>
          <w:trHeight w:val="2183" w:hRule="atLeast"/>
        </w:trPr>
        <w:tc>
          <w:tcPr>
            <w:tcW w:w="497" w:type="dxa"/>
          </w:tcPr>
          <w:p>
            <w:pPr>
              <w:pStyle w:val="TableParagraph"/>
              <w:spacing w:before="38"/>
              <w:ind w:left="0" w:right="32"/>
              <w:jc w:val="right"/>
              <w:rPr>
                <w:rFonts w:ascii="Times New Roman"/>
                <w:sz w:val="21"/>
              </w:rPr>
            </w:pPr>
            <w:r>
              <w:rPr>
                <w:rFonts w:ascii="Times New Roman"/>
                <w:sz w:val="21"/>
              </w:rPr>
              <w:t>75.</w:t>
            </w:r>
          </w:p>
        </w:tc>
        <w:tc>
          <w:tcPr>
            <w:tcW w:w="2725" w:type="dxa"/>
          </w:tcPr>
          <w:p>
            <w:pPr>
              <w:pStyle w:val="TableParagraph"/>
              <w:spacing w:line="266" w:lineRule="exact"/>
              <w:ind w:left="32"/>
              <w:rPr>
                <w:sz w:val="21"/>
              </w:rPr>
            </w:pPr>
            <w:r>
              <w:rPr>
                <w:sz w:val="21"/>
              </w:rPr>
              <w:t>肺孢子菌肺炎</w:t>
            </w:r>
          </w:p>
        </w:tc>
        <w:tc>
          <w:tcPr>
            <w:tcW w:w="7359" w:type="dxa"/>
          </w:tcPr>
          <w:p>
            <w:pPr>
              <w:pStyle w:val="TableParagraph"/>
              <w:spacing w:line="266" w:lineRule="exact"/>
              <w:ind w:left="319"/>
              <w:rPr>
                <w:sz w:val="21"/>
              </w:rPr>
            </w:pPr>
            <w:r>
              <w:rPr>
                <w:sz w:val="21"/>
              </w:rPr>
              <w:t>指由肺孢子菌引起的间质性浆细胞性肺炎。并须满足下列全部条件：</w:t>
            </w:r>
          </w:p>
          <w:p>
            <w:pPr>
              <w:pStyle w:val="TableParagraph"/>
              <w:spacing w:before="37"/>
              <w:ind w:left="319"/>
              <w:rPr>
                <w:sz w:val="21"/>
              </w:rPr>
            </w:pPr>
            <w:r>
              <w:rPr>
                <w:sz w:val="21"/>
              </w:rPr>
              <w:t>（</w:t>
            </w:r>
            <w:r>
              <w:rPr>
                <w:rFonts w:ascii="Times New Roman" w:eastAsia="Times New Roman"/>
                <w:sz w:val="21"/>
              </w:rPr>
              <w:t>1</w:t>
            </w:r>
            <w:r>
              <w:rPr>
                <w:sz w:val="21"/>
              </w:rPr>
              <w:t>）第一秒末用力呼气量（</w:t>
            </w:r>
            <w:r>
              <w:rPr>
                <w:rFonts w:ascii="Times New Roman" w:eastAsia="Times New Roman"/>
                <w:sz w:val="21"/>
              </w:rPr>
              <w:t>FEV1</w:t>
            </w:r>
            <w:r>
              <w:rPr>
                <w:sz w:val="21"/>
              </w:rPr>
              <w:t>）小于 </w:t>
            </w:r>
            <w:r>
              <w:rPr>
                <w:rFonts w:ascii="Times New Roman" w:eastAsia="Times New Roman"/>
                <w:sz w:val="21"/>
              </w:rPr>
              <w:t>1 </w:t>
            </w:r>
            <w:r>
              <w:rPr>
                <w:sz w:val="21"/>
              </w:rPr>
              <w:t>升；</w:t>
            </w:r>
          </w:p>
          <w:p>
            <w:pPr>
              <w:pStyle w:val="TableParagraph"/>
              <w:spacing w:before="21"/>
              <w:ind w:left="319"/>
              <w:rPr>
                <w:sz w:val="21"/>
              </w:rPr>
            </w:pPr>
            <w:r>
              <w:rPr>
                <w:sz w:val="21"/>
              </w:rPr>
              <w:t>（</w:t>
            </w:r>
            <w:r>
              <w:rPr>
                <w:rFonts w:ascii="Times New Roman" w:eastAsia="Times New Roman"/>
                <w:sz w:val="21"/>
              </w:rPr>
              <w:t>2</w:t>
            </w:r>
            <w:r>
              <w:rPr>
                <w:sz w:val="21"/>
              </w:rPr>
              <w:t>）气道内阻力增加，至少达到 </w:t>
            </w:r>
            <w:r>
              <w:rPr>
                <w:rFonts w:ascii="Times New Roman" w:eastAsia="Times New Roman"/>
                <w:sz w:val="21"/>
              </w:rPr>
              <w:t>0.5kPa/l/s</w:t>
            </w:r>
            <w:r>
              <w:rPr>
                <w:sz w:val="21"/>
              </w:rPr>
              <w:t>；</w:t>
            </w:r>
          </w:p>
          <w:p>
            <w:pPr>
              <w:pStyle w:val="TableParagraph"/>
              <w:spacing w:before="21"/>
              <w:ind w:left="319"/>
              <w:rPr>
                <w:sz w:val="21"/>
              </w:rPr>
            </w:pPr>
            <w:r>
              <w:rPr>
                <w:sz w:val="21"/>
              </w:rPr>
              <w:t>（</w:t>
            </w:r>
            <w:r>
              <w:rPr>
                <w:rFonts w:ascii="Times New Roman" w:eastAsia="Times New Roman"/>
                <w:sz w:val="21"/>
              </w:rPr>
              <w:t>3</w:t>
            </w:r>
            <w:r>
              <w:rPr>
                <w:sz w:val="21"/>
              </w:rPr>
              <w:t>）残气容积占肺总量</w:t>
            </w:r>
            <w:r>
              <w:rPr>
                <w:rFonts w:ascii="Times New Roman" w:eastAsia="Times New Roman"/>
                <w:sz w:val="21"/>
              </w:rPr>
              <w:t>(TLC)</w:t>
            </w:r>
            <w:r>
              <w:rPr>
                <w:sz w:val="21"/>
              </w:rPr>
              <w:t>的 </w:t>
            </w:r>
            <w:r>
              <w:rPr>
                <w:rFonts w:ascii="Times New Roman" w:eastAsia="Times New Roman"/>
                <w:sz w:val="21"/>
              </w:rPr>
              <w:t>60%</w:t>
            </w:r>
            <w:r>
              <w:rPr>
                <w:sz w:val="21"/>
              </w:rPr>
              <w:t>以上；</w:t>
            </w:r>
          </w:p>
          <w:p>
            <w:pPr>
              <w:pStyle w:val="TableParagraph"/>
              <w:spacing w:before="21"/>
              <w:ind w:left="319"/>
              <w:rPr>
                <w:sz w:val="21"/>
              </w:rPr>
            </w:pPr>
            <w:r>
              <w:rPr>
                <w:sz w:val="21"/>
              </w:rPr>
              <w:t>（</w:t>
            </w:r>
            <w:r>
              <w:rPr>
                <w:rFonts w:ascii="Times New Roman" w:eastAsia="Times New Roman"/>
                <w:sz w:val="21"/>
              </w:rPr>
              <w:t>4</w:t>
            </w:r>
            <w:r>
              <w:rPr>
                <w:sz w:val="21"/>
              </w:rPr>
              <w:t>）胸内气体容积升高，超过 </w:t>
            </w:r>
            <w:r>
              <w:rPr>
                <w:rFonts w:ascii="Times New Roman" w:eastAsia="Times New Roman"/>
                <w:sz w:val="21"/>
              </w:rPr>
              <w:t>170(</w:t>
            </w:r>
            <w:r>
              <w:rPr>
                <w:sz w:val="21"/>
              </w:rPr>
              <w:t>基值的百分比</w:t>
            </w:r>
            <w:r>
              <w:rPr>
                <w:rFonts w:ascii="Times New Roman" w:eastAsia="Times New Roman"/>
                <w:sz w:val="21"/>
              </w:rPr>
              <w:t>)</w:t>
            </w:r>
            <w:r>
              <w:rPr>
                <w:sz w:val="21"/>
              </w:rPr>
              <w:t>；</w:t>
            </w:r>
          </w:p>
          <w:p>
            <w:pPr>
              <w:pStyle w:val="TableParagraph"/>
              <w:spacing w:before="21"/>
              <w:ind w:left="319"/>
              <w:rPr>
                <w:sz w:val="21"/>
              </w:rPr>
            </w:pPr>
            <w:r>
              <w:rPr>
                <w:sz w:val="21"/>
              </w:rPr>
              <w:t>（</w:t>
            </w:r>
            <w:r>
              <w:rPr>
                <w:rFonts w:ascii="Times New Roman" w:eastAsia="Times New Roman"/>
                <w:sz w:val="21"/>
              </w:rPr>
              <w:t>5</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&lt;</w:t>
            </w:r>
            <w:r>
              <w:rPr>
                <w:rFonts w:ascii="Times New Roman" w:eastAsia="Times New Roman"/>
                <w:sz w:val="21"/>
                <w:vertAlign w:val="baseline"/>
              </w:rPr>
              <w:t>60mmHg</w:t>
            </w:r>
            <w:r>
              <w:rPr>
                <w:sz w:val="21"/>
                <w:vertAlign w:val="baseline"/>
              </w:rPr>
              <w:t>，</w:t>
            </w:r>
            <w:r>
              <w:rPr>
                <w:rFonts w:ascii="Times New Roman" w:eastAsia="Times New Roman"/>
                <w:sz w:val="21"/>
                <w:vertAlign w:val="baseline"/>
              </w:rPr>
              <w:t>PaCO</w:t>
            </w:r>
            <w:r>
              <w:rPr>
                <w:rFonts w:ascii="Times New Roman" w:eastAsia="Times New Roman"/>
                <w:sz w:val="21"/>
                <w:vertAlign w:val="subscript"/>
              </w:rPr>
              <w:t>2</w:t>
            </w:r>
            <w:r>
              <w:rPr>
                <w:rFonts w:ascii="Times New Roman" w:eastAsia="Times New Roman"/>
                <w:sz w:val="21"/>
                <w:vertAlign w:val="baseline"/>
              </w:rPr>
              <w:t>&gt;</w:t>
            </w:r>
            <w:r>
              <w:rPr>
                <w:rFonts w:ascii="Times New Roman" w:eastAsia="Times New Roman"/>
                <w:sz w:val="21"/>
                <w:vertAlign w:val="baseline"/>
              </w:rPr>
              <w:t>50mmHg</w:t>
            </w:r>
            <w:r>
              <w:rPr>
                <w:sz w:val="21"/>
                <w:vertAlign w:val="baseline"/>
              </w:rPr>
              <w:t>。</w:t>
            </w:r>
          </w:p>
          <w:p>
            <w:pPr>
              <w:pStyle w:val="TableParagraph"/>
              <w:spacing w:before="21"/>
              <w:ind w:left="319"/>
              <w:rPr>
                <w:b/>
                <w:sz w:val="21"/>
              </w:rPr>
            </w:pPr>
            <w:r>
              <w:rPr>
                <w:b/>
                <w:sz w:val="21"/>
              </w:rPr>
              <w:t>感染艾滋病病毒或患艾滋病期间所患肺孢子菌肺炎不在保障范围内。</w:t>
            </w:r>
          </w:p>
        </w:tc>
      </w:tr>
      <w:tr>
        <w:trPr>
          <w:trHeight w:val="578" w:hRule="atLeast"/>
        </w:trPr>
        <w:tc>
          <w:tcPr>
            <w:tcW w:w="497" w:type="dxa"/>
          </w:tcPr>
          <w:p>
            <w:pPr>
              <w:pStyle w:val="TableParagraph"/>
              <w:spacing w:before="38"/>
              <w:ind w:left="0" w:right="32"/>
              <w:jc w:val="right"/>
              <w:rPr>
                <w:rFonts w:ascii="Times New Roman"/>
                <w:sz w:val="21"/>
              </w:rPr>
            </w:pPr>
            <w:r>
              <w:rPr>
                <w:rFonts w:ascii="Times New Roman"/>
                <w:sz w:val="21"/>
              </w:rPr>
              <w:t>76.</w:t>
            </w:r>
          </w:p>
        </w:tc>
        <w:tc>
          <w:tcPr>
            <w:tcW w:w="2725" w:type="dxa"/>
          </w:tcPr>
          <w:p>
            <w:pPr>
              <w:pStyle w:val="TableParagraph"/>
              <w:spacing w:line="266" w:lineRule="exact"/>
              <w:ind w:left="32"/>
              <w:rPr>
                <w:sz w:val="21"/>
              </w:rPr>
            </w:pPr>
            <w:r>
              <w:rPr>
                <w:sz w:val="21"/>
              </w:rPr>
              <w:t>范可尼综合征</w:t>
            </w:r>
          </w:p>
        </w:tc>
        <w:tc>
          <w:tcPr>
            <w:tcW w:w="7359" w:type="dxa"/>
          </w:tcPr>
          <w:p>
            <w:pPr>
              <w:pStyle w:val="TableParagraph"/>
              <w:spacing w:line="282" w:lineRule="exact"/>
              <w:ind w:left="319"/>
              <w:rPr>
                <w:sz w:val="21"/>
              </w:rPr>
            </w:pPr>
            <w:r>
              <w:rPr>
                <w:spacing w:val="-1"/>
                <w:sz w:val="21"/>
              </w:rPr>
              <w:t>也称 </w:t>
            </w:r>
            <w:r>
              <w:rPr>
                <w:rFonts w:ascii="Times New Roman" w:eastAsia="Times New Roman"/>
                <w:sz w:val="21"/>
              </w:rPr>
              <w:t>Fanconi </w:t>
            </w:r>
            <w:r>
              <w:rPr>
                <w:spacing w:val="-3"/>
                <w:sz w:val="21"/>
              </w:rPr>
              <w:t>综合征，指近端肾小管的功能异常引起的一组症候群。须经</w:t>
            </w:r>
          </w:p>
          <w:p>
            <w:pPr>
              <w:pStyle w:val="TableParagraph"/>
              <w:spacing w:line="255" w:lineRule="exact" w:before="21"/>
              <w:ind w:left="319"/>
              <w:rPr>
                <w:sz w:val="21"/>
              </w:rPr>
            </w:pPr>
            <w:r>
              <w:rPr>
                <w:sz w:val="21"/>
              </w:rPr>
              <w:t>专科医生诊断，且须满足下列至少两项条件：</w:t>
            </w:r>
          </w:p>
        </w:tc>
      </w:tr>
    </w:tbl>
    <w:p>
      <w:pPr>
        <w:spacing w:after="0" w:line="255" w:lineRule="exact"/>
        <w:rPr>
          <w:sz w:val="21"/>
        </w:rPr>
        <w:sectPr>
          <w:pgSz w:w="11910" w:h="16160"/>
          <w:pgMar w:header="0" w:footer="993" w:top="1420" w:bottom="1180" w:left="760" w:right="3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643"/>
        <w:gridCol w:w="7341"/>
      </w:tblGrid>
      <w:tr>
        <w:trPr>
          <w:trHeight w:val="1824" w:hRule="atLeast"/>
        </w:trPr>
        <w:tc>
          <w:tcPr>
            <w:tcW w:w="497" w:type="dxa"/>
          </w:tcPr>
          <w:p>
            <w:pPr>
              <w:pStyle w:val="TableParagraph"/>
              <w:ind w:left="0"/>
              <w:rPr>
                <w:rFonts w:ascii="Times New Roman"/>
                <w:sz w:val="20"/>
              </w:rPr>
            </w:pPr>
          </w:p>
        </w:tc>
        <w:tc>
          <w:tcPr>
            <w:tcW w:w="2643" w:type="dxa"/>
          </w:tcPr>
          <w:p>
            <w:pPr>
              <w:pStyle w:val="TableParagraph"/>
              <w:ind w:left="0"/>
              <w:rPr>
                <w:rFonts w:ascii="Times New Roman"/>
                <w:sz w:val="20"/>
              </w:rPr>
            </w:pPr>
          </w:p>
        </w:tc>
        <w:tc>
          <w:tcPr>
            <w:tcW w:w="7341" w:type="dxa"/>
          </w:tcPr>
          <w:p>
            <w:pPr>
              <w:pStyle w:val="TableParagraph"/>
              <w:spacing w:line="234" w:lineRule="exact"/>
              <w:ind w:left="401"/>
              <w:rPr>
                <w:sz w:val="21"/>
              </w:rPr>
            </w:pPr>
            <w:r>
              <w:rPr>
                <w:sz w:val="21"/>
              </w:rPr>
              <w:t>（</w:t>
            </w:r>
            <w:r>
              <w:rPr>
                <w:rFonts w:ascii="Times New Roman" w:eastAsia="Times New Roman"/>
                <w:sz w:val="21"/>
              </w:rPr>
              <w:t>1</w:t>
            </w:r>
            <w:r>
              <w:rPr>
                <w:sz w:val="21"/>
              </w:rPr>
              <w:t>）尿液检查出现肾性糖尿、全氨基酸糖尿或磷酸盐尿；</w:t>
            </w:r>
          </w:p>
          <w:p>
            <w:pPr>
              <w:pStyle w:val="TableParagraph"/>
              <w:spacing w:before="21"/>
              <w:ind w:left="401"/>
              <w:rPr>
                <w:sz w:val="21"/>
              </w:rPr>
            </w:pPr>
            <w:r>
              <w:rPr>
                <w:sz w:val="21"/>
              </w:rPr>
              <w:t>（</w:t>
            </w:r>
            <w:r>
              <w:rPr>
                <w:rFonts w:ascii="Times New Roman" w:eastAsia="Times New Roman"/>
                <w:sz w:val="21"/>
              </w:rPr>
              <w:t>2</w:t>
            </w:r>
            <w:r>
              <w:rPr>
                <w:sz w:val="21"/>
              </w:rPr>
              <w:t>）血液检查出现低磷血症、低尿酸血症或近端肾小管酸中毒；</w:t>
            </w:r>
          </w:p>
          <w:p>
            <w:pPr>
              <w:pStyle w:val="TableParagraph"/>
              <w:spacing w:before="20"/>
              <w:ind w:left="401"/>
              <w:rPr>
                <w:sz w:val="21"/>
              </w:rPr>
            </w:pPr>
            <w:r>
              <w:rPr>
                <w:sz w:val="21"/>
              </w:rPr>
              <w:t>（</w:t>
            </w:r>
            <w:r>
              <w:rPr>
                <w:rFonts w:ascii="Times New Roman" w:eastAsia="Times New Roman"/>
                <w:sz w:val="21"/>
              </w:rPr>
              <w:t>3</w:t>
            </w:r>
            <w:r>
              <w:rPr>
                <w:sz w:val="21"/>
              </w:rPr>
              <w:t>）出现骨质疏松、骨骼畸形或尿路结石；</w:t>
            </w:r>
          </w:p>
          <w:p>
            <w:pPr>
              <w:pStyle w:val="TableParagraph"/>
              <w:spacing w:line="256" w:lineRule="auto" w:before="20"/>
              <w:ind w:left="401" w:right="201"/>
              <w:rPr>
                <w:sz w:val="21"/>
              </w:rPr>
            </w:pPr>
            <w:r>
              <w:rPr>
                <w:spacing w:val="-12"/>
                <w:sz w:val="21"/>
              </w:rPr>
              <w:t>（</w:t>
            </w:r>
            <w:r>
              <w:rPr>
                <w:rFonts w:ascii="Times New Roman" w:eastAsia="Times New Roman"/>
                <w:spacing w:val="-12"/>
                <w:sz w:val="21"/>
              </w:rPr>
              <w:t>4</w:t>
            </w:r>
            <w:r>
              <w:rPr>
                <w:spacing w:val="-12"/>
                <w:sz w:val="21"/>
              </w:rPr>
              <w:t>）</w:t>
            </w:r>
            <w:r>
              <w:rPr>
                <w:spacing w:val="-10"/>
                <w:sz w:val="21"/>
              </w:rPr>
              <w:t>通过骨髓片、白细胞、直肠黏膜中的结晶分析或裂隙灯检查角膜有胱</w:t>
            </w:r>
            <w:r>
              <w:rPr>
                <w:spacing w:val="-5"/>
                <w:sz w:val="21"/>
              </w:rPr>
              <w:t>氨酸结晶。</w:t>
            </w:r>
          </w:p>
          <w:p>
            <w:pPr>
              <w:pStyle w:val="TableParagraph"/>
              <w:spacing w:before="21"/>
              <w:ind w:left="401"/>
              <w:rPr>
                <w:b/>
                <w:sz w:val="21"/>
              </w:rPr>
            </w:pPr>
            <w:r>
              <w:rPr>
                <w:b/>
                <w:sz w:val="21"/>
              </w:rPr>
              <w:t>被保险人在三周岁之前罹患该疾病，我们不承担保险责任。</w:t>
            </w:r>
          </w:p>
        </w:tc>
      </w:tr>
      <w:tr>
        <w:trPr>
          <w:trHeight w:val="1248" w:hRule="atLeast"/>
        </w:trPr>
        <w:tc>
          <w:tcPr>
            <w:tcW w:w="497" w:type="dxa"/>
          </w:tcPr>
          <w:p>
            <w:pPr>
              <w:pStyle w:val="TableParagraph"/>
              <w:spacing w:before="38"/>
              <w:ind w:left="0" w:right="32"/>
              <w:jc w:val="right"/>
              <w:rPr>
                <w:rFonts w:ascii="Times New Roman"/>
                <w:sz w:val="21"/>
              </w:rPr>
            </w:pPr>
            <w:r>
              <w:rPr>
                <w:rFonts w:ascii="Times New Roman"/>
                <w:sz w:val="21"/>
              </w:rPr>
              <w:t>77.</w:t>
            </w:r>
          </w:p>
        </w:tc>
        <w:tc>
          <w:tcPr>
            <w:tcW w:w="2643" w:type="dxa"/>
          </w:tcPr>
          <w:p>
            <w:pPr>
              <w:pStyle w:val="TableParagraph"/>
              <w:spacing w:line="266" w:lineRule="exact"/>
              <w:ind w:left="32"/>
              <w:rPr>
                <w:sz w:val="21"/>
              </w:rPr>
            </w:pPr>
            <w:r>
              <w:rPr>
                <w:sz w:val="21"/>
              </w:rPr>
              <w:t>弥漫性血管内凝血</w:t>
            </w:r>
          </w:p>
        </w:tc>
        <w:tc>
          <w:tcPr>
            <w:tcW w:w="7341" w:type="dxa"/>
          </w:tcPr>
          <w:p>
            <w:pPr>
              <w:pStyle w:val="TableParagraph"/>
              <w:spacing w:line="273" w:lineRule="auto"/>
              <w:ind w:left="401" w:right="202"/>
              <w:rPr>
                <w:sz w:val="21"/>
              </w:rPr>
            </w:pPr>
            <w:r>
              <w:rPr>
                <w:sz w:val="21"/>
              </w:rPr>
              <w:t>指血液凝固系统和纤溶系统的过度活动导致微血管血栓形成、血小板及凝血因子耗竭和严重出血，需要输注血浆和浓缩血小板进行治疗。</w:t>
            </w:r>
          </w:p>
          <w:p>
            <w:pPr>
              <w:pStyle w:val="TableParagraph"/>
              <w:spacing w:line="256" w:lineRule="auto" w:before="16"/>
              <w:ind w:left="401" w:right="201"/>
              <w:rPr>
                <w:sz w:val="21"/>
              </w:rPr>
            </w:pPr>
            <w:r>
              <w:rPr>
                <w:spacing w:val="-7"/>
                <w:sz w:val="21"/>
              </w:rPr>
              <w:t>被保险人已经接受 </w:t>
            </w:r>
            <w:r>
              <w:rPr>
                <w:rFonts w:ascii="Times New Roman" w:eastAsia="Times New Roman"/>
                <w:sz w:val="21"/>
              </w:rPr>
              <w:t>ICU </w:t>
            </w:r>
            <w:r>
              <w:rPr>
                <w:spacing w:val="-7"/>
                <w:sz w:val="21"/>
              </w:rPr>
              <w:t>重症监护病房的治疗，诊断必须经由专科医生的确诊。</w:t>
            </w:r>
          </w:p>
        </w:tc>
      </w:tr>
      <w:tr>
        <w:trPr>
          <w:trHeight w:val="936" w:hRule="atLeast"/>
        </w:trPr>
        <w:tc>
          <w:tcPr>
            <w:tcW w:w="497" w:type="dxa"/>
          </w:tcPr>
          <w:p>
            <w:pPr>
              <w:pStyle w:val="TableParagraph"/>
              <w:spacing w:before="38"/>
              <w:ind w:left="0" w:right="32"/>
              <w:jc w:val="right"/>
              <w:rPr>
                <w:rFonts w:ascii="Times New Roman"/>
                <w:sz w:val="21"/>
              </w:rPr>
            </w:pPr>
            <w:r>
              <w:rPr>
                <w:rFonts w:ascii="Times New Roman"/>
                <w:sz w:val="21"/>
              </w:rPr>
              <w:t>78.</w:t>
            </w:r>
          </w:p>
        </w:tc>
        <w:tc>
          <w:tcPr>
            <w:tcW w:w="2643" w:type="dxa"/>
          </w:tcPr>
          <w:p>
            <w:pPr>
              <w:pStyle w:val="TableParagraph"/>
              <w:spacing w:line="282" w:lineRule="exact"/>
              <w:ind w:left="32"/>
              <w:rPr>
                <w:sz w:val="21"/>
              </w:rPr>
            </w:pPr>
            <w:r>
              <w:rPr>
                <w:sz w:val="21"/>
              </w:rPr>
              <w:t>严重 </w:t>
            </w:r>
            <w:r>
              <w:rPr>
                <w:rFonts w:ascii="Times New Roman" w:eastAsia="Times New Roman"/>
                <w:sz w:val="21"/>
              </w:rPr>
              <w:t>III </w:t>
            </w:r>
            <w:r>
              <w:rPr>
                <w:sz w:val="21"/>
              </w:rPr>
              <w:t>度冻伤导致截肢</w:t>
            </w:r>
          </w:p>
        </w:tc>
        <w:tc>
          <w:tcPr>
            <w:tcW w:w="7341" w:type="dxa"/>
          </w:tcPr>
          <w:p>
            <w:pPr>
              <w:pStyle w:val="TableParagraph"/>
              <w:spacing w:line="264" w:lineRule="auto"/>
              <w:ind w:left="401" w:right="200"/>
              <w:jc w:val="both"/>
              <w:rPr>
                <w:sz w:val="21"/>
              </w:rPr>
            </w:pPr>
            <w:r>
              <w:rPr>
                <w:spacing w:val="-6"/>
                <w:sz w:val="21"/>
              </w:rPr>
              <w:t>冻伤是由于寒冷潮湿作用引起的人体局部或全身损伤。指冻伤程度达到 </w:t>
            </w:r>
            <w:r>
              <w:rPr>
                <w:rFonts w:ascii="Times New Roman" w:eastAsia="Times New Roman"/>
                <w:sz w:val="21"/>
              </w:rPr>
              <w:t>III </w:t>
            </w:r>
            <w:r>
              <w:rPr>
                <w:spacing w:val="-3"/>
                <w:sz w:val="21"/>
              </w:rPr>
              <w:t>度，且导致一个或一个以上肢体自腕关节或踝关节近端</w:t>
            </w:r>
            <w:r>
              <w:rPr>
                <w:sz w:val="21"/>
              </w:rPr>
              <w:t>（</w:t>
            </w:r>
            <w:r>
              <w:rPr>
                <w:spacing w:val="-3"/>
                <w:sz w:val="21"/>
              </w:rPr>
              <w:t>靠近躯干端</w:t>
            </w:r>
            <w:r>
              <w:rPr>
                <w:sz w:val="21"/>
              </w:rPr>
              <w:t>）以</w:t>
            </w:r>
            <w:r>
              <w:rPr>
                <w:spacing w:val="-2"/>
                <w:sz w:val="21"/>
              </w:rPr>
              <w:t>上完全性断离。</w:t>
            </w:r>
          </w:p>
        </w:tc>
      </w:tr>
      <w:tr>
        <w:trPr>
          <w:trHeight w:val="936" w:hRule="atLeast"/>
        </w:trPr>
        <w:tc>
          <w:tcPr>
            <w:tcW w:w="497" w:type="dxa"/>
          </w:tcPr>
          <w:p>
            <w:pPr>
              <w:pStyle w:val="TableParagraph"/>
              <w:spacing w:before="38"/>
              <w:ind w:left="0" w:right="32"/>
              <w:jc w:val="right"/>
              <w:rPr>
                <w:rFonts w:ascii="Times New Roman"/>
                <w:sz w:val="21"/>
              </w:rPr>
            </w:pPr>
            <w:r>
              <w:rPr>
                <w:rFonts w:ascii="Times New Roman"/>
                <w:sz w:val="21"/>
              </w:rPr>
              <w:t>79.</w:t>
            </w:r>
          </w:p>
        </w:tc>
        <w:tc>
          <w:tcPr>
            <w:tcW w:w="2643" w:type="dxa"/>
          </w:tcPr>
          <w:p>
            <w:pPr>
              <w:pStyle w:val="TableParagraph"/>
              <w:spacing w:line="266" w:lineRule="exact"/>
              <w:ind w:left="32"/>
              <w:rPr>
                <w:sz w:val="21"/>
              </w:rPr>
            </w:pPr>
            <w:r>
              <w:rPr>
                <w:sz w:val="21"/>
              </w:rPr>
              <w:t>大面积植皮手术</w:t>
            </w:r>
          </w:p>
        </w:tc>
        <w:tc>
          <w:tcPr>
            <w:tcW w:w="7341" w:type="dxa"/>
          </w:tcPr>
          <w:p>
            <w:pPr>
              <w:pStyle w:val="TableParagraph"/>
              <w:spacing w:line="264" w:lineRule="auto"/>
              <w:ind w:left="401" w:right="202"/>
              <w:rPr>
                <w:sz w:val="21"/>
              </w:rPr>
            </w:pPr>
            <w:r>
              <w:rPr>
                <w:spacing w:val="-3"/>
                <w:sz w:val="21"/>
              </w:rPr>
              <w:t>指为修复皮肤与其下的组织缺损所进行的皮肤移植手术，要求皮肤移植的</w:t>
            </w:r>
            <w:r>
              <w:rPr>
                <w:spacing w:val="-7"/>
                <w:sz w:val="21"/>
              </w:rPr>
              <w:t>面积达到全身体表面积的 </w:t>
            </w:r>
            <w:r>
              <w:rPr>
                <w:rFonts w:ascii="Times New Roman" w:eastAsia="Times New Roman"/>
                <w:sz w:val="21"/>
              </w:rPr>
              <w:t>30%</w:t>
            </w:r>
            <w:r>
              <w:rPr>
                <w:spacing w:val="-23"/>
                <w:sz w:val="21"/>
              </w:rPr>
              <w:t>或 </w:t>
            </w:r>
            <w:r>
              <w:rPr>
                <w:rFonts w:ascii="Times New Roman" w:eastAsia="Times New Roman"/>
                <w:sz w:val="21"/>
              </w:rPr>
              <w:t>30%</w:t>
            </w:r>
            <w:r>
              <w:rPr>
                <w:spacing w:val="-13"/>
                <w:sz w:val="21"/>
              </w:rPr>
              <w:t>以上。体表面积根据《中国新九分法计算。</w:t>
            </w:r>
          </w:p>
        </w:tc>
      </w:tr>
      <w:tr>
        <w:trPr>
          <w:trHeight w:val="1514" w:hRule="atLeast"/>
        </w:trPr>
        <w:tc>
          <w:tcPr>
            <w:tcW w:w="497" w:type="dxa"/>
          </w:tcPr>
          <w:p>
            <w:pPr>
              <w:pStyle w:val="TableParagraph"/>
              <w:spacing w:before="38"/>
              <w:ind w:left="0" w:right="32"/>
              <w:jc w:val="right"/>
              <w:rPr>
                <w:rFonts w:ascii="Times New Roman"/>
                <w:sz w:val="21"/>
              </w:rPr>
            </w:pPr>
            <w:r>
              <w:rPr>
                <w:rFonts w:ascii="Times New Roman"/>
                <w:sz w:val="21"/>
              </w:rPr>
              <w:t>80.</w:t>
            </w:r>
          </w:p>
        </w:tc>
        <w:tc>
          <w:tcPr>
            <w:tcW w:w="2643" w:type="dxa"/>
          </w:tcPr>
          <w:p>
            <w:pPr>
              <w:pStyle w:val="TableParagraph"/>
              <w:spacing w:line="266" w:lineRule="exact"/>
              <w:ind w:left="32"/>
              <w:rPr>
                <w:sz w:val="21"/>
              </w:rPr>
            </w:pPr>
            <w:r>
              <w:rPr>
                <w:sz w:val="21"/>
              </w:rPr>
              <w:t>出血性登革热</w:t>
            </w:r>
          </w:p>
        </w:tc>
        <w:tc>
          <w:tcPr>
            <w:tcW w:w="7341" w:type="dxa"/>
          </w:tcPr>
          <w:p>
            <w:pPr>
              <w:pStyle w:val="TableParagraph"/>
              <w:spacing w:line="264" w:lineRule="auto"/>
              <w:ind w:left="401" w:right="198"/>
              <w:jc w:val="both"/>
              <w:rPr>
                <w:sz w:val="21"/>
              </w:rPr>
            </w:pPr>
            <w:r>
              <w:rPr>
                <w:spacing w:val="-7"/>
                <w:sz w:val="21"/>
              </w:rPr>
              <w:t>严重登革热</w:t>
            </w:r>
            <w:r>
              <w:rPr>
                <w:sz w:val="21"/>
              </w:rPr>
              <w:t>（</w:t>
            </w:r>
            <w:r>
              <w:rPr>
                <w:spacing w:val="-3"/>
                <w:sz w:val="21"/>
              </w:rPr>
              <w:t>出血性登革热</w:t>
            </w:r>
            <w:r>
              <w:rPr>
                <w:spacing w:val="-66"/>
                <w:sz w:val="21"/>
              </w:rPr>
              <w:t>）</w:t>
            </w:r>
            <w:r>
              <w:rPr>
                <w:spacing w:val="-12"/>
                <w:sz w:val="21"/>
              </w:rPr>
              <w:t>，出现了全部四种症状，包括发高烧、出血现</w:t>
            </w:r>
            <w:r>
              <w:rPr>
                <w:spacing w:val="-7"/>
                <w:sz w:val="21"/>
              </w:rPr>
              <w:t>象、肝肿大和循环衰竭，符合登革热休克综合症标准，达到 </w:t>
            </w:r>
            <w:r>
              <w:rPr>
                <w:rFonts w:ascii="Times New Roman" w:eastAsia="Times New Roman"/>
                <w:sz w:val="21"/>
              </w:rPr>
              <w:t>WHO </w:t>
            </w:r>
            <w:r>
              <w:rPr>
                <w:spacing w:val="-2"/>
                <w:sz w:val="21"/>
              </w:rPr>
              <w:t>登革热</w:t>
            </w:r>
            <w:r>
              <w:rPr>
                <w:spacing w:val="-13"/>
                <w:sz w:val="21"/>
              </w:rPr>
              <w:t>分级的第 </w:t>
            </w:r>
            <w:r>
              <w:rPr>
                <w:rFonts w:ascii="Times New Roman" w:eastAsia="Times New Roman"/>
                <w:sz w:val="21"/>
              </w:rPr>
              <w:t>III </w:t>
            </w:r>
            <w:r>
              <w:rPr>
                <w:spacing w:val="-13"/>
                <w:sz w:val="21"/>
              </w:rPr>
              <w:t>级和第 </w:t>
            </w:r>
            <w:r>
              <w:rPr>
                <w:rFonts w:ascii="Times New Roman" w:eastAsia="Times New Roman"/>
                <w:sz w:val="21"/>
              </w:rPr>
              <w:t>IV </w:t>
            </w:r>
            <w:r>
              <w:rPr>
                <w:spacing w:val="-3"/>
                <w:sz w:val="21"/>
              </w:rPr>
              <w:t>级。</w:t>
            </w:r>
          </w:p>
          <w:p>
            <w:pPr>
              <w:pStyle w:val="TableParagraph"/>
              <w:spacing w:line="273" w:lineRule="exact" w:before="9"/>
              <w:ind w:left="401"/>
              <w:jc w:val="both"/>
              <w:rPr>
                <w:b/>
                <w:sz w:val="21"/>
              </w:rPr>
            </w:pPr>
            <w:r>
              <w:rPr>
                <w:sz w:val="21"/>
              </w:rPr>
              <w:t>出血性登革热的诊断必须由我们认可医院的专科医生证实。</w:t>
            </w:r>
            <w:r>
              <w:rPr>
                <w:b/>
                <w:sz w:val="21"/>
              </w:rPr>
              <w:t>非出血性登革</w:t>
            </w:r>
          </w:p>
          <w:p>
            <w:pPr>
              <w:pStyle w:val="TableParagraph"/>
              <w:spacing w:line="255" w:lineRule="exact" w:before="37"/>
              <w:ind w:left="401"/>
              <w:jc w:val="both"/>
              <w:rPr>
                <w:b/>
                <w:sz w:val="21"/>
              </w:rPr>
            </w:pPr>
            <w:r>
              <w:rPr>
                <w:b/>
                <w:sz w:val="21"/>
              </w:rPr>
              <w:t>热不在保障范围内。</w:t>
            </w:r>
          </w:p>
        </w:tc>
      </w:tr>
    </w:tbl>
    <w:p>
      <w:pPr>
        <w:pStyle w:val="BodyText"/>
        <w:spacing w:before="3"/>
        <w:rPr>
          <w:sz w:val="24"/>
        </w:rPr>
      </w:pPr>
    </w:p>
    <w:p>
      <w:pPr>
        <w:pStyle w:val="Heading2"/>
        <w:tabs>
          <w:tab w:pos="1577" w:val="left" w:leader="none"/>
        </w:tabs>
        <w:spacing w:before="37"/>
        <w:ind w:left="317"/>
      </w:pPr>
      <w:bookmarkStart w:name="_bookmark32" w:id="33"/>
      <w:bookmarkEnd w:id="33"/>
      <w:r>
        <w:rPr>
          <w:b w:val="0"/>
        </w:rPr>
      </w:r>
      <w:r>
        <w:rPr/>
        <w:t>第二十七条</w:t>
        <w:tab/>
        <w:t>特定癌症的种类及</w:t>
      </w:r>
      <w:r>
        <w:rPr>
          <w:spacing w:val="-3"/>
        </w:rPr>
        <w:t>定</w:t>
      </w:r>
      <w:r>
        <w:rPr/>
        <w:t>义</w:t>
      </w:r>
    </w:p>
    <w:p>
      <w:pPr>
        <w:pStyle w:val="BodyText"/>
        <w:spacing w:line="273" w:lineRule="auto" w:before="37"/>
        <w:ind w:left="317" w:right="480" w:firstLine="420"/>
      </w:pPr>
      <w:r>
        <w:rPr/>
        <w:t>本合同所保障的特定癌症，是指被保险人经专科医生明确诊断初次发生下列疾病或初次达到下列疾病状态或在医院初次接受下列手术。</w:t>
      </w:r>
    </w:p>
    <w:p>
      <w:pPr>
        <w:pStyle w:val="BodyText"/>
        <w:spacing w:before="7"/>
        <w:ind w:left="738"/>
      </w:pPr>
      <w:r>
        <w:rPr/>
        <w:t>本合同所保障的特定癌症共 </w:t>
      </w:r>
      <w:r>
        <w:rPr>
          <w:rFonts w:ascii="Times New Roman" w:eastAsia="Times New Roman"/>
        </w:rPr>
        <w:t>3 </w:t>
      </w:r>
      <w:r>
        <w:rPr/>
        <w:t>种。</w:t>
      </w:r>
    </w:p>
    <w:p>
      <w:pPr>
        <w:pStyle w:val="BodyText"/>
        <w:spacing w:before="9"/>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901"/>
        <w:gridCol w:w="7982"/>
      </w:tblGrid>
      <w:tr>
        <w:trPr>
          <w:trHeight w:val="2450" w:hRule="atLeast"/>
        </w:trPr>
        <w:tc>
          <w:tcPr>
            <w:tcW w:w="421" w:type="dxa"/>
          </w:tcPr>
          <w:p>
            <w:pPr>
              <w:pStyle w:val="TableParagraph"/>
              <w:spacing w:line="234" w:lineRule="exact"/>
              <w:ind w:left="0" w:right="60"/>
              <w:jc w:val="right"/>
              <w:rPr>
                <w:rFonts w:ascii="Times New Roman"/>
                <w:sz w:val="21"/>
              </w:rPr>
            </w:pPr>
            <w:r>
              <w:rPr>
                <w:rFonts w:ascii="Times New Roman"/>
                <w:sz w:val="21"/>
              </w:rPr>
              <w:t>1.</w:t>
            </w:r>
          </w:p>
        </w:tc>
        <w:tc>
          <w:tcPr>
            <w:tcW w:w="1901" w:type="dxa"/>
          </w:tcPr>
          <w:p>
            <w:pPr>
              <w:pStyle w:val="TableParagraph"/>
              <w:spacing w:line="220" w:lineRule="exact"/>
              <w:ind w:left="62"/>
              <w:rPr>
                <w:sz w:val="21"/>
              </w:rPr>
            </w:pPr>
            <w:r>
              <w:rPr>
                <w:sz w:val="21"/>
              </w:rPr>
              <w:t>白血病</w:t>
            </w:r>
          </w:p>
        </w:tc>
        <w:tc>
          <w:tcPr>
            <w:tcW w:w="7982" w:type="dxa"/>
          </w:tcPr>
          <w:p>
            <w:pPr>
              <w:pStyle w:val="TableParagraph"/>
              <w:spacing w:line="220" w:lineRule="exact"/>
              <w:ind w:left="996"/>
              <w:rPr>
                <w:sz w:val="21"/>
              </w:rPr>
            </w:pPr>
            <w:r>
              <w:rPr>
                <w:sz w:val="21"/>
              </w:rPr>
              <w:t>白血病是一种造血系统的恶性肿瘤，其主要表现为白血病细胞在骨髓或其</w:t>
            </w:r>
          </w:p>
          <w:p>
            <w:pPr>
              <w:pStyle w:val="TableParagraph"/>
              <w:spacing w:line="273" w:lineRule="auto" w:before="37"/>
              <w:ind w:left="996" w:right="201"/>
              <w:rPr>
                <w:sz w:val="21"/>
              </w:rPr>
            </w:pPr>
            <w:r>
              <w:rPr>
                <w:sz w:val="21"/>
              </w:rPr>
              <w:t>他造血组织中进行性、失控制的异常增生，并浸润至其他组织与器官，使</w:t>
            </w:r>
            <w:r>
              <w:rPr>
                <w:spacing w:val="-7"/>
                <w:sz w:val="21"/>
              </w:rPr>
              <w:t>正常血细胞生成减少，周围白细胞有质和量的变化，产生相应的临床表现</w:t>
            </w:r>
            <w:r>
              <w:rPr>
                <w:spacing w:val="3"/>
                <w:sz w:val="21"/>
              </w:rPr>
              <w:t>被保险人所患白血病必须根据骨髓的活组织检查和周围血象由专科医生</w:t>
            </w:r>
          </w:p>
          <w:p>
            <w:pPr>
              <w:pStyle w:val="TableParagraph"/>
              <w:spacing w:before="7"/>
              <w:ind w:left="996"/>
              <w:rPr>
                <w:sz w:val="21"/>
              </w:rPr>
            </w:pPr>
            <w:r>
              <w:rPr>
                <w:sz w:val="21"/>
              </w:rPr>
              <w:t>（儿科、血液科或肿瘤科）确诊。</w:t>
            </w:r>
          </w:p>
          <w:p>
            <w:pPr>
              <w:pStyle w:val="TableParagraph"/>
              <w:spacing w:line="256" w:lineRule="auto" w:before="36"/>
              <w:ind w:left="996" w:right="197"/>
              <w:jc w:val="both"/>
              <w:rPr>
                <w:b/>
                <w:sz w:val="21"/>
              </w:rPr>
            </w:pPr>
            <w:r>
              <w:rPr>
                <w:b/>
                <w:spacing w:val="-13"/>
                <w:sz w:val="21"/>
              </w:rPr>
              <w:t>相当于 </w:t>
            </w:r>
            <w:r>
              <w:rPr>
                <w:rFonts w:ascii="Times New Roman" w:eastAsia="Times New Roman"/>
                <w:b/>
                <w:sz w:val="21"/>
              </w:rPr>
              <w:t>Binet </w:t>
            </w:r>
            <w:r>
              <w:rPr>
                <w:b/>
                <w:spacing w:val="-11"/>
                <w:sz w:val="21"/>
              </w:rPr>
              <w:t>分期方案 </w:t>
            </w:r>
            <w:r>
              <w:rPr>
                <w:rFonts w:ascii="Times New Roman" w:eastAsia="Times New Roman"/>
                <w:b/>
                <w:sz w:val="21"/>
              </w:rPr>
              <w:t>A </w:t>
            </w:r>
            <w:r>
              <w:rPr>
                <w:b/>
                <w:spacing w:val="-3"/>
                <w:sz w:val="21"/>
              </w:rPr>
              <w:t>期程度的慢性淋巴细胞白血病不在保障范围内。</w:t>
            </w:r>
            <w:r>
              <w:rPr>
                <w:b/>
                <w:spacing w:val="-6"/>
                <w:sz w:val="21"/>
              </w:rPr>
              <w:t>特定癌症责任仅保障被保险人在 </w:t>
            </w:r>
            <w:r>
              <w:rPr>
                <w:rFonts w:ascii="Times New Roman" w:eastAsia="Times New Roman"/>
                <w:b/>
                <w:sz w:val="21"/>
              </w:rPr>
              <w:t>18 </w:t>
            </w:r>
            <w:r>
              <w:rPr>
                <w:b/>
                <w:sz w:val="21"/>
              </w:rPr>
              <w:t>周岁之前（</w:t>
            </w:r>
            <w:r>
              <w:rPr>
                <w:b/>
                <w:spacing w:val="-16"/>
                <w:sz w:val="21"/>
              </w:rPr>
              <w:t>不含 </w:t>
            </w:r>
            <w:r>
              <w:rPr>
                <w:rFonts w:ascii="Times New Roman" w:eastAsia="Times New Roman"/>
                <w:b/>
                <w:sz w:val="21"/>
              </w:rPr>
              <w:t>18 </w:t>
            </w:r>
            <w:r>
              <w:rPr>
                <w:b/>
                <w:sz w:val="21"/>
              </w:rPr>
              <w:t>周岁）经专科医生</w:t>
            </w:r>
            <w:r>
              <w:rPr>
                <w:b/>
                <w:spacing w:val="-2"/>
                <w:sz w:val="21"/>
              </w:rPr>
              <w:t>明确诊断初次发生的白血病。</w:t>
            </w:r>
          </w:p>
        </w:tc>
      </w:tr>
      <w:tr>
        <w:trPr>
          <w:trHeight w:val="2778" w:hRule="atLeast"/>
        </w:trPr>
        <w:tc>
          <w:tcPr>
            <w:tcW w:w="421" w:type="dxa"/>
          </w:tcPr>
          <w:p>
            <w:pPr>
              <w:pStyle w:val="TableParagraph"/>
              <w:spacing w:before="38"/>
              <w:ind w:left="0" w:right="60"/>
              <w:jc w:val="right"/>
              <w:rPr>
                <w:rFonts w:ascii="Times New Roman"/>
                <w:sz w:val="21"/>
              </w:rPr>
            </w:pPr>
            <w:r>
              <w:rPr>
                <w:rFonts w:ascii="Times New Roman"/>
                <w:sz w:val="21"/>
              </w:rPr>
              <w:t>2.</w:t>
            </w:r>
          </w:p>
        </w:tc>
        <w:tc>
          <w:tcPr>
            <w:tcW w:w="1901" w:type="dxa"/>
          </w:tcPr>
          <w:p>
            <w:pPr>
              <w:pStyle w:val="TableParagraph"/>
              <w:spacing w:line="266" w:lineRule="exact"/>
              <w:ind w:left="62"/>
              <w:rPr>
                <w:sz w:val="21"/>
              </w:rPr>
            </w:pPr>
            <w:r>
              <w:rPr>
                <w:sz w:val="21"/>
              </w:rPr>
              <w:t>前列腺癌</w:t>
            </w:r>
          </w:p>
        </w:tc>
        <w:tc>
          <w:tcPr>
            <w:tcW w:w="7982" w:type="dxa"/>
          </w:tcPr>
          <w:p>
            <w:pPr>
              <w:pStyle w:val="TableParagraph"/>
              <w:spacing w:line="264" w:lineRule="auto"/>
              <w:ind w:left="996" w:right="197"/>
              <w:jc w:val="both"/>
              <w:rPr>
                <w:b/>
                <w:sz w:val="21"/>
              </w:rPr>
            </w:pPr>
            <w:r>
              <w:rPr>
                <w:sz w:val="21"/>
              </w:rPr>
              <w:t>是指符合行业恶性肿瘤定义标准，经病理学检查结果明确诊断，临床诊断</w:t>
            </w:r>
            <w:r>
              <w:rPr>
                <w:spacing w:val="-6"/>
                <w:sz w:val="21"/>
              </w:rPr>
              <w:t>属于世界卫生组织《疾病和有关健康问题的国际统计分类</w:t>
            </w:r>
            <w:r>
              <w:rPr>
                <w:spacing w:val="-125"/>
                <w:sz w:val="21"/>
              </w:rPr>
              <w:t>》</w:t>
            </w:r>
            <w:r>
              <w:rPr>
                <w:spacing w:val="-4"/>
                <w:sz w:val="21"/>
              </w:rPr>
              <w:t>（</w:t>
            </w:r>
            <w:r>
              <w:rPr>
                <w:rFonts w:ascii="Times New Roman" w:eastAsia="Times New Roman"/>
                <w:spacing w:val="-4"/>
                <w:sz w:val="21"/>
              </w:rPr>
              <w:t>ICD-10</w:t>
            </w:r>
            <w:r>
              <w:rPr>
                <w:spacing w:val="-4"/>
                <w:sz w:val="21"/>
              </w:rPr>
              <w:t>）</w:t>
            </w:r>
            <w:r>
              <w:rPr>
                <w:spacing w:val="-2"/>
                <w:sz w:val="21"/>
              </w:rPr>
              <w:t>的恶</w:t>
            </w:r>
            <w:r>
              <w:rPr>
                <w:spacing w:val="-14"/>
                <w:sz w:val="21"/>
              </w:rPr>
              <w:t>性肿瘤 </w:t>
            </w:r>
            <w:r>
              <w:rPr>
                <w:rFonts w:ascii="Times New Roman" w:eastAsia="Times New Roman"/>
                <w:sz w:val="21"/>
              </w:rPr>
              <w:t>C61 </w:t>
            </w:r>
            <w:r>
              <w:rPr>
                <w:spacing w:val="-3"/>
                <w:sz w:val="21"/>
              </w:rPr>
              <w:t>范畴。</w:t>
            </w:r>
            <w:r>
              <w:rPr>
                <w:b/>
                <w:spacing w:val="-2"/>
                <w:sz w:val="21"/>
              </w:rPr>
              <w:t>但下列疾病不在保障范围内：</w:t>
            </w:r>
          </w:p>
          <w:p>
            <w:pPr>
              <w:pStyle w:val="TableParagraph"/>
              <w:spacing w:line="289" w:lineRule="exact" w:before="9"/>
              <w:ind w:left="996"/>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996"/>
              <w:jc w:val="both"/>
              <w:rPr>
                <w:b/>
                <w:sz w:val="21"/>
              </w:rPr>
            </w:pPr>
            <w:r>
              <w:rPr>
                <w:b/>
                <w:sz w:val="21"/>
              </w:rPr>
              <w:t>（</w:t>
            </w:r>
            <w:r>
              <w:rPr>
                <w:rFonts w:ascii="Times New Roman" w:eastAsia="Times New Roman"/>
                <w:b/>
                <w:sz w:val="21"/>
              </w:rPr>
              <w:t>2</w:t>
            </w:r>
            <w:r>
              <w:rPr>
                <w:b/>
                <w:sz w:val="21"/>
              </w:rPr>
              <w:t>）</w:t>
            </w:r>
            <w:r>
              <w:rPr>
                <w:rFonts w:ascii="Times New Roman" w:eastAsia="Times New Roman"/>
                <w:b/>
                <w:sz w:val="21"/>
              </w:rPr>
              <w:t>TNM </w:t>
            </w:r>
            <w:r>
              <w:rPr>
                <w:b/>
                <w:sz w:val="21"/>
              </w:rPr>
              <w:t>分期为 </w:t>
            </w:r>
            <w:r>
              <w:rPr>
                <w:rFonts w:ascii="Times New Roman" w:eastAsia="Times New Roman"/>
                <w:b/>
                <w:sz w:val="21"/>
              </w:rPr>
              <w:t>T1N0M0 </w:t>
            </w:r>
            <w:r>
              <w:rPr>
                <w:b/>
                <w:sz w:val="21"/>
              </w:rPr>
              <w:t>期或更轻分期的前列腺癌；</w:t>
            </w:r>
          </w:p>
          <w:p>
            <w:pPr>
              <w:pStyle w:val="TableParagraph"/>
              <w:spacing w:before="21"/>
              <w:ind w:left="996"/>
              <w:jc w:val="both"/>
              <w:rPr>
                <w:b/>
                <w:sz w:val="21"/>
              </w:rPr>
            </w:pPr>
            <w:r>
              <w:rPr>
                <w:b/>
                <w:sz w:val="21"/>
              </w:rPr>
              <w:t>（</w:t>
            </w:r>
            <w:r>
              <w:rPr>
                <w:rFonts w:ascii="Times New Roman" w:eastAsia="Times New Roman"/>
                <w:b/>
                <w:sz w:val="21"/>
              </w:rPr>
              <w:t>3</w:t>
            </w:r>
            <w:r>
              <w:rPr>
                <w:b/>
                <w:sz w:val="21"/>
              </w:rPr>
              <w:t>）继发性恶性肿瘤；</w:t>
            </w:r>
          </w:p>
          <w:p>
            <w:pPr>
              <w:pStyle w:val="TableParagraph"/>
              <w:spacing w:before="21"/>
              <w:ind w:left="996"/>
              <w:jc w:val="both"/>
              <w:rPr>
                <w:b/>
                <w:sz w:val="21"/>
              </w:rPr>
            </w:pPr>
            <w:r>
              <w:rPr>
                <w:b/>
                <w:sz w:val="21"/>
              </w:rPr>
              <w:t>（</w:t>
            </w:r>
            <w:r>
              <w:rPr>
                <w:rFonts w:ascii="Times New Roman" w:eastAsia="Times New Roman"/>
                <w:b/>
                <w:sz w:val="21"/>
              </w:rPr>
              <w:t>4</w:t>
            </w:r>
            <w:r>
              <w:rPr>
                <w:b/>
                <w:sz w:val="21"/>
              </w:rPr>
              <w:t>）感染艾滋病病毒或患艾滋病期间所患恶性肿瘤。</w:t>
            </w:r>
          </w:p>
          <w:p>
            <w:pPr>
              <w:pStyle w:val="TableParagraph"/>
              <w:spacing w:line="312" w:lineRule="exact" w:before="16"/>
              <w:ind w:left="996" w:right="132"/>
              <w:rPr>
                <w:b/>
                <w:sz w:val="21"/>
              </w:rPr>
            </w:pPr>
            <w:r>
              <w:rPr>
                <w:b/>
                <w:sz w:val="21"/>
              </w:rPr>
              <w:t>原发于其他器官组织而浸润、转移至前列腺的恶性肿瘤不在保障范围内。特定癌症责任仅保障男性被保险人在 </w:t>
            </w:r>
            <w:r>
              <w:rPr>
                <w:rFonts w:ascii="Times New Roman" w:eastAsia="Times New Roman"/>
                <w:b/>
                <w:sz w:val="21"/>
              </w:rPr>
              <w:t>18 </w:t>
            </w:r>
            <w:r>
              <w:rPr>
                <w:b/>
                <w:sz w:val="21"/>
              </w:rPr>
              <w:t>周岁之后（含 </w:t>
            </w:r>
            <w:r>
              <w:rPr>
                <w:rFonts w:ascii="Times New Roman" w:eastAsia="Times New Roman"/>
                <w:b/>
                <w:sz w:val="21"/>
              </w:rPr>
              <w:t>18 </w:t>
            </w:r>
            <w:r>
              <w:rPr>
                <w:b/>
                <w:sz w:val="21"/>
              </w:rPr>
              <w:t>周岁）经专科医</w:t>
            </w:r>
          </w:p>
        </w:tc>
      </w:tr>
    </w:tbl>
    <w:p>
      <w:pPr>
        <w:spacing w:after="0" w:line="312" w:lineRule="exact"/>
        <w:rPr>
          <w:sz w:val="21"/>
        </w:rPr>
        <w:sectPr>
          <w:pgSz w:w="11910" w:h="16160"/>
          <w:pgMar w:header="0" w:footer="993" w:top="1420" w:bottom="118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797"/>
        <w:gridCol w:w="8087"/>
      </w:tblGrid>
      <w:tr>
        <w:trPr>
          <w:trHeight w:val="266" w:hRule="atLeast"/>
        </w:trPr>
        <w:tc>
          <w:tcPr>
            <w:tcW w:w="421" w:type="dxa"/>
          </w:tcPr>
          <w:p>
            <w:pPr>
              <w:pStyle w:val="TableParagraph"/>
              <w:ind w:left="0"/>
              <w:rPr>
                <w:rFonts w:ascii="Times New Roman"/>
                <w:sz w:val="18"/>
              </w:rPr>
            </w:pPr>
          </w:p>
        </w:tc>
        <w:tc>
          <w:tcPr>
            <w:tcW w:w="1797" w:type="dxa"/>
          </w:tcPr>
          <w:p>
            <w:pPr>
              <w:pStyle w:val="TableParagraph"/>
              <w:ind w:left="0"/>
              <w:rPr>
                <w:rFonts w:ascii="Times New Roman"/>
                <w:sz w:val="18"/>
              </w:rPr>
            </w:pPr>
          </w:p>
        </w:tc>
        <w:tc>
          <w:tcPr>
            <w:tcW w:w="8087" w:type="dxa"/>
          </w:tcPr>
          <w:p>
            <w:pPr>
              <w:pStyle w:val="TableParagraph"/>
              <w:spacing w:line="202" w:lineRule="exact"/>
              <w:ind w:left="1100"/>
              <w:rPr>
                <w:b/>
                <w:sz w:val="21"/>
              </w:rPr>
            </w:pPr>
            <w:r>
              <w:rPr>
                <w:b/>
                <w:sz w:val="21"/>
              </w:rPr>
              <w:t>生明确诊断初次发生的前列腺癌。</w:t>
            </w:r>
          </w:p>
        </w:tc>
      </w:tr>
      <w:tr>
        <w:trPr>
          <w:trHeight w:val="2771" w:hRule="atLeast"/>
        </w:trPr>
        <w:tc>
          <w:tcPr>
            <w:tcW w:w="421" w:type="dxa"/>
          </w:tcPr>
          <w:p>
            <w:pPr>
              <w:pStyle w:val="TableParagraph"/>
              <w:spacing w:before="39"/>
              <w:ind w:left="200"/>
              <w:rPr>
                <w:rFonts w:ascii="Times New Roman"/>
                <w:sz w:val="21"/>
              </w:rPr>
            </w:pPr>
            <w:r>
              <w:rPr>
                <w:rFonts w:ascii="Times New Roman"/>
                <w:sz w:val="21"/>
              </w:rPr>
              <w:t>3.</w:t>
            </w:r>
          </w:p>
        </w:tc>
        <w:tc>
          <w:tcPr>
            <w:tcW w:w="1797" w:type="dxa"/>
          </w:tcPr>
          <w:p>
            <w:pPr>
              <w:pStyle w:val="TableParagraph"/>
              <w:spacing w:line="267" w:lineRule="exact"/>
              <w:ind w:left="62"/>
              <w:rPr>
                <w:sz w:val="21"/>
              </w:rPr>
            </w:pPr>
            <w:r>
              <w:rPr>
                <w:sz w:val="21"/>
              </w:rPr>
              <w:t>乳腺癌</w:t>
            </w:r>
          </w:p>
        </w:tc>
        <w:tc>
          <w:tcPr>
            <w:tcW w:w="8087" w:type="dxa"/>
          </w:tcPr>
          <w:p>
            <w:pPr>
              <w:pStyle w:val="TableParagraph"/>
              <w:spacing w:line="264" w:lineRule="auto"/>
              <w:ind w:left="1100" w:right="198"/>
              <w:jc w:val="both"/>
              <w:rPr>
                <w:b/>
                <w:sz w:val="21"/>
              </w:rPr>
            </w:pPr>
            <w:r>
              <w:rPr>
                <w:sz w:val="21"/>
              </w:rPr>
              <w:t>是指符合行业恶性肿瘤定义标准，经病理学检查结果明确诊断，临床诊断</w:t>
            </w:r>
            <w:r>
              <w:rPr>
                <w:spacing w:val="-6"/>
                <w:sz w:val="21"/>
              </w:rPr>
              <w:t>属于世界卫生组织《疾病和有关健康问题的国际统计分类</w:t>
            </w:r>
            <w:r>
              <w:rPr>
                <w:spacing w:val="-125"/>
                <w:sz w:val="21"/>
              </w:rPr>
              <w:t>》</w:t>
            </w:r>
            <w:r>
              <w:rPr>
                <w:spacing w:val="-4"/>
                <w:sz w:val="21"/>
              </w:rPr>
              <w:t>（</w:t>
            </w:r>
            <w:r>
              <w:rPr>
                <w:rFonts w:ascii="Times New Roman" w:eastAsia="Times New Roman"/>
                <w:spacing w:val="-4"/>
                <w:sz w:val="21"/>
              </w:rPr>
              <w:t>ICD-10</w:t>
            </w:r>
            <w:r>
              <w:rPr>
                <w:spacing w:val="-4"/>
                <w:sz w:val="21"/>
              </w:rPr>
              <w:t>）</w:t>
            </w:r>
            <w:r>
              <w:rPr>
                <w:spacing w:val="-2"/>
                <w:sz w:val="21"/>
              </w:rPr>
              <w:t>的恶</w:t>
            </w:r>
            <w:r>
              <w:rPr>
                <w:spacing w:val="-14"/>
                <w:sz w:val="21"/>
              </w:rPr>
              <w:t>性肿瘤 </w:t>
            </w:r>
            <w:r>
              <w:rPr>
                <w:rFonts w:ascii="Times New Roman" w:eastAsia="Times New Roman"/>
                <w:sz w:val="21"/>
              </w:rPr>
              <w:t>C50 </w:t>
            </w:r>
            <w:r>
              <w:rPr>
                <w:spacing w:val="-3"/>
                <w:sz w:val="21"/>
              </w:rPr>
              <w:t>范畴。</w:t>
            </w:r>
            <w:r>
              <w:rPr>
                <w:b/>
                <w:spacing w:val="-2"/>
                <w:sz w:val="21"/>
              </w:rPr>
              <w:t>但下列疾病不在保障范围内：</w:t>
            </w:r>
          </w:p>
          <w:p>
            <w:pPr>
              <w:pStyle w:val="TableParagraph"/>
              <w:spacing w:line="289" w:lineRule="exact" w:before="7"/>
              <w:ind w:left="1100"/>
              <w:rPr>
                <w:b/>
                <w:sz w:val="21"/>
              </w:rPr>
            </w:pPr>
            <w:r>
              <w:rPr>
                <w:b/>
                <w:sz w:val="21"/>
              </w:rPr>
              <w:t>（</w:t>
            </w:r>
            <w:r>
              <w:rPr>
                <w:rFonts w:ascii="Times New Roman" w:eastAsia="Times New Roman"/>
                <w:b/>
                <w:sz w:val="21"/>
              </w:rPr>
              <w:t>1</w:t>
            </w:r>
            <w:r>
              <w:rPr>
                <w:b/>
                <w:sz w:val="21"/>
              </w:rPr>
              <w:t>）原位癌；</w:t>
            </w:r>
          </w:p>
          <w:p>
            <w:pPr>
              <w:pStyle w:val="TableParagraph"/>
              <w:spacing w:before="20"/>
              <w:ind w:left="1100"/>
              <w:rPr>
                <w:b/>
                <w:sz w:val="21"/>
              </w:rPr>
            </w:pPr>
            <w:r>
              <w:rPr>
                <w:b/>
                <w:sz w:val="21"/>
              </w:rPr>
              <w:t>（</w:t>
            </w:r>
            <w:r>
              <w:rPr>
                <w:rFonts w:ascii="Times New Roman" w:eastAsia="Times New Roman"/>
                <w:b/>
                <w:sz w:val="21"/>
              </w:rPr>
              <w:t>2</w:t>
            </w:r>
            <w:r>
              <w:rPr>
                <w:b/>
                <w:sz w:val="21"/>
              </w:rPr>
              <w:t>）继发性恶性肿瘤；</w:t>
            </w:r>
          </w:p>
          <w:p>
            <w:pPr>
              <w:pStyle w:val="TableParagraph"/>
              <w:spacing w:before="20"/>
              <w:ind w:left="1100"/>
              <w:rPr>
                <w:b/>
                <w:sz w:val="21"/>
              </w:rPr>
            </w:pPr>
            <w:r>
              <w:rPr>
                <w:b/>
                <w:sz w:val="21"/>
              </w:rPr>
              <w:t>（</w:t>
            </w:r>
            <w:r>
              <w:rPr>
                <w:rFonts w:ascii="Times New Roman" w:eastAsia="Times New Roman"/>
                <w:b/>
                <w:sz w:val="21"/>
              </w:rPr>
              <w:t>3</w:t>
            </w:r>
            <w:r>
              <w:rPr>
                <w:b/>
                <w:sz w:val="21"/>
              </w:rPr>
              <w:t>）感染艾滋病病毒或患艾滋病期间所患恶性肿瘤。</w:t>
            </w:r>
          </w:p>
          <w:p>
            <w:pPr>
              <w:pStyle w:val="TableParagraph"/>
              <w:spacing w:line="312" w:lineRule="exact" w:before="16"/>
              <w:ind w:left="1100" w:right="127"/>
              <w:rPr>
                <w:b/>
                <w:sz w:val="21"/>
              </w:rPr>
            </w:pPr>
            <w:r>
              <w:rPr>
                <w:b/>
                <w:sz w:val="21"/>
              </w:rPr>
              <w:t>原发于其他器官组织而浸润、转移至乳腺的恶性肿瘤不在保障范围内。 特定癌症责任仅保障女性被保险人在 </w:t>
            </w:r>
            <w:r>
              <w:rPr>
                <w:rFonts w:ascii="Times New Roman" w:eastAsia="Times New Roman"/>
                <w:b/>
                <w:sz w:val="21"/>
              </w:rPr>
              <w:t>18 </w:t>
            </w:r>
            <w:r>
              <w:rPr>
                <w:b/>
                <w:sz w:val="21"/>
              </w:rPr>
              <w:t>周岁之后（含 </w:t>
            </w:r>
            <w:r>
              <w:rPr>
                <w:rFonts w:ascii="Times New Roman" w:eastAsia="Times New Roman"/>
                <w:b/>
                <w:sz w:val="21"/>
              </w:rPr>
              <w:t>18 </w:t>
            </w:r>
            <w:r>
              <w:rPr>
                <w:b/>
                <w:sz w:val="21"/>
              </w:rPr>
              <w:t>周岁）经专科医生明确诊断初次发生的乳腺癌。</w:t>
            </w:r>
          </w:p>
        </w:tc>
      </w:tr>
    </w:tbl>
    <w:p>
      <w:pPr>
        <w:pStyle w:val="BodyText"/>
        <w:rPr>
          <w:sz w:val="20"/>
        </w:rPr>
      </w:pPr>
    </w:p>
    <w:p>
      <w:pPr>
        <w:pStyle w:val="BodyText"/>
        <w:rPr>
          <w:sz w:val="20"/>
        </w:rPr>
      </w:pPr>
    </w:p>
    <w:p>
      <w:pPr>
        <w:pStyle w:val="BodyText"/>
        <w:rPr>
          <w:sz w:val="20"/>
        </w:rPr>
      </w:pPr>
    </w:p>
    <w:p>
      <w:pPr>
        <w:pStyle w:val="BodyText"/>
        <w:spacing w:before="7"/>
        <w:rPr>
          <w:sz w:val="26"/>
        </w:rPr>
      </w:pPr>
    </w:p>
    <w:p>
      <w:pPr>
        <w:pStyle w:val="Heading2"/>
        <w:spacing w:before="43"/>
        <w:ind w:left="0" w:right="7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993" w:top="1440" w:bottom="1260" w:left="7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楷体">
    <w:altName w:val="楷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03.410004pt;margin-top:743.285889pt;width:196.45pt;height:13.7pt;mso-position-horizontal-relative:page;mso-position-vertical-relative:page;z-index:-45616" type="#_x0000_t202" filled="false" stroked="false">
          <v:textbox inset="0,0,0,0">
            <w:txbxContent>
              <w:p>
                <w:pPr>
                  <w:pStyle w:val="BodyText"/>
                  <w:spacing w:line="254" w:lineRule="exact"/>
                  <w:ind w:left="20"/>
                </w:pPr>
                <w:r>
                  <w:rPr/>
                  <w:t>太平超疾保重大疾病保险，第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23</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00.770004pt;margin-top:743.285889pt;width:201.75pt;height:13.7pt;mso-position-horizontal-relative:page;mso-position-vertical-relative:page;z-index:-45592" type="#_x0000_t202" filled="false" stroked="false">
          <v:textbox inset="0,0,0,0">
            <w:txbxContent>
              <w:p>
                <w:pPr>
                  <w:pStyle w:val="BodyText"/>
                  <w:spacing w:line="254" w:lineRule="exact"/>
                  <w:ind w:left="20"/>
                </w:pPr>
                <w:r>
                  <w:rPr/>
                  <w:t>太平超疾保重大疾病保险，第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23</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6">
    <w:multiLevelType w:val="hybridMultilevel"/>
    <w:lvl w:ilvl="0">
      <w:start w:val="34"/>
      <w:numFmt w:val="decimal"/>
      <w:lvlText w:val="%1."/>
      <w:lvlJc w:val="left"/>
      <w:pPr>
        <w:ind w:left="446" w:hanging="330"/>
        <w:jc w:val="left"/>
      </w:pPr>
      <w:rPr>
        <w:rFonts w:hint="default" w:ascii="Times New Roman" w:hAnsi="Times New Roman" w:eastAsia="Times New Roman" w:cs="Times New Roman"/>
        <w:w w:val="100"/>
        <w:sz w:val="21"/>
        <w:szCs w:val="21"/>
      </w:rPr>
    </w:lvl>
    <w:lvl w:ilvl="1">
      <w:start w:val="0"/>
      <w:numFmt w:val="bullet"/>
      <w:lvlText w:val="•"/>
      <w:lvlJc w:val="left"/>
      <w:pPr>
        <w:ind w:left="700" w:hanging="330"/>
      </w:pPr>
      <w:rPr>
        <w:rFonts w:hint="default"/>
      </w:rPr>
    </w:lvl>
    <w:lvl w:ilvl="2">
      <w:start w:val="0"/>
      <w:numFmt w:val="bullet"/>
      <w:lvlText w:val="•"/>
      <w:lvlJc w:val="left"/>
      <w:pPr>
        <w:ind w:left="966" w:hanging="330"/>
      </w:pPr>
      <w:rPr>
        <w:rFonts w:hint="default"/>
      </w:rPr>
    </w:lvl>
    <w:lvl w:ilvl="3">
      <w:start w:val="0"/>
      <w:numFmt w:val="bullet"/>
      <w:lvlText w:val="•"/>
      <w:lvlJc w:val="left"/>
      <w:pPr>
        <w:ind w:left="1232" w:hanging="330"/>
      </w:pPr>
      <w:rPr>
        <w:rFonts w:hint="default"/>
      </w:rPr>
    </w:lvl>
    <w:lvl w:ilvl="4">
      <w:start w:val="0"/>
      <w:numFmt w:val="bullet"/>
      <w:lvlText w:val="•"/>
      <w:lvlJc w:val="left"/>
      <w:pPr>
        <w:ind w:left="1498" w:hanging="330"/>
      </w:pPr>
      <w:rPr>
        <w:rFonts w:hint="default"/>
      </w:rPr>
    </w:lvl>
    <w:lvl w:ilvl="5">
      <w:start w:val="0"/>
      <w:numFmt w:val="bullet"/>
      <w:lvlText w:val="•"/>
      <w:lvlJc w:val="left"/>
      <w:pPr>
        <w:ind w:left="1765" w:hanging="330"/>
      </w:pPr>
      <w:rPr>
        <w:rFonts w:hint="default"/>
      </w:rPr>
    </w:lvl>
    <w:lvl w:ilvl="6">
      <w:start w:val="0"/>
      <w:numFmt w:val="bullet"/>
      <w:lvlText w:val="•"/>
      <w:lvlJc w:val="left"/>
      <w:pPr>
        <w:ind w:left="2031" w:hanging="330"/>
      </w:pPr>
      <w:rPr>
        <w:rFonts w:hint="default"/>
      </w:rPr>
    </w:lvl>
    <w:lvl w:ilvl="7">
      <w:start w:val="0"/>
      <w:numFmt w:val="bullet"/>
      <w:lvlText w:val="•"/>
      <w:lvlJc w:val="left"/>
      <w:pPr>
        <w:ind w:left="2297" w:hanging="330"/>
      </w:pPr>
      <w:rPr>
        <w:rFonts w:hint="default"/>
      </w:rPr>
    </w:lvl>
    <w:lvl w:ilvl="8">
      <w:start w:val="0"/>
      <w:numFmt w:val="bullet"/>
      <w:lvlText w:val="•"/>
      <w:lvlJc w:val="left"/>
      <w:pPr>
        <w:ind w:left="2563" w:hanging="330"/>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3">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2" w:hanging="420"/>
      </w:pPr>
      <w:rPr>
        <w:rFonts w:hint="default"/>
      </w:rPr>
    </w:lvl>
    <w:lvl w:ilvl="2">
      <w:start w:val="0"/>
      <w:numFmt w:val="bullet"/>
      <w:lvlText w:val="•"/>
      <w:lvlJc w:val="left"/>
      <w:pPr>
        <w:ind w:left="3725" w:hanging="420"/>
      </w:pPr>
      <w:rPr>
        <w:rFonts w:hint="default"/>
      </w:rPr>
    </w:lvl>
    <w:lvl w:ilvl="3">
      <w:start w:val="0"/>
      <w:numFmt w:val="bullet"/>
      <w:lvlText w:val="•"/>
      <w:lvlJc w:val="left"/>
      <w:pPr>
        <w:ind w:left="4637" w:hanging="420"/>
      </w:pPr>
      <w:rPr>
        <w:rFonts w:hint="default"/>
      </w:rPr>
    </w:lvl>
    <w:lvl w:ilvl="4">
      <w:start w:val="0"/>
      <w:numFmt w:val="bullet"/>
      <w:lvlText w:val="•"/>
      <w:lvlJc w:val="left"/>
      <w:pPr>
        <w:ind w:left="5550"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375" w:hanging="420"/>
      </w:pPr>
      <w:rPr>
        <w:rFonts w:hint="default"/>
      </w:rPr>
    </w:lvl>
    <w:lvl w:ilvl="7">
      <w:start w:val="0"/>
      <w:numFmt w:val="bullet"/>
      <w:lvlText w:val="•"/>
      <w:lvlJc w:val="left"/>
      <w:pPr>
        <w:ind w:left="8288" w:hanging="420"/>
      </w:pPr>
      <w:rPr>
        <w:rFonts w:hint="default"/>
      </w:rPr>
    </w:lvl>
    <w:lvl w:ilvl="8">
      <w:start w:val="0"/>
      <w:numFmt w:val="bullet"/>
      <w:lvlText w:val="•"/>
      <w:lvlJc w:val="left"/>
      <w:pPr>
        <w:ind w:left="9201" w:hanging="420"/>
      </w:pPr>
      <w:rPr>
        <w:rFonts w:hint="default"/>
      </w:rPr>
    </w:lvl>
  </w:abstractNum>
  <w:num w:numId="3">
    <w:abstractNumId w:val="2"/>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802" w:hanging="264"/>
    </w:pPr>
    <w:rPr>
      <w:rFonts w:ascii="宋体" w:hAnsi="宋体" w:eastAsia="宋体" w:cs="宋体"/>
    </w:rPr>
  </w:style>
  <w:style w:styleId="TableParagraph" w:type="paragraph">
    <w:name w:val="Table Paragraph"/>
    <w:basedOn w:val="Normal"/>
    <w:uiPriority w:val="1"/>
    <w:qFormat/>
    <w:pPr>
      <w:ind w:left="18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luwq</dc:creator>
  <dcterms:created xsi:type="dcterms:W3CDTF">2018-10-19T23:51:01Z</dcterms:created>
  <dcterms:modified xsi:type="dcterms:W3CDTF">2018-10-19T23:51:01Z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Microsoft® Word 2010</vt:lpwstr>
  </property>
  <property fmtid="{D5CDD505-2E9C-101B-9397-08002B2CF9AE}" pid="4" name="LastSaved">
    <vt:filetime>2018-10-19T00:00:00Z</vt:filetime>
  </property>
</Properties>
</file>