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
        <w:ind w:left="0" w:right="106" w:firstLine="0"/>
        <w:jc w:val="right"/>
        <w:rPr>
          <w:sz w:val="22"/>
        </w:rPr>
      </w:pPr>
      <w:r>
        <w:rPr/>
        <w:drawing>
          <wp:anchor distT="0" distB="0" distL="0" distR="0" allowOverlap="1" layoutInCell="1" locked="0" behindDoc="0" simplePos="0" relativeHeight="0">
            <wp:simplePos x="0" y="0"/>
            <wp:positionH relativeFrom="page">
              <wp:posOffset>719455</wp:posOffset>
            </wp:positionH>
            <wp:positionV relativeFrom="paragraph">
              <wp:posOffset>224506</wp:posOffset>
            </wp:positionV>
            <wp:extent cx="1330245" cy="44805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30245" cy="448055"/>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5805170</wp:posOffset>
            </wp:positionH>
            <wp:positionV relativeFrom="paragraph">
              <wp:posOffset>206091</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sz w:val="22"/>
        </w:rPr>
        <w:t>中意人寿[2016]疾病保险 022 号</w:t>
      </w:r>
    </w:p>
    <w:p>
      <w:pPr>
        <w:spacing w:after="0"/>
        <w:jc w:val="right"/>
        <w:rPr>
          <w:sz w:val="22"/>
        </w:rPr>
        <w:sectPr>
          <w:type w:val="continuous"/>
          <w:pgSz w:w="11910" w:h="16840"/>
          <w:pgMar w:top="480" w:bottom="280" w:left="600" w:right="540"/>
        </w:sectPr>
      </w:pPr>
    </w:p>
    <w:p>
      <w:pPr>
        <w:pStyle w:val="BodyText"/>
        <w:spacing w:before="10"/>
        <w:rPr>
          <w:sz w:val="27"/>
        </w:rPr>
      </w:pPr>
    </w:p>
    <w:p>
      <w:pPr>
        <w:spacing w:before="0"/>
        <w:ind w:left="0" w:right="0" w:firstLine="0"/>
        <w:jc w:val="right"/>
        <w:rPr>
          <w:b/>
          <w:sz w:val="32"/>
        </w:rPr>
      </w:pPr>
      <w:r>
        <w:rPr>
          <w:b/>
          <w:sz w:val="32"/>
        </w:rPr>
        <w:t>阅 读 提 示</w:t>
      </w:r>
    </w:p>
    <w:p>
      <w:pPr>
        <w:spacing w:before="10"/>
        <w:ind w:left="532" w:right="0" w:firstLine="0"/>
        <w:jc w:val="left"/>
        <w:rPr>
          <w:sz w:val="22"/>
        </w:rPr>
      </w:pPr>
      <w:r>
        <w:rPr/>
        <w:br w:type="column"/>
      </w:r>
      <w:r>
        <w:rPr>
          <w:sz w:val="22"/>
        </w:rPr>
        <w:t>请扫描以查询验证条款</w:t>
      </w:r>
    </w:p>
    <w:p>
      <w:pPr>
        <w:spacing w:after="0"/>
        <w:jc w:val="left"/>
        <w:rPr>
          <w:sz w:val="22"/>
        </w:rPr>
        <w:sectPr>
          <w:type w:val="continuous"/>
          <w:pgSz w:w="11910" w:h="16840"/>
          <w:pgMar w:top="480" w:bottom="280" w:left="600" w:right="540"/>
          <w:cols w:num="2" w:equalWidth="0">
            <w:col w:w="6275" w:space="1204"/>
            <w:col w:w="3291"/>
          </w:cols>
        </w:sectPr>
      </w:pPr>
    </w:p>
    <w:p>
      <w:pPr>
        <w:pStyle w:val="Heading2"/>
        <w:spacing w:line="240" w:lineRule="auto" w:before="105"/>
        <w:ind w:left="1365" w:right="1563" w:firstLine="0"/>
        <w:jc w:val="center"/>
      </w:pPr>
      <w:r>
        <w:rPr/>
        <w:pict>
          <v:group style="position:absolute;margin-left:35.040001pt;margin-top:644.109985pt;width:495.85pt;height:1pt;mso-position-horizontal-relative:page;mso-position-vertical-relative:page;z-index:-26440" coordorigin="701,12882" coordsize="9917,20">
            <v:shape style="position:absolute;left:700;top:12882;width:20;height:20" type="#_x0000_t75" stroked="false">
              <v:imagedata r:id="rId7" o:title=""/>
            </v:shape>
            <v:shape style="position:absolute;left:700;top:12882;width:9917;height:20" type="#_x0000_t75" stroked="false">
              <v:imagedata r:id="rId8" o:title=""/>
            </v:shape>
            <w10:wrap type="none"/>
          </v:group>
        </w:pict>
      </w:r>
      <w:r>
        <w:rPr/>
        <w:t>本阅读提示是为了帮助您更好理解条款，对本附加合同内容的解释以条款正文为准。</w:t>
      </w:r>
    </w:p>
    <w:p>
      <w:pPr>
        <w:pStyle w:val="BodyText"/>
        <w:spacing w:before="2"/>
        <w:rPr>
          <w:b/>
          <w:sz w:val="18"/>
        </w:rPr>
      </w:pPr>
    </w:p>
    <w:p>
      <w:pPr>
        <w:tabs>
          <w:tab w:pos="953" w:val="left" w:leader="none"/>
        </w:tabs>
        <w:spacing w:line="281" w:lineRule="exact" w:before="0"/>
        <w:ind w:left="532" w:right="0" w:firstLine="0"/>
        <w:jc w:val="left"/>
        <w:rPr>
          <w:b/>
          <w:sz w:val="21"/>
        </w:rPr>
      </w:pPr>
      <w:r>
        <w:rPr>
          <w:rFonts w:ascii="Symbol" w:hAnsi="Symbol" w:eastAsia="Symbol"/>
          <w:b/>
          <w:sz w:val="21"/>
        </w:rPr>
        <w:t></w:t>
      </w:r>
      <w:r>
        <w:rPr>
          <w:rFonts w:ascii="Times New Roman" w:hAnsi="Times New Roman" w:eastAsia="Times New Roman"/>
          <w:sz w:val="21"/>
        </w:rPr>
        <w:tab/>
      </w:r>
      <w:r>
        <w:rPr>
          <w:b/>
          <w:sz w:val="21"/>
        </w:rPr>
        <w:t>您拥有的重要权益</w:t>
      </w:r>
    </w:p>
    <w:p>
      <w:pPr>
        <w:pStyle w:val="ListParagraph"/>
        <w:numPr>
          <w:ilvl w:val="0"/>
          <w:numId w:val="1"/>
        </w:numPr>
        <w:tabs>
          <w:tab w:pos="1373" w:val="left" w:leader="none"/>
          <w:tab w:pos="1374" w:val="left" w:leader="none"/>
          <w:tab w:pos="9781" w:val="right" w:leader="dot"/>
        </w:tabs>
        <w:spacing w:line="272" w:lineRule="exact" w:before="0" w:after="0"/>
        <w:ind w:left="1373" w:right="0" w:hanging="413"/>
        <w:jc w:val="left"/>
        <w:rPr>
          <w:rFonts w:ascii="Times New Roman" w:eastAsia="Times New Roman"/>
          <w:sz w:val="21"/>
        </w:rPr>
      </w:pPr>
      <w:r>
        <w:rPr>
          <w:sz w:val="21"/>
        </w:rPr>
        <w:t>犹豫</w:t>
      </w:r>
      <w:r>
        <w:rPr>
          <w:spacing w:val="-3"/>
          <w:sz w:val="21"/>
        </w:rPr>
        <w:t>期</w:t>
      </w:r>
      <w:r>
        <w:rPr>
          <w:sz w:val="21"/>
        </w:rPr>
        <w:t>内</w:t>
      </w:r>
      <w:r>
        <w:rPr>
          <w:spacing w:val="-3"/>
          <w:sz w:val="21"/>
        </w:rPr>
        <w:t>您</w:t>
      </w:r>
      <w:r>
        <w:rPr>
          <w:sz w:val="21"/>
        </w:rPr>
        <w:t>若</w:t>
      </w:r>
      <w:r>
        <w:rPr>
          <w:spacing w:val="-3"/>
          <w:sz w:val="21"/>
        </w:rPr>
        <w:t>要</w:t>
      </w:r>
      <w:r>
        <w:rPr>
          <w:sz w:val="21"/>
        </w:rPr>
        <w:t>求</w:t>
      </w:r>
      <w:r>
        <w:rPr>
          <w:spacing w:val="-3"/>
          <w:sz w:val="21"/>
        </w:rPr>
        <w:t>解</w:t>
      </w:r>
      <w:r>
        <w:rPr>
          <w:sz w:val="21"/>
        </w:rPr>
        <w:t>除</w:t>
      </w:r>
      <w:r>
        <w:rPr>
          <w:spacing w:val="-3"/>
          <w:sz w:val="21"/>
        </w:rPr>
        <w:t>合</w:t>
      </w:r>
      <w:r>
        <w:rPr>
          <w:sz w:val="21"/>
        </w:rPr>
        <w:t>同，</w:t>
      </w:r>
      <w:r>
        <w:rPr>
          <w:spacing w:val="-3"/>
          <w:sz w:val="21"/>
        </w:rPr>
        <w:t>我</w:t>
      </w:r>
      <w:r>
        <w:rPr>
          <w:sz w:val="21"/>
        </w:rPr>
        <w:t>们</w:t>
      </w:r>
      <w:r>
        <w:rPr>
          <w:spacing w:val="-3"/>
          <w:sz w:val="21"/>
        </w:rPr>
        <w:t>仅</w:t>
      </w:r>
      <w:r>
        <w:rPr>
          <w:sz w:val="21"/>
        </w:rPr>
        <w:t>扣</w:t>
      </w:r>
      <w:r>
        <w:rPr>
          <w:spacing w:val="-3"/>
          <w:sz w:val="21"/>
        </w:rPr>
        <w:t>除</w:t>
      </w:r>
      <w:r>
        <w:rPr>
          <w:sz w:val="21"/>
        </w:rPr>
        <w:t>工</w:t>
      </w:r>
      <w:r>
        <w:rPr>
          <w:spacing w:val="-3"/>
          <w:sz w:val="21"/>
        </w:rPr>
        <w:t>本</w:t>
      </w:r>
      <w:r>
        <w:rPr>
          <w:sz w:val="21"/>
        </w:rPr>
        <w:t>费</w:t>
        <w:tab/>
      </w:r>
      <w:r>
        <w:rPr>
          <w:rFonts w:ascii="Times New Roman" w:eastAsia="Times New Roman"/>
          <w:sz w:val="21"/>
        </w:rPr>
        <w:t>1.5</w:t>
      </w:r>
    </w:p>
    <w:p>
      <w:pPr>
        <w:pStyle w:val="ListParagraph"/>
        <w:numPr>
          <w:ilvl w:val="0"/>
          <w:numId w:val="1"/>
        </w:numPr>
        <w:tabs>
          <w:tab w:pos="1373" w:val="left" w:leader="none"/>
          <w:tab w:pos="1374" w:val="left" w:leader="none"/>
          <w:tab w:pos="9781" w:val="right" w:leader="dot"/>
        </w:tabs>
        <w:spacing w:line="272" w:lineRule="exact" w:before="0" w:after="0"/>
        <w:ind w:left="1373" w:right="0" w:hanging="413"/>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有</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2.4</w:t>
      </w:r>
    </w:p>
    <w:p>
      <w:pPr>
        <w:pStyle w:val="ListParagraph"/>
        <w:numPr>
          <w:ilvl w:val="0"/>
          <w:numId w:val="1"/>
        </w:numPr>
        <w:tabs>
          <w:tab w:pos="1373" w:val="left" w:leader="none"/>
          <w:tab w:pos="1374" w:val="left" w:leader="none"/>
          <w:tab w:pos="9831" w:val="right" w:leader="dot"/>
        </w:tabs>
        <w:spacing w:line="281" w:lineRule="exact" w:before="0" w:after="0"/>
        <w:ind w:left="1373" w:right="0" w:hanging="413"/>
        <w:jc w:val="left"/>
        <w:rPr>
          <w:rFonts w:ascii="Times New Roman" w:eastAsia="Times New Roman"/>
          <w:sz w:val="21"/>
        </w:rPr>
      </w:pPr>
      <w:r>
        <w:rPr>
          <w:sz w:val="21"/>
        </w:rPr>
        <w:t>您有</w:t>
      </w:r>
      <w:r>
        <w:rPr>
          <w:spacing w:val="-3"/>
          <w:sz w:val="21"/>
        </w:rPr>
        <w:t>权</w:t>
      </w:r>
      <w:r>
        <w:rPr>
          <w:sz w:val="21"/>
        </w:rPr>
        <w:t>解</w:t>
      </w:r>
      <w:r>
        <w:rPr>
          <w:spacing w:val="-3"/>
          <w:sz w:val="21"/>
        </w:rPr>
        <w:t>除</w:t>
      </w:r>
      <w:r>
        <w:rPr>
          <w:sz w:val="21"/>
        </w:rPr>
        <w:t>合同</w:t>
        <w:tab/>
      </w:r>
      <w:r>
        <w:rPr>
          <w:rFonts w:ascii="Times New Roman" w:eastAsia="Times New Roman"/>
          <w:sz w:val="21"/>
        </w:rPr>
        <w:t>7.1</w:t>
      </w:r>
    </w:p>
    <w:p>
      <w:pPr>
        <w:pStyle w:val="Heading2"/>
        <w:tabs>
          <w:tab w:pos="953" w:val="left" w:leader="none"/>
        </w:tabs>
        <w:spacing w:line="283" w:lineRule="exact" w:before="223"/>
        <w:ind w:left="532" w:firstLine="0"/>
      </w:pPr>
      <w:r>
        <w:rPr>
          <w:rFonts w:ascii="Symbol" w:hAnsi="Symbol" w:eastAsia="Symbol"/>
        </w:rPr>
        <w:t></w:t>
      </w:r>
      <w:r>
        <w:rPr>
          <w:rFonts w:ascii="Times New Roman" w:hAnsi="Times New Roman" w:eastAsia="Times New Roman"/>
          <w:b w:val="0"/>
        </w:rPr>
        <w:tab/>
      </w:r>
      <w:r>
        <w:rPr>
          <w:spacing w:val="-1"/>
        </w:rPr>
        <w:t>您应当特别注意的事项</w:t>
      </w:r>
    </w:p>
    <w:p>
      <w:pPr>
        <w:pStyle w:val="ListParagraph"/>
        <w:numPr>
          <w:ilvl w:val="0"/>
          <w:numId w:val="1"/>
        </w:numPr>
        <w:tabs>
          <w:tab w:pos="1373" w:val="left" w:leader="none"/>
          <w:tab w:pos="1374" w:val="left" w:leader="none"/>
          <w:tab w:pos="9832" w:val="right" w:leader="dot"/>
        </w:tabs>
        <w:spacing w:line="272" w:lineRule="exact" w:before="0" w:after="0"/>
        <w:ind w:left="1373" w:right="0" w:hanging="413"/>
        <w:jc w:val="left"/>
        <w:rPr>
          <w:rFonts w:ascii="Times New Roman" w:eastAsia="Times New Roman"/>
          <w:sz w:val="21"/>
        </w:rPr>
      </w:pPr>
      <w:r>
        <w:rPr>
          <w:sz w:val="21"/>
        </w:rPr>
        <w:t>等待</w:t>
      </w:r>
      <w:r>
        <w:rPr>
          <w:spacing w:val="-3"/>
          <w:sz w:val="21"/>
        </w:rPr>
        <w:t>期</w:t>
      </w:r>
      <w:r>
        <w:rPr>
          <w:sz w:val="21"/>
        </w:rPr>
        <w:t>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2.3</w:t>
      </w:r>
    </w:p>
    <w:p>
      <w:pPr>
        <w:pStyle w:val="ListParagraph"/>
        <w:numPr>
          <w:ilvl w:val="0"/>
          <w:numId w:val="1"/>
        </w:numPr>
        <w:tabs>
          <w:tab w:pos="1373" w:val="left" w:leader="none"/>
          <w:tab w:pos="1374" w:val="left" w:leader="none"/>
          <w:tab w:pos="9832" w:val="right" w:leader="dot"/>
        </w:tabs>
        <w:spacing w:line="273" w:lineRule="exact" w:before="0" w:after="0"/>
        <w:ind w:left="1373" w:right="0" w:hanging="413"/>
        <w:jc w:val="left"/>
        <w:rPr>
          <w:rFonts w:ascii="Times New Roman" w:eastAsia="Times New Roman"/>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r>
      <w:r>
        <w:rPr>
          <w:rFonts w:ascii="Times New Roman" w:eastAsia="Times New Roman"/>
          <w:sz w:val="21"/>
        </w:rPr>
        <w:t>2.5</w:t>
      </w:r>
    </w:p>
    <w:p>
      <w:pPr>
        <w:pStyle w:val="ListParagraph"/>
        <w:numPr>
          <w:ilvl w:val="0"/>
          <w:numId w:val="1"/>
        </w:numPr>
        <w:tabs>
          <w:tab w:pos="1373" w:val="left" w:leader="none"/>
          <w:tab w:pos="1374" w:val="left" w:leader="none"/>
          <w:tab w:pos="9831" w:val="right" w:leader="dot"/>
        </w:tabs>
        <w:spacing w:line="273" w:lineRule="exact" w:before="0" w:after="0"/>
        <w:ind w:left="1373" w:right="0" w:hanging="413"/>
        <w:jc w:val="left"/>
        <w:rPr>
          <w:rFonts w:ascii="Times New Roman" w:eastAsia="Times New Roman"/>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7.1</w:t>
      </w:r>
    </w:p>
    <w:p>
      <w:pPr>
        <w:pStyle w:val="ListParagraph"/>
        <w:numPr>
          <w:ilvl w:val="0"/>
          <w:numId w:val="1"/>
        </w:numPr>
        <w:tabs>
          <w:tab w:pos="1373" w:val="left" w:leader="none"/>
          <w:tab w:pos="1374" w:val="left" w:leader="none"/>
          <w:tab w:pos="9832" w:val="right" w:leader="dot"/>
        </w:tabs>
        <w:spacing w:line="271" w:lineRule="exact" w:before="0" w:after="0"/>
        <w:ind w:left="1373" w:right="0" w:hanging="413"/>
        <w:jc w:val="left"/>
        <w:rPr>
          <w:rFonts w:ascii="Times New Roman" w:eastAsia="Times New Roman"/>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附</w:t>
      </w:r>
      <w:r>
        <w:rPr>
          <w:sz w:val="21"/>
        </w:rPr>
        <w:t>加</w:t>
      </w:r>
      <w:r>
        <w:rPr>
          <w:spacing w:val="-3"/>
          <w:sz w:val="21"/>
        </w:rPr>
        <w:t>合</w:t>
      </w:r>
      <w:r>
        <w:rPr>
          <w:sz w:val="21"/>
        </w:rPr>
        <w:t>同效</w:t>
      </w:r>
      <w:r>
        <w:rPr>
          <w:spacing w:val="-3"/>
          <w:sz w:val="21"/>
        </w:rPr>
        <w:t>力</w:t>
      </w:r>
      <w:r>
        <w:rPr>
          <w:sz w:val="21"/>
        </w:rPr>
        <w:t>终止</w:t>
        <w:tab/>
      </w:r>
      <w:r>
        <w:rPr>
          <w:rFonts w:ascii="Times New Roman" w:eastAsia="Times New Roman"/>
          <w:sz w:val="21"/>
        </w:rPr>
        <w:t>7.2</w:t>
      </w:r>
    </w:p>
    <w:p>
      <w:pPr>
        <w:pStyle w:val="ListParagraph"/>
        <w:numPr>
          <w:ilvl w:val="0"/>
          <w:numId w:val="1"/>
        </w:numPr>
        <w:tabs>
          <w:tab w:pos="1373" w:val="left" w:leader="none"/>
          <w:tab w:pos="1374" w:val="left" w:leader="none"/>
          <w:tab w:pos="9884" w:val="right" w:leader="dot"/>
        </w:tabs>
        <w:spacing w:line="272" w:lineRule="exact" w:before="0" w:after="0"/>
        <w:ind w:left="1373" w:right="0" w:hanging="413"/>
        <w:jc w:val="left"/>
        <w:rPr>
          <w:rFonts w:ascii="Times New Roman" w:eastAsia="Times New Roman"/>
          <w:sz w:val="21"/>
        </w:rPr>
      </w:pPr>
      <w:r>
        <w:rPr>
          <w:sz w:val="21"/>
        </w:rPr>
        <w:t>保险</w:t>
      </w:r>
      <w:r>
        <w:rPr>
          <w:spacing w:val="-3"/>
          <w:sz w:val="21"/>
        </w:rPr>
        <w:t>条</w:t>
      </w:r>
      <w:r>
        <w:rPr>
          <w:sz w:val="21"/>
        </w:rPr>
        <w:t>款</w:t>
      </w:r>
      <w:r>
        <w:rPr>
          <w:spacing w:val="-3"/>
          <w:sz w:val="21"/>
        </w:rPr>
        <w:t>有</w:t>
      </w:r>
      <w:r>
        <w:rPr>
          <w:sz w:val="21"/>
        </w:rPr>
        <w:t>关</w:t>
      </w:r>
      <w:r>
        <w:rPr>
          <w:spacing w:val="-3"/>
          <w:sz w:val="21"/>
        </w:rPr>
        <w:t>重</w:t>
      </w:r>
      <w:r>
        <w:rPr>
          <w:sz w:val="21"/>
        </w:rPr>
        <w:t>大</w:t>
      </w:r>
      <w:r>
        <w:rPr>
          <w:spacing w:val="-3"/>
          <w:sz w:val="21"/>
        </w:rPr>
        <w:t>疾</w:t>
      </w:r>
      <w:r>
        <w:rPr>
          <w:sz w:val="21"/>
        </w:rPr>
        <w:t>病</w:t>
      </w:r>
      <w:r>
        <w:rPr>
          <w:spacing w:val="-3"/>
          <w:sz w:val="21"/>
        </w:rPr>
        <w:t>的</w:t>
      </w:r>
      <w:r>
        <w:rPr>
          <w:sz w:val="21"/>
        </w:rPr>
        <w:t>释义</w:t>
      </w:r>
      <w:r>
        <w:rPr>
          <w:spacing w:val="-3"/>
          <w:sz w:val="21"/>
        </w:rPr>
        <w:t>，</w:t>
      </w:r>
      <w:r>
        <w:rPr>
          <w:sz w:val="21"/>
        </w:rPr>
        <w:t>请</w:t>
      </w:r>
      <w:r>
        <w:rPr>
          <w:spacing w:val="-3"/>
          <w:sz w:val="21"/>
        </w:rPr>
        <w:t>您</w:t>
      </w:r>
      <w:r>
        <w:rPr>
          <w:sz w:val="21"/>
        </w:rPr>
        <w:t>留意</w:t>
        <w:tab/>
      </w:r>
      <w:r>
        <w:rPr>
          <w:rFonts w:ascii="Times New Roman" w:eastAsia="Times New Roman"/>
          <w:sz w:val="21"/>
        </w:rPr>
        <w:t>9</w:t>
      </w:r>
    </w:p>
    <w:p>
      <w:pPr>
        <w:pStyle w:val="ListParagraph"/>
        <w:numPr>
          <w:ilvl w:val="0"/>
          <w:numId w:val="1"/>
        </w:numPr>
        <w:tabs>
          <w:tab w:pos="1373" w:val="left" w:leader="none"/>
          <w:tab w:pos="1374" w:val="left" w:leader="none"/>
          <w:tab w:pos="9832" w:val="right" w:leader="dot"/>
        </w:tabs>
        <w:spacing w:line="282" w:lineRule="exact" w:before="0" w:after="0"/>
        <w:ind w:left="1373" w:right="0" w:hanging="413"/>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请</w:t>
      </w:r>
      <w:r>
        <w:rPr>
          <w:sz w:val="21"/>
        </w:rPr>
        <w:t>您</w:t>
      </w:r>
      <w:r>
        <w:rPr>
          <w:spacing w:val="-3"/>
          <w:sz w:val="21"/>
        </w:rPr>
        <w:t>注</w:t>
      </w:r>
      <w:r>
        <w:rPr>
          <w:sz w:val="21"/>
        </w:rPr>
        <w:t>意</w:t>
        <w:tab/>
      </w:r>
      <w:r>
        <w:rPr>
          <w:rFonts w:ascii="Times New Roman" w:eastAsia="Times New Roman"/>
          <w:sz w:val="21"/>
        </w:rPr>
        <w:t>10</w:t>
      </w:r>
    </w:p>
    <w:p>
      <w:pPr>
        <w:tabs>
          <w:tab w:pos="953" w:val="left" w:leader="none"/>
        </w:tabs>
        <w:spacing w:before="340"/>
        <w:ind w:left="532" w:right="0" w:firstLine="0"/>
        <w:jc w:val="left"/>
        <w:rPr>
          <w:b/>
          <w:sz w:val="21"/>
        </w:rPr>
      </w:pPr>
      <w:r>
        <w:rPr>
          <w:rFonts w:ascii="Symbol" w:hAnsi="Symbol" w:eastAsia="Symbol"/>
          <w:b/>
          <w:sz w:val="21"/>
        </w:rPr>
        <w:t></w:t>
      </w:r>
      <w:r>
        <w:rPr>
          <w:rFonts w:ascii="Times New Roman" w:hAnsi="Times New Roman" w:eastAsia="Times New Roman"/>
          <w:sz w:val="21"/>
        </w:rPr>
        <w:tab/>
      </w:r>
      <w:r>
        <w:rPr>
          <w:b/>
          <w:spacing w:val="-3"/>
          <w:sz w:val="21"/>
        </w:rPr>
        <w:t>条款是保险合同的重要内容，为充分保障您的权益，请您仔细阅读本条款。</w:t>
      </w:r>
    </w:p>
    <w:p>
      <w:pPr>
        <w:tabs>
          <w:tab w:pos="953" w:val="left" w:leader="none"/>
        </w:tabs>
        <w:spacing w:before="342" w:after="14"/>
        <w:ind w:left="532" w:right="0" w:firstLine="0"/>
        <w:jc w:val="left"/>
        <w:rPr>
          <w:b/>
          <w:sz w:val="21"/>
        </w:rPr>
      </w:pPr>
      <w:r>
        <w:rPr>
          <w:rFonts w:ascii="Symbol" w:hAnsi="Symbol" w:eastAsia="Symbol"/>
          <w:b/>
          <w:sz w:val="21"/>
        </w:rPr>
        <w:t></w:t>
      </w:r>
      <w:r>
        <w:rPr>
          <w:rFonts w:ascii="Times New Roman" w:hAnsi="Times New Roman" w:eastAsia="Times New Roman"/>
          <w:sz w:val="21"/>
        </w:rPr>
        <w:tab/>
      </w:r>
      <w:r>
        <w:rPr>
          <w:b/>
          <w:sz w:val="21"/>
        </w:rPr>
        <w:t>条款目录</w:t>
      </w: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8"/>
        <w:gridCol w:w="3324"/>
        <w:gridCol w:w="3533"/>
      </w:tblGrid>
      <w:tr>
        <w:trPr>
          <w:trHeight w:val="461" w:hRule="atLeast"/>
        </w:trPr>
        <w:tc>
          <w:tcPr>
            <w:tcW w:w="3058" w:type="dxa"/>
            <w:tcBorders>
              <w:top w:val="single" w:sz="8" w:space="0" w:color="000000"/>
              <w:left w:val="single" w:sz="8" w:space="0" w:color="000000"/>
            </w:tcBorders>
          </w:tcPr>
          <w:p>
            <w:pPr>
              <w:pStyle w:val="TableParagraph"/>
              <w:spacing w:before="80"/>
              <w:ind w:left="107"/>
              <w:rPr>
                <w:b/>
                <w:sz w:val="21"/>
              </w:rPr>
            </w:pPr>
            <w:r>
              <w:rPr>
                <w:rFonts w:ascii="Times New Roman" w:eastAsia="Times New Roman"/>
                <w:b/>
                <w:sz w:val="21"/>
              </w:rPr>
              <w:t>1.  </w:t>
            </w:r>
            <w:r>
              <w:rPr>
                <w:b/>
                <w:sz w:val="21"/>
              </w:rPr>
              <w:t>您与我们订立的合同</w:t>
            </w:r>
          </w:p>
        </w:tc>
        <w:tc>
          <w:tcPr>
            <w:tcW w:w="3324" w:type="dxa"/>
            <w:tcBorders>
              <w:top w:val="single" w:sz="8" w:space="0" w:color="000000"/>
            </w:tcBorders>
          </w:tcPr>
          <w:p>
            <w:pPr>
              <w:pStyle w:val="TableParagraph"/>
              <w:spacing w:before="80"/>
              <w:ind w:left="329"/>
              <w:rPr>
                <w:b/>
                <w:sz w:val="21"/>
              </w:rPr>
            </w:pPr>
            <w:r>
              <w:rPr>
                <w:rFonts w:ascii="Times New Roman" w:eastAsia="Times New Roman"/>
                <w:b/>
                <w:sz w:val="21"/>
              </w:rPr>
              <w:t>3.  </w:t>
            </w:r>
            <w:r>
              <w:rPr>
                <w:b/>
                <w:sz w:val="21"/>
              </w:rPr>
              <w:t>保险金的申请</w:t>
            </w:r>
          </w:p>
        </w:tc>
        <w:tc>
          <w:tcPr>
            <w:tcW w:w="3533" w:type="dxa"/>
            <w:tcBorders>
              <w:top w:val="single" w:sz="8" w:space="0" w:color="000000"/>
              <w:right w:val="single" w:sz="8" w:space="0" w:color="000000"/>
            </w:tcBorders>
          </w:tcPr>
          <w:p>
            <w:pPr>
              <w:pStyle w:val="TableParagraph"/>
              <w:spacing w:before="80"/>
              <w:ind w:left="807"/>
              <w:rPr>
                <w:sz w:val="21"/>
              </w:rPr>
            </w:pPr>
            <w:r>
              <w:rPr>
                <w:rFonts w:ascii="Times New Roman" w:eastAsia="Times New Roman"/>
                <w:sz w:val="21"/>
              </w:rPr>
              <w:t>6.2 </w:t>
            </w:r>
            <w:r>
              <w:rPr>
                <w:sz w:val="21"/>
              </w:rPr>
              <w:t>附加合同效力的恢复</w:t>
            </w:r>
          </w:p>
        </w:tc>
      </w:tr>
      <w:tr>
        <w:trPr>
          <w:trHeight w:val="411" w:hRule="atLeast"/>
        </w:trPr>
        <w:tc>
          <w:tcPr>
            <w:tcW w:w="3058" w:type="dxa"/>
            <w:tcBorders>
              <w:left w:val="single" w:sz="8" w:space="0" w:color="000000"/>
            </w:tcBorders>
          </w:tcPr>
          <w:p>
            <w:pPr>
              <w:pStyle w:val="TableParagraph"/>
              <w:spacing w:before="32"/>
              <w:rPr>
                <w:sz w:val="21"/>
              </w:rPr>
            </w:pPr>
            <w:r>
              <w:rPr>
                <w:rFonts w:ascii="Times New Roman" w:eastAsia="Times New Roman"/>
                <w:sz w:val="21"/>
              </w:rPr>
              <w:t>1.1 </w:t>
            </w:r>
            <w:r>
              <w:rPr>
                <w:sz w:val="21"/>
              </w:rPr>
              <w:t>合同构成</w:t>
            </w:r>
          </w:p>
        </w:tc>
        <w:tc>
          <w:tcPr>
            <w:tcW w:w="3324" w:type="dxa"/>
          </w:tcPr>
          <w:p>
            <w:pPr>
              <w:pStyle w:val="TableParagraph"/>
              <w:spacing w:before="32"/>
              <w:ind w:left="751"/>
              <w:rPr>
                <w:sz w:val="21"/>
              </w:rPr>
            </w:pPr>
            <w:r>
              <w:rPr>
                <w:rFonts w:ascii="Times New Roman" w:eastAsia="Times New Roman"/>
                <w:sz w:val="21"/>
              </w:rPr>
              <w:t>3.1 </w:t>
            </w:r>
            <w:r>
              <w:rPr>
                <w:sz w:val="21"/>
              </w:rPr>
              <w:t>保险金的申请</w:t>
            </w:r>
          </w:p>
        </w:tc>
        <w:tc>
          <w:tcPr>
            <w:tcW w:w="3533" w:type="dxa"/>
            <w:tcBorders>
              <w:right w:val="single" w:sz="8" w:space="0" w:color="000000"/>
            </w:tcBorders>
          </w:tcPr>
          <w:p>
            <w:pPr>
              <w:pStyle w:val="TableParagraph"/>
              <w:spacing w:before="32"/>
              <w:ind w:left="385"/>
              <w:rPr>
                <w:b/>
                <w:sz w:val="21"/>
              </w:rPr>
            </w:pPr>
            <w:r>
              <w:rPr>
                <w:rFonts w:ascii="Times New Roman" w:eastAsia="Times New Roman"/>
                <w:b/>
                <w:sz w:val="21"/>
              </w:rPr>
              <w:t>7.  </w:t>
            </w:r>
            <w:r>
              <w:rPr>
                <w:b/>
                <w:sz w:val="21"/>
              </w:rPr>
              <w:t>合同解除与效力终止</w:t>
            </w:r>
          </w:p>
        </w:tc>
      </w:tr>
      <w:tr>
        <w:trPr>
          <w:trHeight w:val="410" w:hRule="atLeast"/>
        </w:trPr>
        <w:tc>
          <w:tcPr>
            <w:tcW w:w="3058" w:type="dxa"/>
            <w:tcBorders>
              <w:left w:val="single" w:sz="8" w:space="0" w:color="000000"/>
            </w:tcBorders>
          </w:tcPr>
          <w:p>
            <w:pPr>
              <w:pStyle w:val="TableParagraph"/>
              <w:rPr>
                <w:sz w:val="21"/>
              </w:rPr>
            </w:pPr>
            <w:r>
              <w:rPr>
                <w:rFonts w:ascii="Times New Roman" w:eastAsia="Times New Roman"/>
                <w:sz w:val="21"/>
              </w:rPr>
              <w:t>1.2 </w:t>
            </w:r>
            <w:r>
              <w:rPr>
                <w:sz w:val="21"/>
              </w:rPr>
              <w:t>保险合同成立与生效</w:t>
            </w:r>
          </w:p>
        </w:tc>
        <w:tc>
          <w:tcPr>
            <w:tcW w:w="3324" w:type="dxa"/>
          </w:tcPr>
          <w:p>
            <w:pPr>
              <w:pStyle w:val="TableParagraph"/>
              <w:ind w:left="751"/>
              <w:rPr>
                <w:sz w:val="21"/>
              </w:rPr>
            </w:pPr>
            <w:r>
              <w:rPr>
                <w:rFonts w:ascii="Times New Roman" w:eastAsia="Times New Roman"/>
                <w:sz w:val="21"/>
              </w:rPr>
              <w:t>3.2 </w:t>
            </w:r>
            <w:r>
              <w:rPr>
                <w:sz w:val="21"/>
              </w:rPr>
              <w:t>保险金的给付</w:t>
            </w:r>
          </w:p>
        </w:tc>
        <w:tc>
          <w:tcPr>
            <w:tcW w:w="3533" w:type="dxa"/>
            <w:tcBorders>
              <w:right w:val="single" w:sz="8" w:space="0" w:color="000000"/>
            </w:tcBorders>
          </w:tcPr>
          <w:p>
            <w:pPr>
              <w:pStyle w:val="TableParagraph"/>
              <w:ind w:left="807"/>
              <w:rPr>
                <w:sz w:val="21"/>
              </w:rPr>
            </w:pPr>
            <w:r>
              <w:rPr>
                <w:rFonts w:ascii="Times New Roman" w:eastAsia="Times New Roman"/>
                <w:sz w:val="21"/>
              </w:rPr>
              <w:t>7.1 </w:t>
            </w:r>
            <w:r>
              <w:rPr>
                <w:sz w:val="21"/>
              </w:rPr>
              <w:t>解除合同的手续及风险</w:t>
            </w:r>
          </w:p>
        </w:tc>
      </w:tr>
      <w:tr>
        <w:trPr>
          <w:trHeight w:val="410" w:hRule="atLeast"/>
        </w:trPr>
        <w:tc>
          <w:tcPr>
            <w:tcW w:w="3058" w:type="dxa"/>
            <w:tcBorders>
              <w:left w:val="single" w:sz="8" w:space="0" w:color="000000"/>
            </w:tcBorders>
          </w:tcPr>
          <w:p>
            <w:pPr>
              <w:pStyle w:val="TableParagraph"/>
              <w:rPr>
                <w:sz w:val="21"/>
              </w:rPr>
            </w:pPr>
            <w:r>
              <w:rPr>
                <w:rFonts w:ascii="Times New Roman" w:eastAsia="Times New Roman"/>
                <w:sz w:val="21"/>
              </w:rPr>
              <w:t>1.3 </w:t>
            </w:r>
            <w:r>
              <w:rPr>
                <w:sz w:val="21"/>
              </w:rPr>
              <w:t>投保年龄</w:t>
            </w:r>
          </w:p>
        </w:tc>
        <w:tc>
          <w:tcPr>
            <w:tcW w:w="3324" w:type="dxa"/>
          </w:tcPr>
          <w:p>
            <w:pPr>
              <w:pStyle w:val="TableParagraph"/>
              <w:ind w:left="751"/>
              <w:rPr>
                <w:sz w:val="21"/>
              </w:rPr>
            </w:pPr>
            <w:r>
              <w:rPr>
                <w:rFonts w:ascii="Times New Roman" w:eastAsia="Times New Roman"/>
                <w:sz w:val="21"/>
              </w:rPr>
              <w:t>3.3 </w:t>
            </w:r>
            <w:r>
              <w:rPr>
                <w:sz w:val="21"/>
              </w:rPr>
              <w:t>诉讼时效</w:t>
            </w:r>
          </w:p>
        </w:tc>
        <w:tc>
          <w:tcPr>
            <w:tcW w:w="3533" w:type="dxa"/>
            <w:tcBorders>
              <w:right w:val="single" w:sz="8" w:space="0" w:color="000000"/>
            </w:tcBorders>
          </w:tcPr>
          <w:p>
            <w:pPr>
              <w:pStyle w:val="TableParagraph"/>
              <w:ind w:left="807"/>
              <w:rPr>
                <w:sz w:val="21"/>
              </w:rPr>
            </w:pPr>
            <w:r>
              <w:rPr>
                <w:rFonts w:ascii="Times New Roman" w:eastAsia="Times New Roman"/>
                <w:sz w:val="21"/>
              </w:rPr>
              <w:t>7.2 </w:t>
            </w:r>
            <w:r>
              <w:rPr>
                <w:sz w:val="21"/>
              </w:rPr>
              <w:t>附加合同效力的终止</w:t>
            </w:r>
          </w:p>
        </w:tc>
      </w:tr>
      <w:tr>
        <w:trPr>
          <w:trHeight w:val="411" w:hRule="atLeast"/>
        </w:trPr>
        <w:tc>
          <w:tcPr>
            <w:tcW w:w="3058" w:type="dxa"/>
            <w:tcBorders>
              <w:left w:val="single" w:sz="8" w:space="0" w:color="000000"/>
            </w:tcBorders>
          </w:tcPr>
          <w:p>
            <w:pPr>
              <w:pStyle w:val="TableParagraph"/>
              <w:rPr>
                <w:sz w:val="21"/>
              </w:rPr>
            </w:pPr>
            <w:r>
              <w:rPr>
                <w:rFonts w:ascii="Times New Roman" w:eastAsia="Times New Roman"/>
                <w:sz w:val="21"/>
              </w:rPr>
              <w:t>1.4 </w:t>
            </w:r>
            <w:r>
              <w:rPr>
                <w:sz w:val="21"/>
              </w:rPr>
              <w:t>合同的签收</w:t>
            </w:r>
          </w:p>
        </w:tc>
        <w:tc>
          <w:tcPr>
            <w:tcW w:w="3324" w:type="dxa"/>
          </w:tcPr>
          <w:p>
            <w:pPr>
              <w:pStyle w:val="TableParagraph"/>
              <w:ind w:left="329"/>
              <w:rPr>
                <w:b/>
                <w:sz w:val="21"/>
              </w:rPr>
            </w:pPr>
            <w:r>
              <w:rPr>
                <w:rFonts w:ascii="Times New Roman" w:eastAsia="Times New Roman"/>
                <w:b/>
                <w:sz w:val="21"/>
              </w:rPr>
              <w:t>4.  </w:t>
            </w:r>
            <w:r>
              <w:rPr>
                <w:b/>
                <w:sz w:val="21"/>
              </w:rPr>
              <w:t>保险费的支付</w:t>
            </w:r>
          </w:p>
        </w:tc>
        <w:tc>
          <w:tcPr>
            <w:tcW w:w="3533" w:type="dxa"/>
            <w:tcBorders>
              <w:right w:val="single" w:sz="8" w:space="0" w:color="000000"/>
            </w:tcBorders>
          </w:tcPr>
          <w:p>
            <w:pPr>
              <w:pStyle w:val="TableParagraph"/>
              <w:ind w:left="385"/>
              <w:rPr>
                <w:b/>
                <w:sz w:val="21"/>
              </w:rPr>
            </w:pPr>
            <w:r>
              <w:rPr>
                <w:rFonts w:ascii="Times New Roman" w:eastAsia="Times New Roman"/>
                <w:b/>
                <w:sz w:val="21"/>
              </w:rPr>
              <w:t>8.  </w:t>
            </w:r>
            <w:r>
              <w:rPr>
                <w:b/>
                <w:sz w:val="21"/>
              </w:rPr>
              <w:t>其他需要关注的事项</w:t>
            </w:r>
          </w:p>
        </w:tc>
      </w:tr>
      <w:tr>
        <w:trPr>
          <w:trHeight w:val="411" w:hRule="atLeast"/>
        </w:trPr>
        <w:tc>
          <w:tcPr>
            <w:tcW w:w="3058" w:type="dxa"/>
            <w:tcBorders>
              <w:left w:val="single" w:sz="8" w:space="0" w:color="000000"/>
            </w:tcBorders>
          </w:tcPr>
          <w:p>
            <w:pPr>
              <w:pStyle w:val="TableParagraph"/>
              <w:spacing w:before="32"/>
              <w:rPr>
                <w:sz w:val="21"/>
              </w:rPr>
            </w:pPr>
            <w:r>
              <w:rPr>
                <w:rFonts w:ascii="Times New Roman" w:eastAsia="Times New Roman"/>
                <w:sz w:val="21"/>
              </w:rPr>
              <w:t>1.5 </w:t>
            </w:r>
            <w:r>
              <w:rPr>
                <w:sz w:val="21"/>
              </w:rPr>
              <w:t>犹豫期</w:t>
            </w:r>
          </w:p>
        </w:tc>
        <w:tc>
          <w:tcPr>
            <w:tcW w:w="3324" w:type="dxa"/>
          </w:tcPr>
          <w:p>
            <w:pPr>
              <w:pStyle w:val="TableParagraph"/>
              <w:spacing w:before="32"/>
              <w:ind w:left="751"/>
              <w:rPr>
                <w:sz w:val="21"/>
              </w:rPr>
            </w:pPr>
            <w:r>
              <w:rPr>
                <w:rFonts w:ascii="Times New Roman" w:eastAsia="Times New Roman"/>
                <w:sz w:val="21"/>
              </w:rPr>
              <w:t>4.1 </w:t>
            </w:r>
            <w:r>
              <w:rPr>
                <w:sz w:val="21"/>
              </w:rPr>
              <w:t>保险费的支付</w:t>
            </w:r>
          </w:p>
        </w:tc>
        <w:tc>
          <w:tcPr>
            <w:tcW w:w="3533" w:type="dxa"/>
            <w:tcBorders>
              <w:right w:val="single" w:sz="8" w:space="0" w:color="000000"/>
            </w:tcBorders>
          </w:tcPr>
          <w:p>
            <w:pPr>
              <w:pStyle w:val="TableParagraph"/>
              <w:spacing w:before="32"/>
              <w:ind w:left="807"/>
              <w:rPr>
                <w:sz w:val="21"/>
              </w:rPr>
            </w:pPr>
            <w:r>
              <w:rPr>
                <w:rFonts w:ascii="Times New Roman" w:eastAsia="Times New Roman"/>
                <w:sz w:val="21"/>
              </w:rPr>
              <w:t>8.1 </w:t>
            </w:r>
            <w:r>
              <w:rPr>
                <w:sz w:val="21"/>
              </w:rPr>
              <w:t>明确说明与如实告知</w:t>
            </w:r>
          </w:p>
        </w:tc>
      </w:tr>
      <w:tr>
        <w:trPr>
          <w:trHeight w:val="410" w:hRule="atLeast"/>
        </w:trPr>
        <w:tc>
          <w:tcPr>
            <w:tcW w:w="3058" w:type="dxa"/>
            <w:tcBorders>
              <w:left w:val="single" w:sz="8" w:space="0" w:color="000000"/>
            </w:tcBorders>
          </w:tcPr>
          <w:p>
            <w:pPr>
              <w:pStyle w:val="TableParagraph"/>
              <w:ind w:left="107"/>
              <w:rPr>
                <w:b/>
                <w:sz w:val="21"/>
              </w:rPr>
            </w:pPr>
            <w:r>
              <w:rPr>
                <w:rFonts w:ascii="Times New Roman" w:eastAsia="Times New Roman"/>
                <w:b/>
                <w:sz w:val="21"/>
              </w:rPr>
              <w:t>2.  </w:t>
            </w:r>
            <w:r>
              <w:rPr>
                <w:b/>
                <w:sz w:val="21"/>
              </w:rPr>
              <w:t>我们提供的保障</w:t>
            </w:r>
          </w:p>
        </w:tc>
        <w:tc>
          <w:tcPr>
            <w:tcW w:w="3324" w:type="dxa"/>
          </w:tcPr>
          <w:p>
            <w:pPr>
              <w:pStyle w:val="TableParagraph"/>
              <w:ind w:left="0" w:right="362"/>
              <w:jc w:val="right"/>
              <w:rPr>
                <w:sz w:val="21"/>
              </w:rPr>
            </w:pPr>
            <w:r>
              <w:rPr>
                <w:rFonts w:ascii="Times New Roman" w:eastAsia="Times New Roman"/>
                <w:sz w:val="21"/>
              </w:rPr>
              <w:t>4.2 </w:t>
            </w:r>
            <w:r>
              <w:rPr>
                <w:sz w:val="21"/>
              </w:rPr>
              <w:t>保险费支付的宽限期</w:t>
            </w:r>
          </w:p>
        </w:tc>
        <w:tc>
          <w:tcPr>
            <w:tcW w:w="3533" w:type="dxa"/>
            <w:tcBorders>
              <w:right w:val="single" w:sz="8" w:space="0" w:color="000000"/>
            </w:tcBorders>
          </w:tcPr>
          <w:p>
            <w:pPr>
              <w:pStyle w:val="TableParagraph"/>
              <w:ind w:left="807"/>
              <w:rPr>
                <w:sz w:val="21"/>
              </w:rPr>
            </w:pPr>
            <w:r>
              <w:rPr>
                <w:rFonts w:ascii="Times New Roman" w:eastAsia="Times New Roman"/>
                <w:sz w:val="21"/>
              </w:rPr>
              <w:t>8.2 </w:t>
            </w:r>
            <w:r>
              <w:rPr>
                <w:sz w:val="21"/>
              </w:rPr>
              <w:t>本公司合同解除权的限制</w:t>
            </w:r>
          </w:p>
        </w:tc>
      </w:tr>
      <w:tr>
        <w:trPr>
          <w:trHeight w:val="410" w:hRule="atLeast"/>
        </w:trPr>
        <w:tc>
          <w:tcPr>
            <w:tcW w:w="3058" w:type="dxa"/>
            <w:tcBorders>
              <w:left w:val="single" w:sz="8" w:space="0" w:color="000000"/>
            </w:tcBorders>
          </w:tcPr>
          <w:p>
            <w:pPr>
              <w:pStyle w:val="TableParagraph"/>
              <w:rPr>
                <w:sz w:val="21"/>
              </w:rPr>
            </w:pPr>
            <w:r>
              <w:rPr>
                <w:rFonts w:ascii="Times New Roman" w:eastAsia="Times New Roman"/>
                <w:sz w:val="21"/>
              </w:rPr>
              <w:t>2.1 </w:t>
            </w:r>
            <w:r>
              <w:rPr>
                <w:sz w:val="21"/>
              </w:rPr>
              <w:t>基本保险金额</w:t>
            </w:r>
          </w:p>
        </w:tc>
        <w:tc>
          <w:tcPr>
            <w:tcW w:w="3324" w:type="dxa"/>
          </w:tcPr>
          <w:p>
            <w:pPr>
              <w:pStyle w:val="TableParagraph"/>
              <w:ind w:left="751"/>
              <w:rPr>
                <w:sz w:val="21"/>
              </w:rPr>
            </w:pPr>
            <w:r>
              <w:rPr>
                <w:rFonts w:ascii="Times New Roman" w:eastAsia="Times New Roman"/>
                <w:sz w:val="21"/>
              </w:rPr>
              <w:t>4.3 </w:t>
            </w:r>
            <w:r>
              <w:rPr>
                <w:sz w:val="21"/>
              </w:rPr>
              <w:t>减额交清保险</w:t>
            </w:r>
          </w:p>
        </w:tc>
        <w:tc>
          <w:tcPr>
            <w:tcW w:w="3533" w:type="dxa"/>
            <w:tcBorders>
              <w:right w:val="single" w:sz="8" w:space="0" w:color="000000"/>
            </w:tcBorders>
          </w:tcPr>
          <w:p>
            <w:pPr>
              <w:pStyle w:val="TableParagraph"/>
              <w:ind w:left="385"/>
              <w:rPr>
                <w:b/>
                <w:sz w:val="21"/>
              </w:rPr>
            </w:pPr>
            <w:r>
              <w:rPr>
                <w:rFonts w:ascii="Times New Roman" w:eastAsia="Times New Roman"/>
                <w:b/>
                <w:sz w:val="21"/>
              </w:rPr>
              <w:t>9.  </w:t>
            </w:r>
            <w:r>
              <w:rPr>
                <w:b/>
                <w:sz w:val="21"/>
              </w:rPr>
              <w:t>重大疾病的定义及范围</w:t>
            </w:r>
          </w:p>
        </w:tc>
      </w:tr>
      <w:tr>
        <w:trPr>
          <w:trHeight w:val="411" w:hRule="atLeast"/>
        </w:trPr>
        <w:tc>
          <w:tcPr>
            <w:tcW w:w="3058" w:type="dxa"/>
            <w:tcBorders>
              <w:left w:val="single" w:sz="8" w:space="0" w:color="000000"/>
            </w:tcBorders>
          </w:tcPr>
          <w:p>
            <w:pPr>
              <w:pStyle w:val="TableParagraph"/>
              <w:rPr>
                <w:sz w:val="21"/>
              </w:rPr>
            </w:pPr>
            <w:r>
              <w:rPr>
                <w:rFonts w:ascii="Times New Roman" w:eastAsia="Times New Roman"/>
                <w:sz w:val="21"/>
              </w:rPr>
              <w:t>2.2 </w:t>
            </w:r>
            <w:r>
              <w:rPr>
                <w:sz w:val="21"/>
              </w:rPr>
              <w:t>保险期间</w:t>
            </w:r>
          </w:p>
        </w:tc>
        <w:tc>
          <w:tcPr>
            <w:tcW w:w="3324" w:type="dxa"/>
          </w:tcPr>
          <w:p>
            <w:pPr>
              <w:pStyle w:val="TableParagraph"/>
              <w:ind w:left="329"/>
              <w:rPr>
                <w:b/>
                <w:sz w:val="21"/>
              </w:rPr>
            </w:pPr>
            <w:r>
              <w:rPr>
                <w:rFonts w:ascii="Times New Roman" w:eastAsia="Times New Roman"/>
                <w:b/>
                <w:sz w:val="21"/>
              </w:rPr>
              <w:t>5.  </w:t>
            </w:r>
            <w:r>
              <w:rPr>
                <w:b/>
                <w:sz w:val="21"/>
              </w:rPr>
              <w:t>现金价值权益</w:t>
            </w:r>
          </w:p>
        </w:tc>
        <w:tc>
          <w:tcPr>
            <w:tcW w:w="3533" w:type="dxa"/>
            <w:tcBorders>
              <w:right w:val="single" w:sz="8" w:space="0" w:color="000000"/>
            </w:tcBorders>
          </w:tcPr>
          <w:p>
            <w:pPr>
              <w:pStyle w:val="TableParagraph"/>
              <w:ind w:left="385"/>
              <w:rPr>
                <w:b/>
                <w:sz w:val="21"/>
              </w:rPr>
            </w:pPr>
            <w:r>
              <w:rPr>
                <w:rFonts w:ascii="Times New Roman" w:eastAsia="Times New Roman"/>
                <w:b/>
                <w:sz w:val="21"/>
              </w:rPr>
              <w:t>10.  </w:t>
            </w:r>
            <w:r>
              <w:rPr>
                <w:b/>
                <w:sz w:val="21"/>
              </w:rPr>
              <w:t>释义</w:t>
            </w:r>
          </w:p>
        </w:tc>
      </w:tr>
      <w:tr>
        <w:trPr>
          <w:trHeight w:val="411" w:hRule="atLeast"/>
        </w:trPr>
        <w:tc>
          <w:tcPr>
            <w:tcW w:w="3058" w:type="dxa"/>
            <w:tcBorders>
              <w:left w:val="single" w:sz="8" w:space="0" w:color="000000"/>
            </w:tcBorders>
          </w:tcPr>
          <w:p>
            <w:pPr>
              <w:pStyle w:val="TableParagraph"/>
              <w:spacing w:before="32"/>
              <w:rPr>
                <w:sz w:val="21"/>
              </w:rPr>
            </w:pPr>
            <w:r>
              <w:rPr>
                <w:rFonts w:ascii="Times New Roman" w:eastAsia="Times New Roman"/>
                <w:sz w:val="21"/>
              </w:rPr>
              <w:t>2.3 </w:t>
            </w:r>
            <w:r>
              <w:rPr>
                <w:sz w:val="21"/>
              </w:rPr>
              <w:t>等待期</w:t>
            </w:r>
          </w:p>
        </w:tc>
        <w:tc>
          <w:tcPr>
            <w:tcW w:w="3324" w:type="dxa"/>
          </w:tcPr>
          <w:p>
            <w:pPr>
              <w:pStyle w:val="TableParagraph"/>
              <w:spacing w:before="32"/>
              <w:ind w:left="751"/>
              <w:rPr>
                <w:sz w:val="21"/>
              </w:rPr>
            </w:pPr>
            <w:r>
              <w:rPr>
                <w:rFonts w:ascii="Times New Roman" w:eastAsia="Times New Roman"/>
                <w:sz w:val="21"/>
              </w:rPr>
              <w:t>5.1 </w:t>
            </w:r>
            <w:r>
              <w:rPr>
                <w:sz w:val="21"/>
              </w:rPr>
              <w:t>现金价值</w:t>
            </w:r>
          </w:p>
        </w:tc>
        <w:tc>
          <w:tcPr>
            <w:tcW w:w="3533" w:type="dxa"/>
            <w:tcBorders>
              <w:right w:val="single" w:sz="8" w:space="0" w:color="000000"/>
            </w:tcBorders>
          </w:tcPr>
          <w:p>
            <w:pPr>
              <w:pStyle w:val="TableParagraph"/>
              <w:spacing w:before="32"/>
              <w:ind w:left="385"/>
              <w:rPr>
                <w:b/>
                <w:sz w:val="21"/>
              </w:rPr>
            </w:pPr>
            <w:r>
              <w:rPr>
                <w:rFonts w:ascii="Times New Roman" w:eastAsia="Times New Roman"/>
                <w:b/>
                <w:sz w:val="21"/>
              </w:rPr>
              <w:t>11.  </w:t>
            </w:r>
            <w:r>
              <w:rPr>
                <w:b/>
                <w:sz w:val="21"/>
              </w:rPr>
              <w:t>特别说明</w:t>
            </w:r>
          </w:p>
        </w:tc>
      </w:tr>
      <w:tr>
        <w:trPr>
          <w:trHeight w:val="410" w:hRule="atLeast"/>
        </w:trPr>
        <w:tc>
          <w:tcPr>
            <w:tcW w:w="3058" w:type="dxa"/>
            <w:tcBorders>
              <w:left w:val="single" w:sz="8" w:space="0" w:color="000000"/>
            </w:tcBorders>
          </w:tcPr>
          <w:p>
            <w:pPr>
              <w:pStyle w:val="TableParagraph"/>
              <w:rPr>
                <w:sz w:val="21"/>
              </w:rPr>
            </w:pPr>
            <w:r>
              <w:rPr>
                <w:rFonts w:ascii="Times New Roman" w:eastAsia="Times New Roman"/>
                <w:sz w:val="21"/>
              </w:rPr>
              <w:t>2.4 </w:t>
            </w:r>
            <w:r>
              <w:rPr>
                <w:sz w:val="21"/>
              </w:rPr>
              <w:t>保险责任</w:t>
            </w:r>
          </w:p>
        </w:tc>
        <w:tc>
          <w:tcPr>
            <w:tcW w:w="3324" w:type="dxa"/>
          </w:tcPr>
          <w:p>
            <w:pPr>
              <w:pStyle w:val="TableParagraph"/>
              <w:ind w:left="329"/>
              <w:rPr>
                <w:b/>
                <w:sz w:val="21"/>
              </w:rPr>
            </w:pPr>
            <w:r>
              <w:rPr>
                <w:rFonts w:ascii="Times New Roman" w:eastAsia="Times New Roman"/>
                <w:b/>
                <w:sz w:val="21"/>
              </w:rPr>
              <w:t>6.  </w:t>
            </w:r>
            <w:r>
              <w:rPr>
                <w:b/>
                <w:sz w:val="21"/>
              </w:rPr>
              <w:t>合同效力的中止及恢复</w:t>
            </w:r>
          </w:p>
        </w:tc>
        <w:tc>
          <w:tcPr>
            <w:tcW w:w="3533" w:type="dxa"/>
            <w:tcBorders>
              <w:right w:val="single" w:sz="8" w:space="0" w:color="000000"/>
            </w:tcBorders>
          </w:tcPr>
          <w:p>
            <w:pPr>
              <w:pStyle w:val="TableParagraph"/>
              <w:spacing w:before="0"/>
              <w:ind w:left="0"/>
              <w:rPr>
                <w:rFonts w:ascii="Times New Roman"/>
                <w:sz w:val="20"/>
              </w:rPr>
            </w:pPr>
          </w:p>
        </w:tc>
      </w:tr>
      <w:tr>
        <w:trPr>
          <w:trHeight w:val="362" w:hRule="atLeast"/>
        </w:trPr>
        <w:tc>
          <w:tcPr>
            <w:tcW w:w="3058" w:type="dxa"/>
            <w:tcBorders>
              <w:left w:val="single" w:sz="8" w:space="0" w:color="000000"/>
            </w:tcBorders>
          </w:tcPr>
          <w:p>
            <w:pPr>
              <w:pStyle w:val="TableParagraph"/>
              <w:rPr>
                <w:sz w:val="21"/>
              </w:rPr>
            </w:pPr>
            <w:r>
              <w:rPr>
                <w:rFonts w:ascii="Times New Roman" w:eastAsia="Times New Roman"/>
                <w:sz w:val="21"/>
              </w:rPr>
              <w:t>2.5 </w:t>
            </w:r>
            <w:r>
              <w:rPr>
                <w:sz w:val="21"/>
              </w:rPr>
              <w:t>责任免除</w:t>
            </w:r>
          </w:p>
        </w:tc>
        <w:tc>
          <w:tcPr>
            <w:tcW w:w="3324" w:type="dxa"/>
          </w:tcPr>
          <w:p>
            <w:pPr>
              <w:pStyle w:val="TableParagraph"/>
              <w:ind w:left="0" w:right="361"/>
              <w:jc w:val="right"/>
              <w:rPr>
                <w:sz w:val="21"/>
              </w:rPr>
            </w:pPr>
            <w:r>
              <w:rPr>
                <w:rFonts w:ascii="Times New Roman" w:eastAsia="Times New Roman"/>
                <w:sz w:val="21"/>
              </w:rPr>
              <w:t>6.1 </w:t>
            </w:r>
            <w:r>
              <w:rPr>
                <w:sz w:val="21"/>
              </w:rPr>
              <w:t>附加合同效力的中止</w:t>
            </w:r>
          </w:p>
        </w:tc>
        <w:tc>
          <w:tcPr>
            <w:tcW w:w="3533" w:type="dxa"/>
            <w:tcBorders>
              <w:right w:val="single" w:sz="8" w:space="0" w:color="000000"/>
            </w:tcBorders>
          </w:tcPr>
          <w:p>
            <w:pPr>
              <w:pStyle w:val="TableParagraph"/>
              <w:spacing w:before="0"/>
              <w:ind w:left="0"/>
              <w:rPr>
                <w:rFonts w:ascii="Times New Roman"/>
                <w:sz w:val="20"/>
              </w:rPr>
            </w:pPr>
          </w:p>
        </w:tc>
      </w:tr>
    </w:tbl>
    <w:p>
      <w:pPr>
        <w:spacing w:after="0"/>
        <w:rPr>
          <w:rFonts w:ascii="Times New Roman"/>
          <w:sz w:val="20"/>
        </w:rPr>
        <w:sectPr>
          <w:type w:val="continuous"/>
          <w:pgSz w:w="11910" w:h="16840"/>
          <w:pgMar w:top="480" w:bottom="280" w:left="600" w:right="540"/>
        </w:sectPr>
      </w:pPr>
    </w:p>
    <w:p>
      <w:pPr>
        <w:pStyle w:val="BodyText"/>
        <w:ind w:left="2005"/>
        <w:rPr>
          <w:sz w:val="20"/>
        </w:rPr>
      </w:pPr>
      <w:r>
        <w:rPr>
          <w:sz w:val="20"/>
        </w:rPr>
        <w:drawing>
          <wp:inline distT="0" distB="0" distL="0" distR="0">
            <wp:extent cx="3616802" cy="886396"/>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1" cstate="print"/>
                    <a:stretch>
                      <a:fillRect/>
                    </a:stretch>
                  </pic:blipFill>
                  <pic:spPr>
                    <a:xfrm>
                      <a:off x="0" y="0"/>
                      <a:ext cx="3616802" cy="886396"/>
                    </a:xfrm>
                    <a:prstGeom prst="rect">
                      <a:avLst/>
                    </a:prstGeom>
                  </pic:spPr>
                </pic:pic>
              </a:graphicData>
            </a:graphic>
          </wp:inline>
        </w:drawing>
      </w:r>
      <w:r>
        <w:rPr>
          <w:sz w:val="20"/>
        </w:rPr>
      </w:r>
    </w:p>
    <w:p>
      <w:pPr>
        <w:pStyle w:val="BodyText"/>
        <w:rPr>
          <w:b/>
          <w:sz w:val="13"/>
        </w:rPr>
      </w:pPr>
    </w:p>
    <w:p>
      <w:pPr>
        <w:spacing w:before="11"/>
        <w:ind w:left="2202" w:right="0" w:firstLine="0"/>
        <w:jc w:val="left"/>
        <w:rPr>
          <w:b/>
          <w:sz w:val="32"/>
        </w:rPr>
      </w:pPr>
      <w:r>
        <w:rPr>
          <w:b/>
          <w:sz w:val="32"/>
        </w:rPr>
        <w:t>中意附加一生保重大疾病保险 </w:t>
      </w:r>
      <w:r>
        <w:rPr>
          <w:rFonts w:ascii="Times New Roman" w:eastAsia="Times New Roman"/>
          <w:b/>
          <w:sz w:val="32"/>
        </w:rPr>
        <w:t>B </w:t>
      </w:r>
      <w:r>
        <w:rPr>
          <w:b/>
          <w:sz w:val="32"/>
        </w:rPr>
        <w:t>款条款</w:t>
      </w:r>
    </w:p>
    <w:p>
      <w:pPr>
        <w:pStyle w:val="BodyText"/>
        <w:rPr>
          <w:b/>
          <w:sz w:val="34"/>
        </w:rPr>
      </w:pPr>
    </w:p>
    <w:p>
      <w:pPr>
        <w:pStyle w:val="BodyText"/>
        <w:spacing w:before="12"/>
        <w:rPr>
          <w:b/>
          <w:sz w:val="37"/>
        </w:rPr>
      </w:pPr>
    </w:p>
    <w:p>
      <w:pPr>
        <w:pStyle w:val="BodyText"/>
        <w:spacing w:line="225" w:lineRule="auto"/>
        <w:ind w:left="102" w:right="107" w:firstLine="422"/>
        <w:jc w:val="both"/>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均指中意人寿保险有限公司，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r>
        <w:rPr>
          <w:rFonts w:ascii="Times New Roman" w:hAnsi="Times New Roman" w:eastAsia="Times New Roman"/>
        </w:rPr>
        <w:t>“</w:t>
      </w:r>
      <w:r>
        <w:rPr/>
        <w:t>中意附加一生保重大疾病保险</w:t>
      </w:r>
      <w:r>
        <w:rPr>
          <w:rFonts w:ascii="Times New Roman" w:hAnsi="Times New Roman" w:eastAsia="Times New Roman"/>
        </w:rPr>
        <w:t>B</w:t>
      </w:r>
      <w:r>
        <w:rPr/>
        <w:t>款</w:t>
      </w:r>
      <w:r>
        <w:rPr>
          <w:rFonts w:ascii="Times New Roman" w:hAnsi="Times New Roman" w:eastAsia="Times New Roman"/>
        </w:rPr>
        <w:t>”</w:t>
      </w:r>
      <w:r>
        <w:rPr/>
        <w:t>保险合同。本产品可通过电话营销渠道、网络营销渠道及本公司的其他销售渠道销售。</w:t>
      </w:r>
    </w:p>
    <w:p>
      <w:pPr>
        <w:pStyle w:val="BodyText"/>
        <w:spacing w:before="9"/>
        <w:rPr>
          <w:sz w:val="17"/>
        </w:rPr>
      </w:pPr>
    </w:p>
    <w:p>
      <w:pPr>
        <w:pStyle w:val="Heading1"/>
        <w:numPr>
          <w:ilvl w:val="0"/>
          <w:numId w:val="2"/>
        </w:numPr>
        <w:tabs>
          <w:tab w:pos="1066" w:val="left" w:leader="none"/>
          <w:tab w:pos="1067" w:val="left" w:leader="none"/>
        </w:tabs>
        <w:spacing w:line="326" w:lineRule="exact" w:before="0" w:after="0"/>
        <w:ind w:left="1066" w:right="0" w:hanging="480"/>
        <w:jc w:val="left"/>
      </w:pPr>
      <w:r>
        <w:rPr>
          <w:w w:val="95"/>
        </w:rPr>
        <w:t>您与我们订立的合同</w:t>
      </w:r>
    </w:p>
    <w:p>
      <w:pPr>
        <w:pStyle w:val="Heading2"/>
        <w:numPr>
          <w:ilvl w:val="1"/>
          <w:numId w:val="2"/>
        </w:numPr>
        <w:tabs>
          <w:tab w:pos="997" w:val="left" w:leader="none"/>
          <w:tab w:pos="998" w:val="left" w:leader="none"/>
        </w:tabs>
        <w:spacing w:line="274" w:lineRule="exact" w:before="0" w:after="0"/>
        <w:ind w:left="997" w:right="0" w:hanging="473"/>
        <w:jc w:val="left"/>
      </w:pPr>
      <w:r>
        <w:rPr/>
        <w:t>合同构成</w:t>
      </w:r>
    </w:p>
    <w:p>
      <w:pPr>
        <w:pStyle w:val="BodyText"/>
        <w:spacing w:line="237" w:lineRule="auto"/>
        <w:ind w:left="102" w:right="184" w:firstLine="422"/>
        <w:jc w:val="both"/>
      </w:pPr>
      <w:r>
        <w:rPr>
          <w:spacing w:val="-5"/>
        </w:rPr>
        <w:t>本附加合同可以附加于我们供您选择的人身保险合同</w:t>
      </w:r>
      <w:r>
        <w:rPr/>
        <w:t>（</w:t>
      </w:r>
      <w:r>
        <w:rPr>
          <w:spacing w:val="-3"/>
        </w:rPr>
        <w:t>以下简称主合同</w:t>
      </w:r>
      <w:r>
        <w:rPr>
          <w:spacing w:val="-108"/>
        </w:rPr>
        <w:t>）</w:t>
      </w:r>
      <w:r>
        <w:rPr>
          <w:spacing w:val="-7"/>
        </w:rPr>
        <w:t>。如您申请投保本附加</w:t>
      </w:r>
      <w:r>
        <w:rPr>
          <w:spacing w:val="-5"/>
        </w:rPr>
        <w:t>合同，经我们审核同意后可以订立本附加合同。主合同的条款也适用于本附加合同，若互有冲突， </w:t>
      </w:r>
      <w:r>
        <w:rPr>
          <w:spacing w:val="-4"/>
        </w:rPr>
        <w:t>则以本附加合同为准。</w:t>
      </w:r>
    </w:p>
    <w:p>
      <w:pPr>
        <w:pStyle w:val="BodyText"/>
        <w:spacing w:before="9"/>
        <w:rPr>
          <w:sz w:val="18"/>
        </w:rPr>
      </w:pPr>
    </w:p>
    <w:p>
      <w:pPr>
        <w:pStyle w:val="Heading2"/>
        <w:numPr>
          <w:ilvl w:val="1"/>
          <w:numId w:val="2"/>
        </w:numPr>
        <w:tabs>
          <w:tab w:pos="997" w:val="left" w:leader="none"/>
          <w:tab w:pos="998" w:val="left" w:leader="none"/>
        </w:tabs>
        <w:spacing w:line="282" w:lineRule="exact" w:before="0" w:after="0"/>
        <w:ind w:left="997" w:right="0" w:hanging="473"/>
        <w:jc w:val="left"/>
      </w:pPr>
      <w:r>
        <w:rPr/>
        <w:t>保险合同成立与生效</w:t>
      </w:r>
    </w:p>
    <w:p>
      <w:pPr>
        <w:pStyle w:val="BodyText"/>
        <w:spacing w:line="264" w:lineRule="exact"/>
        <w:ind w:left="524"/>
      </w:pPr>
      <w:r>
        <w:rPr/>
        <w:t>您提出保险申请、我们同意承保，本附加合同成立。</w:t>
      </w:r>
    </w:p>
    <w:p>
      <w:pPr>
        <w:spacing w:before="0"/>
        <w:ind w:left="102" w:right="222" w:firstLine="422"/>
        <w:jc w:val="left"/>
        <w:rPr>
          <w:sz w:val="21"/>
        </w:rPr>
      </w:pPr>
      <w:r>
        <w:rPr>
          <w:spacing w:val="-3"/>
          <w:sz w:val="21"/>
        </w:rPr>
        <w:t>本附加合同自我们同意承保、收取首期保险费并签发保险单后开始生效，合同生效日期在保险</w:t>
      </w:r>
      <w:r>
        <w:rPr>
          <w:spacing w:val="-3"/>
          <w:w w:val="100"/>
          <w:sz w:val="21"/>
        </w:rPr>
        <w:t>单上载明。</w:t>
      </w:r>
      <w:r>
        <w:rPr>
          <w:b/>
          <w:w w:val="100"/>
          <w:sz w:val="21"/>
        </w:rPr>
        <w:t>保单年度（</w:t>
      </w:r>
      <w:r>
        <w:rPr>
          <w:rFonts w:ascii="Times New Roman" w:eastAsia="Times New Roman"/>
          <w:b/>
          <w:spacing w:val="-3"/>
          <w:w w:val="100"/>
          <w:sz w:val="21"/>
        </w:rPr>
        <w:t>1</w:t>
      </w:r>
      <w:r>
        <w:rPr>
          <w:rFonts w:ascii="Times New Roman" w:eastAsia="Times New Roman"/>
          <w:b/>
          <w:w w:val="100"/>
          <w:sz w:val="21"/>
        </w:rPr>
        <w:t>0</w:t>
      </w:r>
      <w:r>
        <w:rPr>
          <w:rFonts w:ascii="Times New Roman" w:eastAsia="Times New Roman"/>
          <w:b/>
          <w:spacing w:val="-2"/>
          <w:w w:val="100"/>
          <w:sz w:val="21"/>
        </w:rPr>
        <w:t>.</w:t>
      </w:r>
      <w:r>
        <w:rPr>
          <w:rFonts w:ascii="Times New Roman" w:eastAsia="Times New Roman"/>
          <w:b/>
          <w:w w:val="100"/>
          <w:sz w:val="21"/>
        </w:rPr>
        <w:t>1</w:t>
      </w:r>
      <w:r>
        <w:rPr>
          <w:b/>
          <w:spacing w:val="-106"/>
          <w:w w:val="100"/>
          <w:sz w:val="21"/>
        </w:rPr>
        <w:t>）</w:t>
      </w:r>
      <w:r>
        <w:rPr>
          <w:spacing w:val="-3"/>
          <w:w w:val="100"/>
          <w:sz w:val="21"/>
        </w:rPr>
        <w:t>、</w:t>
      </w:r>
      <w:r>
        <w:rPr>
          <w:b/>
          <w:w w:val="100"/>
          <w:sz w:val="21"/>
        </w:rPr>
        <w:t>保险费约定支付日（</w:t>
      </w:r>
      <w:r>
        <w:rPr>
          <w:rFonts w:ascii="Times New Roman" w:eastAsia="Times New Roman"/>
          <w:b/>
          <w:spacing w:val="-3"/>
          <w:w w:val="100"/>
          <w:sz w:val="21"/>
        </w:rPr>
        <w:t>1</w:t>
      </w:r>
      <w:r>
        <w:rPr>
          <w:rFonts w:ascii="Times New Roman" w:eastAsia="Times New Roman"/>
          <w:b/>
          <w:w w:val="100"/>
          <w:sz w:val="21"/>
        </w:rPr>
        <w:t>0</w:t>
      </w:r>
      <w:r>
        <w:rPr>
          <w:rFonts w:ascii="Times New Roman" w:eastAsia="Times New Roman"/>
          <w:b/>
          <w:spacing w:val="-1"/>
          <w:w w:val="100"/>
          <w:sz w:val="21"/>
        </w:rPr>
        <w:t>.</w:t>
      </w:r>
      <w:r>
        <w:rPr>
          <w:rFonts w:ascii="Times New Roman" w:eastAsia="Times New Roman"/>
          <w:b/>
          <w:spacing w:val="-2"/>
          <w:w w:val="100"/>
          <w:sz w:val="21"/>
        </w:rPr>
        <w:t>2</w:t>
      </w:r>
      <w:r>
        <w:rPr>
          <w:b/>
          <w:spacing w:val="1"/>
          <w:w w:val="100"/>
          <w:sz w:val="21"/>
        </w:rPr>
        <w:t>）</w:t>
      </w:r>
      <w:r>
        <w:rPr>
          <w:spacing w:val="-3"/>
          <w:w w:val="100"/>
          <w:sz w:val="21"/>
        </w:rPr>
        <w:t>均以该日期计算。</w:t>
      </w:r>
    </w:p>
    <w:p>
      <w:pPr>
        <w:pStyle w:val="Heading2"/>
        <w:spacing w:line="255" w:lineRule="exact" w:before="1"/>
        <w:ind w:left="526" w:firstLine="0"/>
      </w:pPr>
      <w:r>
        <w:rPr/>
        <w:t>我们自保险单上约定的生效日的次日零时起开始承担本附加合同约定的保险责任。</w:t>
      </w:r>
    </w:p>
    <w:p>
      <w:pPr>
        <w:pStyle w:val="BodyText"/>
        <w:spacing w:before="2"/>
        <w:rPr>
          <w:b/>
          <w:sz w:val="18"/>
        </w:rPr>
      </w:pPr>
    </w:p>
    <w:p>
      <w:pPr>
        <w:pStyle w:val="ListParagraph"/>
        <w:numPr>
          <w:ilvl w:val="1"/>
          <w:numId w:val="2"/>
        </w:numPr>
        <w:tabs>
          <w:tab w:pos="997" w:val="left" w:leader="none"/>
          <w:tab w:pos="998" w:val="left" w:leader="none"/>
        </w:tabs>
        <w:spacing w:line="282" w:lineRule="exact" w:before="1" w:after="0"/>
        <w:ind w:left="997" w:right="0" w:hanging="473"/>
        <w:jc w:val="left"/>
        <w:rPr>
          <w:b/>
          <w:sz w:val="21"/>
        </w:rPr>
      </w:pPr>
      <w:r>
        <w:rPr>
          <w:b/>
          <w:sz w:val="21"/>
        </w:rPr>
        <w:t>投保年龄</w:t>
      </w:r>
    </w:p>
    <w:p>
      <w:pPr>
        <w:pStyle w:val="BodyText"/>
        <w:spacing w:line="223" w:lineRule="auto" w:before="12"/>
        <w:ind w:left="524" w:right="2584"/>
      </w:pPr>
      <w:r>
        <w:rPr/>
        <w:t>指您投保本附加合同时被保险人的年龄，年龄以</w:t>
      </w:r>
      <w:r>
        <w:rPr>
          <w:b/>
        </w:rPr>
        <w:t>周岁（</w:t>
      </w:r>
      <w:r>
        <w:rPr>
          <w:rFonts w:ascii="Times New Roman" w:eastAsia="Times New Roman"/>
          <w:b/>
        </w:rPr>
        <w:t>10.3</w:t>
      </w:r>
      <w:r>
        <w:rPr>
          <w:b/>
        </w:rPr>
        <w:t>）</w:t>
      </w:r>
      <w:r>
        <w:rPr/>
        <w:t>计算。本附加合同所接受的投保年龄为出生满</w:t>
      </w:r>
      <w:r>
        <w:rPr>
          <w:rFonts w:ascii="Times New Roman" w:eastAsia="Times New Roman"/>
        </w:rPr>
        <w:t>7</w:t>
      </w:r>
      <w:r>
        <w:rPr/>
        <w:t>天至</w:t>
      </w:r>
      <w:r>
        <w:rPr>
          <w:rFonts w:ascii="Times New Roman" w:eastAsia="Times New Roman"/>
        </w:rPr>
        <w:t>65</w:t>
      </w:r>
      <w:r>
        <w:rPr/>
        <w:t>周岁。</w:t>
      </w:r>
    </w:p>
    <w:p>
      <w:pPr>
        <w:pStyle w:val="BodyText"/>
        <w:rPr>
          <w:sz w:val="17"/>
        </w:rPr>
      </w:pPr>
    </w:p>
    <w:p>
      <w:pPr>
        <w:pStyle w:val="Heading2"/>
        <w:numPr>
          <w:ilvl w:val="1"/>
          <w:numId w:val="2"/>
        </w:numPr>
        <w:tabs>
          <w:tab w:pos="997" w:val="left" w:leader="none"/>
          <w:tab w:pos="998" w:val="left" w:leader="none"/>
        </w:tabs>
        <w:spacing w:line="282" w:lineRule="exact" w:before="1" w:after="0"/>
        <w:ind w:left="997" w:right="0" w:hanging="473"/>
        <w:jc w:val="left"/>
      </w:pPr>
      <w:r>
        <w:rPr/>
        <w:t>合同的签收</w:t>
      </w:r>
    </w:p>
    <w:p>
      <w:pPr>
        <w:pStyle w:val="BodyText"/>
        <w:spacing w:line="266" w:lineRule="exact"/>
        <w:ind w:left="524"/>
      </w:pPr>
      <w:r>
        <w:rPr/>
        <w:t>在您收到本附加合同时，您应当签署本附加合同的签收回执。</w:t>
      </w:r>
    </w:p>
    <w:p>
      <w:pPr>
        <w:pStyle w:val="BodyText"/>
        <w:spacing w:before="3"/>
        <w:rPr>
          <w:sz w:val="18"/>
        </w:rPr>
      </w:pPr>
    </w:p>
    <w:p>
      <w:pPr>
        <w:pStyle w:val="Heading2"/>
        <w:numPr>
          <w:ilvl w:val="1"/>
          <w:numId w:val="2"/>
        </w:numPr>
        <w:tabs>
          <w:tab w:pos="997" w:val="left" w:leader="none"/>
          <w:tab w:pos="998" w:val="left" w:leader="none"/>
        </w:tabs>
        <w:spacing w:line="281" w:lineRule="exact" w:before="0" w:after="0"/>
        <w:ind w:left="997" w:right="0" w:hanging="473"/>
        <w:jc w:val="left"/>
      </w:pPr>
      <w:r>
        <w:rPr/>
        <w:t>犹豫期</w:t>
      </w:r>
    </w:p>
    <w:p>
      <w:pPr>
        <w:pStyle w:val="BodyText"/>
        <w:spacing w:line="230" w:lineRule="auto" w:before="1"/>
        <w:ind w:left="102" w:right="224" w:firstLine="422"/>
        <w:jc w:val="both"/>
      </w:pPr>
      <w:r>
        <w:rPr/>
        <w:t>自您签收本附加合同的次日起，有</w:t>
      </w:r>
      <w:r>
        <w:rPr>
          <w:rFonts w:ascii="Times New Roman" w:eastAsia="Times New Roman"/>
        </w:rPr>
        <w:t>10</w:t>
      </w:r>
      <w:r>
        <w:rPr/>
        <w:t>日的犹豫期（通过商业银行投保的，有</w:t>
      </w:r>
      <w:r>
        <w:rPr>
          <w:rFonts w:ascii="Times New Roman" w:eastAsia="Times New Roman"/>
        </w:rPr>
        <w:t>15</w:t>
      </w:r>
      <w:r>
        <w:rPr/>
        <w:t>日的犹豫期）。在此期间，请您仔细阅读本附加合同，如果您认为本附加合同与您的需求不相符，您可以在犹豫期结束前解除本附加合同，我们将在扣除不超过</w:t>
      </w:r>
      <w:r>
        <w:rPr>
          <w:rFonts w:ascii="Times New Roman" w:eastAsia="Times New Roman"/>
        </w:rPr>
        <w:t>10</w:t>
      </w:r>
      <w:r>
        <w:rPr/>
        <w:t>元的工本费后无息退还您所支付的保险费。</w:t>
      </w:r>
    </w:p>
    <w:p>
      <w:pPr>
        <w:pStyle w:val="BodyText"/>
        <w:spacing w:line="230" w:lineRule="auto"/>
        <w:ind w:left="102" w:right="224" w:firstLine="422"/>
        <w:jc w:val="both"/>
      </w:pPr>
      <w:r>
        <w:rPr/>
        <w:t>解除本附加合同时，您需要填写申请书，并提供您的保险合同及</w:t>
      </w:r>
      <w:r>
        <w:rPr>
          <w:b/>
        </w:rPr>
        <w:t>有效身份证件（</w:t>
      </w:r>
      <w:r>
        <w:rPr>
          <w:rFonts w:ascii="Times New Roman" w:eastAsia="Times New Roman"/>
          <w:b/>
        </w:rPr>
        <w:t>10.4</w:t>
      </w:r>
      <w:r>
        <w:rPr>
          <w:b/>
        </w:rPr>
        <w:t>）</w:t>
      </w:r>
      <w:r>
        <w:rPr/>
        <w:t>。自您书面申请解除本附加合同之日起，本附加合同即被解除，我们自本附加合同生效日起不承担保险责任。</w:t>
      </w:r>
    </w:p>
    <w:p>
      <w:pPr>
        <w:pStyle w:val="BodyText"/>
        <w:spacing w:before="3"/>
        <w:rPr>
          <w:sz w:val="18"/>
        </w:rPr>
      </w:pPr>
    </w:p>
    <w:p>
      <w:pPr>
        <w:pStyle w:val="Heading1"/>
        <w:numPr>
          <w:ilvl w:val="0"/>
          <w:numId w:val="2"/>
        </w:numPr>
        <w:tabs>
          <w:tab w:pos="1066" w:val="left" w:leader="none"/>
          <w:tab w:pos="1067" w:val="left" w:leader="none"/>
        </w:tabs>
        <w:spacing w:line="324" w:lineRule="exact" w:before="0" w:after="0"/>
        <w:ind w:left="1066" w:right="0" w:hanging="480"/>
        <w:jc w:val="left"/>
      </w:pPr>
      <w:r>
        <w:rPr>
          <w:w w:val="95"/>
        </w:rPr>
        <w:t>我们提供的保障</w:t>
      </w:r>
    </w:p>
    <w:p>
      <w:pPr>
        <w:pStyle w:val="Heading2"/>
        <w:numPr>
          <w:ilvl w:val="1"/>
          <w:numId w:val="2"/>
        </w:numPr>
        <w:tabs>
          <w:tab w:pos="997" w:val="left" w:leader="none"/>
          <w:tab w:pos="998" w:val="left" w:leader="none"/>
        </w:tabs>
        <w:spacing w:line="274" w:lineRule="exact" w:before="0" w:after="0"/>
        <w:ind w:left="997" w:right="0" w:hanging="473"/>
        <w:jc w:val="left"/>
      </w:pPr>
      <w:r>
        <w:rPr/>
        <w:t>基本保险金额</w:t>
      </w:r>
    </w:p>
    <w:p>
      <w:pPr>
        <w:pStyle w:val="BodyText"/>
        <w:spacing w:line="237" w:lineRule="auto"/>
        <w:ind w:left="102" w:right="222" w:firstLine="422"/>
        <w:jc w:val="both"/>
      </w:pPr>
      <w:r>
        <w:rPr/>
        <w:t>本附加合同的基本保险金额由您在投保时与我们约定，并在保险单上载明。如果该基本保险金额有所变更，以变更后的基本保险金额为准。本附加合同的基本保险金额不得超过主合同的基本保险金额。</w:t>
      </w:r>
    </w:p>
    <w:p>
      <w:pPr>
        <w:pStyle w:val="BodyText"/>
        <w:spacing w:line="271" w:lineRule="exact" w:before="5"/>
        <w:ind w:left="524"/>
      </w:pPr>
      <w:r>
        <w:rPr/>
        <w:t>若主合同因给付保险金导致其基本保险金额降低，则本附加合同的基本保险金额同比例降低。</w:t>
      </w:r>
    </w:p>
    <w:p>
      <w:pPr>
        <w:pStyle w:val="BodyText"/>
        <w:spacing w:before="2"/>
        <w:rPr>
          <w:sz w:val="18"/>
        </w:rPr>
      </w:pPr>
    </w:p>
    <w:p>
      <w:pPr>
        <w:pStyle w:val="Heading2"/>
        <w:numPr>
          <w:ilvl w:val="1"/>
          <w:numId w:val="2"/>
        </w:numPr>
        <w:tabs>
          <w:tab w:pos="997" w:val="left" w:leader="none"/>
          <w:tab w:pos="998" w:val="left" w:leader="none"/>
        </w:tabs>
        <w:spacing w:line="282" w:lineRule="exact" w:before="1" w:after="0"/>
        <w:ind w:left="997" w:right="0" w:hanging="473"/>
        <w:jc w:val="left"/>
      </w:pPr>
      <w:r>
        <w:rPr/>
        <w:t>保险期间</w:t>
      </w:r>
    </w:p>
    <w:p>
      <w:pPr>
        <w:pStyle w:val="BodyText"/>
        <w:spacing w:line="237" w:lineRule="auto"/>
        <w:ind w:left="102" w:right="187" w:firstLine="422"/>
      </w:pPr>
      <w:r>
        <w:rPr/>
        <w:t>本附加合同的保险期间为终身，自生效日的次日零时起至本附加合同终止日止，并于保险单上载明。</w:t>
      </w:r>
    </w:p>
    <w:p>
      <w:pPr>
        <w:spacing w:after="0" w:line="237" w:lineRule="auto"/>
        <w:sectPr>
          <w:footerReference w:type="default" r:id="rId9"/>
          <w:footerReference w:type="even" r:id="rId10"/>
          <w:pgSz w:w="11910" w:h="16840"/>
          <w:pgMar w:footer="1239" w:header="0" w:top="1120" w:bottom="1420" w:left="1600" w:right="940"/>
          <w:pgNumType w:start="1"/>
        </w:sectPr>
      </w:pPr>
    </w:p>
    <w:p>
      <w:pPr>
        <w:pStyle w:val="Heading2"/>
        <w:numPr>
          <w:ilvl w:val="1"/>
          <w:numId w:val="2"/>
        </w:numPr>
        <w:tabs>
          <w:tab w:pos="1008" w:val="left" w:leader="none"/>
          <w:tab w:pos="1009" w:val="left" w:leader="none"/>
        </w:tabs>
        <w:spacing w:line="282" w:lineRule="exact" w:before="20" w:after="0"/>
        <w:ind w:left="1008" w:right="0" w:hanging="473"/>
        <w:jc w:val="left"/>
      </w:pPr>
      <w:r>
        <w:rPr/>
        <w:t>等待期</w:t>
      </w:r>
    </w:p>
    <w:p>
      <w:pPr>
        <w:spacing w:line="223" w:lineRule="auto" w:before="11"/>
        <w:ind w:left="112" w:right="215" w:firstLine="425"/>
        <w:jc w:val="left"/>
        <w:rPr>
          <w:b/>
          <w:sz w:val="21"/>
        </w:rPr>
      </w:pPr>
      <w:r>
        <w:rPr>
          <w:b/>
          <w:sz w:val="21"/>
        </w:rPr>
        <w:t>本附加合同重大疾病提前给付保险金的等待期是指自本附加合同生效（或最后复效）之日</w:t>
      </w:r>
      <w:r>
        <w:rPr>
          <w:rFonts w:ascii="Times New Roman" w:eastAsia="Times New Roman"/>
          <w:b/>
          <w:sz w:val="21"/>
        </w:rPr>
        <w:t>90</w:t>
      </w:r>
      <w:r>
        <w:rPr>
          <w:b/>
          <w:sz w:val="21"/>
        </w:rPr>
        <w:t>天内（含第</w:t>
      </w:r>
      <w:r>
        <w:rPr>
          <w:rFonts w:ascii="Times New Roman" w:eastAsia="Times New Roman"/>
          <w:b/>
          <w:sz w:val="21"/>
        </w:rPr>
        <w:t>90</w:t>
      </w:r>
      <w:r>
        <w:rPr>
          <w:b/>
          <w:sz w:val="21"/>
        </w:rPr>
        <w:t>天）的期间。</w:t>
      </w:r>
    </w:p>
    <w:p>
      <w:pPr>
        <w:spacing w:line="230" w:lineRule="auto" w:before="0"/>
        <w:ind w:left="112" w:right="217" w:firstLine="425"/>
        <w:jc w:val="both"/>
        <w:rPr>
          <w:sz w:val="21"/>
        </w:rPr>
      </w:pPr>
      <w:r>
        <w:rPr>
          <w:b/>
          <w:spacing w:val="-4"/>
          <w:sz w:val="21"/>
        </w:rPr>
        <w:t>如果被保险人在等待期内发病（</w:t>
      </w:r>
      <w:r>
        <w:rPr>
          <w:rFonts w:ascii="Times New Roman" w:eastAsia="Times New Roman"/>
          <w:b/>
          <w:spacing w:val="-4"/>
          <w:sz w:val="21"/>
        </w:rPr>
        <w:t>10.5</w:t>
      </w:r>
      <w:r>
        <w:rPr>
          <w:b/>
          <w:spacing w:val="-4"/>
          <w:sz w:val="21"/>
        </w:rPr>
        <w:t>）</w:t>
      </w:r>
      <w:r>
        <w:rPr>
          <w:b/>
          <w:spacing w:val="-1"/>
          <w:sz w:val="21"/>
        </w:rPr>
        <w:t>或诊断患有本附加合同第</w:t>
      </w:r>
      <w:r>
        <w:rPr>
          <w:rFonts w:ascii="Times New Roman" w:eastAsia="Times New Roman"/>
          <w:b/>
          <w:spacing w:val="-3"/>
          <w:sz w:val="21"/>
        </w:rPr>
        <w:t>9</w:t>
      </w:r>
      <w:r>
        <w:rPr>
          <w:b/>
          <w:spacing w:val="-3"/>
          <w:sz w:val="21"/>
        </w:rPr>
        <w:t>条约定的任意一种疾病，我们不承担保险责任，将无息向您退回本附加合同实际已交纳的保险费，同时本附加合同效力终止</w:t>
      </w:r>
      <w:r>
        <w:rPr>
          <w:spacing w:val="-3"/>
          <w:sz w:val="21"/>
        </w:rPr>
        <w:t>。但</w:t>
      </w:r>
      <w:r>
        <w:rPr>
          <w:spacing w:val="-1"/>
          <w:sz w:val="21"/>
        </w:rPr>
        <w:t>因</w:t>
      </w:r>
      <w:r>
        <w:rPr>
          <w:b/>
          <w:spacing w:val="-1"/>
          <w:sz w:val="21"/>
        </w:rPr>
        <w:t>意外伤害（</w:t>
      </w:r>
      <w:r>
        <w:rPr>
          <w:rFonts w:ascii="Times New Roman" w:eastAsia="Times New Roman"/>
          <w:b/>
          <w:spacing w:val="-1"/>
          <w:sz w:val="21"/>
        </w:rPr>
        <w:t>10.6</w:t>
      </w:r>
      <w:r>
        <w:rPr>
          <w:b/>
          <w:spacing w:val="-1"/>
          <w:sz w:val="21"/>
        </w:rPr>
        <w:t>）</w:t>
      </w:r>
      <w:r>
        <w:rPr>
          <w:spacing w:val="-3"/>
          <w:sz w:val="21"/>
        </w:rPr>
        <w:t>事故引起的第</w:t>
      </w:r>
      <w:r>
        <w:rPr>
          <w:rFonts w:ascii="Times New Roman" w:eastAsia="Times New Roman"/>
          <w:spacing w:val="-3"/>
          <w:sz w:val="21"/>
        </w:rPr>
        <w:t>9</w:t>
      </w:r>
      <w:r>
        <w:rPr>
          <w:spacing w:val="-3"/>
          <w:sz w:val="21"/>
        </w:rPr>
        <w:t>条约定的疾病无等待期。</w:t>
      </w:r>
    </w:p>
    <w:p>
      <w:pPr>
        <w:pStyle w:val="BodyText"/>
        <w:spacing w:before="6"/>
        <w:rPr>
          <w:sz w:val="17"/>
        </w:rPr>
      </w:pPr>
    </w:p>
    <w:p>
      <w:pPr>
        <w:pStyle w:val="ListParagraph"/>
        <w:numPr>
          <w:ilvl w:val="1"/>
          <w:numId w:val="2"/>
        </w:numPr>
        <w:tabs>
          <w:tab w:pos="1008" w:val="left" w:leader="none"/>
          <w:tab w:pos="1009" w:val="left" w:leader="none"/>
        </w:tabs>
        <w:spacing w:line="281" w:lineRule="exact" w:before="0" w:after="0"/>
        <w:ind w:left="1008" w:right="0" w:hanging="473"/>
        <w:jc w:val="left"/>
        <w:rPr>
          <w:b/>
          <w:sz w:val="21"/>
        </w:rPr>
      </w:pPr>
      <w:r>
        <w:rPr>
          <w:b/>
          <w:sz w:val="21"/>
        </w:rPr>
        <w:t>保险责任</w:t>
      </w:r>
    </w:p>
    <w:p>
      <w:pPr>
        <w:pStyle w:val="BodyText"/>
        <w:spacing w:line="265" w:lineRule="exact"/>
        <w:ind w:left="535"/>
      </w:pPr>
      <w:r>
        <w:rPr/>
        <w:t>在本附加合同有效期内，我们承担如下保险责任：</w:t>
      </w:r>
    </w:p>
    <w:p>
      <w:pPr>
        <w:pStyle w:val="BodyText"/>
        <w:spacing w:before="6"/>
        <w:rPr>
          <w:sz w:val="18"/>
        </w:rPr>
      </w:pPr>
    </w:p>
    <w:p>
      <w:pPr>
        <w:pStyle w:val="Heading2"/>
        <w:numPr>
          <w:ilvl w:val="2"/>
          <w:numId w:val="2"/>
        </w:numPr>
        <w:tabs>
          <w:tab w:pos="1062" w:val="left" w:leader="none"/>
        </w:tabs>
        <w:spacing w:line="281" w:lineRule="exact" w:before="0" w:after="0"/>
        <w:ind w:left="1061" w:right="0" w:hanging="526"/>
        <w:jc w:val="left"/>
      </w:pPr>
      <w:r>
        <w:rPr>
          <w:spacing w:val="-2"/>
        </w:rPr>
        <w:t>重大疾病提前给付保险金</w:t>
      </w:r>
    </w:p>
    <w:p>
      <w:pPr>
        <w:spacing w:line="225" w:lineRule="auto" w:before="7"/>
        <w:ind w:left="112" w:right="215" w:firstLine="422"/>
        <w:jc w:val="both"/>
        <w:rPr>
          <w:sz w:val="21"/>
        </w:rPr>
      </w:pPr>
      <w:r>
        <w:rPr>
          <w:spacing w:val="-3"/>
          <w:sz w:val="21"/>
        </w:rPr>
        <w:t>如果被保险人在等待期后</w:t>
      </w:r>
      <w:r>
        <w:rPr>
          <w:b/>
          <w:spacing w:val="-2"/>
          <w:sz w:val="21"/>
        </w:rPr>
        <w:t>首次发病</w:t>
      </w:r>
      <w:r>
        <w:rPr>
          <w:b/>
          <w:spacing w:val="-1"/>
          <w:sz w:val="21"/>
        </w:rPr>
        <w:t>（</w:t>
      </w:r>
      <w:r>
        <w:rPr>
          <w:rFonts w:ascii="Times New Roman" w:hAnsi="Times New Roman" w:eastAsia="Times New Roman"/>
          <w:b/>
          <w:spacing w:val="-1"/>
          <w:sz w:val="21"/>
        </w:rPr>
        <w:t>10.7</w:t>
      </w:r>
      <w:r>
        <w:rPr>
          <w:b/>
          <w:spacing w:val="-1"/>
          <w:sz w:val="21"/>
        </w:rPr>
        <w:t>）</w:t>
      </w:r>
      <w:r>
        <w:rPr>
          <w:spacing w:val="-3"/>
          <w:sz w:val="21"/>
        </w:rPr>
        <w:t>并经</w:t>
      </w:r>
      <w:r>
        <w:rPr>
          <w:b/>
          <w:spacing w:val="-2"/>
          <w:sz w:val="21"/>
        </w:rPr>
        <w:t>专科医生</w:t>
      </w:r>
      <w:r>
        <w:rPr>
          <w:b/>
          <w:sz w:val="21"/>
        </w:rPr>
        <w:t>（</w:t>
      </w:r>
      <w:r>
        <w:rPr>
          <w:rFonts w:ascii="Times New Roman" w:hAnsi="Times New Roman" w:eastAsia="Times New Roman"/>
          <w:b/>
          <w:sz w:val="21"/>
        </w:rPr>
        <w:t>10.8</w:t>
      </w:r>
      <w:r>
        <w:rPr>
          <w:b/>
          <w:sz w:val="21"/>
        </w:rPr>
        <w:t>）</w:t>
      </w:r>
      <w:r>
        <w:rPr>
          <w:b/>
          <w:spacing w:val="-2"/>
          <w:sz w:val="21"/>
        </w:rPr>
        <w:t>首次确诊</w:t>
      </w:r>
      <w:r>
        <w:rPr>
          <w:b/>
          <w:sz w:val="21"/>
        </w:rPr>
        <w:t>（</w:t>
      </w:r>
      <w:r>
        <w:rPr>
          <w:rFonts w:ascii="Times New Roman" w:hAnsi="Times New Roman" w:eastAsia="Times New Roman"/>
          <w:b/>
          <w:sz w:val="21"/>
        </w:rPr>
        <w:t>10.9</w:t>
      </w:r>
      <w:r>
        <w:rPr>
          <w:b/>
          <w:sz w:val="21"/>
        </w:rPr>
        <w:t>）</w:t>
      </w:r>
      <w:r>
        <w:rPr>
          <w:spacing w:val="-3"/>
          <w:sz w:val="21"/>
        </w:rPr>
        <w:t>患有任何一项符合我们第</w:t>
      </w:r>
      <w:r>
        <w:rPr>
          <w:rFonts w:ascii="Times New Roman" w:hAnsi="Times New Roman" w:eastAsia="Times New Roman"/>
          <w:spacing w:val="-3"/>
          <w:sz w:val="21"/>
        </w:rPr>
        <w:t>9</w:t>
      </w:r>
      <w:r>
        <w:rPr>
          <w:spacing w:val="-3"/>
          <w:sz w:val="21"/>
        </w:rPr>
        <w:t>条约定的重大疾病，我们将按照本附加合同的基本保险金额给付</w:t>
      </w:r>
      <w:r>
        <w:rPr>
          <w:rFonts w:ascii="Times New Roman" w:hAnsi="Times New Roman" w:eastAsia="Times New Roman"/>
          <w:spacing w:val="-3"/>
          <w:sz w:val="21"/>
        </w:rPr>
        <w:t>“</w:t>
      </w:r>
      <w:r>
        <w:rPr>
          <w:spacing w:val="-3"/>
          <w:sz w:val="21"/>
        </w:rPr>
        <w:t>重大疾病提前给付</w:t>
      </w:r>
      <w:r>
        <w:rPr>
          <w:spacing w:val="-1"/>
          <w:sz w:val="21"/>
        </w:rPr>
        <w:t>保险金</w:t>
      </w:r>
      <w:r>
        <w:rPr>
          <w:rFonts w:ascii="Times New Roman" w:hAnsi="Times New Roman" w:eastAsia="Times New Roman"/>
          <w:sz w:val="21"/>
        </w:rPr>
        <w:t>”</w:t>
      </w:r>
      <w:r>
        <w:rPr>
          <w:sz w:val="21"/>
        </w:rPr>
        <w:t>。</w:t>
      </w:r>
    </w:p>
    <w:p>
      <w:pPr>
        <w:pStyle w:val="BodyText"/>
        <w:spacing w:before="4"/>
        <w:rPr>
          <w:sz w:val="18"/>
        </w:rPr>
      </w:pPr>
    </w:p>
    <w:p>
      <w:pPr>
        <w:pStyle w:val="BodyText"/>
        <w:spacing w:line="225" w:lineRule="auto"/>
        <w:ind w:left="112" w:right="215" w:firstLine="422"/>
        <w:jc w:val="both"/>
      </w:pPr>
      <w:r>
        <w:rPr/>
        <w:t>我们给付</w:t>
      </w:r>
      <w:r>
        <w:rPr>
          <w:rFonts w:ascii="Times New Roman" w:hAnsi="Times New Roman" w:eastAsia="Times New Roman"/>
        </w:rPr>
        <w:t>“</w:t>
      </w:r>
      <w:r>
        <w:rPr/>
        <w:t>重大疾病提前给付保险金</w:t>
      </w:r>
      <w:r>
        <w:rPr>
          <w:rFonts w:ascii="Times New Roman" w:hAnsi="Times New Roman" w:eastAsia="Times New Roman"/>
        </w:rPr>
        <w:t>”</w:t>
      </w:r>
      <w:r>
        <w:rPr/>
        <w:t>后，本附加合同终止，主合同基本保险金额按给付的重大</w:t>
      </w:r>
      <w:r>
        <w:rPr>
          <w:spacing w:val="-4"/>
        </w:rPr>
        <w:t>疾病提前给付保险金等额减少；主合同约定的各项保险责任及保险单上载明的</w:t>
      </w:r>
      <w:r>
        <w:rPr>
          <w:b/>
          <w:spacing w:val="-2"/>
        </w:rPr>
        <w:t>现金价值</w:t>
      </w:r>
      <w:r>
        <w:rPr>
          <w:b/>
        </w:rPr>
        <w:t>（</w:t>
      </w:r>
      <w:r>
        <w:rPr>
          <w:rFonts w:ascii="Times New Roman" w:hAnsi="Times New Roman" w:eastAsia="Times New Roman"/>
          <w:b/>
        </w:rPr>
        <w:t>10.10</w:t>
      </w:r>
      <w:r>
        <w:rPr>
          <w:b/>
        </w:rPr>
        <w:t>）</w:t>
      </w:r>
      <w:r>
        <w:rPr/>
        <w:t>按</w:t>
      </w:r>
      <w:r>
        <w:rPr>
          <w:spacing w:val="-3"/>
        </w:rPr>
        <w:t>减少后的基本保险金额确定。当主合同基本保险金额减少至零时，主合同终止。</w:t>
      </w:r>
    </w:p>
    <w:p>
      <w:pPr>
        <w:pStyle w:val="BodyText"/>
        <w:spacing w:before="3"/>
        <w:rPr>
          <w:sz w:val="18"/>
        </w:rPr>
      </w:pPr>
    </w:p>
    <w:p>
      <w:pPr>
        <w:pStyle w:val="Heading2"/>
        <w:numPr>
          <w:ilvl w:val="2"/>
          <w:numId w:val="2"/>
        </w:numPr>
        <w:tabs>
          <w:tab w:pos="1062" w:val="left" w:leader="none"/>
        </w:tabs>
        <w:spacing w:line="282" w:lineRule="exact" w:before="0" w:after="0"/>
        <w:ind w:left="1061" w:right="0" w:hanging="526"/>
        <w:jc w:val="left"/>
      </w:pPr>
      <w:r>
        <w:rPr/>
        <w:t>未成年人身故返还</w:t>
      </w:r>
    </w:p>
    <w:p>
      <w:pPr>
        <w:pStyle w:val="BodyText"/>
        <w:spacing w:line="223" w:lineRule="auto" w:before="11"/>
        <w:ind w:left="112" w:right="216" w:firstLine="422"/>
      </w:pPr>
      <w:r>
        <w:rPr/>
        <w:t>若被保险人身故，且被保险人身故时未满</w:t>
      </w:r>
      <w:r>
        <w:rPr>
          <w:rFonts w:ascii="Times New Roman" w:eastAsia="Times New Roman"/>
        </w:rPr>
        <w:t>18</w:t>
      </w:r>
      <w:r>
        <w:rPr/>
        <w:t>周岁，我们将向本附加合同的身故保险金受益人给付下列两项金额中的较大者，本附加合同随即终止：</w:t>
      </w:r>
    </w:p>
    <w:p>
      <w:pPr>
        <w:pStyle w:val="BodyText"/>
        <w:spacing w:line="280" w:lineRule="exact"/>
        <w:ind w:left="535"/>
      </w:pPr>
      <w:r>
        <w:rPr/>
        <w:t>（</w:t>
      </w:r>
      <w:r>
        <w:rPr>
          <w:rFonts w:ascii="Times New Roman" w:eastAsia="Times New Roman"/>
        </w:rPr>
        <w:t>1</w:t>
      </w:r>
      <w:r>
        <w:rPr/>
        <w:t>）累计已支付的本附加合同保险费；</w:t>
      </w:r>
    </w:p>
    <w:p>
      <w:pPr>
        <w:pStyle w:val="BodyText"/>
        <w:spacing w:line="281" w:lineRule="exact"/>
        <w:ind w:left="535"/>
      </w:pPr>
      <w:r>
        <w:rPr/>
        <w:t>（</w:t>
      </w:r>
      <w:r>
        <w:rPr>
          <w:rFonts w:ascii="Times New Roman" w:eastAsia="Times New Roman"/>
        </w:rPr>
        <w:t>2</w:t>
      </w:r>
      <w:r>
        <w:rPr/>
        <w:t>）本附加合同在被保险人身故时的现金价值。</w:t>
      </w:r>
    </w:p>
    <w:p>
      <w:pPr>
        <w:pStyle w:val="BodyText"/>
        <w:spacing w:before="12"/>
        <w:rPr>
          <w:sz w:val="16"/>
        </w:rPr>
      </w:pPr>
    </w:p>
    <w:p>
      <w:pPr>
        <w:pStyle w:val="Heading2"/>
        <w:numPr>
          <w:ilvl w:val="1"/>
          <w:numId w:val="2"/>
        </w:numPr>
        <w:tabs>
          <w:tab w:pos="1008" w:val="left" w:leader="none"/>
          <w:tab w:pos="1009" w:val="left" w:leader="none"/>
        </w:tabs>
        <w:spacing w:line="282" w:lineRule="exact" w:before="1" w:after="0"/>
        <w:ind w:left="1008" w:right="0" w:hanging="473"/>
        <w:jc w:val="left"/>
      </w:pPr>
      <w:r>
        <w:rPr/>
        <w:t>责任免除</w:t>
      </w:r>
    </w:p>
    <w:p>
      <w:pPr>
        <w:spacing w:line="272" w:lineRule="exact" w:before="0"/>
        <w:ind w:left="538" w:right="0" w:firstLine="0"/>
        <w:jc w:val="left"/>
        <w:rPr>
          <w:b/>
          <w:sz w:val="21"/>
        </w:rPr>
      </w:pPr>
      <w:r>
        <w:rPr>
          <w:b/>
          <w:spacing w:val="-5"/>
          <w:sz w:val="21"/>
        </w:rPr>
        <w:t>因下列情形之一导致被保险人发生第 </w:t>
      </w:r>
      <w:r>
        <w:rPr>
          <w:rFonts w:ascii="Times New Roman" w:eastAsia="Times New Roman"/>
          <w:b/>
          <w:sz w:val="21"/>
        </w:rPr>
        <w:t>9 </w:t>
      </w:r>
      <w:r>
        <w:rPr>
          <w:b/>
          <w:spacing w:val="-11"/>
          <w:sz w:val="21"/>
        </w:rPr>
        <w:t>条所约定的重大疾病的，我们不承担给付保险金的责任：</w:t>
      </w:r>
    </w:p>
    <w:p>
      <w:pPr>
        <w:spacing w:line="272" w:lineRule="exact" w:before="0"/>
        <w:ind w:left="538"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line="272" w:lineRule="exact" w:before="0"/>
        <w:ind w:left="538" w:right="0" w:firstLine="0"/>
        <w:jc w:val="left"/>
        <w:rPr>
          <w:b/>
          <w:sz w:val="21"/>
        </w:rPr>
      </w:pPr>
      <w:r>
        <w:rPr>
          <w:b/>
          <w:sz w:val="21"/>
        </w:rPr>
        <w:t>（</w:t>
      </w:r>
      <w:r>
        <w:rPr>
          <w:rFonts w:ascii="Times New Roman" w:eastAsia="Times New Roman"/>
          <w:b/>
          <w:sz w:val="21"/>
        </w:rPr>
        <w:t>2</w:t>
      </w:r>
      <w:r>
        <w:rPr>
          <w:b/>
          <w:sz w:val="21"/>
        </w:rPr>
        <w:t>）被保险人故意自伤、故意犯罪或者抗拒依法采取的刑事强制措施；</w:t>
      </w:r>
    </w:p>
    <w:p>
      <w:pPr>
        <w:spacing w:line="271" w:lineRule="exact" w:before="0"/>
        <w:ind w:left="538" w:right="0" w:firstLine="0"/>
        <w:jc w:val="left"/>
        <w:rPr>
          <w:b/>
          <w:sz w:val="21"/>
        </w:rPr>
      </w:pPr>
      <w:r>
        <w:rPr>
          <w:b/>
          <w:sz w:val="21"/>
        </w:rPr>
        <w:t>（</w:t>
      </w:r>
      <w:r>
        <w:rPr>
          <w:rFonts w:ascii="Times New Roman" w:eastAsia="Times New Roman"/>
          <w:b/>
          <w:sz w:val="21"/>
        </w:rPr>
        <w:t>3</w:t>
      </w:r>
      <w:r>
        <w:rPr>
          <w:b/>
          <w:sz w:val="21"/>
        </w:rPr>
        <w:t>）被保险人未经医师（</w:t>
      </w:r>
      <w:r>
        <w:rPr>
          <w:rFonts w:ascii="Times New Roman" w:eastAsia="Times New Roman"/>
          <w:b/>
          <w:sz w:val="21"/>
        </w:rPr>
        <w:t>10.11</w:t>
      </w:r>
      <w:r>
        <w:rPr>
          <w:b/>
          <w:sz w:val="21"/>
        </w:rPr>
        <w:t>）处方注射、吸食、服用毒品（</w:t>
      </w:r>
      <w:r>
        <w:rPr>
          <w:rFonts w:ascii="Times New Roman" w:eastAsia="Times New Roman"/>
          <w:b/>
          <w:sz w:val="21"/>
        </w:rPr>
        <w:t>10.12</w:t>
      </w:r>
      <w:r>
        <w:rPr>
          <w:b/>
          <w:sz w:val="21"/>
        </w:rPr>
        <w:t>）或处方药品；</w:t>
      </w:r>
    </w:p>
    <w:p>
      <w:pPr>
        <w:spacing w:line="225" w:lineRule="auto" w:before="8"/>
        <w:ind w:left="112" w:right="109" w:firstLine="425"/>
        <w:jc w:val="left"/>
        <w:rPr>
          <w:b/>
          <w:sz w:val="21"/>
        </w:rPr>
      </w:pPr>
      <w:r>
        <w:rPr>
          <w:b/>
          <w:spacing w:val="1"/>
          <w:w w:val="100"/>
          <w:sz w:val="21"/>
        </w:rPr>
        <w:t>（</w:t>
      </w:r>
      <w:r>
        <w:rPr>
          <w:rFonts w:ascii="Times New Roman" w:eastAsia="Times New Roman"/>
          <w:b/>
          <w:spacing w:val="-3"/>
          <w:w w:val="100"/>
          <w:sz w:val="21"/>
        </w:rPr>
        <w:t>4</w:t>
      </w:r>
      <w:r>
        <w:rPr>
          <w:b/>
          <w:spacing w:val="-60"/>
          <w:w w:val="100"/>
          <w:sz w:val="21"/>
        </w:rPr>
        <w:t>）</w:t>
      </w:r>
      <w:r>
        <w:rPr>
          <w:b/>
          <w:spacing w:val="-9"/>
          <w:w w:val="100"/>
          <w:sz w:val="21"/>
        </w:rPr>
        <w:t>被保险人酒后驾驶</w:t>
      </w:r>
      <w:r>
        <w:rPr>
          <w:b/>
          <w:w w:val="100"/>
          <w:sz w:val="21"/>
        </w:rPr>
        <w:t>（</w:t>
      </w:r>
      <w:r>
        <w:rPr>
          <w:rFonts w:ascii="Times New Roman" w:eastAsia="Times New Roman"/>
          <w:b/>
          <w:spacing w:val="-3"/>
          <w:w w:val="100"/>
          <w:sz w:val="21"/>
        </w:rPr>
        <w:t>1</w:t>
      </w:r>
      <w:r>
        <w:rPr>
          <w:rFonts w:ascii="Times New Roman" w:eastAsia="Times New Roman"/>
          <w:b/>
          <w:w w:val="100"/>
          <w:sz w:val="21"/>
        </w:rPr>
        <w:t>0.1</w:t>
      </w:r>
      <w:r>
        <w:rPr>
          <w:rFonts w:ascii="Times New Roman" w:eastAsia="Times New Roman"/>
          <w:b/>
          <w:spacing w:val="-3"/>
          <w:w w:val="100"/>
          <w:sz w:val="21"/>
        </w:rPr>
        <w:t>3</w:t>
      </w:r>
      <w:r>
        <w:rPr>
          <w:b/>
          <w:spacing w:val="-106"/>
          <w:w w:val="100"/>
          <w:sz w:val="21"/>
        </w:rPr>
        <w:t>）</w:t>
      </w:r>
      <w:r>
        <w:rPr>
          <w:b/>
          <w:spacing w:val="-13"/>
          <w:w w:val="100"/>
          <w:sz w:val="21"/>
        </w:rPr>
        <w:t>、无合法有效驾驶证驾驶</w:t>
      </w:r>
      <w:r>
        <w:rPr>
          <w:b/>
          <w:w w:val="100"/>
          <w:sz w:val="21"/>
        </w:rPr>
        <w:t>（</w:t>
      </w:r>
      <w:r>
        <w:rPr>
          <w:rFonts w:ascii="Times New Roman" w:eastAsia="Times New Roman"/>
          <w:b/>
          <w:w w:val="100"/>
          <w:sz w:val="21"/>
        </w:rPr>
        <w:t>10.</w:t>
      </w:r>
      <w:r>
        <w:rPr>
          <w:rFonts w:ascii="Times New Roman" w:eastAsia="Times New Roman"/>
          <w:b/>
          <w:spacing w:val="-3"/>
          <w:w w:val="100"/>
          <w:sz w:val="21"/>
        </w:rPr>
        <w:t>14</w:t>
      </w:r>
      <w:r>
        <w:rPr>
          <w:b/>
          <w:spacing w:val="-106"/>
          <w:w w:val="100"/>
          <w:sz w:val="21"/>
        </w:rPr>
        <w:t>）</w:t>
      </w:r>
      <w:r>
        <w:rPr>
          <w:b/>
          <w:spacing w:val="-14"/>
          <w:w w:val="100"/>
          <w:sz w:val="21"/>
        </w:rPr>
        <w:t>，或驾驶无有效行驶证</w:t>
      </w:r>
      <w:r>
        <w:rPr>
          <w:b/>
          <w:w w:val="100"/>
          <w:sz w:val="21"/>
        </w:rPr>
        <w:t>（</w:t>
      </w:r>
      <w:r>
        <w:rPr>
          <w:rFonts w:ascii="Times New Roman" w:eastAsia="Times New Roman"/>
          <w:b/>
          <w:w w:val="100"/>
          <w:sz w:val="21"/>
        </w:rPr>
        <w:t>10</w:t>
      </w:r>
      <w:r>
        <w:rPr>
          <w:rFonts w:ascii="Times New Roman" w:eastAsia="Times New Roman"/>
          <w:b/>
          <w:spacing w:val="-3"/>
          <w:w w:val="100"/>
          <w:sz w:val="21"/>
        </w:rPr>
        <w:t>.</w:t>
      </w:r>
      <w:r>
        <w:rPr>
          <w:rFonts w:ascii="Times New Roman" w:eastAsia="Times New Roman"/>
          <w:b/>
          <w:w w:val="100"/>
          <w:sz w:val="21"/>
        </w:rPr>
        <w:t>1</w:t>
      </w:r>
      <w:r>
        <w:rPr>
          <w:rFonts w:ascii="Times New Roman" w:eastAsia="Times New Roman"/>
          <w:b/>
          <w:spacing w:val="-3"/>
          <w:w w:val="100"/>
          <w:sz w:val="21"/>
        </w:rPr>
        <w:t>5</w:t>
      </w:r>
      <w:r>
        <w:rPr>
          <w:b/>
          <w:w w:val="100"/>
          <w:sz w:val="21"/>
        </w:rPr>
        <w:t>）的机动车</w:t>
      </w:r>
      <w:r>
        <w:rPr>
          <w:b/>
          <w:spacing w:val="-1"/>
          <w:w w:val="100"/>
          <w:sz w:val="21"/>
        </w:rPr>
        <w:t>（</w:t>
      </w:r>
      <w:r>
        <w:rPr>
          <w:rFonts w:ascii="Times New Roman" w:eastAsia="Times New Roman"/>
          <w:b/>
          <w:w w:val="100"/>
          <w:sz w:val="21"/>
        </w:rPr>
        <w:t>10</w:t>
      </w:r>
      <w:r>
        <w:rPr>
          <w:rFonts w:ascii="Times New Roman" w:eastAsia="Times New Roman"/>
          <w:b/>
          <w:spacing w:val="-3"/>
          <w:w w:val="100"/>
          <w:sz w:val="21"/>
        </w:rPr>
        <w:t>.</w:t>
      </w:r>
      <w:r>
        <w:rPr>
          <w:rFonts w:ascii="Times New Roman" w:eastAsia="Times New Roman"/>
          <w:b/>
          <w:w w:val="100"/>
          <w:sz w:val="21"/>
        </w:rPr>
        <w:t>1</w:t>
      </w:r>
      <w:r>
        <w:rPr>
          <w:rFonts w:ascii="Times New Roman" w:eastAsia="Times New Roman"/>
          <w:b/>
          <w:spacing w:val="-3"/>
          <w:w w:val="100"/>
          <w:sz w:val="21"/>
        </w:rPr>
        <w:t>6</w:t>
      </w:r>
      <w:r>
        <w:rPr>
          <w:b/>
          <w:spacing w:val="-106"/>
          <w:w w:val="100"/>
          <w:sz w:val="21"/>
        </w:rPr>
        <w:t>）</w:t>
      </w:r>
      <w:r>
        <w:rPr>
          <w:b/>
          <w:w w:val="100"/>
          <w:sz w:val="21"/>
        </w:rPr>
        <w:t>；</w:t>
      </w:r>
    </w:p>
    <w:p>
      <w:pPr>
        <w:spacing w:line="225" w:lineRule="auto" w:before="0"/>
        <w:ind w:left="112" w:right="217" w:firstLine="425"/>
        <w:jc w:val="left"/>
        <w:rPr>
          <w:b/>
          <w:sz w:val="21"/>
        </w:rPr>
      </w:pPr>
      <w:r>
        <w:rPr>
          <w:b/>
          <w:spacing w:val="1"/>
          <w:w w:val="100"/>
          <w:sz w:val="21"/>
        </w:rPr>
        <w:t>（</w:t>
      </w:r>
      <w:r>
        <w:rPr>
          <w:rFonts w:ascii="Times New Roman" w:eastAsia="Times New Roman"/>
          <w:b/>
          <w:spacing w:val="-3"/>
          <w:w w:val="100"/>
          <w:sz w:val="21"/>
        </w:rPr>
        <w:t>5</w:t>
      </w:r>
      <w:r>
        <w:rPr>
          <w:b/>
          <w:spacing w:val="-25"/>
          <w:w w:val="100"/>
          <w:sz w:val="21"/>
        </w:rPr>
        <w:t>）</w:t>
      </w:r>
      <w:r>
        <w:rPr>
          <w:b/>
          <w:spacing w:val="-4"/>
          <w:w w:val="100"/>
          <w:sz w:val="21"/>
        </w:rPr>
        <w:t>被保险人感染艾滋病病毒或患艾滋病</w:t>
      </w:r>
      <w:r>
        <w:rPr>
          <w:b/>
          <w:w w:val="100"/>
          <w:sz w:val="21"/>
        </w:rPr>
        <w:t>（</w:t>
      </w:r>
      <w:r>
        <w:rPr>
          <w:rFonts w:ascii="Times New Roman" w:eastAsia="Times New Roman"/>
          <w:b/>
          <w:spacing w:val="-3"/>
          <w:w w:val="100"/>
          <w:sz w:val="21"/>
        </w:rPr>
        <w:t>1</w:t>
      </w:r>
      <w:r>
        <w:rPr>
          <w:rFonts w:ascii="Times New Roman" w:eastAsia="Times New Roman"/>
          <w:b/>
          <w:w w:val="100"/>
          <w:sz w:val="21"/>
        </w:rPr>
        <w:t>0</w:t>
      </w:r>
      <w:r>
        <w:rPr>
          <w:rFonts w:ascii="Times New Roman" w:eastAsia="Times New Roman"/>
          <w:b/>
          <w:spacing w:val="-1"/>
          <w:w w:val="100"/>
          <w:sz w:val="21"/>
        </w:rPr>
        <w:t>.</w:t>
      </w:r>
      <w:r>
        <w:rPr>
          <w:rFonts w:ascii="Times New Roman" w:eastAsia="Times New Roman"/>
          <w:b/>
          <w:w w:val="100"/>
          <w:sz w:val="21"/>
        </w:rPr>
        <w:t>1</w:t>
      </w:r>
      <w:r>
        <w:rPr>
          <w:rFonts w:ascii="Times New Roman" w:eastAsia="Times New Roman"/>
          <w:b/>
          <w:spacing w:val="-3"/>
          <w:w w:val="100"/>
          <w:sz w:val="21"/>
        </w:rPr>
        <w:t>7</w:t>
      </w:r>
      <w:r>
        <w:rPr>
          <w:b/>
          <w:spacing w:val="-106"/>
          <w:w w:val="100"/>
          <w:sz w:val="21"/>
        </w:rPr>
        <w:t>）</w:t>
      </w:r>
      <w:r>
        <w:rPr>
          <w:b/>
          <w:spacing w:val="-5"/>
          <w:w w:val="100"/>
          <w:sz w:val="21"/>
        </w:rPr>
        <w:t>，但本附加合同第</w:t>
      </w:r>
      <w:r>
        <w:rPr>
          <w:b/>
          <w:spacing w:val="-5"/>
          <w:sz w:val="21"/>
        </w:rPr>
        <w:t> </w:t>
      </w:r>
      <w:r>
        <w:rPr>
          <w:rFonts w:ascii="Times New Roman" w:eastAsia="Times New Roman"/>
          <w:b/>
          <w:w w:val="100"/>
          <w:sz w:val="21"/>
        </w:rPr>
        <w:t>9</w:t>
      </w:r>
      <w:r>
        <w:rPr>
          <w:rFonts w:ascii="Times New Roman" w:eastAsia="Times New Roman"/>
          <w:b/>
          <w:spacing w:val="-3"/>
          <w:w w:val="100"/>
          <w:sz w:val="21"/>
        </w:rPr>
        <w:t>.</w:t>
      </w:r>
      <w:r>
        <w:rPr>
          <w:rFonts w:ascii="Times New Roman" w:eastAsia="Times New Roman"/>
          <w:b/>
          <w:w w:val="100"/>
          <w:sz w:val="21"/>
        </w:rPr>
        <w:t>2</w:t>
      </w:r>
      <w:r>
        <w:rPr>
          <w:rFonts w:ascii="Times New Roman" w:eastAsia="Times New Roman"/>
          <w:b/>
          <w:spacing w:val="-3"/>
          <w:w w:val="100"/>
          <w:sz w:val="21"/>
        </w:rPr>
        <w:t>9</w:t>
      </w:r>
      <w:r>
        <w:rPr>
          <w:b/>
          <w:spacing w:val="-22"/>
          <w:w w:val="100"/>
          <w:sz w:val="21"/>
        </w:rPr>
        <w:t>、</w:t>
      </w:r>
      <w:r>
        <w:rPr>
          <w:rFonts w:ascii="Times New Roman" w:eastAsia="Times New Roman"/>
          <w:b/>
          <w:w w:val="100"/>
          <w:sz w:val="21"/>
        </w:rPr>
        <w:t>9</w:t>
      </w:r>
      <w:r>
        <w:rPr>
          <w:rFonts w:ascii="Times New Roman" w:eastAsia="Times New Roman"/>
          <w:b/>
          <w:spacing w:val="-3"/>
          <w:w w:val="100"/>
          <w:sz w:val="21"/>
        </w:rPr>
        <w:t>.3</w:t>
      </w:r>
      <w:r>
        <w:rPr>
          <w:rFonts w:ascii="Times New Roman" w:eastAsia="Times New Roman"/>
          <w:b/>
          <w:w w:val="100"/>
          <w:sz w:val="21"/>
        </w:rPr>
        <w:t>4</w:t>
      </w:r>
      <w:r>
        <w:rPr>
          <w:rFonts w:ascii="Times New Roman" w:eastAsia="Times New Roman"/>
          <w:b/>
          <w:sz w:val="21"/>
        </w:rPr>
        <w:t> </w:t>
      </w:r>
      <w:r>
        <w:rPr>
          <w:b/>
          <w:w w:val="100"/>
          <w:sz w:val="21"/>
        </w:rPr>
        <w:t>以及</w:t>
      </w:r>
      <w:r>
        <w:rPr>
          <w:b/>
          <w:spacing w:val="-53"/>
          <w:sz w:val="21"/>
        </w:rPr>
        <w:t> </w:t>
      </w:r>
      <w:r>
        <w:rPr>
          <w:rFonts w:ascii="Times New Roman" w:eastAsia="Times New Roman"/>
          <w:b/>
          <w:w w:val="100"/>
          <w:sz w:val="21"/>
        </w:rPr>
        <w:t>9.</w:t>
      </w:r>
      <w:r>
        <w:rPr>
          <w:rFonts w:ascii="Times New Roman" w:eastAsia="Times New Roman"/>
          <w:b/>
          <w:spacing w:val="-3"/>
          <w:w w:val="100"/>
          <w:sz w:val="21"/>
        </w:rPr>
        <w:t>8</w:t>
      </w:r>
      <w:r>
        <w:rPr>
          <w:rFonts w:ascii="Times New Roman" w:eastAsia="Times New Roman"/>
          <w:b/>
          <w:w w:val="100"/>
          <w:sz w:val="21"/>
        </w:rPr>
        <w:t>8</w:t>
      </w:r>
      <w:r>
        <w:rPr>
          <w:rFonts w:ascii="Times New Roman" w:eastAsia="Times New Roman"/>
          <w:b/>
          <w:sz w:val="21"/>
        </w:rPr>
        <w:t> </w:t>
      </w:r>
      <w:r>
        <w:rPr>
          <w:b/>
          <w:w w:val="100"/>
          <w:sz w:val="21"/>
        </w:rPr>
        <w:t>款约</w:t>
      </w:r>
      <w:r>
        <w:rPr>
          <w:b/>
          <w:spacing w:val="-2"/>
          <w:sz w:val="21"/>
        </w:rPr>
        <w:t>定的人类免疫缺陷病毒</w:t>
      </w:r>
      <w:r>
        <w:rPr>
          <w:b/>
          <w:sz w:val="21"/>
        </w:rPr>
        <w:t>（</w:t>
      </w:r>
      <w:r>
        <w:rPr>
          <w:rFonts w:ascii="Times New Roman" w:eastAsia="Times New Roman"/>
          <w:b/>
          <w:sz w:val="21"/>
        </w:rPr>
        <w:t>HIV</w:t>
      </w:r>
      <w:r>
        <w:rPr>
          <w:b/>
          <w:sz w:val="21"/>
        </w:rPr>
        <w:t>）</w:t>
      </w:r>
      <w:r>
        <w:rPr>
          <w:b/>
          <w:spacing w:val="-1"/>
          <w:sz w:val="21"/>
        </w:rPr>
        <w:t>感染不在责任免除范围内；</w:t>
      </w:r>
    </w:p>
    <w:p>
      <w:pPr>
        <w:spacing w:line="263" w:lineRule="exact" w:before="2"/>
        <w:ind w:left="538" w:right="0" w:firstLine="0"/>
        <w:jc w:val="left"/>
        <w:rPr>
          <w:b/>
          <w:sz w:val="21"/>
        </w:rPr>
      </w:pPr>
      <w:r>
        <w:rPr>
          <w:b/>
          <w:sz w:val="21"/>
        </w:rPr>
        <w:t>（</w:t>
      </w:r>
      <w:r>
        <w:rPr>
          <w:rFonts w:ascii="Times New Roman" w:eastAsia="Times New Roman"/>
          <w:b/>
          <w:sz w:val="21"/>
        </w:rPr>
        <w:t>6</w:t>
      </w:r>
      <w:r>
        <w:rPr>
          <w:b/>
          <w:sz w:val="21"/>
        </w:rPr>
        <w:t>）战争、军事冲突、暴乱或武装叛乱；</w:t>
      </w:r>
    </w:p>
    <w:p>
      <w:pPr>
        <w:spacing w:line="272" w:lineRule="exact" w:before="0"/>
        <w:ind w:left="538" w:right="0" w:firstLine="0"/>
        <w:jc w:val="left"/>
        <w:rPr>
          <w:b/>
          <w:sz w:val="21"/>
        </w:rPr>
      </w:pPr>
      <w:r>
        <w:rPr>
          <w:b/>
          <w:sz w:val="21"/>
        </w:rPr>
        <w:t>（</w:t>
      </w:r>
      <w:r>
        <w:rPr>
          <w:rFonts w:ascii="Times New Roman" w:eastAsia="Times New Roman"/>
          <w:b/>
          <w:sz w:val="21"/>
        </w:rPr>
        <w:t>7</w:t>
      </w:r>
      <w:r>
        <w:rPr>
          <w:b/>
          <w:sz w:val="21"/>
        </w:rPr>
        <w:t>）核爆炸、核辐射或核污染；</w:t>
      </w:r>
    </w:p>
    <w:p>
      <w:pPr>
        <w:spacing w:line="272" w:lineRule="exact" w:before="0"/>
        <w:ind w:left="538" w:right="0" w:firstLine="0"/>
        <w:jc w:val="left"/>
        <w:rPr>
          <w:b/>
          <w:sz w:val="21"/>
        </w:rPr>
      </w:pPr>
      <w:r>
        <w:rPr>
          <w:b/>
          <w:spacing w:val="1"/>
          <w:w w:val="100"/>
          <w:sz w:val="21"/>
        </w:rPr>
        <w:t>（</w:t>
      </w:r>
      <w:r>
        <w:rPr>
          <w:rFonts w:ascii="Times New Roman" w:eastAsia="Times New Roman"/>
          <w:b/>
          <w:spacing w:val="-3"/>
          <w:w w:val="100"/>
          <w:sz w:val="21"/>
        </w:rPr>
        <w:t>8</w:t>
      </w:r>
      <w:r>
        <w:rPr>
          <w:b/>
          <w:w w:val="100"/>
          <w:sz w:val="21"/>
        </w:rPr>
        <w:t>）遗传性疾病</w:t>
      </w:r>
      <w:r>
        <w:rPr>
          <w:b/>
          <w:spacing w:val="-1"/>
          <w:w w:val="100"/>
          <w:sz w:val="21"/>
        </w:rPr>
        <w:t>（</w:t>
      </w:r>
      <w:r>
        <w:rPr>
          <w:rFonts w:ascii="Times New Roman" w:eastAsia="Times New Roman"/>
          <w:b/>
          <w:spacing w:val="-3"/>
          <w:w w:val="100"/>
          <w:sz w:val="21"/>
        </w:rPr>
        <w:t>1</w:t>
      </w:r>
      <w:r>
        <w:rPr>
          <w:rFonts w:ascii="Times New Roman" w:eastAsia="Times New Roman"/>
          <w:b/>
          <w:w w:val="100"/>
          <w:sz w:val="21"/>
        </w:rPr>
        <w:t>0</w:t>
      </w:r>
      <w:r>
        <w:rPr>
          <w:rFonts w:ascii="Times New Roman" w:eastAsia="Times New Roman"/>
          <w:b/>
          <w:spacing w:val="-1"/>
          <w:w w:val="100"/>
          <w:sz w:val="21"/>
        </w:rPr>
        <w:t>.</w:t>
      </w:r>
      <w:r>
        <w:rPr>
          <w:rFonts w:ascii="Times New Roman" w:eastAsia="Times New Roman"/>
          <w:b/>
          <w:spacing w:val="-3"/>
          <w:w w:val="100"/>
          <w:sz w:val="21"/>
        </w:rPr>
        <w:t>18</w:t>
      </w:r>
      <w:r>
        <w:rPr>
          <w:b/>
          <w:spacing w:val="-106"/>
          <w:w w:val="100"/>
          <w:sz w:val="21"/>
        </w:rPr>
        <w:t>）</w:t>
      </w:r>
      <w:r>
        <w:rPr>
          <w:b/>
          <w:spacing w:val="-2"/>
          <w:w w:val="100"/>
          <w:sz w:val="21"/>
        </w:rPr>
        <w:t>、先天性畸形、变形或染色体异常</w:t>
      </w:r>
      <w:r>
        <w:rPr>
          <w:b/>
          <w:w w:val="100"/>
          <w:sz w:val="21"/>
        </w:rPr>
        <w:t>（</w:t>
      </w:r>
      <w:r>
        <w:rPr>
          <w:rFonts w:ascii="Times New Roman" w:eastAsia="Times New Roman"/>
          <w:b/>
          <w:w w:val="100"/>
          <w:sz w:val="21"/>
        </w:rPr>
        <w:t>10</w:t>
      </w:r>
      <w:r>
        <w:rPr>
          <w:rFonts w:ascii="Times New Roman" w:eastAsia="Times New Roman"/>
          <w:b/>
          <w:spacing w:val="-3"/>
          <w:w w:val="100"/>
          <w:sz w:val="21"/>
        </w:rPr>
        <w:t>.</w:t>
      </w:r>
      <w:r>
        <w:rPr>
          <w:rFonts w:ascii="Times New Roman" w:eastAsia="Times New Roman"/>
          <w:b/>
          <w:w w:val="100"/>
          <w:sz w:val="21"/>
        </w:rPr>
        <w:t>1</w:t>
      </w:r>
      <w:r>
        <w:rPr>
          <w:rFonts w:ascii="Times New Roman" w:eastAsia="Times New Roman"/>
          <w:b/>
          <w:spacing w:val="-3"/>
          <w:w w:val="100"/>
          <w:sz w:val="21"/>
        </w:rPr>
        <w:t>9</w:t>
      </w:r>
      <w:r>
        <w:rPr>
          <w:b/>
          <w:spacing w:val="-106"/>
          <w:w w:val="100"/>
          <w:sz w:val="21"/>
        </w:rPr>
        <w:t>）</w:t>
      </w:r>
      <w:r>
        <w:rPr>
          <w:b/>
          <w:w w:val="100"/>
          <w:sz w:val="21"/>
        </w:rPr>
        <w:t>，但本附加合同第</w:t>
      </w:r>
      <w:r>
        <w:rPr>
          <w:b/>
          <w:spacing w:val="-43"/>
          <w:sz w:val="21"/>
        </w:rPr>
        <w:t> </w:t>
      </w:r>
      <w:r>
        <w:rPr>
          <w:rFonts w:ascii="Times New Roman" w:eastAsia="Times New Roman"/>
          <w:b/>
          <w:w w:val="100"/>
          <w:sz w:val="21"/>
        </w:rPr>
        <w:t>9</w:t>
      </w:r>
      <w:r>
        <w:rPr>
          <w:rFonts w:ascii="Times New Roman" w:eastAsia="Times New Roman"/>
          <w:b/>
          <w:spacing w:val="-3"/>
          <w:w w:val="100"/>
          <w:sz w:val="21"/>
        </w:rPr>
        <w:t>.</w:t>
      </w:r>
      <w:r>
        <w:rPr>
          <w:rFonts w:ascii="Times New Roman" w:eastAsia="Times New Roman"/>
          <w:b/>
          <w:w w:val="100"/>
          <w:sz w:val="21"/>
        </w:rPr>
        <w:t>3</w:t>
      </w:r>
      <w:r>
        <w:rPr>
          <w:rFonts w:ascii="Times New Roman" w:eastAsia="Times New Roman"/>
          <w:b/>
          <w:spacing w:val="-3"/>
          <w:w w:val="100"/>
          <w:sz w:val="21"/>
        </w:rPr>
        <w:t>6</w:t>
      </w:r>
      <w:r>
        <w:rPr>
          <w:b/>
          <w:w w:val="100"/>
          <w:sz w:val="21"/>
        </w:rPr>
        <w:t>、</w:t>
      </w:r>
    </w:p>
    <w:p>
      <w:pPr>
        <w:spacing w:line="272" w:lineRule="exact" w:before="0"/>
        <w:ind w:left="112" w:right="0" w:firstLine="0"/>
        <w:jc w:val="left"/>
        <w:rPr>
          <w:b/>
          <w:sz w:val="21"/>
        </w:rPr>
      </w:pPr>
      <w:r>
        <w:rPr>
          <w:rFonts w:ascii="Times New Roman" w:eastAsia="Times New Roman"/>
          <w:b/>
          <w:sz w:val="21"/>
        </w:rPr>
        <w:t>9.70</w:t>
      </w:r>
      <w:r>
        <w:rPr>
          <w:b/>
          <w:sz w:val="21"/>
        </w:rPr>
        <w:t>、</w:t>
      </w:r>
      <w:r>
        <w:rPr>
          <w:rFonts w:ascii="Times New Roman" w:eastAsia="Times New Roman"/>
          <w:b/>
          <w:sz w:val="21"/>
        </w:rPr>
        <w:t>9.81</w:t>
      </w:r>
      <w:r>
        <w:rPr>
          <w:b/>
          <w:sz w:val="21"/>
        </w:rPr>
        <w:t>、</w:t>
      </w:r>
      <w:r>
        <w:rPr>
          <w:rFonts w:ascii="Times New Roman" w:eastAsia="Times New Roman"/>
          <w:b/>
          <w:sz w:val="21"/>
        </w:rPr>
        <w:t>9.82 </w:t>
      </w:r>
      <w:r>
        <w:rPr>
          <w:b/>
          <w:sz w:val="21"/>
        </w:rPr>
        <w:t>以及 </w:t>
      </w:r>
      <w:r>
        <w:rPr>
          <w:rFonts w:ascii="Times New Roman" w:eastAsia="Times New Roman"/>
          <w:b/>
          <w:sz w:val="21"/>
        </w:rPr>
        <w:t>9.98 </w:t>
      </w:r>
      <w:r>
        <w:rPr>
          <w:b/>
          <w:sz w:val="21"/>
        </w:rPr>
        <w:t>款约定的遗传性疾病不在责任免除范围内。</w:t>
      </w:r>
    </w:p>
    <w:p>
      <w:pPr>
        <w:spacing w:line="225" w:lineRule="auto" w:before="7"/>
        <w:ind w:left="112" w:right="216" w:firstLine="425"/>
        <w:jc w:val="left"/>
        <w:rPr>
          <w:b/>
          <w:sz w:val="21"/>
        </w:rPr>
      </w:pPr>
      <w:r>
        <w:rPr>
          <w:b/>
          <w:spacing w:val="-8"/>
          <w:sz w:val="21"/>
        </w:rPr>
        <w:t>发生上述第 </w:t>
      </w:r>
      <w:r>
        <w:rPr>
          <w:rFonts w:ascii="Times New Roman" w:eastAsia="Times New Roman"/>
          <w:b/>
          <w:sz w:val="21"/>
        </w:rPr>
        <w:t>1 </w:t>
      </w:r>
      <w:r>
        <w:rPr>
          <w:b/>
          <w:spacing w:val="-5"/>
          <w:sz w:val="21"/>
        </w:rPr>
        <w:t>项情形导致被保险人患有第 </w:t>
      </w:r>
      <w:r>
        <w:rPr>
          <w:rFonts w:ascii="Times New Roman" w:eastAsia="Times New Roman"/>
          <w:b/>
          <w:sz w:val="21"/>
        </w:rPr>
        <w:t>9 </w:t>
      </w:r>
      <w:r>
        <w:rPr>
          <w:b/>
          <w:spacing w:val="-2"/>
          <w:sz w:val="21"/>
        </w:rPr>
        <w:t>条约定的重大疾病的，本附加合同效力终止，我们</w:t>
      </w:r>
      <w:r>
        <w:rPr>
          <w:b/>
          <w:spacing w:val="-3"/>
          <w:sz w:val="21"/>
        </w:rPr>
        <w:t>向被保险人退还本附加合同的现金价值。</w:t>
      </w:r>
    </w:p>
    <w:p>
      <w:pPr>
        <w:spacing w:line="225" w:lineRule="auto" w:before="13"/>
        <w:ind w:left="112" w:right="155" w:firstLine="425"/>
        <w:jc w:val="left"/>
        <w:rPr>
          <w:b/>
          <w:sz w:val="21"/>
        </w:rPr>
      </w:pPr>
      <w:r>
        <w:rPr>
          <w:b/>
          <w:sz w:val="21"/>
        </w:rPr>
        <w:t>发生上述其他情形导致被保险人患有第 </w:t>
      </w:r>
      <w:r>
        <w:rPr>
          <w:rFonts w:ascii="Times New Roman" w:eastAsia="Times New Roman"/>
          <w:b/>
          <w:sz w:val="21"/>
        </w:rPr>
        <w:t>9 </w:t>
      </w:r>
      <w:r>
        <w:rPr>
          <w:b/>
          <w:sz w:val="21"/>
        </w:rPr>
        <w:t>条约定的重大疾病的，本附加合同效力终止，我们向您退还本附加合同的现金价值。</w:t>
      </w:r>
    </w:p>
    <w:p>
      <w:pPr>
        <w:pStyle w:val="BodyText"/>
        <w:spacing w:before="9"/>
        <w:rPr>
          <w:b/>
          <w:sz w:val="17"/>
        </w:rPr>
      </w:pPr>
    </w:p>
    <w:p>
      <w:pPr>
        <w:pStyle w:val="ListParagraph"/>
        <w:numPr>
          <w:ilvl w:val="0"/>
          <w:numId w:val="2"/>
        </w:numPr>
        <w:tabs>
          <w:tab w:pos="1077" w:val="left" w:leader="none"/>
          <w:tab w:pos="1078" w:val="left" w:leader="none"/>
        </w:tabs>
        <w:spacing w:line="325" w:lineRule="exact" w:before="1" w:after="0"/>
        <w:ind w:left="1078" w:right="0" w:hanging="480"/>
        <w:jc w:val="left"/>
        <w:rPr>
          <w:b/>
          <w:sz w:val="24"/>
        </w:rPr>
      </w:pPr>
      <w:r>
        <w:rPr>
          <w:b/>
          <w:sz w:val="24"/>
        </w:rPr>
        <w:t>保险金的申请</w:t>
      </w:r>
    </w:p>
    <w:p>
      <w:pPr>
        <w:pStyle w:val="ListParagraph"/>
        <w:numPr>
          <w:ilvl w:val="1"/>
          <w:numId w:val="2"/>
        </w:numPr>
        <w:tabs>
          <w:tab w:pos="1008" w:val="left" w:leader="none"/>
          <w:tab w:pos="1009" w:val="left" w:leader="none"/>
        </w:tabs>
        <w:spacing w:line="274" w:lineRule="exact" w:before="0" w:after="0"/>
        <w:ind w:left="1008" w:right="0" w:hanging="473"/>
        <w:jc w:val="left"/>
        <w:rPr>
          <w:b/>
          <w:sz w:val="21"/>
        </w:rPr>
      </w:pPr>
      <w:r>
        <w:rPr>
          <w:b/>
          <w:sz w:val="21"/>
        </w:rPr>
        <w:t>保险金的申请</w:t>
      </w:r>
    </w:p>
    <w:p>
      <w:pPr>
        <w:pStyle w:val="BodyText"/>
        <w:spacing w:line="264" w:lineRule="exact"/>
        <w:ind w:left="535"/>
      </w:pPr>
      <w:r>
        <w:rPr/>
        <w:t>申请保险金时，申请人须填写保险金申请书，并须提供下列证明和资料：</w:t>
      </w:r>
    </w:p>
    <w:p>
      <w:pPr>
        <w:pStyle w:val="BodyText"/>
        <w:spacing w:line="280" w:lineRule="exact"/>
        <w:ind w:left="535"/>
      </w:pPr>
      <w:r>
        <w:rPr/>
        <w:t>（</w:t>
      </w:r>
      <w:r>
        <w:rPr>
          <w:rFonts w:ascii="Times New Roman" w:eastAsia="Times New Roman"/>
        </w:rPr>
        <w:t>1</w:t>
      </w:r>
      <w:r>
        <w:rPr/>
        <w:t>）保险合同；</w:t>
      </w:r>
    </w:p>
    <w:p>
      <w:pPr>
        <w:pStyle w:val="BodyText"/>
        <w:spacing w:line="272" w:lineRule="exact"/>
        <w:ind w:left="535"/>
      </w:pPr>
      <w:r>
        <w:rPr/>
        <w:t>（</w:t>
      </w:r>
      <w:r>
        <w:rPr>
          <w:rFonts w:ascii="Times New Roman" w:eastAsia="Times New Roman"/>
        </w:rPr>
        <w:t>2</w:t>
      </w:r>
      <w:r>
        <w:rPr/>
        <w:t>）申请人的有效身份证件；</w:t>
      </w:r>
    </w:p>
    <w:p>
      <w:pPr>
        <w:spacing w:line="272" w:lineRule="exact" w:before="0"/>
        <w:ind w:left="535" w:right="0" w:firstLine="0"/>
        <w:jc w:val="left"/>
        <w:rPr>
          <w:sz w:val="21"/>
        </w:rPr>
      </w:pPr>
      <w:r>
        <w:rPr>
          <w:sz w:val="21"/>
        </w:rPr>
        <w:t>（</w:t>
      </w:r>
      <w:r>
        <w:rPr>
          <w:rFonts w:ascii="Times New Roman" w:eastAsia="Times New Roman"/>
          <w:sz w:val="21"/>
        </w:rPr>
        <w:t>3</w:t>
      </w:r>
      <w:r>
        <w:rPr>
          <w:sz w:val="21"/>
        </w:rPr>
        <w:t>）</w:t>
      </w:r>
      <w:r>
        <w:rPr>
          <w:b/>
          <w:sz w:val="21"/>
        </w:rPr>
        <w:t>医院（</w:t>
      </w:r>
      <w:r>
        <w:rPr>
          <w:rFonts w:ascii="Times New Roman" w:eastAsia="Times New Roman"/>
          <w:b/>
          <w:sz w:val="21"/>
        </w:rPr>
        <w:t>10.20</w:t>
      </w:r>
      <w:r>
        <w:rPr>
          <w:b/>
          <w:sz w:val="21"/>
        </w:rPr>
        <w:t>）</w:t>
      </w:r>
      <w:r>
        <w:rPr>
          <w:sz w:val="21"/>
        </w:rPr>
        <w:t>出具的诊断证明、病历及检查报告；</w:t>
      </w:r>
    </w:p>
    <w:p>
      <w:pPr>
        <w:pStyle w:val="BodyText"/>
        <w:spacing w:line="272" w:lineRule="exact"/>
        <w:ind w:left="535"/>
      </w:pPr>
      <w:r>
        <w:rPr/>
        <w:t>（</w:t>
      </w:r>
      <w:r>
        <w:rPr>
          <w:rFonts w:ascii="Times New Roman" w:eastAsia="Times New Roman"/>
        </w:rPr>
        <w:t>4</w:t>
      </w:r>
      <w:r>
        <w:rPr/>
        <w:t>）所能提供的与确认保险事故的性质、原因等有关的其他证明和资料。</w:t>
      </w:r>
    </w:p>
    <w:p>
      <w:pPr>
        <w:pStyle w:val="BodyText"/>
        <w:spacing w:line="265" w:lineRule="exact"/>
        <w:ind w:left="535"/>
      </w:pPr>
      <w:r>
        <w:rPr/>
        <w:t>以上申请资料和证明不完整的，我们将及时一次性通知申请人补充提供有关资料和证明。</w:t>
      </w:r>
    </w:p>
    <w:p>
      <w:pPr>
        <w:spacing w:after="0" w:line="265" w:lineRule="exact"/>
        <w:sectPr>
          <w:pgSz w:w="11910" w:h="16840"/>
          <w:pgMar w:header="0" w:footer="1239" w:top="1060" w:bottom="1420" w:left="1020" w:right="1480"/>
        </w:sectPr>
      </w:pPr>
    </w:p>
    <w:p>
      <w:pPr>
        <w:pStyle w:val="Heading2"/>
        <w:numPr>
          <w:ilvl w:val="1"/>
          <w:numId w:val="2"/>
        </w:numPr>
        <w:tabs>
          <w:tab w:pos="997" w:val="left" w:leader="none"/>
          <w:tab w:pos="998" w:val="left" w:leader="none"/>
        </w:tabs>
        <w:spacing w:line="282" w:lineRule="exact" w:before="20" w:after="0"/>
        <w:ind w:left="997" w:right="0" w:hanging="473"/>
        <w:jc w:val="left"/>
      </w:pPr>
      <w:r>
        <w:rPr/>
        <w:t>保险金的给付</w:t>
      </w:r>
    </w:p>
    <w:p>
      <w:pPr>
        <w:pStyle w:val="BodyText"/>
        <w:spacing w:line="223" w:lineRule="auto" w:before="11"/>
        <w:ind w:left="102" w:right="116" w:firstLine="422"/>
      </w:pPr>
      <w:r>
        <w:rPr/>
        <w:t>我们在收到保险金给付申请书及合同约定的证明和资料后，将在</w:t>
      </w:r>
      <w:r>
        <w:rPr>
          <w:rFonts w:ascii="Times New Roman" w:eastAsia="Times New Roman"/>
        </w:rPr>
        <w:t>5</w:t>
      </w:r>
      <w:r>
        <w:rPr/>
        <w:t>日内作出核定；情形复杂的， 在</w:t>
      </w:r>
      <w:r>
        <w:rPr>
          <w:rFonts w:ascii="Times New Roman" w:eastAsia="Times New Roman"/>
        </w:rPr>
        <w:t>30</w:t>
      </w:r>
      <w:r>
        <w:rPr/>
        <w:t>日内作出核定。</w:t>
      </w:r>
    </w:p>
    <w:p>
      <w:pPr>
        <w:pStyle w:val="BodyText"/>
        <w:spacing w:line="223" w:lineRule="auto" w:before="2"/>
        <w:ind w:left="524" w:right="222"/>
      </w:pPr>
      <w:r>
        <w:rPr/>
        <w:t>对属于保险责任的，我们在与受益人达成给付保险金的协议后</w:t>
      </w:r>
      <w:r>
        <w:rPr>
          <w:rFonts w:ascii="Times New Roman" w:eastAsia="Times New Roman"/>
        </w:rPr>
        <w:t>10</w:t>
      </w:r>
      <w:r>
        <w:rPr/>
        <w:t>日内，履行给付保险金义务。我们未及时履行前款规定义务的，除支付保险金外，我们将从第</w:t>
      </w:r>
      <w:r>
        <w:rPr>
          <w:rFonts w:ascii="Times New Roman" w:eastAsia="Times New Roman"/>
        </w:rPr>
        <w:t>31</w:t>
      </w:r>
      <w:r>
        <w:rPr/>
        <w:t>日起按超过天数赔偿受益人</w:t>
      </w:r>
    </w:p>
    <w:p>
      <w:pPr>
        <w:pStyle w:val="BodyText"/>
        <w:spacing w:line="230" w:lineRule="auto"/>
        <w:ind w:left="102" w:right="224"/>
        <w:jc w:val="both"/>
      </w:pPr>
      <w:r>
        <w:rPr/>
        <w:t>因此受到的利息损失。利息按照中国人民银行公布的同期金融机构人民币一年期定期存款利率单利计算。若我们要求投保人、被保险人或者受益人补充提供有关证明和资料的，则上述的</w:t>
      </w:r>
      <w:r>
        <w:rPr>
          <w:rFonts w:ascii="Times New Roman" w:eastAsia="Times New Roman"/>
        </w:rPr>
        <w:t>30</w:t>
      </w:r>
      <w:r>
        <w:rPr/>
        <w:t>日不包括补充提供有关证明和资料的期间。</w:t>
      </w:r>
    </w:p>
    <w:p>
      <w:pPr>
        <w:pStyle w:val="BodyText"/>
        <w:spacing w:line="225" w:lineRule="auto" w:before="20"/>
        <w:ind w:left="102" w:right="184" w:firstLine="422"/>
      </w:pPr>
      <w:r>
        <w:rPr>
          <w:spacing w:val="-10"/>
        </w:rPr>
        <w:t>对不属于保险责任的，我们自作出核定之日起</w:t>
      </w:r>
      <w:r>
        <w:rPr>
          <w:rFonts w:ascii="Times New Roman" w:eastAsia="Times New Roman"/>
          <w:spacing w:val="-3"/>
        </w:rPr>
        <w:t>3</w:t>
      </w:r>
      <w:r>
        <w:rPr>
          <w:spacing w:val="-3"/>
        </w:rPr>
        <w:t>日内向受益人发出拒绝给付保险金通知书并说明理由。</w:t>
      </w:r>
    </w:p>
    <w:p>
      <w:pPr>
        <w:pStyle w:val="BodyText"/>
        <w:spacing w:line="230" w:lineRule="auto" w:before="7"/>
        <w:ind w:left="102" w:right="222" w:firstLine="422"/>
        <w:jc w:val="both"/>
      </w:pPr>
      <w:r>
        <w:rPr/>
        <w:t>我们在收到保险金给付申请书及有关证明和资料之日起</w:t>
      </w:r>
      <w:r>
        <w:rPr>
          <w:rFonts w:ascii="Times New Roman" w:eastAsia="Times New Roman"/>
        </w:rPr>
        <w:t>60</w:t>
      </w:r>
      <w:r>
        <w:rPr/>
        <w:t>日内，对给付保险金的数额不能确定的，根据已有证明和资料可以确定的数额先予支付；我们最终确定给付保险金的数额后，将支付相应的差额。</w:t>
      </w:r>
    </w:p>
    <w:p>
      <w:pPr>
        <w:pStyle w:val="BodyText"/>
        <w:spacing w:before="2"/>
        <w:rPr>
          <w:sz w:val="18"/>
        </w:rPr>
      </w:pPr>
    </w:p>
    <w:p>
      <w:pPr>
        <w:pStyle w:val="Heading2"/>
        <w:numPr>
          <w:ilvl w:val="1"/>
          <w:numId w:val="2"/>
        </w:numPr>
        <w:tabs>
          <w:tab w:pos="997" w:val="left" w:leader="none"/>
          <w:tab w:pos="998" w:val="left" w:leader="none"/>
        </w:tabs>
        <w:spacing w:line="282" w:lineRule="exact" w:before="1" w:after="0"/>
        <w:ind w:left="997" w:right="0" w:hanging="473"/>
        <w:jc w:val="left"/>
      </w:pPr>
      <w:r>
        <w:rPr/>
        <w:t>诉讼时效</w:t>
      </w:r>
    </w:p>
    <w:p>
      <w:pPr>
        <w:pStyle w:val="BodyText"/>
        <w:spacing w:line="223" w:lineRule="auto" w:before="12"/>
        <w:ind w:left="102" w:right="143" w:firstLine="422"/>
      </w:pPr>
      <w:r>
        <w:rPr/>
        <w:t>受益人及其他有权领取保险金的人向我们请求给付保险金的诉讼时效期间为 </w:t>
      </w:r>
      <w:r>
        <w:rPr>
          <w:rFonts w:ascii="Times New Roman" w:eastAsia="Times New Roman"/>
        </w:rPr>
        <w:t>2 </w:t>
      </w:r>
      <w:r>
        <w:rPr/>
        <w:t>年，自其知道或者应当知道保险事故发生之日起计算。</w:t>
      </w:r>
    </w:p>
    <w:p>
      <w:pPr>
        <w:pStyle w:val="BodyText"/>
        <w:spacing w:before="10"/>
        <w:rPr>
          <w:sz w:val="17"/>
        </w:rPr>
      </w:pPr>
    </w:p>
    <w:p>
      <w:pPr>
        <w:pStyle w:val="Heading1"/>
        <w:numPr>
          <w:ilvl w:val="0"/>
          <w:numId w:val="2"/>
        </w:numPr>
        <w:tabs>
          <w:tab w:pos="1066" w:val="left" w:leader="none"/>
          <w:tab w:pos="1067" w:val="left" w:leader="none"/>
        </w:tabs>
        <w:spacing w:line="325" w:lineRule="exact" w:before="0" w:after="0"/>
        <w:ind w:left="1066" w:right="0" w:hanging="480"/>
        <w:jc w:val="left"/>
      </w:pPr>
      <w:r>
        <w:rPr/>
        <w:t>保险费的支付</w:t>
      </w:r>
    </w:p>
    <w:p>
      <w:pPr>
        <w:pStyle w:val="Heading2"/>
        <w:numPr>
          <w:ilvl w:val="1"/>
          <w:numId w:val="2"/>
        </w:numPr>
        <w:tabs>
          <w:tab w:pos="997" w:val="left" w:leader="none"/>
          <w:tab w:pos="998" w:val="left" w:leader="none"/>
        </w:tabs>
        <w:spacing w:line="275" w:lineRule="exact" w:before="0" w:after="0"/>
        <w:ind w:left="997" w:right="0" w:hanging="473"/>
        <w:jc w:val="left"/>
      </w:pPr>
      <w:r>
        <w:rPr/>
        <w:t>保险费的支付</w:t>
      </w:r>
    </w:p>
    <w:p>
      <w:pPr>
        <w:pStyle w:val="BodyText"/>
        <w:spacing w:line="264" w:lineRule="exact"/>
        <w:ind w:left="524"/>
      </w:pPr>
      <w:r>
        <w:rPr/>
        <w:t>本附加合同保险费的支付方式和支付期限由您和我们约定并在保险单上载明。</w:t>
      </w:r>
    </w:p>
    <w:p>
      <w:pPr>
        <w:pStyle w:val="BodyText"/>
        <w:spacing w:line="237" w:lineRule="auto"/>
        <w:ind w:left="102" w:right="222" w:firstLine="422"/>
      </w:pPr>
      <w:r>
        <w:rPr/>
        <w:t>分期支付的保险费，在支付首期保险费后，您应当在每个保险费约定支付日或之前支付当期保险费。</w:t>
      </w:r>
    </w:p>
    <w:p>
      <w:pPr>
        <w:pStyle w:val="BodyText"/>
        <w:spacing w:before="4"/>
        <w:rPr>
          <w:sz w:val="18"/>
        </w:rPr>
      </w:pPr>
    </w:p>
    <w:p>
      <w:pPr>
        <w:pStyle w:val="Heading2"/>
        <w:numPr>
          <w:ilvl w:val="1"/>
          <w:numId w:val="2"/>
        </w:numPr>
        <w:tabs>
          <w:tab w:pos="997" w:val="left" w:leader="none"/>
          <w:tab w:pos="998" w:val="left" w:leader="none"/>
        </w:tabs>
        <w:spacing w:line="281" w:lineRule="exact" w:before="1" w:after="0"/>
        <w:ind w:left="997" w:right="0" w:hanging="473"/>
        <w:jc w:val="left"/>
      </w:pPr>
      <w:r>
        <w:rPr/>
        <w:t>保险费支付的宽限期</w:t>
      </w:r>
    </w:p>
    <w:p>
      <w:pPr>
        <w:pStyle w:val="BodyText"/>
        <w:spacing w:line="230" w:lineRule="auto" w:before="1"/>
        <w:ind w:left="102" w:right="222" w:firstLine="422"/>
        <w:jc w:val="both"/>
      </w:pPr>
      <w:r>
        <w:rPr/>
        <w:t>分期支付保险费的，您支付首期保险费后，除本附加合同另有约定外，如果您到期未支付保险费，自保险费约定支付日的次日零时起</w:t>
      </w:r>
      <w:r>
        <w:rPr>
          <w:rFonts w:ascii="Times New Roman" w:eastAsia="Times New Roman"/>
        </w:rPr>
        <w:t>60</w:t>
      </w:r>
      <w:r>
        <w:rPr/>
        <w:t>日为宽限期。宽限期内发生的保险事故，我们仍会承担保险责任，但在给付保险金时会扣减您欠付的保险费。</w:t>
      </w:r>
    </w:p>
    <w:p>
      <w:pPr>
        <w:pStyle w:val="BodyText"/>
        <w:spacing w:line="271" w:lineRule="exact"/>
        <w:ind w:left="524"/>
      </w:pPr>
      <w:r>
        <w:rPr/>
        <w:t>如果您宽限期结束之后仍未支付保险费，则本附加合同自宽限期满的次日零时起效力中止。</w:t>
      </w:r>
    </w:p>
    <w:p>
      <w:pPr>
        <w:pStyle w:val="BodyText"/>
        <w:spacing w:before="5"/>
        <w:rPr>
          <w:sz w:val="18"/>
        </w:rPr>
      </w:pPr>
    </w:p>
    <w:p>
      <w:pPr>
        <w:pStyle w:val="Heading2"/>
        <w:numPr>
          <w:ilvl w:val="1"/>
          <w:numId w:val="2"/>
        </w:numPr>
        <w:tabs>
          <w:tab w:pos="997" w:val="left" w:leader="none"/>
          <w:tab w:pos="998" w:val="left" w:leader="none"/>
        </w:tabs>
        <w:spacing w:line="281" w:lineRule="exact" w:before="1" w:after="0"/>
        <w:ind w:left="997" w:right="0" w:hanging="473"/>
        <w:jc w:val="left"/>
      </w:pPr>
      <w:r>
        <w:rPr/>
        <w:t>减额交清保险</w:t>
      </w:r>
    </w:p>
    <w:p>
      <w:pPr>
        <w:pStyle w:val="BodyText"/>
        <w:spacing w:line="237" w:lineRule="auto"/>
        <w:ind w:left="102" w:right="222" w:firstLine="422"/>
        <w:jc w:val="both"/>
      </w:pPr>
      <w:r>
        <w:rPr/>
        <w:t>分期支付保险费的，在本附加合同有效期内，若您向我们申请将主合同变更为减额交清保险， 且本附加合同有现金价值，则本附加合同同时变更为减额交清保险，您无需再支付任何保险费，本附加合同继续有效，其给付条件不变，给付金额以变更为减额交清保险后的基本保险金额为准。变更为减额交清保险后的基本保险金额以宽限期开始前一日本附加合同的现金价值余额计算得出。</w:t>
      </w:r>
    </w:p>
    <w:p>
      <w:pPr>
        <w:pStyle w:val="BodyText"/>
        <w:spacing w:line="274" w:lineRule="exact" w:before="6"/>
        <w:ind w:left="524"/>
      </w:pPr>
      <w:r>
        <w:rPr/>
        <w:t>变更为减额交清保险后的基本保险金额不得低于我们当时规定的最低保险金额。</w:t>
      </w:r>
    </w:p>
    <w:p>
      <w:pPr>
        <w:pStyle w:val="BodyText"/>
        <w:spacing w:before="9"/>
        <w:rPr>
          <w:sz w:val="17"/>
        </w:rPr>
      </w:pPr>
    </w:p>
    <w:p>
      <w:pPr>
        <w:pStyle w:val="Heading1"/>
        <w:numPr>
          <w:ilvl w:val="0"/>
          <w:numId w:val="2"/>
        </w:numPr>
        <w:tabs>
          <w:tab w:pos="1066" w:val="left" w:leader="none"/>
          <w:tab w:pos="1067" w:val="left" w:leader="none"/>
        </w:tabs>
        <w:spacing w:line="325" w:lineRule="exact" w:before="0" w:after="0"/>
        <w:ind w:left="1066" w:right="0" w:hanging="480"/>
        <w:jc w:val="left"/>
      </w:pPr>
      <w:r>
        <w:rPr/>
        <w:t>现金价值权益</w:t>
      </w:r>
    </w:p>
    <w:p>
      <w:pPr>
        <w:pStyle w:val="Heading2"/>
        <w:numPr>
          <w:ilvl w:val="1"/>
          <w:numId w:val="2"/>
        </w:numPr>
        <w:tabs>
          <w:tab w:pos="997" w:val="left" w:leader="none"/>
          <w:tab w:pos="998" w:val="left" w:leader="none"/>
        </w:tabs>
        <w:spacing w:line="274" w:lineRule="exact" w:before="0" w:after="0"/>
        <w:ind w:left="997" w:right="0" w:hanging="473"/>
        <w:jc w:val="left"/>
      </w:pPr>
      <w:r>
        <w:rPr/>
        <w:t>现金价值</w:t>
      </w:r>
    </w:p>
    <w:p>
      <w:pPr>
        <w:pStyle w:val="BodyText"/>
        <w:spacing w:line="265" w:lineRule="exact"/>
        <w:ind w:left="524"/>
      </w:pPr>
      <w:r>
        <w:rPr/>
        <w:t>本附加合同的每个保单年度末的现金价值会在保险单上载明。</w:t>
      </w:r>
    </w:p>
    <w:p>
      <w:pPr>
        <w:pStyle w:val="BodyText"/>
        <w:spacing w:before="9"/>
        <w:rPr>
          <w:sz w:val="17"/>
        </w:rPr>
      </w:pPr>
    </w:p>
    <w:p>
      <w:pPr>
        <w:pStyle w:val="Heading1"/>
        <w:numPr>
          <w:ilvl w:val="0"/>
          <w:numId w:val="2"/>
        </w:numPr>
        <w:tabs>
          <w:tab w:pos="1066" w:val="left" w:leader="none"/>
          <w:tab w:pos="1067" w:val="left" w:leader="none"/>
        </w:tabs>
        <w:spacing w:line="325" w:lineRule="exact" w:before="0" w:after="0"/>
        <w:ind w:left="1066" w:right="0" w:hanging="480"/>
        <w:jc w:val="left"/>
      </w:pPr>
      <w:r>
        <w:rPr/>
        <w:t>合同效力的中止及恢复</w:t>
      </w:r>
    </w:p>
    <w:p>
      <w:pPr>
        <w:pStyle w:val="Heading2"/>
        <w:numPr>
          <w:ilvl w:val="1"/>
          <w:numId w:val="2"/>
        </w:numPr>
        <w:tabs>
          <w:tab w:pos="997" w:val="left" w:leader="none"/>
          <w:tab w:pos="998" w:val="left" w:leader="none"/>
        </w:tabs>
        <w:spacing w:line="274" w:lineRule="exact" w:before="0" w:after="0"/>
        <w:ind w:left="997" w:right="0" w:hanging="473"/>
        <w:jc w:val="left"/>
      </w:pPr>
      <w:r>
        <w:rPr/>
        <w:t>附加合同效力的中止</w:t>
      </w:r>
    </w:p>
    <w:p>
      <w:pPr>
        <w:pStyle w:val="BodyText"/>
        <w:spacing w:line="265" w:lineRule="exact"/>
        <w:ind w:left="524"/>
      </w:pPr>
      <w:r>
        <w:rPr/>
        <w:t>若主合同效力中止，本附加合同效力随即中止，效力中止期间，我们不承担保险责任。</w:t>
      </w:r>
    </w:p>
    <w:p>
      <w:pPr>
        <w:pStyle w:val="BodyText"/>
        <w:spacing w:before="5"/>
        <w:rPr>
          <w:sz w:val="18"/>
        </w:rPr>
      </w:pPr>
    </w:p>
    <w:p>
      <w:pPr>
        <w:pStyle w:val="Heading2"/>
        <w:numPr>
          <w:ilvl w:val="1"/>
          <w:numId w:val="2"/>
        </w:numPr>
        <w:tabs>
          <w:tab w:pos="997" w:val="left" w:leader="none"/>
          <w:tab w:pos="998" w:val="left" w:leader="none"/>
        </w:tabs>
        <w:spacing w:line="281" w:lineRule="exact" w:before="0" w:after="0"/>
        <w:ind w:left="997" w:right="0" w:hanging="473"/>
        <w:jc w:val="left"/>
      </w:pPr>
      <w:r>
        <w:rPr/>
        <w:t>附加合同效力的恢复</w:t>
      </w:r>
    </w:p>
    <w:p>
      <w:pPr>
        <w:pStyle w:val="BodyText"/>
        <w:spacing w:line="265" w:lineRule="exact"/>
        <w:ind w:left="524"/>
      </w:pPr>
      <w:r>
        <w:rPr/>
        <w:t>若主合同效力恢复，本附加合同效力随即恢复。</w:t>
      </w:r>
    </w:p>
    <w:p>
      <w:pPr>
        <w:pStyle w:val="BodyText"/>
        <w:spacing w:before="10"/>
        <w:rPr>
          <w:sz w:val="17"/>
        </w:rPr>
      </w:pPr>
    </w:p>
    <w:p>
      <w:pPr>
        <w:pStyle w:val="Heading1"/>
        <w:numPr>
          <w:ilvl w:val="0"/>
          <w:numId w:val="2"/>
        </w:numPr>
        <w:tabs>
          <w:tab w:pos="1066" w:val="left" w:leader="none"/>
          <w:tab w:pos="1067" w:val="left" w:leader="none"/>
        </w:tabs>
        <w:spacing w:line="325" w:lineRule="exact" w:before="0" w:after="0"/>
        <w:ind w:left="1066" w:right="0" w:hanging="480"/>
        <w:jc w:val="left"/>
      </w:pPr>
      <w:r>
        <w:rPr>
          <w:w w:val="95"/>
        </w:rPr>
        <w:t>合同解除及效力终止</w:t>
      </w:r>
    </w:p>
    <w:p>
      <w:pPr>
        <w:pStyle w:val="Heading2"/>
        <w:numPr>
          <w:ilvl w:val="1"/>
          <w:numId w:val="2"/>
        </w:numPr>
        <w:tabs>
          <w:tab w:pos="997" w:val="left" w:leader="none"/>
          <w:tab w:pos="998" w:val="left" w:leader="none"/>
        </w:tabs>
        <w:spacing w:line="274" w:lineRule="exact" w:before="0" w:after="0"/>
        <w:ind w:left="997" w:right="0" w:hanging="473"/>
        <w:jc w:val="left"/>
      </w:pPr>
      <w:r>
        <w:rPr>
          <w:spacing w:val="-1"/>
        </w:rPr>
        <w:t>解除合同的手续及风险</w:t>
      </w:r>
    </w:p>
    <w:p>
      <w:pPr>
        <w:pStyle w:val="BodyText"/>
        <w:spacing w:line="264" w:lineRule="exact"/>
        <w:ind w:left="524"/>
      </w:pPr>
      <w:r>
        <w:rPr/>
        <w:t>如您在犹豫期后申请解除本附加合同，请填写解除合同申请书并向我们提供下列资料：</w:t>
      </w:r>
    </w:p>
    <w:p>
      <w:pPr>
        <w:pStyle w:val="BodyText"/>
        <w:spacing w:line="290" w:lineRule="exact"/>
        <w:ind w:left="524"/>
      </w:pPr>
      <w:r>
        <w:rPr/>
        <w:t>（</w:t>
      </w:r>
      <w:r>
        <w:rPr>
          <w:rFonts w:ascii="Times New Roman" w:eastAsia="Times New Roman"/>
        </w:rPr>
        <w:t>1</w:t>
      </w:r>
      <w:r>
        <w:rPr/>
        <w:t>）保险合同；</w:t>
      </w:r>
    </w:p>
    <w:p>
      <w:pPr>
        <w:spacing w:after="0" w:line="290" w:lineRule="exact"/>
        <w:sectPr>
          <w:pgSz w:w="11910" w:h="16840"/>
          <w:pgMar w:header="0" w:footer="1239" w:top="1060" w:bottom="1420" w:left="1600" w:right="940"/>
        </w:sectPr>
      </w:pPr>
    </w:p>
    <w:p>
      <w:pPr>
        <w:pStyle w:val="BodyText"/>
        <w:spacing w:line="282" w:lineRule="exact" w:before="20"/>
        <w:ind w:left="535"/>
      </w:pPr>
      <w:r>
        <w:rPr/>
        <w:t>（</w:t>
      </w:r>
      <w:r>
        <w:rPr>
          <w:rFonts w:ascii="Times New Roman" w:eastAsia="Times New Roman"/>
        </w:rPr>
        <w:t>2</w:t>
      </w:r>
      <w:r>
        <w:rPr/>
        <w:t>）您的有效身份证件。</w:t>
      </w:r>
    </w:p>
    <w:p>
      <w:pPr>
        <w:pStyle w:val="BodyText"/>
        <w:spacing w:line="223" w:lineRule="auto" w:before="11"/>
        <w:ind w:left="112" w:right="115" w:firstLine="422"/>
      </w:pPr>
      <w:r>
        <w:rPr/>
        <w:t>自我们收到解除合同申请书时起，本附加合同效力终止。我们自收到解除合同申请书之日起</w:t>
      </w:r>
      <w:r>
        <w:rPr>
          <w:rFonts w:ascii="Times New Roman" w:eastAsia="Times New Roman"/>
        </w:rPr>
        <w:t>30 </w:t>
      </w:r>
      <w:r>
        <w:rPr/>
        <w:t>日内向您退还本附加合同现金价值扣除您尚未偿还的各项欠款之后的余额。</w:t>
      </w:r>
    </w:p>
    <w:p>
      <w:pPr>
        <w:pStyle w:val="BodyText"/>
        <w:spacing w:line="274" w:lineRule="exact"/>
        <w:ind w:left="535"/>
      </w:pPr>
      <w:r>
        <w:rPr/>
        <w:t>您犹豫期后解除合同会遭受一定损失。</w:t>
      </w:r>
    </w:p>
    <w:p>
      <w:pPr>
        <w:pStyle w:val="BodyText"/>
        <w:spacing w:before="3"/>
        <w:rPr>
          <w:sz w:val="18"/>
        </w:rPr>
      </w:pPr>
    </w:p>
    <w:p>
      <w:pPr>
        <w:pStyle w:val="Heading2"/>
        <w:numPr>
          <w:ilvl w:val="1"/>
          <w:numId w:val="2"/>
        </w:numPr>
        <w:tabs>
          <w:tab w:pos="1008" w:val="left" w:leader="none"/>
          <w:tab w:pos="1009" w:val="left" w:leader="none"/>
        </w:tabs>
        <w:spacing w:line="281" w:lineRule="exact" w:before="0" w:after="0"/>
        <w:ind w:left="1008" w:right="0" w:hanging="473"/>
        <w:jc w:val="left"/>
      </w:pPr>
      <w:r>
        <w:rPr/>
        <w:t>附加合同效力的终止</w:t>
      </w:r>
    </w:p>
    <w:p>
      <w:pPr>
        <w:pStyle w:val="BodyText"/>
        <w:spacing w:line="264" w:lineRule="exact"/>
        <w:ind w:left="535"/>
      </w:pPr>
      <w:r>
        <w:rPr/>
        <w:t>发生下列情况之一时，本附加合同效力终止：</w:t>
      </w:r>
    </w:p>
    <w:p>
      <w:pPr>
        <w:pStyle w:val="BodyText"/>
        <w:spacing w:line="280" w:lineRule="exact"/>
        <w:ind w:left="535"/>
      </w:pPr>
      <w:r>
        <w:rPr/>
        <w:t>（</w:t>
      </w:r>
      <w:r>
        <w:rPr>
          <w:rFonts w:ascii="Times New Roman" w:eastAsia="Times New Roman"/>
        </w:rPr>
        <w:t>1</w:t>
      </w:r>
      <w:r>
        <w:rPr/>
        <w:t>）被保险人身故；</w:t>
      </w:r>
    </w:p>
    <w:p>
      <w:pPr>
        <w:pStyle w:val="BodyText"/>
        <w:spacing w:line="272" w:lineRule="exact"/>
        <w:ind w:left="535"/>
      </w:pPr>
      <w:r>
        <w:rPr/>
        <w:t>（</w:t>
      </w:r>
      <w:r>
        <w:rPr>
          <w:rFonts w:ascii="Times New Roman" w:eastAsia="Times New Roman"/>
        </w:rPr>
        <w:t>2</w:t>
      </w:r>
      <w:r>
        <w:rPr/>
        <w:t>）本附加合同满期；</w:t>
      </w:r>
    </w:p>
    <w:p>
      <w:pPr>
        <w:pStyle w:val="BodyText"/>
        <w:spacing w:line="272" w:lineRule="exact"/>
        <w:ind w:left="535"/>
      </w:pPr>
      <w:r>
        <w:rPr/>
        <w:t>（</w:t>
      </w:r>
      <w:r>
        <w:rPr>
          <w:rFonts w:ascii="Times New Roman" w:eastAsia="Times New Roman"/>
        </w:rPr>
        <w:t>3</w:t>
      </w:r>
      <w:r>
        <w:rPr/>
        <w:t>）我们收到解除合同申请书；</w:t>
      </w:r>
    </w:p>
    <w:p>
      <w:pPr>
        <w:pStyle w:val="BodyText"/>
        <w:spacing w:line="272" w:lineRule="exact"/>
        <w:ind w:left="535"/>
      </w:pPr>
      <w:r>
        <w:rPr/>
        <w:t>（</w:t>
      </w:r>
      <w:r>
        <w:rPr>
          <w:rFonts w:ascii="Times New Roman" w:eastAsia="Times New Roman"/>
        </w:rPr>
        <w:t>4</w:t>
      </w:r>
      <w:r>
        <w:rPr/>
        <w:t>）主合同效力终止；</w:t>
      </w:r>
    </w:p>
    <w:p>
      <w:pPr>
        <w:pStyle w:val="BodyText"/>
        <w:spacing w:line="282" w:lineRule="exact"/>
        <w:ind w:left="535"/>
      </w:pPr>
      <w:r>
        <w:rPr/>
        <w:t>（</w:t>
      </w:r>
      <w:r>
        <w:rPr>
          <w:rFonts w:ascii="Times New Roman" w:eastAsia="Times New Roman"/>
        </w:rPr>
        <w:t>5</w:t>
      </w:r>
      <w:r>
        <w:rPr/>
        <w:t>）因主合同或本附加合同其他条款所列情况而终止。</w:t>
      </w:r>
    </w:p>
    <w:p>
      <w:pPr>
        <w:pStyle w:val="BodyText"/>
        <w:spacing w:before="6"/>
        <w:rPr>
          <w:sz w:val="16"/>
        </w:rPr>
      </w:pPr>
    </w:p>
    <w:p>
      <w:pPr>
        <w:pStyle w:val="Heading1"/>
        <w:numPr>
          <w:ilvl w:val="0"/>
          <w:numId w:val="2"/>
        </w:numPr>
        <w:tabs>
          <w:tab w:pos="1077" w:val="left" w:leader="none"/>
          <w:tab w:pos="1078" w:val="left" w:leader="none"/>
        </w:tabs>
        <w:spacing w:line="325" w:lineRule="exact" w:before="0" w:after="0"/>
        <w:ind w:left="1078" w:right="0" w:hanging="480"/>
        <w:jc w:val="left"/>
      </w:pPr>
      <w:r>
        <w:rPr>
          <w:w w:val="95"/>
        </w:rPr>
        <w:t>其他需要关注的事项</w:t>
      </w:r>
    </w:p>
    <w:p>
      <w:pPr>
        <w:pStyle w:val="Heading2"/>
        <w:numPr>
          <w:ilvl w:val="1"/>
          <w:numId w:val="2"/>
        </w:numPr>
        <w:tabs>
          <w:tab w:pos="1008" w:val="left" w:leader="none"/>
          <w:tab w:pos="1009" w:val="left" w:leader="none"/>
        </w:tabs>
        <w:spacing w:line="274" w:lineRule="exact" w:before="0" w:after="0"/>
        <w:ind w:left="1008" w:right="0" w:hanging="473"/>
        <w:jc w:val="left"/>
      </w:pPr>
      <w:r>
        <w:rPr/>
        <w:t>明确说明与如实告知</w:t>
      </w:r>
    </w:p>
    <w:p>
      <w:pPr>
        <w:pStyle w:val="BodyText"/>
        <w:spacing w:line="265" w:lineRule="exact"/>
        <w:ind w:left="535"/>
      </w:pPr>
      <w:r>
        <w:rPr/>
        <w:t>订立本附加合同时，我们应向您说明本附加合同的内容。</w:t>
      </w:r>
    </w:p>
    <w:p>
      <w:pPr>
        <w:pStyle w:val="BodyText"/>
        <w:spacing w:line="237" w:lineRule="auto" w:before="2"/>
        <w:ind w:left="112" w:right="151" w:firstLine="422"/>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line="271" w:lineRule="exact"/>
        <w:ind w:left="535"/>
      </w:pPr>
      <w:r>
        <w:rPr/>
        <w:t>我们就您和被保险人的有关情况提出询问，您应当如实告知。</w:t>
      </w:r>
    </w:p>
    <w:p>
      <w:pPr>
        <w:pStyle w:val="BodyText"/>
        <w:spacing w:line="237" w:lineRule="auto" w:before="2"/>
        <w:ind w:left="112" w:right="151" w:firstLine="422"/>
      </w:pPr>
      <w:r>
        <w:rPr/>
        <w:t>如果您故意或者因重大过失未履行前款规定的如实告知义务，足以影响我们决定是否同意承保或者提高保险费率的，我们有权解除本附加合同。</w:t>
      </w:r>
    </w:p>
    <w:p>
      <w:pPr>
        <w:pStyle w:val="BodyText"/>
        <w:ind w:left="112" w:right="151" w:firstLine="422"/>
      </w:pPr>
      <w:r>
        <w:rPr/>
        <w:t>如果您故意不履行如实告知义务，对于本附加合同解除前发生的保险事故，我们不承担给付保险金的责任，并不退还保险费。</w:t>
      </w:r>
    </w:p>
    <w:p>
      <w:pPr>
        <w:pStyle w:val="BodyText"/>
        <w:ind w:left="112" w:right="151" w:firstLine="422"/>
      </w:pPr>
      <w:r>
        <w:rPr/>
        <w:t>如果您因重大过失未履行如实告知义务，对保险事故的发生有严重影响的，对于本附加合同解除前发生的保险事故，我们不承担给付保险金的责任，但应当退还保险费。</w:t>
      </w:r>
    </w:p>
    <w:p>
      <w:pPr>
        <w:pStyle w:val="BodyText"/>
        <w:ind w:left="112" w:right="151" w:firstLine="422"/>
      </w:pPr>
      <w:r>
        <w:rPr/>
        <w:t>我们在合同订立时已经知道您未如实告知的情况的，我们不得解除合同；发生保险事故的，我们承担给付保险金的责任。</w:t>
      </w:r>
    </w:p>
    <w:p>
      <w:pPr>
        <w:pStyle w:val="BodyText"/>
        <w:spacing w:before="6"/>
        <w:rPr>
          <w:sz w:val="18"/>
        </w:rPr>
      </w:pPr>
    </w:p>
    <w:p>
      <w:pPr>
        <w:pStyle w:val="Heading2"/>
        <w:numPr>
          <w:ilvl w:val="1"/>
          <w:numId w:val="2"/>
        </w:numPr>
        <w:tabs>
          <w:tab w:pos="1008" w:val="left" w:leader="none"/>
          <w:tab w:pos="1009" w:val="left" w:leader="none"/>
        </w:tabs>
        <w:spacing w:line="281" w:lineRule="exact" w:before="1" w:after="0"/>
        <w:ind w:left="1008" w:right="0" w:hanging="473"/>
        <w:jc w:val="left"/>
      </w:pPr>
      <w:r>
        <w:rPr>
          <w:spacing w:val="-1"/>
        </w:rPr>
        <w:t>本公司合同解除权的限制</w:t>
      </w:r>
    </w:p>
    <w:p>
      <w:pPr>
        <w:pStyle w:val="BodyText"/>
        <w:spacing w:line="281" w:lineRule="exact"/>
        <w:ind w:left="535"/>
      </w:pPr>
      <w:r>
        <w:rPr/>
        <w:t>前条规定的合同解除权，自我们知道有解除事由之日起，超过</w:t>
      </w:r>
      <w:r>
        <w:rPr>
          <w:rFonts w:ascii="Times New Roman" w:eastAsia="Times New Roman"/>
        </w:rPr>
        <w:t>30</w:t>
      </w:r>
      <w:r>
        <w:rPr/>
        <w:t>日不行使而消灭。</w:t>
      </w:r>
    </w:p>
    <w:p>
      <w:pPr>
        <w:pStyle w:val="BodyText"/>
        <w:spacing w:before="9"/>
        <w:rPr>
          <w:sz w:val="16"/>
        </w:rPr>
      </w:pPr>
    </w:p>
    <w:p>
      <w:pPr>
        <w:pStyle w:val="Heading1"/>
        <w:numPr>
          <w:ilvl w:val="0"/>
          <w:numId w:val="2"/>
        </w:numPr>
        <w:tabs>
          <w:tab w:pos="1077" w:val="left" w:leader="none"/>
          <w:tab w:pos="1078" w:val="left" w:leader="none"/>
        </w:tabs>
        <w:spacing w:line="324" w:lineRule="exact" w:before="0" w:after="0"/>
        <w:ind w:left="1078" w:right="0" w:hanging="480"/>
        <w:jc w:val="left"/>
      </w:pPr>
      <w:r>
        <w:rPr/>
        <w:t>重大疾病的定义及范围</w:t>
      </w:r>
    </w:p>
    <w:p>
      <w:pPr>
        <w:pStyle w:val="BodyText"/>
        <w:ind w:left="112" w:right="116" w:firstLine="422"/>
      </w:pPr>
      <w:r>
        <w:rPr/>
        <w:t>本附加合同所指重大疾病，是被保险人发生符合以下定义所述条件的疾病、疾病状态或手术， 应当由专科医生明确诊断。</w:t>
      </w:r>
    </w:p>
    <w:p>
      <w:pPr>
        <w:pStyle w:val="BodyText"/>
        <w:spacing w:before="12"/>
        <w:rPr>
          <w:sz w:val="18"/>
        </w:rPr>
      </w:pPr>
    </w:p>
    <w:p>
      <w:pPr>
        <w:pStyle w:val="Heading2"/>
        <w:numPr>
          <w:ilvl w:val="1"/>
          <w:numId w:val="2"/>
        </w:numPr>
        <w:tabs>
          <w:tab w:pos="1008" w:val="left" w:leader="none"/>
          <w:tab w:pos="1009" w:val="left" w:leader="none"/>
        </w:tabs>
        <w:spacing w:line="281" w:lineRule="exact" w:before="0" w:after="0"/>
        <w:ind w:left="1008" w:right="0" w:hanging="473"/>
        <w:jc w:val="left"/>
      </w:pPr>
      <w:r>
        <w:rPr/>
        <w:t>恶性肿瘤</w:t>
      </w:r>
    </w:p>
    <w:p>
      <w:pPr>
        <w:pStyle w:val="BodyText"/>
        <w:spacing w:line="237" w:lineRule="auto"/>
        <w:ind w:left="112" w:right="115" w:firstLine="422"/>
        <w:jc w:val="both"/>
      </w:pPr>
      <w:r>
        <w:rPr>
          <w:spacing w:val="-3"/>
        </w:rPr>
        <w:t>指恶性细胞不受控制的进行性增长和扩散，浸润和破坏周围正常组织，可以经血管、淋巴管和</w:t>
      </w:r>
      <w:r>
        <w:rPr>
          <w:spacing w:val="-11"/>
        </w:rPr>
        <w:t>体腔扩散转移到身体其它部位的疾病。经病理学检查结果明确诊断，临床诊断属于世界卫生组织《疾</w:t>
      </w:r>
      <w:r>
        <w:rPr>
          <w:spacing w:val="-10"/>
        </w:rPr>
        <w:t>病和有关健康问题的国际统计分类》</w:t>
      </w:r>
      <w:r>
        <w:rPr/>
        <w:t>（</w:t>
      </w:r>
      <w:r>
        <w:rPr>
          <w:rFonts w:ascii="Times New Roman" w:eastAsia="Times New Roman"/>
        </w:rPr>
        <w:t>ICD-10</w:t>
      </w:r>
      <w:r>
        <w:rPr/>
        <w:t>）</w:t>
      </w:r>
      <w:r>
        <w:rPr>
          <w:spacing w:val="-3"/>
        </w:rPr>
        <w:t>的恶性肿瘤范畴。</w:t>
      </w:r>
    </w:p>
    <w:p>
      <w:pPr>
        <w:pStyle w:val="BodyText"/>
        <w:spacing w:line="256" w:lineRule="exact" w:before="7"/>
        <w:ind w:left="535"/>
      </w:pPr>
      <w:r>
        <w:rPr/>
        <w:t>下列疾病不在保障范围内：</w:t>
      </w:r>
    </w:p>
    <w:p>
      <w:pPr>
        <w:pStyle w:val="Heading2"/>
        <w:spacing w:line="280" w:lineRule="exact"/>
        <w:ind w:left="538" w:firstLine="0"/>
      </w:pPr>
      <w:r>
        <w:rPr/>
        <w:t>（</w:t>
      </w:r>
      <w:r>
        <w:rPr>
          <w:rFonts w:ascii="Times New Roman" w:eastAsia="Times New Roman"/>
        </w:rPr>
        <w:t>1</w:t>
      </w:r>
      <w:r>
        <w:rPr/>
        <w:t>）原位癌；</w:t>
      </w:r>
    </w:p>
    <w:p>
      <w:pPr>
        <w:spacing w:line="272" w:lineRule="exact" w:before="0"/>
        <w:ind w:left="538" w:right="0" w:firstLine="0"/>
        <w:jc w:val="left"/>
        <w:rPr>
          <w:b/>
          <w:sz w:val="21"/>
        </w:rPr>
      </w:pPr>
      <w:r>
        <w:rPr>
          <w:b/>
          <w:sz w:val="21"/>
        </w:rPr>
        <w:t>（</w:t>
      </w:r>
      <w:r>
        <w:rPr>
          <w:rFonts w:ascii="Times New Roman" w:eastAsia="Times New Roman"/>
          <w:b/>
          <w:sz w:val="21"/>
        </w:rPr>
        <w:t>2</w:t>
      </w:r>
      <w:r>
        <w:rPr>
          <w:b/>
          <w:sz w:val="21"/>
        </w:rPr>
        <w:t>）相当于</w:t>
      </w:r>
      <w:r>
        <w:rPr>
          <w:rFonts w:ascii="Times New Roman" w:eastAsia="Times New Roman"/>
          <w:b/>
          <w:sz w:val="21"/>
        </w:rPr>
        <w:t>Binet</w:t>
      </w:r>
      <w:r>
        <w:rPr>
          <w:b/>
          <w:sz w:val="21"/>
        </w:rPr>
        <w:t>分期方案</w:t>
      </w:r>
      <w:r>
        <w:rPr>
          <w:rFonts w:ascii="Times New Roman" w:eastAsia="Times New Roman"/>
          <w:b/>
          <w:sz w:val="21"/>
        </w:rPr>
        <w:t>A</w:t>
      </w:r>
      <w:r>
        <w:rPr>
          <w:b/>
          <w:sz w:val="21"/>
        </w:rPr>
        <w:t>期程度的慢性淋巴细胞白血病；</w:t>
      </w:r>
    </w:p>
    <w:p>
      <w:pPr>
        <w:spacing w:line="273" w:lineRule="exact" w:before="0"/>
        <w:ind w:left="538" w:right="0" w:firstLine="0"/>
        <w:jc w:val="left"/>
        <w:rPr>
          <w:b/>
          <w:sz w:val="21"/>
        </w:rPr>
      </w:pPr>
      <w:r>
        <w:rPr>
          <w:b/>
          <w:sz w:val="21"/>
        </w:rPr>
        <w:t>（</w:t>
      </w:r>
      <w:r>
        <w:rPr>
          <w:rFonts w:ascii="Times New Roman" w:eastAsia="Times New Roman"/>
          <w:b/>
          <w:sz w:val="21"/>
        </w:rPr>
        <w:t>3</w:t>
      </w:r>
      <w:r>
        <w:rPr>
          <w:b/>
          <w:sz w:val="21"/>
        </w:rPr>
        <w:t>）相当于</w:t>
      </w:r>
      <w:r>
        <w:rPr>
          <w:rFonts w:ascii="Times New Roman" w:eastAsia="Times New Roman"/>
          <w:b/>
          <w:sz w:val="21"/>
        </w:rPr>
        <w:t>Ann Arbor</w:t>
      </w:r>
      <w:r>
        <w:rPr>
          <w:b/>
          <w:sz w:val="21"/>
        </w:rPr>
        <w:t>分期方案</w:t>
      </w:r>
      <w:r>
        <w:rPr>
          <w:rFonts w:ascii="Times New Roman" w:eastAsia="Times New Roman"/>
          <w:b/>
          <w:sz w:val="21"/>
        </w:rPr>
        <w:t>I</w:t>
      </w:r>
      <w:r>
        <w:rPr>
          <w:b/>
          <w:sz w:val="21"/>
        </w:rPr>
        <w:t>期程度的何杰金氏病；</w:t>
      </w:r>
    </w:p>
    <w:p>
      <w:pPr>
        <w:spacing w:line="273" w:lineRule="exact" w:before="0"/>
        <w:ind w:left="538" w:right="0" w:firstLine="0"/>
        <w:jc w:val="left"/>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line="272" w:lineRule="exact" w:before="0"/>
        <w:ind w:left="538" w:right="0" w:firstLine="0"/>
        <w:jc w:val="left"/>
        <w:rPr>
          <w:b/>
          <w:sz w:val="21"/>
        </w:rPr>
      </w:pPr>
      <w:r>
        <w:rPr>
          <w:b/>
          <w:sz w:val="21"/>
        </w:rPr>
        <w:t>（</w:t>
      </w:r>
      <w:r>
        <w:rPr>
          <w:rFonts w:ascii="Times New Roman" w:eastAsia="Times New Roman"/>
          <w:b/>
          <w:sz w:val="21"/>
        </w:rPr>
        <w:t>5</w:t>
      </w:r>
      <w:r>
        <w:rPr>
          <w:b/>
          <w:sz w:val="21"/>
        </w:rPr>
        <w:t>）</w:t>
      </w:r>
      <w:r>
        <w:rPr>
          <w:rFonts w:ascii="Times New Roman" w:eastAsia="Times New Roman"/>
          <w:b/>
          <w:sz w:val="21"/>
        </w:rPr>
        <w:t>TNM</w:t>
      </w:r>
      <w:r>
        <w:rPr>
          <w:b/>
          <w:sz w:val="21"/>
        </w:rPr>
        <w:t>分期为</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r>
      <w:r>
        <w:rPr>
          <w:b/>
          <w:sz w:val="21"/>
          <w:vertAlign w:val="baseline"/>
        </w:rPr>
        <w:t>期或更轻分期的前列腺癌；</w:t>
      </w:r>
    </w:p>
    <w:p>
      <w:pPr>
        <w:spacing w:line="282" w:lineRule="exact" w:before="0"/>
        <w:ind w:left="538" w:right="0" w:firstLine="0"/>
        <w:jc w:val="left"/>
        <w:rPr>
          <w:b/>
          <w:sz w:val="21"/>
        </w:rPr>
      </w:pPr>
      <w:r>
        <w:rPr>
          <w:b/>
          <w:sz w:val="21"/>
        </w:rPr>
        <w:t>（</w:t>
      </w:r>
      <w:r>
        <w:rPr>
          <w:rFonts w:ascii="Times New Roman" w:eastAsia="Times New Roman"/>
          <w:b/>
          <w:sz w:val="21"/>
        </w:rPr>
        <w:t>6</w:t>
      </w:r>
      <w:r>
        <w:rPr>
          <w:b/>
          <w:sz w:val="21"/>
        </w:rPr>
        <w:t>）感染艾滋病病毒或患艾滋病期间所患恶性肿瘤。</w:t>
      </w:r>
    </w:p>
    <w:p>
      <w:pPr>
        <w:pStyle w:val="BodyText"/>
        <w:rPr>
          <w:b/>
          <w:sz w:val="17"/>
        </w:rPr>
      </w:pPr>
    </w:p>
    <w:p>
      <w:pPr>
        <w:pStyle w:val="ListParagraph"/>
        <w:numPr>
          <w:ilvl w:val="1"/>
          <w:numId w:val="2"/>
        </w:numPr>
        <w:tabs>
          <w:tab w:pos="1008" w:val="left" w:leader="none"/>
          <w:tab w:pos="1009" w:val="left" w:leader="none"/>
        </w:tabs>
        <w:spacing w:line="281" w:lineRule="exact" w:before="0" w:after="0"/>
        <w:ind w:left="1008" w:right="0" w:hanging="473"/>
        <w:jc w:val="left"/>
        <w:rPr>
          <w:b/>
          <w:sz w:val="21"/>
        </w:rPr>
      </w:pPr>
      <w:r>
        <w:rPr>
          <w:b/>
          <w:sz w:val="21"/>
        </w:rPr>
        <w:t>急性心肌梗塞</w:t>
      </w:r>
    </w:p>
    <w:p>
      <w:pPr>
        <w:pStyle w:val="BodyText"/>
        <w:spacing w:line="264" w:lineRule="exact"/>
        <w:ind w:left="535"/>
      </w:pPr>
      <w:r>
        <w:rPr/>
        <w:t>指因冠状动脉阻塞导致的相应区域供血不足造成部分心肌坏死。须满足下列至少三项条件：</w:t>
      </w:r>
    </w:p>
    <w:p>
      <w:pPr>
        <w:pStyle w:val="BodyText"/>
        <w:spacing w:line="280" w:lineRule="exact"/>
        <w:ind w:left="535"/>
      </w:pPr>
      <w:r>
        <w:rPr/>
        <w:t>（</w:t>
      </w:r>
      <w:r>
        <w:rPr>
          <w:rFonts w:ascii="Times New Roman" w:eastAsia="Times New Roman"/>
        </w:rPr>
        <w:t>1</w:t>
      </w:r>
      <w:r>
        <w:rPr/>
        <w:t>）典型临床表现，例如急性胸痛等；</w:t>
      </w:r>
    </w:p>
    <w:p>
      <w:pPr>
        <w:pStyle w:val="BodyText"/>
        <w:spacing w:line="281" w:lineRule="exact"/>
        <w:ind w:left="535"/>
      </w:pPr>
      <w:r>
        <w:rPr/>
        <w:t>（</w:t>
      </w:r>
      <w:r>
        <w:rPr>
          <w:rFonts w:ascii="Times New Roman" w:eastAsia="Times New Roman"/>
        </w:rPr>
        <w:t>2</w:t>
      </w:r>
      <w:r>
        <w:rPr/>
        <w:t>）新近的心电图改变提示急性心肌梗塞；</w:t>
      </w:r>
    </w:p>
    <w:p>
      <w:pPr>
        <w:spacing w:after="0" w:line="281" w:lineRule="exact"/>
        <w:sectPr>
          <w:pgSz w:w="11910" w:h="16840"/>
          <w:pgMar w:header="0" w:footer="1239" w:top="1060" w:bottom="1420" w:left="1020" w:right="1580"/>
        </w:sectPr>
      </w:pPr>
    </w:p>
    <w:p>
      <w:pPr>
        <w:pStyle w:val="BodyText"/>
        <w:spacing w:line="282" w:lineRule="exact" w:before="20"/>
        <w:ind w:left="524"/>
      </w:pPr>
      <w:r>
        <w:rPr/>
        <w:t>（</w:t>
      </w:r>
      <w:r>
        <w:rPr>
          <w:rFonts w:ascii="Times New Roman" w:eastAsia="Times New Roman"/>
        </w:rPr>
        <w:t>3</w:t>
      </w:r>
      <w:r>
        <w:rPr/>
        <w:t>）心肌酶或肌钙蛋白有诊断意义的升高，或呈符合急性心肌梗塞的动态性变化；</w:t>
      </w:r>
    </w:p>
    <w:p>
      <w:pPr>
        <w:pStyle w:val="BodyText"/>
        <w:spacing w:line="282" w:lineRule="exact"/>
        <w:ind w:left="524"/>
      </w:pPr>
      <w:r>
        <w:rPr/>
        <w:t>（</w:t>
      </w:r>
      <w:r>
        <w:rPr>
          <w:rFonts w:ascii="Times New Roman" w:eastAsia="Times New Roman"/>
        </w:rPr>
        <w:t>4</w:t>
      </w:r>
      <w:r>
        <w:rPr/>
        <w:t>）发病</w:t>
      </w:r>
      <w:r>
        <w:rPr>
          <w:rFonts w:ascii="Times New Roman" w:eastAsia="Times New Roman"/>
        </w:rPr>
        <w:t>90</w:t>
      </w:r>
      <w:r>
        <w:rPr/>
        <w:t>天后，经检查证实左心室功能降低，如左心室射血分数低于</w:t>
      </w:r>
      <w:r>
        <w:rPr>
          <w:rFonts w:ascii="Times New Roman" w:eastAsia="Times New Roman"/>
        </w:rPr>
        <w:t>50%</w:t>
      </w:r>
      <w:r>
        <w:rPr/>
        <w:t>。</w:t>
      </w:r>
    </w:p>
    <w:p>
      <w:pPr>
        <w:pStyle w:val="BodyText"/>
        <w:spacing w:before="1"/>
        <w:rPr>
          <w:sz w:val="17"/>
        </w:rPr>
      </w:pPr>
    </w:p>
    <w:p>
      <w:pPr>
        <w:pStyle w:val="Heading2"/>
        <w:numPr>
          <w:ilvl w:val="1"/>
          <w:numId w:val="2"/>
        </w:numPr>
        <w:tabs>
          <w:tab w:pos="997" w:val="left" w:leader="none"/>
          <w:tab w:pos="998" w:val="left" w:leader="none"/>
        </w:tabs>
        <w:spacing w:line="282" w:lineRule="exact" w:before="0" w:after="0"/>
        <w:ind w:left="997" w:right="0" w:hanging="473"/>
        <w:jc w:val="left"/>
      </w:pPr>
      <w:r>
        <w:rPr/>
        <w:t>脑中风后遗症</w:t>
      </w:r>
    </w:p>
    <w:p>
      <w:pPr>
        <w:pStyle w:val="BodyText"/>
        <w:spacing w:line="237" w:lineRule="auto"/>
        <w:ind w:left="102" w:right="107" w:firstLine="422"/>
      </w:pPr>
      <w:r>
        <w:rPr/>
        <w:t>指因脑血管的突发病变引起脑血管出血、栓塞或梗塞，并导致神经系统永久性的功能障碍。神经系统永久性的功能障碍，指疾病确诊</w:t>
      </w:r>
      <w:r>
        <w:rPr>
          <w:rFonts w:ascii="Times New Roman" w:eastAsia="Times New Roman"/>
        </w:rPr>
        <w:t>180</w:t>
      </w:r>
      <w:r>
        <w:rPr/>
        <w:t>天后，仍遗留下列一种或一种以上障碍：</w:t>
      </w:r>
    </w:p>
    <w:p>
      <w:pPr>
        <w:spacing w:line="263" w:lineRule="exact" w:before="6"/>
        <w:ind w:left="524" w:right="0" w:firstLine="0"/>
        <w:jc w:val="left"/>
        <w:rPr>
          <w:sz w:val="21"/>
        </w:rPr>
      </w:pPr>
      <w:r>
        <w:rPr>
          <w:w w:val="100"/>
          <w:sz w:val="21"/>
        </w:rPr>
        <w:t>（</w:t>
      </w:r>
      <w:r>
        <w:rPr>
          <w:rFonts w:ascii="Times New Roman" w:eastAsia="Times New Roman"/>
          <w:w w:val="100"/>
          <w:sz w:val="21"/>
        </w:rPr>
        <w:t>1</w:t>
      </w:r>
      <w:r>
        <w:rPr>
          <w:spacing w:val="-3"/>
          <w:w w:val="100"/>
          <w:sz w:val="21"/>
        </w:rPr>
        <w:t>）一肢或一肢以上</w:t>
      </w:r>
      <w:r>
        <w:rPr>
          <w:b/>
          <w:w w:val="100"/>
          <w:sz w:val="21"/>
        </w:rPr>
        <w:t>肢体机能完全丧失（</w:t>
      </w:r>
      <w:r>
        <w:rPr>
          <w:rFonts w:ascii="Times New Roman" w:eastAsia="Times New Roman"/>
          <w:b/>
          <w:spacing w:val="-3"/>
          <w:w w:val="100"/>
          <w:sz w:val="21"/>
        </w:rPr>
        <w:t>1</w:t>
      </w:r>
      <w:r>
        <w:rPr>
          <w:rFonts w:ascii="Times New Roman" w:eastAsia="Times New Roman"/>
          <w:b/>
          <w:w w:val="100"/>
          <w:sz w:val="21"/>
        </w:rPr>
        <w:t>0</w:t>
      </w:r>
      <w:r>
        <w:rPr>
          <w:rFonts w:ascii="Times New Roman" w:eastAsia="Times New Roman"/>
          <w:b/>
          <w:spacing w:val="-1"/>
          <w:w w:val="100"/>
          <w:sz w:val="21"/>
        </w:rPr>
        <w:t>.</w:t>
      </w:r>
      <w:r>
        <w:rPr>
          <w:rFonts w:ascii="Times New Roman" w:eastAsia="Times New Roman"/>
          <w:b/>
          <w:w w:val="100"/>
          <w:sz w:val="21"/>
        </w:rPr>
        <w:t>2</w:t>
      </w:r>
      <w:r>
        <w:rPr>
          <w:rFonts w:ascii="Times New Roman" w:eastAsia="Times New Roman"/>
          <w:b/>
          <w:spacing w:val="-3"/>
          <w:w w:val="100"/>
          <w:sz w:val="21"/>
        </w:rPr>
        <w:t>1</w:t>
      </w:r>
      <w:r>
        <w:rPr>
          <w:b/>
          <w:spacing w:val="-106"/>
          <w:w w:val="100"/>
          <w:sz w:val="21"/>
        </w:rPr>
        <w:t>）</w:t>
      </w:r>
      <w:r>
        <w:rPr>
          <w:w w:val="100"/>
          <w:sz w:val="21"/>
        </w:rPr>
        <w:t>；</w:t>
      </w:r>
    </w:p>
    <w:p>
      <w:pPr>
        <w:pStyle w:val="Heading2"/>
        <w:spacing w:line="272" w:lineRule="exact"/>
        <w:ind w:left="524" w:firstLine="0"/>
        <w:rPr>
          <w:b w:val="0"/>
        </w:rPr>
      </w:pPr>
      <w:r>
        <w:rPr>
          <w:b w:val="0"/>
          <w:w w:val="100"/>
        </w:rPr>
        <w:t>（</w:t>
      </w:r>
      <w:r>
        <w:rPr>
          <w:rFonts w:ascii="Times New Roman" w:eastAsia="Times New Roman"/>
          <w:b w:val="0"/>
          <w:w w:val="100"/>
        </w:rPr>
        <w:t>2</w:t>
      </w:r>
      <w:r>
        <w:rPr>
          <w:b w:val="0"/>
          <w:spacing w:val="-3"/>
          <w:w w:val="100"/>
        </w:rPr>
        <w:t>）</w:t>
      </w:r>
      <w:r>
        <w:rPr>
          <w:spacing w:val="-2"/>
          <w:w w:val="100"/>
        </w:rPr>
        <w:t>语言能力或咀嚼吞咽能力完全丧失</w:t>
      </w:r>
      <w:r>
        <w:rPr>
          <w:w w:val="100"/>
        </w:rPr>
        <w:t>（</w:t>
      </w:r>
      <w:r>
        <w:rPr>
          <w:rFonts w:ascii="Times New Roman" w:eastAsia="Times New Roman"/>
          <w:spacing w:val="-3"/>
          <w:w w:val="100"/>
        </w:rPr>
        <w:t>1</w:t>
      </w:r>
      <w:r>
        <w:rPr>
          <w:rFonts w:ascii="Times New Roman" w:eastAsia="Times New Roman"/>
          <w:w w:val="100"/>
        </w:rPr>
        <w:t>0</w:t>
      </w:r>
      <w:r>
        <w:rPr>
          <w:rFonts w:ascii="Times New Roman" w:eastAsia="Times New Roman"/>
          <w:spacing w:val="-1"/>
          <w:w w:val="100"/>
        </w:rPr>
        <w:t>.</w:t>
      </w:r>
      <w:r>
        <w:rPr>
          <w:rFonts w:ascii="Times New Roman" w:eastAsia="Times New Roman"/>
          <w:w w:val="100"/>
        </w:rPr>
        <w:t>2</w:t>
      </w:r>
      <w:r>
        <w:rPr>
          <w:rFonts w:ascii="Times New Roman" w:eastAsia="Times New Roman"/>
          <w:spacing w:val="-3"/>
          <w:w w:val="100"/>
        </w:rPr>
        <w:t>2</w:t>
      </w:r>
      <w:r>
        <w:rPr>
          <w:spacing w:val="-106"/>
          <w:w w:val="100"/>
        </w:rPr>
        <w:t>）</w:t>
      </w:r>
      <w:r>
        <w:rPr>
          <w:b w:val="0"/>
          <w:w w:val="100"/>
        </w:rPr>
        <w:t>；</w:t>
      </w:r>
    </w:p>
    <w:p>
      <w:pPr>
        <w:spacing w:line="225" w:lineRule="auto" w:before="7"/>
        <w:ind w:left="102" w:right="107" w:firstLine="422"/>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rPr>
        <w:t>10.23</w:t>
      </w:r>
      <w:r>
        <w:rPr>
          <w:b/>
          <w:sz w:val="21"/>
        </w:rPr>
        <w:t>）</w:t>
      </w:r>
      <w:r>
        <w:rPr>
          <w:sz w:val="21"/>
        </w:rPr>
        <w:t>中的三项或三项以上。</w:t>
      </w:r>
    </w:p>
    <w:p>
      <w:pPr>
        <w:pStyle w:val="BodyText"/>
        <w:spacing w:before="2"/>
        <w:rPr>
          <w:sz w:val="18"/>
        </w:rPr>
      </w:pPr>
    </w:p>
    <w:p>
      <w:pPr>
        <w:pStyle w:val="Heading2"/>
        <w:numPr>
          <w:ilvl w:val="1"/>
          <w:numId w:val="2"/>
        </w:numPr>
        <w:tabs>
          <w:tab w:pos="997" w:val="left" w:leader="none"/>
          <w:tab w:pos="998" w:val="left" w:leader="none"/>
        </w:tabs>
        <w:spacing w:line="281" w:lineRule="exact" w:before="0" w:after="0"/>
        <w:ind w:left="997" w:right="0" w:hanging="473"/>
        <w:jc w:val="left"/>
      </w:pPr>
      <w:r>
        <w:rPr>
          <w:spacing w:val="-1"/>
        </w:rPr>
        <w:t>重大器官移植术或造血干细胞移植术</w:t>
      </w:r>
    </w:p>
    <w:p>
      <w:pPr>
        <w:pStyle w:val="BodyText"/>
        <w:ind w:left="102" w:right="107" w:firstLine="422"/>
      </w:pPr>
      <w:r>
        <w:rPr/>
        <w:t>重大器官移植术，指因相应器官功能衰竭，已经实施了肾脏、肝脏、心脏或肺脏的异体移植手术。</w:t>
      </w:r>
    </w:p>
    <w:p>
      <w:pPr>
        <w:pStyle w:val="BodyText"/>
        <w:spacing w:before="6"/>
        <w:ind w:left="102" w:right="107" w:firstLine="422"/>
      </w:pPr>
      <w:r>
        <w:rPr/>
        <w:t>造血干细胞移植术，指因造血功能损害或造血系统恶性肿瘤，已经实施了造血干细胞（包括骨髓造血干细胞、外周血造血干细胞和脐血造血干细胞）的异体移植手术。</w:t>
      </w:r>
    </w:p>
    <w:p>
      <w:pPr>
        <w:pStyle w:val="BodyText"/>
        <w:spacing w:before="3"/>
        <w:rPr>
          <w:sz w:val="18"/>
        </w:rPr>
      </w:pPr>
    </w:p>
    <w:p>
      <w:pPr>
        <w:pStyle w:val="Heading2"/>
        <w:numPr>
          <w:ilvl w:val="1"/>
          <w:numId w:val="2"/>
        </w:numPr>
        <w:tabs>
          <w:tab w:pos="997" w:val="left" w:leader="none"/>
          <w:tab w:pos="998" w:val="left" w:leader="none"/>
        </w:tabs>
        <w:spacing w:line="281" w:lineRule="exact" w:before="0" w:after="0"/>
        <w:ind w:left="997" w:right="0" w:hanging="473"/>
        <w:jc w:val="left"/>
      </w:pPr>
      <w:r>
        <w:rPr/>
        <w:t>冠状动脉搭桥术（</w:t>
      </w:r>
      <w:r>
        <w:rPr>
          <w:spacing w:val="-3"/>
        </w:rPr>
        <w:t>或称冠状动脉旁路移植术</w:t>
      </w:r>
      <w:r>
        <w:rPr/>
        <w:t>）</w:t>
      </w:r>
    </w:p>
    <w:p>
      <w:pPr>
        <w:pStyle w:val="BodyText"/>
        <w:spacing w:line="264" w:lineRule="exact"/>
        <w:ind w:left="524"/>
      </w:pPr>
      <w:r>
        <w:rPr/>
        <w:t>指为治疗严重的冠心病，实际实施了开胸进行的冠状动脉血管旁路移植的手术。</w:t>
      </w:r>
    </w:p>
    <w:p>
      <w:pPr>
        <w:pStyle w:val="Heading2"/>
        <w:spacing w:line="237" w:lineRule="auto" w:before="2"/>
        <w:ind w:left="102" w:right="105" w:firstLine="424"/>
      </w:pPr>
      <w:r>
        <w:rPr/>
        <w:t>冠状动脉支架植入术、心导管球囊扩张术、激光射频技术及其它非开胸的介入手术、腔镜手术不在保障范围内。</w:t>
      </w:r>
    </w:p>
    <w:p>
      <w:pPr>
        <w:pStyle w:val="BodyText"/>
        <w:spacing w:before="5"/>
        <w:rPr>
          <w:b/>
          <w:sz w:val="18"/>
        </w:rPr>
      </w:pPr>
    </w:p>
    <w:p>
      <w:pPr>
        <w:pStyle w:val="ListParagraph"/>
        <w:numPr>
          <w:ilvl w:val="1"/>
          <w:numId w:val="2"/>
        </w:numPr>
        <w:tabs>
          <w:tab w:pos="997" w:val="left" w:leader="none"/>
          <w:tab w:pos="998" w:val="left" w:leader="none"/>
        </w:tabs>
        <w:spacing w:line="281" w:lineRule="exact" w:before="0" w:after="0"/>
        <w:ind w:left="997" w:right="0" w:hanging="473"/>
        <w:jc w:val="left"/>
        <w:rPr>
          <w:b/>
          <w:sz w:val="21"/>
        </w:rPr>
      </w:pPr>
      <w:r>
        <w:rPr>
          <w:b/>
          <w:sz w:val="21"/>
        </w:rPr>
        <w:t>终末期肾病（</w:t>
      </w:r>
      <w:r>
        <w:rPr>
          <w:b/>
          <w:spacing w:val="-2"/>
          <w:sz w:val="21"/>
        </w:rPr>
        <w:t>或称慢性肾功能衰竭尿毒症期</w:t>
      </w:r>
      <w:r>
        <w:rPr>
          <w:b/>
          <w:sz w:val="21"/>
        </w:rPr>
        <w:t>）</w:t>
      </w:r>
    </w:p>
    <w:p>
      <w:pPr>
        <w:pStyle w:val="BodyText"/>
        <w:spacing w:line="223" w:lineRule="auto" w:before="10"/>
        <w:ind w:left="102" w:right="107" w:firstLine="422"/>
      </w:pPr>
      <w:r>
        <w:rPr/>
        <w:t>指双肾功能慢性不可逆性衰竭，达到尿毒症期，经诊断后已经进行了至少</w:t>
      </w:r>
      <w:r>
        <w:rPr>
          <w:rFonts w:ascii="Times New Roman" w:eastAsia="Times New Roman"/>
        </w:rPr>
        <w:t>90</w:t>
      </w:r>
      <w:r>
        <w:rPr/>
        <w:t>天的规律性透析治疗或实施了肾脏移植手术。</w:t>
      </w:r>
    </w:p>
    <w:p>
      <w:pPr>
        <w:pStyle w:val="BodyText"/>
        <w:spacing w:before="5"/>
        <w:rPr>
          <w:sz w:val="18"/>
        </w:rPr>
      </w:pPr>
    </w:p>
    <w:p>
      <w:pPr>
        <w:pStyle w:val="Heading2"/>
        <w:numPr>
          <w:ilvl w:val="1"/>
          <w:numId w:val="2"/>
        </w:numPr>
        <w:tabs>
          <w:tab w:pos="997" w:val="left" w:leader="none"/>
          <w:tab w:pos="998" w:val="left" w:leader="none"/>
        </w:tabs>
        <w:spacing w:line="281" w:lineRule="exact" w:before="0" w:after="0"/>
        <w:ind w:left="997" w:right="0" w:hanging="473"/>
        <w:jc w:val="left"/>
      </w:pPr>
      <w:r>
        <w:rPr/>
        <w:t>多个肢体缺失</w:t>
      </w:r>
    </w:p>
    <w:p>
      <w:pPr>
        <w:pStyle w:val="BodyText"/>
        <w:ind w:left="102" w:right="107" w:firstLine="422"/>
      </w:pPr>
      <w:r>
        <w:rPr/>
        <w:t>指因疾病或意外伤害导致两个或两个以上肢体自腕关节或踝关节近端（靠近躯干端）以上完全性断离。</w:t>
      </w:r>
    </w:p>
    <w:p>
      <w:pPr>
        <w:pStyle w:val="BodyText"/>
        <w:rPr>
          <w:sz w:val="19"/>
        </w:rPr>
      </w:pPr>
    </w:p>
    <w:p>
      <w:pPr>
        <w:pStyle w:val="Heading2"/>
        <w:numPr>
          <w:ilvl w:val="1"/>
          <w:numId w:val="2"/>
        </w:numPr>
        <w:tabs>
          <w:tab w:pos="997" w:val="left" w:leader="none"/>
          <w:tab w:pos="998" w:val="left" w:leader="none"/>
        </w:tabs>
        <w:spacing w:line="281" w:lineRule="exact" w:before="0" w:after="0"/>
        <w:ind w:left="997" w:right="0" w:hanging="473"/>
        <w:jc w:val="left"/>
      </w:pPr>
      <w:r>
        <w:rPr>
          <w:spacing w:val="-1"/>
        </w:rPr>
        <w:t>急性或亚急性重症肝炎</w:t>
      </w:r>
    </w:p>
    <w:p>
      <w:pPr>
        <w:pStyle w:val="BodyText"/>
        <w:ind w:left="102" w:right="107" w:firstLine="422"/>
      </w:pPr>
      <w:r>
        <w:rPr/>
        <w:t>指因肝炎病毒感染引起肝脏组织弥漫性坏死，导致急性肝功能衰竭，且经血清学或病毒学检查证实，并须满足下列全部条件：</w:t>
      </w:r>
    </w:p>
    <w:p>
      <w:pPr>
        <w:pStyle w:val="BodyText"/>
        <w:spacing w:line="279" w:lineRule="exact" w:before="10"/>
        <w:ind w:left="524"/>
      </w:pPr>
      <w:r>
        <w:rPr/>
        <w:t>（</w:t>
      </w:r>
      <w:r>
        <w:rPr>
          <w:rFonts w:ascii="Times New Roman" w:eastAsia="Times New Roman"/>
        </w:rPr>
        <w:t>1</w:t>
      </w:r>
      <w:r>
        <w:rPr/>
        <w:t>）重度黄疸或黄疸迅速加重；</w:t>
      </w:r>
    </w:p>
    <w:p>
      <w:pPr>
        <w:pStyle w:val="BodyText"/>
        <w:spacing w:line="272" w:lineRule="exact"/>
        <w:ind w:left="524"/>
      </w:pPr>
      <w:r>
        <w:rPr/>
        <w:t>（</w:t>
      </w:r>
      <w:r>
        <w:rPr>
          <w:rFonts w:ascii="Times New Roman" w:eastAsia="Times New Roman"/>
        </w:rPr>
        <w:t>2</w:t>
      </w:r>
      <w:r>
        <w:rPr/>
        <w:t>）肝性脑病；</w:t>
      </w:r>
    </w:p>
    <w:p>
      <w:pPr>
        <w:pStyle w:val="BodyText"/>
        <w:spacing w:line="271" w:lineRule="exact"/>
        <w:ind w:left="524"/>
      </w:pPr>
      <w:r>
        <w:rPr/>
        <w:t>（</w:t>
      </w:r>
      <w:r>
        <w:rPr>
          <w:rFonts w:ascii="Times New Roman" w:eastAsia="Times New Roman"/>
        </w:rPr>
        <w:t>3</w:t>
      </w:r>
      <w:r>
        <w:rPr/>
        <w:t>）</w:t>
      </w:r>
      <w:r>
        <w:rPr>
          <w:rFonts w:ascii="Times New Roman" w:eastAsia="Times New Roman"/>
        </w:rPr>
        <w:t>B</w:t>
      </w:r>
      <w:r>
        <w:rPr/>
        <w:t>超或其它影像学检查显示肝脏体积急速萎缩；</w:t>
      </w:r>
    </w:p>
    <w:p>
      <w:pPr>
        <w:pStyle w:val="BodyText"/>
        <w:spacing w:line="281" w:lineRule="exact"/>
        <w:ind w:left="524"/>
      </w:pPr>
      <w:r>
        <w:rPr/>
        <w:t>（</w:t>
      </w:r>
      <w:r>
        <w:rPr>
          <w:rFonts w:ascii="Times New Roman" w:eastAsia="Times New Roman"/>
        </w:rPr>
        <w:t>4</w:t>
      </w:r>
      <w:r>
        <w:rPr/>
        <w:t>）肝功能指标进行性恶化。</w:t>
      </w:r>
    </w:p>
    <w:p>
      <w:pPr>
        <w:pStyle w:val="BodyText"/>
        <w:spacing w:before="2"/>
        <w:rPr>
          <w:sz w:val="17"/>
        </w:rPr>
      </w:pPr>
    </w:p>
    <w:p>
      <w:pPr>
        <w:pStyle w:val="Heading2"/>
        <w:numPr>
          <w:ilvl w:val="1"/>
          <w:numId w:val="2"/>
        </w:numPr>
        <w:tabs>
          <w:tab w:pos="997" w:val="left" w:leader="none"/>
          <w:tab w:pos="998" w:val="left" w:leader="none"/>
        </w:tabs>
        <w:spacing w:line="281" w:lineRule="exact" w:before="0" w:after="0"/>
        <w:ind w:left="997" w:right="0" w:hanging="473"/>
        <w:jc w:val="left"/>
      </w:pPr>
      <w:r>
        <w:rPr/>
        <w:t>良性脑肿瘤</w:t>
      </w:r>
    </w:p>
    <w:p>
      <w:pPr>
        <w:pStyle w:val="BodyText"/>
        <w:ind w:left="102" w:right="104" w:firstLine="422"/>
      </w:pPr>
      <w:r>
        <w:rPr>
          <w:spacing w:val="-3"/>
        </w:rPr>
        <w:t>指脑的良性肿瘤，已经引起颅内压增高，临床表现为视神经乳头水肿、精神症状、癫痫及运动</w:t>
      </w:r>
      <w:r>
        <w:rPr>
          <w:spacing w:val="-8"/>
          <w:w w:val="100"/>
        </w:rPr>
        <w:t>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8"/>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17"/>
          <w:w w:val="100"/>
        </w:rPr>
        <w:t>）</w:t>
      </w:r>
      <w:r>
        <w:rPr>
          <w:spacing w:val="-3"/>
          <w:w w:val="100"/>
        </w:rPr>
        <w:t>或正电子发射断层扫描</w:t>
      </w:r>
    </w:p>
    <w:p>
      <w:pPr>
        <w:pStyle w:val="BodyText"/>
        <w:spacing w:line="261" w:lineRule="exact" w:before="10"/>
        <w:ind w:left="87" w:right="3749"/>
        <w:jc w:val="center"/>
      </w:pPr>
      <w:r>
        <w:rPr/>
        <w:t>（</w:t>
      </w:r>
      <w:r>
        <w:rPr>
          <w:rFonts w:ascii="Times New Roman" w:eastAsia="Times New Roman"/>
        </w:rPr>
        <w:t>PET</w:t>
      </w:r>
      <w:r>
        <w:rPr/>
        <w:t>）等影像学检查证实，并须满足下列至少一项条件：</w:t>
      </w:r>
    </w:p>
    <w:p>
      <w:pPr>
        <w:pStyle w:val="BodyText"/>
        <w:spacing w:line="272" w:lineRule="exact"/>
        <w:ind w:left="524"/>
      </w:pPr>
      <w:r>
        <w:rPr/>
        <w:t>（</w:t>
      </w:r>
      <w:r>
        <w:rPr>
          <w:rFonts w:ascii="Times New Roman" w:eastAsia="Times New Roman"/>
        </w:rPr>
        <w:t>1</w:t>
      </w:r>
      <w:r>
        <w:rPr/>
        <w:t>）实际实施了开颅进行的脑肿瘤完全切除或部分切除的手术；</w:t>
      </w:r>
    </w:p>
    <w:p>
      <w:pPr>
        <w:pStyle w:val="BodyText"/>
        <w:spacing w:line="272" w:lineRule="exact"/>
        <w:ind w:left="524"/>
      </w:pPr>
      <w:r>
        <w:rPr/>
        <w:t>（</w:t>
      </w:r>
      <w:r>
        <w:rPr>
          <w:rFonts w:ascii="Times New Roman" w:eastAsia="Times New Roman"/>
        </w:rPr>
        <w:t>2</w:t>
      </w:r>
      <w:r>
        <w:rPr/>
        <w:t>）实际实施了对脑肿瘤进行的放射治疗。</w:t>
      </w:r>
    </w:p>
    <w:p>
      <w:pPr>
        <w:pStyle w:val="Heading2"/>
        <w:spacing w:line="265" w:lineRule="exact"/>
        <w:ind w:left="526" w:firstLine="0"/>
      </w:pPr>
      <w:r>
        <w:rPr/>
        <w:t>脑垂体瘤、脑囊肿、脑血管性疾病不在保障范围内。</w:t>
      </w:r>
    </w:p>
    <w:p>
      <w:pPr>
        <w:pStyle w:val="BodyText"/>
        <w:spacing w:before="6"/>
        <w:rPr>
          <w:b/>
          <w:sz w:val="18"/>
        </w:rPr>
      </w:pPr>
    </w:p>
    <w:p>
      <w:pPr>
        <w:pStyle w:val="ListParagraph"/>
        <w:numPr>
          <w:ilvl w:val="1"/>
          <w:numId w:val="2"/>
        </w:numPr>
        <w:tabs>
          <w:tab w:pos="1102" w:val="left" w:leader="none"/>
          <w:tab w:pos="1103" w:val="left" w:leader="none"/>
        </w:tabs>
        <w:spacing w:line="281" w:lineRule="exact" w:before="0" w:after="0"/>
        <w:ind w:left="1102" w:right="0" w:hanging="578"/>
        <w:jc w:val="left"/>
        <w:rPr>
          <w:b/>
          <w:sz w:val="21"/>
        </w:rPr>
      </w:pPr>
      <w:r>
        <w:rPr>
          <w:b/>
          <w:spacing w:val="-1"/>
          <w:sz w:val="21"/>
        </w:rPr>
        <w:t>慢性肝功能衰竭失代偿期</w:t>
      </w:r>
    </w:p>
    <w:p>
      <w:pPr>
        <w:pStyle w:val="BodyText"/>
        <w:spacing w:line="263" w:lineRule="exact"/>
        <w:ind w:left="524"/>
      </w:pPr>
      <w:r>
        <w:rPr/>
        <w:t>指因慢性肝脏疾病导致肝功能衰竭。须满足下列全部条件：</w:t>
      </w:r>
    </w:p>
    <w:p>
      <w:pPr>
        <w:pStyle w:val="BodyText"/>
        <w:spacing w:line="280" w:lineRule="exact"/>
        <w:ind w:left="524"/>
      </w:pPr>
      <w:r>
        <w:rPr/>
        <w:t>（</w:t>
      </w:r>
      <w:r>
        <w:rPr>
          <w:rFonts w:ascii="Times New Roman" w:eastAsia="Times New Roman"/>
        </w:rPr>
        <w:t>1</w:t>
      </w:r>
      <w:r>
        <w:rPr/>
        <w:t>）持续性黄疸；</w:t>
      </w:r>
    </w:p>
    <w:p>
      <w:pPr>
        <w:pStyle w:val="BodyText"/>
        <w:spacing w:line="272" w:lineRule="exact"/>
        <w:ind w:left="524"/>
      </w:pPr>
      <w:r>
        <w:rPr/>
        <w:t>（</w:t>
      </w:r>
      <w:r>
        <w:rPr>
          <w:rFonts w:ascii="Times New Roman" w:eastAsia="Times New Roman"/>
        </w:rPr>
        <w:t>2</w:t>
      </w:r>
      <w:r>
        <w:rPr/>
        <w:t>）腹水；</w:t>
      </w:r>
    </w:p>
    <w:p>
      <w:pPr>
        <w:pStyle w:val="BodyText"/>
        <w:spacing w:line="272" w:lineRule="exact"/>
        <w:ind w:left="524"/>
      </w:pPr>
      <w:r>
        <w:rPr/>
        <w:t>（</w:t>
      </w:r>
      <w:r>
        <w:rPr>
          <w:rFonts w:ascii="Times New Roman" w:eastAsia="Times New Roman"/>
        </w:rPr>
        <w:t>3</w:t>
      </w:r>
      <w:r>
        <w:rPr/>
        <w:t>）肝性脑病；</w:t>
      </w:r>
    </w:p>
    <w:p>
      <w:pPr>
        <w:pStyle w:val="BodyText"/>
        <w:spacing w:line="282" w:lineRule="exact"/>
        <w:ind w:left="524"/>
      </w:pPr>
      <w:r>
        <w:rPr/>
        <w:t>（</w:t>
      </w:r>
      <w:r>
        <w:rPr>
          <w:rFonts w:ascii="Times New Roman" w:eastAsia="Times New Roman"/>
        </w:rPr>
        <w:t>4</w:t>
      </w:r>
      <w:r>
        <w:rPr/>
        <w:t>）充血性脾肿大伴脾功能亢进或食管胃底静脉曲张。</w:t>
      </w:r>
    </w:p>
    <w:p>
      <w:pPr>
        <w:spacing w:after="0" w:line="282" w:lineRule="exact"/>
        <w:sectPr>
          <w:pgSz w:w="11910" w:h="16840"/>
          <w:pgMar w:header="0" w:footer="1239" w:top="1060" w:bottom="1420" w:left="1600" w:right="1020"/>
        </w:sectPr>
      </w:pPr>
    </w:p>
    <w:p>
      <w:pPr>
        <w:pStyle w:val="Heading2"/>
        <w:spacing w:line="240" w:lineRule="auto" w:before="20"/>
        <w:ind w:left="538" w:firstLine="0"/>
      </w:pPr>
      <w:r>
        <w:rPr/>
        <w:t>因酗酒或药物滥用导致的肝功能衰竭不在保障范围内。</w:t>
      </w:r>
    </w:p>
    <w:p>
      <w:pPr>
        <w:pStyle w:val="BodyText"/>
        <w:spacing w:before="5"/>
        <w:rPr>
          <w:b/>
          <w:sz w:val="18"/>
        </w:rPr>
      </w:pPr>
    </w:p>
    <w:p>
      <w:pPr>
        <w:pStyle w:val="ListParagraph"/>
        <w:numPr>
          <w:ilvl w:val="1"/>
          <w:numId w:val="2"/>
        </w:numPr>
        <w:tabs>
          <w:tab w:pos="1106" w:val="left" w:leader="none"/>
          <w:tab w:pos="1107" w:val="left" w:leader="none"/>
        </w:tabs>
        <w:spacing w:line="281" w:lineRule="exact" w:before="0" w:after="0"/>
        <w:ind w:left="1106" w:right="0" w:hanging="571"/>
        <w:jc w:val="left"/>
        <w:rPr>
          <w:b/>
          <w:sz w:val="21"/>
        </w:rPr>
      </w:pPr>
      <w:r>
        <w:rPr>
          <w:b/>
          <w:spacing w:val="-1"/>
          <w:sz w:val="21"/>
        </w:rPr>
        <w:t>脑炎后遗症或脑膜炎后遗症</w:t>
      </w:r>
    </w:p>
    <w:p>
      <w:pPr>
        <w:pStyle w:val="BodyText"/>
        <w:ind w:left="112" w:right="216" w:firstLine="422"/>
      </w:pPr>
      <w:r>
        <w:rPr/>
        <w:t>指因患脑炎或脑膜炎导致的神经系统永久性的功能障碍。神经系统永久性的功能障碍，指疾病确诊</w:t>
      </w:r>
      <w:r>
        <w:rPr>
          <w:rFonts w:ascii="Times New Roman" w:eastAsia="Times New Roman"/>
        </w:rPr>
        <w:t>180</w:t>
      </w:r>
      <w:r>
        <w:rPr/>
        <w:t>天后，仍遗留下列一种或一种以上障碍：</w:t>
      </w:r>
    </w:p>
    <w:p>
      <w:pPr>
        <w:pStyle w:val="BodyText"/>
        <w:spacing w:line="261" w:lineRule="exact" w:before="10"/>
        <w:ind w:left="535"/>
      </w:pPr>
      <w:r>
        <w:rPr/>
        <w:t>（</w:t>
      </w:r>
      <w:r>
        <w:rPr>
          <w:rFonts w:ascii="Times New Roman" w:eastAsia="Times New Roman"/>
        </w:rPr>
        <w:t>1</w:t>
      </w:r>
      <w:r>
        <w:rPr/>
        <w:t>）一肢或一肢以上肢体机能完全丧失；</w:t>
      </w:r>
    </w:p>
    <w:p>
      <w:pPr>
        <w:pStyle w:val="BodyText"/>
        <w:spacing w:line="272" w:lineRule="exact"/>
        <w:ind w:left="535"/>
      </w:pPr>
      <w:r>
        <w:rPr/>
        <w:t>（</w:t>
      </w:r>
      <w:r>
        <w:rPr>
          <w:rFonts w:ascii="Times New Roman" w:eastAsia="Times New Roman"/>
        </w:rPr>
        <w:t>2</w:t>
      </w:r>
      <w:r>
        <w:rPr/>
        <w:t>）语言能力或咀嚼吞咽能力完全丧失；</w:t>
      </w:r>
    </w:p>
    <w:p>
      <w:pPr>
        <w:pStyle w:val="BodyText"/>
        <w:spacing w:line="282" w:lineRule="exact"/>
        <w:ind w:left="535"/>
      </w:pPr>
      <w:r>
        <w:rPr/>
        <w:t>（</w:t>
      </w:r>
      <w:r>
        <w:rPr>
          <w:rFonts w:ascii="Times New Roman" w:eastAsia="Times New Roman"/>
        </w:rPr>
        <w:t>3</w:t>
      </w:r>
      <w:r>
        <w:rPr/>
        <w:t>）自主生活能力完全丧失，无法独立完成六项基本日常生活活动中的三项或三项以上。</w:t>
      </w:r>
    </w:p>
    <w:p>
      <w:pPr>
        <w:pStyle w:val="BodyText"/>
        <w:rPr>
          <w:sz w:val="17"/>
        </w:rPr>
      </w:pPr>
    </w:p>
    <w:p>
      <w:pPr>
        <w:pStyle w:val="Heading2"/>
        <w:numPr>
          <w:ilvl w:val="1"/>
          <w:numId w:val="2"/>
        </w:numPr>
        <w:tabs>
          <w:tab w:pos="1113" w:val="left" w:leader="none"/>
          <w:tab w:pos="1114" w:val="left" w:leader="none"/>
        </w:tabs>
        <w:spacing w:line="282" w:lineRule="exact" w:before="0" w:after="0"/>
        <w:ind w:left="1114" w:right="0" w:hanging="579"/>
        <w:jc w:val="left"/>
      </w:pPr>
      <w:r>
        <w:rPr/>
        <w:t>深度昏迷</w:t>
      </w:r>
    </w:p>
    <w:p>
      <w:pPr>
        <w:pStyle w:val="BodyText"/>
        <w:spacing w:line="223" w:lineRule="auto" w:before="11"/>
        <w:ind w:left="112" w:right="213" w:firstLine="422"/>
        <w:jc w:val="both"/>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）结果为</w:t>
      </w:r>
      <w:r>
        <w:rPr>
          <w:rFonts w:ascii="Times New Roman" w:eastAsia="Times New Roman"/>
        </w:rPr>
        <w:t>5</w:t>
      </w:r>
      <w:r>
        <w:rPr/>
        <w:t>分或</w:t>
      </w:r>
      <w:r>
        <w:rPr>
          <w:rFonts w:ascii="Times New Roman" w:eastAsia="Times New Roman"/>
        </w:rPr>
        <w:t>5</w:t>
      </w:r>
      <w:r>
        <w:rPr/>
        <w:t>分以下，且已经持续使用呼吸机及其它生命维持系统</w:t>
      </w:r>
      <w:r>
        <w:rPr>
          <w:rFonts w:ascii="Times New Roman" w:eastAsia="Times New Roman"/>
        </w:rPr>
        <w:t>96 </w:t>
      </w:r>
      <w:r>
        <w:rPr/>
        <w:t>小时以上。</w:t>
      </w:r>
    </w:p>
    <w:p>
      <w:pPr>
        <w:pStyle w:val="Heading2"/>
        <w:spacing w:line="274" w:lineRule="exact"/>
        <w:ind w:left="538" w:firstLine="0"/>
      </w:pPr>
      <w:r>
        <w:rPr/>
        <w:t>因酗酒或药物滥用导致的深度昏迷不在保障范围内。</w:t>
      </w:r>
    </w:p>
    <w:p>
      <w:pPr>
        <w:pStyle w:val="BodyText"/>
        <w:spacing w:before="3"/>
        <w:rPr>
          <w:b/>
          <w:sz w:val="18"/>
        </w:rPr>
      </w:pPr>
    </w:p>
    <w:p>
      <w:pPr>
        <w:pStyle w:val="ListParagraph"/>
        <w:numPr>
          <w:ilvl w:val="1"/>
          <w:numId w:val="2"/>
        </w:numPr>
        <w:tabs>
          <w:tab w:pos="1113" w:val="left" w:leader="none"/>
          <w:tab w:pos="1114" w:val="left" w:leader="none"/>
        </w:tabs>
        <w:spacing w:line="282" w:lineRule="exact" w:before="0" w:after="0"/>
        <w:ind w:left="1114" w:right="0" w:hanging="579"/>
        <w:jc w:val="left"/>
        <w:rPr>
          <w:b/>
          <w:sz w:val="21"/>
        </w:rPr>
      </w:pPr>
      <w:r>
        <w:rPr>
          <w:b/>
          <w:sz w:val="21"/>
        </w:rPr>
        <w:t>双耳失聪</w:t>
      </w:r>
    </w:p>
    <w:p>
      <w:pPr>
        <w:pStyle w:val="BodyText"/>
        <w:spacing w:line="223" w:lineRule="auto" w:before="11"/>
        <w:ind w:left="112" w:right="215" w:firstLine="422"/>
        <w:jc w:val="both"/>
      </w:pPr>
      <w:r>
        <w:rPr/>
        <w:t>指因疾病或意外伤害导致双耳听力</w:t>
      </w:r>
      <w:r>
        <w:rPr>
          <w:b/>
        </w:rPr>
        <w:t>永久不可逆（</w:t>
      </w:r>
      <w:r>
        <w:rPr>
          <w:rFonts w:ascii="Times New Roman" w:eastAsia="Times New Roman"/>
          <w:b/>
        </w:rPr>
        <w:t>10.24</w:t>
      </w:r>
      <w:r>
        <w:rPr>
          <w:b/>
        </w:rPr>
        <w:t>）</w:t>
      </w:r>
      <w:r>
        <w:rPr/>
        <w:t>性丧失，在</w:t>
      </w:r>
      <w:r>
        <w:rPr>
          <w:rFonts w:ascii="Times New Roman" w:eastAsia="Times New Roman"/>
        </w:rPr>
        <w:t>500</w:t>
      </w:r>
      <w:r>
        <w:rPr/>
        <w:t>赫兹、</w:t>
      </w:r>
      <w:r>
        <w:rPr>
          <w:rFonts w:ascii="Times New Roman" w:eastAsia="Times New Roman"/>
        </w:rPr>
        <w:t>1000</w:t>
      </w:r>
      <w:r>
        <w:rPr/>
        <w:t>赫兹和</w:t>
      </w:r>
      <w:r>
        <w:rPr>
          <w:rFonts w:ascii="Times New Roman" w:eastAsia="Times New Roman"/>
        </w:rPr>
        <w:t>2000 </w:t>
      </w:r>
      <w:r>
        <w:rPr/>
        <w:t>赫兹语音频率下，平均听阈大于</w:t>
      </w:r>
      <w:r>
        <w:rPr>
          <w:rFonts w:ascii="Times New Roman" w:eastAsia="Times New Roman"/>
        </w:rPr>
        <w:t>90</w:t>
      </w:r>
      <w:r>
        <w:rPr/>
        <w:t>分贝，且经纯音听力测试、声导抗检测或听觉诱发电位检测等证实。</w:t>
      </w:r>
    </w:p>
    <w:p>
      <w:pPr>
        <w:pStyle w:val="BodyText"/>
        <w:spacing w:line="237" w:lineRule="auto" w:before="1"/>
        <w:ind w:left="112" w:right="216" w:firstLine="422"/>
        <w:jc w:val="both"/>
      </w:pPr>
      <w:r>
        <w:rPr/>
        <w:t>特别声明：我们将在被保险人年龄在三周岁或以上时受理理赔，并且保险金申请人必须提供理赔受理当时的听力丧失诊断及检查证据。若被保险人发病时不足三周岁，我们将延期到被保险人年满三周岁后予以受理和评估。</w:t>
      </w:r>
    </w:p>
    <w:p>
      <w:pPr>
        <w:pStyle w:val="BodyText"/>
        <w:spacing w:before="3"/>
        <w:rPr>
          <w:sz w:val="18"/>
        </w:rPr>
      </w:pPr>
    </w:p>
    <w:p>
      <w:pPr>
        <w:pStyle w:val="Heading2"/>
        <w:numPr>
          <w:ilvl w:val="1"/>
          <w:numId w:val="2"/>
        </w:numPr>
        <w:tabs>
          <w:tab w:pos="1113" w:val="left" w:leader="none"/>
          <w:tab w:pos="1114" w:val="left" w:leader="none"/>
        </w:tabs>
        <w:spacing w:line="281" w:lineRule="exact" w:before="0" w:after="0"/>
        <w:ind w:left="1114" w:right="0" w:hanging="579"/>
        <w:jc w:val="left"/>
      </w:pPr>
      <w:r>
        <w:rPr/>
        <w:t>双目失明</w:t>
      </w:r>
    </w:p>
    <w:p>
      <w:pPr>
        <w:pStyle w:val="BodyText"/>
        <w:spacing w:line="264" w:lineRule="exact"/>
        <w:ind w:left="535"/>
      </w:pPr>
      <w:r>
        <w:rPr/>
        <w:t>指因疾病或意外伤害导致双眼视力永久不可逆性丧失，双眼中较好眼须满足下列至少一项条件：</w:t>
      </w:r>
    </w:p>
    <w:p>
      <w:pPr>
        <w:pStyle w:val="BodyText"/>
        <w:spacing w:line="280" w:lineRule="exact"/>
        <w:ind w:left="535"/>
      </w:pPr>
      <w:r>
        <w:rPr/>
        <w:t>（</w:t>
      </w:r>
      <w:r>
        <w:rPr>
          <w:rFonts w:ascii="Times New Roman" w:eastAsia="Times New Roman"/>
        </w:rPr>
        <w:t>1</w:t>
      </w:r>
      <w:r>
        <w:rPr/>
        <w:t>）眼球缺失或摘除；</w:t>
      </w:r>
    </w:p>
    <w:p>
      <w:pPr>
        <w:pStyle w:val="BodyText"/>
        <w:spacing w:line="272" w:lineRule="exact"/>
        <w:ind w:left="535"/>
      </w:pPr>
      <w:r>
        <w:rPr>
          <w:w w:val="100"/>
        </w:rPr>
        <w:t>（</w:t>
      </w:r>
      <w:r>
        <w:rPr>
          <w:rFonts w:ascii="Times New Roman" w:eastAsia="Times New Roman"/>
          <w:w w:val="100"/>
        </w:rPr>
        <w:t>2</w:t>
      </w:r>
      <w:r>
        <w:rPr>
          <w:spacing w:val="-3"/>
          <w:w w:val="100"/>
        </w:rPr>
        <w:t>）矫正视力低于</w:t>
      </w:r>
      <w:r>
        <w:rPr>
          <w:rFonts w:ascii="Times New Roman" w:eastAsia="Times New Roman"/>
          <w:spacing w:val="-3"/>
          <w:w w:val="100"/>
        </w:rPr>
        <w:t>0</w:t>
      </w:r>
      <w:r>
        <w:rPr>
          <w:rFonts w:ascii="Times New Roman" w:eastAsia="Times New Roman"/>
          <w:w w:val="100"/>
        </w:rPr>
        <w:t>.0</w:t>
      </w:r>
      <w:r>
        <w:rPr>
          <w:rFonts w:ascii="Times New Roman" w:eastAsia="Times New Roman"/>
          <w:spacing w:val="-3"/>
          <w:w w:val="100"/>
        </w:rPr>
        <w:t>2</w:t>
      </w:r>
      <w:r>
        <w:rPr>
          <w:spacing w:val="-3"/>
          <w:w w:val="100"/>
        </w:rPr>
        <w:t>（采用国际标准视力表，如果使用其它视力表应进行换算</w:t>
      </w:r>
      <w:r>
        <w:rPr>
          <w:spacing w:val="-108"/>
          <w:w w:val="100"/>
        </w:rPr>
        <w:t>）</w:t>
      </w:r>
      <w:r>
        <w:rPr>
          <w:w w:val="100"/>
        </w:rPr>
        <w:t>；</w:t>
      </w:r>
    </w:p>
    <w:p>
      <w:pPr>
        <w:pStyle w:val="BodyText"/>
        <w:spacing w:line="272" w:lineRule="exact"/>
        <w:ind w:left="535"/>
      </w:pPr>
      <w:r>
        <w:rPr/>
        <w:t>（</w:t>
      </w:r>
      <w:r>
        <w:rPr>
          <w:rFonts w:ascii="Times New Roman" w:eastAsia="Times New Roman"/>
        </w:rPr>
        <w:t>3</w:t>
      </w:r>
      <w:r>
        <w:rPr/>
        <w:t>）视野半径小于</w:t>
      </w:r>
      <w:r>
        <w:rPr>
          <w:rFonts w:ascii="Times New Roman" w:eastAsia="Times New Roman"/>
        </w:rPr>
        <w:t>5</w:t>
      </w:r>
      <w:r>
        <w:rPr/>
        <w:t>度。</w:t>
      </w:r>
    </w:p>
    <w:p>
      <w:pPr>
        <w:pStyle w:val="BodyText"/>
        <w:spacing w:line="237" w:lineRule="auto"/>
        <w:ind w:left="112" w:right="216" w:firstLine="422"/>
        <w:jc w:val="both"/>
      </w:pPr>
      <w:r>
        <w:rPr/>
        <w:t>特别声明：我们将在被保险人年龄在三周岁或以上时受理理赔，并且保险金申请人必须提供理赔受理当时的视力丧失诊断及检查证据。若被保险人发病时不足三周岁，我们将延期到被保险人年满三周岁后予以受理和评估。</w:t>
      </w:r>
    </w:p>
    <w:p>
      <w:pPr>
        <w:pStyle w:val="BodyText"/>
        <w:spacing w:before="10"/>
        <w:rPr>
          <w:sz w:val="18"/>
        </w:rPr>
      </w:pPr>
    </w:p>
    <w:p>
      <w:pPr>
        <w:pStyle w:val="Heading2"/>
        <w:numPr>
          <w:ilvl w:val="1"/>
          <w:numId w:val="2"/>
        </w:numPr>
        <w:tabs>
          <w:tab w:pos="1113" w:val="left" w:leader="none"/>
          <w:tab w:pos="1114" w:val="left" w:leader="none"/>
        </w:tabs>
        <w:spacing w:line="282" w:lineRule="exact" w:before="0" w:after="0"/>
        <w:ind w:left="1114" w:right="0" w:hanging="579"/>
        <w:jc w:val="left"/>
      </w:pPr>
      <w:r>
        <w:rPr/>
        <w:t>瘫痪</w:t>
      </w:r>
    </w:p>
    <w:p>
      <w:pPr>
        <w:pStyle w:val="BodyText"/>
        <w:spacing w:line="230" w:lineRule="auto" w:before="1"/>
        <w:ind w:left="112" w:right="216" w:firstLine="422"/>
        <w:jc w:val="both"/>
      </w:pPr>
      <w:r>
        <w:rPr/>
        <w:t>指因疾病或意外伤害导致两肢或两肢以上肢体机能永久完全丧失。肢体机能永久完全丧失，指疾病确诊</w:t>
      </w:r>
      <w:r>
        <w:rPr>
          <w:rFonts w:ascii="Times New Roman" w:eastAsia="Times New Roman"/>
        </w:rPr>
        <w:t>180</w:t>
      </w:r>
      <w:r>
        <w:rPr/>
        <w:t>天后或意外伤害发生</w:t>
      </w:r>
      <w:r>
        <w:rPr>
          <w:rFonts w:ascii="Times New Roman" w:eastAsia="Times New Roman"/>
        </w:rPr>
        <w:t>180</w:t>
      </w:r>
      <w:r>
        <w:rPr/>
        <w:t>天后，每肢三大关节中的两大关节仍然完全僵硬，或不能随意识活动。</w:t>
      </w:r>
    </w:p>
    <w:p>
      <w:pPr>
        <w:pStyle w:val="BodyText"/>
        <w:spacing w:before="2"/>
        <w:rPr>
          <w:sz w:val="18"/>
        </w:rPr>
      </w:pPr>
    </w:p>
    <w:p>
      <w:pPr>
        <w:pStyle w:val="Heading2"/>
        <w:numPr>
          <w:ilvl w:val="1"/>
          <w:numId w:val="2"/>
        </w:numPr>
        <w:tabs>
          <w:tab w:pos="1113" w:val="left" w:leader="none"/>
          <w:tab w:pos="1114" w:val="left" w:leader="none"/>
        </w:tabs>
        <w:spacing w:line="281" w:lineRule="exact" w:before="0" w:after="0"/>
        <w:ind w:left="1114" w:right="0" w:hanging="579"/>
        <w:jc w:val="left"/>
      </w:pPr>
      <w:r>
        <w:rPr/>
        <w:t>心脏瓣膜手术</w:t>
      </w:r>
    </w:p>
    <w:p>
      <w:pPr>
        <w:pStyle w:val="BodyText"/>
        <w:spacing w:line="265" w:lineRule="exact"/>
        <w:ind w:left="535"/>
      </w:pPr>
      <w:r>
        <w:rPr/>
        <w:t>指为治疗心脏瓣膜疾病，实际实施了开胸进行的心脏瓣膜置换或修复的手术。</w:t>
      </w:r>
    </w:p>
    <w:p>
      <w:pPr>
        <w:pStyle w:val="BodyText"/>
        <w:spacing w:before="6"/>
        <w:rPr>
          <w:sz w:val="18"/>
        </w:rPr>
      </w:pPr>
    </w:p>
    <w:p>
      <w:pPr>
        <w:pStyle w:val="Heading2"/>
        <w:numPr>
          <w:ilvl w:val="1"/>
          <w:numId w:val="2"/>
        </w:numPr>
        <w:tabs>
          <w:tab w:pos="1113" w:val="left" w:leader="none"/>
          <w:tab w:pos="1114" w:val="left" w:leader="none"/>
        </w:tabs>
        <w:spacing w:line="281" w:lineRule="exact" w:before="0" w:after="0"/>
        <w:ind w:left="1114" w:right="0" w:hanging="579"/>
        <w:jc w:val="left"/>
      </w:pPr>
      <w:r>
        <w:rPr/>
        <w:t>严重阿尔茨海默病</w:t>
      </w:r>
    </w:p>
    <w:p>
      <w:pPr>
        <w:pStyle w:val="BodyText"/>
        <w:spacing w:line="228" w:lineRule="auto" w:before="4"/>
        <w:ind w:left="112" w:right="215" w:firstLine="422"/>
        <w:jc w:val="both"/>
      </w:pPr>
      <w:r>
        <w:rPr>
          <w:spacing w:val="-3"/>
        </w:rPr>
        <w:t>指因大脑进行性、不可逆性改变导致智能严重衰退或丧失，临床表现为明显的认知能力障碍、</w:t>
      </w:r>
      <w:r>
        <w:rPr>
          <w:w w:val="100"/>
        </w:rPr>
        <w:t>行为异常和社交能力减退，其日常生活必须持续受到他人监护。须由头颅断层扫描</w:t>
      </w:r>
      <w:r>
        <w:rPr>
          <w:spacing w:val="5"/>
          <w:w w:val="100"/>
        </w:rPr>
        <w:t>（</w:t>
      </w:r>
      <w:r>
        <w:rPr>
          <w:rFonts w:ascii="Times New Roman" w:eastAsia="Times New Roman"/>
          <w:spacing w:val="-2"/>
          <w:w w:val="100"/>
        </w:rPr>
        <w:t>C</w:t>
      </w:r>
      <w:r>
        <w:rPr>
          <w:rFonts w:ascii="Times New Roman" w:eastAsia="Times New Roman"/>
          <w:spacing w:val="1"/>
          <w:w w:val="100"/>
        </w:rPr>
        <w:t>T</w:t>
      </w:r>
      <w:r>
        <w:rPr>
          <w:spacing w:val="-106"/>
          <w:w w:val="100"/>
        </w:rPr>
        <w:t>）</w:t>
      </w:r>
      <w:r>
        <w:rPr>
          <w:w w:val="100"/>
        </w:rPr>
        <w:t>、核磁共</w:t>
      </w:r>
      <w:r>
        <w:rPr>
          <w:spacing w:val="-7"/>
        </w:rPr>
        <w:t>振检查</w:t>
      </w:r>
      <w:r>
        <w:rPr>
          <w:spacing w:val="-5"/>
        </w:rPr>
        <w:t>（</w:t>
      </w:r>
      <w:r>
        <w:rPr>
          <w:rFonts w:ascii="Times New Roman" w:eastAsia="Times New Roman"/>
          <w:spacing w:val="-5"/>
        </w:rPr>
        <w:t>MRI</w:t>
      </w:r>
      <w:r>
        <w:rPr>
          <w:spacing w:val="-5"/>
        </w:rPr>
        <w:t>）或正电子发射断层扫描（</w:t>
      </w:r>
      <w:r>
        <w:rPr>
          <w:rFonts w:ascii="Times New Roman" w:eastAsia="Times New Roman"/>
          <w:spacing w:val="-5"/>
        </w:rPr>
        <w:t>PET</w:t>
      </w:r>
      <w:r>
        <w:rPr>
          <w:spacing w:val="-5"/>
        </w:rPr>
        <w:t>）</w:t>
      </w:r>
      <w:r>
        <w:rPr>
          <w:spacing w:val="-6"/>
        </w:rPr>
        <w:t>等影像学检查证实，且自主生活能力完全丧失，无法</w:t>
      </w:r>
      <w:r>
        <w:rPr>
          <w:spacing w:val="-4"/>
        </w:rPr>
        <w:t>独立完成六项基本日常生活活动中的三项或三项以上。</w:t>
      </w:r>
    </w:p>
    <w:p>
      <w:pPr>
        <w:pStyle w:val="Heading2"/>
        <w:spacing w:line="274" w:lineRule="exact"/>
        <w:ind w:left="538" w:firstLine="0"/>
      </w:pPr>
      <w:r>
        <w:rPr/>
        <w:t>神经官能症和精神疾病不在保障范围内。</w:t>
      </w:r>
    </w:p>
    <w:p>
      <w:pPr>
        <w:pStyle w:val="BodyText"/>
        <w:spacing w:before="3"/>
        <w:rPr>
          <w:b/>
          <w:sz w:val="18"/>
        </w:rPr>
      </w:pPr>
    </w:p>
    <w:p>
      <w:pPr>
        <w:pStyle w:val="ListParagraph"/>
        <w:numPr>
          <w:ilvl w:val="1"/>
          <w:numId w:val="2"/>
        </w:numPr>
        <w:tabs>
          <w:tab w:pos="1113" w:val="left" w:leader="none"/>
          <w:tab w:pos="1114" w:val="left" w:leader="none"/>
        </w:tabs>
        <w:spacing w:line="281" w:lineRule="exact" w:before="0" w:after="0"/>
        <w:ind w:left="1114" w:right="0" w:hanging="579"/>
        <w:jc w:val="left"/>
        <w:rPr>
          <w:b/>
          <w:sz w:val="21"/>
        </w:rPr>
      </w:pPr>
      <w:r>
        <w:rPr>
          <w:b/>
          <w:sz w:val="21"/>
        </w:rPr>
        <w:t>严重脑损伤</w:t>
      </w:r>
    </w:p>
    <w:p>
      <w:pPr>
        <w:pStyle w:val="BodyText"/>
        <w:spacing w:line="230" w:lineRule="auto" w:before="1"/>
        <w:ind w:left="112" w:right="215" w:firstLine="422"/>
        <w:jc w:val="both"/>
      </w:pPr>
      <w:r>
        <w:rPr>
          <w:spacing w:val="-3"/>
        </w:rPr>
        <w:t>指因头部遭受机械性外力，引起脑重要部位损伤，导致神经系统永久性的功能障碍。须由头颅</w:t>
      </w:r>
      <w:r>
        <w:rPr>
          <w:spacing w:val="-5"/>
          <w:w w:val="100"/>
        </w:rPr>
        <w:t>断层扫描</w:t>
      </w:r>
      <w:r>
        <w:rPr>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5"/>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8"/>
          <w:w w:val="100"/>
        </w:rPr>
        <w:t>）</w:t>
      </w:r>
      <w:r>
        <w:rPr>
          <w:spacing w:val="-4"/>
          <w:w w:val="100"/>
        </w:rPr>
        <w:t>或正电子发射断层扫描</w:t>
      </w:r>
      <w:r>
        <w:rPr>
          <w:spacing w:val="-3"/>
          <w:w w:val="100"/>
        </w:rPr>
        <w:t>（</w:t>
      </w:r>
      <w:r>
        <w:rPr>
          <w:rFonts w:ascii="Times New Roman" w:eastAsia="Times New Roman"/>
          <w:spacing w:val="1"/>
          <w:w w:val="100"/>
        </w:rPr>
        <w:t>P</w:t>
      </w:r>
      <w:r>
        <w:rPr>
          <w:rFonts w:ascii="Times New Roman" w:eastAsia="Times New Roman"/>
          <w:spacing w:val="-2"/>
          <w:w w:val="100"/>
        </w:rPr>
        <w:t>ET</w:t>
      </w:r>
      <w:r>
        <w:rPr>
          <w:spacing w:val="-8"/>
          <w:w w:val="100"/>
        </w:rPr>
        <w:t>）</w:t>
      </w:r>
      <w:r>
        <w:rPr>
          <w:spacing w:val="-4"/>
          <w:w w:val="100"/>
        </w:rPr>
        <w:t>等影像学检查证实。神经系</w:t>
      </w:r>
      <w:r>
        <w:rPr>
          <w:spacing w:val="-3"/>
        </w:rPr>
        <w:t>统永久性的功能障碍，指脑损伤</w:t>
      </w:r>
      <w:r>
        <w:rPr>
          <w:rFonts w:ascii="Times New Roman" w:eastAsia="Times New Roman"/>
        </w:rPr>
        <w:t>180</w:t>
      </w:r>
      <w:r>
        <w:rPr>
          <w:spacing w:val="-3"/>
        </w:rPr>
        <w:t>天后，仍遗留下列一种或一种以上障碍：</w:t>
      </w:r>
    </w:p>
    <w:p>
      <w:pPr>
        <w:pStyle w:val="BodyText"/>
        <w:spacing w:line="274" w:lineRule="exact"/>
        <w:ind w:left="535"/>
      </w:pPr>
      <w:r>
        <w:rPr/>
        <w:t>（</w:t>
      </w:r>
      <w:r>
        <w:rPr>
          <w:rFonts w:ascii="Times New Roman" w:eastAsia="Times New Roman"/>
        </w:rPr>
        <w:t>1</w:t>
      </w:r>
      <w:r>
        <w:rPr/>
        <w:t>）一肢或一肢以上肢体机能完全丧失；</w:t>
      </w:r>
    </w:p>
    <w:p>
      <w:pPr>
        <w:spacing w:after="0" w:line="274" w:lineRule="exact"/>
        <w:sectPr>
          <w:pgSz w:w="11910" w:h="16840"/>
          <w:pgMar w:header="0" w:footer="1239" w:top="1060" w:bottom="1420" w:left="1020" w:right="1480"/>
        </w:sectPr>
      </w:pPr>
    </w:p>
    <w:p>
      <w:pPr>
        <w:pStyle w:val="BodyText"/>
        <w:spacing w:line="282" w:lineRule="exact" w:before="20"/>
        <w:ind w:left="524"/>
      </w:pPr>
      <w:r>
        <w:rPr/>
        <w:t>（</w:t>
      </w:r>
      <w:r>
        <w:rPr>
          <w:rFonts w:ascii="Times New Roman" w:eastAsia="Times New Roman"/>
        </w:rPr>
        <w:t>2</w:t>
      </w:r>
      <w:r>
        <w:rPr/>
        <w:t>）语言能力或咀嚼吞咽能力完全丧失；</w:t>
      </w:r>
    </w:p>
    <w:p>
      <w:pPr>
        <w:pStyle w:val="BodyText"/>
        <w:spacing w:line="282" w:lineRule="exact"/>
        <w:ind w:left="524"/>
      </w:pPr>
      <w:r>
        <w:rPr/>
        <w:t>（</w:t>
      </w:r>
      <w:r>
        <w:rPr>
          <w:rFonts w:ascii="Times New Roman" w:eastAsia="Times New Roman"/>
        </w:rPr>
        <w:t>3</w:t>
      </w:r>
      <w:r>
        <w:rPr/>
        <w:t>）自主生活能力完全丧失，无法独立完成六项基本日常生活活动中的三项或三项以上。</w:t>
      </w:r>
    </w:p>
    <w:p>
      <w:pPr>
        <w:pStyle w:val="BodyText"/>
        <w:spacing w:before="1"/>
        <w:rPr>
          <w:sz w:val="17"/>
        </w:rPr>
      </w:pPr>
    </w:p>
    <w:p>
      <w:pPr>
        <w:pStyle w:val="Heading2"/>
        <w:numPr>
          <w:ilvl w:val="1"/>
          <w:numId w:val="2"/>
        </w:numPr>
        <w:tabs>
          <w:tab w:pos="1102" w:val="left" w:leader="none"/>
          <w:tab w:pos="1103" w:val="left" w:leader="none"/>
        </w:tabs>
        <w:spacing w:line="282" w:lineRule="exact" w:before="0" w:after="0"/>
        <w:ind w:left="1102" w:right="0" w:hanging="578"/>
        <w:jc w:val="left"/>
      </w:pPr>
      <w:r>
        <w:rPr/>
        <w:t>严重帕金森病</w:t>
      </w:r>
    </w:p>
    <w:p>
      <w:pPr>
        <w:pStyle w:val="BodyText"/>
        <w:spacing w:line="264" w:lineRule="exact"/>
        <w:ind w:left="524"/>
      </w:pPr>
      <w:r>
        <w:rPr/>
        <w:t>是一种中枢神经系统的退行性疾病，临床表现为震颤麻痹、共济失调等。须满足下列全部条件：</w:t>
      </w:r>
    </w:p>
    <w:p>
      <w:pPr>
        <w:pStyle w:val="BodyText"/>
        <w:spacing w:line="279" w:lineRule="exact"/>
        <w:ind w:left="524"/>
      </w:pPr>
      <w:r>
        <w:rPr/>
        <w:t>（</w:t>
      </w:r>
      <w:r>
        <w:rPr>
          <w:rFonts w:ascii="Times New Roman" w:eastAsia="Times New Roman"/>
        </w:rPr>
        <w:t>1</w:t>
      </w:r>
      <w:r>
        <w:rPr/>
        <w:t>）药物治疗无法控制病情；</w:t>
      </w:r>
    </w:p>
    <w:p>
      <w:pPr>
        <w:spacing w:line="225" w:lineRule="auto" w:before="7"/>
        <w:ind w:left="526" w:right="559" w:hanging="3"/>
        <w:jc w:val="left"/>
        <w:rPr>
          <w:b/>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r>
        <w:rPr>
          <w:b/>
          <w:sz w:val="21"/>
        </w:rPr>
        <w:t>继发性帕金森综合征不在保障范围内。</w:t>
      </w:r>
    </w:p>
    <w:p>
      <w:pPr>
        <w:pStyle w:val="BodyText"/>
        <w:spacing w:before="2"/>
        <w:rPr>
          <w:b/>
          <w:sz w:val="18"/>
        </w:rPr>
      </w:pPr>
    </w:p>
    <w:p>
      <w:pPr>
        <w:pStyle w:val="Heading2"/>
        <w:numPr>
          <w:ilvl w:val="1"/>
          <w:numId w:val="2"/>
        </w:numPr>
        <w:tabs>
          <w:tab w:pos="1102" w:val="left" w:leader="none"/>
          <w:tab w:pos="1103" w:val="left" w:leader="none"/>
        </w:tabs>
        <w:spacing w:line="282" w:lineRule="exact" w:before="0" w:after="0"/>
        <w:ind w:left="1102" w:right="0" w:hanging="578"/>
        <w:jc w:val="left"/>
      </w:pPr>
      <w:r>
        <w:rPr/>
        <w:t>严重Ⅲ度烧伤</w:t>
      </w:r>
    </w:p>
    <w:p>
      <w:pPr>
        <w:pStyle w:val="BodyText"/>
        <w:spacing w:line="223" w:lineRule="auto" w:before="11"/>
        <w:ind w:left="102" w:right="204" w:firstLine="422"/>
      </w:pPr>
      <w:r>
        <w:rPr>
          <w:spacing w:val="-11"/>
        </w:rPr>
        <w:t>指烧伤程度为Ⅲ度，且Ⅲ度烧伤的面积达到全身体表面积的</w:t>
      </w:r>
      <w:r>
        <w:rPr>
          <w:rFonts w:ascii="Times New Roman" w:hAnsi="Times New Roman" w:eastAsia="Times New Roman"/>
        </w:rPr>
        <w:t>20</w:t>
      </w:r>
      <w:r>
        <w:rPr>
          <w:spacing w:val="10"/>
        </w:rPr>
        <w:t>％ 或</w:t>
      </w:r>
      <w:r>
        <w:rPr>
          <w:rFonts w:ascii="Times New Roman" w:hAnsi="Times New Roman" w:eastAsia="Times New Roman"/>
        </w:rPr>
        <w:t>20</w:t>
      </w:r>
      <w:r>
        <w:rPr>
          <w:spacing w:val="-19"/>
        </w:rPr>
        <w:t>％以上。体表面积根据《中</w:t>
      </w:r>
      <w:r>
        <w:rPr>
          <w:spacing w:val="-8"/>
        </w:rPr>
        <w:t>国新九分法》计算。</w:t>
      </w:r>
    </w:p>
    <w:p>
      <w:pPr>
        <w:pStyle w:val="BodyText"/>
        <w:spacing w:before="3"/>
        <w:rPr>
          <w:sz w:val="18"/>
        </w:rPr>
      </w:pPr>
    </w:p>
    <w:p>
      <w:pPr>
        <w:pStyle w:val="Heading2"/>
        <w:numPr>
          <w:ilvl w:val="1"/>
          <w:numId w:val="2"/>
        </w:numPr>
        <w:tabs>
          <w:tab w:pos="1102" w:val="left" w:leader="none"/>
          <w:tab w:pos="1103" w:val="left" w:leader="none"/>
        </w:tabs>
        <w:spacing w:line="282" w:lineRule="exact" w:before="0" w:after="0"/>
        <w:ind w:left="1102" w:right="0" w:hanging="578"/>
        <w:jc w:val="left"/>
      </w:pPr>
      <w:r>
        <w:rPr>
          <w:spacing w:val="-1"/>
        </w:rPr>
        <w:t>严重原发性肺动脉高压</w:t>
      </w:r>
    </w:p>
    <w:p>
      <w:pPr>
        <w:spacing w:line="230" w:lineRule="auto" w:before="2"/>
        <w:ind w:left="102" w:right="204" w:firstLine="422"/>
        <w:jc w:val="both"/>
        <w:rPr>
          <w:sz w:val="21"/>
        </w:rPr>
      </w:pPr>
      <w:r>
        <w:rPr>
          <w:spacing w:val="-3"/>
          <w:sz w:val="21"/>
        </w:rPr>
        <w:t>指不明原因的肺动脉压力持续性增高，进行性发展而导致的慢性疾病，已经造成永久不可逆性</w:t>
      </w:r>
      <w:r>
        <w:rPr>
          <w:spacing w:val="-3"/>
          <w:w w:val="100"/>
          <w:sz w:val="21"/>
        </w:rPr>
        <w:t>的体力活动能力受限，达到</w:t>
      </w:r>
      <w:r>
        <w:rPr>
          <w:b/>
          <w:w w:val="100"/>
          <w:sz w:val="21"/>
        </w:rPr>
        <w:t>美国纽约心脏病学会心功能状态分级</w:t>
      </w:r>
      <w:r>
        <w:rPr>
          <w:rFonts w:ascii="Times New Roman" w:eastAsia="Times New Roman"/>
          <w:b/>
          <w:spacing w:val="-1"/>
          <w:w w:val="100"/>
          <w:sz w:val="21"/>
        </w:rPr>
        <w:t>I</w:t>
      </w:r>
      <w:r>
        <w:rPr>
          <w:rFonts w:ascii="Times New Roman" w:eastAsia="Times New Roman"/>
          <w:b/>
          <w:spacing w:val="-2"/>
          <w:w w:val="100"/>
          <w:sz w:val="21"/>
        </w:rPr>
        <w:t>V</w:t>
      </w:r>
      <w:r>
        <w:rPr>
          <w:b/>
          <w:spacing w:val="1"/>
          <w:w w:val="100"/>
          <w:sz w:val="21"/>
        </w:rPr>
        <w:t>级（</w:t>
      </w:r>
      <w:r>
        <w:rPr>
          <w:rFonts w:ascii="Times New Roman" w:eastAsia="Times New Roman"/>
          <w:b/>
          <w:w w:val="100"/>
          <w:sz w:val="21"/>
        </w:rPr>
        <w:t>1</w:t>
      </w:r>
      <w:r>
        <w:rPr>
          <w:rFonts w:ascii="Times New Roman" w:eastAsia="Times New Roman"/>
          <w:b/>
          <w:spacing w:val="-3"/>
          <w:w w:val="100"/>
          <w:sz w:val="21"/>
        </w:rPr>
        <w:t>0</w:t>
      </w:r>
      <w:r>
        <w:rPr>
          <w:rFonts w:ascii="Times New Roman" w:eastAsia="Times New Roman"/>
          <w:b/>
          <w:spacing w:val="-1"/>
          <w:w w:val="100"/>
          <w:sz w:val="21"/>
        </w:rPr>
        <w:t>.</w:t>
      </w:r>
      <w:r>
        <w:rPr>
          <w:rFonts w:ascii="Times New Roman" w:eastAsia="Times New Roman"/>
          <w:b/>
          <w:w w:val="100"/>
          <w:sz w:val="21"/>
        </w:rPr>
        <w:t>25</w:t>
      </w:r>
      <w:r>
        <w:rPr>
          <w:b/>
          <w:spacing w:val="-104"/>
          <w:w w:val="100"/>
          <w:sz w:val="21"/>
        </w:rPr>
        <w:t>）</w:t>
      </w:r>
      <w:r>
        <w:rPr>
          <w:w w:val="100"/>
          <w:sz w:val="21"/>
        </w:rPr>
        <w:t>，且静息状态下肺动</w:t>
      </w:r>
      <w:r>
        <w:rPr>
          <w:spacing w:val="-3"/>
          <w:sz w:val="21"/>
        </w:rPr>
        <w:t>脉平均压超过</w:t>
      </w:r>
      <w:r>
        <w:rPr>
          <w:rFonts w:ascii="Times New Roman" w:eastAsia="Times New Roman"/>
          <w:spacing w:val="-1"/>
          <w:sz w:val="21"/>
        </w:rPr>
        <w:t>30mmHg</w:t>
      </w:r>
      <w:r>
        <w:rPr>
          <w:sz w:val="21"/>
        </w:rPr>
        <w:t>。</w:t>
      </w:r>
    </w:p>
    <w:p>
      <w:pPr>
        <w:pStyle w:val="BodyText"/>
        <w:rPr>
          <w:sz w:val="17"/>
        </w:rPr>
      </w:pPr>
    </w:p>
    <w:p>
      <w:pPr>
        <w:pStyle w:val="Heading2"/>
        <w:numPr>
          <w:ilvl w:val="1"/>
          <w:numId w:val="2"/>
        </w:numPr>
        <w:tabs>
          <w:tab w:pos="1102" w:val="left" w:leader="none"/>
          <w:tab w:pos="1103" w:val="left" w:leader="none"/>
        </w:tabs>
        <w:spacing w:line="281" w:lineRule="exact" w:before="0" w:after="0"/>
        <w:ind w:left="1102" w:right="0" w:hanging="578"/>
        <w:jc w:val="left"/>
      </w:pPr>
      <w:r>
        <w:rPr/>
        <w:t>严重运动神经元病</w:t>
      </w:r>
    </w:p>
    <w:p>
      <w:pPr>
        <w:pStyle w:val="BodyText"/>
        <w:spacing w:line="237" w:lineRule="auto"/>
        <w:ind w:left="102" w:right="207" w:firstLine="422"/>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1"/>
        <w:rPr>
          <w:sz w:val="18"/>
        </w:rPr>
      </w:pPr>
    </w:p>
    <w:p>
      <w:pPr>
        <w:pStyle w:val="Heading2"/>
        <w:numPr>
          <w:ilvl w:val="1"/>
          <w:numId w:val="2"/>
        </w:numPr>
        <w:tabs>
          <w:tab w:pos="1102" w:val="left" w:leader="none"/>
          <w:tab w:pos="1103" w:val="left" w:leader="none"/>
        </w:tabs>
        <w:spacing w:line="282" w:lineRule="exact" w:before="0" w:after="0"/>
        <w:ind w:left="1102" w:right="0" w:hanging="578"/>
        <w:jc w:val="left"/>
      </w:pPr>
      <w:r>
        <w:rPr/>
        <w:t>语言能力丧失</w:t>
      </w:r>
    </w:p>
    <w:p>
      <w:pPr>
        <w:pStyle w:val="BodyText"/>
        <w:spacing w:line="223" w:lineRule="auto" w:before="11"/>
        <w:ind w:left="102" w:right="206" w:firstLine="422"/>
      </w:pPr>
      <w:r>
        <w:rPr>
          <w:spacing w:val="-2"/>
        </w:rPr>
        <w:t>指因疾病或意外伤害导致完全丧失语言能力，经过积极治疗至少</w:t>
      </w:r>
      <w:r>
        <w:rPr>
          <w:rFonts w:ascii="Times New Roman" w:eastAsia="Times New Roman"/>
        </w:rPr>
        <w:t>12</w:t>
      </w:r>
      <w:r>
        <w:rPr/>
        <w:t>个月（</w:t>
      </w:r>
      <w:r>
        <w:rPr>
          <w:spacing w:val="-2"/>
        </w:rPr>
        <w:t>声带完全切除不受此</w:t>
      </w:r>
      <w:r>
        <w:rPr>
          <w:spacing w:val="-3"/>
          <w:w w:val="100"/>
        </w:rPr>
        <w:t>时间限制</w:t>
      </w:r>
      <w:r>
        <w:rPr>
          <w:spacing w:val="-108"/>
          <w:w w:val="100"/>
        </w:rPr>
        <w:t>）</w:t>
      </w:r>
      <w:r>
        <w:rPr>
          <w:spacing w:val="-3"/>
          <w:w w:val="100"/>
        </w:rPr>
        <w:t>，仍无法通过现有医疗手段恢复。</w:t>
      </w:r>
    </w:p>
    <w:p>
      <w:pPr>
        <w:pStyle w:val="BodyText"/>
        <w:spacing w:line="272" w:lineRule="exact"/>
        <w:ind w:left="524"/>
      </w:pPr>
      <w:r>
        <w:rPr/>
        <w:t>精神心理因素所致的语言能力丧失不在保障范围内。</w:t>
      </w:r>
    </w:p>
    <w:p>
      <w:pPr>
        <w:pStyle w:val="BodyText"/>
        <w:spacing w:line="237" w:lineRule="auto" w:before="1"/>
        <w:ind w:left="102" w:right="207" w:firstLine="422"/>
        <w:jc w:val="both"/>
      </w:pPr>
      <w:r>
        <w:rPr/>
        <w:t>特别声明：我们将在被保险人年龄在三周岁或以上时受理理赔，并且保险金申请人必须提供理赔受理当时的语言能力丧失诊断及检查证据。若被保险人发病时不足三周岁，我们将延期到被保险人年满三周岁后予以受理和评估。</w:t>
      </w:r>
    </w:p>
    <w:p>
      <w:pPr>
        <w:pStyle w:val="BodyText"/>
        <w:spacing w:before="2"/>
        <w:rPr>
          <w:sz w:val="18"/>
        </w:rPr>
      </w:pPr>
    </w:p>
    <w:p>
      <w:pPr>
        <w:pStyle w:val="Heading2"/>
        <w:numPr>
          <w:ilvl w:val="1"/>
          <w:numId w:val="2"/>
        </w:numPr>
        <w:tabs>
          <w:tab w:pos="1102" w:val="left" w:leader="none"/>
          <w:tab w:pos="1103" w:val="left" w:leader="none"/>
        </w:tabs>
        <w:spacing w:line="282" w:lineRule="exact" w:before="1" w:after="0"/>
        <w:ind w:left="1102" w:right="0" w:hanging="578"/>
        <w:jc w:val="left"/>
      </w:pPr>
      <w:r>
        <w:rPr>
          <w:spacing w:val="-1"/>
        </w:rPr>
        <w:t>重型再生障碍性贫血</w:t>
      </w:r>
    </w:p>
    <w:p>
      <w:pPr>
        <w:pStyle w:val="BodyText"/>
        <w:spacing w:line="237" w:lineRule="auto"/>
        <w:ind w:left="102" w:right="207" w:firstLine="422"/>
      </w:pPr>
      <w:r>
        <w:rPr/>
        <w:t>指因骨髓造血功能慢性持续性衰竭导致的贫血、中性粒细胞减少及血小板减少。须满足下列全部条件：</w:t>
      </w:r>
    </w:p>
    <w:p>
      <w:pPr>
        <w:pStyle w:val="BodyText"/>
        <w:spacing w:line="280" w:lineRule="exact" w:before="5"/>
        <w:ind w:left="524"/>
      </w:pPr>
      <w:r>
        <w:rPr/>
        <w:t>（</w:t>
      </w:r>
      <w:r>
        <w:rPr>
          <w:rFonts w:ascii="Times New Roman" w:eastAsia="Times New Roman"/>
        </w:rPr>
        <w:t>1</w:t>
      </w:r>
      <w:r>
        <w:rPr/>
        <w:t>）骨髓穿刺检查或骨髓活检结果支持诊断；</w:t>
      </w:r>
    </w:p>
    <w:p>
      <w:pPr>
        <w:pStyle w:val="BodyText"/>
        <w:spacing w:line="271" w:lineRule="exact"/>
        <w:ind w:left="524"/>
      </w:pPr>
      <w:r>
        <w:rPr/>
        <w:t>（</w:t>
      </w:r>
      <w:r>
        <w:rPr>
          <w:rFonts w:ascii="Times New Roman" w:eastAsia="Times New Roman"/>
        </w:rPr>
        <w:t>2</w:t>
      </w:r>
      <w:r>
        <w:rPr/>
        <w:t>）外周血象须具备以下三项条件：</w:t>
      </w:r>
    </w:p>
    <w:p>
      <w:pPr>
        <w:pStyle w:val="BodyText"/>
        <w:spacing w:line="272" w:lineRule="exact"/>
        <w:ind w:left="941"/>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line="272" w:lineRule="exact"/>
        <w:ind w:left="941"/>
      </w:pPr>
      <w:r>
        <w:rPr/>
        <w:t>② 网织红细胞＜</w:t>
      </w:r>
      <w:r>
        <w:rPr>
          <w:rFonts w:ascii="Times New Roman" w:hAnsi="Times New Roman" w:eastAsia="Times New Roman"/>
        </w:rPr>
        <w:t>1%</w:t>
      </w:r>
      <w:r>
        <w:rPr/>
        <w:t>；</w:t>
      </w:r>
    </w:p>
    <w:p>
      <w:pPr>
        <w:pStyle w:val="BodyText"/>
        <w:spacing w:line="281" w:lineRule="exact"/>
        <w:ind w:left="941"/>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2"/>
        <w:numPr>
          <w:ilvl w:val="1"/>
          <w:numId w:val="2"/>
        </w:numPr>
        <w:tabs>
          <w:tab w:pos="1102" w:val="left" w:leader="none"/>
          <w:tab w:pos="1103" w:val="left" w:leader="none"/>
        </w:tabs>
        <w:spacing w:line="281" w:lineRule="exact" w:before="224" w:after="0"/>
        <w:ind w:left="1102" w:right="0" w:hanging="578"/>
        <w:jc w:val="left"/>
      </w:pPr>
      <w:r>
        <w:rPr/>
        <w:t>主动脉手术</w:t>
      </w:r>
    </w:p>
    <w:p>
      <w:pPr>
        <w:pStyle w:val="BodyText"/>
        <w:spacing w:line="237" w:lineRule="auto"/>
        <w:ind w:left="102" w:right="100" w:firstLine="422"/>
      </w:pPr>
      <w:r>
        <w:rPr>
          <w:spacing w:val="-8"/>
        </w:rPr>
        <w:t>指为治疗主动脉疾病，实际实施了开胸或开腹进行的切除、置换、修补病损主动脉血管的手术。</w:t>
      </w:r>
      <w:r>
        <w:rPr>
          <w:spacing w:val="-5"/>
        </w:rPr>
        <w:t>主动脉指胸主动脉和腹主动脉，不包括胸主动脉和腹主动脉的分支血管。</w:t>
      </w:r>
    </w:p>
    <w:p>
      <w:pPr>
        <w:pStyle w:val="Heading2"/>
        <w:spacing w:line="274" w:lineRule="exact" w:before="7"/>
        <w:ind w:left="526" w:firstLine="0"/>
      </w:pPr>
      <w:r>
        <w:rPr/>
        <w:t>动脉内血管成形术不在保障范围内。</w:t>
      </w:r>
    </w:p>
    <w:p>
      <w:pPr>
        <w:pStyle w:val="BodyText"/>
        <w:spacing w:before="3"/>
        <w:rPr>
          <w:b/>
          <w:sz w:val="18"/>
        </w:rPr>
      </w:pPr>
    </w:p>
    <w:p>
      <w:pPr>
        <w:pStyle w:val="ListParagraph"/>
        <w:numPr>
          <w:ilvl w:val="1"/>
          <w:numId w:val="2"/>
        </w:numPr>
        <w:tabs>
          <w:tab w:pos="1102" w:val="left" w:leader="none"/>
          <w:tab w:pos="1103" w:val="left" w:leader="none"/>
        </w:tabs>
        <w:spacing w:line="282" w:lineRule="exact" w:before="0" w:after="0"/>
        <w:ind w:left="1102" w:right="0" w:hanging="578"/>
        <w:jc w:val="left"/>
        <w:rPr>
          <w:b/>
          <w:sz w:val="21"/>
        </w:rPr>
      </w:pPr>
      <w:r>
        <w:rPr>
          <w:b/>
          <w:sz w:val="21"/>
        </w:rPr>
        <w:t>严重心肌病</w:t>
      </w:r>
    </w:p>
    <w:p>
      <w:pPr>
        <w:pStyle w:val="BodyText"/>
        <w:spacing w:line="237" w:lineRule="auto"/>
        <w:ind w:left="102" w:right="207" w:firstLine="422"/>
      </w:pPr>
      <w:r>
        <w:rPr/>
        <w:t>指被保险人因心肌病导致慢性心功能损害造成永久不可逆性的体力活动能力受限，达到美国纽约心脏病学会心功能状态分级</w:t>
      </w:r>
      <w:r>
        <w:rPr>
          <w:rFonts w:ascii="Times New Roman" w:eastAsia="Times New Roman"/>
        </w:rPr>
        <w:t>IV</w:t>
      </w:r>
      <w:r>
        <w:rPr/>
        <w:t>级。</w:t>
      </w:r>
    </w:p>
    <w:p>
      <w:pPr>
        <w:pStyle w:val="BodyText"/>
        <w:spacing w:line="255" w:lineRule="exact" w:before="6"/>
        <w:ind w:left="524"/>
      </w:pPr>
      <w:r>
        <w:rPr/>
        <w:t>心肌病必须经医院的超声心动图检查来确认。</w:t>
      </w:r>
    </w:p>
    <w:p>
      <w:pPr>
        <w:pStyle w:val="Heading2"/>
        <w:spacing w:line="274" w:lineRule="exact"/>
        <w:ind w:left="526" w:firstLine="0"/>
      </w:pPr>
      <w:r>
        <w:rPr/>
        <w:t>因酗酒或药物滥用导致的心肌病不在保障范围内。</w:t>
      </w:r>
    </w:p>
    <w:p>
      <w:pPr>
        <w:spacing w:after="0" w:line="274" w:lineRule="exact"/>
        <w:sectPr>
          <w:pgSz w:w="11910" w:h="16840"/>
          <w:pgMar w:header="0" w:footer="1239" w:top="1060" w:bottom="1420" w:left="1600" w:right="920"/>
        </w:sectPr>
      </w:pPr>
    </w:p>
    <w:p>
      <w:pPr>
        <w:pStyle w:val="ListParagraph"/>
        <w:numPr>
          <w:ilvl w:val="1"/>
          <w:numId w:val="2"/>
        </w:numPr>
        <w:tabs>
          <w:tab w:pos="1113" w:val="left" w:leader="none"/>
          <w:tab w:pos="1114" w:val="left" w:leader="none"/>
        </w:tabs>
        <w:spacing w:line="282" w:lineRule="exact" w:before="20" w:after="0"/>
        <w:ind w:left="1114" w:right="0" w:hanging="579"/>
        <w:jc w:val="left"/>
        <w:rPr>
          <w:b/>
          <w:sz w:val="21"/>
        </w:rPr>
      </w:pPr>
      <w:r>
        <w:rPr>
          <w:b/>
          <w:sz w:val="21"/>
        </w:rPr>
        <w:t>慢性肺功能衰竭</w:t>
      </w:r>
    </w:p>
    <w:p>
      <w:pPr>
        <w:pStyle w:val="BodyText"/>
        <w:spacing w:line="265" w:lineRule="exact"/>
        <w:ind w:left="535"/>
      </w:pPr>
      <w:r>
        <w:rPr/>
        <w:t>慢性肺部疾病导致永久不可逆性的慢性呼吸功能衰竭，必须符合下列所有条件：</w:t>
      </w:r>
    </w:p>
    <w:p>
      <w:pPr>
        <w:pStyle w:val="BodyText"/>
        <w:spacing w:line="281" w:lineRule="exact"/>
        <w:ind w:left="535"/>
      </w:pPr>
      <w:r>
        <w:rPr/>
        <w:t>（</w:t>
      </w:r>
      <w:r>
        <w:rPr>
          <w:rFonts w:ascii="Times New Roman" w:eastAsia="Times New Roman"/>
        </w:rPr>
        <w:t>1</w:t>
      </w:r>
      <w:r>
        <w:rPr/>
        <w:t>）休息时出现呼吸困难；</w:t>
      </w:r>
    </w:p>
    <w:p>
      <w:pPr>
        <w:pStyle w:val="BodyText"/>
        <w:spacing w:line="272" w:lineRule="exact"/>
        <w:ind w:left="535"/>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72" w:lineRule="exact"/>
        <w:ind w:left="535"/>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82" w:lineRule="exact"/>
        <w:ind w:left="535"/>
      </w:pPr>
      <w:r>
        <w:rPr/>
        <w:t>（</w:t>
      </w:r>
      <w:r>
        <w:rPr>
          <w:rFonts w:ascii="Times New Roman" w:eastAsia="Times New Roman"/>
        </w:rPr>
        <w:t>4</w:t>
      </w:r>
      <w:r>
        <w:rPr/>
        <w:t>）因缺氧必须接受持续的输氧治疗。</w:t>
      </w:r>
    </w:p>
    <w:p>
      <w:pPr>
        <w:pStyle w:val="BodyText"/>
        <w:rPr>
          <w:sz w:val="17"/>
        </w:rPr>
      </w:pPr>
    </w:p>
    <w:p>
      <w:pPr>
        <w:pStyle w:val="Heading2"/>
        <w:numPr>
          <w:ilvl w:val="1"/>
          <w:numId w:val="2"/>
        </w:numPr>
        <w:tabs>
          <w:tab w:pos="1113" w:val="left" w:leader="none"/>
          <w:tab w:pos="1114" w:val="left" w:leader="none"/>
        </w:tabs>
        <w:spacing w:line="281" w:lineRule="exact" w:before="0" w:after="0"/>
        <w:ind w:left="1114" w:right="0" w:hanging="579"/>
        <w:jc w:val="left"/>
      </w:pPr>
      <w:r>
        <w:rPr/>
        <w:t>严重多发性硬化症</w:t>
      </w:r>
    </w:p>
    <w:p>
      <w:pPr>
        <w:pStyle w:val="BodyText"/>
        <w:spacing w:line="225" w:lineRule="auto" w:before="7"/>
        <w:ind w:left="112" w:right="215" w:firstLine="422"/>
      </w:pPr>
      <w:r>
        <w:rPr/>
        <w:t>多发性硬化为中枢神经系统白质多灶性脱髓鞘病变。多发性硬化须由核磁共振（</w:t>
      </w:r>
      <w:r>
        <w:rPr>
          <w:rFonts w:ascii="Times New Roman" w:eastAsia="Times New Roman"/>
        </w:rPr>
        <w:t>MRI</w:t>
      </w:r>
      <w:r>
        <w:rPr/>
        <w:t>）等影像学检查证实，并且被保险人已永久不可逆地无法独立完成下列任何一项基本日常生活活动：</w:t>
      </w:r>
    </w:p>
    <w:p>
      <w:pPr>
        <w:pStyle w:val="BodyText"/>
        <w:spacing w:line="279" w:lineRule="exact"/>
        <w:ind w:left="535"/>
      </w:pPr>
      <w:r>
        <w:rPr/>
        <w:t>（</w:t>
      </w:r>
      <w:r>
        <w:rPr>
          <w:rFonts w:ascii="Times New Roman" w:eastAsia="Times New Roman"/>
        </w:rPr>
        <w:t>1</w:t>
      </w:r>
      <w:r>
        <w:rPr/>
        <w:t>）移动：自己从一个房间到另一个房间；</w:t>
      </w:r>
    </w:p>
    <w:p>
      <w:pPr>
        <w:pStyle w:val="BodyText"/>
        <w:spacing w:line="282" w:lineRule="exact"/>
        <w:ind w:left="535"/>
      </w:pPr>
      <w:r>
        <w:rPr/>
        <w:t>（</w:t>
      </w:r>
      <w:r>
        <w:rPr>
          <w:rFonts w:ascii="Times New Roman" w:eastAsia="Times New Roman"/>
        </w:rPr>
        <w:t>2</w:t>
      </w:r>
      <w:r>
        <w:rPr/>
        <w:t>）进食：自己从已准备好的碗或碟中取食物放入口中。</w:t>
      </w:r>
    </w:p>
    <w:p>
      <w:pPr>
        <w:pStyle w:val="BodyText"/>
        <w:rPr>
          <w:sz w:val="17"/>
        </w:rPr>
      </w:pPr>
    </w:p>
    <w:p>
      <w:pPr>
        <w:pStyle w:val="Heading2"/>
        <w:numPr>
          <w:ilvl w:val="1"/>
          <w:numId w:val="2"/>
        </w:numPr>
        <w:tabs>
          <w:tab w:pos="1113" w:val="left" w:leader="none"/>
          <w:tab w:pos="1114" w:val="left" w:leader="none"/>
        </w:tabs>
        <w:spacing w:line="281" w:lineRule="exact" w:before="0" w:after="0"/>
        <w:ind w:left="1114" w:right="0" w:hanging="579"/>
        <w:jc w:val="left"/>
      </w:pPr>
      <w:r>
        <w:rPr>
          <w:spacing w:val="-2"/>
        </w:rPr>
        <w:t>因职业关系导致的人类免疫缺陷病毒</w:t>
      </w:r>
      <w:r>
        <w:rPr/>
        <w:t>（</w:t>
      </w:r>
      <w:r>
        <w:rPr>
          <w:rFonts w:ascii="Times New Roman" w:eastAsia="Times New Roman"/>
        </w:rPr>
        <w:t>HIV</w:t>
      </w:r>
      <w:r>
        <w:rPr/>
        <w:t>）感染</w:t>
      </w:r>
    </w:p>
    <w:p>
      <w:pPr>
        <w:pStyle w:val="BodyText"/>
        <w:ind w:left="112" w:right="216" w:firstLine="422"/>
      </w:pPr>
      <w:r>
        <w:rPr>
          <w:spacing w:val="-3"/>
        </w:rPr>
        <w:t>被保险人在其常规职业工作过程中遭遇外伤，或者职业需要处理血液或者其他体液时感染上人</w:t>
      </w:r>
      <w:r>
        <w:rPr>
          <w:spacing w:val="-3"/>
          <w:w w:val="100"/>
        </w:rPr>
        <w:t>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p>
    <w:p>
      <w:pPr>
        <w:pStyle w:val="BodyText"/>
        <w:spacing w:line="255" w:lineRule="exact" w:before="10"/>
        <w:ind w:left="535"/>
      </w:pPr>
      <w:r>
        <w:rPr/>
        <w:t>必须满足下列全部条件：</w:t>
      </w:r>
    </w:p>
    <w:p>
      <w:pPr>
        <w:pStyle w:val="BodyText"/>
        <w:spacing w:line="281" w:lineRule="exact"/>
        <w:ind w:left="535"/>
      </w:pPr>
      <w:r>
        <w:rPr/>
        <w:t>（</w:t>
      </w:r>
      <w:r>
        <w:rPr>
          <w:rFonts w:ascii="Times New Roman" w:eastAsia="Times New Roman"/>
        </w:rPr>
        <w:t>1</w:t>
      </w:r>
      <w:r>
        <w:rPr/>
        <w:t>）感染必须是在被保险人正在从事其职业工作中发生，该职业必须属于以下列表内的职业；</w:t>
      </w:r>
    </w:p>
    <w:p>
      <w:pPr>
        <w:pStyle w:val="BodyText"/>
        <w:spacing w:line="272" w:lineRule="exact"/>
        <w:ind w:left="535"/>
      </w:pPr>
      <w:r>
        <w:rPr/>
        <w:t>（</w:t>
      </w:r>
      <w:r>
        <w:rPr>
          <w:rFonts w:ascii="Times New Roman" w:eastAsia="Times New Roman"/>
        </w:rPr>
        <w:t>2</w:t>
      </w:r>
      <w:r>
        <w:rPr/>
        <w:t>）血清转化必须出现在事故发生后的</w:t>
      </w:r>
      <w:r>
        <w:rPr>
          <w:rFonts w:ascii="Times New Roman" w:eastAsia="Times New Roman"/>
        </w:rPr>
        <w:t>6</w:t>
      </w:r>
      <w:r>
        <w:rPr/>
        <w:t>个月以内；</w:t>
      </w:r>
    </w:p>
    <w:p>
      <w:pPr>
        <w:pStyle w:val="BodyText"/>
        <w:spacing w:line="223" w:lineRule="auto" w:before="11"/>
        <w:ind w:left="112" w:right="216" w:firstLine="422"/>
      </w:pPr>
      <w:r>
        <w:rPr/>
        <w:t>（</w:t>
      </w:r>
      <w:r>
        <w:rPr>
          <w:rFonts w:ascii="Times New Roman" w:eastAsia="Times New Roman"/>
        </w:rPr>
        <w:t>3</w:t>
      </w:r>
      <w:r>
        <w:rPr/>
        <w:t>）必须提供被保险人在所报事故发生后的</w:t>
      </w:r>
      <w:r>
        <w:rPr>
          <w:rFonts w:ascii="Times New Roman" w:eastAsia="Times New Roman"/>
        </w:rPr>
        <w:t>5</w:t>
      </w:r>
      <w:r>
        <w:rPr/>
        <w:t>天以内进行的检查报告，该报告必须显示被保险人血液</w:t>
      </w:r>
      <w:r>
        <w:rPr>
          <w:rFonts w:ascii="Times New Roman" w:eastAsia="Times New Roman"/>
        </w:rPr>
        <w:t>HIV</w:t>
      </w:r>
      <w:r>
        <w:rPr/>
        <w:t>病毒阴性和</w:t>
      </w:r>
      <w:r>
        <w:rPr>
          <w:rFonts w:ascii="Times New Roman" w:eastAsia="Times New Roman"/>
        </w:rPr>
        <w:t>/</w:t>
      </w:r>
      <w:r>
        <w:rPr/>
        <w:t>或</w:t>
      </w:r>
      <w:r>
        <w:rPr>
          <w:rFonts w:ascii="Times New Roman" w:eastAsia="Times New Roman"/>
        </w:rPr>
        <w:t>HIV</w:t>
      </w:r>
      <w:r>
        <w:rPr/>
        <w:t>抗体阴性；</w:t>
      </w:r>
    </w:p>
    <w:p>
      <w:pPr>
        <w:pStyle w:val="BodyText"/>
        <w:spacing w:line="223" w:lineRule="auto" w:before="2" w:after="16"/>
        <w:ind w:left="535" w:right="1293"/>
        <w:rPr>
          <w:rFonts w:ascii="Times New Roman" w:eastAsia="Times New Roman"/>
        </w:rPr>
      </w:pPr>
      <w:r>
        <w:rPr/>
        <w:t>（</w:t>
      </w:r>
      <w:r>
        <w:rPr>
          <w:rFonts w:ascii="Times New Roman" w:eastAsia="Times New Roman"/>
        </w:rPr>
        <w:t>4</w:t>
      </w:r>
      <w:r>
        <w:rPr/>
        <w:t>）必须在事故发生后的</w:t>
      </w:r>
      <w:r>
        <w:rPr>
          <w:rFonts w:ascii="Times New Roman" w:eastAsia="Times New Roman"/>
        </w:rPr>
        <w:t>12</w:t>
      </w:r>
      <w:r>
        <w:rPr/>
        <w:t>个月内证实被保险人体内存在</w:t>
      </w:r>
      <w:r>
        <w:rPr>
          <w:rFonts w:ascii="Times New Roman" w:eastAsia="Times New Roman"/>
        </w:rPr>
        <w:t>HIV</w:t>
      </w:r>
      <w:r>
        <w:rPr/>
        <w:t>病毒或者</w:t>
      </w:r>
      <w:r>
        <w:rPr>
          <w:rFonts w:ascii="Times New Roman" w:eastAsia="Times New Roman"/>
        </w:rPr>
        <w:t>HIV</w:t>
      </w:r>
      <w:r>
        <w:rPr/>
        <w:t>抗体。职业限制如下所示</w:t>
      </w:r>
      <w:r>
        <w:rPr>
          <w:rFonts w:ascii="Times New Roman" w:eastAsia="Times New Roman"/>
        </w:rPr>
        <w:t>:</w:t>
      </w:r>
    </w:p>
    <w:tbl>
      <w:tblPr>
        <w:tblW w:w="0" w:type="auto"/>
        <w:jc w:val="left"/>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0"/>
        <w:gridCol w:w="2422"/>
      </w:tblGrid>
      <w:tr>
        <w:trPr>
          <w:trHeight w:val="359" w:hRule="atLeast"/>
        </w:trPr>
        <w:tc>
          <w:tcPr>
            <w:tcW w:w="2540" w:type="dxa"/>
          </w:tcPr>
          <w:p>
            <w:pPr>
              <w:pStyle w:val="TableParagraph"/>
              <w:spacing w:before="54"/>
              <w:ind w:left="491"/>
              <w:rPr>
                <w:sz w:val="21"/>
              </w:rPr>
            </w:pPr>
            <w:r>
              <w:rPr>
                <w:sz w:val="21"/>
              </w:rPr>
              <w:t>医师和牙科医师</w:t>
            </w:r>
          </w:p>
        </w:tc>
        <w:tc>
          <w:tcPr>
            <w:tcW w:w="2422" w:type="dxa"/>
          </w:tcPr>
          <w:p>
            <w:pPr>
              <w:pStyle w:val="TableParagraph"/>
              <w:spacing w:before="54"/>
              <w:ind w:left="493"/>
              <w:rPr>
                <w:sz w:val="21"/>
              </w:rPr>
            </w:pPr>
            <w:r>
              <w:rPr>
                <w:sz w:val="21"/>
              </w:rPr>
              <w:t>护士</w:t>
            </w:r>
          </w:p>
        </w:tc>
      </w:tr>
      <w:tr>
        <w:trPr>
          <w:trHeight w:val="359" w:hRule="atLeast"/>
        </w:trPr>
        <w:tc>
          <w:tcPr>
            <w:tcW w:w="2540" w:type="dxa"/>
          </w:tcPr>
          <w:p>
            <w:pPr>
              <w:pStyle w:val="TableParagraph"/>
              <w:spacing w:before="54"/>
              <w:ind w:left="491"/>
              <w:rPr>
                <w:sz w:val="21"/>
              </w:rPr>
            </w:pPr>
            <w:r>
              <w:rPr>
                <w:sz w:val="21"/>
              </w:rPr>
              <w:t>实验室工作人员</w:t>
            </w:r>
          </w:p>
        </w:tc>
        <w:tc>
          <w:tcPr>
            <w:tcW w:w="2422" w:type="dxa"/>
          </w:tcPr>
          <w:p>
            <w:pPr>
              <w:pStyle w:val="TableParagraph"/>
              <w:spacing w:before="54"/>
              <w:ind w:left="493"/>
              <w:rPr>
                <w:sz w:val="21"/>
              </w:rPr>
            </w:pPr>
            <w:r>
              <w:rPr>
                <w:sz w:val="21"/>
              </w:rPr>
              <w:t>医院护工</w:t>
            </w:r>
          </w:p>
        </w:tc>
      </w:tr>
      <w:tr>
        <w:trPr>
          <w:trHeight w:val="359" w:hRule="atLeast"/>
        </w:trPr>
        <w:tc>
          <w:tcPr>
            <w:tcW w:w="2540" w:type="dxa"/>
          </w:tcPr>
          <w:p>
            <w:pPr>
              <w:pStyle w:val="TableParagraph"/>
              <w:spacing w:before="54"/>
              <w:ind w:left="491"/>
              <w:rPr>
                <w:sz w:val="21"/>
              </w:rPr>
            </w:pPr>
            <w:r>
              <w:rPr>
                <w:sz w:val="21"/>
              </w:rPr>
              <w:t>医师助理和牙医助理</w:t>
            </w:r>
          </w:p>
        </w:tc>
        <w:tc>
          <w:tcPr>
            <w:tcW w:w="2422" w:type="dxa"/>
          </w:tcPr>
          <w:p>
            <w:pPr>
              <w:pStyle w:val="TableParagraph"/>
              <w:spacing w:before="54"/>
              <w:ind w:left="493"/>
              <w:rPr>
                <w:sz w:val="21"/>
              </w:rPr>
            </w:pPr>
            <w:r>
              <w:rPr>
                <w:sz w:val="21"/>
              </w:rPr>
              <w:t>救护车工作人员</w:t>
            </w:r>
          </w:p>
        </w:tc>
      </w:tr>
      <w:tr>
        <w:trPr>
          <w:trHeight w:val="362" w:hRule="atLeast"/>
        </w:trPr>
        <w:tc>
          <w:tcPr>
            <w:tcW w:w="2540" w:type="dxa"/>
          </w:tcPr>
          <w:p>
            <w:pPr>
              <w:pStyle w:val="TableParagraph"/>
              <w:spacing w:before="54"/>
              <w:ind w:left="491"/>
              <w:rPr>
                <w:sz w:val="21"/>
              </w:rPr>
            </w:pPr>
            <w:r>
              <w:rPr>
                <w:sz w:val="21"/>
              </w:rPr>
              <w:t>助产士</w:t>
            </w:r>
          </w:p>
        </w:tc>
        <w:tc>
          <w:tcPr>
            <w:tcW w:w="2422" w:type="dxa"/>
          </w:tcPr>
          <w:p>
            <w:pPr>
              <w:pStyle w:val="TableParagraph"/>
              <w:spacing w:before="54"/>
              <w:ind w:left="493"/>
              <w:rPr>
                <w:sz w:val="21"/>
              </w:rPr>
            </w:pPr>
            <w:r>
              <w:rPr>
                <w:sz w:val="21"/>
              </w:rPr>
              <w:t>警察</w:t>
            </w:r>
          </w:p>
        </w:tc>
      </w:tr>
    </w:tbl>
    <w:p>
      <w:pPr>
        <w:pStyle w:val="BodyText"/>
        <w:spacing w:before="10"/>
        <w:rPr>
          <w:rFonts w:ascii="Times New Roman"/>
          <w:sz w:val="17"/>
        </w:rPr>
      </w:pPr>
    </w:p>
    <w:p>
      <w:pPr>
        <w:pStyle w:val="Heading2"/>
        <w:numPr>
          <w:ilvl w:val="1"/>
          <w:numId w:val="2"/>
        </w:numPr>
        <w:tabs>
          <w:tab w:pos="1113" w:val="left" w:leader="none"/>
          <w:tab w:pos="1114" w:val="left" w:leader="none"/>
        </w:tabs>
        <w:spacing w:line="282" w:lineRule="exact" w:before="0" w:after="0"/>
        <w:ind w:left="1114" w:right="0" w:hanging="579"/>
        <w:jc w:val="left"/>
      </w:pPr>
      <w:r>
        <w:rPr/>
        <w:t>严重溃疡性结肠炎</w:t>
      </w:r>
    </w:p>
    <w:p>
      <w:pPr>
        <w:pStyle w:val="BodyText"/>
        <w:spacing w:line="237" w:lineRule="auto"/>
        <w:ind w:left="112" w:right="216" w:firstLine="422"/>
        <w:jc w:val="both"/>
      </w:pPr>
      <w:r>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9"/>
        <w:rPr>
          <w:sz w:val="18"/>
        </w:rPr>
      </w:pPr>
    </w:p>
    <w:p>
      <w:pPr>
        <w:pStyle w:val="Heading2"/>
        <w:numPr>
          <w:ilvl w:val="1"/>
          <w:numId w:val="2"/>
        </w:numPr>
        <w:tabs>
          <w:tab w:pos="1113" w:val="left" w:leader="none"/>
          <w:tab w:pos="1114" w:val="left" w:leader="none"/>
        </w:tabs>
        <w:spacing w:line="281" w:lineRule="exact" w:before="0" w:after="0"/>
        <w:ind w:left="1114" w:right="0" w:hanging="579"/>
        <w:jc w:val="left"/>
      </w:pPr>
      <w:r>
        <w:rPr/>
        <w:t>全身性重症肌无力</w:t>
      </w:r>
    </w:p>
    <w:p>
      <w:pPr>
        <w:pStyle w:val="BodyText"/>
        <w:ind w:left="112" w:right="42" w:firstLine="422"/>
      </w:pP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line="279" w:lineRule="exact" w:before="10"/>
        <w:ind w:left="535"/>
      </w:pPr>
      <w:r>
        <w:rPr/>
        <w:t>（</w:t>
      </w:r>
      <w:r>
        <w:rPr>
          <w:rFonts w:ascii="Times New Roman" w:eastAsia="Times New Roman"/>
        </w:rPr>
        <w:t>1</w:t>
      </w:r>
      <w:r>
        <w:rPr/>
        <w:t>）经药物治疗和胸腺切除治疗一年以上仍无法控制病情；</w:t>
      </w:r>
    </w:p>
    <w:p>
      <w:pPr>
        <w:pStyle w:val="BodyText"/>
        <w:spacing w:line="282" w:lineRule="exact"/>
        <w:ind w:left="535"/>
      </w:pPr>
      <w:r>
        <w:rPr/>
        <w:t>（</w:t>
      </w:r>
      <w:r>
        <w:rPr>
          <w:rFonts w:ascii="Times New Roman" w:eastAsia="Times New Roman"/>
        </w:rPr>
        <w:t>2</w:t>
      </w:r>
      <w:r>
        <w:rPr/>
        <w:t>）自主生活能力完全丧失，无法独立完成六项基本日常生活活动中的三项或三项以上。</w:t>
      </w:r>
    </w:p>
    <w:p>
      <w:pPr>
        <w:pStyle w:val="BodyText"/>
        <w:rPr>
          <w:sz w:val="17"/>
        </w:rPr>
      </w:pPr>
    </w:p>
    <w:p>
      <w:pPr>
        <w:pStyle w:val="Heading2"/>
        <w:numPr>
          <w:ilvl w:val="1"/>
          <w:numId w:val="2"/>
        </w:numPr>
        <w:tabs>
          <w:tab w:pos="1113" w:val="left" w:leader="none"/>
          <w:tab w:pos="1114" w:val="left" w:leader="none"/>
        </w:tabs>
        <w:spacing w:line="281" w:lineRule="exact" w:before="0" w:after="0"/>
        <w:ind w:left="1114" w:right="0" w:hanging="579"/>
        <w:jc w:val="left"/>
      </w:pPr>
      <w:r>
        <w:rPr>
          <w:spacing w:val="-1"/>
        </w:rPr>
        <w:t>严重类风湿性关节炎</w:t>
      </w:r>
    </w:p>
    <w:p>
      <w:pPr>
        <w:pStyle w:val="BodyText"/>
        <w:spacing w:line="232" w:lineRule="auto"/>
        <w:ind w:left="112" w:right="213" w:firstLine="422"/>
        <w:jc w:val="both"/>
      </w:pPr>
      <w:r>
        <w:rPr/>
        <w:t>类风湿性关节炎为广泛分布的慢性进行性多关节病变，表现为关节严重变形，侵犯至少三个主要关节或关节组，如：双手（多手指）关节、双足（多足趾）关节、双腕关节、双膝关节和双髋关节。类风湿性关节炎必须明确诊断并且已经达到类风湿性关节炎功能分类</w:t>
      </w:r>
      <w:r>
        <w:rPr>
          <w:rFonts w:ascii="Times New Roman" w:eastAsia="Times New Roman"/>
        </w:rPr>
        <w:t>IV</w:t>
      </w:r>
      <w:r>
        <w:rPr/>
        <w:t>级的永久不可逆性关节功能障碍（生活不能自理，且丧失工作能力）并且满足下列全部条件：</w:t>
      </w:r>
    </w:p>
    <w:p>
      <w:pPr>
        <w:pStyle w:val="BodyText"/>
        <w:spacing w:line="279" w:lineRule="exact" w:before="2"/>
        <w:ind w:left="535"/>
      </w:pPr>
      <w:r>
        <w:rPr/>
        <w:t>（</w:t>
      </w:r>
      <w:r>
        <w:rPr>
          <w:rFonts w:ascii="Times New Roman" w:eastAsia="Times New Roman"/>
        </w:rPr>
        <w:t>1</w:t>
      </w:r>
      <w:r>
        <w:rPr/>
        <w:t>）晨僵；</w:t>
      </w:r>
    </w:p>
    <w:p>
      <w:pPr>
        <w:pStyle w:val="BodyText"/>
        <w:spacing w:line="272" w:lineRule="exact"/>
        <w:ind w:left="535"/>
      </w:pPr>
      <w:r>
        <w:rPr/>
        <w:t>（</w:t>
      </w:r>
      <w:r>
        <w:rPr>
          <w:rFonts w:ascii="Times New Roman" w:eastAsia="Times New Roman"/>
        </w:rPr>
        <w:t>2</w:t>
      </w:r>
      <w:r>
        <w:rPr/>
        <w:t>）对称性关节炎；</w:t>
      </w:r>
    </w:p>
    <w:p>
      <w:pPr>
        <w:pStyle w:val="BodyText"/>
        <w:spacing w:line="272" w:lineRule="exact"/>
        <w:ind w:left="535"/>
      </w:pPr>
      <w:r>
        <w:rPr/>
        <w:t>（</w:t>
      </w:r>
      <w:r>
        <w:rPr>
          <w:rFonts w:ascii="Times New Roman" w:eastAsia="Times New Roman"/>
        </w:rPr>
        <w:t>3</w:t>
      </w:r>
      <w:r>
        <w:rPr/>
        <w:t>）类风湿性皮下结节；</w:t>
      </w:r>
    </w:p>
    <w:p>
      <w:pPr>
        <w:pStyle w:val="BodyText"/>
        <w:spacing w:line="272" w:lineRule="exact"/>
        <w:ind w:left="535"/>
      </w:pPr>
      <w:r>
        <w:rPr/>
        <w:t>（</w:t>
      </w:r>
      <w:r>
        <w:rPr>
          <w:rFonts w:ascii="Times New Roman" w:eastAsia="Times New Roman"/>
        </w:rPr>
        <w:t>4</w:t>
      </w:r>
      <w:r>
        <w:rPr/>
        <w:t>）类风湿因子滴度升高；</w:t>
      </w:r>
    </w:p>
    <w:p>
      <w:pPr>
        <w:pStyle w:val="BodyText"/>
        <w:spacing w:line="281" w:lineRule="exact"/>
        <w:ind w:left="535"/>
      </w:pPr>
      <w:r>
        <w:rPr/>
        <w:t>（</w:t>
      </w:r>
      <w:r>
        <w:rPr>
          <w:rFonts w:ascii="Times New Roman" w:eastAsia="Times New Roman"/>
        </w:rPr>
        <w:t>5</w:t>
      </w:r>
      <w:r>
        <w:rPr/>
        <w:t>）</w:t>
      </w:r>
      <w:r>
        <w:rPr>
          <w:rFonts w:ascii="Times New Roman" w:eastAsia="Times New Roman"/>
        </w:rPr>
        <w:t>X</w:t>
      </w:r>
      <w:r>
        <w:rPr/>
        <w:t>线显示严重的关节（软骨和骨）破坏和关节畸形。</w:t>
      </w:r>
    </w:p>
    <w:p>
      <w:pPr>
        <w:spacing w:after="0" w:line="281" w:lineRule="exact"/>
        <w:sectPr>
          <w:pgSz w:w="11910" w:h="16840"/>
          <w:pgMar w:header="0" w:footer="1239" w:top="1060" w:bottom="1420" w:left="1020" w:right="1480"/>
        </w:sectPr>
      </w:pPr>
    </w:p>
    <w:p>
      <w:pPr>
        <w:pStyle w:val="Heading2"/>
        <w:numPr>
          <w:ilvl w:val="1"/>
          <w:numId w:val="2"/>
        </w:numPr>
        <w:tabs>
          <w:tab w:pos="1102" w:val="left" w:leader="none"/>
          <w:tab w:pos="1103" w:val="left" w:leader="none"/>
        </w:tabs>
        <w:spacing w:line="282" w:lineRule="exact" w:before="20" w:after="0"/>
        <w:ind w:left="1102" w:right="0" w:hanging="578"/>
        <w:jc w:val="left"/>
      </w:pPr>
      <w:r>
        <w:rPr/>
        <w:t>脊髓灰质炎</w:t>
      </w:r>
    </w:p>
    <w:p>
      <w:pPr>
        <w:pStyle w:val="BodyText"/>
        <w:spacing w:line="232" w:lineRule="auto"/>
        <w:ind w:left="102" w:right="106" w:firstLine="422"/>
        <w:jc w:val="both"/>
      </w:pPr>
      <w:r>
        <w:rPr>
          <w:spacing w:val="-3"/>
        </w:rPr>
        <w:t>脊髓灰质炎是由于脊髓灰质炎病毒感染所致的瘫痪性疾病，临床表现为运动功能损害或呼吸无力。脊髓灰质炎必须明确诊断。本附加合同仅对脊髓灰质炎造成的神经系统功能损害导致被保险人一肢或一肢以上肢体机能永久完全丧失的情况予以理赔。肢体机能永久完全丧失，指疾病确诊</w:t>
      </w:r>
      <w:r>
        <w:rPr>
          <w:rFonts w:ascii="Times New Roman" w:eastAsia="Times New Roman"/>
          <w:spacing w:val="-3"/>
        </w:rPr>
        <w:t>180 </w:t>
      </w:r>
      <w:r>
        <w:rPr>
          <w:spacing w:val="-3"/>
        </w:rPr>
        <w:t>天后，每肢三大关节中的两大关节仍然完全僵硬，或不能随意识活动。</w:t>
      </w:r>
    </w:p>
    <w:p>
      <w:pPr>
        <w:pStyle w:val="BodyText"/>
        <w:spacing w:before="3"/>
        <w:rPr>
          <w:sz w:val="18"/>
        </w:rPr>
      </w:pPr>
    </w:p>
    <w:p>
      <w:pPr>
        <w:pStyle w:val="Heading2"/>
        <w:numPr>
          <w:ilvl w:val="1"/>
          <w:numId w:val="2"/>
        </w:numPr>
        <w:tabs>
          <w:tab w:pos="1102" w:val="left" w:leader="none"/>
          <w:tab w:pos="1103" w:val="left" w:leader="none"/>
        </w:tabs>
        <w:spacing w:line="282" w:lineRule="exact" w:before="1" w:after="0"/>
        <w:ind w:left="1102" w:right="0" w:hanging="578"/>
        <w:jc w:val="left"/>
      </w:pPr>
      <w:r>
        <w:rPr>
          <w:spacing w:val="-2"/>
        </w:rPr>
        <w:t>经输血导致的人类免疫缺陷病毒</w:t>
      </w:r>
      <w:r>
        <w:rPr/>
        <w:t>（</w:t>
      </w:r>
      <w:r>
        <w:rPr>
          <w:rFonts w:ascii="Times New Roman" w:eastAsia="Times New Roman"/>
        </w:rPr>
        <w:t>HIV</w:t>
      </w:r>
      <w:r>
        <w:rPr/>
        <w:t>）感染</w:t>
      </w:r>
    </w:p>
    <w:p>
      <w:pPr>
        <w:pStyle w:val="BodyText"/>
        <w:spacing w:line="272" w:lineRule="exact"/>
        <w:ind w:left="524"/>
      </w:pPr>
      <w:r>
        <w:rPr/>
        <w:t>被保险人感染上人类免疫缺陷病毒（</w:t>
      </w:r>
      <w:r>
        <w:rPr>
          <w:rFonts w:ascii="Times New Roman" w:eastAsia="Times New Roman"/>
        </w:rPr>
        <w:t>HIV</w:t>
      </w:r>
      <w:r>
        <w:rPr/>
        <w:t>）并且满足下列全部条件：</w:t>
      </w:r>
    </w:p>
    <w:p>
      <w:pPr>
        <w:pStyle w:val="BodyText"/>
        <w:spacing w:line="272" w:lineRule="exact"/>
        <w:ind w:left="524"/>
      </w:pPr>
      <w:r>
        <w:rPr/>
        <w:t>（</w:t>
      </w:r>
      <w:r>
        <w:rPr>
          <w:rFonts w:ascii="Times New Roman" w:eastAsia="Times New Roman"/>
        </w:rPr>
        <w:t>1</w:t>
      </w:r>
      <w:r>
        <w:rPr/>
        <w:t>）在保障起始日或复效日之后，被保险人因输血而感染</w:t>
      </w:r>
      <w:r>
        <w:rPr>
          <w:rFonts w:ascii="Times New Roman" w:eastAsia="Times New Roman"/>
        </w:rPr>
        <w:t>HIV</w:t>
      </w:r>
      <w:r>
        <w:rPr/>
        <w:t>；</w:t>
      </w:r>
    </w:p>
    <w:p>
      <w:pPr>
        <w:pStyle w:val="BodyText"/>
        <w:spacing w:line="223" w:lineRule="auto" w:before="12"/>
        <w:ind w:left="102" w:right="42" w:firstLine="422"/>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line="280" w:lineRule="exact"/>
        <w:ind w:left="524"/>
      </w:pPr>
      <w:r>
        <w:rPr/>
        <w:t>（</w:t>
      </w:r>
      <w:r>
        <w:rPr>
          <w:rFonts w:ascii="Times New Roman" w:eastAsia="Times New Roman"/>
        </w:rPr>
        <w:t>3</w:t>
      </w:r>
      <w:r>
        <w:rPr/>
        <w:t>）受感染的被保险人不是血友病患者。</w:t>
      </w:r>
    </w:p>
    <w:p>
      <w:pPr>
        <w:pStyle w:val="BodyText"/>
        <w:spacing w:line="225" w:lineRule="auto" w:before="7"/>
        <w:ind w:left="102" w:right="45" w:firstLine="422"/>
      </w:pPr>
      <w:r>
        <w:rPr/>
        <w:t>在任何治愈艾滋病（</w:t>
      </w:r>
      <w:r>
        <w:rPr>
          <w:rFonts w:ascii="Times New Roman" w:eastAsia="Times New Roman"/>
        </w:rPr>
        <w:t>AIDS</w:t>
      </w:r>
      <w:r>
        <w:rPr/>
        <w:t>）或阻止</w:t>
      </w:r>
      <w:r>
        <w:rPr>
          <w:rFonts w:ascii="Times New Roman" w:eastAsia="Times New Roman"/>
        </w:rPr>
        <w:t>HIV</w:t>
      </w:r>
      <w:r>
        <w:rPr/>
        <w:t>病毒作用的疗法被发现以后，或能防止</w:t>
      </w:r>
      <w:r>
        <w:rPr>
          <w:rFonts w:ascii="Times New Roman" w:eastAsia="Times New Roman"/>
        </w:rPr>
        <w:t>AIDS</w:t>
      </w:r>
      <w:r>
        <w:rPr/>
        <w:t>发生的医疗方法被研究出来以后，本附加合同将不再予以赔付。</w:t>
      </w:r>
    </w:p>
    <w:p>
      <w:pPr>
        <w:spacing w:line="230" w:lineRule="auto" w:before="7"/>
        <w:ind w:left="102" w:right="105" w:firstLine="424"/>
        <w:jc w:val="both"/>
        <w:rPr>
          <w:sz w:val="21"/>
        </w:rPr>
      </w:pPr>
      <w:r>
        <w:rPr>
          <w:b/>
          <w:sz w:val="21"/>
        </w:rPr>
        <w:t>任何因其他传播方式（包括：性传播或静脉注射毒品）导致的</w:t>
      </w:r>
      <w:r>
        <w:rPr>
          <w:rFonts w:ascii="Times New Roman" w:eastAsia="Times New Roman"/>
          <w:b/>
          <w:sz w:val="21"/>
        </w:rPr>
        <w:t>HIV</w:t>
      </w:r>
      <w:r>
        <w:rPr>
          <w:b/>
          <w:sz w:val="21"/>
        </w:rPr>
        <w:t>感染不在本附加合同保障范围内。</w:t>
      </w:r>
      <w:r>
        <w:rPr>
          <w:sz w:val="21"/>
        </w:rPr>
        <w:t>保险公司必须拥有获得使用被保险人的所有血液样本的权利和能够对这些样本进行独立检验的权利。</w:t>
      </w:r>
    </w:p>
    <w:p>
      <w:pPr>
        <w:pStyle w:val="BodyText"/>
        <w:spacing w:before="2"/>
        <w:rPr>
          <w:sz w:val="18"/>
        </w:rPr>
      </w:pPr>
    </w:p>
    <w:p>
      <w:pPr>
        <w:pStyle w:val="Heading2"/>
        <w:numPr>
          <w:ilvl w:val="1"/>
          <w:numId w:val="2"/>
        </w:numPr>
        <w:tabs>
          <w:tab w:pos="1102" w:val="left" w:leader="none"/>
          <w:tab w:pos="1103" w:val="left" w:leader="none"/>
        </w:tabs>
        <w:spacing w:line="282" w:lineRule="exact" w:before="1" w:after="0"/>
        <w:ind w:left="1102" w:right="0" w:hanging="578"/>
        <w:jc w:val="left"/>
      </w:pPr>
      <w:r>
        <w:rPr/>
        <w:t>严重克隆病</w:t>
      </w:r>
    </w:p>
    <w:p>
      <w:pPr>
        <w:pStyle w:val="BodyText"/>
        <w:spacing w:line="237" w:lineRule="auto"/>
        <w:ind w:left="102" w:right="107" w:firstLine="422"/>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8"/>
        <w:rPr>
          <w:sz w:val="18"/>
        </w:rPr>
      </w:pPr>
    </w:p>
    <w:p>
      <w:pPr>
        <w:pStyle w:val="Heading2"/>
        <w:numPr>
          <w:ilvl w:val="1"/>
          <w:numId w:val="2"/>
        </w:numPr>
        <w:tabs>
          <w:tab w:pos="1102" w:val="left" w:leader="none"/>
          <w:tab w:pos="1103" w:val="left" w:leader="none"/>
        </w:tabs>
        <w:spacing w:line="282" w:lineRule="exact" w:before="1" w:after="0"/>
        <w:ind w:left="1102" w:right="0" w:hanging="578"/>
        <w:jc w:val="left"/>
      </w:pPr>
      <w:r>
        <w:rPr/>
        <w:t>肌营养不良症</w:t>
      </w:r>
    </w:p>
    <w:p>
      <w:pPr>
        <w:pStyle w:val="BodyText"/>
        <w:spacing w:line="237" w:lineRule="auto"/>
        <w:ind w:left="102" w:right="107" w:firstLine="422"/>
      </w:pPr>
      <w:r>
        <w:rPr/>
        <w:t>肌营养不良症是一组遗传性肌肉变性性病变，临床特征为与神经系统无关的肌肉无力和肌肉萎缩。须满足自主生活能力完全丧失，无法独立完成六项基本日常生活活动中的三项或三项以上。</w:t>
      </w:r>
    </w:p>
    <w:p>
      <w:pPr>
        <w:pStyle w:val="BodyText"/>
        <w:spacing w:before="8"/>
        <w:rPr>
          <w:sz w:val="18"/>
        </w:rPr>
      </w:pPr>
    </w:p>
    <w:p>
      <w:pPr>
        <w:pStyle w:val="Heading2"/>
        <w:numPr>
          <w:ilvl w:val="1"/>
          <w:numId w:val="2"/>
        </w:numPr>
        <w:tabs>
          <w:tab w:pos="1102" w:val="left" w:leader="none"/>
          <w:tab w:pos="1103" w:val="left" w:leader="none"/>
        </w:tabs>
        <w:spacing w:line="282" w:lineRule="exact" w:before="1" w:after="0"/>
        <w:ind w:left="1102" w:right="0" w:hanging="578"/>
        <w:jc w:val="left"/>
      </w:pPr>
      <w:r>
        <w:rPr>
          <w:spacing w:val="-1"/>
        </w:rPr>
        <w:t>破裂脑动脉瘤夹闭手术</w:t>
      </w:r>
    </w:p>
    <w:p>
      <w:pPr>
        <w:pStyle w:val="BodyText"/>
        <w:spacing w:line="237" w:lineRule="auto"/>
        <w:ind w:left="102" w:right="107" w:firstLine="422"/>
      </w:pPr>
      <w:r>
        <w:rPr/>
        <w:t>指因脑动脉瘤破裂造成蛛网膜下腔出血，被保险人实际接受了在全麻下进行的开颅动脉瘤夹闭手术。</w:t>
      </w:r>
    </w:p>
    <w:p>
      <w:pPr>
        <w:pStyle w:val="Heading2"/>
        <w:spacing w:line="237" w:lineRule="auto" w:before="7"/>
        <w:ind w:left="102" w:right="105" w:firstLine="424"/>
      </w:pPr>
      <w:r>
        <w:rPr/>
        <w:t>脑动脉瘤（未破裂）预防性手术、颅骨打孔手术、动脉瘤栓塞手术、血管内手术及其他颅脑手术不在本保障范围内。</w:t>
      </w:r>
    </w:p>
    <w:p>
      <w:pPr>
        <w:pStyle w:val="BodyText"/>
        <w:spacing w:before="3"/>
        <w:rPr>
          <w:b/>
          <w:sz w:val="18"/>
        </w:rPr>
      </w:pPr>
    </w:p>
    <w:p>
      <w:pPr>
        <w:pStyle w:val="ListParagraph"/>
        <w:numPr>
          <w:ilvl w:val="1"/>
          <w:numId w:val="2"/>
        </w:numPr>
        <w:tabs>
          <w:tab w:pos="1102" w:val="left" w:leader="none"/>
          <w:tab w:pos="1103" w:val="left" w:leader="none"/>
        </w:tabs>
        <w:spacing w:line="282" w:lineRule="exact" w:before="0" w:after="0"/>
        <w:ind w:left="1102" w:right="0" w:hanging="578"/>
        <w:jc w:val="left"/>
        <w:rPr>
          <w:b/>
          <w:sz w:val="21"/>
        </w:rPr>
      </w:pPr>
      <w:r>
        <w:rPr>
          <w:b/>
          <w:spacing w:val="-1"/>
          <w:sz w:val="21"/>
        </w:rPr>
        <w:t>严重弥漫性系统性硬皮病</w:t>
      </w:r>
    </w:p>
    <w:p>
      <w:pPr>
        <w:pStyle w:val="BodyText"/>
        <w:spacing w:line="223" w:lineRule="auto" w:before="11"/>
        <w:ind w:left="102" w:right="80" w:firstLine="422"/>
      </w:pPr>
      <w:r>
        <w:rPr/>
        <w:t>一种系统性胶原血管病引起进行性的皮肤</w:t>
      </w:r>
      <w:r>
        <w:rPr>
          <w:rFonts w:ascii="Times New Roman" w:eastAsia="Times New Roman"/>
        </w:rPr>
        <w:t>/</w:t>
      </w:r>
      <w:r>
        <w:rPr/>
        <w:t>血管和内脏器官的弥漫性纤维化。诊断必须明确并由活检和血清学证据支持并且疾病已经影响到心脏、肺或肾脏等内脏器官并且达到下列标准之一。</w:t>
      </w:r>
    </w:p>
    <w:p>
      <w:pPr>
        <w:pStyle w:val="BodyText"/>
        <w:spacing w:line="280" w:lineRule="exact"/>
        <w:ind w:left="524"/>
      </w:pPr>
      <w:r>
        <w:rPr/>
        <w:t>（</w:t>
      </w:r>
      <w:r>
        <w:rPr>
          <w:rFonts w:ascii="Times New Roman" w:eastAsia="Times New Roman"/>
        </w:rPr>
        <w:t>1</w:t>
      </w:r>
      <w:r>
        <w:rPr/>
        <w:t>）肺纤维化，已经出现肺动脉高压、肺心病；</w:t>
      </w:r>
    </w:p>
    <w:p>
      <w:pPr>
        <w:pStyle w:val="BodyText"/>
        <w:spacing w:line="272" w:lineRule="exact"/>
        <w:ind w:left="524"/>
      </w:pPr>
      <w:r>
        <w:rPr/>
        <w:t>（</w:t>
      </w:r>
      <w:r>
        <w:rPr>
          <w:rFonts w:ascii="Times New Roman" w:eastAsia="Times New Roman"/>
        </w:rPr>
        <w:t>2</w:t>
      </w:r>
      <w:r>
        <w:rPr/>
        <w:t>）心脏损害，心脏功能衰竭程度达到纽约心脏病学会的心功能分级标准之心功能</w:t>
      </w:r>
      <w:r>
        <w:rPr>
          <w:rFonts w:ascii="Times New Roman" w:eastAsia="Times New Roman"/>
        </w:rPr>
        <w:t>IV</w:t>
      </w:r>
      <w:r>
        <w:rPr/>
        <w:t>级；</w:t>
      </w:r>
    </w:p>
    <w:p>
      <w:pPr>
        <w:spacing w:line="223" w:lineRule="auto" w:before="11"/>
        <w:ind w:left="526" w:right="5082" w:hanging="3"/>
        <w:jc w:val="left"/>
        <w:rPr>
          <w:b/>
          <w:sz w:val="21"/>
        </w:rPr>
      </w:pPr>
      <w:r>
        <w:rPr>
          <w:sz w:val="21"/>
        </w:rPr>
        <w:t>（</w:t>
      </w:r>
      <w:r>
        <w:rPr>
          <w:rFonts w:ascii="Times New Roman" w:eastAsia="Times New Roman"/>
          <w:sz w:val="21"/>
        </w:rPr>
        <w:t>3</w:t>
      </w:r>
      <w:r>
        <w:rPr>
          <w:sz w:val="21"/>
        </w:rPr>
        <w:t>）肾脏损害，已经出现肾功能衰竭。</w:t>
      </w:r>
      <w:r>
        <w:rPr>
          <w:b/>
          <w:sz w:val="21"/>
        </w:rPr>
        <w:t>下列疾病除外：</w:t>
      </w:r>
    </w:p>
    <w:p>
      <w:pPr>
        <w:pStyle w:val="Heading2"/>
        <w:spacing w:line="280" w:lineRule="exact"/>
        <w:ind w:left="526" w:firstLine="0"/>
      </w:pPr>
      <w:r>
        <w:rPr/>
        <w:t>（</w:t>
      </w:r>
      <w:r>
        <w:rPr>
          <w:rFonts w:ascii="Times New Roman" w:eastAsia="Times New Roman"/>
        </w:rPr>
        <w:t>1</w:t>
      </w:r>
      <w:r>
        <w:rPr/>
        <w:t>）局限硬皮病</w:t>
      </w:r>
    </w:p>
    <w:p>
      <w:pPr>
        <w:spacing w:line="272" w:lineRule="exact" w:before="0"/>
        <w:ind w:left="526" w:right="0" w:firstLine="0"/>
        <w:jc w:val="left"/>
        <w:rPr>
          <w:b/>
          <w:sz w:val="21"/>
        </w:rPr>
      </w:pPr>
      <w:r>
        <w:rPr>
          <w:b/>
          <w:sz w:val="21"/>
        </w:rPr>
        <w:t>（</w:t>
      </w:r>
      <w:r>
        <w:rPr>
          <w:rFonts w:ascii="Times New Roman" w:eastAsia="Times New Roman"/>
          <w:b/>
          <w:sz w:val="21"/>
        </w:rPr>
        <w:t>2</w:t>
      </w:r>
      <w:r>
        <w:rPr>
          <w:b/>
          <w:sz w:val="21"/>
        </w:rPr>
        <w:t>）嗜酸细胞筋膜炎</w:t>
      </w:r>
    </w:p>
    <w:p>
      <w:pPr>
        <w:spacing w:line="282" w:lineRule="exact" w:before="0"/>
        <w:ind w:left="526" w:right="0" w:firstLine="0"/>
        <w:jc w:val="left"/>
        <w:rPr>
          <w:b/>
          <w:sz w:val="21"/>
        </w:rPr>
      </w:pPr>
      <w:r>
        <w:rPr>
          <w:b/>
          <w:sz w:val="21"/>
        </w:rPr>
        <w:t>（</w:t>
      </w:r>
      <w:r>
        <w:rPr>
          <w:rFonts w:ascii="Times New Roman" w:eastAsia="Times New Roman"/>
          <w:b/>
          <w:sz w:val="21"/>
        </w:rPr>
        <w:t>3</w:t>
      </w:r>
      <w:r>
        <w:rPr>
          <w:b/>
          <w:sz w:val="21"/>
        </w:rPr>
        <w:t>）</w:t>
      </w:r>
      <w:r>
        <w:rPr>
          <w:rFonts w:ascii="Times New Roman" w:eastAsia="Times New Roman"/>
          <w:b/>
          <w:sz w:val="21"/>
        </w:rPr>
        <w:t>CREST</w:t>
      </w:r>
      <w:r>
        <w:rPr>
          <w:b/>
          <w:sz w:val="21"/>
        </w:rPr>
        <w:t>综合征</w:t>
      </w:r>
    </w:p>
    <w:p>
      <w:pPr>
        <w:pStyle w:val="BodyText"/>
        <w:rPr>
          <w:b/>
          <w:sz w:val="17"/>
        </w:rPr>
      </w:pPr>
    </w:p>
    <w:p>
      <w:pPr>
        <w:pStyle w:val="ListParagraph"/>
        <w:numPr>
          <w:ilvl w:val="1"/>
          <w:numId w:val="2"/>
        </w:numPr>
        <w:tabs>
          <w:tab w:pos="1102" w:val="left" w:leader="none"/>
          <w:tab w:pos="1103" w:val="left" w:leader="none"/>
        </w:tabs>
        <w:spacing w:line="281" w:lineRule="exact" w:before="1" w:after="0"/>
        <w:ind w:left="1102" w:right="0" w:hanging="578"/>
        <w:jc w:val="left"/>
        <w:rPr>
          <w:b/>
          <w:sz w:val="21"/>
        </w:rPr>
      </w:pPr>
      <w:r>
        <w:rPr>
          <w:b/>
          <w:sz w:val="21"/>
        </w:rPr>
        <w:t>严重冠心病</w:t>
      </w:r>
    </w:p>
    <w:p>
      <w:pPr>
        <w:spacing w:line="232" w:lineRule="auto" w:before="0"/>
        <w:ind w:left="102" w:right="107" w:firstLine="422"/>
        <w:jc w:val="both"/>
        <w:rPr>
          <w:b/>
          <w:sz w:val="21"/>
        </w:rPr>
      </w:pPr>
      <w:r>
        <w:rPr>
          <w:spacing w:val="-2"/>
          <w:sz w:val="21"/>
        </w:rPr>
        <w:t>指经根据冠状动脉造影检查结果明确诊断为三支主要血管严重狭窄性病变</w:t>
      </w:r>
      <w:r>
        <w:rPr>
          <w:spacing w:val="-3"/>
          <w:sz w:val="21"/>
        </w:rPr>
        <w:t>（</w:t>
      </w:r>
      <w:r>
        <w:rPr>
          <w:sz w:val="21"/>
        </w:rPr>
        <w:t>至少一支血管管腔直径减少</w:t>
      </w:r>
      <w:r>
        <w:rPr>
          <w:rFonts w:ascii="Times New Roman" w:eastAsia="Times New Roman"/>
          <w:sz w:val="21"/>
        </w:rPr>
        <w:t>75</w:t>
      </w:r>
      <w:r>
        <w:rPr>
          <w:sz w:val="21"/>
        </w:rPr>
        <w:t>％以上和其他两支血管管腔直径减少</w:t>
      </w:r>
      <w:r>
        <w:rPr>
          <w:rFonts w:ascii="Times New Roman" w:eastAsia="Times New Roman"/>
          <w:sz w:val="21"/>
        </w:rPr>
        <w:t>60</w:t>
      </w:r>
      <w:r>
        <w:rPr>
          <w:sz w:val="21"/>
        </w:rPr>
        <w:t>％以上</w:t>
      </w:r>
      <w:r>
        <w:rPr>
          <w:spacing w:val="-101"/>
          <w:sz w:val="21"/>
        </w:rPr>
        <w:t>）</w:t>
      </w:r>
      <w:r>
        <w:rPr>
          <w:sz w:val="21"/>
        </w:rPr>
        <w:t>。冠状动脉的主要血管指左冠状动脉主</w:t>
      </w:r>
      <w:r>
        <w:rPr>
          <w:spacing w:val="-3"/>
          <w:sz w:val="21"/>
        </w:rPr>
        <w:t>干、前降支、左旋支及右冠状动脉。</w:t>
      </w:r>
      <w:r>
        <w:rPr>
          <w:b/>
          <w:sz w:val="21"/>
        </w:rPr>
        <w:t>前降支、左旋支及右冠状动脉的分支血管的狭窄不作为本保障的衡量指标。</w:t>
      </w:r>
    </w:p>
    <w:p>
      <w:pPr>
        <w:pStyle w:val="BodyText"/>
        <w:spacing w:before="4"/>
        <w:rPr>
          <w:b/>
          <w:sz w:val="18"/>
        </w:rPr>
      </w:pPr>
    </w:p>
    <w:p>
      <w:pPr>
        <w:pStyle w:val="Heading2"/>
        <w:numPr>
          <w:ilvl w:val="1"/>
          <w:numId w:val="2"/>
        </w:numPr>
        <w:tabs>
          <w:tab w:pos="1102" w:val="left" w:leader="none"/>
          <w:tab w:pos="1103" w:val="left" w:leader="none"/>
        </w:tabs>
        <w:spacing w:line="281" w:lineRule="exact" w:before="0" w:after="0"/>
        <w:ind w:left="1102" w:right="0" w:hanging="578"/>
        <w:jc w:val="left"/>
      </w:pPr>
      <w:r>
        <w:rPr>
          <w:spacing w:val="-1"/>
        </w:rPr>
        <w:t>严重慢性复发性胰腺炎</w:t>
      </w:r>
    </w:p>
    <w:p>
      <w:pPr>
        <w:pStyle w:val="BodyText"/>
        <w:ind w:left="102" w:right="107" w:firstLine="422"/>
      </w:pPr>
      <w:r>
        <w:rPr/>
        <w:t>指慢性反复发作的胰腺炎症导致胰腺的广泛纤维化、坏死、弥漫性钙化及假性囊肿形成，造成胰腺功能障碍出现严重糖尿病和营养不良。必须满足以下所有条件：</w:t>
      </w:r>
    </w:p>
    <w:p>
      <w:pPr>
        <w:spacing w:after="0"/>
        <w:sectPr>
          <w:pgSz w:w="11910" w:h="16840"/>
          <w:pgMar w:header="0" w:footer="1239" w:top="1060" w:bottom="1420" w:left="1600" w:right="1020"/>
        </w:sectPr>
      </w:pPr>
    </w:p>
    <w:p>
      <w:pPr>
        <w:pStyle w:val="BodyText"/>
        <w:spacing w:line="282" w:lineRule="exact" w:before="20"/>
        <w:ind w:left="535"/>
      </w:pPr>
      <w:r>
        <w:rPr/>
        <w:t>（</w:t>
      </w:r>
      <w:r>
        <w:rPr>
          <w:rFonts w:ascii="Times New Roman" w:eastAsia="Times New Roman"/>
        </w:rPr>
        <w:t>1</w:t>
      </w:r>
      <w:r>
        <w:rPr/>
        <w:t>）</w:t>
      </w:r>
      <w:r>
        <w:rPr>
          <w:rFonts w:ascii="Times New Roman" w:eastAsia="Times New Roman"/>
        </w:rPr>
        <w:t>CT</w:t>
      </w:r>
      <w:r>
        <w:rPr/>
        <w:t>显示胰腺广泛钙化或逆行胰胆管造影（</w:t>
      </w:r>
      <w:r>
        <w:rPr>
          <w:rFonts w:ascii="Times New Roman" w:eastAsia="Times New Roman"/>
        </w:rPr>
        <w:t>ERCP</w:t>
      </w:r>
      <w:r>
        <w:rPr/>
        <w:t>）显示胰管扭曲、扩张和狭窄；</w:t>
      </w:r>
    </w:p>
    <w:p>
      <w:pPr>
        <w:spacing w:line="223" w:lineRule="auto" w:before="11"/>
        <w:ind w:left="538" w:right="3936" w:hanging="3"/>
        <w:jc w:val="left"/>
        <w:rPr>
          <w:b/>
          <w:sz w:val="21"/>
        </w:rPr>
      </w:pPr>
      <w:r>
        <w:rPr>
          <w:sz w:val="21"/>
        </w:rPr>
        <w:t>（</w:t>
      </w:r>
      <w:r>
        <w:rPr>
          <w:rFonts w:ascii="Times New Roman" w:eastAsia="Times New Roman"/>
          <w:sz w:val="21"/>
        </w:rPr>
        <w:t>2</w:t>
      </w:r>
      <w:r>
        <w:rPr>
          <w:sz w:val="21"/>
        </w:rPr>
        <w:t>）接受胰岛素替代治疗和酶替代治疗</w:t>
      </w:r>
      <w:r>
        <w:rPr>
          <w:rFonts w:ascii="Times New Roman" w:eastAsia="Times New Roman"/>
          <w:sz w:val="21"/>
        </w:rPr>
        <w:t>180</w:t>
      </w:r>
      <w:r>
        <w:rPr>
          <w:sz w:val="21"/>
        </w:rPr>
        <w:t>天以上。</w:t>
      </w:r>
      <w:r>
        <w:rPr>
          <w:b/>
          <w:sz w:val="21"/>
        </w:rPr>
        <w:t>酒精导致的慢性复发性胰腺炎不在本保障范围内。</w:t>
      </w:r>
    </w:p>
    <w:p>
      <w:pPr>
        <w:pStyle w:val="BodyText"/>
        <w:spacing w:before="5"/>
        <w:rPr>
          <w:b/>
          <w:sz w:val="18"/>
        </w:rPr>
      </w:pPr>
    </w:p>
    <w:p>
      <w:pPr>
        <w:pStyle w:val="Heading2"/>
        <w:numPr>
          <w:ilvl w:val="1"/>
          <w:numId w:val="2"/>
        </w:numPr>
        <w:tabs>
          <w:tab w:pos="1113" w:val="left" w:leader="none"/>
          <w:tab w:pos="1114" w:val="left" w:leader="none"/>
        </w:tabs>
        <w:spacing w:line="281" w:lineRule="exact" w:before="0" w:after="0"/>
        <w:ind w:left="1114" w:right="0" w:hanging="579"/>
        <w:jc w:val="left"/>
      </w:pPr>
      <w:r>
        <w:rPr/>
        <w:t>植物人状态</w:t>
      </w:r>
    </w:p>
    <w:p>
      <w:pPr>
        <w:pStyle w:val="BodyText"/>
        <w:spacing w:line="230" w:lineRule="auto" w:before="1"/>
        <w:ind w:left="112" w:right="116" w:firstLine="422"/>
        <w:jc w:val="both"/>
      </w:pPr>
      <w:r>
        <w:rPr/>
        <w:t>植物人状态系指由于严重颅脑外伤造成大脑和</w:t>
      </w:r>
      <w:r>
        <w:rPr>
          <w:rFonts w:ascii="Times New Roman" w:eastAsia="Times New Roman"/>
        </w:rPr>
        <w:t>/</w:t>
      </w:r>
      <w:r>
        <w:rPr/>
        <w:t>或脑干严重损害导致完全永久性的对自身和环境的意识丧失和中枢神经系统功能丧失，仅残存植物神经功能的疾病状态。诊断必须明确并且具有严重颅脑外伤和脑损害的证据。植物人状态必须持续</w:t>
      </w:r>
      <w:r>
        <w:rPr>
          <w:rFonts w:ascii="Times New Roman" w:eastAsia="Times New Roman"/>
        </w:rPr>
        <w:t>30</w:t>
      </w:r>
      <w:r>
        <w:rPr/>
        <w:t>天以上方可申请理赔。</w:t>
      </w:r>
    </w:p>
    <w:p>
      <w:pPr>
        <w:pStyle w:val="BodyText"/>
        <w:spacing w:before="12"/>
        <w:rPr>
          <w:sz w:val="16"/>
        </w:rPr>
      </w:pPr>
    </w:p>
    <w:p>
      <w:pPr>
        <w:pStyle w:val="Heading2"/>
        <w:numPr>
          <w:ilvl w:val="1"/>
          <w:numId w:val="2"/>
        </w:numPr>
        <w:tabs>
          <w:tab w:pos="1113" w:val="left" w:leader="none"/>
          <w:tab w:pos="1114" w:val="left" w:leader="none"/>
        </w:tabs>
        <w:spacing w:line="282" w:lineRule="exact" w:before="1" w:after="0"/>
        <w:ind w:left="1114" w:right="0" w:hanging="579"/>
        <w:jc w:val="left"/>
      </w:pPr>
      <w:r>
        <w:rPr>
          <w:spacing w:val="-1"/>
        </w:rPr>
        <w:t>重症急性坏死性筋膜炎</w:t>
      </w:r>
    </w:p>
    <w:p>
      <w:pPr>
        <w:pStyle w:val="BodyText"/>
        <w:spacing w:line="237" w:lineRule="auto"/>
        <w:ind w:left="112" w:right="116" w:firstLine="422"/>
      </w:pPr>
      <w:r>
        <w:rPr/>
        <w:t>是一种由细菌侵入皮下组织和筋膜引起的急性坏死性软组织感染，可伴有毒血症、败血症、中毒性休克、弥漫性血管内凝血及多器官衰竭。必须满足以下所有条件：</w:t>
      </w:r>
    </w:p>
    <w:p>
      <w:pPr>
        <w:pStyle w:val="BodyText"/>
        <w:spacing w:line="279" w:lineRule="exact" w:before="5"/>
        <w:ind w:left="535"/>
      </w:pPr>
      <w:r>
        <w:rPr/>
        <w:t>（</w:t>
      </w:r>
      <w:r>
        <w:rPr>
          <w:rFonts w:ascii="Times New Roman" w:eastAsia="Times New Roman"/>
        </w:rPr>
        <w:t>1</w:t>
      </w:r>
      <w:r>
        <w:rPr/>
        <w:t>）细菌培养和临床表现符合坏死性筋膜炎诊断标准；</w:t>
      </w:r>
    </w:p>
    <w:p>
      <w:pPr>
        <w:pStyle w:val="BodyText"/>
        <w:spacing w:line="272" w:lineRule="exact"/>
        <w:ind w:left="535"/>
      </w:pPr>
      <w:r>
        <w:rPr/>
        <w:t>（</w:t>
      </w:r>
      <w:r>
        <w:rPr>
          <w:rFonts w:ascii="Times New Roman" w:eastAsia="Times New Roman"/>
        </w:rPr>
        <w:t>2</w:t>
      </w:r>
      <w:r>
        <w:rPr/>
        <w:t>）病情迅速恶化，有脓毒血症表现；</w:t>
      </w:r>
    </w:p>
    <w:p>
      <w:pPr>
        <w:pStyle w:val="BodyText"/>
        <w:spacing w:line="281" w:lineRule="exact"/>
        <w:ind w:left="535"/>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pStyle w:val="BodyText"/>
        <w:spacing w:before="2"/>
        <w:rPr>
          <w:sz w:val="17"/>
        </w:rPr>
      </w:pPr>
    </w:p>
    <w:p>
      <w:pPr>
        <w:pStyle w:val="Heading2"/>
        <w:numPr>
          <w:ilvl w:val="1"/>
          <w:numId w:val="2"/>
        </w:numPr>
        <w:tabs>
          <w:tab w:pos="1113" w:val="left" w:leader="none"/>
          <w:tab w:pos="1114" w:val="left" w:leader="none"/>
        </w:tabs>
        <w:spacing w:line="281" w:lineRule="exact" w:before="0" w:after="0"/>
        <w:ind w:left="1114" w:right="0" w:hanging="579"/>
        <w:jc w:val="left"/>
      </w:pPr>
      <w:r>
        <w:rPr/>
        <w:t>嗜铬细胞瘤</w:t>
      </w:r>
    </w:p>
    <w:p>
      <w:pPr>
        <w:pStyle w:val="BodyText"/>
        <w:spacing w:line="237" w:lineRule="auto"/>
        <w:ind w:left="112" w:right="115" w:firstLine="422"/>
      </w:pPr>
      <w:r>
        <w:rPr/>
        <w:t>指发生在肾上腺或肾上腺外嗜铬组织的以分泌过多的儿茶酚胺为表现的神经内分泌肿瘤。嗜铬细胞瘤必须由内分泌专科医生诊断，并且满足以下所有条件：</w:t>
      </w:r>
    </w:p>
    <w:p>
      <w:pPr>
        <w:pStyle w:val="BodyText"/>
        <w:spacing w:line="280" w:lineRule="exact" w:before="7"/>
        <w:ind w:left="535"/>
      </w:pPr>
      <w:r>
        <w:rPr/>
        <w:t>（</w:t>
      </w:r>
      <w:r>
        <w:rPr>
          <w:rFonts w:ascii="Times New Roman" w:eastAsia="Times New Roman"/>
        </w:rPr>
        <w:t>1</w:t>
      </w:r>
      <w:r>
        <w:rPr/>
        <w:t>）临床有高血压症候群表现；</w:t>
      </w:r>
    </w:p>
    <w:p>
      <w:pPr>
        <w:pStyle w:val="BodyText"/>
        <w:spacing w:line="281" w:lineRule="exact"/>
        <w:ind w:left="535"/>
      </w:pPr>
      <w:r>
        <w:rPr/>
        <w:t>（</w:t>
      </w:r>
      <w:r>
        <w:rPr>
          <w:rFonts w:ascii="Times New Roman" w:eastAsia="Times New Roman"/>
        </w:rPr>
        <w:t>2</w:t>
      </w:r>
      <w:r>
        <w:rPr/>
        <w:t>）已经实施了嗜铬细胞瘤切除手术。</w:t>
      </w:r>
    </w:p>
    <w:p>
      <w:pPr>
        <w:pStyle w:val="BodyText"/>
        <w:spacing w:before="2"/>
        <w:rPr>
          <w:sz w:val="17"/>
        </w:rPr>
      </w:pPr>
    </w:p>
    <w:p>
      <w:pPr>
        <w:pStyle w:val="Heading2"/>
        <w:numPr>
          <w:ilvl w:val="1"/>
          <w:numId w:val="2"/>
        </w:numPr>
        <w:tabs>
          <w:tab w:pos="1113" w:val="left" w:leader="none"/>
          <w:tab w:pos="1114" w:val="left" w:leader="none"/>
        </w:tabs>
        <w:spacing w:line="281" w:lineRule="exact" w:before="0" w:after="0"/>
        <w:ind w:left="1114" w:right="0" w:hanging="579"/>
        <w:jc w:val="left"/>
      </w:pPr>
      <w:r>
        <w:rPr/>
        <w:t>象皮病</w:t>
      </w:r>
    </w:p>
    <w:p>
      <w:pPr>
        <w:pStyle w:val="BodyText"/>
        <w:spacing w:line="223" w:lineRule="auto" w:before="10"/>
        <w:ind w:left="112" w:right="120" w:firstLine="422"/>
      </w:pPr>
      <w:r>
        <w:rPr/>
        <w:t>指因丝虫感染导致淋巴阻塞性出现严重淋巴水肿，达到国际淋巴学会淋巴肿分期第</w:t>
      </w:r>
      <w:r>
        <w:rPr>
          <w:rFonts w:ascii="Times New Roman" w:eastAsia="Times New Roman"/>
        </w:rPr>
        <w:t>III</w:t>
      </w:r>
      <w:r>
        <w:rPr/>
        <w:t>期，临床表现为肢体象皮肿，患肢较健肢增粗</w:t>
      </w:r>
      <w:r>
        <w:rPr>
          <w:rFonts w:ascii="Times New Roman" w:eastAsia="Times New Roman"/>
        </w:rPr>
        <w:t>30%</w:t>
      </w:r>
      <w:r>
        <w:rPr/>
        <w:t>以上，日常生活不能自理。</w:t>
      </w:r>
    </w:p>
    <w:p>
      <w:pPr>
        <w:pStyle w:val="BodyText"/>
        <w:spacing w:before="2"/>
        <w:rPr>
          <w:sz w:val="17"/>
        </w:rPr>
      </w:pPr>
    </w:p>
    <w:p>
      <w:pPr>
        <w:pStyle w:val="Heading2"/>
        <w:numPr>
          <w:ilvl w:val="1"/>
          <w:numId w:val="2"/>
        </w:numPr>
        <w:tabs>
          <w:tab w:pos="1113" w:val="left" w:leader="none"/>
          <w:tab w:pos="1114" w:val="left" w:leader="none"/>
        </w:tabs>
        <w:spacing w:line="281" w:lineRule="exact" w:before="1" w:after="0"/>
        <w:ind w:left="1114" w:right="0" w:hanging="579"/>
        <w:jc w:val="left"/>
      </w:pPr>
      <w:r>
        <w:rPr/>
        <w:t>胰腺移植</w:t>
      </w:r>
    </w:p>
    <w:p>
      <w:pPr>
        <w:spacing w:line="240" w:lineRule="auto" w:before="0"/>
        <w:ind w:left="538" w:right="1411" w:hanging="3"/>
        <w:jc w:val="left"/>
        <w:rPr>
          <w:b/>
          <w:sz w:val="21"/>
        </w:rPr>
      </w:pPr>
      <w:r>
        <w:rPr>
          <w:sz w:val="21"/>
        </w:rPr>
        <w:t>指因胰腺功能衰竭，已经实施了在全身麻醉下进行的胰腺的异体器官移植手术。</w:t>
      </w:r>
      <w:r>
        <w:rPr>
          <w:b/>
          <w:sz w:val="21"/>
        </w:rPr>
        <w:t>单纯胰岛移植、部分胰腺组织或细胞的移植不在本保障范围之内。</w:t>
      </w:r>
    </w:p>
    <w:p>
      <w:pPr>
        <w:pStyle w:val="BodyText"/>
        <w:spacing w:before="12"/>
        <w:rPr>
          <w:b/>
          <w:sz w:val="18"/>
        </w:rPr>
      </w:pPr>
    </w:p>
    <w:p>
      <w:pPr>
        <w:pStyle w:val="Heading2"/>
        <w:numPr>
          <w:ilvl w:val="1"/>
          <w:numId w:val="2"/>
        </w:numPr>
        <w:tabs>
          <w:tab w:pos="1113" w:val="left" w:leader="none"/>
          <w:tab w:pos="1114" w:val="left" w:leader="none"/>
        </w:tabs>
        <w:spacing w:line="281" w:lineRule="exact" w:before="1" w:after="0"/>
        <w:ind w:left="1114" w:right="0" w:hanging="579"/>
        <w:jc w:val="left"/>
      </w:pPr>
      <w:r>
        <w:rPr>
          <w:spacing w:val="-1"/>
        </w:rPr>
        <w:t>慢性肾上腺皮质功能衰竭</w:t>
      </w:r>
    </w:p>
    <w:p>
      <w:pPr>
        <w:pStyle w:val="BodyText"/>
        <w:ind w:left="112" w:right="116" w:firstLine="422"/>
      </w:pPr>
      <w:r>
        <w:rPr/>
        <w:t>指自身免疫性肾上腺炎（既往称：特发性肾上腺皮质萎缩）导致肾上腺萎缩和慢性肾上腺皮质功能减退。必须满足所有以下条件：</w:t>
      </w:r>
    </w:p>
    <w:p>
      <w:pPr>
        <w:pStyle w:val="BodyText"/>
        <w:spacing w:line="279" w:lineRule="exact" w:before="9"/>
        <w:ind w:left="535"/>
      </w:pPr>
      <w:r>
        <w:rPr/>
        <w:t>（</w:t>
      </w:r>
      <w:r>
        <w:rPr>
          <w:rFonts w:ascii="Times New Roman" w:eastAsia="Times New Roman"/>
        </w:rPr>
        <w:t>1</w:t>
      </w:r>
      <w:r>
        <w:rPr/>
        <w:t>）明确诊断，符合所有以下诊断标准：</w:t>
      </w:r>
    </w:p>
    <w:p>
      <w:pPr>
        <w:pStyle w:val="BodyText"/>
        <w:spacing w:line="272" w:lineRule="exact"/>
        <w:ind w:left="962"/>
      </w:pPr>
      <w:r>
        <w:rPr/>
        <w:t>血浆促肾上腺皮质激素（</w:t>
      </w:r>
      <w:r>
        <w:rPr>
          <w:rFonts w:ascii="Times New Roman" w:eastAsia="Times New Roman"/>
        </w:rPr>
        <w:t>ACTH</w:t>
      </w:r>
      <w:r>
        <w:rPr/>
        <w:t>）水平测定，</w:t>
      </w:r>
      <w:r>
        <w:rPr>
          <w:rFonts w:ascii="Times New Roman" w:eastAsia="Times New Roman"/>
        </w:rPr>
        <w:t>&gt;100pg/ml</w:t>
      </w:r>
      <w:r>
        <w:rPr/>
        <w:t>；</w:t>
      </w:r>
    </w:p>
    <w:p>
      <w:pPr>
        <w:pStyle w:val="BodyText"/>
        <w:spacing w:line="223" w:lineRule="auto" w:before="11"/>
        <w:ind w:left="962" w:right="633"/>
      </w:pPr>
      <w:r>
        <w:rPr/>
        <w:t>血浆肾素活性、血管紧张素</w:t>
      </w:r>
      <w:r>
        <w:rPr>
          <w:rFonts w:ascii="Times New Roman" w:eastAsia="Times New Roman"/>
        </w:rPr>
        <w:t>II</w:t>
      </w:r>
      <w:r>
        <w:rPr/>
        <w:t>和醛固酮测定，显示为原发性肾上腺皮质功能减退症； 促肾上腺皮质激素（</w:t>
      </w:r>
      <w:r>
        <w:rPr>
          <w:rFonts w:ascii="Times New Roman" w:eastAsia="Times New Roman"/>
        </w:rPr>
        <w:t>ACTH</w:t>
      </w:r>
      <w:r>
        <w:rPr/>
        <w:t>）刺激试验显示为原发性肾上腺皮质功能减退症。</w:t>
      </w:r>
    </w:p>
    <w:p>
      <w:pPr>
        <w:pStyle w:val="BodyText"/>
        <w:spacing w:line="264" w:lineRule="exact"/>
        <w:ind w:left="535"/>
      </w:pPr>
      <w:r>
        <w:rPr/>
        <w:t>（</w:t>
      </w:r>
      <w:r>
        <w:rPr>
          <w:rFonts w:ascii="Times New Roman" w:eastAsia="Times New Roman"/>
        </w:rPr>
        <w:t>2</w:t>
      </w:r>
      <w:r>
        <w:rPr/>
        <w:t>）已经采用皮质类固醇替代治疗</w:t>
      </w:r>
      <w:r>
        <w:rPr>
          <w:rFonts w:ascii="Times New Roman" w:eastAsia="Times New Roman"/>
        </w:rPr>
        <w:t>180</w:t>
      </w:r>
      <w:r>
        <w:rPr/>
        <w:t>天以上。</w:t>
      </w:r>
    </w:p>
    <w:p>
      <w:pPr>
        <w:pStyle w:val="Heading2"/>
        <w:spacing w:line="225" w:lineRule="auto" w:before="8"/>
        <w:ind w:left="112" w:right="118" w:firstLine="425"/>
      </w:pPr>
      <w:r>
        <w:rPr/>
        <w:t>肾上腺结核、</w:t>
      </w:r>
      <w:r>
        <w:rPr>
          <w:rFonts w:ascii="Times New Roman" w:eastAsia="Times New Roman"/>
        </w:rPr>
        <w:t>HIV</w:t>
      </w:r>
      <w:r>
        <w:rPr/>
        <w:t>感染或艾滋病、感染、肿瘤所致的原发性肾上腺皮质功能减退和继发性肾上腺皮质功能减退不在本保障范围内。</w:t>
      </w:r>
    </w:p>
    <w:p>
      <w:pPr>
        <w:pStyle w:val="BodyText"/>
        <w:spacing w:before="3"/>
        <w:rPr>
          <w:b/>
          <w:sz w:val="18"/>
        </w:rPr>
      </w:pPr>
    </w:p>
    <w:p>
      <w:pPr>
        <w:pStyle w:val="ListParagraph"/>
        <w:numPr>
          <w:ilvl w:val="1"/>
          <w:numId w:val="2"/>
        </w:numPr>
        <w:tabs>
          <w:tab w:pos="1113" w:val="left" w:leader="none"/>
          <w:tab w:pos="1114" w:val="left" w:leader="none"/>
        </w:tabs>
        <w:spacing w:line="281" w:lineRule="exact" w:before="0" w:after="0"/>
        <w:ind w:left="1114" w:right="0" w:hanging="579"/>
        <w:jc w:val="left"/>
        <w:rPr>
          <w:b/>
          <w:sz w:val="21"/>
        </w:rPr>
      </w:pPr>
      <w:r>
        <w:rPr>
          <w:b/>
          <w:sz w:val="21"/>
        </w:rPr>
        <w:t>严重心肌炎</w:t>
      </w:r>
    </w:p>
    <w:p>
      <w:pPr>
        <w:pStyle w:val="BodyText"/>
        <w:ind w:left="112" w:right="116" w:firstLine="422"/>
      </w:pPr>
      <w:r>
        <w:rPr/>
        <w:t>指被保人因严重心肌炎性病变导致心功能损害造成持续的永久不可逆性的心功能衰竭。必须满足所有以下条件：</w:t>
      </w:r>
    </w:p>
    <w:p>
      <w:pPr>
        <w:pStyle w:val="BodyText"/>
        <w:spacing w:line="225" w:lineRule="auto" w:before="24"/>
        <w:ind w:left="112" w:right="46" w:firstLine="422"/>
      </w:pPr>
      <w:r>
        <w:rPr/>
        <w:t>（</w:t>
      </w:r>
      <w:r>
        <w:rPr>
          <w:rFonts w:ascii="Times New Roman" w:eastAsia="Times New Roman"/>
        </w:rPr>
        <w:t>1</w:t>
      </w:r>
      <w:r>
        <w:rPr/>
        <w:t>）心功能衰竭程度达到纽约心脏病学会的心功能分级标准之心功能</w:t>
      </w:r>
      <w:r>
        <w:rPr>
          <w:rFonts w:ascii="Times New Roman" w:eastAsia="Times New Roman"/>
        </w:rPr>
        <w:t>IV</w:t>
      </w:r>
      <w:r>
        <w:rPr/>
        <w:t>级，或左室射血分数低于</w:t>
      </w:r>
      <w:r>
        <w:rPr>
          <w:rFonts w:ascii="Times New Roman" w:eastAsia="Times New Roman"/>
        </w:rPr>
        <w:t>30%</w:t>
      </w:r>
      <w:r>
        <w:rPr/>
        <w:t>；</w:t>
      </w:r>
    </w:p>
    <w:p>
      <w:pPr>
        <w:pStyle w:val="BodyText"/>
        <w:spacing w:line="263" w:lineRule="exact"/>
        <w:ind w:left="535"/>
      </w:pPr>
      <w:r>
        <w:rPr/>
        <w:t>（</w:t>
      </w:r>
      <w:r>
        <w:rPr>
          <w:rFonts w:ascii="Times New Roman" w:eastAsia="Times New Roman"/>
        </w:rPr>
        <w:t>2</w:t>
      </w:r>
      <w:r>
        <w:rPr/>
        <w:t>）心功能</w:t>
      </w:r>
      <w:r>
        <w:rPr>
          <w:rFonts w:ascii="Times New Roman" w:eastAsia="Times New Roman"/>
        </w:rPr>
        <w:t>IV</w:t>
      </w:r>
      <w:r>
        <w:rPr/>
        <w:t>级状态持续不间断</w:t>
      </w:r>
      <w:r>
        <w:rPr>
          <w:rFonts w:ascii="Times New Roman" w:eastAsia="Times New Roman"/>
        </w:rPr>
        <w:t>180</w:t>
      </w:r>
      <w:r>
        <w:rPr/>
        <w:t>天以上；</w:t>
      </w:r>
    </w:p>
    <w:p>
      <w:pPr>
        <w:pStyle w:val="BodyText"/>
        <w:spacing w:line="282" w:lineRule="exact"/>
        <w:ind w:left="535"/>
      </w:pPr>
      <w:r>
        <w:rPr/>
        <w:t>（</w:t>
      </w:r>
      <w:r>
        <w:rPr>
          <w:rFonts w:ascii="Times New Roman" w:eastAsia="Times New Roman"/>
        </w:rPr>
        <w:t>3</w:t>
      </w:r>
      <w:r>
        <w:rPr/>
        <w:t>）被保险人永久不可逆性的体力活动能力受限，不能从事任何体力活动。</w:t>
      </w:r>
    </w:p>
    <w:p>
      <w:pPr>
        <w:pStyle w:val="BodyText"/>
        <w:rPr>
          <w:sz w:val="17"/>
        </w:rPr>
      </w:pPr>
    </w:p>
    <w:p>
      <w:pPr>
        <w:pStyle w:val="Heading2"/>
        <w:numPr>
          <w:ilvl w:val="1"/>
          <w:numId w:val="2"/>
        </w:numPr>
        <w:tabs>
          <w:tab w:pos="1113" w:val="left" w:leader="none"/>
          <w:tab w:pos="1114" w:val="left" w:leader="none"/>
        </w:tabs>
        <w:spacing w:line="281" w:lineRule="exact" w:before="0" w:after="0"/>
        <w:ind w:left="1114" w:right="0" w:hanging="579"/>
        <w:jc w:val="left"/>
      </w:pPr>
      <w:r>
        <w:rPr/>
        <w:t>肺源性心脏病</w:t>
      </w:r>
    </w:p>
    <w:p>
      <w:pPr>
        <w:pStyle w:val="BodyText"/>
        <w:ind w:left="112" w:right="115" w:firstLine="422"/>
      </w:pPr>
      <w:r>
        <w:rPr/>
        <w:t>指被保人因慢性肺部疾病导致慢性心功能损害造成永久不可逆性的心功能衰竭。心功能衰竭程度达到纽约心脏病学会的心功能分级标准之心功能</w:t>
      </w:r>
      <w:r>
        <w:rPr>
          <w:rFonts w:ascii="Times New Roman" w:eastAsia="Times New Roman"/>
        </w:rPr>
        <w:t>IV</w:t>
      </w:r>
      <w:r>
        <w:rPr/>
        <w:t>级。被保险人永久不可逆性的体力活动能力受</w:t>
      </w:r>
    </w:p>
    <w:p>
      <w:pPr>
        <w:spacing w:after="0"/>
        <w:sectPr>
          <w:pgSz w:w="11910" w:h="16840"/>
          <w:pgMar w:header="0" w:footer="1239" w:top="1060" w:bottom="1420" w:left="1020" w:right="1580"/>
        </w:sectPr>
      </w:pPr>
    </w:p>
    <w:p>
      <w:pPr>
        <w:pStyle w:val="BodyText"/>
        <w:spacing w:before="20"/>
        <w:ind w:left="102"/>
      </w:pPr>
      <w:r>
        <w:rPr/>
        <w:t>限，不能从事任何体力活动。</w:t>
      </w:r>
    </w:p>
    <w:p>
      <w:pPr>
        <w:pStyle w:val="BodyText"/>
        <w:spacing w:before="5"/>
        <w:rPr>
          <w:sz w:val="18"/>
        </w:rPr>
      </w:pPr>
    </w:p>
    <w:p>
      <w:pPr>
        <w:pStyle w:val="Heading2"/>
        <w:numPr>
          <w:ilvl w:val="1"/>
          <w:numId w:val="2"/>
        </w:numPr>
        <w:tabs>
          <w:tab w:pos="1102" w:val="left" w:leader="none"/>
          <w:tab w:pos="1103" w:val="left" w:leader="none"/>
        </w:tabs>
        <w:spacing w:line="281" w:lineRule="exact" w:before="0" w:after="0"/>
        <w:ind w:left="1102" w:right="0" w:hanging="578"/>
        <w:jc w:val="left"/>
      </w:pPr>
      <w:r>
        <w:rPr>
          <w:spacing w:val="-1"/>
        </w:rPr>
        <w:t>严重原发性硬化性胆管炎</w:t>
      </w:r>
    </w:p>
    <w:p>
      <w:pPr>
        <w:pStyle w:val="BodyText"/>
        <w:ind w:left="102" w:right="207" w:firstLine="422"/>
      </w:pPr>
      <w:r>
        <w:rPr/>
        <w:t>为一种特发型淤胆性疾病，特点为肝内及肝外胆道系统胆管壁增厚和管腔狭窄。必须满足以下所有条件：</w:t>
      </w:r>
    </w:p>
    <w:p>
      <w:pPr>
        <w:pStyle w:val="BodyText"/>
        <w:spacing w:line="277" w:lineRule="exact" w:before="10"/>
        <w:ind w:left="524"/>
      </w:pPr>
      <w:r>
        <w:rPr/>
        <w:t>（</w:t>
      </w:r>
      <w:r>
        <w:rPr>
          <w:rFonts w:ascii="Times New Roman" w:eastAsia="Times New Roman"/>
        </w:rPr>
        <w:t>1</w:t>
      </w:r>
      <w:r>
        <w:rPr/>
        <w:t>）诊断由逆行胰胆管造影（</w:t>
      </w:r>
      <w:r>
        <w:rPr>
          <w:rFonts w:ascii="Times New Roman" w:eastAsia="Times New Roman"/>
        </w:rPr>
        <w:t>ERCP</w:t>
      </w:r>
      <w:r>
        <w:rPr/>
        <w:t>）或经皮胆管造影（</w:t>
      </w:r>
      <w:r>
        <w:rPr>
          <w:rFonts w:ascii="Times New Roman" w:eastAsia="Times New Roman"/>
        </w:rPr>
        <w:t>PTC</w:t>
      </w:r>
      <w:r>
        <w:rPr/>
        <w:t>）确认；</w:t>
      </w:r>
    </w:p>
    <w:p>
      <w:pPr>
        <w:pStyle w:val="BodyText"/>
        <w:spacing w:line="272" w:lineRule="exact"/>
        <w:ind w:left="524"/>
      </w:pPr>
      <w:r>
        <w:rPr/>
        <w:t>（</w:t>
      </w:r>
      <w:r>
        <w:rPr>
          <w:rFonts w:ascii="Times New Roman" w:eastAsia="Times New Roman"/>
        </w:rPr>
        <w:t>2</w:t>
      </w:r>
      <w:r>
        <w:rPr/>
        <w:t>）持续性黄疸伴碱性磷酸酶（</w:t>
      </w:r>
      <w:r>
        <w:rPr>
          <w:rFonts w:ascii="Times New Roman" w:eastAsia="Times New Roman"/>
        </w:rPr>
        <w:t>ALP</w:t>
      </w:r>
      <w:r>
        <w:rPr/>
        <w:t>）显著升高；</w:t>
      </w:r>
    </w:p>
    <w:p>
      <w:pPr>
        <w:pStyle w:val="BodyText"/>
        <w:spacing w:line="282" w:lineRule="exact"/>
        <w:ind w:left="524"/>
      </w:pPr>
      <w:r>
        <w:rPr/>
        <w:t>（</w:t>
      </w:r>
      <w:r>
        <w:rPr>
          <w:rFonts w:ascii="Times New Roman" w:eastAsia="Times New Roman"/>
        </w:rPr>
        <w:t>3</w:t>
      </w:r>
      <w:r>
        <w:rPr/>
        <w:t>）出现继发性胆汁性肝硬化和门静脉高压。</w:t>
      </w:r>
    </w:p>
    <w:p>
      <w:pPr>
        <w:pStyle w:val="BodyText"/>
        <w:rPr>
          <w:sz w:val="17"/>
        </w:rPr>
      </w:pPr>
    </w:p>
    <w:p>
      <w:pPr>
        <w:pStyle w:val="Heading2"/>
        <w:numPr>
          <w:ilvl w:val="1"/>
          <w:numId w:val="2"/>
        </w:numPr>
        <w:tabs>
          <w:tab w:pos="1102" w:val="left" w:leader="none"/>
          <w:tab w:pos="1103" w:val="left" w:leader="none"/>
        </w:tabs>
        <w:spacing w:line="282" w:lineRule="exact" w:before="0" w:after="0"/>
        <w:ind w:left="1102" w:right="0" w:hanging="578"/>
        <w:jc w:val="left"/>
      </w:pPr>
      <w:r>
        <w:rPr>
          <w:spacing w:val="-1"/>
        </w:rPr>
        <w:t>严重自身免疫性肝炎</w:t>
      </w:r>
    </w:p>
    <w:p>
      <w:pPr>
        <w:pStyle w:val="BodyText"/>
        <w:spacing w:line="237" w:lineRule="auto"/>
        <w:ind w:left="102" w:right="100" w:firstLine="422"/>
      </w:pPr>
      <w:r>
        <w:rPr>
          <w:spacing w:val="-3"/>
        </w:rPr>
        <w:t>自身免疫性肝炎是一种原因不明的慢性肝脏的坏死性炎性疾病，机体免疫机制被破坏，产生针</w:t>
      </w:r>
      <w:r>
        <w:rPr>
          <w:spacing w:val="-6"/>
        </w:rPr>
        <w:t>对肝脏自身抗原的抗体导致自身免疫反应，从而破坏肝细胞造成肝脏炎症坏死，进而发展为肝硬化。</w:t>
      </w:r>
      <w:r>
        <w:rPr>
          <w:spacing w:val="-4"/>
        </w:rPr>
        <w:t>必须满足所有以下条件：</w:t>
      </w:r>
    </w:p>
    <w:p>
      <w:pPr>
        <w:pStyle w:val="BodyText"/>
        <w:spacing w:line="280" w:lineRule="exact" w:before="6"/>
        <w:ind w:left="524"/>
      </w:pPr>
      <w:r>
        <w:rPr/>
        <w:t>（</w:t>
      </w:r>
      <w:r>
        <w:rPr>
          <w:rFonts w:ascii="Times New Roman" w:hAnsi="Times New Roman" w:eastAsia="Times New Roman"/>
        </w:rPr>
        <w:t>1</w:t>
      </w:r>
      <w:r>
        <w:rPr/>
        <w:t>）高</w:t>
      </w:r>
      <w:r>
        <w:rPr>
          <w:rFonts w:ascii="Times New Roman" w:hAnsi="Times New Roman" w:eastAsia="Times New Roman"/>
        </w:rPr>
        <w:t>γ</w:t>
      </w:r>
      <w:r>
        <w:rPr/>
        <w:t>球蛋白血症；</w:t>
      </w:r>
    </w:p>
    <w:p>
      <w:pPr>
        <w:pStyle w:val="BodyText"/>
        <w:spacing w:line="225" w:lineRule="auto" w:before="7"/>
        <w:ind w:left="102" w:right="210" w:firstLine="422"/>
      </w:pPr>
      <w:r>
        <w:rPr>
          <w:spacing w:val="-17"/>
        </w:rPr>
        <w:t>（</w:t>
      </w:r>
      <w:r>
        <w:rPr>
          <w:rFonts w:ascii="Times New Roman" w:eastAsia="Times New Roman"/>
          <w:spacing w:val="-17"/>
        </w:rPr>
        <w:t>2</w:t>
      </w:r>
      <w:r>
        <w:rPr>
          <w:spacing w:val="-17"/>
        </w:rPr>
        <w:t>）</w:t>
      </w:r>
      <w:r>
        <w:rPr>
          <w:spacing w:val="-6"/>
        </w:rPr>
        <w:t>血液中存在高水平的自身免疫抗体，如</w:t>
      </w:r>
      <w:r>
        <w:rPr>
          <w:rFonts w:ascii="Times New Roman" w:eastAsia="Times New Roman"/>
          <w:spacing w:val="-14"/>
        </w:rPr>
        <w:t>ANA</w:t>
      </w:r>
      <w:r>
        <w:rPr>
          <w:spacing w:val="-14"/>
        </w:rPr>
        <w:t>（</w:t>
      </w:r>
      <w:r>
        <w:rPr>
          <w:spacing w:val="-1"/>
        </w:rPr>
        <w:t>抗核抗体</w:t>
      </w:r>
      <w:r>
        <w:rPr>
          <w:spacing w:val="-108"/>
        </w:rPr>
        <w:t>）</w:t>
      </w:r>
      <w:r>
        <w:rPr>
          <w:spacing w:val="-48"/>
        </w:rPr>
        <w:t>、</w:t>
      </w:r>
      <w:r>
        <w:rPr>
          <w:rFonts w:ascii="Times New Roman" w:eastAsia="Times New Roman"/>
          <w:spacing w:val="-14"/>
        </w:rPr>
        <w:t>SMA</w:t>
      </w:r>
      <w:r>
        <w:rPr>
          <w:spacing w:val="-14"/>
        </w:rPr>
        <w:t>（</w:t>
      </w:r>
      <w:r>
        <w:rPr>
          <w:spacing w:val="-3"/>
        </w:rPr>
        <w:t>抗平滑肌抗体</w:t>
      </w:r>
      <w:r>
        <w:rPr>
          <w:spacing w:val="-106"/>
        </w:rPr>
        <w:t>）</w:t>
      </w:r>
      <w:r>
        <w:rPr>
          <w:spacing w:val="-26"/>
        </w:rPr>
        <w:t>、抗</w:t>
      </w:r>
      <w:r>
        <w:rPr>
          <w:rFonts w:ascii="Times New Roman" w:eastAsia="Times New Roman"/>
        </w:rPr>
        <w:t>LKM1 </w:t>
      </w:r>
      <w:r>
        <w:rPr>
          <w:spacing w:val="-2"/>
        </w:rPr>
        <w:t>抗体或抗</w:t>
      </w:r>
      <w:r>
        <w:rPr>
          <w:rFonts w:ascii="Times New Roman" w:eastAsia="Times New Roman"/>
          <w:spacing w:val="-1"/>
        </w:rPr>
        <w:t>-SLA/LP</w:t>
      </w:r>
      <w:r>
        <w:rPr>
          <w:spacing w:val="-2"/>
        </w:rPr>
        <w:t>抗体；</w:t>
      </w:r>
    </w:p>
    <w:p>
      <w:pPr>
        <w:pStyle w:val="BodyText"/>
        <w:spacing w:line="263" w:lineRule="exact"/>
        <w:ind w:left="524"/>
      </w:pPr>
      <w:r>
        <w:rPr/>
        <w:t>（</w:t>
      </w:r>
      <w:r>
        <w:rPr>
          <w:rFonts w:ascii="Times New Roman" w:eastAsia="Times New Roman"/>
        </w:rPr>
        <w:t>3</w:t>
      </w:r>
      <w:r>
        <w:rPr/>
        <w:t>）肝脏活检证实免疫性肝炎；</w:t>
      </w:r>
    </w:p>
    <w:p>
      <w:pPr>
        <w:pStyle w:val="BodyText"/>
        <w:spacing w:line="282" w:lineRule="exact"/>
        <w:ind w:left="524"/>
      </w:pPr>
      <w:r>
        <w:rPr/>
        <w:t>（</w:t>
      </w:r>
      <w:r>
        <w:rPr>
          <w:rFonts w:ascii="Times New Roman" w:eastAsia="Times New Roman"/>
        </w:rPr>
        <w:t>4</w:t>
      </w:r>
      <w:r>
        <w:rPr/>
        <w:t>）临床已经出现腹水、食道静脉曲张和脾肿大等肝硬化表现。</w:t>
      </w:r>
    </w:p>
    <w:p>
      <w:pPr>
        <w:pStyle w:val="BodyText"/>
        <w:rPr>
          <w:sz w:val="17"/>
        </w:rPr>
      </w:pPr>
    </w:p>
    <w:p>
      <w:pPr>
        <w:pStyle w:val="Heading2"/>
        <w:numPr>
          <w:ilvl w:val="1"/>
          <w:numId w:val="2"/>
        </w:numPr>
        <w:tabs>
          <w:tab w:pos="1102" w:val="left" w:leader="none"/>
          <w:tab w:pos="1103" w:val="left" w:leader="none"/>
        </w:tabs>
        <w:spacing w:line="281" w:lineRule="exact" w:before="0" w:after="0"/>
        <w:ind w:left="1102" w:right="0" w:hanging="578"/>
        <w:jc w:val="left"/>
      </w:pPr>
      <w:r>
        <w:rPr>
          <w:spacing w:val="-2"/>
        </w:rPr>
        <w:t>原发性骨髓纤维化</w:t>
      </w:r>
      <w:r>
        <w:rPr/>
        <w:t>（</w:t>
      </w:r>
      <w:r>
        <w:rPr>
          <w:rFonts w:ascii="Times New Roman" w:eastAsia="Times New Roman"/>
        </w:rPr>
        <w:t>PMF</w:t>
      </w:r>
      <w:r>
        <w:rPr/>
        <w:t>）</w:t>
      </w:r>
    </w:p>
    <w:p>
      <w:pPr>
        <w:pStyle w:val="BodyText"/>
        <w:ind w:left="102" w:right="207" w:firstLine="422"/>
      </w:pPr>
      <w:r>
        <w:rPr/>
        <w:t>原发性骨髓纤维化以骨髓纤维增生和髓外造血为特点，表现为进行性贫血、脾肿大、外周血幼稚细胞等等。</w:t>
      </w:r>
    </w:p>
    <w:p>
      <w:pPr>
        <w:pStyle w:val="BodyText"/>
        <w:spacing w:line="279" w:lineRule="exact" w:before="10"/>
        <w:ind w:left="524"/>
      </w:pPr>
      <w:r>
        <w:rPr/>
        <w:t>被保险人须经由骨髓活检明确诊断为原发性骨髓纤维化，并满足下列所有条件且持续 </w:t>
      </w:r>
      <w:r>
        <w:rPr>
          <w:rFonts w:ascii="Times New Roman" w:eastAsia="Times New Roman"/>
        </w:rPr>
        <w:t>180 </w:t>
      </w:r>
      <w:r>
        <w:rPr/>
        <w:t>天：</w:t>
      </w:r>
    </w:p>
    <w:p>
      <w:pPr>
        <w:pStyle w:val="BodyText"/>
        <w:spacing w:line="272" w:lineRule="exact"/>
        <w:ind w:left="524"/>
      </w:pPr>
      <w:r>
        <w:rPr/>
        <w:t>（</w:t>
      </w:r>
      <w:r>
        <w:rPr>
          <w:rFonts w:ascii="Times New Roman" w:eastAsia="Times New Roman"/>
        </w:rPr>
        <w:t>1</w:t>
      </w:r>
      <w:r>
        <w:rPr/>
        <w:t>）血红蛋白</w:t>
      </w:r>
      <w:r>
        <w:rPr>
          <w:rFonts w:ascii="Times New Roman" w:eastAsia="Times New Roman"/>
        </w:rPr>
        <w:t>&lt;100g/l</w:t>
      </w:r>
      <w:r>
        <w:rPr/>
        <w:t>；</w:t>
      </w:r>
    </w:p>
    <w:p>
      <w:pPr>
        <w:pStyle w:val="BodyText"/>
        <w:spacing w:line="272" w:lineRule="exact"/>
        <w:ind w:left="524"/>
      </w:pPr>
      <w:r>
        <w:rPr/>
        <w:t>（</w:t>
      </w:r>
      <w:r>
        <w:rPr>
          <w:rFonts w:ascii="Times New Roman" w:eastAsia="Times New Roman"/>
        </w:rPr>
        <w:t>2</w:t>
      </w:r>
      <w:r>
        <w:rPr/>
        <w:t>）白细胞计数</w:t>
      </w:r>
      <w:r>
        <w:rPr>
          <w:rFonts w:ascii="Times New Roman" w:eastAsia="Times New Roman"/>
        </w:rPr>
        <w:t>&gt;25x10</w:t>
      </w:r>
      <w:r>
        <w:rPr>
          <w:rFonts w:ascii="Times New Roman" w:eastAsia="Times New Roman"/>
          <w:vertAlign w:val="superscript"/>
        </w:rPr>
        <w:t>9</w:t>
      </w:r>
      <w:r>
        <w:rPr>
          <w:rFonts w:ascii="Times New Roman" w:eastAsia="Times New Roman"/>
          <w:vertAlign w:val="baseline"/>
        </w:rPr>
        <w:t>/l</w:t>
      </w:r>
      <w:r>
        <w:rPr>
          <w:vertAlign w:val="baseline"/>
        </w:rPr>
        <w:t>；</w:t>
      </w:r>
    </w:p>
    <w:p>
      <w:pPr>
        <w:pStyle w:val="BodyText"/>
        <w:spacing w:line="272" w:lineRule="exact"/>
        <w:ind w:left="524"/>
        <w:rPr>
          <w:rFonts w:ascii="Times New Roman" w:hAnsi="Times New Roman" w:eastAsia="Times New Roman"/>
        </w:rPr>
      </w:pPr>
      <w:r>
        <w:rPr/>
        <w:t>（</w:t>
      </w:r>
      <w:r>
        <w:rPr>
          <w:rFonts w:ascii="Times New Roman" w:hAnsi="Times New Roman" w:eastAsia="Times New Roman"/>
        </w:rPr>
        <w:t>3</w:t>
      </w:r>
      <w:r>
        <w:rPr/>
        <w:t>）外周血原始细胞</w:t>
      </w:r>
      <w:r>
        <w:rPr>
          <w:rFonts w:ascii="Times New Roman" w:hAnsi="Times New Roman" w:eastAsia="Times New Roman"/>
        </w:rPr>
        <w:t>≥1%;</w:t>
      </w:r>
    </w:p>
    <w:p>
      <w:pPr>
        <w:pStyle w:val="BodyText"/>
        <w:spacing w:line="272" w:lineRule="exact"/>
        <w:ind w:left="524"/>
      </w:pPr>
      <w:r>
        <w:rPr/>
        <w:t>（</w:t>
      </w:r>
      <w:r>
        <w:rPr>
          <w:rFonts w:ascii="Times New Roman" w:eastAsia="Times New Roman"/>
        </w:rPr>
        <w:t>4</w:t>
      </w:r>
      <w:r>
        <w:rPr/>
        <w:t>）血小板计数</w:t>
      </w:r>
      <w:r>
        <w:rPr>
          <w:rFonts w:ascii="Times New Roman" w:eastAsia="Times New Roman"/>
        </w:rPr>
        <w:t>&lt;100x10</w:t>
      </w:r>
      <w:r>
        <w:rPr>
          <w:rFonts w:ascii="Times New Roman" w:eastAsia="Times New Roman"/>
          <w:vertAlign w:val="superscript"/>
        </w:rPr>
        <w:t>9</w:t>
      </w:r>
      <w:r>
        <w:rPr>
          <w:rFonts w:ascii="Times New Roman" w:eastAsia="Times New Roman"/>
          <w:vertAlign w:val="baseline"/>
        </w:rPr>
        <w:t>/l</w:t>
      </w:r>
      <w:r>
        <w:rPr>
          <w:vertAlign w:val="baseline"/>
        </w:rPr>
        <w:t>。</w:t>
      </w:r>
    </w:p>
    <w:p>
      <w:pPr>
        <w:pStyle w:val="Heading2"/>
        <w:spacing w:line="266" w:lineRule="exact"/>
        <w:ind w:left="526" w:firstLine="0"/>
      </w:pPr>
      <w:r>
        <w:rPr/>
        <w:t>恶性肿瘤、中毒、放射线和感染所致的继发性骨髓纤维化不在保障范围内。</w:t>
      </w:r>
    </w:p>
    <w:p>
      <w:pPr>
        <w:pStyle w:val="BodyText"/>
        <w:spacing w:before="3"/>
        <w:rPr>
          <w:b/>
          <w:sz w:val="18"/>
        </w:rPr>
      </w:pPr>
    </w:p>
    <w:p>
      <w:pPr>
        <w:pStyle w:val="ListParagraph"/>
        <w:numPr>
          <w:ilvl w:val="1"/>
          <w:numId w:val="2"/>
        </w:numPr>
        <w:tabs>
          <w:tab w:pos="1102" w:val="left" w:leader="none"/>
          <w:tab w:pos="1103" w:val="left" w:leader="none"/>
        </w:tabs>
        <w:spacing w:line="281" w:lineRule="exact" w:before="0" w:after="0"/>
        <w:ind w:left="1102" w:right="0" w:hanging="578"/>
        <w:jc w:val="left"/>
        <w:rPr>
          <w:b/>
          <w:sz w:val="21"/>
        </w:rPr>
      </w:pPr>
      <w:r>
        <w:rPr>
          <w:b/>
          <w:spacing w:val="-2"/>
          <w:sz w:val="21"/>
        </w:rPr>
        <w:t>严重骨髓增生异常综合征</w:t>
      </w:r>
      <w:r>
        <w:rPr>
          <w:b/>
          <w:sz w:val="21"/>
        </w:rPr>
        <w:t>（</w:t>
      </w:r>
      <w:r>
        <w:rPr>
          <w:rFonts w:ascii="Times New Roman" w:eastAsia="Times New Roman"/>
          <w:b/>
          <w:sz w:val="21"/>
        </w:rPr>
        <w:t>MDS</w:t>
      </w:r>
      <w:r>
        <w:rPr>
          <w:b/>
          <w:sz w:val="21"/>
        </w:rPr>
        <w:t>）</w:t>
      </w:r>
    </w:p>
    <w:p>
      <w:pPr>
        <w:pStyle w:val="BodyText"/>
        <w:ind w:left="102" w:right="207" w:firstLine="422"/>
      </w:pPr>
      <w:r>
        <w:rPr/>
        <w:t>骨髓增生异常综合征是起源于造血干细胞的一组骨髓克隆异常的疾病，表现为无效造血、难治性血细胞减少，有转化为急性髓系白血病的风险。</w:t>
      </w:r>
    </w:p>
    <w:p>
      <w:pPr>
        <w:pStyle w:val="BodyText"/>
        <w:spacing w:line="271" w:lineRule="exact" w:before="10"/>
        <w:ind w:left="524"/>
      </w:pPr>
      <w:r>
        <w:rPr/>
        <w:t>被保险人须经由外周血和骨髓活检被明确诊断为骨髓增生异常综合征，并且满足下列所有条件：</w:t>
      </w:r>
    </w:p>
    <w:p>
      <w:pPr>
        <w:pStyle w:val="BodyText"/>
        <w:spacing w:line="280" w:lineRule="exact"/>
        <w:ind w:left="524"/>
      </w:pPr>
      <w:r>
        <w:rPr>
          <w:w w:val="100"/>
        </w:rPr>
        <w:t>（</w:t>
      </w:r>
      <w:r>
        <w:rPr>
          <w:rFonts w:ascii="Times New Roman" w:eastAsia="Times New Roman"/>
          <w:w w:val="100"/>
        </w:rPr>
        <w:t>1</w:t>
      </w:r>
      <w:r>
        <w:rPr>
          <w:spacing w:val="-3"/>
          <w:w w:val="100"/>
        </w:rPr>
        <w:t>）</w:t>
      </w:r>
      <w:r>
        <w:rPr>
          <w:w w:val="100"/>
        </w:rPr>
        <w:t>根据</w:t>
      </w:r>
      <w:r>
        <w:rPr>
          <w:spacing w:val="-55"/>
        </w:rPr>
        <w:t> </w:t>
      </w:r>
      <w:r>
        <w:rPr>
          <w:rFonts w:ascii="Times New Roman" w:eastAsia="Times New Roman"/>
          <w:spacing w:val="-3"/>
          <w:w w:val="100"/>
        </w:rPr>
        <w:t>W</w:t>
      </w:r>
      <w:r>
        <w:rPr>
          <w:rFonts w:ascii="Times New Roman" w:eastAsia="Times New Roman"/>
          <w:w w:val="100"/>
        </w:rPr>
        <w:t>HO</w:t>
      </w:r>
      <w:r>
        <w:rPr>
          <w:rFonts w:ascii="Times New Roman" w:eastAsia="Times New Roman"/>
          <w:spacing w:val="-1"/>
        </w:rPr>
        <w:t> </w:t>
      </w:r>
      <w:r>
        <w:rPr>
          <w:spacing w:val="-3"/>
          <w:w w:val="100"/>
        </w:rPr>
        <w:t>分型，分型为难治性贫血伴原始细胞增多（</w:t>
      </w:r>
      <w:r>
        <w:rPr>
          <w:rFonts w:ascii="Times New Roman" w:eastAsia="Times New Roman"/>
          <w:w w:val="100"/>
        </w:rPr>
        <w:t>R</w:t>
      </w:r>
      <w:r>
        <w:rPr>
          <w:rFonts w:ascii="Times New Roman" w:eastAsia="Times New Roman"/>
          <w:spacing w:val="-2"/>
          <w:w w:val="100"/>
        </w:rPr>
        <w:t>A</w:t>
      </w:r>
      <w:r>
        <w:rPr>
          <w:rFonts w:ascii="Times New Roman" w:eastAsia="Times New Roman"/>
          <w:spacing w:val="-2"/>
          <w:w w:val="100"/>
        </w:rPr>
        <w:t>E</w:t>
      </w:r>
      <w:r>
        <w:rPr>
          <w:rFonts w:ascii="Times New Roman" w:eastAsia="Times New Roman"/>
          <w:spacing w:val="0"/>
          <w:w w:val="100"/>
        </w:rPr>
        <w:t>B</w:t>
      </w:r>
      <w:r>
        <w:rPr>
          <w:spacing w:val="-106"/>
          <w:w w:val="100"/>
        </w:rPr>
        <w:t>）；</w:t>
      </w:r>
    </w:p>
    <w:p>
      <w:pPr>
        <w:pStyle w:val="BodyText"/>
        <w:spacing w:line="281" w:lineRule="exact"/>
        <w:ind w:left="524"/>
      </w:pPr>
      <w:r>
        <w:rPr>
          <w:spacing w:val="-14"/>
        </w:rPr>
        <w:t>（</w:t>
      </w:r>
      <w:r>
        <w:rPr>
          <w:rFonts w:ascii="Times New Roman" w:hAnsi="Times New Roman" w:eastAsia="Times New Roman"/>
          <w:spacing w:val="-14"/>
        </w:rPr>
        <w:t>2</w:t>
      </w:r>
      <w:r>
        <w:rPr>
          <w:spacing w:val="-14"/>
        </w:rPr>
        <w:t>）</w:t>
      </w:r>
      <w:r>
        <w:rPr>
          <w:spacing w:val="-2"/>
        </w:rPr>
        <w:t>根据</w:t>
      </w:r>
      <w:r>
        <w:rPr>
          <w:rFonts w:ascii="Times New Roman" w:hAnsi="Times New Roman" w:eastAsia="Times New Roman"/>
        </w:rPr>
        <w:t>“</w:t>
      </w:r>
      <w:r>
        <w:rPr>
          <w:spacing w:val="-5"/>
        </w:rPr>
        <w:t>骨髓增生异常综合征修订国际预后积分系统</w:t>
      </w:r>
      <w:r>
        <w:rPr>
          <w:spacing w:val="-6"/>
        </w:rPr>
        <w:t>（</w:t>
      </w:r>
      <w:r>
        <w:rPr>
          <w:rFonts w:ascii="Times New Roman" w:hAnsi="Times New Roman" w:eastAsia="Times New Roman"/>
          <w:spacing w:val="-6"/>
        </w:rPr>
        <w:t>IPSS-R</w:t>
      </w:r>
      <w:r>
        <w:rPr>
          <w:spacing w:val="-6"/>
        </w:rPr>
        <w:t>）</w:t>
      </w:r>
      <w:r>
        <w:rPr>
          <w:rFonts w:ascii="Times New Roman" w:hAnsi="Times New Roman" w:eastAsia="Times New Roman"/>
          <w:spacing w:val="-6"/>
        </w:rPr>
        <w:t>”</w:t>
      </w:r>
      <w:r>
        <w:rPr/>
        <w:t>积分</w:t>
      </w:r>
      <w:r>
        <w:rPr>
          <w:rFonts w:ascii="Times New Roman" w:hAnsi="Times New Roman" w:eastAsia="Times New Roman"/>
          <w:spacing w:val="-16"/>
        </w:rPr>
        <w:t>≥3</w:t>
      </w:r>
      <w:r>
        <w:rPr>
          <w:spacing w:val="-5"/>
        </w:rPr>
        <w:t>，属于中危及以上组。</w:t>
      </w:r>
    </w:p>
    <w:p>
      <w:pPr>
        <w:pStyle w:val="BodyText"/>
        <w:rPr>
          <w:sz w:val="17"/>
        </w:rPr>
      </w:pPr>
    </w:p>
    <w:p>
      <w:pPr>
        <w:pStyle w:val="Heading2"/>
        <w:numPr>
          <w:ilvl w:val="1"/>
          <w:numId w:val="2"/>
        </w:numPr>
        <w:tabs>
          <w:tab w:pos="1102" w:val="left" w:leader="none"/>
          <w:tab w:pos="1103" w:val="left" w:leader="none"/>
        </w:tabs>
        <w:spacing w:line="282" w:lineRule="exact" w:before="0" w:after="0"/>
        <w:ind w:left="1102" w:right="0" w:hanging="578"/>
        <w:jc w:val="left"/>
      </w:pPr>
      <w:r>
        <w:rPr>
          <w:spacing w:val="-2"/>
        </w:rPr>
        <w:t>自体造血干细胞移植</w:t>
      </w:r>
      <w:r>
        <w:rPr>
          <w:spacing w:val="-1"/>
        </w:rPr>
        <w:t>（</w:t>
      </w:r>
      <w:r>
        <w:rPr>
          <w:rFonts w:ascii="Times New Roman" w:eastAsia="Times New Roman"/>
          <w:spacing w:val="-1"/>
        </w:rPr>
        <w:t>AHSCT</w:t>
      </w:r>
      <w:r>
        <w:rPr>
          <w:spacing w:val="-1"/>
        </w:rPr>
        <w:t>）</w:t>
      </w:r>
    </w:p>
    <w:p>
      <w:pPr>
        <w:pStyle w:val="BodyText"/>
        <w:spacing w:line="237" w:lineRule="auto"/>
        <w:ind w:left="524" w:right="871"/>
      </w:pPr>
      <w:r>
        <w:rPr/>
        <w:t>被保险人因急性白血病、恶性淋巴瘤或多发性骨髓瘤实际接受了自体造血干细胞移植。下列情况不在本保障范围内：</w:t>
      </w:r>
    </w:p>
    <w:p>
      <w:pPr>
        <w:pStyle w:val="BodyText"/>
        <w:spacing w:line="280" w:lineRule="exact" w:before="6"/>
        <w:ind w:left="524"/>
      </w:pPr>
      <w:r>
        <w:rPr/>
        <w:t>（</w:t>
      </w:r>
      <w:r>
        <w:rPr>
          <w:rFonts w:ascii="Times New Roman" w:eastAsia="Times New Roman"/>
        </w:rPr>
        <w:t>1</w:t>
      </w:r>
      <w:r>
        <w:rPr/>
        <w:t>）因上述所列疾病以外疾病接受自体造血干细胞移植；</w:t>
      </w:r>
    </w:p>
    <w:p>
      <w:pPr>
        <w:pStyle w:val="BodyText"/>
        <w:spacing w:line="281" w:lineRule="exact"/>
        <w:ind w:left="524"/>
      </w:pPr>
      <w:r>
        <w:rPr/>
        <w:t>（</w:t>
      </w:r>
      <w:r>
        <w:rPr>
          <w:rFonts w:ascii="Times New Roman" w:eastAsia="Times New Roman"/>
        </w:rPr>
        <w:t>2</w:t>
      </w:r>
      <w:r>
        <w:rPr/>
        <w:t>）非造血干细胞移植。</w:t>
      </w:r>
    </w:p>
    <w:p>
      <w:pPr>
        <w:pStyle w:val="BodyText"/>
        <w:rPr>
          <w:sz w:val="17"/>
        </w:rPr>
      </w:pPr>
    </w:p>
    <w:p>
      <w:pPr>
        <w:pStyle w:val="Heading2"/>
        <w:numPr>
          <w:ilvl w:val="1"/>
          <w:numId w:val="2"/>
        </w:numPr>
        <w:tabs>
          <w:tab w:pos="1102" w:val="left" w:leader="none"/>
          <w:tab w:pos="1103" w:val="left" w:leader="none"/>
        </w:tabs>
        <w:spacing w:line="282" w:lineRule="exact" w:before="1" w:after="0"/>
        <w:ind w:left="1102" w:right="0" w:hanging="578"/>
        <w:jc w:val="left"/>
      </w:pPr>
      <w:r>
        <w:rPr>
          <w:spacing w:val="-1"/>
        </w:rPr>
        <w:t>严重感染性心内膜炎</w:t>
      </w:r>
    </w:p>
    <w:p>
      <w:pPr>
        <w:pStyle w:val="BodyText"/>
        <w:spacing w:line="237" w:lineRule="auto"/>
        <w:ind w:left="102" w:right="207" w:firstLine="422"/>
      </w:pPr>
      <w:r>
        <w:rPr/>
        <w:t>感染性心内膜炎是指因细菌或其他致病菌感染造成心脏内膜感染，瓣膜为最常受累部位，引起心脏瓣膜关闭不全。必须满足下列至少三项条件：</w:t>
      </w:r>
    </w:p>
    <w:p>
      <w:pPr>
        <w:pStyle w:val="BodyText"/>
        <w:spacing w:line="280" w:lineRule="exact" w:before="5"/>
        <w:ind w:left="524"/>
      </w:pPr>
      <w:r>
        <w:rPr/>
        <w:t>（</w:t>
      </w:r>
      <w:r>
        <w:rPr>
          <w:rFonts w:ascii="Times New Roman" w:eastAsia="Times New Roman"/>
        </w:rPr>
        <w:t>1</w:t>
      </w:r>
      <w:r>
        <w:rPr/>
        <w:t>）急性或亚急性感染性心内膜炎临床表现；</w:t>
      </w:r>
    </w:p>
    <w:p>
      <w:pPr>
        <w:pStyle w:val="BodyText"/>
        <w:spacing w:line="272" w:lineRule="exact"/>
        <w:ind w:left="524"/>
      </w:pPr>
      <w:r>
        <w:rPr/>
        <w:t>（</w:t>
      </w:r>
      <w:r>
        <w:rPr>
          <w:rFonts w:ascii="Times New Roman" w:eastAsia="Times New Roman"/>
        </w:rPr>
        <w:t>2</w:t>
      </w:r>
      <w:r>
        <w:rPr/>
        <w:t>）血培养病原体阳性；</w:t>
      </w:r>
    </w:p>
    <w:p>
      <w:pPr>
        <w:pStyle w:val="BodyText"/>
        <w:spacing w:line="272" w:lineRule="exact"/>
        <w:ind w:left="524"/>
      </w:pPr>
      <w:r>
        <w:rPr/>
        <w:t>（</w:t>
      </w:r>
      <w:r>
        <w:rPr>
          <w:rFonts w:ascii="Times New Roman" w:eastAsia="Times New Roman"/>
        </w:rPr>
        <w:t>3</w:t>
      </w:r>
      <w:r>
        <w:rPr/>
        <w:t>）心功能衰竭并实际接受了心脏瓣膜置换手术；</w:t>
      </w:r>
    </w:p>
    <w:p>
      <w:pPr>
        <w:spacing w:line="225" w:lineRule="auto" w:before="7"/>
        <w:ind w:left="526" w:right="3922" w:hanging="3"/>
        <w:jc w:val="left"/>
        <w:rPr>
          <w:b/>
          <w:sz w:val="21"/>
        </w:rPr>
      </w:pPr>
      <w:r>
        <w:rPr>
          <w:sz w:val="21"/>
        </w:rPr>
        <w:t>（</w:t>
      </w:r>
      <w:r>
        <w:rPr>
          <w:rFonts w:ascii="Times New Roman" w:eastAsia="Times New Roman"/>
          <w:sz w:val="21"/>
        </w:rPr>
        <w:t>4</w:t>
      </w:r>
      <w:r>
        <w:rPr>
          <w:sz w:val="21"/>
        </w:rPr>
        <w:t>）并发动脉栓塞导致脑梗塞、肾梗塞或心肌梗塞。</w:t>
      </w:r>
      <w:r>
        <w:rPr>
          <w:b/>
          <w:sz w:val="21"/>
        </w:rPr>
        <w:t>药物滥用者所患感染性心内膜炎除外。</w:t>
      </w:r>
    </w:p>
    <w:p>
      <w:pPr>
        <w:spacing w:after="0" w:line="225" w:lineRule="auto"/>
        <w:jc w:val="left"/>
        <w:rPr>
          <w:sz w:val="21"/>
        </w:rPr>
        <w:sectPr>
          <w:pgSz w:w="11910" w:h="16840"/>
          <w:pgMar w:header="0" w:footer="1239" w:top="1060" w:bottom="1420" w:left="1600" w:right="920"/>
        </w:sectPr>
      </w:pPr>
    </w:p>
    <w:p>
      <w:pPr>
        <w:pStyle w:val="Heading2"/>
        <w:numPr>
          <w:ilvl w:val="1"/>
          <w:numId w:val="2"/>
        </w:numPr>
        <w:tabs>
          <w:tab w:pos="1113" w:val="left" w:leader="none"/>
          <w:tab w:pos="1114" w:val="left" w:leader="none"/>
        </w:tabs>
        <w:spacing w:line="282" w:lineRule="exact" w:before="20" w:after="0"/>
        <w:ind w:left="1114" w:right="0" w:hanging="579"/>
        <w:jc w:val="left"/>
      </w:pPr>
      <w:r>
        <w:rPr>
          <w:spacing w:val="-1"/>
        </w:rPr>
        <w:t>严重急性主动脉夹层血肿</w:t>
      </w:r>
    </w:p>
    <w:p>
      <w:pPr>
        <w:pStyle w:val="BodyText"/>
        <w:spacing w:line="237" w:lineRule="auto"/>
        <w:ind w:left="112" w:right="116" w:firstLine="422"/>
        <w:jc w:val="both"/>
      </w:pPr>
      <w:r>
        <w:rPr/>
        <w:t>指主动脉壁在受到某些病理因素破坏后，高速、高压的主动脉血流将其内膜撕裂，以致主动脉腔内的血流通过主动脉内膜的破裂口进入主动脉内壁而形成血肿。急性主动脉夹层血肿必须明确诊断，并且满足下列所有条件：</w:t>
      </w:r>
    </w:p>
    <w:p>
      <w:pPr>
        <w:pStyle w:val="BodyText"/>
        <w:spacing w:line="279" w:lineRule="exact" w:before="6"/>
        <w:ind w:left="535"/>
      </w:pPr>
      <w:r>
        <w:rPr/>
        <w:t>（</w:t>
      </w:r>
      <w:r>
        <w:rPr>
          <w:rFonts w:ascii="Times New Roman" w:eastAsia="Times New Roman"/>
        </w:rPr>
        <w:t>1</w:t>
      </w:r>
      <w:r>
        <w:rPr/>
        <w:t>）有典型的临床表现；</w:t>
      </w:r>
    </w:p>
    <w:p>
      <w:pPr>
        <w:pStyle w:val="BodyText"/>
        <w:spacing w:line="223" w:lineRule="auto" w:before="11"/>
        <w:ind w:left="112" w:right="115" w:firstLine="422"/>
      </w:pPr>
      <w:r>
        <w:rPr>
          <w:w w:val="100"/>
        </w:rPr>
        <w:t>（</w:t>
      </w:r>
      <w:r>
        <w:rPr>
          <w:rFonts w:ascii="Times New Roman" w:eastAsia="Times New Roman"/>
          <w:w w:val="100"/>
        </w:rPr>
        <w:t>2</w:t>
      </w:r>
      <w:r>
        <w:rPr>
          <w:spacing w:val="-10"/>
          <w:w w:val="100"/>
        </w:rPr>
        <w:t>）</w:t>
      </w:r>
      <w:r>
        <w:rPr>
          <w:spacing w:val="-4"/>
          <w:w w:val="100"/>
        </w:rPr>
        <w:t>有电子计算机断层扫描</w:t>
      </w:r>
      <w:r>
        <w:rPr>
          <w:spacing w:val="-3"/>
          <w:w w:val="100"/>
        </w:rPr>
        <w:t>（</w:t>
      </w:r>
      <w:r>
        <w:rPr>
          <w:rFonts w:ascii="Times New Roman" w:eastAsia="Times New Roman"/>
          <w:w w:val="100"/>
        </w:rPr>
        <w:t>C</w:t>
      </w:r>
      <w:r>
        <w:rPr>
          <w:rFonts w:ascii="Times New Roman" w:eastAsia="Times New Roman"/>
          <w:spacing w:val="-2"/>
          <w:w w:val="100"/>
        </w:rPr>
        <w:t>T</w:t>
      </w:r>
      <w:r>
        <w:rPr>
          <w:spacing w:val="-106"/>
          <w:w w:val="100"/>
        </w:rPr>
        <w:t>）</w:t>
      </w:r>
      <w:r>
        <w:rPr>
          <w:spacing w:val="-5"/>
          <w:w w:val="100"/>
        </w:rPr>
        <w:t>、磁共振扫描</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106"/>
          <w:w w:val="100"/>
        </w:rPr>
        <w:t>）</w:t>
      </w:r>
      <w:r>
        <w:rPr>
          <w:spacing w:val="-4"/>
          <w:w w:val="100"/>
        </w:rPr>
        <w:t>、磁共振血管造影</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A</w:t>
      </w:r>
      <w:r>
        <w:rPr>
          <w:spacing w:val="-106"/>
          <w:w w:val="100"/>
        </w:rPr>
        <w:t>）</w:t>
      </w:r>
      <w:r>
        <w:rPr>
          <w:spacing w:val="-10"/>
          <w:w w:val="100"/>
        </w:rPr>
        <w:t>）</w:t>
      </w:r>
      <w:r>
        <w:rPr>
          <w:spacing w:val="-2"/>
          <w:w w:val="100"/>
        </w:rPr>
        <w:t>等影像学</w:t>
      </w:r>
      <w:r>
        <w:rPr>
          <w:spacing w:val="-3"/>
        </w:rPr>
        <w:t>证据支持诊断；</w:t>
      </w:r>
    </w:p>
    <w:p>
      <w:pPr>
        <w:spacing w:line="223" w:lineRule="auto" w:before="18"/>
        <w:ind w:left="538" w:right="1308" w:hanging="3"/>
        <w:jc w:val="left"/>
        <w:rPr>
          <w:b/>
          <w:sz w:val="21"/>
        </w:rPr>
      </w:pPr>
      <w:r>
        <w:rPr>
          <w:sz w:val="21"/>
        </w:rPr>
        <w:t>（</w:t>
      </w:r>
      <w:r>
        <w:rPr>
          <w:rFonts w:ascii="Times New Roman" w:eastAsia="Times New Roman"/>
          <w:sz w:val="21"/>
        </w:rPr>
        <w:t>3</w:t>
      </w:r>
      <w:r>
        <w:rPr>
          <w:sz w:val="21"/>
        </w:rPr>
        <w:t>）被保险人实际接受了急诊条件下进行的传统或微创开胸或开腹主动脉手术。</w:t>
      </w:r>
      <w:r>
        <w:rPr>
          <w:b/>
          <w:sz w:val="21"/>
        </w:rPr>
        <w:t>慢性期主动脉夹层择期手术、经导管主动脉内介入手术治疗不在保障范围内。</w:t>
      </w:r>
    </w:p>
    <w:p>
      <w:pPr>
        <w:pStyle w:val="BodyText"/>
        <w:spacing w:before="2"/>
        <w:rPr>
          <w:b/>
          <w:sz w:val="18"/>
        </w:rPr>
      </w:pPr>
    </w:p>
    <w:p>
      <w:pPr>
        <w:pStyle w:val="Heading2"/>
        <w:numPr>
          <w:ilvl w:val="1"/>
          <w:numId w:val="2"/>
        </w:numPr>
        <w:tabs>
          <w:tab w:pos="1113" w:val="left" w:leader="none"/>
          <w:tab w:pos="1114" w:val="left" w:leader="none"/>
        </w:tabs>
        <w:spacing w:line="282" w:lineRule="exact" w:before="0" w:after="0"/>
        <w:ind w:left="1114" w:right="0" w:hanging="579"/>
        <w:jc w:val="left"/>
      </w:pPr>
      <w:r>
        <w:rPr>
          <w:spacing w:val="-1"/>
        </w:rPr>
        <w:t>严重慢性缩窄性心包炎</w:t>
      </w:r>
    </w:p>
    <w:p>
      <w:pPr>
        <w:pStyle w:val="BodyText"/>
        <w:spacing w:line="237" w:lineRule="auto"/>
        <w:ind w:left="112" w:right="116" w:firstLine="422"/>
        <w:jc w:val="both"/>
      </w:pPr>
      <w:r>
        <w:rPr/>
        <w:t>由于慢性心包炎症导致心包脏层和壁层广泛瘢痕粘连、增厚和钙化，心包腔闭塞，形成一个纤维瘢痕外壳，使心脏和大血管根部受压，阻碍心脏的舒张。慢性缩窄性心包炎必须被明确诊断并且满足下列所有条件：</w:t>
      </w:r>
    </w:p>
    <w:p>
      <w:pPr>
        <w:pStyle w:val="BodyText"/>
        <w:spacing w:line="279" w:lineRule="exact" w:before="6"/>
        <w:ind w:left="535"/>
      </w:pPr>
      <w:r>
        <w:rPr/>
        <w:t>（</w:t>
      </w:r>
      <w:r>
        <w:rPr>
          <w:rFonts w:ascii="Times New Roman" w:eastAsia="Times New Roman"/>
        </w:rPr>
        <w:t>1</w:t>
      </w:r>
      <w:r>
        <w:rPr/>
        <w:t>）心功能衰竭达到美国纽约心脏病学会心功能状态分级 </w:t>
      </w:r>
      <w:r>
        <w:rPr>
          <w:rFonts w:ascii="Times New Roman" w:eastAsia="Times New Roman"/>
        </w:rPr>
        <w:t>IV  </w:t>
      </w:r>
      <w:r>
        <w:rPr/>
        <w:t>级，并持续 </w:t>
      </w:r>
      <w:r>
        <w:rPr>
          <w:rFonts w:ascii="Times New Roman" w:eastAsia="Times New Roman"/>
        </w:rPr>
        <w:t>180 </w:t>
      </w:r>
      <w:r>
        <w:rPr/>
        <w:t>天以上；</w:t>
      </w:r>
    </w:p>
    <w:p>
      <w:pPr>
        <w:pStyle w:val="BodyText"/>
        <w:spacing w:line="273" w:lineRule="exact"/>
        <w:ind w:left="535"/>
      </w:pPr>
      <w:r>
        <w:rPr/>
        <w:t>（</w:t>
      </w:r>
      <w:r>
        <w:rPr>
          <w:rFonts w:ascii="Times New Roman" w:eastAsia="Times New Roman"/>
        </w:rPr>
        <w:t>2</w:t>
      </w:r>
      <w:r>
        <w:rPr/>
        <w:t>）已经接受了经下列任何一种手术路径进行的开胸心包剥离手术或心包切除手术。</w:t>
      </w:r>
    </w:p>
    <w:p>
      <w:pPr>
        <w:pStyle w:val="BodyText"/>
        <w:spacing w:line="265" w:lineRule="exact"/>
        <w:ind w:left="728" w:right="6337"/>
        <w:jc w:val="center"/>
      </w:pPr>
      <w:r>
        <w:rPr/>
        <w:t>① 胸骨正中切口；</w:t>
      </w:r>
    </w:p>
    <w:p>
      <w:pPr>
        <w:pStyle w:val="BodyText"/>
        <w:spacing w:line="272" w:lineRule="exact"/>
        <w:ind w:left="728" w:right="6337"/>
        <w:jc w:val="center"/>
      </w:pPr>
      <w:r>
        <w:rPr/>
        <w:t>② 双侧前胸切口；</w:t>
      </w:r>
    </w:p>
    <w:p>
      <w:pPr>
        <w:pStyle w:val="BodyText"/>
        <w:spacing w:line="272" w:lineRule="exact"/>
        <w:ind w:left="953"/>
      </w:pPr>
      <w:r>
        <w:rPr/>
        <w:t>③ 左前胸肋间切口。</w:t>
      </w:r>
    </w:p>
    <w:p>
      <w:pPr>
        <w:pStyle w:val="Heading2"/>
        <w:spacing w:line="274" w:lineRule="exact"/>
        <w:ind w:left="538" w:firstLine="0"/>
      </w:pPr>
      <w:r>
        <w:rPr/>
        <w:t>经胸腔镜、胸壁打孔进行的手术、心包粘连松解手术不在保障范围内。</w:t>
      </w:r>
    </w:p>
    <w:p>
      <w:pPr>
        <w:pStyle w:val="BodyText"/>
        <w:spacing w:before="3"/>
        <w:rPr>
          <w:b/>
          <w:sz w:val="18"/>
        </w:rPr>
      </w:pPr>
    </w:p>
    <w:p>
      <w:pPr>
        <w:pStyle w:val="ListParagraph"/>
        <w:numPr>
          <w:ilvl w:val="1"/>
          <w:numId w:val="2"/>
        </w:numPr>
        <w:tabs>
          <w:tab w:pos="1113" w:val="left" w:leader="none"/>
          <w:tab w:pos="1114" w:val="left" w:leader="none"/>
        </w:tabs>
        <w:spacing w:line="281" w:lineRule="exact" w:before="1" w:after="0"/>
        <w:ind w:left="1114" w:right="0" w:hanging="579"/>
        <w:jc w:val="left"/>
        <w:rPr>
          <w:b/>
          <w:sz w:val="21"/>
        </w:rPr>
      </w:pPr>
      <w:r>
        <w:rPr>
          <w:b/>
          <w:sz w:val="21"/>
        </w:rPr>
        <w:t>心脏粘液瘤</w:t>
      </w:r>
    </w:p>
    <w:p>
      <w:pPr>
        <w:pStyle w:val="BodyText"/>
        <w:ind w:left="535" w:right="2462"/>
      </w:pPr>
      <w:r>
        <w:rPr/>
        <w:t>指为了治疗心脏粘液瘤，实际实施了开胸开心心脏粘液瘤切除手术。经导管介入手术治疗不在本保障范围内。</w:t>
      </w:r>
    </w:p>
    <w:p>
      <w:pPr>
        <w:pStyle w:val="BodyText"/>
        <w:spacing w:before="12"/>
        <w:rPr>
          <w:sz w:val="18"/>
        </w:rPr>
      </w:pPr>
    </w:p>
    <w:p>
      <w:pPr>
        <w:pStyle w:val="Heading2"/>
        <w:numPr>
          <w:ilvl w:val="1"/>
          <w:numId w:val="2"/>
        </w:numPr>
        <w:tabs>
          <w:tab w:pos="1113" w:val="left" w:leader="none"/>
          <w:tab w:pos="1114" w:val="left" w:leader="none"/>
        </w:tabs>
        <w:spacing w:line="281" w:lineRule="exact" w:before="1" w:after="0"/>
        <w:ind w:left="1114" w:right="0" w:hanging="579"/>
        <w:jc w:val="left"/>
      </w:pPr>
      <w:r>
        <w:rPr>
          <w:spacing w:val="-8"/>
        </w:rPr>
        <w:t>严重心脏衰竭 </w:t>
      </w:r>
      <w:r>
        <w:rPr>
          <w:rFonts w:ascii="Times New Roman" w:eastAsia="Times New Roman"/>
        </w:rPr>
        <w:t>CRT</w:t>
      </w:r>
      <w:r>
        <w:rPr>
          <w:rFonts w:ascii="Times New Roman" w:eastAsia="Times New Roman"/>
          <w:spacing w:val="-1"/>
        </w:rPr>
        <w:t> </w:t>
      </w:r>
      <w:r>
        <w:rPr/>
        <w:t>心脏再同步治疗</w:t>
      </w:r>
    </w:p>
    <w:p>
      <w:pPr>
        <w:pStyle w:val="BodyText"/>
        <w:spacing w:line="225" w:lineRule="auto" w:before="8"/>
        <w:ind w:left="112" w:right="112" w:firstLine="422"/>
      </w:pPr>
      <w:r>
        <w:rPr>
          <w:spacing w:val="-5"/>
        </w:rPr>
        <w:t>指因缺血性心脏病或扩张性心肌病导致慢性严重心脏衰竭，被保险人实际接受了 </w:t>
      </w:r>
      <w:r>
        <w:rPr>
          <w:rFonts w:ascii="Times New Roman" w:eastAsia="Times New Roman"/>
          <w:spacing w:val="-5"/>
        </w:rPr>
        <w:t>CRT </w:t>
      </w:r>
      <w:r>
        <w:rPr>
          <w:spacing w:val="-7"/>
        </w:rPr>
        <w:t>治疗，以</w:t>
      </w:r>
      <w:r>
        <w:rPr>
          <w:spacing w:val="-5"/>
        </w:rPr>
        <w:t>矫正心室收缩不协调和改善心脏功能。接受治疗之前必须满足下列所有条件：</w:t>
      </w:r>
    </w:p>
    <w:p>
      <w:pPr>
        <w:pStyle w:val="BodyText"/>
        <w:spacing w:line="279" w:lineRule="exact"/>
        <w:ind w:left="535"/>
      </w:pPr>
      <w:r>
        <w:rPr/>
        <w:t>（</w:t>
      </w:r>
      <w:r>
        <w:rPr>
          <w:rFonts w:ascii="Times New Roman" w:eastAsia="Times New Roman"/>
        </w:rPr>
        <w:t>1</w:t>
      </w:r>
      <w:r>
        <w:rPr/>
        <w:t>）心功能衰竭程度达到纽约心脏病学会的心功能分级标准之心功能 </w:t>
      </w:r>
      <w:r>
        <w:rPr>
          <w:rFonts w:ascii="Times New Roman" w:eastAsia="Times New Roman"/>
        </w:rPr>
        <w:t>III </w:t>
      </w:r>
      <w:r>
        <w:rPr/>
        <w:t>级或 </w:t>
      </w:r>
      <w:r>
        <w:rPr>
          <w:rFonts w:ascii="Times New Roman" w:eastAsia="Times New Roman"/>
        </w:rPr>
        <w:t>IV </w:t>
      </w:r>
      <w:r>
        <w:rPr/>
        <w:t>级；</w:t>
      </w:r>
    </w:p>
    <w:p>
      <w:pPr>
        <w:pStyle w:val="BodyText"/>
        <w:spacing w:line="272" w:lineRule="exact"/>
        <w:ind w:left="535"/>
      </w:pPr>
      <w:r>
        <w:rPr/>
        <w:t>（</w:t>
      </w:r>
      <w:r>
        <w:rPr>
          <w:rFonts w:ascii="Times New Roman" w:eastAsia="Times New Roman"/>
        </w:rPr>
        <w:t>2</w:t>
      </w:r>
      <w:r>
        <w:rPr/>
        <w:t>）左室射血分数低于 </w:t>
      </w:r>
      <w:r>
        <w:rPr>
          <w:rFonts w:ascii="Times New Roman" w:eastAsia="Times New Roman"/>
        </w:rPr>
        <w:t>35%</w:t>
      </w:r>
      <w:r>
        <w:rPr/>
        <w:t>；</w:t>
      </w:r>
    </w:p>
    <w:p>
      <w:pPr>
        <w:pStyle w:val="BodyText"/>
        <w:spacing w:line="273" w:lineRule="exact"/>
        <w:ind w:left="535"/>
      </w:pPr>
      <w:r>
        <w:rPr/>
        <w:t>（</w:t>
      </w:r>
      <w:r>
        <w:rPr>
          <w:rFonts w:ascii="Times New Roman" w:hAnsi="Times New Roman" w:eastAsia="Times New Roman"/>
        </w:rPr>
        <w:t>3</w:t>
      </w:r>
      <w:r>
        <w:rPr/>
        <w:t>）左室舒张末期内径</w:t>
      </w:r>
      <w:r>
        <w:rPr>
          <w:rFonts w:ascii="Times New Roman" w:hAnsi="Times New Roman" w:eastAsia="Times New Roman"/>
        </w:rPr>
        <w:t>≥55mm</w:t>
      </w:r>
      <w:r>
        <w:rPr/>
        <w:t>；</w:t>
      </w:r>
    </w:p>
    <w:p>
      <w:pPr>
        <w:pStyle w:val="BodyText"/>
        <w:spacing w:line="273" w:lineRule="exact"/>
        <w:ind w:left="535"/>
      </w:pPr>
      <w:r>
        <w:rPr/>
        <w:t>（</w:t>
      </w:r>
      <w:r>
        <w:rPr>
          <w:rFonts w:ascii="Times New Roman" w:hAnsi="Times New Roman" w:eastAsia="Times New Roman"/>
        </w:rPr>
        <w:t>4</w:t>
      </w:r>
      <w:r>
        <w:rPr/>
        <w:t>）</w:t>
      </w:r>
      <w:r>
        <w:rPr>
          <w:rFonts w:ascii="Times New Roman" w:hAnsi="Times New Roman" w:eastAsia="Times New Roman"/>
        </w:rPr>
        <w:t>QRS </w:t>
      </w:r>
      <w:r>
        <w:rPr/>
        <w:t>时间</w:t>
      </w:r>
      <w:r>
        <w:rPr>
          <w:rFonts w:ascii="Times New Roman" w:hAnsi="Times New Roman" w:eastAsia="Times New Roman"/>
        </w:rPr>
        <w:t>≥130msec</w:t>
      </w:r>
      <w:r>
        <w:rPr/>
        <w:t>；</w:t>
      </w:r>
    </w:p>
    <w:p>
      <w:pPr>
        <w:pStyle w:val="BodyText"/>
        <w:spacing w:line="281" w:lineRule="exact"/>
        <w:ind w:left="535"/>
      </w:pPr>
      <w:r>
        <w:rPr/>
        <w:t>（</w:t>
      </w:r>
      <w:r>
        <w:rPr>
          <w:rFonts w:ascii="Times New Roman" w:eastAsia="Times New Roman"/>
        </w:rPr>
        <w:t>5</w:t>
      </w:r>
      <w:r>
        <w:rPr/>
        <w:t>）药物治疗效果不佳，仍有症状。</w:t>
      </w:r>
    </w:p>
    <w:p>
      <w:pPr>
        <w:pStyle w:val="BodyText"/>
        <w:rPr>
          <w:sz w:val="17"/>
        </w:rPr>
      </w:pPr>
    </w:p>
    <w:p>
      <w:pPr>
        <w:pStyle w:val="Heading2"/>
        <w:numPr>
          <w:ilvl w:val="1"/>
          <w:numId w:val="2"/>
        </w:numPr>
        <w:tabs>
          <w:tab w:pos="1113" w:val="left" w:leader="none"/>
          <w:tab w:pos="1114" w:val="left" w:leader="none"/>
        </w:tabs>
        <w:spacing w:line="282" w:lineRule="exact" w:before="0" w:after="0"/>
        <w:ind w:left="1114" w:right="0" w:hanging="579"/>
        <w:jc w:val="left"/>
      </w:pPr>
      <w:r>
        <w:rPr>
          <w:spacing w:val="-1"/>
        </w:rPr>
        <w:t>完全性房室传导阻滞</w:t>
      </w:r>
    </w:p>
    <w:p>
      <w:pPr>
        <w:pStyle w:val="BodyText"/>
        <w:spacing w:line="230" w:lineRule="auto" w:before="2"/>
        <w:ind w:left="112" w:right="113" w:firstLine="422"/>
        <w:jc w:val="both"/>
      </w:pPr>
      <w:r>
        <w:rPr>
          <w:spacing w:val="-3"/>
        </w:rPr>
        <w:t>指因慢性心脏疾病导致完全性房室传导阻滞。完全性房室传导阻滞是心房的激动不能正常地传</w:t>
      </w:r>
      <w:r>
        <w:rPr>
          <w:spacing w:val="-7"/>
        </w:rPr>
        <w:t>导到心室，造成心室率过于缓慢，出现心力衰竭和因大脑供血不足导致的晕厥、阿</w:t>
      </w:r>
      <w:r>
        <w:rPr>
          <w:rFonts w:ascii="Times New Roman" w:eastAsia="Times New Roman"/>
          <w:spacing w:val="-4"/>
        </w:rPr>
        <w:t>-</w:t>
      </w:r>
      <w:r>
        <w:rPr>
          <w:spacing w:val="-4"/>
        </w:rPr>
        <w:t>斯综合征。必须</w:t>
      </w:r>
      <w:r>
        <w:rPr>
          <w:spacing w:val="-3"/>
        </w:rPr>
        <w:t>明确诊断并且满足下列所有条件：</w:t>
      </w:r>
    </w:p>
    <w:p>
      <w:pPr>
        <w:pStyle w:val="BodyText"/>
        <w:spacing w:line="279" w:lineRule="exact"/>
        <w:ind w:left="535"/>
      </w:pPr>
      <w:r>
        <w:rPr/>
        <w:t>（</w:t>
      </w:r>
      <w:r>
        <w:rPr>
          <w:rFonts w:ascii="Times New Roman" w:eastAsia="Times New Roman"/>
        </w:rPr>
        <w:t>1</w:t>
      </w:r>
      <w:r>
        <w:rPr/>
        <w:t>）患有慢性心脏疾病；</w:t>
      </w:r>
    </w:p>
    <w:p>
      <w:pPr>
        <w:pStyle w:val="BodyText"/>
        <w:spacing w:line="272" w:lineRule="exact"/>
        <w:ind w:left="535"/>
      </w:pPr>
      <w:r>
        <w:rPr/>
        <w:t>（</w:t>
      </w:r>
      <w:r>
        <w:rPr>
          <w:rFonts w:ascii="Times New Roman" w:eastAsia="Times New Roman"/>
        </w:rPr>
        <w:t>2</w:t>
      </w:r>
      <w:r>
        <w:rPr/>
        <w:t>）曾经有晕厥、阿</w:t>
      </w:r>
      <w:r>
        <w:rPr>
          <w:rFonts w:ascii="Times New Roman" w:eastAsia="Times New Roman"/>
        </w:rPr>
        <w:t>-</w:t>
      </w:r>
      <w:r>
        <w:rPr/>
        <w:t>斯综合征发作；</w:t>
      </w:r>
    </w:p>
    <w:p>
      <w:pPr>
        <w:pStyle w:val="BodyText"/>
        <w:spacing w:line="272" w:lineRule="exact"/>
        <w:ind w:left="535"/>
      </w:pPr>
      <w:r>
        <w:rPr/>
        <w:t>（</w:t>
      </w:r>
      <w:r>
        <w:rPr>
          <w:rFonts w:ascii="Times New Roman" w:eastAsia="Times New Roman"/>
        </w:rPr>
        <w:t>3</w:t>
      </w:r>
      <w:r>
        <w:rPr/>
        <w:t>）心电图表现为持续室性逸搏心律，心室率持续低于 </w:t>
      </w:r>
      <w:r>
        <w:rPr>
          <w:rFonts w:ascii="Times New Roman" w:eastAsia="Times New Roman"/>
        </w:rPr>
        <w:t>40 </w:t>
      </w:r>
      <w:r>
        <w:rPr/>
        <w:t>次</w:t>
      </w:r>
      <w:r>
        <w:rPr>
          <w:rFonts w:ascii="Times New Roman" w:eastAsia="Times New Roman"/>
        </w:rPr>
        <w:t>/</w:t>
      </w:r>
      <w:r>
        <w:rPr/>
        <w:t>分；</w:t>
      </w:r>
    </w:p>
    <w:p>
      <w:pPr>
        <w:pStyle w:val="BodyText"/>
        <w:spacing w:line="282" w:lineRule="exact"/>
        <w:ind w:left="535"/>
      </w:pPr>
      <w:r>
        <w:rPr/>
        <w:t>（</w:t>
      </w:r>
      <w:r>
        <w:rPr>
          <w:rFonts w:ascii="Times New Roman" w:eastAsia="Times New Roman"/>
        </w:rPr>
        <w:t>4</w:t>
      </w:r>
      <w:r>
        <w:rPr/>
        <w:t>）已经植入永久性心脏起搏器。</w:t>
      </w:r>
    </w:p>
    <w:p>
      <w:pPr>
        <w:pStyle w:val="BodyText"/>
        <w:rPr>
          <w:sz w:val="17"/>
        </w:rPr>
      </w:pPr>
    </w:p>
    <w:p>
      <w:pPr>
        <w:pStyle w:val="Heading2"/>
        <w:numPr>
          <w:ilvl w:val="1"/>
          <w:numId w:val="2"/>
        </w:numPr>
        <w:tabs>
          <w:tab w:pos="1113" w:val="left" w:leader="none"/>
          <w:tab w:pos="1114" w:val="left" w:leader="none"/>
        </w:tabs>
        <w:spacing w:line="281" w:lineRule="exact" w:before="0" w:after="0"/>
        <w:ind w:left="1114" w:right="0" w:hanging="579"/>
        <w:jc w:val="left"/>
      </w:pPr>
      <w:r>
        <w:rPr>
          <w:spacing w:val="-1"/>
        </w:rPr>
        <w:t>风湿热导致的心脏瓣膜病</w:t>
      </w:r>
    </w:p>
    <w:p>
      <w:pPr>
        <w:pStyle w:val="BodyText"/>
        <w:ind w:left="112" w:right="116" w:firstLine="422"/>
      </w:pPr>
      <w:r>
        <w:rPr/>
        <w:t>指风湿热反复发作并发心脏瓣膜损害，导致慢性心脏瓣膜病，引起心脏瓣膜狭窄、关闭不全。必须满足下列所有条件：</w:t>
      </w:r>
    </w:p>
    <w:p>
      <w:pPr>
        <w:pStyle w:val="BodyText"/>
        <w:spacing w:line="279" w:lineRule="exact" w:before="10"/>
        <w:ind w:left="535"/>
      </w:pPr>
      <w:r>
        <w:rPr/>
        <w:t>（</w:t>
      </w:r>
      <w:r>
        <w:rPr>
          <w:rFonts w:ascii="Times New Roman" w:eastAsia="Times New Roman"/>
        </w:rPr>
        <w:t>1</w:t>
      </w:r>
      <w:r>
        <w:rPr/>
        <w:t>）风湿热病史；</w:t>
      </w:r>
    </w:p>
    <w:p>
      <w:pPr>
        <w:pStyle w:val="BodyText"/>
        <w:spacing w:line="272" w:lineRule="exact"/>
        <w:ind w:left="535"/>
      </w:pPr>
      <w:r>
        <w:rPr/>
        <w:t>（</w:t>
      </w:r>
      <w:r>
        <w:rPr>
          <w:rFonts w:ascii="Times New Roman" w:eastAsia="Times New Roman"/>
        </w:rPr>
        <w:t>2</w:t>
      </w:r>
      <w:r>
        <w:rPr/>
        <w:t>）慢性心脏瓣膜病病史；</w:t>
      </w:r>
    </w:p>
    <w:p>
      <w:pPr>
        <w:pStyle w:val="BodyText"/>
        <w:spacing w:line="272" w:lineRule="exact"/>
        <w:ind w:left="535"/>
      </w:pPr>
      <w:r>
        <w:rPr/>
        <w:t>（</w:t>
      </w:r>
      <w:r>
        <w:rPr>
          <w:rFonts w:ascii="Times New Roman" w:eastAsia="Times New Roman"/>
        </w:rPr>
        <w:t>3</w:t>
      </w:r>
      <w:r>
        <w:rPr/>
        <w:t>）实际接受了开胸开心进行的心脏瓣膜置换手术。</w:t>
      </w:r>
    </w:p>
    <w:p>
      <w:pPr>
        <w:pStyle w:val="Heading2"/>
        <w:spacing w:line="266" w:lineRule="exact"/>
        <w:ind w:left="538" w:firstLine="0"/>
      </w:pPr>
      <w:r>
        <w:rPr/>
        <w:t>经导管进行的瓣膜置换手术或瓣膜成型手术不在保障范围内。</w:t>
      </w:r>
    </w:p>
    <w:p>
      <w:pPr>
        <w:spacing w:after="0" w:line="266" w:lineRule="exact"/>
        <w:sectPr>
          <w:pgSz w:w="11910" w:h="16840"/>
          <w:pgMar w:header="0" w:footer="1239" w:top="1060" w:bottom="1420" w:left="1020" w:right="1580"/>
        </w:sectPr>
      </w:pPr>
    </w:p>
    <w:p>
      <w:pPr>
        <w:pStyle w:val="ListParagraph"/>
        <w:numPr>
          <w:ilvl w:val="1"/>
          <w:numId w:val="2"/>
        </w:numPr>
        <w:tabs>
          <w:tab w:pos="1102" w:val="left" w:leader="none"/>
          <w:tab w:pos="1103" w:val="left" w:leader="none"/>
        </w:tabs>
        <w:spacing w:line="282" w:lineRule="exact" w:before="20" w:after="0"/>
        <w:ind w:left="1102" w:right="0" w:hanging="578"/>
        <w:jc w:val="left"/>
        <w:rPr>
          <w:b/>
          <w:sz w:val="21"/>
        </w:rPr>
      </w:pPr>
      <w:r>
        <w:rPr>
          <w:b/>
          <w:spacing w:val="-2"/>
          <w:sz w:val="21"/>
        </w:rPr>
        <w:t>头臂动脉型多发性大动脉炎旁路移植手术</w:t>
      </w:r>
    </w:p>
    <w:p>
      <w:pPr>
        <w:pStyle w:val="BodyText"/>
        <w:spacing w:line="232" w:lineRule="auto"/>
        <w:ind w:left="102" w:right="103" w:firstLine="422"/>
        <w:jc w:val="both"/>
      </w:pPr>
      <w:r>
        <w:rPr/>
        <w:t>多发性大动脉炎（</w:t>
      </w:r>
      <w:r>
        <w:rPr>
          <w:spacing w:val="-1"/>
        </w:rPr>
        <w:t>高安氏动脉炎</w:t>
      </w:r>
      <w:r>
        <w:rPr/>
        <w:t>）</w:t>
      </w:r>
      <w:r>
        <w:rPr>
          <w:spacing w:val="-2"/>
        </w:rPr>
        <w:t>是一种发生在主动脉和其主要分支的慢性炎症性动脉疾病， </w:t>
      </w:r>
      <w:r>
        <w:rPr>
          <w:spacing w:val="-3"/>
          <w:w w:val="100"/>
        </w:rPr>
        <w:t>表现为受累动脉狭窄或闭塞。头臂动脉型多发性大动脉炎是指多发性大动脉炎头臂动脉型</w:t>
      </w:r>
      <w:r>
        <w:rPr>
          <w:w w:val="100"/>
        </w:rPr>
        <w:t>（</w:t>
      </w:r>
      <w:r>
        <w:rPr>
          <w:rFonts w:ascii="Times New Roman" w:eastAsia="Times New Roman"/>
          <w:w w:val="100"/>
        </w:rPr>
        <w:t>I</w:t>
      </w:r>
      <w:r>
        <w:rPr>
          <w:rFonts w:ascii="Times New Roman" w:eastAsia="Times New Roman"/>
        </w:rPr>
        <w:t> </w:t>
      </w:r>
      <w:r>
        <w:rPr>
          <w:w w:val="100"/>
        </w:rPr>
        <w:t>型</w:t>
      </w:r>
      <w:r>
        <w:rPr>
          <w:spacing w:val="-108"/>
          <w:w w:val="100"/>
        </w:rPr>
        <w:t>）</w:t>
      </w:r>
      <w:r>
        <w:rPr>
          <w:w w:val="100"/>
        </w:rPr>
        <w:t>，</w:t>
      </w:r>
      <w:r>
        <w:rPr>
          <w:spacing w:val="-3"/>
        </w:rPr>
        <w:t>又称为无脉症。被保险人被明确诊断为头臂动脉型多发性大动脉炎并且实际接受了经胸部切开进行的无名动脉</w:t>
      </w:r>
      <w:r>
        <w:rPr/>
        <w:t>（</w:t>
      </w:r>
      <w:r>
        <w:rPr>
          <w:spacing w:val="-3"/>
        </w:rPr>
        <w:t>头臂干</w:t>
      </w:r>
      <w:r>
        <w:rPr>
          <w:spacing w:val="-106"/>
        </w:rPr>
        <w:t>）</w:t>
      </w:r>
      <w:r>
        <w:rPr>
          <w:spacing w:val="-3"/>
        </w:rPr>
        <w:t>、颈总动脉、锁骨下动脉旁路移植手术。</w:t>
      </w:r>
    </w:p>
    <w:p>
      <w:pPr>
        <w:pStyle w:val="Heading2"/>
        <w:spacing w:line="237" w:lineRule="auto" w:before="2"/>
        <w:ind w:left="102" w:right="104" w:firstLine="424"/>
      </w:pPr>
      <w:r>
        <w:rPr/>
        <w:t>非开胸的血管旁路移植手术、因其他病因而进行的旁路移植手术，对其他动脉进行的旁路移植手术，经皮经导管进行的血管内手术不在保障范围内。</w:t>
      </w:r>
    </w:p>
    <w:p>
      <w:pPr>
        <w:pStyle w:val="BodyText"/>
        <w:spacing w:before="3"/>
        <w:rPr>
          <w:b/>
          <w:sz w:val="18"/>
        </w:rPr>
      </w:pPr>
    </w:p>
    <w:p>
      <w:pPr>
        <w:pStyle w:val="ListParagraph"/>
        <w:numPr>
          <w:ilvl w:val="1"/>
          <w:numId w:val="2"/>
        </w:numPr>
        <w:tabs>
          <w:tab w:pos="1102" w:val="left" w:leader="none"/>
          <w:tab w:pos="1103" w:val="left" w:leader="none"/>
        </w:tabs>
        <w:spacing w:line="282" w:lineRule="exact" w:before="0" w:after="0"/>
        <w:ind w:left="1102" w:right="0" w:hanging="578"/>
        <w:jc w:val="left"/>
        <w:rPr>
          <w:b/>
          <w:sz w:val="21"/>
        </w:rPr>
      </w:pPr>
      <w:r>
        <w:rPr>
          <w:b/>
          <w:sz w:val="21"/>
        </w:rPr>
        <w:t>肺淋巴管肌瘤病</w:t>
      </w:r>
    </w:p>
    <w:p>
      <w:pPr>
        <w:pStyle w:val="BodyText"/>
        <w:spacing w:line="237" w:lineRule="auto"/>
        <w:ind w:left="102" w:right="107" w:firstLine="422"/>
      </w:pPr>
      <w:r>
        <w:rPr/>
        <w:t>肺淋巴管肌瘤病是一种弥漫性肺部疾病，其特征性病理表现为囊性病变及不成熟的平滑肌细胞和血管周围上皮细胞异常增生形成多发结节。必须满足下列所有条件：</w:t>
      </w:r>
    </w:p>
    <w:p>
      <w:pPr>
        <w:pStyle w:val="BodyText"/>
        <w:spacing w:line="280" w:lineRule="exact" w:before="6"/>
        <w:ind w:left="524"/>
      </w:pPr>
      <w:r>
        <w:rPr/>
        <w:t>（</w:t>
      </w:r>
      <w:r>
        <w:rPr>
          <w:rFonts w:ascii="Times New Roman" w:eastAsia="Times New Roman"/>
        </w:rPr>
        <w:t>1</w:t>
      </w:r>
      <w:r>
        <w:rPr/>
        <w:t>）经组织病理学检查明确诊断；</w:t>
      </w:r>
    </w:p>
    <w:p>
      <w:pPr>
        <w:pStyle w:val="BodyText"/>
        <w:spacing w:line="272" w:lineRule="exact"/>
        <w:ind w:left="524"/>
      </w:pPr>
      <w:r>
        <w:rPr/>
        <w:t>（</w:t>
      </w:r>
      <w:r>
        <w:rPr>
          <w:rFonts w:ascii="Times New Roman" w:eastAsia="Times New Roman"/>
        </w:rPr>
        <w:t>2</w:t>
      </w:r>
      <w:r>
        <w:rPr/>
        <w:t>）</w:t>
      </w:r>
      <w:r>
        <w:rPr>
          <w:rFonts w:ascii="Times New Roman" w:eastAsia="Times New Roman"/>
        </w:rPr>
        <w:t>CT  </w:t>
      </w:r>
      <w:r>
        <w:rPr/>
        <w:t>显示双肺弥漫性囊性改变；</w:t>
      </w:r>
    </w:p>
    <w:p>
      <w:pPr>
        <w:pStyle w:val="BodyText"/>
        <w:spacing w:line="272" w:lineRule="exact"/>
        <w:ind w:left="524"/>
      </w:pPr>
      <w:r>
        <w:rPr/>
        <w:t>（</w:t>
      </w:r>
      <w:r>
        <w:rPr>
          <w:rFonts w:ascii="Times New Roman" w:eastAsia="Times New Roman"/>
        </w:rPr>
        <w:t>3</w:t>
      </w:r>
      <w:r>
        <w:rPr/>
        <w:t>）肺功能检查显示 </w:t>
      </w:r>
      <w:r>
        <w:rPr>
          <w:rFonts w:ascii="Times New Roman" w:eastAsia="Times New Roman"/>
        </w:rPr>
        <w:t>FEV1 </w:t>
      </w:r>
      <w:r>
        <w:rPr/>
        <w:t>和 </w:t>
      </w:r>
      <w:r>
        <w:rPr>
          <w:rFonts w:ascii="Times New Roman" w:eastAsia="Times New Roman"/>
        </w:rPr>
        <w:t>DLCO</w:t>
      </w:r>
      <w:r>
        <w:rPr/>
        <w:t>（</w:t>
      </w:r>
      <w:r>
        <w:rPr>
          <w:rFonts w:ascii="Times New Roman" w:eastAsia="Times New Roman"/>
        </w:rPr>
        <w:t>CO </w:t>
      </w:r>
      <w:r>
        <w:rPr/>
        <w:t>弥散功能）下降；</w:t>
      </w:r>
    </w:p>
    <w:p>
      <w:pPr>
        <w:spacing w:line="225" w:lineRule="auto" w:before="8"/>
        <w:ind w:left="526" w:right="5502" w:hanging="3"/>
        <w:jc w:val="left"/>
        <w:rPr>
          <w:b/>
          <w:sz w:val="21"/>
        </w:rPr>
      </w:pPr>
      <w:r>
        <w:rPr>
          <w:sz w:val="21"/>
        </w:rPr>
        <w:t>（</w:t>
      </w:r>
      <w:r>
        <w:rPr>
          <w:rFonts w:ascii="Times New Roman" w:eastAsia="Times New Roman"/>
          <w:sz w:val="21"/>
        </w:rPr>
        <w:t>4</w:t>
      </w:r>
      <w:r>
        <w:rPr>
          <w:sz w:val="21"/>
        </w:rPr>
        <w:t>）动脉血气分析显示低氧血症。</w:t>
      </w:r>
      <w:r>
        <w:rPr>
          <w:b/>
          <w:sz w:val="21"/>
        </w:rPr>
        <w:t>疑似肺淋巴管肌瘤病除外。</w:t>
      </w:r>
    </w:p>
    <w:p>
      <w:pPr>
        <w:pStyle w:val="BodyText"/>
        <w:spacing w:before="4"/>
        <w:rPr>
          <w:b/>
          <w:sz w:val="18"/>
        </w:rPr>
      </w:pPr>
    </w:p>
    <w:p>
      <w:pPr>
        <w:pStyle w:val="Heading2"/>
        <w:numPr>
          <w:ilvl w:val="1"/>
          <w:numId w:val="2"/>
        </w:numPr>
        <w:tabs>
          <w:tab w:pos="1102" w:val="left" w:leader="none"/>
          <w:tab w:pos="1103" w:val="left" w:leader="none"/>
        </w:tabs>
        <w:spacing w:line="281" w:lineRule="exact" w:before="0" w:after="0"/>
        <w:ind w:left="1102" w:right="0" w:hanging="578"/>
        <w:jc w:val="left"/>
      </w:pPr>
      <w:r>
        <w:rPr/>
        <w:t>严重肺结节病</w:t>
      </w:r>
    </w:p>
    <w:p>
      <w:pPr>
        <w:pStyle w:val="BodyText"/>
        <w:ind w:left="102" w:right="107" w:firstLine="422"/>
      </w:pPr>
      <w:r>
        <w:rPr/>
        <w:t>结节病是一种原因未明的慢性肉芽肿病，可侵犯全身多个器官，以肺和淋巴结受累最为常见。严重肺结节病表现为肺的广泛纤维化导致慢性呼吸功能衰竭。必须满足下列所有条件：</w:t>
      </w:r>
    </w:p>
    <w:p>
      <w:pPr>
        <w:pStyle w:val="BodyText"/>
        <w:spacing w:line="279" w:lineRule="exact" w:before="9"/>
        <w:ind w:left="524"/>
      </w:pPr>
      <w:r>
        <w:rPr/>
        <w:t>（</w:t>
      </w:r>
      <w:r>
        <w:rPr>
          <w:rFonts w:ascii="Times New Roman" w:eastAsia="Times New Roman"/>
        </w:rPr>
        <w:t>1</w:t>
      </w:r>
      <w:r>
        <w:rPr/>
        <w:t>）肺结节病的 </w:t>
      </w:r>
      <w:r>
        <w:rPr>
          <w:rFonts w:ascii="Times New Roman" w:eastAsia="Times New Roman"/>
        </w:rPr>
        <w:t>X </w:t>
      </w:r>
      <w:r>
        <w:rPr/>
        <w:t>线分期为 </w:t>
      </w:r>
      <w:r>
        <w:rPr>
          <w:rFonts w:ascii="Times New Roman" w:eastAsia="Times New Roman"/>
        </w:rPr>
        <w:t>IV </w:t>
      </w:r>
      <w:r>
        <w:rPr/>
        <w:t>期，即广泛肺纤维化；</w:t>
      </w:r>
    </w:p>
    <w:p>
      <w:pPr>
        <w:pStyle w:val="BodyText"/>
        <w:spacing w:line="223" w:lineRule="auto" w:before="11"/>
        <w:ind w:left="102" w:right="30" w:firstLine="422"/>
      </w:pPr>
      <w:r>
        <w:rPr/>
        <w:t>（</w:t>
      </w:r>
      <w:r>
        <w:rPr>
          <w:rFonts w:ascii="Times New Roman" w:eastAsia="Times New Roman"/>
        </w:rPr>
        <w:t>2</w:t>
      </w:r>
      <w:r>
        <w:rPr/>
        <w:t>）永久不可逆性的慢性呼吸功能衰竭，临床持续 </w:t>
      </w:r>
      <w:r>
        <w:rPr>
          <w:rFonts w:ascii="Times New Roman" w:eastAsia="Times New Roman"/>
        </w:rPr>
        <w:t>180 </w:t>
      </w:r>
      <w:r>
        <w:rPr/>
        <w:t>天动脉血氧分压（</w:t>
      </w:r>
      <w:r>
        <w:rPr>
          <w:rFonts w:ascii="Times New Roman" w:eastAsia="Times New Roman"/>
        </w:rPr>
        <w:t>PaO2</w:t>
      </w:r>
      <w:r>
        <w:rPr/>
        <w:t>）</w:t>
      </w:r>
      <w:r>
        <w:rPr>
          <w:rFonts w:ascii="Times New Roman" w:eastAsia="Times New Roman"/>
        </w:rPr>
        <w:t>&lt;50mmHg </w:t>
      </w:r>
      <w:r>
        <w:rPr/>
        <w:t>和动脉血氧饱和度（</w:t>
      </w:r>
      <w:r>
        <w:rPr>
          <w:rFonts w:ascii="Times New Roman" w:eastAsia="Times New Roman"/>
        </w:rPr>
        <w:t>SaO2</w:t>
      </w:r>
      <w:r>
        <w:rPr/>
        <w:t>）</w:t>
      </w:r>
      <w:r>
        <w:rPr>
          <w:rFonts w:ascii="Times New Roman" w:eastAsia="Times New Roman"/>
        </w:rPr>
        <w:t>&lt;80%</w:t>
      </w:r>
      <w:r>
        <w:rPr/>
        <w:t>。</w:t>
      </w:r>
    </w:p>
    <w:p>
      <w:pPr>
        <w:pStyle w:val="BodyText"/>
        <w:rPr>
          <w:sz w:val="17"/>
        </w:rPr>
      </w:pPr>
    </w:p>
    <w:p>
      <w:pPr>
        <w:pStyle w:val="Heading2"/>
        <w:numPr>
          <w:ilvl w:val="1"/>
          <w:numId w:val="2"/>
        </w:numPr>
        <w:tabs>
          <w:tab w:pos="1102" w:val="left" w:leader="none"/>
          <w:tab w:pos="1103" w:val="left" w:leader="none"/>
        </w:tabs>
        <w:spacing w:line="282" w:lineRule="exact" w:before="0" w:after="0"/>
        <w:ind w:left="1102" w:right="0" w:hanging="578"/>
        <w:jc w:val="left"/>
      </w:pPr>
      <w:r>
        <w:rPr>
          <w:spacing w:val="-1"/>
        </w:rPr>
        <w:t>非阿尔茨海默病至严重痴呆</w:t>
      </w:r>
    </w:p>
    <w:p>
      <w:pPr>
        <w:pStyle w:val="BodyText"/>
        <w:spacing w:line="237" w:lineRule="auto"/>
        <w:ind w:left="102" w:right="107" w:firstLine="422"/>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w:t>
      </w:r>
    </w:p>
    <w:p>
      <w:pPr>
        <w:spacing w:line="240" w:lineRule="auto" w:before="2"/>
        <w:ind w:left="526" w:right="982" w:hanging="3"/>
        <w:jc w:val="left"/>
        <w:rPr>
          <w:b/>
          <w:sz w:val="21"/>
        </w:rPr>
      </w:pPr>
      <w:r>
        <w:rPr>
          <w:sz w:val="21"/>
        </w:rPr>
        <w:t>导致痴呆的疾病必须明确诊断，并且由完整的临床、实验室和影像学检查结果证实。</w:t>
      </w:r>
      <w:r>
        <w:rPr>
          <w:b/>
          <w:sz w:val="21"/>
        </w:rPr>
        <w:t>神经官能症</w:t>
      </w:r>
      <w:r>
        <w:rPr>
          <w:rFonts w:ascii="Times New Roman" w:eastAsia="Times New Roman"/>
          <w:b/>
          <w:sz w:val="21"/>
        </w:rPr>
        <w:t>,</w:t>
      </w:r>
      <w:r>
        <w:rPr>
          <w:b/>
          <w:sz w:val="21"/>
        </w:rPr>
        <w:t>精神疾病及酒精中毒所致脑损害不在保障范围内。</w:t>
      </w:r>
    </w:p>
    <w:p>
      <w:pPr>
        <w:pStyle w:val="BodyText"/>
        <w:rPr>
          <w:b/>
          <w:sz w:val="17"/>
        </w:rPr>
      </w:pPr>
    </w:p>
    <w:p>
      <w:pPr>
        <w:pStyle w:val="Heading2"/>
        <w:numPr>
          <w:ilvl w:val="1"/>
          <w:numId w:val="2"/>
        </w:numPr>
        <w:tabs>
          <w:tab w:pos="1102" w:val="left" w:leader="none"/>
          <w:tab w:pos="1103" w:val="left" w:leader="none"/>
        </w:tabs>
        <w:spacing w:line="281" w:lineRule="exact" w:before="0" w:after="0"/>
        <w:ind w:left="1102" w:right="0" w:hanging="578"/>
        <w:jc w:val="left"/>
      </w:pPr>
      <w:r>
        <w:rPr/>
        <w:t>进行性核上性麻痹</w:t>
      </w:r>
    </w:p>
    <w:p>
      <w:pPr>
        <w:pStyle w:val="BodyText"/>
        <w:spacing w:line="237" w:lineRule="auto"/>
        <w:ind w:left="102" w:right="107" w:firstLine="422"/>
        <w:jc w:val="both"/>
      </w:pPr>
      <w:r>
        <w:rPr/>
        <w:t>进行性核上性麻痹是中枢神经系统变性性疾病，临床表现为眼球运动障碍、假性球麻痹、帕金森综合征等。被保险人自主生活能力完全丧失，无法独立完成六项基本日常生活活动中的三项或三项以上，日常生活必须持续受到他人监护。</w:t>
      </w:r>
    </w:p>
    <w:p>
      <w:pPr>
        <w:pStyle w:val="BodyText"/>
        <w:spacing w:before="10"/>
        <w:rPr>
          <w:sz w:val="18"/>
        </w:rPr>
      </w:pPr>
    </w:p>
    <w:p>
      <w:pPr>
        <w:pStyle w:val="Heading2"/>
        <w:numPr>
          <w:ilvl w:val="1"/>
          <w:numId w:val="2"/>
        </w:numPr>
        <w:tabs>
          <w:tab w:pos="1102" w:val="left" w:leader="none"/>
          <w:tab w:pos="1103" w:val="left" w:leader="none"/>
        </w:tabs>
        <w:spacing w:line="282" w:lineRule="exact" w:before="0" w:after="0"/>
        <w:ind w:left="1102" w:right="0" w:hanging="578"/>
        <w:jc w:val="left"/>
      </w:pPr>
      <w:r>
        <w:rPr>
          <w:spacing w:val="-1"/>
        </w:rPr>
        <w:t>克</w:t>
      </w:r>
      <w:r>
        <w:rPr>
          <w:rFonts w:ascii="Times New Roman" w:eastAsia="Times New Roman"/>
          <w:spacing w:val="-4"/>
        </w:rPr>
        <w:t>-</w:t>
      </w:r>
      <w:r>
        <w:rPr>
          <w:spacing w:val="-1"/>
        </w:rPr>
        <w:t>雅氏病</w:t>
      </w:r>
      <w:r>
        <w:rPr/>
        <w:t>（</w:t>
      </w:r>
      <w:r>
        <w:rPr>
          <w:rFonts w:ascii="Times New Roman" w:eastAsia="Times New Roman"/>
        </w:rPr>
        <w:t>CJD</w:t>
      </w:r>
      <w:r>
        <w:rPr/>
        <w:t>）</w:t>
      </w:r>
    </w:p>
    <w:p>
      <w:pPr>
        <w:pStyle w:val="BodyText"/>
        <w:spacing w:line="225" w:lineRule="auto" w:before="8"/>
        <w:ind w:left="102" w:right="104" w:firstLine="422"/>
        <w:jc w:val="both"/>
      </w:pPr>
      <w:r>
        <w:rPr>
          <w:rFonts w:ascii="Times New Roman" w:eastAsia="Times New Roman"/>
        </w:rPr>
        <w:t>CJD </w:t>
      </w:r>
      <w:r>
        <w:rPr/>
        <w:t>是一种传染性海绵状脑病，临床表现为快速进行性痴呆、肌阵挛和特征性脑电图变化。本病须经三级医院的专科医师根据 </w:t>
      </w:r>
      <w:r>
        <w:rPr>
          <w:rFonts w:ascii="Times New Roman" w:eastAsia="Times New Roman"/>
        </w:rPr>
        <w:t>WHO </w:t>
      </w:r>
      <w:r>
        <w:rPr/>
        <w:t>诊断标准明确诊断，并且被保险人永久不可逆丧失自主生活能力，无法独立完成六项基本日常生活活动中的三项或三项以上。</w:t>
      </w:r>
    </w:p>
    <w:p>
      <w:pPr>
        <w:pStyle w:val="BodyText"/>
        <w:spacing w:before="2"/>
        <w:rPr>
          <w:sz w:val="18"/>
        </w:rPr>
      </w:pPr>
    </w:p>
    <w:p>
      <w:pPr>
        <w:pStyle w:val="Heading2"/>
        <w:numPr>
          <w:ilvl w:val="1"/>
          <w:numId w:val="2"/>
        </w:numPr>
        <w:tabs>
          <w:tab w:pos="1105" w:val="left" w:leader="none"/>
          <w:tab w:pos="1106" w:val="left" w:leader="none"/>
        </w:tabs>
        <w:spacing w:line="281" w:lineRule="exact" w:before="1" w:after="0"/>
        <w:ind w:left="1105" w:right="0" w:hanging="579"/>
        <w:jc w:val="left"/>
      </w:pPr>
      <w:r>
        <w:rPr>
          <w:spacing w:val="-1"/>
        </w:rPr>
        <w:t>亚急性硬化性全脑炎</w:t>
      </w:r>
    </w:p>
    <w:p>
      <w:pPr>
        <w:pStyle w:val="BodyText"/>
        <w:ind w:left="102" w:right="107" w:firstLine="422"/>
      </w:pPr>
      <w:r>
        <w:rPr/>
        <w:t>亚急性硬化性全脑炎是麻疹或麻疹样病毒所致的一种中枢神经系统慢病毒感染。中枢神经系统呈现灰质和白质破坏为特征的慢性和急性混合存在的炎症。必须满足下列所有条件：</w:t>
      </w:r>
    </w:p>
    <w:p>
      <w:pPr>
        <w:pStyle w:val="BodyText"/>
        <w:spacing w:line="225" w:lineRule="auto" w:before="23"/>
        <w:ind w:left="102" w:right="108" w:firstLine="422"/>
      </w:pPr>
      <w:r>
        <w:rPr/>
        <w:t>（</w:t>
      </w:r>
      <w:r>
        <w:rPr>
          <w:rFonts w:ascii="Times New Roman" w:hAnsi="Times New Roman" w:eastAsia="Times New Roman"/>
        </w:rPr>
        <w:t>1</w:t>
      </w:r>
      <w:r>
        <w:rPr/>
        <w:t>）必须由三级医院诊断，临床检查证实脑电图存在周期性复合波、脑脊液 </w:t>
      </w:r>
      <w:r>
        <w:rPr>
          <w:rFonts w:ascii="Times New Roman" w:hAnsi="Times New Roman" w:eastAsia="Times New Roman"/>
        </w:rPr>
        <w:t>Ƴ-</w:t>
      </w:r>
      <w:r>
        <w:rPr/>
        <w:t>球蛋白升高、脑脊液和血清中麻疹抗体滴定度升高；</w:t>
      </w:r>
    </w:p>
    <w:p>
      <w:pPr>
        <w:pStyle w:val="BodyText"/>
        <w:spacing w:line="225" w:lineRule="auto" w:before="13"/>
        <w:ind w:left="102" w:right="109" w:firstLine="422"/>
      </w:pPr>
      <w:r>
        <w:rPr>
          <w:spacing w:val="-9"/>
        </w:rPr>
        <w:t>（</w:t>
      </w:r>
      <w:r>
        <w:rPr>
          <w:rFonts w:ascii="Times New Roman" w:eastAsia="Times New Roman"/>
          <w:spacing w:val="-9"/>
        </w:rPr>
        <w:t>2</w:t>
      </w:r>
      <w:r>
        <w:rPr>
          <w:spacing w:val="-9"/>
        </w:rPr>
        <w:t>）</w:t>
      </w:r>
      <w:r>
        <w:rPr>
          <w:spacing w:val="-6"/>
        </w:rPr>
        <w:t>被保险人出现运动障碍，永久不可逆丧失自主生活能力，无法独立完成六项基本日常生活</w:t>
      </w:r>
      <w:r>
        <w:rPr>
          <w:spacing w:val="-4"/>
        </w:rPr>
        <w:t>活动中的三项或三项以上。</w:t>
      </w:r>
    </w:p>
    <w:p>
      <w:pPr>
        <w:pStyle w:val="BodyText"/>
        <w:spacing w:before="2"/>
        <w:rPr>
          <w:sz w:val="18"/>
        </w:rPr>
      </w:pPr>
    </w:p>
    <w:p>
      <w:pPr>
        <w:pStyle w:val="Heading2"/>
        <w:numPr>
          <w:ilvl w:val="1"/>
          <w:numId w:val="2"/>
        </w:numPr>
        <w:tabs>
          <w:tab w:pos="1102" w:val="left" w:leader="none"/>
          <w:tab w:pos="1103" w:val="left" w:leader="none"/>
        </w:tabs>
        <w:spacing w:line="281" w:lineRule="exact" w:before="1" w:after="0"/>
        <w:ind w:left="1102" w:right="0" w:hanging="578"/>
        <w:jc w:val="left"/>
      </w:pPr>
      <w:r>
        <w:rPr>
          <w:spacing w:val="-2"/>
        </w:rPr>
        <w:t>进行性多灶性白质脑病</w:t>
      </w:r>
    </w:p>
    <w:p>
      <w:pPr>
        <w:pStyle w:val="BodyText"/>
        <w:ind w:left="102" w:right="107" w:firstLine="422"/>
      </w:pPr>
      <w:r>
        <w:rPr/>
        <w:t>进行性多灶性白质脑病是一种亚急性脱髓鞘脑病，常发生于免疫缺陷病人。必须满足下列所有条件：</w:t>
      </w:r>
    </w:p>
    <w:p>
      <w:pPr>
        <w:spacing w:after="0"/>
        <w:sectPr>
          <w:pgSz w:w="11910" w:h="16840"/>
          <w:pgMar w:header="0" w:footer="1239" w:top="1060" w:bottom="1420" w:left="1600" w:right="1020"/>
        </w:sectPr>
      </w:pPr>
    </w:p>
    <w:p>
      <w:pPr>
        <w:pStyle w:val="BodyText"/>
        <w:spacing w:line="282" w:lineRule="exact" w:before="20"/>
        <w:ind w:left="535"/>
      </w:pPr>
      <w:r>
        <w:rPr/>
        <w:t>（</w:t>
      </w:r>
      <w:r>
        <w:rPr>
          <w:rFonts w:ascii="Times New Roman" w:eastAsia="Times New Roman"/>
        </w:rPr>
        <w:t>1</w:t>
      </w:r>
      <w:r>
        <w:rPr/>
        <w:t>）根据脑组织活检确诊；</w:t>
      </w:r>
    </w:p>
    <w:p>
      <w:pPr>
        <w:pStyle w:val="BodyText"/>
        <w:spacing w:line="282" w:lineRule="exact"/>
        <w:ind w:left="535"/>
      </w:pPr>
      <w:r>
        <w:rPr>
          <w:w w:val="100"/>
        </w:rPr>
        <w:t>（</w:t>
      </w:r>
      <w:r>
        <w:rPr>
          <w:rFonts w:ascii="Times New Roman" w:eastAsia="Times New Roman"/>
          <w:w w:val="100"/>
        </w:rPr>
        <w:t>2</w:t>
      </w:r>
      <w:r>
        <w:rPr>
          <w:spacing w:val="-87"/>
          <w:w w:val="100"/>
        </w:rPr>
        <w:t>）</w:t>
      </w:r>
      <w:r>
        <w:rPr>
          <w:spacing w:val="-10"/>
          <w:w w:val="100"/>
        </w:rPr>
        <w:t>永久不可逆丧失自主生活能力，无法独立完成六项基本日常生活活动中的三项或三项以上。</w:t>
      </w:r>
    </w:p>
    <w:p>
      <w:pPr>
        <w:pStyle w:val="BodyText"/>
        <w:spacing w:before="1"/>
        <w:rPr>
          <w:sz w:val="17"/>
        </w:rPr>
      </w:pPr>
    </w:p>
    <w:p>
      <w:pPr>
        <w:pStyle w:val="Heading2"/>
        <w:numPr>
          <w:ilvl w:val="1"/>
          <w:numId w:val="2"/>
        </w:numPr>
        <w:tabs>
          <w:tab w:pos="1113" w:val="left" w:leader="none"/>
          <w:tab w:pos="1114" w:val="left" w:leader="none"/>
        </w:tabs>
        <w:spacing w:line="282" w:lineRule="exact" w:before="0" w:after="0"/>
        <w:ind w:left="1114" w:right="0" w:hanging="579"/>
        <w:jc w:val="left"/>
      </w:pPr>
      <w:r>
        <w:rPr>
          <w:spacing w:val="-1"/>
        </w:rPr>
        <w:t>丧失独立生活能力 </w:t>
      </w:r>
      <w:r>
        <w:rPr>
          <w:rFonts w:ascii="Times New Roman" w:hAnsi="Times New Roman" w:eastAsia="Times New Roman"/>
        </w:rPr>
        <w:t>–  </w:t>
      </w:r>
      <w:r>
        <w:rPr/>
        <w:t>六岁始理赔</w:t>
      </w:r>
    </w:p>
    <w:p>
      <w:pPr>
        <w:pStyle w:val="BodyText"/>
        <w:spacing w:line="237" w:lineRule="auto"/>
        <w:ind w:left="112" w:right="216" w:firstLine="422"/>
      </w:pPr>
      <w:r>
        <w:rPr/>
        <w:t>指由于疾病或外伤导致被保险人永久不可逆的完全丧失独立生活能力，无法独立完成基本日常生活活动中的四项或四项以上。</w:t>
      </w:r>
    </w:p>
    <w:p>
      <w:pPr>
        <w:pStyle w:val="BodyText"/>
        <w:spacing w:line="271" w:lineRule="exact" w:before="6"/>
        <w:ind w:left="535"/>
      </w:pPr>
      <w:r>
        <w:rPr/>
        <w:t>被保险人理赔时年龄在六周岁以上。</w:t>
      </w:r>
    </w:p>
    <w:p>
      <w:pPr>
        <w:pStyle w:val="BodyText"/>
        <w:spacing w:before="5"/>
        <w:rPr>
          <w:sz w:val="18"/>
        </w:rPr>
      </w:pPr>
    </w:p>
    <w:p>
      <w:pPr>
        <w:pStyle w:val="Heading2"/>
        <w:numPr>
          <w:ilvl w:val="1"/>
          <w:numId w:val="2"/>
        </w:numPr>
        <w:tabs>
          <w:tab w:pos="1113" w:val="left" w:leader="none"/>
          <w:tab w:pos="1114" w:val="left" w:leader="none"/>
        </w:tabs>
        <w:spacing w:line="281" w:lineRule="exact" w:before="0" w:after="0"/>
        <w:ind w:left="1114" w:right="0" w:hanging="579"/>
        <w:jc w:val="left"/>
      </w:pPr>
      <w:r>
        <w:rPr/>
        <w:t>脊髓小脑变性症</w:t>
      </w:r>
    </w:p>
    <w:p>
      <w:pPr>
        <w:pStyle w:val="BodyText"/>
        <w:ind w:left="112" w:right="216" w:firstLine="422"/>
      </w:pPr>
      <w:r>
        <w:rPr/>
        <w:t>脊髓小脑变性症为一组以小脑萎缩和共济失调为主要临床特点的多与遗传有关的疾病。必须满足下列所有条件：</w:t>
      </w:r>
    </w:p>
    <w:p>
      <w:pPr>
        <w:pStyle w:val="BodyText"/>
        <w:spacing w:line="277" w:lineRule="exact" w:before="10"/>
        <w:ind w:left="535"/>
      </w:pPr>
      <w:r>
        <w:rPr/>
        <w:t>（</w:t>
      </w:r>
      <w:r>
        <w:rPr>
          <w:rFonts w:ascii="Times New Roman" w:eastAsia="Times New Roman"/>
        </w:rPr>
        <w:t>1</w:t>
      </w:r>
      <w:r>
        <w:rPr/>
        <w:t>）脊髓小脑变性症必须由三级医院诊断，并有下列所有证据支持：</w:t>
      </w:r>
    </w:p>
    <w:p>
      <w:pPr>
        <w:pStyle w:val="BodyText"/>
        <w:spacing w:line="264" w:lineRule="exact"/>
        <w:ind w:left="953"/>
      </w:pPr>
      <w:r>
        <w:rPr/>
        <w:t>① 影像学检查证实存在小脑萎缩；</w:t>
      </w:r>
    </w:p>
    <w:p>
      <w:pPr>
        <w:pStyle w:val="BodyText"/>
        <w:spacing w:line="272" w:lineRule="exact"/>
        <w:ind w:left="953"/>
      </w:pPr>
      <w:r>
        <w:rPr/>
        <w:t>② 临床表现存在共济失调、语言障碍和肌张力异常；</w:t>
      </w:r>
    </w:p>
    <w:p>
      <w:pPr>
        <w:pStyle w:val="BodyText"/>
        <w:spacing w:line="225" w:lineRule="auto" w:before="15"/>
        <w:ind w:left="112" w:right="217" w:firstLine="422"/>
      </w:pPr>
      <w:r>
        <w:rPr>
          <w:spacing w:val="-9"/>
        </w:rPr>
        <w:t>（</w:t>
      </w:r>
      <w:r>
        <w:rPr>
          <w:rFonts w:ascii="Times New Roman" w:eastAsia="Times New Roman"/>
          <w:spacing w:val="-9"/>
        </w:rPr>
        <w:t>2</w:t>
      </w:r>
      <w:r>
        <w:rPr>
          <w:spacing w:val="-9"/>
        </w:rPr>
        <w:t>）</w:t>
      </w:r>
      <w:r>
        <w:rPr>
          <w:spacing w:val="-6"/>
        </w:rPr>
        <w:t>被保险人运动功能严重障碍，自主生活能力完全丧失，无法独立完成六项基本日常生活活</w:t>
      </w:r>
      <w:r>
        <w:rPr>
          <w:spacing w:val="-4"/>
        </w:rPr>
        <w:t>动中的三项或三项以上。</w:t>
      </w:r>
    </w:p>
    <w:p>
      <w:pPr>
        <w:pStyle w:val="BodyText"/>
        <w:spacing w:before="3"/>
        <w:rPr>
          <w:sz w:val="18"/>
        </w:rPr>
      </w:pPr>
    </w:p>
    <w:p>
      <w:pPr>
        <w:pStyle w:val="Heading2"/>
        <w:numPr>
          <w:ilvl w:val="1"/>
          <w:numId w:val="2"/>
        </w:numPr>
        <w:tabs>
          <w:tab w:pos="1113" w:val="left" w:leader="none"/>
          <w:tab w:pos="1114" w:val="left" w:leader="none"/>
        </w:tabs>
        <w:spacing w:line="281" w:lineRule="exact" w:before="0" w:after="0"/>
        <w:ind w:left="1114" w:right="0" w:hanging="579"/>
        <w:jc w:val="left"/>
      </w:pPr>
      <w:r>
        <w:rPr/>
        <w:t>神经白塞病</w:t>
      </w:r>
    </w:p>
    <w:p>
      <w:pPr>
        <w:pStyle w:val="BodyText"/>
        <w:spacing w:line="237" w:lineRule="auto"/>
        <w:ind w:left="112" w:right="216" w:firstLine="422"/>
        <w:jc w:val="both"/>
      </w:pPr>
      <w:r>
        <w:rPr/>
        <w:t>白塞病是一种慢性全身性血管炎症性疾病，主要表现为复发性口腔溃疡、生殖器溃疡、眼炎及皮肤损害，并可累及大血管、神经系统、消化道、肺、肾等等。累及神经系统损害的白塞病称为神经白塞病。神经白塞病必须明确诊断，并且已经造成永久不可逆的神经系统功能损害。永久不可逆的神经系统损害指被保险人持续 </w:t>
      </w:r>
      <w:r>
        <w:rPr>
          <w:rFonts w:ascii="Times New Roman" w:eastAsia="Times New Roman"/>
        </w:rPr>
        <w:t>180 </w:t>
      </w:r>
      <w:r>
        <w:rPr/>
        <w:t>天无法独立完成下列基本日常生活活动之一或全部：</w:t>
      </w:r>
    </w:p>
    <w:p>
      <w:pPr>
        <w:pStyle w:val="BodyText"/>
        <w:spacing w:line="263" w:lineRule="exact" w:before="7"/>
        <w:ind w:left="535"/>
      </w:pPr>
      <w:r>
        <w:rPr/>
        <w:t>（</w:t>
      </w:r>
      <w:r>
        <w:rPr>
          <w:rFonts w:ascii="Times New Roman" w:eastAsia="Times New Roman"/>
        </w:rPr>
        <w:t>1</w:t>
      </w:r>
      <w:r>
        <w:rPr/>
        <w:t>）移动：自己从一个房间到另一个房间；</w:t>
      </w:r>
    </w:p>
    <w:p>
      <w:pPr>
        <w:pStyle w:val="BodyText"/>
        <w:spacing w:line="282" w:lineRule="exact"/>
        <w:ind w:left="535"/>
      </w:pPr>
      <w:r>
        <w:rPr/>
        <w:t>（</w:t>
      </w:r>
      <w:r>
        <w:rPr>
          <w:rFonts w:ascii="Times New Roman" w:eastAsia="Times New Roman"/>
        </w:rPr>
        <w:t>2</w:t>
      </w:r>
      <w:r>
        <w:rPr/>
        <w:t>）进食：自己从已准备好的碗或碟中取食物放入口中。</w:t>
      </w:r>
    </w:p>
    <w:p>
      <w:pPr>
        <w:pStyle w:val="BodyText"/>
        <w:spacing w:before="1"/>
        <w:rPr>
          <w:sz w:val="17"/>
        </w:rPr>
      </w:pPr>
    </w:p>
    <w:p>
      <w:pPr>
        <w:pStyle w:val="Heading2"/>
        <w:numPr>
          <w:ilvl w:val="1"/>
          <w:numId w:val="2"/>
        </w:numPr>
        <w:tabs>
          <w:tab w:pos="1113" w:val="left" w:leader="none"/>
          <w:tab w:pos="1114" w:val="left" w:leader="none"/>
        </w:tabs>
        <w:spacing w:line="281" w:lineRule="exact" w:before="0" w:after="0"/>
        <w:ind w:left="1114" w:right="0" w:hanging="579"/>
        <w:jc w:val="left"/>
      </w:pPr>
      <w:r>
        <w:rPr/>
        <w:t>脊髓内肿瘤</w:t>
      </w:r>
    </w:p>
    <w:p>
      <w:pPr>
        <w:pStyle w:val="BodyText"/>
        <w:spacing w:line="264" w:lineRule="exact"/>
        <w:ind w:left="535"/>
      </w:pPr>
      <w:r>
        <w:rPr/>
        <w:t>指脊髓内良性或恶性肿瘤。肿瘤造成脊髓损害导致瘫痪。须满足下列所有条件：</w:t>
      </w:r>
    </w:p>
    <w:p>
      <w:pPr>
        <w:pStyle w:val="BodyText"/>
        <w:spacing w:line="280" w:lineRule="exact"/>
        <w:ind w:left="535"/>
      </w:pPr>
      <w:r>
        <w:rPr/>
        <w:t>（</w:t>
      </w:r>
      <w:r>
        <w:rPr>
          <w:rFonts w:ascii="Times New Roman" w:eastAsia="Times New Roman"/>
        </w:rPr>
        <w:t>1</w:t>
      </w:r>
      <w:r>
        <w:rPr/>
        <w:t>）被保险人实际接受了肿瘤切除的手术治疗；</w:t>
      </w:r>
    </w:p>
    <w:p>
      <w:pPr>
        <w:pStyle w:val="BodyText"/>
        <w:spacing w:line="272" w:lineRule="exact"/>
        <w:ind w:left="535"/>
      </w:pPr>
      <w:r>
        <w:rPr/>
        <w:t>（</w:t>
      </w:r>
      <w:r>
        <w:rPr>
          <w:rFonts w:ascii="Times New Roman" w:eastAsia="Times New Roman"/>
        </w:rPr>
        <w:t>2</w:t>
      </w:r>
      <w:r>
        <w:rPr/>
        <w:t>）手术</w:t>
      </w:r>
      <w:r>
        <w:rPr>
          <w:rFonts w:ascii="Times New Roman" w:eastAsia="Times New Roman"/>
        </w:rPr>
        <w:t>180</w:t>
      </w:r>
      <w:r>
        <w:rPr/>
        <w:t>天后遗留神经系统损害，无法独立完成下列基本日常生活活动之一或全部：</w:t>
      </w:r>
    </w:p>
    <w:p>
      <w:pPr>
        <w:pStyle w:val="BodyText"/>
        <w:spacing w:line="264" w:lineRule="exact"/>
        <w:ind w:left="953"/>
      </w:pPr>
      <w:r>
        <w:rPr/>
        <w:t>① 移动：自己从一个房间到另一个房间；</w:t>
      </w:r>
    </w:p>
    <w:p>
      <w:pPr>
        <w:pStyle w:val="BodyText"/>
        <w:spacing w:line="273" w:lineRule="exact"/>
        <w:ind w:left="953"/>
      </w:pPr>
      <w:r>
        <w:rPr/>
        <w:t>② 进食：自己从已准备好的碗或碟中取食物放入口中。</w:t>
      </w:r>
    </w:p>
    <w:p>
      <w:pPr>
        <w:pStyle w:val="Heading2"/>
        <w:spacing w:line="274" w:lineRule="exact"/>
        <w:ind w:left="538" w:firstLine="0"/>
      </w:pPr>
      <w:r>
        <w:rPr/>
        <w:t>非脊髓内的其他椎管内肿瘤、脊柱肿瘤、神经纤维瘤不在保障范围内。</w:t>
      </w:r>
    </w:p>
    <w:p>
      <w:pPr>
        <w:pStyle w:val="BodyText"/>
        <w:spacing w:before="3"/>
        <w:rPr>
          <w:b/>
          <w:sz w:val="18"/>
        </w:rPr>
      </w:pPr>
    </w:p>
    <w:p>
      <w:pPr>
        <w:pStyle w:val="ListParagraph"/>
        <w:numPr>
          <w:ilvl w:val="1"/>
          <w:numId w:val="2"/>
        </w:numPr>
        <w:tabs>
          <w:tab w:pos="1113" w:val="left" w:leader="none"/>
          <w:tab w:pos="1114" w:val="left" w:leader="none"/>
        </w:tabs>
        <w:spacing w:line="281" w:lineRule="exact" w:before="0" w:after="0"/>
        <w:ind w:left="1114" w:right="0" w:hanging="579"/>
        <w:jc w:val="left"/>
        <w:rPr>
          <w:b/>
          <w:sz w:val="21"/>
        </w:rPr>
      </w:pPr>
      <w:r>
        <w:rPr>
          <w:b/>
          <w:spacing w:val="-2"/>
          <w:sz w:val="21"/>
        </w:rPr>
        <w:t>横贯性脊髓炎后遗症</w:t>
      </w:r>
    </w:p>
    <w:p>
      <w:pPr>
        <w:pStyle w:val="BodyText"/>
        <w:spacing w:line="232" w:lineRule="auto"/>
        <w:ind w:left="112" w:right="215" w:firstLine="422"/>
        <w:jc w:val="both"/>
      </w:pPr>
      <w:r>
        <w:rPr>
          <w:spacing w:val="-3"/>
        </w:rPr>
        <w:t>脊髓炎是一种炎症性脊髓疾病。横贯性脊髓炎是指炎症扩展横贯整个脊髓，表现为运动障碍、感觉障碍和自主神经功能障碍。横断性脊髓炎必须明确诊断，并且已经造成永久不可逆的神经系统</w:t>
      </w:r>
      <w:r>
        <w:rPr>
          <w:spacing w:val="-10"/>
        </w:rPr>
        <w:t>功能损害。永久不可逆的神经系统损害指被保险人持续</w:t>
      </w:r>
      <w:r>
        <w:rPr>
          <w:rFonts w:ascii="Times New Roman" w:eastAsia="Times New Roman"/>
        </w:rPr>
        <w:t>180</w:t>
      </w:r>
      <w:r>
        <w:rPr>
          <w:spacing w:val="-3"/>
        </w:rPr>
        <w:t>天无法独立完成下列基本日常生活活动之一或全部：</w:t>
      </w:r>
    </w:p>
    <w:p>
      <w:pPr>
        <w:pStyle w:val="BodyText"/>
        <w:spacing w:line="279" w:lineRule="exact" w:before="1"/>
        <w:ind w:left="535"/>
      </w:pPr>
      <w:r>
        <w:rPr/>
        <w:t>（</w:t>
      </w:r>
      <w:r>
        <w:rPr>
          <w:rFonts w:ascii="Times New Roman" w:eastAsia="Times New Roman"/>
        </w:rPr>
        <w:t>1</w:t>
      </w:r>
      <w:r>
        <w:rPr/>
        <w:t>）移动：自己从一个房间到另一个房间；</w:t>
      </w:r>
    </w:p>
    <w:p>
      <w:pPr>
        <w:pStyle w:val="BodyText"/>
        <w:spacing w:line="282" w:lineRule="exact"/>
        <w:ind w:left="535"/>
      </w:pPr>
      <w:r>
        <w:rPr/>
        <w:t>（</w:t>
      </w:r>
      <w:r>
        <w:rPr>
          <w:rFonts w:ascii="Times New Roman" w:eastAsia="Times New Roman"/>
        </w:rPr>
        <w:t>2</w:t>
      </w:r>
      <w:r>
        <w:rPr/>
        <w:t>）进食：自己从已准备好的碗或碟中取食物放入口中。</w:t>
      </w:r>
    </w:p>
    <w:p>
      <w:pPr>
        <w:pStyle w:val="BodyText"/>
        <w:spacing w:before="1"/>
        <w:rPr>
          <w:sz w:val="17"/>
        </w:rPr>
      </w:pPr>
    </w:p>
    <w:p>
      <w:pPr>
        <w:pStyle w:val="Heading2"/>
        <w:numPr>
          <w:ilvl w:val="1"/>
          <w:numId w:val="2"/>
        </w:numPr>
        <w:tabs>
          <w:tab w:pos="1113" w:val="left" w:leader="none"/>
          <w:tab w:pos="1114" w:val="left" w:leader="none"/>
        </w:tabs>
        <w:spacing w:line="281" w:lineRule="exact" w:before="0" w:after="0"/>
        <w:ind w:left="1114" w:right="0" w:hanging="579"/>
        <w:jc w:val="left"/>
      </w:pPr>
      <w:r>
        <w:rPr/>
        <w:t>脊（延）</w:t>
      </w:r>
      <w:r>
        <w:rPr>
          <w:spacing w:val="-1"/>
        </w:rPr>
        <w:t>髓空洞症</w:t>
      </w:r>
    </w:p>
    <w:p>
      <w:pPr>
        <w:pStyle w:val="BodyText"/>
        <w:spacing w:line="232" w:lineRule="auto"/>
        <w:ind w:left="112" w:right="215" w:firstLine="422"/>
        <w:jc w:val="both"/>
      </w:pPr>
      <w:r>
        <w:rPr>
          <w:spacing w:val="-3"/>
        </w:rPr>
        <w:t>脊髓空洞症为慢性进行性的脊髓变性性疾病，其特征为脊髓内空洞形成。表现为感觉异常、肌萎缩及神经营养障碍。脊髓空洞症累及延髓的称为延髓空洞症，表现为延髓麻痹。脊髓空洞症必须</w:t>
      </w:r>
      <w:r>
        <w:rPr>
          <w:spacing w:val="-6"/>
        </w:rPr>
        <w:t>明确诊断并且造成永久不可逆的神经系统功能障碍，存在持续至少</w:t>
      </w:r>
      <w:r>
        <w:rPr>
          <w:rFonts w:ascii="Times New Roman" w:eastAsia="Times New Roman"/>
        </w:rPr>
        <w:t>180</w:t>
      </w:r>
      <w:r>
        <w:rPr>
          <w:spacing w:val="-3"/>
        </w:rPr>
        <w:t>天以上的神经系统功能缺失并满足下列任何一项基本日常生活活动：</w:t>
      </w:r>
    </w:p>
    <w:p>
      <w:pPr>
        <w:pStyle w:val="BodyText"/>
        <w:spacing w:line="279" w:lineRule="exact" w:before="1"/>
        <w:ind w:left="535"/>
      </w:pPr>
      <w:r>
        <w:rPr/>
        <w:t>（</w:t>
      </w:r>
      <w:r>
        <w:rPr>
          <w:rFonts w:ascii="Times New Roman" w:eastAsia="Times New Roman"/>
        </w:rPr>
        <w:t>1</w:t>
      </w:r>
      <w:r>
        <w:rPr/>
        <w:t>）延髓麻痹呈现显著舌肌萎缩、构音困难和吞咽困难；</w:t>
      </w:r>
    </w:p>
    <w:p>
      <w:pPr>
        <w:pStyle w:val="BodyText"/>
        <w:spacing w:line="282" w:lineRule="exact"/>
        <w:ind w:left="535"/>
      </w:pPr>
      <w:r>
        <w:rPr/>
        <w:t>（</w:t>
      </w:r>
      <w:r>
        <w:rPr>
          <w:rFonts w:ascii="Times New Roman" w:hAnsi="Times New Roman" w:eastAsia="Times New Roman"/>
        </w:rPr>
        <w:t>2</w:t>
      </w:r>
      <w:r>
        <w:rPr/>
        <w:t>）双手萎缩呈</w:t>
      </w:r>
      <w:r>
        <w:rPr>
          <w:rFonts w:ascii="Times New Roman" w:hAnsi="Times New Roman" w:eastAsia="Times New Roman"/>
        </w:rPr>
        <w:t>“</w:t>
      </w:r>
      <w:r>
        <w:rPr/>
        <w:t>爪形手</w:t>
      </w:r>
      <w:r>
        <w:rPr>
          <w:rFonts w:ascii="Times New Roman" w:hAnsi="Times New Roman" w:eastAsia="Times New Roman"/>
        </w:rPr>
        <w:t>”</w:t>
      </w:r>
      <w:r>
        <w:rPr/>
        <w:t>，且肌力 </w:t>
      </w:r>
      <w:r>
        <w:rPr>
          <w:rFonts w:ascii="Times New Roman" w:hAnsi="Times New Roman" w:eastAsia="Times New Roman"/>
        </w:rPr>
        <w:t>2 </w:t>
      </w:r>
      <w:r>
        <w:rPr/>
        <w:t>级或以下。</w:t>
      </w:r>
    </w:p>
    <w:p>
      <w:pPr>
        <w:pStyle w:val="BodyText"/>
        <w:spacing w:before="1"/>
        <w:rPr>
          <w:sz w:val="17"/>
        </w:rPr>
      </w:pPr>
    </w:p>
    <w:p>
      <w:pPr>
        <w:pStyle w:val="Heading2"/>
        <w:numPr>
          <w:ilvl w:val="1"/>
          <w:numId w:val="2"/>
        </w:numPr>
        <w:tabs>
          <w:tab w:pos="1113" w:val="left" w:leader="none"/>
          <w:tab w:pos="1114" w:val="left" w:leader="none"/>
        </w:tabs>
        <w:spacing w:line="281" w:lineRule="exact" w:before="0" w:after="0"/>
        <w:ind w:left="1114" w:right="0" w:hanging="579"/>
        <w:jc w:val="left"/>
      </w:pPr>
      <w:r>
        <w:rPr>
          <w:spacing w:val="-1"/>
        </w:rPr>
        <w:t>脊髓血管病后遗症</w:t>
      </w:r>
    </w:p>
    <w:p>
      <w:pPr>
        <w:pStyle w:val="BodyText"/>
        <w:ind w:left="112" w:right="215" w:firstLine="422"/>
      </w:pPr>
      <w:r>
        <w:rPr>
          <w:spacing w:val="-3"/>
        </w:rPr>
        <w:t>指脊髓血管的突发病变引起脊髓梗塞或脊髓出血，导致永久性不可逆的神经系统功能损害，表</w:t>
      </w:r>
      <w:r>
        <w:rPr>
          <w:spacing w:val="-7"/>
        </w:rPr>
        <w:t>现为截瘫或四肢瘫。神经系统永久性的功能障碍指疾病确诊</w:t>
      </w:r>
      <w:r>
        <w:rPr>
          <w:rFonts w:ascii="Times New Roman" w:eastAsia="Times New Roman"/>
        </w:rPr>
        <w:t>180</w:t>
      </w:r>
      <w:r>
        <w:rPr>
          <w:spacing w:val="-7"/>
        </w:rPr>
        <w:t>天后，仍然遗留后遗症并且无法独立</w:t>
      </w:r>
    </w:p>
    <w:p>
      <w:pPr>
        <w:spacing w:after="0"/>
        <w:sectPr>
          <w:pgSz w:w="11910" w:h="16840"/>
          <w:pgMar w:header="0" w:footer="1239" w:top="1060" w:bottom="1420" w:left="1020" w:right="1480"/>
        </w:sectPr>
      </w:pPr>
    </w:p>
    <w:p>
      <w:pPr>
        <w:pStyle w:val="BodyText"/>
        <w:spacing w:line="274" w:lineRule="exact" w:before="20"/>
        <w:ind w:left="102"/>
      </w:pPr>
      <w:r>
        <w:rPr/>
        <w:t>完成下列基本日常生活活动之一或全部：</w:t>
      </w:r>
    </w:p>
    <w:p>
      <w:pPr>
        <w:pStyle w:val="BodyText"/>
        <w:spacing w:line="281" w:lineRule="exact"/>
        <w:ind w:left="524"/>
      </w:pPr>
      <w:r>
        <w:rPr/>
        <w:t>（</w:t>
      </w:r>
      <w:r>
        <w:rPr>
          <w:rFonts w:ascii="Times New Roman" w:eastAsia="Times New Roman"/>
        </w:rPr>
        <w:t>1</w:t>
      </w:r>
      <w:r>
        <w:rPr/>
        <w:t>）移动：自己从一个房间到另一个房间；</w:t>
      </w:r>
    </w:p>
    <w:p>
      <w:pPr>
        <w:pStyle w:val="BodyText"/>
        <w:spacing w:line="281" w:lineRule="exact"/>
        <w:ind w:left="524"/>
      </w:pPr>
      <w:r>
        <w:rPr/>
        <w:t>（</w:t>
      </w:r>
      <w:r>
        <w:rPr>
          <w:rFonts w:ascii="Times New Roman" w:eastAsia="Times New Roman"/>
        </w:rPr>
        <w:t>2</w:t>
      </w:r>
      <w:r>
        <w:rPr/>
        <w:t>）进食：自己从已准备好的碗或碟中取食物放入口中。</w:t>
      </w:r>
    </w:p>
    <w:p>
      <w:pPr>
        <w:pStyle w:val="BodyText"/>
        <w:spacing w:before="2"/>
        <w:rPr>
          <w:sz w:val="17"/>
        </w:rPr>
      </w:pPr>
    </w:p>
    <w:p>
      <w:pPr>
        <w:pStyle w:val="Heading2"/>
        <w:numPr>
          <w:ilvl w:val="1"/>
          <w:numId w:val="2"/>
        </w:numPr>
        <w:tabs>
          <w:tab w:pos="1102" w:val="left" w:leader="none"/>
          <w:tab w:pos="1103" w:val="left" w:leader="none"/>
        </w:tabs>
        <w:spacing w:line="281" w:lineRule="exact" w:before="0" w:after="0"/>
        <w:ind w:left="1102" w:right="0" w:hanging="578"/>
        <w:jc w:val="left"/>
      </w:pPr>
      <w:r>
        <w:rPr/>
        <w:t>开颅手术</w:t>
      </w:r>
    </w:p>
    <w:p>
      <w:pPr>
        <w:pStyle w:val="BodyText"/>
        <w:spacing w:line="237" w:lineRule="auto"/>
        <w:ind w:left="102" w:right="207" w:firstLine="422"/>
      </w:pPr>
      <w:r>
        <w:rPr/>
        <w:t>指因外伤、颅内肿瘤或脑动脉瘤破裂，被保险人实际接受了在全麻下进行的颅骨切开手术，以清除脑内血肿、切除肿瘤或夹闭破裂动脉瘤的手术治疗。</w:t>
      </w:r>
    </w:p>
    <w:p>
      <w:pPr>
        <w:pStyle w:val="Heading2"/>
        <w:spacing w:line="237" w:lineRule="auto" w:before="9"/>
        <w:ind w:left="102" w:right="99" w:firstLine="424"/>
      </w:pPr>
      <w:r>
        <w:rPr>
          <w:spacing w:val="-8"/>
        </w:rPr>
        <w:t>颅骨打孔手术、硬膜下血肿清除术、未破裂动脉瘤预防性手术、动脉瘤栓塞手术、血管内手术、颅骨切开或切除减压术、脑积水脑脊液分流手术、经蝶骨肿瘤切除术及其他原因的开颅手术不在保障范围内。</w:t>
      </w:r>
    </w:p>
    <w:p>
      <w:pPr>
        <w:pStyle w:val="BodyText"/>
        <w:spacing w:before="3"/>
        <w:rPr>
          <w:b/>
          <w:sz w:val="18"/>
        </w:rPr>
      </w:pPr>
    </w:p>
    <w:p>
      <w:pPr>
        <w:pStyle w:val="ListParagraph"/>
        <w:numPr>
          <w:ilvl w:val="1"/>
          <w:numId w:val="2"/>
        </w:numPr>
        <w:tabs>
          <w:tab w:pos="1102" w:val="left" w:leader="none"/>
          <w:tab w:pos="1103" w:val="left" w:leader="none"/>
        </w:tabs>
        <w:spacing w:line="281" w:lineRule="exact" w:before="0" w:after="0"/>
        <w:ind w:left="1102" w:right="0" w:hanging="578"/>
        <w:jc w:val="left"/>
        <w:rPr>
          <w:b/>
          <w:sz w:val="21"/>
        </w:rPr>
      </w:pPr>
      <w:r>
        <w:rPr>
          <w:b/>
          <w:spacing w:val="-2"/>
          <w:sz w:val="21"/>
        </w:rPr>
        <w:t>系统性红斑狼疮性肾炎尿毒症</w:t>
      </w:r>
    </w:p>
    <w:p>
      <w:pPr>
        <w:pStyle w:val="BodyText"/>
        <w:spacing w:line="230" w:lineRule="auto" w:before="1"/>
        <w:ind w:left="102" w:right="206" w:firstLine="422"/>
        <w:jc w:val="both"/>
      </w:pPr>
      <w:r>
        <w:rPr>
          <w:spacing w:val="-3"/>
        </w:rPr>
        <w:t>系统性红斑狼疮是指由多种因素引起、累及多系统的、并导致肾脏损害的自身免疫性疾病，其</w:t>
      </w:r>
      <w:r>
        <w:rPr>
          <w:spacing w:val="-5"/>
        </w:rPr>
        <w:t>诊断须符合世界卫生组织</w:t>
      </w:r>
      <w:r>
        <w:rPr>
          <w:spacing w:val="-4"/>
        </w:rPr>
        <w:t>（</w:t>
      </w:r>
      <w:r>
        <w:rPr>
          <w:rFonts w:ascii="Times New Roman" w:hAnsi="Times New Roman" w:eastAsia="Times New Roman"/>
          <w:spacing w:val="-4"/>
        </w:rPr>
        <w:t>WHO</w:t>
      </w:r>
      <w:r>
        <w:rPr>
          <w:spacing w:val="-4"/>
        </w:rPr>
        <w:t>）狼疮性肾炎分型诊断标准的Ⅲ至Ⅴ型、经肾脏活组织病理检查证</w:t>
      </w:r>
      <w:r>
        <w:rPr>
          <w:spacing w:val="-3"/>
        </w:rPr>
        <w:t>实并由免疫专科医生确认。</w:t>
      </w:r>
    </w:p>
    <w:p>
      <w:pPr>
        <w:pStyle w:val="BodyText"/>
        <w:spacing w:line="289" w:lineRule="exact"/>
        <w:ind w:left="524"/>
        <w:rPr>
          <w:rFonts w:ascii="Times New Roman" w:eastAsia="Times New Roman"/>
        </w:rPr>
      </w:pPr>
      <w:r>
        <w:rPr/>
        <w:t>世界卫生组织（</w:t>
      </w:r>
      <w:r>
        <w:rPr>
          <w:rFonts w:ascii="Times New Roman" w:eastAsia="Times New Roman"/>
        </w:rPr>
        <w:t>WHO</w:t>
      </w:r>
      <w:r>
        <w:rPr/>
        <w:t>）狼疮性肾炎分型</w:t>
      </w:r>
      <w:r>
        <w:rPr>
          <w:rFonts w:ascii="Times New Roman" w:eastAsia="Times New Roman"/>
        </w:rPr>
        <w:t>:</w:t>
      </w:r>
    </w:p>
    <w:tbl>
      <w:tblPr>
        <w:tblW w:w="0" w:type="auto"/>
        <w:jc w:val="left"/>
        <w:tblInd w:w="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83"/>
        <w:gridCol w:w="5079"/>
      </w:tblGrid>
      <w:tr>
        <w:trPr>
          <w:trHeight w:val="338" w:hRule="atLeast"/>
        </w:trPr>
        <w:tc>
          <w:tcPr>
            <w:tcW w:w="2583" w:type="dxa"/>
            <w:tcBorders>
              <w:bottom w:val="single" w:sz="6" w:space="0" w:color="000000"/>
              <w:right w:val="single" w:sz="6" w:space="0" w:color="000000"/>
            </w:tcBorders>
          </w:tcPr>
          <w:p>
            <w:pPr>
              <w:pStyle w:val="TableParagraph"/>
              <w:spacing w:before="14"/>
              <w:ind w:left="108" w:right="90"/>
              <w:jc w:val="center"/>
              <w:rPr>
                <w:sz w:val="21"/>
              </w:rPr>
            </w:pPr>
            <w:r>
              <w:rPr>
                <w:sz w:val="21"/>
              </w:rPr>
              <w:t>Ⅰ型（微小病变型）</w:t>
            </w:r>
          </w:p>
        </w:tc>
        <w:tc>
          <w:tcPr>
            <w:tcW w:w="5079" w:type="dxa"/>
            <w:tcBorders>
              <w:left w:val="single" w:sz="6" w:space="0" w:color="000000"/>
              <w:bottom w:val="single" w:sz="6" w:space="0" w:color="000000"/>
            </w:tcBorders>
          </w:tcPr>
          <w:p>
            <w:pPr>
              <w:pStyle w:val="TableParagraph"/>
              <w:spacing w:before="14"/>
              <w:ind w:left="526" w:right="503"/>
              <w:jc w:val="center"/>
              <w:rPr>
                <w:sz w:val="21"/>
              </w:rPr>
            </w:pPr>
            <w:r>
              <w:rPr>
                <w:sz w:val="21"/>
              </w:rPr>
              <w:t>镜下阴性，尿液正常</w:t>
            </w:r>
          </w:p>
        </w:tc>
      </w:tr>
      <w:tr>
        <w:trPr>
          <w:trHeight w:val="335" w:hRule="atLeast"/>
        </w:trPr>
        <w:tc>
          <w:tcPr>
            <w:tcW w:w="2583" w:type="dxa"/>
            <w:tcBorders>
              <w:top w:val="single" w:sz="6" w:space="0" w:color="000000"/>
              <w:bottom w:val="single" w:sz="6" w:space="0" w:color="000000"/>
              <w:right w:val="single" w:sz="6" w:space="0" w:color="000000"/>
            </w:tcBorders>
          </w:tcPr>
          <w:p>
            <w:pPr>
              <w:pStyle w:val="TableParagraph"/>
              <w:spacing w:before="11"/>
              <w:ind w:left="108" w:right="90"/>
              <w:jc w:val="center"/>
              <w:rPr>
                <w:sz w:val="21"/>
              </w:rPr>
            </w:pPr>
            <w:r>
              <w:rPr>
                <w:sz w:val="21"/>
              </w:rPr>
              <w:t>Ⅱ型（系膜病变型）</w:t>
            </w:r>
          </w:p>
        </w:tc>
        <w:tc>
          <w:tcPr>
            <w:tcW w:w="5079" w:type="dxa"/>
            <w:tcBorders>
              <w:top w:val="single" w:sz="6" w:space="0" w:color="000000"/>
              <w:left w:val="single" w:sz="6" w:space="0" w:color="000000"/>
              <w:bottom w:val="single" w:sz="6" w:space="0" w:color="000000"/>
            </w:tcBorders>
          </w:tcPr>
          <w:p>
            <w:pPr>
              <w:pStyle w:val="TableParagraph"/>
              <w:spacing w:before="11"/>
              <w:ind w:left="526" w:right="503"/>
              <w:jc w:val="center"/>
              <w:rPr>
                <w:sz w:val="21"/>
              </w:rPr>
            </w:pPr>
            <w:r>
              <w:rPr>
                <w:sz w:val="21"/>
              </w:rPr>
              <w:t>中度蛋白尿，偶有尿沉渣改变</w:t>
            </w:r>
          </w:p>
        </w:tc>
      </w:tr>
      <w:tr>
        <w:trPr>
          <w:trHeight w:val="335" w:hRule="atLeast"/>
        </w:trPr>
        <w:tc>
          <w:tcPr>
            <w:tcW w:w="2583" w:type="dxa"/>
            <w:tcBorders>
              <w:top w:val="single" w:sz="6" w:space="0" w:color="000000"/>
              <w:bottom w:val="single" w:sz="6" w:space="0" w:color="000000"/>
              <w:right w:val="single" w:sz="6" w:space="0" w:color="000000"/>
            </w:tcBorders>
          </w:tcPr>
          <w:p>
            <w:pPr>
              <w:pStyle w:val="TableParagraph"/>
              <w:spacing w:before="11"/>
              <w:ind w:left="107" w:right="-29"/>
              <w:jc w:val="center"/>
              <w:rPr>
                <w:sz w:val="21"/>
              </w:rPr>
            </w:pPr>
            <w:r>
              <w:rPr>
                <w:spacing w:val="-26"/>
                <w:sz w:val="21"/>
              </w:rPr>
              <w:t>Ⅲ型</w:t>
            </w:r>
            <w:r>
              <w:rPr>
                <w:sz w:val="21"/>
              </w:rPr>
              <w:t>（</w:t>
            </w:r>
            <w:r>
              <w:rPr>
                <w:spacing w:val="-3"/>
                <w:sz w:val="21"/>
              </w:rPr>
              <w:t>局灶及节段增生型</w:t>
            </w:r>
            <w:r>
              <w:rPr>
                <w:sz w:val="21"/>
              </w:rPr>
              <w:t>）</w:t>
            </w:r>
          </w:p>
        </w:tc>
        <w:tc>
          <w:tcPr>
            <w:tcW w:w="5079" w:type="dxa"/>
            <w:tcBorders>
              <w:top w:val="single" w:sz="6" w:space="0" w:color="000000"/>
              <w:left w:val="single" w:sz="6" w:space="0" w:color="000000"/>
              <w:bottom w:val="single" w:sz="6" w:space="0" w:color="000000"/>
            </w:tcBorders>
          </w:tcPr>
          <w:p>
            <w:pPr>
              <w:pStyle w:val="TableParagraph"/>
              <w:spacing w:before="11"/>
              <w:ind w:left="526" w:right="503"/>
              <w:jc w:val="center"/>
              <w:rPr>
                <w:sz w:val="21"/>
              </w:rPr>
            </w:pPr>
            <w:r>
              <w:rPr>
                <w:sz w:val="21"/>
              </w:rPr>
              <w:t>蛋白尿，尿沉渣改变</w:t>
            </w:r>
          </w:p>
        </w:tc>
      </w:tr>
      <w:tr>
        <w:trPr>
          <w:trHeight w:val="335" w:hRule="atLeast"/>
        </w:trPr>
        <w:tc>
          <w:tcPr>
            <w:tcW w:w="2583" w:type="dxa"/>
            <w:tcBorders>
              <w:top w:val="single" w:sz="6" w:space="0" w:color="000000"/>
              <w:bottom w:val="single" w:sz="6" w:space="0" w:color="000000"/>
              <w:right w:val="single" w:sz="6" w:space="0" w:color="000000"/>
            </w:tcBorders>
          </w:tcPr>
          <w:p>
            <w:pPr>
              <w:pStyle w:val="TableParagraph"/>
              <w:spacing w:before="13"/>
              <w:ind w:left="108" w:right="90"/>
              <w:jc w:val="center"/>
              <w:rPr>
                <w:sz w:val="21"/>
              </w:rPr>
            </w:pPr>
            <w:r>
              <w:rPr>
                <w:sz w:val="21"/>
              </w:rPr>
              <w:t>Ⅳ型（弥漫增生型）</w:t>
            </w:r>
          </w:p>
        </w:tc>
        <w:tc>
          <w:tcPr>
            <w:tcW w:w="5079" w:type="dxa"/>
            <w:tcBorders>
              <w:top w:val="single" w:sz="6" w:space="0" w:color="000000"/>
              <w:left w:val="single" w:sz="6" w:space="0" w:color="000000"/>
              <w:bottom w:val="single" w:sz="6" w:space="0" w:color="000000"/>
            </w:tcBorders>
          </w:tcPr>
          <w:p>
            <w:pPr>
              <w:pStyle w:val="TableParagraph"/>
              <w:spacing w:before="13"/>
              <w:ind w:left="526" w:right="505"/>
              <w:jc w:val="center"/>
              <w:rPr>
                <w:sz w:val="21"/>
              </w:rPr>
            </w:pPr>
            <w:r>
              <w:rPr>
                <w:sz w:val="21"/>
              </w:rPr>
              <w:t>急性肾炎伴有尿沉渣改变及／或肾病综合征</w:t>
            </w:r>
          </w:p>
        </w:tc>
      </w:tr>
      <w:tr>
        <w:trPr>
          <w:trHeight w:val="337" w:hRule="atLeast"/>
        </w:trPr>
        <w:tc>
          <w:tcPr>
            <w:tcW w:w="2583" w:type="dxa"/>
            <w:tcBorders>
              <w:top w:val="single" w:sz="6" w:space="0" w:color="000000"/>
              <w:right w:val="single" w:sz="6" w:space="0" w:color="000000"/>
            </w:tcBorders>
          </w:tcPr>
          <w:p>
            <w:pPr>
              <w:pStyle w:val="TableParagraph"/>
              <w:spacing w:before="13"/>
              <w:ind w:left="108" w:right="92"/>
              <w:jc w:val="center"/>
              <w:rPr>
                <w:sz w:val="21"/>
              </w:rPr>
            </w:pPr>
            <w:r>
              <w:rPr>
                <w:sz w:val="21"/>
              </w:rPr>
              <w:t>Ⅴ型（膜型）</w:t>
            </w:r>
          </w:p>
        </w:tc>
        <w:tc>
          <w:tcPr>
            <w:tcW w:w="5079" w:type="dxa"/>
            <w:tcBorders>
              <w:top w:val="single" w:sz="6" w:space="0" w:color="000000"/>
              <w:left w:val="single" w:sz="6" w:space="0" w:color="000000"/>
            </w:tcBorders>
          </w:tcPr>
          <w:p>
            <w:pPr>
              <w:pStyle w:val="TableParagraph"/>
              <w:spacing w:before="13"/>
              <w:ind w:left="526" w:right="505"/>
              <w:jc w:val="center"/>
              <w:rPr>
                <w:sz w:val="21"/>
              </w:rPr>
            </w:pPr>
            <w:r>
              <w:rPr>
                <w:sz w:val="21"/>
              </w:rPr>
              <w:t>肾病综合征或重度蛋白尿</w:t>
            </w:r>
          </w:p>
        </w:tc>
      </w:tr>
    </w:tbl>
    <w:p>
      <w:pPr>
        <w:pStyle w:val="BodyText"/>
        <w:ind w:left="524"/>
      </w:pPr>
      <w:r>
        <w:rPr>
          <w:spacing w:val="-3"/>
        </w:rPr>
        <w:t>不包括仅累及血液及关节的狼疮或其他类型的红斑性狼疮</w:t>
      </w:r>
      <w:r>
        <w:rPr/>
        <w:t>（</w:t>
      </w:r>
      <w:r>
        <w:rPr>
          <w:spacing w:val="-3"/>
        </w:rPr>
        <w:t>如盘状狼疮</w:t>
      </w:r>
      <w:r>
        <w:rPr>
          <w:spacing w:val="-106"/>
        </w:rPr>
        <w:t>）</w:t>
      </w:r>
      <w:r>
        <w:rPr/>
        <w:t>。</w:t>
      </w:r>
    </w:p>
    <w:p>
      <w:pPr>
        <w:pStyle w:val="BodyText"/>
        <w:spacing w:before="3"/>
        <w:rPr>
          <w:sz w:val="18"/>
        </w:rPr>
      </w:pPr>
    </w:p>
    <w:p>
      <w:pPr>
        <w:pStyle w:val="Heading2"/>
        <w:numPr>
          <w:ilvl w:val="1"/>
          <w:numId w:val="2"/>
        </w:numPr>
        <w:tabs>
          <w:tab w:pos="1102" w:val="left" w:leader="none"/>
          <w:tab w:pos="1103" w:val="left" w:leader="none"/>
        </w:tabs>
        <w:spacing w:line="282" w:lineRule="exact" w:before="0" w:after="0"/>
        <w:ind w:left="1102" w:right="0" w:hanging="578"/>
        <w:jc w:val="left"/>
      </w:pPr>
      <w:r>
        <w:rPr>
          <w:rFonts w:ascii="Times New Roman" w:eastAsia="Times New Roman"/>
        </w:rPr>
        <w:t>1</w:t>
      </w:r>
      <w:r>
        <w:rPr>
          <w:rFonts w:ascii="Times New Roman" w:eastAsia="Times New Roman"/>
          <w:spacing w:val="0"/>
        </w:rPr>
        <w:t> </w:t>
      </w:r>
      <w:r>
        <w:rPr>
          <w:spacing w:val="-1"/>
        </w:rPr>
        <w:t>型糖尿病严重并发症</w:t>
      </w:r>
    </w:p>
    <w:p>
      <w:pPr>
        <w:pStyle w:val="BodyText"/>
        <w:spacing w:line="272" w:lineRule="exact"/>
        <w:ind w:left="524"/>
      </w:pPr>
      <w:r>
        <w:rPr>
          <w:rFonts w:ascii="Times New Roman" w:eastAsia="Times New Roman"/>
        </w:rPr>
        <w:t>1  </w:t>
      </w:r>
      <w:r>
        <w:rPr/>
        <w:t>型糖尿病的特征为由于胰岛素分泌绝对不足引起严重胰岛素缺乏导致慢性血糖升高，需要依</w:t>
      </w:r>
    </w:p>
    <w:p>
      <w:pPr>
        <w:pStyle w:val="BodyText"/>
        <w:spacing w:line="225" w:lineRule="auto" w:before="8"/>
        <w:ind w:left="102" w:right="163"/>
      </w:pPr>
      <w:r>
        <w:rPr/>
        <w:t>赖外源性胰岛素进行机体的葡萄糖代谢和维持生命。被保险人的 </w:t>
      </w:r>
      <w:r>
        <w:rPr>
          <w:rFonts w:ascii="Times New Roman" w:eastAsia="Times New Roman"/>
        </w:rPr>
        <w:t>1 </w:t>
      </w:r>
      <w:r>
        <w:rPr/>
        <w:t>型糖尿病必须明确诊断，而且有血胰岛素测定及血 </w:t>
      </w:r>
      <w:r>
        <w:rPr>
          <w:rFonts w:ascii="Times New Roman" w:eastAsia="Times New Roman"/>
        </w:rPr>
        <w:t>C </w:t>
      </w:r>
      <w:r>
        <w:rPr/>
        <w:t>肽或尿 </w:t>
      </w:r>
      <w:r>
        <w:rPr>
          <w:rFonts w:ascii="Times New Roman" w:eastAsia="Times New Roman"/>
        </w:rPr>
        <w:t>C </w:t>
      </w:r>
      <w:r>
        <w:rPr/>
        <w:t>肽测定结果支持诊断，并且满足下列所有条件：</w:t>
      </w:r>
    </w:p>
    <w:p>
      <w:pPr>
        <w:pStyle w:val="BodyText"/>
        <w:spacing w:line="263" w:lineRule="exact"/>
        <w:ind w:left="524"/>
      </w:pPr>
      <w:r>
        <w:rPr/>
        <w:t>（</w:t>
      </w:r>
      <w:r>
        <w:rPr>
          <w:rFonts w:ascii="Times New Roman" w:eastAsia="Times New Roman"/>
        </w:rPr>
        <w:t>1</w:t>
      </w:r>
      <w:r>
        <w:rPr/>
        <w:t>）已经持续性地接受外源性胰岛素注射治疗连续 </w:t>
      </w:r>
      <w:r>
        <w:rPr>
          <w:rFonts w:ascii="Times New Roman" w:eastAsia="Times New Roman"/>
        </w:rPr>
        <w:t>180 </w:t>
      </w:r>
      <w:r>
        <w:rPr/>
        <w:t>天以上；</w:t>
      </w:r>
    </w:p>
    <w:p>
      <w:pPr>
        <w:pStyle w:val="BodyText"/>
        <w:spacing w:line="273" w:lineRule="exact"/>
        <w:ind w:left="524"/>
      </w:pPr>
      <w:r>
        <w:rPr/>
        <w:t>（</w:t>
      </w:r>
      <w:r>
        <w:rPr>
          <w:rFonts w:ascii="Times New Roman" w:eastAsia="Times New Roman"/>
        </w:rPr>
        <w:t>2</w:t>
      </w:r>
      <w:r>
        <w:rPr/>
        <w:t>）因需要已经接受了下列治疗项目之一或全部：</w:t>
      </w:r>
    </w:p>
    <w:p>
      <w:pPr>
        <w:pStyle w:val="BodyText"/>
        <w:spacing w:line="265" w:lineRule="exact"/>
        <w:ind w:left="941"/>
      </w:pPr>
      <w:r>
        <w:rPr/>
        <w:t>① 因严重心律失常植入了心脏起搏器；</w:t>
      </w:r>
    </w:p>
    <w:p>
      <w:pPr>
        <w:pStyle w:val="BodyText"/>
        <w:spacing w:line="274" w:lineRule="exact"/>
        <w:ind w:left="941"/>
      </w:pPr>
      <w:r>
        <w:rPr/>
        <w:t>② 因坏疽自跖趾关节或以上切除了一趾或多趾。</w:t>
      </w:r>
    </w:p>
    <w:p>
      <w:pPr>
        <w:pStyle w:val="BodyText"/>
        <w:spacing w:before="3"/>
        <w:rPr>
          <w:sz w:val="18"/>
        </w:rPr>
      </w:pPr>
    </w:p>
    <w:p>
      <w:pPr>
        <w:pStyle w:val="Heading2"/>
        <w:numPr>
          <w:ilvl w:val="1"/>
          <w:numId w:val="2"/>
        </w:numPr>
        <w:tabs>
          <w:tab w:pos="1102" w:val="left" w:leader="none"/>
          <w:tab w:pos="1103" w:val="left" w:leader="none"/>
        </w:tabs>
        <w:spacing w:line="281" w:lineRule="exact" w:before="0" w:after="0"/>
        <w:ind w:left="1102" w:right="0" w:hanging="578"/>
        <w:jc w:val="left"/>
      </w:pPr>
      <w:r>
        <w:rPr/>
        <w:t>席汉氏综合征</w:t>
      </w:r>
    </w:p>
    <w:p>
      <w:pPr>
        <w:pStyle w:val="BodyText"/>
        <w:ind w:left="102" w:right="207" w:firstLine="422"/>
      </w:pPr>
      <w:r>
        <w:rPr/>
        <w:t>指因产后大出血并发休克、全身循环衰竭、弥漫性血管内凝血导致脑垂体缺血坏死和垂体分泌激素不足，造成性腺、甲状腺、肾上腺皮质功能减退。必须满足下列所有条件：</w:t>
      </w:r>
    </w:p>
    <w:p>
      <w:pPr>
        <w:pStyle w:val="BodyText"/>
        <w:spacing w:line="279" w:lineRule="exact" w:before="10"/>
        <w:ind w:left="524"/>
      </w:pPr>
      <w:r>
        <w:rPr/>
        <w:t>（</w:t>
      </w:r>
      <w:r>
        <w:rPr>
          <w:rFonts w:ascii="Times New Roman" w:eastAsia="Times New Roman"/>
        </w:rPr>
        <w:t>1</w:t>
      </w:r>
      <w:r>
        <w:rPr/>
        <w:t>）产后大出血休克病史；</w:t>
      </w:r>
    </w:p>
    <w:p>
      <w:pPr>
        <w:pStyle w:val="BodyText"/>
        <w:spacing w:line="272" w:lineRule="exact"/>
        <w:ind w:left="524"/>
      </w:pPr>
      <w:r>
        <w:rPr/>
        <w:t>（</w:t>
      </w:r>
      <w:r>
        <w:rPr>
          <w:rFonts w:ascii="Times New Roman" w:eastAsia="Times New Roman"/>
        </w:rPr>
        <w:t>2</w:t>
      </w:r>
      <w:r>
        <w:rPr/>
        <w:t>）严重腺垂体功能破坏，破坏程度</w:t>
      </w:r>
      <w:r>
        <w:rPr>
          <w:rFonts w:ascii="Times New Roman" w:eastAsia="Times New Roman"/>
        </w:rPr>
        <w:t>&gt;95%</w:t>
      </w:r>
      <w:r>
        <w:rPr/>
        <w:t>，临床症状严重；</w:t>
      </w:r>
    </w:p>
    <w:p>
      <w:pPr>
        <w:pStyle w:val="BodyText"/>
        <w:spacing w:line="271" w:lineRule="exact"/>
        <w:ind w:left="524"/>
      </w:pPr>
      <w:r>
        <w:rPr/>
        <w:t>（</w:t>
      </w:r>
      <w:r>
        <w:rPr>
          <w:rFonts w:ascii="Times New Roman" w:eastAsia="Times New Roman"/>
        </w:rPr>
        <w:t>3</w:t>
      </w:r>
      <w:r>
        <w:rPr/>
        <w:t>）影像学检查显示脑垂体严重萎缩或消失；</w:t>
      </w:r>
    </w:p>
    <w:p>
      <w:pPr>
        <w:pStyle w:val="BodyText"/>
        <w:spacing w:line="272" w:lineRule="exact"/>
        <w:ind w:left="524"/>
      </w:pPr>
      <w:r>
        <w:rPr/>
        <w:t>（</w:t>
      </w:r>
      <w:r>
        <w:rPr>
          <w:rFonts w:ascii="Times New Roman" w:eastAsia="Times New Roman"/>
        </w:rPr>
        <w:t>4</w:t>
      </w:r>
      <w:r>
        <w:rPr/>
        <w:t>）实验室检查显示：</w:t>
      </w:r>
    </w:p>
    <w:p>
      <w:pPr>
        <w:pStyle w:val="BodyText"/>
        <w:spacing w:line="237" w:lineRule="auto"/>
        <w:ind w:left="519" w:right="209" w:firstLine="422"/>
      </w:pPr>
      <w:r>
        <w:rPr>
          <w:spacing w:val="-3"/>
        </w:rPr>
        <w:t>① 垂体前叶激素全面低下</w:t>
      </w:r>
      <w:r>
        <w:rPr/>
        <w:t>（</w:t>
      </w:r>
      <w:r>
        <w:rPr>
          <w:spacing w:val="-9"/>
        </w:rPr>
        <w:t>包括生长激素、促甲状腺素、促肾上腺皮质激素、卵泡刺激素</w:t>
      </w:r>
      <w:r>
        <w:rPr>
          <w:spacing w:val="-5"/>
          <w:w w:val="100"/>
        </w:rPr>
        <w:t>和黄体生成素</w:t>
      </w:r>
      <w:r>
        <w:rPr>
          <w:spacing w:val="-108"/>
          <w:w w:val="100"/>
        </w:rPr>
        <w:t>）</w:t>
      </w:r>
      <w:r>
        <w:rPr>
          <w:spacing w:val="-1"/>
          <w:w w:val="100"/>
        </w:rPr>
        <w:t>；和</w:t>
      </w:r>
    </w:p>
    <w:p>
      <w:pPr>
        <w:pStyle w:val="BodyText"/>
        <w:spacing w:line="272" w:lineRule="exact" w:before="5"/>
        <w:ind w:left="941"/>
      </w:pPr>
      <w:r>
        <w:rPr/>
        <w:t>② 性激素、甲状腺素、肾上腺皮质激素全面低下；</w:t>
      </w:r>
    </w:p>
    <w:p>
      <w:pPr>
        <w:spacing w:line="225" w:lineRule="auto" w:before="15"/>
        <w:ind w:left="526" w:right="1399" w:hanging="3"/>
        <w:jc w:val="left"/>
        <w:rPr>
          <w:b/>
          <w:sz w:val="21"/>
        </w:rPr>
      </w:pPr>
      <w:r>
        <w:rPr>
          <w:sz w:val="21"/>
        </w:rPr>
        <w:t>（</w:t>
      </w:r>
      <w:r>
        <w:rPr>
          <w:rFonts w:ascii="Times New Roman" w:eastAsia="Times New Roman"/>
          <w:sz w:val="21"/>
        </w:rPr>
        <w:t>5</w:t>
      </w:r>
      <w:r>
        <w:rPr>
          <w:sz w:val="21"/>
        </w:rPr>
        <w:t>）需要终身激素替代治疗以维持身体功能，持续服用各种替代激素超过一年。</w:t>
      </w:r>
      <w:r>
        <w:rPr>
          <w:b/>
          <w:sz w:val="21"/>
        </w:rPr>
        <w:t>垂体功能部分低下及其他原因所致垂体功能低下不在保障范围之内。</w:t>
      </w:r>
    </w:p>
    <w:p>
      <w:pPr>
        <w:pStyle w:val="BodyText"/>
        <w:spacing w:before="3"/>
        <w:rPr>
          <w:b/>
          <w:sz w:val="18"/>
        </w:rPr>
      </w:pPr>
    </w:p>
    <w:p>
      <w:pPr>
        <w:pStyle w:val="Heading2"/>
        <w:numPr>
          <w:ilvl w:val="1"/>
          <w:numId w:val="2"/>
        </w:numPr>
        <w:tabs>
          <w:tab w:pos="1102" w:val="left" w:leader="none"/>
          <w:tab w:pos="1103" w:val="left" w:leader="none"/>
        </w:tabs>
        <w:spacing w:line="281" w:lineRule="exact" w:before="0" w:after="0"/>
        <w:ind w:left="1102" w:right="0" w:hanging="578"/>
        <w:jc w:val="left"/>
      </w:pPr>
      <w:r>
        <w:rPr>
          <w:spacing w:val="-1"/>
        </w:rPr>
        <w:t>严重强直性脊柱炎</w:t>
      </w:r>
    </w:p>
    <w:p>
      <w:pPr>
        <w:pStyle w:val="BodyText"/>
        <w:ind w:left="102" w:right="207" w:firstLine="422"/>
      </w:pPr>
      <w:r>
        <w:rPr/>
        <w:t>强直性脊柱炎是一种慢性全身性炎性疾病，主要侵犯脊柱导致脊柱畸形。强直性脊柱炎必须明确诊断并且满足下列所有条件：</w:t>
      </w:r>
    </w:p>
    <w:p>
      <w:pPr>
        <w:pStyle w:val="BodyText"/>
        <w:spacing w:line="279" w:lineRule="exact" w:before="10"/>
        <w:ind w:left="524"/>
      </w:pPr>
      <w:r>
        <w:rPr/>
        <w:t>（</w:t>
      </w:r>
      <w:r>
        <w:rPr>
          <w:rFonts w:ascii="Times New Roman" w:eastAsia="Times New Roman"/>
        </w:rPr>
        <w:t>1</w:t>
      </w:r>
      <w:r>
        <w:rPr/>
        <w:t>）严重脊柱畸形；</w:t>
      </w:r>
    </w:p>
    <w:p>
      <w:pPr>
        <w:pStyle w:val="BodyText"/>
        <w:spacing w:line="282" w:lineRule="exact"/>
        <w:ind w:left="524"/>
      </w:pPr>
      <w:r>
        <w:rPr/>
        <w:t>（</w:t>
      </w:r>
      <w:r>
        <w:rPr>
          <w:rFonts w:ascii="Times New Roman" w:eastAsia="Times New Roman"/>
        </w:rPr>
        <w:t>2</w:t>
      </w:r>
      <w:r>
        <w:rPr/>
        <w:t>）自主生活能力完全丧失，无法独立完成六项基本日常生活活动中的三项或三项以上。</w:t>
      </w:r>
    </w:p>
    <w:p>
      <w:pPr>
        <w:spacing w:after="0" w:line="282" w:lineRule="exact"/>
        <w:sectPr>
          <w:pgSz w:w="11910" w:h="16840"/>
          <w:pgMar w:header="0" w:footer="1239" w:top="1060" w:bottom="1420" w:left="1600" w:right="920"/>
        </w:sectPr>
      </w:pPr>
    </w:p>
    <w:p>
      <w:pPr>
        <w:pStyle w:val="Heading2"/>
        <w:numPr>
          <w:ilvl w:val="1"/>
          <w:numId w:val="2"/>
        </w:numPr>
        <w:tabs>
          <w:tab w:pos="1113" w:val="left" w:leader="none"/>
          <w:tab w:pos="1114" w:val="left" w:leader="none"/>
        </w:tabs>
        <w:spacing w:line="282" w:lineRule="exact" w:before="20" w:after="0"/>
        <w:ind w:left="1114" w:right="0" w:hanging="579"/>
        <w:jc w:val="left"/>
      </w:pPr>
      <w:r>
        <w:rPr/>
        <w:t>肾髓质囊性病</w:t>
      </w:r>
    </w:p>
    <w:p>
      <w:pPr>
        <w:pStyle w:val="BodyText"/>
        <w:spacing w:line="237" w:lineRule="auto"/>
        <w:ind w:left="112" w:right="116" w:firstLine="422"/>
      </w:pPr>
      <w:r>
        <w:rPr/>
        <w:t>肾髓质囊性病，一种遗传性肾脏疾病，特点为肾髓质多发大小不等的囊肿并且伴有小管炎症和间质性肾炎。必须满足下列所有条件：</w:t>
      </w:r>
    </w:p>
    <w:p>
      <w:pPr>
        <w:pStyle w:val="BodyText"/>
        <w:spacing w:line="280" w:lineRule="exact" w:before="6"/>
        <w:ind w:left="535"/>
      </w:pPr>
      <w:r>
        <w:rPr/>
        <w:t>（</w:t>
      </w:r>
      <w:r>
        <w:rPr>
          <w:rFonts w:ascii="Times New Roman" w:eastAsia="Times New Roman"/>
        </w:rPr>
        <w:t>1</w:t>
      </w:r>
      <w:r>
        <w:rPr/>
        <w:t>）经肾组织活检明确诊断；</w:t>
      </w:r>
    </w:p>
    <w:p>
      <w:pPr>
        <w:pStyle w:val="BodyText"/>
        <w:spacing w:line="272" w:lineRule="exact"/>
        <w:ind w:left="535"/>
      </w:pPr>
      <w:r>
        <w:rPr/>
        <w:t>（</w:t>
      </w:r>
      <w:r>
        <w:rPr>
          <w:rFonts w:ascii="Times New Roman" w:eastAsia="Times New Roman"/>
        </w:rPr>
        <w:t>2</w:t>
      </w:r>
      <w:r>
        <w:rPr/>
        <w:t>）临床有肾脏衰竭和肾小管功能障碍表现；</w:t>
      </w:r>
    </w:p>
    <w:p>
      <w:pPr>
        <w:spacing w:line="223" w:lineRule="auto" w:before="12"/>
        <w:ind w:left="538" w:right="5091" w:hanging="3"/>
        <w:jc w:val="left"/>
        <w:rPr>
          <w:b/>
          <w:sz w:val="21"/>
        </w:rPr>
      </w:pPr>
      <w:r>
        <w:rPr>
          <w:sz w:val="21"/>
        </w:rPr>
        <w:t>（</w:t>
      </w:r>
      <w:r>
        <w:rPr>
          <w:rFonts w:ascii="Times New Roman" w:eastAsia="Times New Roman"/>
          <w:sz w:val="21"/>
        </w:rPr>
        <w:t>3</w:t>
      </w:r>
      <w:r>
        <w:rPr>
          <w:sz w:val="21"/>
        </w:rPr>
        <w:t>）影像学证据显示肾髓质多发囊肿。</w:t>
      </w:r>
      <w:r>
        <w:rPr>
          <w:b/>
          <w:sz w:val="21"/>
        </w:rPr>
        <w:t>其他肾脏囊性病变不在保障范围内。</w:t>
      </w:r>
    </w:p>
    <w:p>
      <w:pPr>
        <w:pStyle w:val="BodyText"/>
        <w:spacing w:before="3"/>
        <w:rPr>
          <w:b/>
          <w:sz w:val="18"/>
        </w:rPr>
      </w:pPr>
    </w:p>
    <w:p>
      <w:pPr>
        <w:pStyle w:val="Heading2"/>
        <w:numPr>
          <w:ilvl w:val="1"/>
          <w:numId w:val="2"/>
        </w:numPr>
        <w:tabs>
          <w:tab w:pos="1113" w:val="left" w:leader="none"/>
          <w:tab w:pos="1114" w:val="left" w:leader="none"/>
        </w:tabs>
        <w:spacing w:line="282" w:lineRule="exact" w:before="0" w:after="0"/>
        <w:ind w:left="1114" w:right="0" w:hanging="579"/>
        <w:jc w:val="left"/>
      </w:pPr>
      <w:r>
        <w:rPr/>
        <w:t>肝豆状核变性</w:t>
      </w:r>
    </w:p>
    <w:p>
      <w:pPr>
        <w:pStyle w:val="BodyText"/>
        <w:spacing w:line="237" w:lineRule="auto"/>
        <w:ind w:left="112" w:right="116" w:firstLine="422"/>
        <w:jc w:val="both"/>
      </w:pPr>
      <w:r>
        <w:rPr/>
        <w:t>肝豆状核变性是一种遗传性铜代谢障碍疾病。表现为体内的铜离子在肝、脑、肾、角膜等处沉积，引起进行性加重的肝硬化、锥体外系症状、精神症状、肾损害及角膜色素环。肝豆状核变性必须明确诊断并且满足下列条件之一：</w:t>
      </w:r>
    </w:p>
    <w:p>
      <w:pPr>
        <w:pStyle w:val="BodyText"/>
        <w:spacing w:line="225" w:lineRule="auto" w:before="20"/>
        <w:ind w:left="112" w:right="117" w:firstLine="422"/>
      </w:pPr>
      <w:r>
        <w:rPr>
          <w:spacing w:val="-9"/>
        </w:rPr>
        <w:t>（</w:t>
      </w:r>
      <w:r>
        <w:rPr>
          <w:rFonts w:ascii="Times New Roman" w:eastAsia="Times New Roman"/>
          <w:spacing w:val="-9"/>
        </w:rPr>
        <w:t>1</w:t>
      </w:r>
      <w:r>
        <w:rPr>
          <w:spacing w:val="-9"/>
        </w:rPr>
        <w:t>）</w:t>
      </w:r>
      <w:r>
        <w:rPr>
          <w:spacing w:val="-6"/>
        </w:rPr>
        <w:t>帕金森综合征或其他神经系统功能损害，自主生活能力完全丧失，无法独立完成六项基本</w:t>
      </w:r>
      <w:r>
        <w:rPr>
          <w:spacing w:val="-4"/>
        </w:rPr>
        <w:t>日常生活活动中的三项或三项以上；</w:t>
      </w:r>
    </w:p>
    <w:p>
      <w:pPr>
        <w:pStyle w:val="BodyText"/>
        <w:spacing w:line="279" w:lineRule="exact"/>
        <w:ind w:left="535"/>
      </w:pPr>
      <w:r>
        <w:rPr/>
        <w:t>（</w:t>
      </w:r>
      <w:r>
        <w:rPr>
          <w:rFonts w:ascii="Times New Roman" w:eastAsia="Times New Roman"/>
        </w:rPr>
        <w:t>2</w:t>
      </w:r>
      <w:r>
        <w:rPr/>
        <w:t>）失代偿性肝硬化，临床已经出现腹水、食道静脉曲张和脾肿大等表现；</w:t>
      </w:r>
    </w:p>
    <w:p>
      <w:pPr>
        <w:pStyle w:val="BodyText"/>
        <w:spacing w:line="273" w:lineRule="exact"/>
        <w:ind w:left="535"/>
      </w:pPr>
      <w:r>
        <w:rPr/>
        <w:t>（</w:t>
      </w:r>
      <w:r>
        <w:rPr>
          <w:rFonts w:ascii="Times New Roman" w:eastAsia="Times New Roman"/>
        </w:rPr>
        <w:t>3</w:t>
      </w:r>
      <w:r>
        <w:rPr/>
        <w:t>）慢性肾功能衰竭，已开始肾脏透析治疗；</w:t>
      </w:r>
    </w:p>
    <w:p>
      <w:pPr>
        <w:pStyle w:val="BodyText"/>
        <w:spacing w:line="281" w:lineRule="exact"/>
        <w:ind w:left="535"/>
      </w:pPr>
      <w:r>
        <w:rPr/>
        <w:t>（</w:t>
      </w:r>
      <w:r>
        <w:rPr>
          <w:rFonts w:ascii="Times New Roman" w:eastAsia="Times New Roman"/>
        </w:rPr>
        <w:t>4</w:t>
      </w:r>
      <w:r>
        <w:rPr/>
        <w:t>）接受了肝移植或肾移植手术。</w:t>
      </w:r>
    </w:p>
    <w:p>
      <w:pPr>
        <w:pStyle w:val="BodyText"/>
        <w:rPr>
          <w:sz w:val="17"/>
        </w:rPr>
      </w:pPr>
    </w:p>
    <w:p>
      <w:pPr>
        <w:pStyle w:val="Heading2"/>
        <w:numPr>
          <w:ilvl w:val="1"/>
          <w:numId w:val="2"/>
        </w:numPr>
        <w:tabs>
          <w:tab w:pos="1113" w:val="left" w:leader="none"/>
          <w:tab w:pos="1114" w:val="left" w:leader="none"/>
        </w:tabs>
        <w:spacing w:line="282" w:lineRule="exact" w:before="0" w:after="0"/>
        <w:ind w:left="1114" w:right="0" w:hanging="579"/>
        <w:jc w:val="left"/>
      </w:pPr>
      <w:r>
        <w:rPr>
          <w:spacing w:val="-2"/>
        </w:rPr>
        <w:t>重症急性出血坏死性胰腺炎开腹手术</w:t>
      </w:r>
    </w:p>
    <w:p>
      <w:pPr>
        <w:pStyle w:val="BodyText"/>
        <w:spacing w:line="237" w:lineRule="auto"/>
        <w:ind w:left="112" w:right="115" w:firstLine="422"/>
      </w:pPr>
      <w:r>
        <w:rPr/>
        <w:t>指被保险人被确诊为重症急性出血坏死性胰腺炎，并实际接受了外科剖腹直视手术治疗，进行坏死组织清除、坏死病灶切除或胰腺切除。</w:t>
      </w:r>
    </w:p>
    <w:p>
      <w:pPr>
        <w:pStyle w:val="Heading2"/>
        <w:spacing w:line="274" w:lineRule="exact" w:before="6"/>
        <w:ind w:left="538" w:firstLine="0"/>
      </w:pPr>
      <w:r>
        <w:rPr/>
        <w:t>因酗酒或饮酒过量所致的急性出血坏死性胰腺炎或经腹腔镜手术进行的治疗不在保障范围内。</w:t>
      </w:r>
    </w:p>
    <w:p>
      <w:pPr>
        <w:pStyle w:val="BodyText"/>
        <w:spacing w:before="3"/>
        <w:rPr>
          <w:b/>
          <w:sz w:val="18"/>
        </w:rPr>
      </w:pPr>
    </w:p>
    <w:p>
      <w:pPr>
        <w:pStyle w:val="ListParagraph"/>
        <w:numPr>
          <w:ilvl w:val="1"/>
          <w:numId w:val="2"/>
        </w:numPr>
        <w:tabs>
          <w:tab w:pos="1113" w:val="left" w:leader="none"/>
          <w:tab w:pos="1114" w:val="left" w:leader="none"/>
        </w:tabs>
        <w:spacing w:line="281" w:lineRule="exact" w:before="0" w:after="0"/>
        <w:ind w:left="1114" w:right="0" w:hanging="579"/>
        <w:jc w:val="left"/>
        <w:rPr>
          <w:b/>
          <w:sz w:val="21"/>
        </w:rPr>
      </w:pPr>
      <w:r>
        <w:rPr>
          <w:b/>
          <w:sz w:val="21"/>
        </w:rPr>
        <w:t>小肠移植术</w:t>
      </w:r>
    </w:p>
    <w:p>
      <w:pPr>
        <w:pStyle w:val="BodyText"/>
        <w:ind w:left="112" w:right="116" w:firstLine="422"/>
      </w:pPr>
      <w:r>
        <w:rPr/>
        <w:t>小肠移植术指因疾病或外伤导致严重小肠损害不得不切除三分之二以上肠段，为了维持生理功能的需要已经实际接受了小肠的同种（人类）异体器官移植手术。</w:t>
      </w:r>
    </w:p>
    <w:p>
      <w:pPr>
        <w:pStyle w:val="BodyText"/>
        <w:spacing w:before="13"/>
        <w:rPr>
          <w:sz w:val="18"/>
        </w:rPr>
      </w:pPr>
    </w:p>
    <w:p>
      <w:pPr>
        <w:pStyle w:val="Heading2"/>
        <w:numPr>
          <w:ilvl w:val="1"/>
          <w:numId w:val="2"/>
        </w:numPr>
        <w:tabs>
          <w:tab w:pos="1113" w:val="left" w:leader="none"/>
          <w:tab w:pos="1114" w:val="left" w:leader="none"/>
        </w:tabs>
        <w:spacing w:line="281" w:lineRule="exact" w:before="0" w:after="0"/>
        <w:ind w:left="1114" w:right="0" w:hanging="579"/>
        <w:jc w:val="left"/>
      </w:pPr>
      <w:r>
        <w:rPr>
          <w:spacing w:val="-2"/>
        </w:rPr>
        <w:t>意外导致的重度面部烧伤</w:t>
      </w:r>
    </w:p>
    <w:p>
      <w:pPr>
        <w:pStyle w:val="BodyText"/>
        <w:spacing w:line="272" w:lineRule="exact"/>
        <w:ind w:left="535"/>
      </w:pPr>
      <w:r>
        <w:rPr/>
        <w:t>指面部Ⅲ度烧伤且烧伤面积达到面部表面积的 </w:t>
      </w:r>
      <w:r>
        <w:rPr>
          <w:rFonts w:ascii="Times New Roman" w:hAnsi="Times New Roman" w:eastAsia="Times New Roman"/>
        </w:rPr>
        <w:t>2/3 </w:t>
      </w:r>
      <w:r>
        <w:rPr/>
        <w:t>或全身体表面积的 </w:t>
      </w:r>
      <w:r>
        <w:rPr>
          <w:rFonts w:ascii="Times New Roman" w:hAnsi="Times New Roman" w:eastAsia="Times New Roman"/>
        </w:rPr>
        <w:t>2</w:t>
      </w:r>
      <w:r>
        <w:rPr/>
        <w:t>％。</w:t>
      </w:r>
    </w:p>
    <w:p>
      <w:pPr>
        <w:pStyle w:val="BodyText"/>
        <w:spacing w:line="223" w:lineRule="auto" w:before="12"/>
        <w:ind w:left="112" w:right="69" w:firstLine="422"/>
      </w:pPr>
      <w:r>
        <w:rPr/>
        <w:t>体表面积根据 《中国新九分法》计算，面部总面积为全身体表面积的 </w:t>
      </w:r>
      <w:r>
        <w:rPr>
          <w:rFonts w:ascii="Times New Roman" w:eastAsia="Times New Roman"/>
        </w:rPr>
        <w:t>3%</w:t>
      </w:r>
      <w:r>
        <w:rPr/>
        <w:t>。面部面积不包括发部和颈部。</w:t>
      </w:r>
    </w:p>
    <w:p>
      <w:pPr>
        <w:pStyle w:val="BodyText"/>
        <w:spacing w:before="3"/>
        <w:rPr>
          <w:sz w:val="18"/>
        </w:rPr>
      </w:pPr>
    </w:p>
    <w:p>
      <w:pPr>
        <w:pStyle w:val="Heading2"/>
        <w:numPr>
          <w:ilvl w:val="1"/>
          <w:numId w:val="2"/>
        </w:numPr>
        <w:tabs>
          <w:tab w:pos="1113" w:val="left" w:leader="none"/>
          <w:tab w:pos="1114" w:val="left" w:leader="none"/>
        </w:tabs>
        <w:spacing w:line="282" w:lineRule="exact" w:before="1" w:after="0"/>
        <w:ind w:left="1114" w:right="0" w:hanging="579"/>
        <w:jc w:val="left"/>
      </w:pPr>
      <w:r>
        <w:rPr/>
        <w:t>失去一肢及一眼</w:t>
      </w:r>
    </w:p>
    <w:p>
      <w:pPr>
        <w:pStyle w:val="BodyText"/>
        <w:spacing w:line="264" w:lineRule="exact"/>
        <w:ind w:left="535"/>
      </w:pPr>
      <w:r>
        <w:rPr/>
        <w:t>被保险人因同一次意外伤害事件导致一肢体丧失和一眼视力丧失。必须满足下列所有条件：</w:t>
      </w:r>
    </w:p>
    <w:p>
      <w:pPr>
        <w:pStyle w:val="BodyText"/>
        <w:spacing w:line="280" w:lineRule="exact"/>
        <w:ind w:left="535"/>
      </w:pPr>
      <w:r>
        <w:rPr/>
        <w:t>（</w:t>
      </w:r>
      <w:r>
        <w:rPr>
          <w:rFonts w:ascii="Times New Roman" w:eastAsia="Times New Roman"/>
        </w:rPr>
        <w:t>1</w:t>
      </w:r>
      <w:r>
        <w:rPr/>
        <w:t>）一肢体丧失指任何一肢体自腕关节或踝关节近端（靠近躯干端）以上完全性断离。</w:t>
      </w:r>
    </w:p>
    <w:p>
      <w:pPr>
        <w:pStyle w:val="BodyText"/>
        <w:spacing w:line="272" w:lineRule="exact"/>
        <w:ind w:left="535"/>
      </w:pPr>
      <w:r>
        <w:rPr/>
        <w:t>（</w:t>
      </w:r>
      <w:r>
        <w:rPr>
          <w:rFonts w:ascii="Times New Roman" w:eastAsia="Times New Roman"/>
        </w:rPr>
        <w:t>2</w:t>
      </w:r>
      <w:r>
        <w:rPr/>
        <w:t>）一眼视力丧失指一只眼视力永久不可逆性丧失，患眼须满足下列至少一项条件：</w:t>
      </w:r>
    </w:p>
    <w:p>
      <w:pPr>
        <w:pStyle w:val="BodyText"/>
        <w:spacing w:line="264" w:lineRule="exact"/>
        <w:ind w:left="953"/>
      </w:pPr>
      <w:r>
        <w:rPr/>
        <w:t>① 眼球摘除；</w:t>
      </w:r>
    </w:p>
    <w:p>
      <w:pPr>
        <w:pStyle w:val="BodyText"/>
        <w:spacing w:line="280" w:lineRule="exact"/>
        <w:ind w:left="953"/>
      </w:pPr>
      <w:r>
        <w:rPr>
          <w:w w:val="100"/>
        </w:rPr>
        <w:t>②</w:t>
      </w:r>
      <w:r>
        <w:rPr/>
        <w:t> </w:t>
      </w:r>
      <w:r>
        <w:rPr>
          <w:spacing w:val="-3"/>
          <w:w w:val="100"/>
        </w:rPr>
        <w:t>矫正视力低于</w:t>
      </w:r>
      <w:r>
        <w:rPr>
          <w:spacing w:val="-53"/>
        </w:rPr>
        <w:t> </w:t>
      </w:r>
      <w:r>
        <w:rPr>
          <w:rFonts w:ascii="Times New Roman" w:hAnsi="Times New Roman" w:eastAsia="Times New Roman"/>
          <w:w w:val="100"/>
        </w:rPr>
        <w:t>0.</w:t>
      </w:r>
      <w:r>
        <w:rPr>
          <w:rFonts w:ascii="Times New Roman" w:hAnsi="Times New Roman" w:eastAsia="Times New Roman"/>
          <w:spacing w:val="-3"/>
          <w:w w:val="100"/>
        </w:rPr>
        <w:t>0</w:t>
      </w:r>
      <w:r>
        <w:rPr>
          <w:rFonts w:ascii="Times New Roman" w:hAnsi="Times New Roman" w:eastAsia="Times New Roman"/>
          <w:spacing w:val="-1"/>
          <w:w w:val="100"/>
        </w:rPr>
        <w:t>2</w:t>
      </w:r>
      <w:r>
        <w:rPr>
          <w:spacing w:val="-3"/>
          <w:w w:val="100"/>
        </w:rPr>
        <w:t>（采用国际标准视力表，如果使用其它视力表应进行换算</w:t>
      </w:r>
      <w:r>
        <w:rPr>
          <w:spacing w:val="-106"/>
          <w:w w:val="100"/>
        </w:rPr>
        <w:t>）</w:t>
      </w:r>
      <w:r>
        <w:rPr>
          <w:w w:val="100"/>
        </w:rPr>
        <w:t>；</w:t>
      </w:r>
    </w:p>
    <w:p>
      <w:pPr>
        <w:pStyle w:val="BodyText"/>
        <w:spacing w:line="272" w:lineRule="exact"/>
        <w:ind w:left="953"/>
      </w:pPr>
      <w:r>
        <w:rPr/>
        <w:t>③ 视野半径小于 </w:t>
      </w:r>
      <w:r>
        <w:rPr>
          <w:rFonts w:ascii="Times New Roman" w:hAnsi="Times New Roman" w:eastAsia="Times New Roman"/>
        </w:rPr>
        <w:t>5 </w:t>
      </w:r>
      <w:r>
        <w:rPr/>
        <w:t>度。</w:t>
      </w:r>
    </w:p>
    <w:p>
      <w:pPr>
        <w:pStyle w:val="Heading2"/>
        <w:spacing w:line="237" w:lineRule="auto"/>
        <w:ind w:left="112" w:right="114" w:firstLine="425"/>
      </w:pPr>
      <w:r>
        <w:rPr/>
        <w:t>除眼球摘除以外，被保险人申请理赔时年龄必须在三周岁以上，并且提供理赔当时的视力丧失诊断及检查证据。</w:t>
      </w:r>
    </w:p>
    <w:p>
      <w:pPr>
        <w:pStyle w:val="BodyText"/>
        <w:spacing w:before="8"/>
        <w:rPr>
          <w:b/>
          <w:sz w:val="18"/>
        </w:rPr>
      </w:pPr>
    </w:p>
    <w:p>
      <w:pPr>
        <w:pStyle w:val="ListParagraph"/>
        <w:numPr>
          <w:ilvl w:val="1"/>
          <w:numId w:val="2"/>
        </w:numPr>
        <w:tabs>
          <w:tab w:pos="1113" w:val="left" w:leader="none"/>
          <w:tab w:pos="1114" w:val="left" w:leader="none"/>
        </w:tabs>
        <w:spacing w:line="282" w:lineRule="exact" w:before="1" w:after="0"/>
        <w:ind w:left="1114" w:right="0" w:hanging="579"/>
        <w:jc w:val="left"/>
        <w:rPr>
          <w:b/>
          <w:sz w:val="21"/>
        </w:rPr>
      </w:pPr>
      <w:r>
        <w:rPr>
          <w:b/>
          <w:spacing w:val="-2"/>
          <w:sz w:val="21"/>
        </w:rPr>
        <w:t>溶血性链球菌感染引起的坏疽</w:t>
      </w:r>
    </w:p>
    <w:p>
      <w:pPr>
        <w:pStyle w:val="BodyText"/>
        <w:spacing w:line="237" w:lineRule="auto"/>
        <w:ind w:left="112" w:right="115" w:firstLine="422"/>
      </w:pPr>
      <w:r>
        <w:rPr/>
        <w:t>由于急性溶血性链球菌感染导致广泛的皮肤、皮下组织和深层组织的坏死。必须满足下列所有条件：</w:t>
      </w:r>
    </w:p>
    <w:p>
      <w:pPr>
        <w:pStyle w:val="BodyText"/>
        <w:spacing w:line="280" w:lineRule="exact" w:before="5"/>
        <w:ind w:left="535"/>
      </w:pPr>
      <w:r>
        <w:rPr/>
        <w:t>（</w:t>
      </w:r>
      <w:r>
        <w:rPr>
          <w:rFonts w:ascii="Times New Roman" w:eastAsia="Times New Roman"/>
        </w:rPr>
        <w:t>1</w:t>
      </w:r>
      <w:r>
        <w:rPr/>
        <w:t>）细菌培养证实致病菌为溶血性链球菌；</w:t>
      </w:r>
    </w:p>
    <w:p>
      <w:pPr>
        <w:pStyle w:val="BodyText"/>
        <w:spacing w:line="281" w:lineRule="exact"/>
        <w:ind w:left="535"/>
      </w:pPr>
      <w:r>
        <w:rPr>
          <w:spacing w:val="-1"/>
        </w:rPr>
        <w:t>（</w:t>
      </w:r>
      <w:r>
        <w:rPr>
          <w:rFonts w:ascii="Times New Roman" w:eastAsia="Times New Roman"/>
          <w:spacing w:val="-1"/>
        </w:rPr>
        <w:t>2</w:t>
      </w:r>
      <w:r>
        <w:rPr>
          <w:spacing w:val="-1"/>
        </w:rPr>
        <w:t>）</w:t>
      </w:r>
      <w:r>
        <w:rPr>
          <w:spacing w:val="-3"/>
        </w:rPr>
        <w:t>受感染肢体被截肢（自腕关节或踝关节近端</w:t>
      </w:r>
      <w:r>
        <w:rPr>
          <w:spacing w:val="-108"/>
        </w:rPr>
        <w:t>）</w:t>
      </w:r>
      <w:r>
        <w:rPr/>
        <w:t>。</w:t>
      </w:r>
    </w:p>
    <w:p>
      <w:pPr>
        <w:pStyle w:val="BodyText"/>
        <w:spacing w:before="1"/>
        <w:rPr>
          <w:sz w:val="17"/>
        </w:rPr>
      </w:pPr>
    </w:p>
    <w:p>
      <w:pPr>
        <w:pStyle w:val="Heading2"/>
        <w:numPr>
          <w:ilvl w:val="1"/>
          <w:numId w:val="2"/>
        </w:numPr>
        <w:tabs>
          <w:tab w:pos="1113" w:val="left" w:leader="none"/>
          <w:tab w:pos="1114" w:val="left" w:leader="none"/>
        </w:tabs>
        <w:spacing w:line="282" w:lineRule="exact" w:before="0" w:after="0"/>
        <w:ind w:left="1114" w:right="0" w:hanging="579"/>
        <w:jc w:val="left"/>
      </w:pPr>
      <w:r>
        <w:rPr>
          <w:spacing w:val="-3"/>
        </w:rPr>
        <w:t>器官移植致人类免疫缺陷病毒</w:t>
      </w:r>
      <w:r>
        <w:rPr/>
        <w:t>（</w:t>
      </w:r>
      <w:r>
        <w:rPr>
          <w:rFonts w:ascii="Times New Roman" w:eastAsia="Times New Roman"/>
        </w:rPr>
        <w:t>HIV</w:t>
      </w:r>
      <w:r>
        <w:rPr/>
        <w:t>）感染</w:t>
      </w:r>
    </w:p>
    <w:p>
      <w:pPr>
        <w:pStyle w:val="BodyText"/>
        <w:spacing w:line="272" w:lineRule="exact"/>
        <w:ind w:left="535"/>
      </w:pPr>
      <w:r>
        <w:rPr/>
        <w:t>被保险人因接受器官移植感染上人类免疫缺陷病毒（</w:t>
      </w:r>
      <w:r>
        <w:rPr>
          <w:rFonts w:ascii="Times New Roman" w:eastAsia="Times New Roman"/>
        </w:rPr>
        <w:t>HIV</w:t>
      </w:r>
      <w:r>
        <w:rPr/>
        <w:t>）并且满足下列全部条件：</w:t>
      </w:r>
    </w:p>
    <w:p>
      <w:pPr>
        <w:pStyle w:val="BodyText"/>
        <w:spacing w:line="272" w:lineRule="exact"/>
        <w:ind w:left="535"/>
      </w:pPr>
      <w:r>
        <w:rPr/>
        <w:t>（</w:t>
      </w:r>
      <w:r>
        <w:rPr>
          <w:rFonts w:ascii="Times New Roman" w:eastAsia="Times New Roman"/>
        </w:rPr>
        <w:t>1</w:t>
      </w:r>
      <w:r>
        <w:rPr/>
        <w:t>）在等待期后，被保险人接受器官移植，并因此感染 </w:t>
      </w:r>
      <w:r>
        <w:rPr>
          <w:rFonts w:ascii="Times New Roman" w:eastAsia="Times New Roman"/>
        </w:rPr>
        <w:t>HIV</w:t>
      </w:r>
      <w:r>
        <w:rPr/>
        <w:t>；</w:t>
      </w:r>
    </w:p>
    <w:p>
      <w:pPr>
        <w:pStyle w:val="BodyText"/>
        <w:spacing w:line="282" w:lineRule="exact"/>
        <w:ind w:left="535"/>
        <w:rPr>
          <w:rFonts w:ascii="Times New Roman" w:eastAsia="Times New Roman"/>
        </w:rPr>
      </w:pPr>
      <w:r>
        <w:rPr/>
        <w:t>（</w:t>
      </w:r>
      <w:r>
        <w:rPr>
          <w:rFonts w:ascii="Times New Roman" w:eastAsia="Times New Roman"/>
        </w:rPr>
        <w:t>2</w:t>
      </w:r>
      <w:r>
        <w:rPr/>
        <w:t>）实施器官移植的医院为三级医院</w:t>
      </w:r>
      <w:r>
        <w:rPr>
          <w:rFonts w:ascii="Times New Roman" w:eastAsia="Times New Roman"/>
        </w:rPr>
        <w:t>;</w:t>
      </w:r>
    </w:p>
    <w:p>
      <w:pPr>
        <w:spacing w:after="0" w:line="282" w:lineRule="exact"/>
        <w:rPr>
          <w:rFonts w:ascii="Times New Roman" w:eastAsia="Times New Roman"/>
        </w:rPr>
        <w:sectPr>
          <w:pgSz w:w="11910" w:h="16840"/>
          <w:pgMar w:header="0" w:footer="1239" w:top="1060" w:bottom="1420" w:left="1020" w:right="1580"/>
        </w:sectPr>
      </w:pPr>
    </w:p>
    <w:p>
      <w:pPr>
        <w:pStyle w:val="BodyText"/>
        <w:spacing w:line="282" w:lineRule="exact" w:before="20"/>
        <w:ind w:left="524"/>
      </w:pPr>
      <w:r>
        <w:rPr/>
        <w:t>（</w:t>
      </w:r>
      <w:r>
        <w:rPr>
          <w:rFonts w:ascii="Times New Roman" w:eastAsia="Times New Roman"/>
        </w:rPr>
        <w:t>3</w:t>
      </w:r>
      <w:r>
        <w:rPr/>
        <w:t>）实施移植医院出具具有法律效力的证明确认移植器官来自 </w:t>
      </w:r>
      <w:r>
        <w:rPr>
          <w:rFonts w:ascii="Times New Roman" w:eastAsia="Times New Roman"/>
        </w:rPr>
        <w:t>HIV </w:t>
      </w:r>
      <w:r>
        <w:rPr/>
        <w:t>感染者；</w:t>
      </w:r>
    </w:p>
    <w:p>
      <w:pPr>
        <w:pStyle w:val="BodyText"/>
        <w:spacing w:line="223" w:lineRule="auto" w:before="11"/>
        <w:ind w:left="102" w:right="208" w:firstLine="422"/>
      </w:pPr>
      <w:r>
        <w:rPr>
          <w:spacing w:val="-6"/>
        </w:rPr>
        <w:t>在任何治愈艾滋病</w:t>
      </w:r>
      <w:r>
        <w:rPr>
          <w:spacing w:val="-5"/>
        </w:rPr>
        <w:t>（</w:t>
      </w:r>
      <w:r>
        <w:rPr>
          <w:rFonts w:ascii="Times New Roman" w:eastAsia="Times New Roman"/>
          <w:spacing w:val="-5"/>
        </w:rPr>
        <w:t>AIDS</w:t>
      </w:r>
      <w:r>
        <w:rPr>
          <w:spacing w:val="-5"/>
        </w:rPr>
        <w:t>）</w:t>
      </w:r>
      <w:r>
        <w:rPr>
          <w:spacing w:val="-13"/>
        </w:rPr>
        <w:t>或阻止 </w:t>
      </w:r>
      <w:r>
        <w:rPr>
          <w:rFonts w:ascii="Times New Roman" w:eastAsia="Times New Roman"/>
        </w:rPr>
        <w:t>HIV </w:t>
      </w:r>
      <w:r>
        <w:rPr>
          <w:spacing w:val="-8"/>
        </w:rPr>
        <w:t>病毒作用的疗法被发现以后，或能防止 </w:t>
      </w:r>
      <w:r>
        <w:rPr>
          <w:rFonts w:ascii="Times New Roman" w:eastAsia="Times New Roman"/>
        </w:rPr>
        <w:t>AIDS </w:t>
      </w:r>
      <w:r>
        <w:rPr>
          <w:spacing w:val="-3"/>
        </w:rPr>
        <w:t>发生的医疗方法被研究出来以后，本保障将不再予以赔付。</w:t>
      </w:r>
    </w:p>
    <w:p>
      <w:pPr>
        <w:pStyle w:val="BodyText"/>
        <w:spacing w:before="5"/>
        <w:rPr>
          <w:sz w:val="18"/>
        </w:rPr>
      </w:pPr>
    </w:p>
    <w:p>
      <w:pPr>
        <w:pStyle w:val="Heading2"/>
        <w:numPr>
          <w:ilvl w:val="1"/>
          <w:numId w:val="2"/>
        </w:numPr>
        <w:tabs>
          <w:tab w:pos="1102" w:val="left" w:leader="none"/>
          <w:tab w:pos="1103" w:val="left" w:leader="none"/>
        </w:tabs>
        <w:spacing w:line="281" w:lineRule="exact" w:before="0" w:after="0"/>
        <w:ind w:left="1102" w:right="0" w:hanging="578"/>
        <w:jc w:val="left"/>
      </w:pPr>
      <w:r>
        <w:rPr/>
        <w:t>埃博拉病毒感染</w:t>
      </w:r>
    </w:p>
    <w:p>
      <w:pPr>
        <w:pStyle w:val="BodyText"/>
        <w:spacing w:line="237" w:lineRule="auto"/>
        <w:ind w:left="102" w:right="207" w:firstLine="422"/>
      </w:pPr>
      <w:r>
        <w:rPr/>
        <w:t>指埃博拉病毒感染导致的急性出血性传染病。埃博拉病毒病必须经国家认可的有合法资质的传染病专家确诊并且上报国家疾病控制中心接受了隔离和治疗，必须满足下列所有条件：</w:t>
      </w:r>
    </w:p>
    <w:p>
      <w:pPr>
        <w:pStyle w:val="BodyText"/>
        <w:spacing w:line="280" w:lineRule="exact" w:before="7"/>
        <w:ind w:left="524"/>
      </w:pPr>
      <w:r>
        <w:rPr/>
        <w:t>（</w:t>
      </w:r>
      <w:r>
        <w:rPr>
          <w:rFonts w:ascii="Times New Roman" w:eastAsia="Times New Roman"/>
        </w:rPr>
        <w:t>1</w:t>
      </w:r>
      <w:r>
        <w:rPr/>
        <w:t>）实验室检查证据证实存在埃博拉病毒感染；</w:t>
      </w:r>
    </w:p>
    <w:p>
      <w:pPr>
        <w:pStyle w:val="BodyText"/>
        <w:spacing w:line="272" w:lineRule="exact"/>
        <w:ind w:left="524"/>
      </w:pPr>
      <w:r>
        <w:rPr/>
        <w:t>（</w:t>
      </w:r>
      <w:r>
        <w:rPr>
          <w:rFonts w:ascii="Times New Roman" w:eastAsia="Times New Roman"/>
        </w:rPr>
        <w:t>2</w:t>
      </w:r>
      <w:r>
        <w:rPr/>
        <w:t>）存在持续 </w:t>
      </w:r>
      <w:r>
        <w:rPr>
          <w:rFonts w:ascii="Times New Roman" w:eastAsia="Times New Roman"/>
        </w:rPr>
        <w:t>30 </w:t>
      </w:r>
      <w:r>
        <w:rPr/>
        <w:t>天以上广泛出血的临床表现。</w:t>
      </w:r>
    </w:p>
    <w:p>
      <w:pPr>
        <w:pStyle w:val="Heading2"/>
        <w:spacing w:line="266" w:lineRule="exact"/>
        <w:ind w:left="526" w:firstLine="0"/>
      </w:pPr>
      <w:r>
        <w:rPr/>
        <w:t>埃博拉病毒感染疑似病例，在确诊之前已经死亡的不在保障范围内。</w:t>
      </w:r>
    </w:p>
    <w:p>
      <w:pPr>
        <w:pStyle w:val="BodyText"/>
        <w:spacing w:before="3"/>
        <w:rPr>
          <w:b/>
          <w:sz w:val="18"/>
        </w:rPr>
      </w:pPr>
    </w:p>
    <w:p>
      <w:pPr>
        <w:pStyle w:val="ListParagraph"/>
        <w:numPr>
          <w:ilvl w:val="1"/>
          <w:numId w:val="2"/>
        </w:numPr>
        <w:tabs>
          <w:tab w:pos="1102" w:val="left" w:leader="none"/>
          <w:tab w:pos="1103" w:val="left" w:leader="none"/>
        </w:tabs>
        <w:spacing w:line="281" w:lineRule="exact" w:before="0" w:after="0"/>
        <w:ind w:left="1102" w:right="0" w:hanging="578"/>
        <w:jc w:val="left"/>
        <w:rPr>
          <w:b/>
          <w:sz w:val="21"/>
        </w:rPr>
      </w:pPr>
      <w:r>
        <w:rPr>
          <w:b/>
          <w:sz w:val="21"/>
        </w:rPr>
        <w:t>终末期疾病</w:t>
      </w:r>
    </w:p>
    <w:p>
      <w:pPr>
        <w:pStyle w:val="BodyText"/>
        <w:spacing w:line="237" w:lineRule="auto"/>
        <w:ind w:left="102" w:right="207" w:firstLine="422"/>
        <w:jc w:val="both"/>
      </w:pPr>
      <w:r>
        <w:rPr/>
        <w:t>被保险人被三级医院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p>
      <w:pPr>
        <w:pStyle w:val="BodyText"/>
        <w:spacing w:before="10"/>
        <w:rPr>
          <w:sz w:val="18"/>
        </w:rPr>
      </w:pPr>
    </w:p>
    <w:p>
      <w:pPr>
        <w:pStyle w:val="Heading2"/>
        <w:numPr>
          <w:ilvl w:val="1"/>
          <w:numId w:val="2"/>
        </w:numPr>
        <w:tabs>
          <w:tab w:pos="1102" w:val="left" w:leader="none"/>
          <w:tab w:pos="1103" w:val="left" w:leader="none"/>
        </w:tabs>
        <w:spacing w:line="281" w:lineRule="exact" w:before="1" w:after="0"/>
        <w:ind w:left="1102" w:right="0" w:hanging="578"/>
        <w:jc w:val="left"/>
      </w:pPr>
      <w:r>
        <w:rPr>
          <w:spacing w:val="-2"/>
        </w:rPr>
        <w:t>川崎病冠状动脉瘤手术</w:t>
      </w:r>
    </w:p>
    <w:p>
      <w:pPr>
        <w:pStyle w:val="BodyText"/>
        <w:spacing w:line="237" w:lineRule="auto"/>
        <w:ind w:left="102" w:right="100" w:firstLine="422"/>
      </w:pPr>
      <w:r>
        <w:rPr>
          <w:spacing w:val="-9"/>
        </w:rPr>
        <w:t>川崎病</w:t>
      </w:r>
      <w:r>
        <w:rPr>
          <w:spacing w:val="-3"/>
        </w:rPr>
        <w:t>（又称皮肤粘膜淋巴结综合征</w:t>
      </w:r>
      <w:r>
        <w:rPr>
          <w:spacing w:val="-66"/>
        </w:rPr>
        <w:t>）</w:t>
      </w:r>
      <w:r>
        <w:rPr>
          <w:spacing w:val="-12"/>
        </w:rPr>
        <w:t>，指以皮肤粘膜出疹、淋巴结肿大和多发性动脉炎为特点的小儿急性发热性疾病。本附加合同仅对经诊断证实为川崎病且并发冠状动脉瘤或其他心血管异常， </w:t>
      </w:r>
      <w:r>
        <w:rPr>
          <w:spacing w:val="-3"/>
        </w:rPr>
        <w:t>且实际接受了针对动脉瘤或其他心血管异常而进行外科手术治疗的情况予以理赔。</w:t>
      </w:r>
    </w:p>
    <w:p>
      <w:pPr>
        <w:pStyle w:val="BodyText"/>
        <w:spacing w:before="12"/>
        <w:rPr>
          <w:sz w:val="18"/>
        </w:rPr>
      </w:pPr>
    </w:p>
    <w:p>
      <w:pPr>
        <w:pStyle w:val="Heading2"/>
        <w:numPr>
          <w:ilvl w:val="1"/>
          <w:numId w:val="2"/>
        </w:numPr>
        <w:tabs>
          <w:tab w:pos="1102" w:val="left" w:leader="none"/>
          <w:tab w:pos="1103" w:val="left" w:leader="none"/>
        </w:tabs>
        <w:spacing w:line="281" w:lineRule="exact" w:before="0" w:after="0"/>
        <w:ind w:left="1102" w:right="0" w:hanging="578"/>
        <w:jc w:val="left"/>
      </w:pPr>
      <w:r>
        <w:rPr>
          <w:spacing w:val="-2"/>
        </w:rPr>
        <w:t>严重幼年型类风湿关节炎</w:t>
      </w:r>
    </w:p>
    <w:p>
      <w:pPr>
        <w:pStyle w:val="BodyText"/>
        <w:spacing w:line="237" w:lineRule="auto"/>
        <w:ind w:left="102" w:right="207" w:firstLine="422"/>
      </w:pPr>
      <w:r>
        <w:rPr/>
        <w:t>幼年型类风湿关节炎是一种儿童期发病的慢性关节炎，其特点为在高热和系统性病征出现数月后发生关节炎。</w:t>
      </w:r>
    </w:p>
    <w:p>
      <w:pPr>
        <w:pStyle w:val="BodyText"/>
        <w:spacing w:line="237" w:lineRule="auto" w:before="9"/>
        <w:ind w:left="102" w:right="207" w:firstLine="422"/>
      </w:pPr>
      <w:r>
        <w:rPr/>
        <w:t>本附加合同仅对为了治疗严重幼年型类风湿关节炎，实际实施了膝关节或髋关节置换手术予以理赔。</w:t>
      </w:r>
    </w:p>
    <w:p>
      <w:pPr>
        <w:pStyle w:val="BodyText"/>
        <w:spacing w:before="5"/>
        <w:rPr>
          <w:sz w:val="18"/>
        </w:rPr>
      </w:pPr>
    </w:p>
    <w:p>
      <w:pPr>
        <w:pStyle w:val="Heading2"/>
        <w:numPr>
          <w:ilvl w:val="1"/>
          <w:numId w:val="2"/>
        </w:numPr>
        <w:tabs>
          <w:tab w:pos="1102" w:val="left" w:leader="none"/>
          <w:tab w:pos="1103" w:val="left" w:leader="none"/>
        </w:tabs>
        <w:spacing w:line="281" w:lineRule="exact" w:before="0" w:after="0"/>
        <w:ind w:left="1102" w:right="0" w:hanging="578"/>
        <w:jc w:val="left"/>
      </w:pPr>
      <w:r>
        <w:rPr>
          <w:spacing w:val="-2"/>
        </w:rPr>
        <w:t>因疾病或外伤导致智力缺陷</w:t>
      </w:r>
    </w:p>
    <w:p>
      <w:pPr>
        <w:pStyle w:val="BodyText"/>
        <w:spacing w:line="230" w:lineRule="auto" w:before="1"/>
        <w:ind w:left="102" w:right="204" w:firstLine="422"/>
        <w:jc w:val="both"/>
      </w:pPr>
      <w:r>
        <w:rPr>
          <w:spacing w:val="-3"/>
        </w:rPr>
        <w:t>因严重头部创伤或疾病造成被保险人智力低常</w:t>
      </w:r>
      <w:r>
        <w:rPr/>
        <w:t>（</w:t>
      </w:r>
      <w:r>
        <w:rPr>
          <w:spacing w:val="-2"/>
        </w:rPr>
        <w:t>智力低于常态</w:t>
      </w:r>
      <w:r>
        <w:rPr/>
        <w:t>）</w:t>
      </w:r>
      <w:r>
        <w:rPr>
          <w:spacing w:val="-3"/>
        </w:rPr>
        <w:t>或智力残疾。根据智商</w:t>
      </w:r>
      <w:r>
        <w:rPr/>
        <w:t>（</w:t>
      </w:r>
      <w:r>
        <w:rPr>
          <w:rFonts w:ascii="Times New Roman" w:eastAsia="Times New Roman"/>
        </w:rPr>
        <w:t>IQ</w:t>
      </w:r>
      <w:r>
        <w:rPr/>
        <w:t>） </w:t>
      </w:r>
      <w:r>
        <w:rPr>
          <w:spacing w:val="-2"/>
          <w:w w:val="100"/>
        </w:rPr>
        <w:t>智力低常分为轻度</w:t>
      </w:r>
      <w:r>
        <w:rPr>
          <w:spacing w:val="-1"/>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50</w:t>
      </w:r>
      <w:r>
        <w:rPr>
          <w:rFonts w:ascii="Times New Roman" w:eastAsia="Times New Roman"/>
          <w:spacing w:val="-4"/>
          <w:w w:val="100"/>
        </w:rPr>
        <w:t>-</w:t>
      </w:r>
      <w:r>
        <w:rPr>
          <w:rFonts w:ascii="Times New Roman" w:eastAsia="Times New Roman"/>
          <w:w w:val="100"/>
        </w:rPr>
        <w:t>70</w:t>
      </w:r>
      <w:r>
        <w:rPr>
          <w:spacing w:val="-106"/>
          <w:w w:val="100"/>
        </w:rPr>
        <w:t>）</w:t>
      </w:r>
      <w:r>
        <w:rPr>
          <w:w w:val="100"/>
        </w:rPr>
        <w:t>；中度（</w:t>
      </w:r>
      <w:r>
        <w:rPr>
          <w:rFonts w:ascii="Times New Roman" w:eastAsia="Times New Roman"/>
          <w:spacing w:val="-4"/>
          <w:w w:val="100"/>
        </w:rPr>
        <w:t>I</w:t>
      </w:r>
      <w:r>
        <w:rPr>
          <w:rFonts w:ascii="Times New Roman" w:eastAsia="Times New Roman"/>
          <w:w w:val="100"/>
        </w:rPr>
        <w:t>Q</w:t>
      </w:r>
      <w:r>
        <w:rPr>
          <w:rFonts w:ascii="Times New Roman" w:eastAsia="Times New Roman"/>
          <w:spacing w:val="-3"/>
          <w:w w:val="100"/>
        </w:rPr>
        <w:t>3</w:t>
      </w:r>
      <w:r>
        <w:rPr>
          <w:rFonts w:ascii="Times New Roman" w:eastAsia="Times New Roman"/>
          <w:w w:val="100"/>
        </w:rPr>
        <w:t>5</w:t>
      </w:r>
      <w:r>
        <w:rPr>
          <w:rFonts w:ascii="Times New Roman" w:eastAsia="Times New Roman"/>
          <w:spacing w:val="-4"/>
          <w:w w:val="100"/>
        </w:rPr>
        <w:t>-</w:t>
      </w:r>
      <w:r>
        <w:rPr>
          <w:rFonts w:ascii="Times New Roman" w:eastAsia="Times New Roman"/>
          <w:w w:val="100"/>
        </w:rPr>
        <w:t>50</w:t>
      </w:r>
      <w:r>
        <w:rPr>
          <w:spacing w:val="-106"/>
          <w:w w:val="100"/>
        </w:rPr>
        <w:t>）</w:t>
      </w:r>
      <w:r>
        <w:rPr>
          <w:w w:val="100"/>
        </w:rPr>
        <w:t>；重度（</w:t>
      </w:r>
      <w:r>
        <w:rPr>
          <w:rFonts w:ascii="Times New Roman" w:eastAsia="Times New Roman"/>
          <w:spacing w:val="-4"/>
          <w:w w:val="100"/>
        </w:rPr>
        <w:t>I</w:t>
      </w:r>
      <w:r>
        <w:rPr>
          <w:rFonts w:ascii="Times New Roman" w:eastAsia="Times New Roman"/>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35</w:t>
      </w:r>
      <w:r>
        <w:rPr>
          <w:w w:val="100"/>
        </w:rPr>
        <w:t>）</w:t>
      </w:r>
      <w:r>
        <w:rPr>
          <w:spacing w:val="-1"/>
          <w:w w:val="100"/>
        </w:rPr>
        <w:t>和极重度</w:t>
      </w:r>
      <w:r>
        <w:rPr>
          <w:spacing w:val="-3"/>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&lt;2</w:t>
      </w:r>
      <w:r>
        <w:rPr>
          <w:rFonts w:ascii="Times New Roman" w:eastAsia="Times New Roman"/>
          <w:spacing w:val="0"/>
          <w:w w:val="100"/>
        </w:rPr>
        <w:t>0</w:t>
      </w:r>
      <w:r>
        <w:rPr>
          <w:spacing w:val="-106"/>
          <w:w w:val="100"/>
        </w:rPr>
        <w:t>）</w:t>
      </w:r>
      <w:r>
        <w:rPr>
          <w:spacing w:val="-2"/>
          <w:w w:val="100"/>
        </w:rPr>
        <w:t>。智商</w:t>
      </w:r>
      <w:r>
        <w:rPr>
          <w:spacing w:val="-2"/>
        </w:rPr>
        <w:t> </w:t>
      </w:r>
      <w:r>
        <w:rPr>
          <w:rFonts w:ascii="Times New Roman" w:eastAsia="Times New Roman"/>
          <w:spacing w:val="-2"/>
          <w:w w:val="100"/>
        </w:rPr>
        <w:t>70</w:t>
      </w:r>
      <w:r>
        <w:rPr>
          <w:rFonts w:ascii="Times New Roman" w:eastAsia="Times New Roman"/>
          <w:spacing w:val="-4"/>
          <w:w w:val="100"/>
        </w:rPr>
        <w:t>-</w:t>
      </w:r>
      <w:r>
        <w:rPr>
          <w:rFonts w:ascii="Times New Roman" w:eastAsia="Times New Roman"/>
          <w:w w:val="100"/>
        </w:rPr>
        <w:t>85</w:t>
      </w:r>
      <w:r>
        <w:rPr>
          <w:spacing w:val="-3"/>
        </w:rPr>
        <w:t>为智力临界低常，不在本保障范围内。智商的检测必须由本公司认可的专职心理测验工作者进行， 心理测验工作者必须持有由心理测量专业委员会资格认定书。根据被保险人年龄采用对应的智力量表如韦克斯勒智力量表（儿童智力量表或成人智力量表</w:t>
      </w:r>
      <w:r>
        <w:rPr>
          <w:spacing w:val="-108"/>
        </w:rPr>
        <w:t>）</w:t>
      </w:r>
      <w:r>
        <w:rPr/>
        <w:t>。</w:t>
      </w:r>
    </w:p>
    <w:p>
      <w:pPr>
        <w:pStyle w:val="BodyText"/>
        <w:spacing w:line="271" w:lineRule="exact"/>
        <w:ind w:left="524"/>
      </w:pPr>
      <w:r>
        <w:rPr/>
        <w:t>理赔时必须满足下列所有条件：</w:t>
      </w:r>
    </w:p>
    <w:p>
      <w:pPr>
        <w:pStyle w:val="BodyText"/>
        <w:spacing w:line="280" w:lineRule="exact"/>
        <w:ind w:left="524"/>
      </w:pPr>
      <w:r>
        <w:rPr/>
        <w:t>（</w:t>
      </w:r>
      <w:r>
        <w:rPr>
          <w:rFonts w:ascii="Times New Roman" w:eastAsia="Times New Roman"/>
        </w:rPr>
        <w:t>1</w:t>
      </w:r>
      <w:r>
        <w:rPr/>
        <w:t>）被保险人大于或等于六周岁，且确诊时小于二十五周岁；</w:t>
      </w:r>
    </w:p>
    <w:p>
      <w:pPr>
        <w:pStyle w:val="BodyText"/>
        <w:spacing w:line="272" w:lineRule="exact"/>
        <w:ind w:left="524"/>
      </w:pPr>
      <w:r>
        <w:rPr/>
        <w:t>（</w:t>
      </w:r>
      <w:r>
        <w:rPr>
          <w:rFonts w:ascii="Times New Roman" w:eastAsia="Times New Roman"/>
        </w:rPr>
        <w:t>2</w:t>
      </w:r>
      <w:r>
        <w:rPr/>
        <w:t>）主任医师确诊被保险人由于严重头部创伤或疾病造成智力低下；</w:t>
      </w:r>
    </w:p>
    <w:p>
      <w:pPr>
        <w:pStyle w:val="BodyText"/>
        <w:spacing w:line="272" w:lineRule="exact"/>
        <w:ind w:left="524"/>
      </w:pPr>
      <w:r>
        <w:rPr>
          <w:w w:val="100"/>
        </w:rPr>
        <w:t>（</w:t>
      </w:r>
      <w:r>
        <w:rPr>
          <w:rFonts w:ascii="Times New Roman" w:eastAsia="Times New Roman"/>
          <w:spacing w:val="-3"/>
          <w:w w:val="100"/>
        </w:rPr>
        <w:t>3</w:t>
      </w:r>
      <w:r>
        <w:rPr>
          <w:spacing w:val="-92"/>
          <w:w w:val="100"/>
        </w:rPr>
        <w:t>）</w:t>
      </w:r>
      <w:r>
        <w:rPr>
          <w:spacing w:val="-7"/>
          <w:w w:val="100"/>
        </w:rPr>
        <w:t>专职合格心理检测工作者适时做的心理检测证实被保险人智力低常</w:t>
      </w:r>
      <w:r>
        <w:rPr>
          <w:spacing w:val="-3"/>
          <w:w w:val="100"/>
        </w:rPr>
        <w:t>（</w:t>
      </w:r>
      <w:r>
        <w:rPr>
          <w:spacing w:val="-14"/>
          <w:w w:val="100"/>
        </w:rPr>
        <w:t>中度、重度或极重度</w:t>
      </w:r>
      <w:r>
        <w:rPr>
          <w:spacing w:val="-108"/>
          <w:w w:val="100"/>
        </w:rPr>
        <w:t>）</w:t>
      </w:r>
      <w:r>
        <w:rPr>
          <w:w w:val="100"/>
        </w:rPr>
        <w:t>；</w:t>
      </w:r>
    </w:p>
    <w:p>
      <w:pPr>
        <w:pStyle w:val="BodyText"/>
        <w:spacing w:line="281" w:lineRule="exact"/>
        <w:ind w:left="524"/>
      </w:pPr>
      <w:r>
        <w:rPr/>
        <w:t>（</w:t>
      </w:r>
      <w:r>
        <w:rPr>
          <w:rFonts w:ascii="Times New Roman" w:eastAsia="Times New Roman"/>
        </w:rPr>
        <w:t>4</w:t>
      </w:r>
      <w:r>
        <w:rPr/>
        <w:t>）被保险人的智力低常自确认日起持续 </w:t>
      </w:r>
      <w:r>
        <w:rPr>
          <w:rFonts w:ascii="Times New Roman" w:eastAsia="Times New Roman"/>
        </w:rPr>
        <w:t>180 </w:t>
      </w:r>
      <w:r>
        <w:rPr/>
        <w:t>天以上。</w:t>
      </w:r>
    </w:p>
    <w:p>
      <w:pPr>
        <w:pStyle w:val="BodyText"/>
        <w:rPr>
          <w:sz w:val="17"/>
        </w:rPr>
      </w:pPr>
    </w:p>
    <w:p>
      <w:pPr>
        <w:pStyle w:val="Heading2"/>
        <w:numPr>
          <w:ilvl w:val="1"/>
          <w:numId w:val="2"/>
        </w:numPr>
        <w:tabs>
          <w:tab w:pos="1102" w:val="left" w:leader="none"/>
          <w:tab w:pos="1103" w:val="left" w:leader="none"/>
        </w:tabs>
        <w:spacing w:line="282" w:lineRule="exact" w:before="0" w:after="0"/>
        <w:ind w:left="1102" w:right="0" w:hanging="578"/>
        <w:jc w:val="left"/>
      </w:pPr>
      <w:r>
        <w:rPr>
          <w:spacing w:val="-2"/>
        </w:rPr>
        <w:t>严重肠道疾病并发症</w:t>
      </w:r>
    </w:p>
    <w:p>
      <w:pPr>
        <w:pStyle w:val="BodyText"/>
        <w:spacing w:line="264" w:lineRule="exact"/>
        <w:ind w:left="524"/>
      </w:pPr>
      <w:r>
        <w:rPr/>
        <w:t>严重肠道疾病或外伤导致小肠损害并发症，必须满足下列所有条件：</w:t>
      </w:r>
    </w:p>
    <w:p>
      <w:pPr>
        <w:pStyle w:val="BodyText"/>
        <w:spacing w:line="280" w:lineRule="exact"/>
        <w:ind w:left="524"/>
      </w:pPr>
      <w:r>
        <w:rPr/>
        <w:t>（</w:t>
      </w:r>
      <w:r>
        <w:rPr>
          <w:rFonts w:ascii="Times New Roman" w:eastAsia="Times New Roman"/>
        </w:rPr>
        <w:t>1</w:t>
      </w:r>
      <w:r>
        <w:rPr/>
        <w:t>）至少切除了三分之二小肠；</w:t>
      </w:r>
    </w:p>
    <w:p>
      <w:pPr>
        <w:pStyle w:val="BodyText"/>
        <w:spacing w:line="282" w:lineRule="exact"/>
        <w:ind w:left="524"/>
      </w:pPr>
      <w:r>
        <w:rPr/>
        <w:t>（</w:t>
      </w:r>
      <w:r>
        <w:rPr>
          <w:rFonts w:ascii="Times New Roman" w:eastAsia="Times New Roman"/>
        </w:rPr>
        <w:t>2</w:t>
      </w:r>
      <w:r>
        <w:rPr/>
        <w:t>）完全肠外营养支持 </w:t>
      </w:r>
      <w:r>
        <w:rPr>
          <w:rFonts w:ascii="Times New Roman" w:eastAsia="Times New Roman"/>
        </w:rPr>
        <w:t>3 </w:t>
      </w:r>
      <w:r>
        <w:rPr/>
        <w:t>个月以上。</w:t>
      </w:r>
    </w:p>
    <w:p>
      <w:pPr>
        <w:pStyle w:val="BodyText"/>
        <w:spacing w:before="1"/>
        <w:rPr>
          <w:sz w:val="17"/>
        </w:rPr>
      </w:pPr>
    </w:p>
    <w:p>
      <w:pPr>
        <w:pStyle w:val="Heading2"/>
        <w:numPr>
          <w:ilvl w:val="1"/>
          <w:numId w:val="2"/>
        </w:numPr>
        <w:tabs>
          <w:tab w:pos="1102" w:val="left" w:leader="none"/>
          <w:tab w:pos="1103" w:val="left" w:leader="none"/>
        </w:tabs>
        <w:spacing w:line="281" w:lineRule="exact" w:before="1" w:after="0"/>
        <w:ind w:left="1102" w:right="0" w:hanging="578"/>
        <w:jc w:val="left"/>
      </w:pPr>
      <w:r>
        <w:rPr/>
        <w:t>严重瑞氏综合征</w:t>
      </w:r>
    </w:p>
    <w:p>
      <w:pPr>
        <w:pStyle w:val="BodyText"/>
        <w:spacing w:line="230" w:lineRule="auto" w:before="2"/>
        <w:ind w:left="102" w:right="180" w:firstLine="422"/>
        <w:jc w:val="both"/>
      </w:pPr>
      <w:r>
        <w:rPr/>
        <w:t>瑞氏综合征（</w:t>
      </w:r>
      <w:r>
        <w:rPr>
          <w:rFonts w:ascii="Times New Roman" w:eastAsia="Times New Roman"/>
        </w:rPr>
        <w:t>Reye </w:t>
      </w:r>
      <w:r>
        <w:rPr/>
        <w:t>综合征）是线粒体功能障碍性疾病。导致脂肪代谢障碍，引起短链脂肪酸、血氨升高，造成脑水肿。主要临床表现为急性发热、反复呕吐、惊厥及意识障碍等等。肝脏活检是确诊的重要手段。瑞氏综合征需由三级医院的专科医生确诊，并满足下列所有条件：</w:t>
      </w:r>
    </w:p>
    <w:p>
      <w:pPr>
        <w:pStyle w:val="BodyText"/>
        <w:spacing w:line="280" w:lineRule="exact"/>
        <w:ind w:left="524"/>
      </w:pPr>
      <w:r>
        <w:rPr/>
        <w:t>（</w:t>
      </w:r>
      <w:r>
        <w:rPr>
          <w:rFonts w:ascii="Times New Roman" w:eastAsia="Times New Roman"/>
        </w:rPr>
        <w:t>1</w:t>
      </w:r>
      <w:r>
        <w:rPr/>
        <w:t>）有脑水肿和颅内压升高的脑脊液检查和影像学检查证据；</w:t>
      </w:r>
    </w:p>
    <w:p>
      <w:pPr>
        <w:pStyle w:val="BodyText"/>
        <w:spacing w:line="272" w:lineRule="exact"/>
        <w:ind w:left="524"/>
      </w:pPr>
      <w:r>
        <w:rPr/>
        <w:t>（</w:t>
      </w:r>
      <w:r>
        <w:rPr>
          <w:rFonts w:ascii="Times New Roman" w:eastAsia="Times New Roman"/>
        </w:rPr>
        <w:t>2</w:t>
      </w:r>
      <w:r>
        <w:rPr/>
        <w:t>）血氨超过正常值的 </w:t>
      </w:r>
      <w:r>
        <w:rPr>
          <w:rFonts w:ascii="Times New Roman" w:eastAsia="Times New Roman"/>
        </w:rPr>
        <w:t>3 </w:t>
      </w:r>
      <w:r>
        <w:rPr/>
        <w:t>倍；</w:t>
      </w:r>
    </w:p>
    <w:p>
      <w:pPr>
        <w:pStyle w:val="BodyText"/>
        <w:spacing w:line="282" w:lineRule="exact"/>
        <w:ind w:left="524"/>
      </w:pPr>
      <w:r>
        <w:rPr/>
        <w:t>（</w:t>
      </w:r>
      <w:r>
        <w:rPr>
          <w:rFonts w:ascii="Times New Roman" w:eastAsia="Times New Roman"/>
        </w:rPr>
        <w:t>3</w:t>
      </w:r>
      <w:r>
        <w:rPr/>
        <w:t>）临床出现昏迷，病程至少达到疾病分期第 </w:t>
      </w:r>
      <w:r>
        <w:rPr>
          <w:rFonts w:ascii="Times New Roman" w:eastAsia="Times New Roman"/>
        </w:rPr>
        <w:t>3 </w:t>
      </w:r>
      <w:r>
        <w:rPr/>
        <w:t>期。</w:t>
      </w:r>
    </w:p>
    <w:p>
      <w:pPr>
        <w:spacing w:after="0" w:line="282" w:lineRule="exact"/>
        <w:sectPr>
          <w:pgSz w:w="11910" w:h="16840"/>
          <w:pgMar w:header="0" w:footer="1239" w:top="1060" w:bottom="1420" w:left="1600" w:right="920"/>
        </w:sectPr>
      </w:pPr>
    </w:p>
    <w:p>
      <w:pPr>
        <w:pStyle w:val="Heading2"/>
        <w:numPr>
          <w:ilvl w:val="1"/>
          <w:numId w:val="2"/>
        </w:numPr>
        <w:tabs>
          <w:tab w:pos="1113" w:val="left" w:leader="none"/>
          <w:tab w:pos="1114" w:val="left" w:leader="none"/>
        </w:tabs>
        <w:spacing w:line="282" w:lineRule="exact" w:before="20" w:after="0"/>
        <w:ind w:left="1114" w:right="0" w:hanging="579"/>
        <w:jc w:val="left"/>
      </w:pPr>
      <w:r>
        <w:rPr>
          <w:spacing w:val="-1"/>
        </w:rPr>
        <w:t>急性肺损伤（</w:t>
      </w:r>
      <w:r>
        <w:rPr>
          <w:rFonts w:ascii="Times New Roman" w:eastAsia="Times New Roman"/>
          <w:spacing w:val="-1"/>
        </w:rPr>
        <w:t>ALI</w:t>
      </w:r>
      <w:r>
        <w:rPr>
          <w:spacing w:val="-1"/>
        </w:rPr>
        <w:t>）</w:t>
      </w:r>
      <w:r>
        <w:rPr>
          <w:spacing w:val="-2"/>
        </w:rPr>
        <w:t>或急性呼吸窘迫综合征</w:t>
      </w:r>
      <w:r>
        <w:rPr/>
        <w:t>（</w:t>
      </w:r>
      <w:r>
        <w:rPr>
          <w:rFonts w:ascii="Times New Roman" w:eastAsia="Times New Roman"/>
        </w:rPr>
        <w:t>ARDS</w:t>
      </w:r>
      <w:r>
        <w:rPr/>
        <w:t>）</w:t>
      </w:r>
    </w:p>
    <w:p>
      <w:pPr>
        <w:pStyle w:val="BodyText"/>
        <w:spacing w:line="237" w:lineRule="auto"/>
        <w:ind w:left="112" w:right="116" w:firstLine="422"/>
      </w:pPr>
      <w:r>
        <w:rPr/>
        <w:t>一种表现为无心脏衰竭的肺水肿，为创伤、脓毒血症等临床多种疾病的并发症，造成多器官衰竭，死亡率高。</w:t>
      </w:r>
    </w:p>
    <w:p>
      <w:pPr>
        <w:pStyle w:val="BodyText"/>
        <w:spacing w:line="237" w:lineRule="auto" w:before="7"/>
        <w:ind w:left="112" w:right="115" w:firstLine="422"/>
      </w:pPr>
      <w:r>
        <w:rPr/>
        <w:t>急性肺损伤或急性呼吸窘迫综合征必须由呼吸系统专科医师诊断，被保险人确诊时年龄在二十五周岁以下，并有下列所有临床证据支持。</w:t>
      </w:r>
    </w:p>
    <w:p>
      <w:pPr>
        <w:pStyle w:val="BodyText"/>
        <w:spacing w:line="280" w:lineRule="exact"/>
        <w:ind w:left="535"/>
      </w:pPr>
      <w:r>
        <w:rPr>
          <w:w w:val="100"/>
        </w:rPr>
        <w:t>（</w:t>
      </w:r>
      <w:r>
        <w:rPr>
          <w:rFonts w:ascii="Times New Roman" w:eastAsia="Times New Roman"/>
          <w:w w:val="100"/>
        </w:rPr>
        <w:t>1</w:t>
      </w:r>
      <w:r>
        <w:rPr>
          <w:spacing w:val="-3"/>
          <w:w w:val="100"/>
        </w:rPr>
        <w:t>）急性发作</w:t>
      </w:r>
      <w:r>
        <w:rPr>
          <w:w w:val="100"/>
        </w:rPr>
        <w:t>（</w:t>
      </w:r>
      <w:r>
        <w:rPr>
          <w:spacing w:val="-3"/>
          <w:w w:val="100"/>
        </w:rPr>
        <w:t>原发疾病起病后</w:t>
      </w:r>
      <w:r>
        <w:rPr>
          <w:spacing w:val="-53"/>
        </w:rPr>
        <w:t> </w:t>
      </w:r>
      <w:r>
        <w:rPr>
          <w:rFonts w:ascii="Times New Roman" w:eastAsia="Times New Roman"/>
          <w:w w:val="100"/>
        </w:rPr>
        <w:t>6</w:t>
      </w:r>
      <w:r>
        <w:rPr>
          <w:rFonts w:ascii="Times New Roman" w:eastAsia="Times New Roman"/>
          <w:spacing w:val="-3"/>
        </w:rPr>
        <w:t> </w:t>
      </w:r>
      <w:r>
        <w:rPr>
          <w:w w:val="100"/>
        </w:rPr>
        <w:t>至</w:t>
      </w:r>
      <w:r>
        <w:rPr>
          <w:spacing w:val="-53"/>
        </w:rPr>
        <w:t> </w:t>
      </w:r>
      <w:r>
        <w:rPr>
          <w:rFonts w:ascii="Times New Roman" w:eastAsia="Times New Roman"/>
          <w:w w:val="100"/>
        </w:rPr>
        <w:t>72</w:t>
      </w:r>
      <w:r>
        <w:rPr>
          <w:rFonts w:ascii="Times New Roman" w:eastAsia="Times New Roman"/>
          <w:spacing w:val="-3"/>
        </w:rPr>
        <w:t> </w:t>
      </w:r>
      <w:r>
        <w:rPr>
          <w:w w:val="100"/>
        </w:rPr>
        <w:t>小时</w:t>
      </w:r>
      <w:r>
        <w:rPr>
          <w:spacing w:val="-108"/>
          <w:w w:val="100"/>
        </w:rPr>
        <w:t>）</w:t>
      </w:r>
      <w:r>
        <w:rPr>
          <w:w w:val="100"/>
        </w:rPr>
        <w:t>；</w:t>
      </w:r>
    </w:p>
    <w:p>
      <w:pPr>
        <w:pStyle w:val="BodyText"/>
        <w:spacing w:line="225" w:lineRule="auto" w:before="8"/>
        <w:ind w:left="112" w:right="117" w:firstLine="422"/>
      </w:pPr>
      <w:r>
        <w:rPr>
          <w:spacing w:val="-5"/>
        </w:rPr>
        <w:t>（</w:t>
      </w:r>
      <w:r>
        <w:rPr>
          <w:rFonts w:ascii="Times New Roman" w:eastAsia="Times New Roman"/>
          <w:spacing w:val="-5"/>
        </w:rPr>
        <w:t>2</w:t>
      </w:r>
      <w:r>
        <w:rPr>
          <w:spacing w:val="-5"/>
        </w:rPr>
        <w:t>）</w:t>
      </w:r>
      <w:r>
        <w:rPr>
          <w:spacing w:val="-8"/>
        </w:rPr>
        <w:t>急性发作的临床症状体征，包括呼吸急促、呼吸困难、心动过速、大汗、面色苍白及辅助</w:t>
      </w:r>
      <w:r>
        <w:rPr>
          <w:spacing w:val="-5"/>
          <w:w w:val="100"/>
        </w:rPr>
        <w:t>呼吸肌活动加强</w:t>
      </w:r>
      <w:r>
        <w:rPr>
          <w:w w:val="100"/>
        </w:rPr>
        <w:t>（</w:t>
      </w:r>
      <w:r>
        <w:rPr>
          <w:spacing w:val="-3"/>
          <w:w w:val="100"/>
        </w:rPr>
        <w:t>点头呼吸、提肩呼吸</w:t>
      </w:r>
      <w:r>
        <w:rPr>
          <w:spacing w:val="-108"/>
          <w:w w:val="100"/>
        </w:rPr>
        <w:t>）</w:t>
      </w:r>
      <w:r>
        <w:rPr>
          <w:w w:val="100"/>
        </w:rPr>
        <w:t>；</w:t>
      </w:r>
    </w:p>
    <w:p>
      <w:pPr>
        <w:pStyle w:val="BodyText"/>
        <w:spacing w:line="279" w:lineRule="exact"/>
        <w:ind w:left="535"/>
      </w:pPr>
      <w:r>
        <w:rPr/>
        <w:t>（</w:t>
      </w:r>
      <w:r>
        <w:rPr>
          <w:rFonts w:ascii="Times New Roman" w:eastAsia="Times New Roman"/>
        </w:rPr>
        <w:t>3</w:t>
      </w:r>
      <w:r>
        <w:rPr/>
        <w:t>）双肺浸润影；</w:t>
      </w:r>
    </w:p>
    <w:p>
      <w:pPr>
        <w:pStyle w:val="BodyText"/>
        <w:spacing w:line="272" w:lineRule="exact"/>
        <w:ind w:left="535"/>
      </w:pPr>
      <w:r>
        <w:rPr/>
        <w:t>（</w:t>
      </w:r>
      <w:r>
        <w:rPr>
          <w:rFonts w:ascii="Times New Roman" w:eastAsia="Times New Roman"/>
        </w:rPr>
        <w:t>4</w:t>
      </w:r>
      <w:r>
        <w:rPr/>
        <w:t>）</w:t>
      </w:r>
      <w:r>
        <w:rPr>
          <w:rFonts w:ascii="Times New Roman" w:eastAsia="Times New Roman"/>
        </w:rPr>
        <w:t>PaO2/FiO2</w:t>
      </w:r>
      <w:r>
        <w:rPr/>
        <w:t>（动脉血压分压</w:t>
      </w:r>
      <w:r>
        <w:rPr>
          <w:rFonts w:ascii="Times New Roman" w:eastAsia="Times New Roman"/>
        </w:rPr>
        <w:t>/</w:t>
      </w:r>
      <w:r>
        <w:rPr/>
        <w:t>吸入气氧分压）低于 </w:t>
      </w:r>
      <w:r>
        <w:rPr>
          <w:rFonts w:ascii="Times New Roman" w:eastAsia="Times New Roman"/>
        </w:rPr>
        <w:t>200mmHg</w:t>
      </w:r>
      <w:r>
        <w:rPr/>
        <w:t>；</w:t>
      </w:r>
    </w:p>
    <w:p>
      <w:pPr>
        <w:pStyle w:val="BodyText"/>
        <w:spacing w:line="272" w:lineRule="exact"/>
        <w:ind w:left="535"/>
      </w:pPr>
      <w:r>
        <w:rPr/>
        <w:t>（</w:t>
      </w:r>
      <w:r>
        <w:rPr>
          <w:rFonts w:ascii="Times New Roman" w:eastAsia="Times New Roman"/>
        </w:rPr>
        <w:t>5</w:t>
      </w:r>
      <w:r>
        <w:rPr/>
        <w:t>）肺动脉嵌入压低于 </w:t>
      </w:r>
      <w:r>
        <w:rPr>
          <w:rFonts w:ascii="Times New Roman" w:eastAsia="Times New Roman"/>
        </w:rPr>
        <w:t>18mmHg</w:t>
      </w:r>
      <w:r>
        <w:rPr/>
        <w:t>；</w:t>
      </w:r>
    </w:p>
    <w:p>
      <w:pPr>
        <w:pStyle w:val="BodyText"/>
        <w:spacing w:line="282" w:lineRule="exact"/>
        <w:ind w:left="535"/>
      </w:pPr>
      <w:r>
        <w:rPr/>
        <w:t>（</w:t>
      </w:r>
      <w:r>
        <w:rPr>
          <w:rFonts w:ascii="Times New Roman" w:eastAsia="Times New Roman"/>
        </w:rPr>
        <w:t>6</w:t>
      </w:r>
      <w:r>
        <w:rPr/>
        <w:t>）临床无左房高压表现。</w:t>
      </w:r>
    </w:p>
    <w:p>
      <w:pPr>
        <w:pStyle w:val="BodyText"/>
        <w:rPr>
          <w:sz w:val="17"/>
        </w:rPr>
      </w:pPr>
    </w:p>
    <w:p>
      <w:pPr>
        <w:pStyle w:val="Heading2"/>
        <w:numPr>
          <w:ilvl w:val="1"/>
          <w:numId w:val="2"/>
        </w:numPr>
        <w:tabs>
          <w:tab w:pos="1113" w:val="left" w:leader="none"/>
          <w:tab w:pos="1114" w:val="left" w:leader="none"/>
        </w:tabs>
        <w:spacing w:line="281" w:lineRule="exact" w:before="0" w:after="0"/>
        <w:ind w:left="1114" w:right="0" w:hanging="579"/>
        <w:jc w:val="left"/>
      </w:pPr>
      <w:r>
        <w:rPr>
          <w:spacing w:val="-1"/>
        </w:rPr>
        <w:t>溶血性尿毒综合征</w:t>
      </w:r>
    </w:p>
    <w:p>
      <w:pPr>
        <w:pStyle w:val="BodyText"/>
        <w:ind w:left="112" w:right="116" w:firstLine="422"/>
      </w:pPr>
      <w:r>
        <w:rPr/>
        <w:t>一种由于感染导致的急性综合征，引起红细胞溶血，肾功能衰竭及尿毒症。溶血尿毒综合征必须由血液和肾脏专科医师诊断，被保险人确诊时年龄在二十五周岁以下，并且满足下列所有条件：</w:t>
      </w:r>
    </w:p>
    <w:p>
      <w:pPr>
        <w:pStyle w:val="BodyText"/>
        <w:spacing w:line="279" w:lineRule="exact" w:before="10"/>
        <w:ind w:left="535"/>
      </w:pPr>
      <w:r>
        <w:rPr/>
        <w:t>（</w:t>
      </w:r>
      <w:r>
        <w:rPr>
          <w:rFonts w:ascii="Times New Roman" w:eastAsia="Times New Roman"/>
        </w:rPr>
        <w:t>1</w:t>
      </w:r>
      <w:r>
        <w:rPr/>
        <w:t>）实验室检查确认有溶血性贫血、血尿、尿毒症、血小板减少性紫癜；</w:t>
      </w:r>
    </w:p>
    <w:p>
      <w:pPr>
        <w:pStyle w:val="BodyText"/>
        <w:spacing w:line="272" w:lineRule="exact"/>
        <w:ind w:left="535"/>
      </w:pPr>
      <w:r>
        <w:rPr/>
        <w:t>（</w:t>
      </w:r>
      <w:r>
        <w:rPr>
          <w:rFonts w:ascii="Times New Roman" w:eastAsia="Times New Roman"/>
        </w:rPr>
        <w:t>2</w:t>
      </w:r>
      <w:r>
        <w:rPr/>
        <w:t>）因肾脏功能衰竭实施了肾脏透析治疗。</w:t>
      </w:r>
    </w:p>
    <w:p>
      <w:pPr>
        <w:pStyle w:val="Heading2"/>
        <w:spacing w:line="240" w:lineRule="auto"/>
        <w:ind w:left="112" w:right="114" w:firstLine="425"/>
      </w:pPr>
      <w:r>
        <w:rPr/>
        <w:t>任何非因感染导致的溶血性贫血，如：自身免疫性溶血性贫血、与红细胞末缺陷有关的溶血性贫血、红细胞酶病、血红蛋白病等，不在保障范围内。</w:t>
      </w:r>
    </w:p>
    <w:p>
      <w:pPr>
        <w:pStyle w:val="BodyText"/>
        <w:rPr>
          <w:b/>
          <w:sz w:val="19"/>
        </w:rPr>
      </w:pPr>
    </w:p>
    <w:p>
      <w:pPr>
        <w:pStyle w:val="ListParagraph"/>
        <w:numPr>
          <w:ilvl w:val="1"/>
          <w:numId w:val="2"/>
        </w:numPr>
        <w:tabs>
          <w:tab w:pos="1113" w:val="left" w:leader="none"/>
          <w:tab w:pos="1114" w:val="left" w:leader="none"/>
        </w:tabs>
        <w:spacing w:line="281" w:lineRule="exact" w:before="0" w:after="0"/>
        <w:ind w:left="1114" w:right="0" w:hanging="579"/>
        <w:jc w:val="left"/>
        <w:rPr>
          <w:b/>
          <w:sz w:val="21"/>
        </w:rPr>
      </w:pPr>
      <w:r>
        <w:rPr>
          <w:b/>
          <w:sz w:val="21"/>
        </w:rPr>
        <w:t>亚历ft大病</w:t>
      </w:r>
    </w:p>
    <w:p>
      <w:pPr>
        <w:pStyle w:val="BodyText"/>
        <w:spacing w:line="232" w:lineRule="auto"/>
        <w:ind w:left="112" w:right="115" w:firstLine="422"/>
        <w:jc w:val="both"/>
      </w:pPr>
      <w:r>
        <w:rPr/>
        <w:t>亚历ft</w:t>
      </w:r>
      <w:r>
        <w:rPr>
          <w:spacing w:val="-3"/>
        </w:rPr>
        <w:t>大病</w:t>
      </w:r>
      <w:r>
        <w:rPr/>
        <w:t>（</w:t>
      </w:r>
      <w:r>
        <w:rPr>
          <w:rFonts w:ascii="Times New Roman" w:hAnsi="Times New Roman" w:eastAsia="Times New Roman"/>
        </w:rPr>
        <w:t>Alexander’s Disease</w:t>
      </w:r>
      <w:r>
        <w:rPr/>
        <w:t>）</w:t>
      </w:r>
      <w:r>
        <w:rPr>
          <w:spacing w:val="-4"/>
        </w:rPr>
        <w:t>是一种遗传性中枢神经系统退行性病变，特点为脑白质营养不良性。临床表现为惊厥发作、智力下降、球麻痹、共济失调、痉性瘫痪。亚历</w:t>
      </w:r>
      <w:r>
        <w:rPr/>
        <w:t>ft大病必须被明确</w:t>
      </w:r>
      <w:r>
        <w:rPr>
          <w:spacing w:val="-3"/>
        </w:rPr>
        <w:t>诊断，并且造成永久性神经系统功能障碍。被保险人自主生活能力完全丧失，无法独立完成六项基本日常生活活动中的三项或三项以上，日常生活必须持续受到他人护理。</w:t>
      </w:r>
    </w:p>
    <w:p>
      <w:pPr>
        <w:pStyle w:val="BodyText"/>
        <w:spacing w:line="271" w:lineRule="exact" w:before="1"/>
        <w:ind w:left="535"/>
      </w:pPr>
      <w:r>
        <w:rPr/>
        <w:t>未明确诊断的疑似病例除外。</w:t>
      </w:r>
    </w:p>
    <w:p>
      <w:pPr>
        <w:pStyle w:val="BodyText"/>
        <w:spacing w:before="3"/>
        <w:rPr>
          <w:sz w:val="18"/>
        </w:rPr>
      </w:pPr>
    </w:p>
    <w:p>
      <w:pPr>
        <w:pStyle w:val="Heading2"/>
        <w:numPr>
          <w:ilvl w:val="1"/>
          <w:numId w:val="2"/>
        </w:numPr>
        <w:tabs>
          <w:tab w:pos="1113" w:val="left" w:leader="none"/>
          <w:tab w:pos="1114" w:val="left" w:leader="none"/>
        </w:tabs>
        <w:spacing w:line="282" w:lineRule="exact" w:before="0" w:after="0"/>
        <w:ind w:left="1114" w:right="0" w:hanging="579"/>
        <w:jc w:val="left"/>
      </w:pPr>
      <w:r>
        <w:rPr/>
        <w:t>多发性骨髓瘤</w:t>
      </w:r>
    </w:p>
    <w:p>
      <w:pPr>
        <w:pStyle w:val="BodyText"/>
        <w:spacing w:line="264" w:lineRule="exact"/>
        <w:ind w:left="535"/>
      </w:pPr>
      <w:r>
        <w:rPr/>
        <w:t>多发性骨髓瘤是浆细胞异常增生的恶性肿瘤。必须满足下列所有条件：</w:t>
      </w:r>
    </w:p>
    <w:p>
      <w:pPr>
        <w:pStyle w:val="BodyText"/>
        <w:spacing w:line="281" w:lineRule="exact"/>
        <w:ind w:left="535"/>
      </w:pPr>
      <w:r>
        <w:rPr/>
        <w:t>（</w:t>
      </w:r>
      <w:r>
        <w:rPr>
          <w:rFonts w:ascii="Times New Roman" w:eastAsia="Times New Roman"/>
        </w:rPr>
        <w:t>1</w:t>
      </w:r>
      <w:r>
        <w:rPr/>
        <w:t>）骨髓活组织检查符合多发性骨髓瘤的典型骨髓改变；</w:t>
      </w:r>
    </w:p>
    <w:p>
      <w:pPr>
        <w:pStyle w:val="BodyText"/>
        <w:spacing w:line="273" w:lineRule="exact"/>
        <w:ind w:left="535"/>
      </w:pPr>
      <w:r>
        <w:rPr/>
        <w:t>（</w:t>
      </w:r>
      <w:r>
        <w:rPr>
          <w:rFonts w:ascii="Times New Roman" w:eastAsia="Times New Roman"/>
        </w:rPr>
        <w:t>2</w:t>
      </w:r>
      <w:r>
        <w:rPr/>
        <w:t>）至少存在下列一项：</w:t>
      </w:r>
    </w:p>
    <w:p>
      <w:pPr>
        <w:pStyle w:val="BodyText"/>
        <w:spacing w:line="264" w:lineRule="exact"/>
        <w:ind w:left="937" w:right="6337"/>
        <w:jc w:val="center"/>
      </w:pPr>
      <w:r>
        <w:rPr/>
        <w:t>① 异常球蛋白血症；</w:t>
      </w:r>
    </w:p>
    <w:p>
      <w:pPr>
        <w:pStyle w:val="BodyText"/>
        <w:spacing w:line="272" w:lineRule="exact"/>
        <w:ind w:left="953"/>
      </w:pPr>
      <w:r>
        <w:rPr/>
        <w:t>② 溶骨性损害。</w:t>
      </w:r>
    </w:p>
    <w:p>
      <w:pPr>
        <w:pStyle w:val="Heading2"/>
        <w:spacing w:line="273" w:lineRule="exact"/>
        <w:ind w:left="538" w:firstLine="0"/>
      </w:pPr>
      <w:r>
        <w:rPr/>
        <w:t>孤立性骨髓瘤不在保障范围内。</w:t>
      </w:r>
    </w:p>
    <w:p>
      <w:pPr>
        <w:pStyle w:val="BodyText"/>
        <w:spacing w:before="3"/>
        <w:rPr>
          <w:b/>
          <w:sz w:val="18"/>
        </w:rPr>
      </w:pPr>
    </w:p>
    <w:p>
      <w:pPr>
        <w:pStyle w:val="ListParagraph"/>
        <w:numPr>
          <w:ilvl w:val="1"/>
          <w:numId w:val="2"/>
        </w:numPr>
        <w:tabs>
          <w:tab w:pos="1217" w:val="left" w:leader="none"/>
          <w:tab w:pos="1218" w:val="left" w:leader="none"/>
        </w:tabs>
        <w:spacing w:line="282" w:lineRule="exact" w:before="0" w:after="0"/>
        <w:ind w:left="1217" w:right="0" w:hanging="682"/>
        <w:jc w:val="left"/>
        <w:rPr>
          <w:b/>
          <w:sz w:val="21"/>
        </w:rPr>
      </w:pPr>
      <w:r>
        <w:rPr>
          <w:b/>
          <w:spacing w:val="-1"/>
          <w:sz w:val="21"/>
        </w:rPr>
        <w:t>左室室壁瘤切除手术</w:t>
      </w:r>
    </w:p>
    <w:p>
      <w:pPr>
        <w:spacing w:line="237" w:lineRule="auto" w:before="0"/>
        <w:ind w:left="538" w:right="360" w:hanging="3"/>
        <w:jc w:val="left"/>
        <w:rPr>
          <w:b/>
          <w:sz w:val="21"/>
        </w:rPr>
      </w:pPr>
      <w:r>
        <w:rPr>
          <w:sz w:val="21"/>
        </w:rPr>
        <w:t>被保险人被明确诊断为左室室壁瘤，并且实际接受了开胸开心进行的室壁瘤切除手术治疗。</w:t>
      </w:r>
      <w:r>
        <w:rPr>
          <w:b/>
          <w:sz w:val="21"/>
        </w:rPr>
        <w:t>经导管心室内成型手术治疗不在保障范围内。</w:t>
      </w:r>
    </w:p>
    <w:p>
      <w:pPr>
        <w:pStyle w:val="BodyText"/>
        <w:spacing w:before="2"/>
        <w:rPr>
          <w:b/>
          <w:sz w:val="18"/>
        </w:rPr>
      </w:pPr>
    </w:p>
    <w:p>
      <w:pPr>
        <w:pStyle w:val="Heading1"/>
        <w:numPr>
          <w:ilvl w:val="0"/>
          <w:numId w:val="2"/>
        </w:numPr>
        <w:tabs>
          <w:tab w:pos="1197" w:val="left" w:leader="none"/>
          <w:tab w:pos="1198" w:val="left" w:leader="none"/>
        </w:tabs>
        <w:spacing w:line="325" w:lineRule="exact" w:before="1" w:after="0"/>
        <w:ind w:left="1198" w:right="0" w:hanging="600"/>
        <w:jc w:val="left"/>
      </w:pPr>
      <w:r>
        <w:rPr/>
        <w:t>释义</w:t>
      </w:r>
    </w:p>
    <w:p>
      <w:pPr>
        <w:pStyle w:val="Heading2"/>
        <w:numPr>
          <w:ilvl w:val="1"/>
          <w:numId w:val="2"/>
        </w:numPr>
        <w:tabs>
          <w:tab w:pos="1113" w:val="left" w:leader="none"/>
          <w:tab w:pos="1114" w:val="left" w:leader="none"/>
        </w:tabs>
        <w:spacing w:line="274" w:lineRule="exact" w:before="0" w:after="0"/>
        <w:ind w:left="1114" w:right="0" w:hanging="579"/>
        <w:jc w:val="left"/>
      </w:pPr>
      <w:r>
        <w:rPr/>
        <w:t>保单年度</w:t>
      </w:r>
    </w:p>
    <w:p>
      <w:pPr>
        <w:pStyle w:val="BodyText"/>
        <w:spacing w:line="225" w:lineRule="auto" w:before="7"/>
        <w:ind w:left="112" w:right="115" w:firstLine="422"/>
      </w:pPr>
      <w:r>
        <w:rPr/>
        <w:t>从保险合同生效日或生效对应日的次日零时起至下一年度保险合同生效对应日</w:t>
      </w:r>
      <w:r>
        <w:rPr>
          <w:rFonts w:ascii="Times New Roman" w:eastAsia="Times New Roman"/>
        </w:rPr>
        <w:t>24</w:t>
      </w:r>
      <w:r>
        <w:rPr/>
        <w:t>时止为一个保单年度。</w:t>
      </w:r>
    </w:p>
    <w:p>
      <w:pPr>
        <w:pStyle w:val="BodyText"/>
        <w:spacing w:before="3"/>
        <w:rPr>
          <w:sz w:val="18"/>
        </w:rPr>
      </w:pPr>
    </w:p>
    <w:p>
      <w:pPr>
        <w:pStyle w:val="Heading2"/>
        <w:numPr>
          <w:ilvl w:val="1"/>
          <w:numId w:val="2"/>
        </w:numPr>
        <w:tabs>
          <w:tab w:pos="1113" w:val="left" w:leader="none"/>
          <w:tab w:pos="1114" w:val="left" w:leader="none"/>
        </w:tabs>
        <w:spacing w:line="281" w:lineRule="exact" w:before="0" w:after="0"/>
        <w:ind w:left="1114" w:right="0" w:hanging="579"/>
        <w:jc w:val="left"/>
      </w:pPr>
      <w:r>
        <w:rPr>
          <w:spacing w:val="-1"/>
        </w:rPr>
        <w:t>保险费约定支付日</w:t>
      </w:r>
    </w:p>
    <w:p>
      <w:pPr>
        <w:pStyle w:val="BodyText"/>
        <w:ind w:left="112" w:right="116" w:firstLine="422"/>
      </w:pPr>
      <w:r>
        <w:rPr/>
        <w:t>保险合同生效日在每月、每季、每半年或每年（根据支付方式确定）的对应日。如果当月无对应的同一日，则以该月最后一日为对应日。</w:t>
      </w:r>
    </w:p>
    <w:p>
      <w:pPr>
        <w:pStyle w:val="BodyText"/>
        <w:rPr>
          <w:sz w:val="19"/>
        </w:rPr>
      </w:pPr>
    </w:p>
    <w:p>
      <w:pPr>
        <w:pStyle w:val="Heading2"/>
        <w:numPr>
          <w:ilvl w:val="1"/>
          <w:numId w:val="2"/>
        </w:numPr>
        <w:tabs>
          <w:tab w:pos="1113" w:val="left" w:leader="none"/>
          <w:tab w:pos="1114" w:val="left" w:leader="none"/>
        </w:tabs>
        <w:spacing w:line="282" w:lineRule="exact" w:before="0" w:after="0"/>
        <w:ind w:left="1114" w:right="0" w:hanging="579"/>
        <w:jc w:val="left"/>
      </w:pPr>
      <w:r>
        <w:rPr/>
        <w:t>周岁</w:t>
      </w:r>
    </w:p>
    <w:p>
      <w:pPr>
        <w:pStyle w:val="BodyText"/>
        <w:spacing w:line="223" w:lineRule="auto" w:before="11"/>
        <w:ind w:left="112" w:right="117" w:firstLine="422"/>
      </w:pPr>
      <w:r>
        <w:rPr/>
        <w:t>指按有效法定身份证明文件中记载的出生日期计算的年龄，自出生之日起为零周岁，每经过</w:t>
      </w:r>
      <w:r>
        <w:rPr>
          <w:rFonts w:ascii="Times New Roman" w:eastAsia="Times New Roman"/>
        </w:rPr>
        <w:t>1 </w:t>
      </w:r>
      <w:r>
        <w:rPr/>
        <w:t>年增加</w:t>
      </w:r>
      <w:r>
        <w:rPr>
          <w:rFonts w:ascii="Times New Roman" w:eastAsia="Times New Roman"/>
        </w:rPr>
        <w:t>1</w:t>
      </w:r>
      <w:r>
        <w:rPr/>
        <w:t>岁，不足</w:t>
      </w:r>
      <w:r>
        <w:rPr>
          <w:rFonts w:ascii="Times New Roman" w:eastAsia="Times New Roman"/>
        </w:rPr>
        <w:t>1</w:t>
      </w:r>
      <w:r>
        <w:rPr/>
        <w:t>年的不计。</w:t>
      </w:r>
    </w:p>
    <w:p>
      <w:pPr>
        <w:spacing w:after="0" w:line="223" w:lineRule="auto"/>
        <w:sectPr>
          <w:pgSz w:w="11910" w:h="16840"/>
          <w:pgMar w:header="0" w:footer="1239" w:top="1060" w:bottom="1420" w:left="1020" w:right="1580"/>
        </w:sectPr>
      </w:pPr>
    </w:p>
    <w:p>
      <w:pPr>
        <w:pStyle w:val="Heading2"/>
        <w:numPr>
          <w:ilvl w:val="1"/>
          <w:numId w:val="2"/>
        </w:numPr>
        <w:tabs>
          <w:tab w:pos="1102" w:val="left" w:leader="none"/>
          <w:tab w:pos="1103" w:val="left" w:leader="none"/>
        </w:tabs>
        <w:spacing w:line="282" w:lineRule="exact" w:before="20" w:after="0"/>
        <w:ind w:left="1102" w:right="0" w:hanging="578"/>
        <w:jc w:val="left"/>
      </w:pPr>
      <w:r>
        <w:rPr/>
        <w:t>有效身份证件</w:t>
      </w:r>
    </w:p>
    <w:p>
      <w:pPr>
        <w:pStyle w:val="BodyText"/>
        <w:spacing w:line="237" w:lineRule="auto"/>
        <w:ind w:left="102" w:right="98" w:firstLine="422"/>
      </w:pPr>
      <w:r>
        <w:rPr>
          <w:spacing w:val="-8"/>
        </w:rPr>
        <w:t>指依据法律规定，由有权机构制作颁发的证明身份的证件等，如：居民身份证、户口簿、护照、</w:t>
      </w:r>
      <w:r>
        <w:rPr>
          <w:spacing w:val="-5"/>
        </w:rPr>
        <w:t>军人证等。</w:t>
      </w:r>
    </w:p>
    <w:p>
      <w:pPr>
        <w:pStyle w:val="BodyText"/>
        <w:spacing w:before="11"/>
        <w:rPr>
          <w:sz w:val="18"/>
        </w:rPr>
      </w:pPr>
    </w:p>
    <w:p>
      <w:pPr>
        <w:tabs>
          <w:tab w:pos="1155" w:val="left" w:leader="none"/>
        </w:tabs>
        <w:spacing w:line="281" w:lineRule="exact" w:before="0"/>
        <w:ind w:left="524" w:right="0" w:firstLine="0"/>
        <w:jc w:val="left"/>
        <w:rPr>
          <w:b/>
          <w:sz w:val="21"/>
        </w:rPr>
      </w:pPr>
      <w:r>
        <w:rPr>
          <w:rFonts w:ascii="Times New Roman" w:eastAsia="Times New Roman"/>
          <w:sz w:val="21"/>
        </w:rPr>
        <w:t>10. 5</w:t>
        <w:tab/>
      </w:r>
      <w:r>
        <w:rPr>
          <w:b/>
          <w:sz w:val="21"/>
        </w:rPr>
        <w:t>发病</w:t>
      </w:r>
    </w:p>
    <w:p>
      <w:pPr>
        <w:pStyle w:val="BodyText"/>
        <w:spacing w:line="237" w:lineRule="auto"/>
        <w:ind w:left="102" w:right="242" w:firstLine="422"/>
      </w:pPr>
      <w:r>
        <w:rPr/>
        <w:t>发病是指出现疾病的前兆和异常的身体状况，该疾病的前兆或异常的身体状况足以引起注意或应当引起注意并寻求检查、诊断、治疗或护理。</w:t>
      </w:r>
    </w:p>
    <w:p>
      <w:pPr>
        <w:pStyle w:val="BodyText"/>
        <w:rPr>
          <w:sz w:val="19"/>
        </w:rPr>
      </w:pPr>
    </w:p>
    <w:p>
      <w:pPr>
        <w:pStyle w:val="Heading2"/>
        <w:numPr>
          <w:ilvl w:val="1"/>
          <w:numId w:val="3"/>
        </w:numPr>
        <w:tabs>
          <w:tab w:pos="1102" w:val="left" w:leader="none"/>
          <w:tab w:pos="1103" w:val="left" w:leader="none"/>
        </w:tabs>
        <w:spacing w:line="281" w:lineRule="exact" w:before="0" w:after="0"/>
        <w:ind w:left="524" w:right="0" w:firstLine="0"/>
        <w:jc w:val="left"/>
      </w:pPr>
      <w:r>
        <w:rPr/>
        <w:t>意外伤害</w:t>
      </w:r>
    </w:p>
    <w:p>
      <w:pPr>
        <w:pStyle w:val="BodyText"/>
        <w:spacing w:line="265" w:lineRule="exact"/>
        <w:ind w:left="524"/>
      </w:pPr>
      <w:r>
        <w:rPr/>
        <w:t>指遭受外来的、突发的、非本意的、非疾病使身体受到伤害的客观事件。</w:t>
      </w:r>
    </w:p>
    <w:p>
      <w:pPr>
        <w:pStyle w:val="BodyText"/>
        <w:spacing w:before="3"/>
        <w:rPr>
          <w:sz w:val="18"/>
        </w:rPr>
      </w:pPr>
    </w:p>
    <w:p>
      <w:pPr>
        <w:pStyle w:val="Heading2"/>
        <w:numPr>
          <w:ilvl w:val="1"/>
          <w:numId w:val="3"/>
        </w:numPr>
        <w:tabs>
          <w:tab w:pos="1100" w:val="left" w:leader="none"/>
          <w:tab w:pos="1101" w:val="left" w:leader="none"/>
        </w:tabs>
        <w:spacing w:line="282" w:lineRule="exact" w:before="0" w:after="0"/>
        <w:ind w:left="1100" w:right="0" w:hanging="578"/>
        <w:jc w:val="left"/>
      </w:pPr>
      <w:r>
        <w:rPr/>
        <w:t>首次发病</w:t>
      </w:r>
    </w:p>
    <w:p>
      <w:pPr>
        <w:pStyle w:val="BodyText"/>
        <w:spacing w:line="266" w:lineRule="exact"/>
        <w:ind w:left="521"/>
      </w:pPr>
      <w:r>
        <w:rPr/>
        <w:t>指自被保险人出生之日起第一次发病，而不是指自本附加合同生效、复效之后第一次发病。</w:t>
      </w:r>
    </w:p>
    <w:p>
      <w:pPr>
        <w:pStyle w:val="BodyText"/>
        <w:spacing w:before="3"/>
        <w:rPr>
          <w:sz w:val="18"/>
        </w:rPr>
      </w:pPr>
    </w:p>
    <w:p>
      <w:pPr>
        <w:pStyle w:val="Heading2"/>
        <w:numPr>
          <w:ilvl w:val="1"/>
          <w:numId w:val="3"/>
        </w:numPr>
        <w:tabs>
          <w:tab w:pos="1102" w:val="left" w:leader="none"/>
          <w:tab w:pos="1103" w:val="left" w:leader="none"/>
        </w:tabs>
        <w:spacing w:line="281" w:lineRule="exact" w:before="1" w:after="0"/>
        <w:ind w:left="524" w:right="0" w:firstLine="0"/>
        <w:jc w:val="left"/>
      </w:pPr>
      <w:r>
        <w:rPr/>
        <w:t>专科医生</w:t>
      </w:r>
    </w:p>
    <w:p>
      <w:pPr>
        <w:pStyle w:val="BodyText"/>
        <w:spacing w:line="264" w:lineRule="exact"/>
        <w:ind w:left="524"/>
      </w:pPr>
      <w:r>
        <w:rPr/>
        <w:t>专科医生应当同时满足以下四项资格条件：</w:t>
      </w:r>
    </w:p>
    <w:p>
      <w:pPr>
        <w:pStyle w:val="BodyText"/>
        <w:spacing w:line="281" w:lineRule="exact"/>
        <w:ind w:left="524"/>
      </w:pPr>
      <w:r>
        <w:rPr/>
        <w:t>（</w:t>
      </w:r>
      <w:r>
        <w:rPr>
          <w:rFonts w:ascii="Times New Roman" w:eastAsia="Times New Roman"/>
        </w:rPr>
        <w:t>1</w:t>
      </w:r>
      <w:r>
        <w:rPr/>
        <w:t>）具有有效的中华人民共和国《医师资格证书》；</w:t>
      </w:r>
    </w:p>
    <w:p>
      <w:pPr>
        <w:pStyle w:val="BodyText"/>
        <w:spacing w:line="273" w:lineRule="exact"/>
        <w:ind w:left="524"/>
      </w:pPr>
      <w:r>
        <w:rPr/>
        <w:t>（</w:t>
      </w:r>
      <w:r>
        <w:rPr>
          <w:rFonts w:ascii="Times New Roman" w:eastAsia="Times New Roman"/>
        </w:rPr>
        <w:t>2</w:t>
      </w:r>
      <w:r>
        <w:rPr/>
        <w:t>）具有有效的中华人民共和国《医师执业证书》，并按期到相关部门登记注册；</w:t>
      </w:r>
    </w:p>
    <w:p>
      <w:pPr>
        <w:pStyle w:val="BodyText"/>
        <w:spacing w:line="272" w:lineRule="exact"/>
        <w:ind w:left="524"/>
      </w:pPr>
      <w:r>
        <w:rPr/>
        <w:t>（</w:t>
      </w:r>
      <w:r>
        <w:rPr>
          <w:rFonts w:ascii="Times New Roman" w:eastAsia="Times New Roman"/>
        </w:rPr>
        <w:t>3</w:t>
      </w:r>
      <w:r>
        <w:rPr/>
        <w:t>）具有有效的中华人民共和国主治医师或主治医师以上职称的《医师职称证书》；</w:t>
      </w:r>
    </w:p>
    <w:p>
      <w:pPr>
        <w:pStyle w:val="BodyText"/>
        <w:spacing w:line="281" w:lineRule="exact"/>
        <w:ind w:left="524"/>
      </w:pPr>
      <w:r>
        <w:rPr/>
        <w:t>（</w:t>
      </w:r>
      <w:r>
        <w:rPr>
          <w:rFonts w:ascii="Times New Roman" w:eastAsia="Times New Roman"/>
        </w:rPr>
        <w:t>4</w:t>
      </w:r>
      <w:r>
        <w:rPr/>
        <w:t>）在二级或二级以上医院的相应科室从事临床工作三年以上。</w:t>
      </w:r>
    </w:p>
    <w:p>
      <w:pPr>
        <w:pStyle w:val="BodyText"/>
        <w:rPr>
          <w:sz w:val="17"/>
        </w:rPr>
      </w:pPr>
    </w:p>
    <w:p>
      <w:pPr>
        <w:pStyle w:val="Heading2"/>
        <w:numPr>
          <w:ilvl w:val="1"/>
          <w:numId w:val="3"/>
        </w:numPr>
        <w:tabs>
          <w:tab w:pos="1100" w:val="left" w:leader="none"/>
          <w:tab w:pos="1101" w:val="left" w:leader="none"/>
        </w:tabs>
        <w:spacing w:line="282" w:lineRule="exact" w:before="0" w:after="0"/>
        <w:ind w:left="1100" w:right="0" w:hanging="578"/>
        <w:jc w:val="left"/>
      </w:pPr>
      <w:r>
        <w:rPr/>
        <w:t>首次确诊</w:t>
      </w:r>
    </w:p>
    <w:p>
      <w:pPr>
        <w:pStyle w:val="BodyText"/>
        <w:spacing w:line="237" w:lineRule="auto"/>
        <w:ind w:left="102" w:right="208" w:firstLine="419"/>
      </w:pPr>
      <w:r>
        <w:rPr/>
        <w:t>指自被保险人出生之日起第一次经医院确诊患有本附加合同所约定的某种疾病，而不是指自本附加合同生效、复效之后第一次经医院确诊患有本附加合同所约定的某种疾病。</w:t>
      </w:r>
    </w:p>
    <w:p>
      <w:pPr>
        <w:pStyle w:val="BodyText"/>
        <w:spacing w:before="9"/>
        <w:rPr>
          <w:sz w:val="18"/>
        </w:rPr>
      </w:pPr>
    </w:p>
    <w:p>
      <w:pPr>
        <w:pStyle w:val="Heading2"/>
        <w:numPr>
          <w:ilvl w:val="1"/>
          <w:numId w:val="3"/>
        </w:numPr>
        <w:tabs>
          <w:tab w:pos="1205" w:val="left" w:leader="none"/>
          <w:tab w:pos="1206" w:val="left" w:leader="none"/>
        </w:tabs>
        <w:spacing w:line="282" w:lineRule="exact" w:before="0" w:after="0"/>
        <w:ind w:left="1206" w:right="0" w:hanging="682"/>
        <w:jc w:val="left"/>
      </w:pPr>
      <w:r>
        <w:rPr/>
        <w:t>现金价值</w:t>
      </w:r>
    </w:p>
    <w:p>
      <w:pPr>
        <w:pStyle w:val="BodyText"/>
        <w:spacing w:line="237" w:lineRule="auto"/>
        <w:ind w:left="102" w:right="207" w:firstLine="422"/>
      </w:pPr>
      <w:r>
        <w:rPr/>
        <w:t>指保险单所具有的价值，通常体现为解除合同时，根据精算原理计算的，由我们退还的那部分金额。</w:t>
      </w:r>
    </w:p>
    <w:p>
      <w:pPr>
        <w:pStyle w:val="BodyText"/>
        <w:spacing w:before="9"/>
        <w:rPr>
          <w:sz w:val="18"/>
        </w:rPr>
      </w:pPr>
    </w:p>
    <w:p>
      <w:pPr>
        <w:pStyle w:val="Heading2"/>
        <w:numPr>
          <w:ilvl w:val="1"/>
          <w:numId w:val="3"/>
        </w:numPr>
        <w:tabs>
          <w:tab w:pos="1198" w:val="left" w:leader="none"/>
          <w:tab w:pos="1199" w:val="left" w:leader="none"/>
        </w:tabs>
        <w:spacing w:line="282" w:lineRule="exact" w:before="0" w:after="0"/>
        <w:ind w:left="1198" w:right="0" w:hanging="674"/>
        <w:jc w:val="left"/>
      </w:pPr>
      <w:r>
        <w:rPr/>
        <w:t>医师</w:t>
      </w:r>
    </w:p>
    <w:p>
      <w:pPr>
        <w:pStyle w:val="BodyText"/>
        <w:spacing w:line="237" w:lineRule="auto"/>
        <w:ind w:left="102" w:right="207" w:firstLine="422"/>
      </w:pPr>
      <w:r>
        <w:rPr/>
        <w:t>指在医院内行医并拥有处方权的医师，亦指在被保险人接受诊断、医疗、处方或手术的地区内合法注册且有行医资格的医师。不包括投保人、被保险人本人及其近亲属。</w:t>
      </w:r>
    </w:p>
    <w:p>
      <w:pPr>
        <w:pStyle w:val="BodyText"/>
        <w:spacing w:before="9"/>
        <w:rPr>
          <w:sz w:val="18"/>
        </w:rPr>
      </w:pPr>
    </w:p>
    <w:p>
      <w:pPr>
        <w:pStyle w:val="Heading2"/>
        <w:numPr>
          <w:ilvl w:val="1"/>
          <w:numId w:val="3"/>
        </w:numPr>
        <w:tabs>
          <w:tab w:pos="1205" w:val="left" w:leader="none"/>
          <w:tab w:pos="1206" w:val="left" w:leader="none"/>
        </w:tabs>
        <w:spacing w:line="282" w:lineRule="exact" w:before="0" w:after="0"/>
        <w:ind w:left="1206" w:right="0" w:hanging="682"/>
        <w:jc w:val="left"/>
      </w:pPr>
      <w:r>
        <w:rPr/>
        <w:t>毒品</w:t>
      </w:r>
    </w:p>
    <w:p>
      <w:pPr>
        <w:pStyle w:val="BodyText"/>
        <w:spacing w:line="237" w:lineRule="auto"/>
        <w:ind w:left="102" w:right="206" w:firstLine="422"/>
        <w:jc w:val="both"/>
      </w:pPr>
      <w:r>
        <w:rPr>
          <w:spacing w:val="-6"/>
        </w:rPr>
        <w:t>指中华人民共和国刑法规定的鸦片、海洛因、甲基苯丙胺</w:t>
      </w:r>
      <w:r>
        <w:rPr/>
        <w:t>（</w:t>
      </w:r>
      <w:r>
        <w:rPr>
          <w:spacing w:val="-2"/>
        </w:rPr>
        <w:t>冰毒</w:t>
      </w:r>
      <w:r>
        <w:rPr>
          <w:spacing w:val="-106"/>
        </w:rPr>
        <w:t>）</w:t>
      </w:r>
      <w:r>
        <w:rPr>
          <w:spacing w:val="-7"/>
        </w:rPr>
        <w:t>、吗啡、大麻、可卡因以及国家规定管制的其他能够使人形成瘾癖的麻醉药品和精神药品，但不包括由医师开具并遵医嘱用于治</w:t>
      </w:r>
      <w:r>
        <w:rPr>
          <w:spacing w:val="-5"/>
        </w:rPr>
        <w:t>疗疾病的含有毒品成分的处方药品。</w:t>
      </w:r>
    </w:p>
    <w:p>
      <w:pPr>
        <w:pStyle w:val="BodyText"/>
        <w:spacing w:before="9"/>
        <w:rPr>
          <w:sz w:val="18"/>
        </w:rPr>
      </w:pPr>
    </w:p>
    <w:p>
      <w:pPr>
        <w:pStyle w:val="Heading2"/>
        <w:numPr>
          <w:ilvl w:val="1"/>
          <w:numId w:val="3"/>
        </w:numPr>
        <w:tabs>
          <w:tab w:pos="1205" w:val="left" w:leader="none"/>
          <w:tab w:pos="1206" w:val="left" w:leader="none"/>
        </w:tabs>
        <w:spacing w:line="281" w:lineRule="exact" w:before="0" w:after="0"/>
        <w:ind w:left="1206" w:right="0" w:hanging="682"/>
        <w:jc w:val="left"/>
      </w:pPr>
      <w:r>
        <w:rPr/>
        <w:t>酒后驾驶</w:t>
      </w:r>
    </w:p>
    <w:p>
      <w:pPr>
        <w:pStyle w:val="BodyText"/>
        <w:ind w:left="102" w:right="98" w:firstLine="422"/>
      </w:pPr>
      <w:r>
        <w:rPr>
          <w:spacing w:val="-10"/>
        </w:rPr>
        <w:t>指经检测或鉴定，发生事故时车辆驾驶人员每百毫升血液中的酒精含量达到或超过一定的标准， </w:t>
      </w:r>
      <w:r>
        <w:rPr>
          <w:spacing w:val="-5"/>
        </w:rPr>
        <w:t>公安机关交通管理部门依据《道路交通安全法》的规定认定为饮酒后驾驶或醉酒后驾驶。</w:t>
      </w:r>
    </w:p>
    <w:p>
      <w:pPr>
        <w:pStyle w:val="BodyText"/>
        <w:spacing w:before="7"/>
        <w:rPr>
          <w:sz w:val="20"/>
        </w:rPr>
      </w:pPr>
    </w:p>
    <w:p>
      <w:pPr>
        <w:pStyle w:val="ListParagraph"/>
        <w:numPr>
          <w:ilvl w:val="1"/>
          <w:numId w:val="3"/>
        </w:numPr>
        <w:tabs>
          <w:tab w:pos="1205" w:val="left" w:leader="none"/>
          <w:tab w:pos="1206" w:val="left" w:leader="none"/>
        </w:tabs>
        <w:spacing w:line="223" w:lineRule="auto" w:before="0" w:after="0"/>
        <w:ind w:left="524" w:right="6068" w:firstLine="0"/>
        <w:jc w:val="left"/>
        <w:rPr>
          <w:sz w:val="21"/>
        </w:rPr>
      </w:pPr>
      <w:r>
        <w:rPr>
          <w:b/>
          <w:spacing w:val="-1"/>
          <w:sz w:val="21"/>
        </w:rPr>
        <w:t>无合法有效驾驶证驾驶</w:t>
      </w:r>
      <w:r>
        <w:rPr>
          <w:spacing w:val="-3"/>
          <w:sz w:val="21"/>
        </w:rPr>
        <w:t>指下列情形之一：</w:t>
      </w:r>
    </w:p>
    <w:p>
      <w:pPr>
        <w:pStyle w:val="BodyText"/>
        <w:spacing w:line="280" w:lineRule="exact"/>
        <w:ind w:left="524"/>
      </w:pPr>
      <w:r>
        <w:rPr/>
        <w:t>（</w:t>
      </w:r>
      <w:r>
        <w:rPr>
          <w:rFonts w:ascii="Times New Roman" w:eastAsia="Times New Roman"/>
        </w:rPr>
        <w:t>1</w:t>
      </w:r>
      <w:r>
        <w:rPr/>
        <w:t>）没有取得驾驶资格；</w:t>
      </w:r>
    </w:p>
    <w:p>
      <w:pPr>
        <w:pStyle w:val="BodyText"/>
        <w:spacing w:line="273" w:lineRule="exact"/>
        <w:ind w:left="524"/>
      </w:pPr>
      <w:r>
        <w:rPr/>
        <w:t>（</w:t>
      </w:r>
      <w:r>
        <w:rPr>
          <w:rFonts w:ascii="Times New Roman" w:eastAsia="Times New Roman"/>
        </w:rPr>
        <w:t>2</w:t>
      </w:r>
      <w:r>
        <w:rPr/>
        <w:t>）驾驶与驾驶证准驾车型不相符合的车辆；</w:t>
      </w:r>
    </w:p>
    <w:p>
      <w:pPr>
        <w:pStyle w:val="BodyText"/>
        <w:spacing w:line="272" w:lineRule="exact"/>
        <w:ind w:left="524"/>
      </w:pPr>
      <w:r>
        <w:rPr/>
        <w:t>（</w:t>
      </w:r>
      <w:r>
        <w:rPr>
          <w:rFonts w:ascii="Times New Roman" w:eastAsia="Times New Roman"/>
        </w:rPr>
        <w:t>3</w:t>
      </w:r>
      <w:r>
        <w:rPr/>
        <w:t>）持审验不合格的驾驶证驾驶；</w:t>
      </w:r>
    </w:p>
    <w:p>
      <w:pPr>
        <w:pStyle w:val="BodyText"/>
        <w:spacing w:line="281" w:lineRule="exact"/>
        <w:ind w:left="524"/>
      </w:pPr>
      <w:r>
        <w:rPr/>
        <w:t>（</w:t>
      </w:r>
      <w:r>
        <w:rPr>
          <w:rFonts w:ascii="Times New Roman" w:eastAsia="Times New Roman"/>
        </w:rPr>
        <w:t>4</w:t>
      </w:r>
      <w:r>
        <w:rPr/>
        <w:t>）持学习驾驶证学习驾车时，无教练员随车指导，或不按指定时间、路线学习驾车。</w:t>
      </w:r>
    </w:p>
    <w:p>
      <w:pPr>
        <w:pStyle w:val="BodyText"/>
        <w:spacing w:before="4"/>
        <w:rPr>
          <w:sz w:val="18"/>
        </w:rPr>
      </w:pPr>
    </w:p>
    <w:p>
      <w:pPr>
        <w:pStyle w:val="ListParagraph"/>
        <w:numPr>
          <w:ilvl w:val="1"/>
          <w:numId w:val="3"/>
        </w:numPr>
        <w:tabs>
          <w:tab w:pos="1205" w:val="left" w:leader="none"/>
          <w:tab w:pos="1206" w:val="left" w:leader="none"/>
        </w:tabs>
        <w:spacing w:line="225" w:lineRule="auto" w:before="0" w:after="0"/>
        <w:ind w:left="524" w:right="6911" w:firstLine="0"/>
        <w:jc w:val="left"/>
        <w:rPr>
          <w:sz w:val="21"/>
        </w:rPr>
      </w:pPr>
      <w:r>
        <w:rPr>
          <w:b/>
          <w:sz w:val="21"/>
        </w:rPr>
        <w:t>无有效行驶证</w:t>
      </w:r>
      <w:r>
        <w:rPr>
          <w:spacing w:val="-3"/>
          <w:sz w:val="21"/>
        </w:rPr>
        <w:t>指下列情形之一：</w:t>
      </w:r>
    </w:p>
    <w:p>
      <w:pPr>
        <w:pStyle w:val="BodyText"/>
        <w:spacing w:line="278" w:lineRule="exact"/>
        <w:ind w:left="524"/>
      </w:pPr>
      <w:r>
        <w:rPr/>
        <w:t>（</w:t>
      </w:r>
      <w:r>
        <w:rPr>
          <w:rFonts w:ascii="Times New Roman" w:eastAsia="Times New Roman"/>
        </w:rPr>
        <w:t>1</w:t>
      </w:r>
      <w:r>
        <w:rPr/>
        <w:t>）未取得行驶证；</w:t>
      </w:r>
    </w:p>
    <w:p>
      <w:pPr>
        <w:pStyle w:val="BodyText"/>
        <w:spacing w:line="282" w:lineRule="exact"/>
        <w:ind w:left="524"/>
      </w:pPr>
      <w:r>
        <w:rPr/>
        <w:t>（</w:t>
      </w:r>
      <w:r>
        <w:rPr>
          <w:rFonts w:ascii="Times New Roman" w:eastAsia="Times New Roman"/>
        </w:rPr>
        <w:t>2</w:t>
      </w:r>
      <w:r>
        <w:rPr/>
        <w:t>）机动车被依法注销登记的；</w:t>
      </w:r>
    </w:p>
    <w:p>
      <w:pPr>
        <w:spacing w:after="0" w:line="282" w:lineRule="exact"/>
        <w:sectPr>
          <w:pgSz w:w="11910" w:h="16840"/>
          <w:pgMar w:header="0" w:footer="1239" w:top="1060" w:bottom="1420" w:left="1600" w:right="920"/>
        </w:sectPr>
      </w:pPr>
    </w:p>
    <w:p>
      <w:pPr>
        <w:pStyle w:val="BodyText"/>
        <w:spacing w:before="20"/>
        <w:ind w:left="535"/>
      </w:pPr>
      <w:r>
        <w:rPr/>
        <w:t>（</w:t>
      </w:r>
      <w:r>
        <w:rPr>
          <w:rFonts w:ascii="Times New Roman" w:eastAsia="Times New Roman"/>
        </w:rPr>
        <w:t>3</w:t>
      </w:r>
      <w:r>
        <w:rPr/>
        <w:t>）未在行驶证检验有效期内依法按时进行或者未通过机动车安全技术检验的。</w:t>
      </w:r>
    </w:p>
    <w:p>
      <w:pPr>
        <w:pStyle w:val="BodyText"/>
        <w:spacing w:before="2"/>
        <w:rPr>
          <w:sz w:val="17"/>
        </w:rPr>
      </w:pPr>
    </w:p>
    <w:p>
      <w:pPr>
        <w:pStyle w:val="Heading2"/>
        <w:numPr>
          <w:ilvl w:val="1"/>
          <w:numId w:val="3"/>
        </w:numPr>
        <w:tabs>
          <w:tab w:pos="1217" w:val="left" w:leader="none"/>
          <w:tab w:pos="1218" w:val="left" w:leader="none"/>
        </w:tabs>
        <w:spacing w:line="281" w:lineRule="exact" w:before="0" w:after="0"/>
        <w:ind w:left="1217" w:right="0" w:hanging="682"/>
        <w:jc w:val="left"/>
      </w:pPr>
      <w:r>
        <w:rPr/>
        <w:t>机动车</w:t>
      </w:r>
    </w:p>
    <w:p>
      <w:pPr>
        <w:pStyle w:val="BodyText"/>
        <w:spacing w:line="265" w:lineRule="exact"/>
        <w:ind w:left="535"/>
      </w:pPr>
      <w:r>
        <w:rPr/>
        <w:t>指以动力装置驱动或者牵引，供人员乘用或者用于运送物品以及进行工程专项作业的轮式车辆。</w:t>
      </w:r>
    </w:p>
    <w:p>
      <w:pPr>
        <w:pStyle w:val="BodyText"/>
        <w:spacing w:before="3"/>
        <w:rPr>
          <w:sz w:val="18"/>
        </w:rPr>
      </w:pPr>
    </w:p>
    <w:p>
      <w:pPr>
        <w:pStyle w:val="Heading2"/>
        <w:numPr>
          <w:ilvl w:val="1"/>
          <w:numId w:val="3"/>
        </w:numPr>
        <w:tabs>
          <w:tab w:pos="1217" w:val="left" w:leader="none"/>
          <w:tab w:pos="1218" w:val="left" w:leader="none"/>
        </w:tabs>
        <w:spacing w:line="282" w:lineRule="exact" w:before="0" w:after="0"/>
        <w:ind w:left="1217" w:right="0" w:hanging="682"/>
        <w:jc w:val="left"/>
      </w:pPr>
      <w:r>
        <w:rPr>
          <w:spacing w:val="-1"/>
        </w:rPr>
        <w:t>感染艾滋病病毒或患艾滋病</w:t>
      </w:r>
    </w:p>
    <w:p>
      <w:pPr>
        <w:pStyle w:val="BodyText"/>
        <w:spacing w:line="223" w:lineRule="auto" w:before="11"/>
        <w:ind w:left="112" w:right="218" w:firstLine="422"/>
      </w:pPr>
      <w:r>
        <w:rPr/>
        <w:t>艾滋病病毒指人类免疫缺陷病毒，英文缩写为</w:t>
      </w:r>
      <w:r>
        <w:rPr>
          <w:rFonts w:ascii="Times New Roman" w:eastAsia="Times New Roman"/>
        </w:rPr>
        <w:t>HIV</w:t>
      </w:r>
      <w:r>
        <w:rPr/>
        <w:t>。艾滋病指人类免疫缺陷病毒引起的获得性免疫缺陷综合征，英文缩写为</w:t>
      </w:r>
      <w:r>
        <w:rPr>
          <w:rFonts w:ascii="Times New Roman" w:eastAsia="Times New Roman"/>
        </w:rPr>
        <w:t>AIDS</w:t>
      </w:r>
      <w:r>
        <w:rPr/>
        <w:t>。</w:t>
      </w:r>
    </w:p>
    <w:p>
      <w:pPr>
        <w:pStyle w:val="BodyText"/>
        <w:spacing w:line="272" w:lineRule="exact" w:before="10"/>
        <w:ind w:left="112" w:right="216" w:firstLine="422"/>
      </w:pPr>
      <w:r>
        <w:rPr/>
        <w:t>在人体血液或其它样本中检测到艾滋病病毒或其抗体呈阳性，没有出现临床症状或体征的，为感染艾滋病病毒；如果同时出现了明显临床症状或体征的，为患艾滋病。</w:t>
      </w:r>
    </w:p>
    <w:p>
      <w:pPr>
        <w:pStyle w:val="BodyText"/>
        <w:spacing w:before="4"/>
        <w:rPr>
          <w:sz w:val="16"/>
        </w:rPr>
      </w:pPr>
    </w:p>
    <w:p>
      <w:pPr>
        <w:pStyle w:val="Heading2"/>
        <w:numPr>
          <w:ilvl w:val="1"/>
          <w:numId w:val="3"/>
        </w:numPr>
        <w:tabs>
          <w:tab w:pos="1217" w:val="left" w:leader="none"/>
          <w:tab w:pos="1218" w:val="left" w:leader="none"/>
        </w:tabs>
        <w:spacing w:line="282" w:lineRule="exact" w:before="0" w:after="0"/>
        <w:ind w:left="1217" w:right="0" w:hanging="682"/>
        <w:jc w:val="left"/>
      </w:pPr>
      <w:r>
        <w:rPr/>
        <w:t>遗传性疾病</w:t>
      </w:r>
    </w:p>
    <w:p>
      <w:pPr>
        <w:pStyle w:val="BodyText"/>
        <w:spacing w:line="237" w:lineRule="auto"/>
        <w:ind w:left="112" w:right="216" w:firstLine="422"/>
      </w:pPr>
      <w:r>
        <w:rPr/>
        <w:t>指生殖细胞或受精卵的遗传物质（染色体和基因）发生突变或畸变所引起的疾病，通常具有由亲代传至后代的垂直传递的特征。</w:t>
      </w:r>
    </w:p>
    <w:p>
      <w:pPr>
        <w:pStyle w:val="BodyText"/>
        <w:spacing w:before="9"/>
        <w:rPr>
          <w:sz w:val="18"/>
        </w:rPr>
      </w:pPr>
    </w:p>
    <w:p>
      <w:pPr>
        <w:pStyle w:val="Heading2"/>
        <w:numPr>
          <w:ilvl w:val="1"/>
          <w:numId w:val="3"/>
        </w:numPr>
        <w:tabs>
          <w:tab w:pos="1217" w:val="left" w:leader="none"/>
          <w:tab w:pos="1218" w:val="left" w:leader="none"/>
        </w:tabs>
        <w:spacing w:line="282" w:lineRule="exact" w:before="0" w:after="0"/>
        <w:ind w:left="1217" w:right="0" w:hanging="682"/>
        <w:jc w:val="left"/>
      </w:pPr>
      <w:r>
        <w:rPr>
          <w:spacing w:val="-1"/>
        </w:rPr>
        <w:t>先天性畸形、变形或染色体异常</w:t>
      </w:r>
    </w:p>
    <w:p>
      <w:pPr>
        <w:pStyle w:val="BodyText"/>
        <w:spacing w:line="237" w:lineRule="auto"/>
        <w:ind w:left="112" w:right="216" w:firstLine="422"/>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pStyle w:val="BodyText"/>
        <w:spacing w:before="6"/>
        <w:rPr>
          <w:sz w:val="17"/>
        </w:rPr>
      </w:pPr>
    </w:p>
    <w:p>
      <w:pPr>
        <w:pStyle w:val="Heading2"/>
        <w:numPr>
          <w:ilvl w:val="1"/>
          <w:numId w:val="3"/>
        </w:numPr>
        <w:tabs>
          <w:tab w:pos="1217" w:val="left" w:leader="none"/>
          <w:tab w:pos="1218" w:val="left" w:leader="none"/>
        </w:tabs>
        <w:spacing w:line="282" w:lineRule="exact" w:before="0" w:after="0"/>
        <w:ind w:left="1217" w:right="0" w:hanging="682"/>
        <w:jc w:val="left"/>
      </w:pPr>
      <w:r>
        <w:rPr/>
        <w:t>医院</w:t>
      </w:r>
    </w:p>
    <w:p>
      <w:pPr>
        <w:pStyle w:val="BodyText"/>
        <w:spacing w:line="237" w:lineRule="auto"/>
        <w:ind w:left="112" w:right="216" w:firstLine="422"/>
      </w:pPr>
      <w:r>
        <w:rPr/>
        <w:t>指具备由政府卫生行政管理部门颁发的、合法有效的医疗机构执业许可证并符合下列条件之一的公立或基本医疗保险定点医疗机构，及我们指定属于本附加合同就诊范围的其他医院：</w:t>
      </w:r>
    </w:p>
    <w:p>
      <w:pPr>
        <w:pStyle w:val="BodyText"/>
        <w:spacing w:line="230" w:lineRule="auto" w:before="16"/>
        <w:ind w:left="112" w:right="107" w:firstLine="422"/>
      </w:pPr>
      <w:r>
        <w:rPr>
          <w:spacing w:val="-20"/>
        </w:rPr>
        <w:t>（</w:t>
      </w:r>
      <w:r>
        <w:rPr>
          <w:rFonts w:ascii="Times New Roman" w:eastAsia="Times New Roman"/>
          <w:spacing w:val="-20"/>
        </w:rPr>
        <w:t>1</w:t>
      </w:r>
      <w:r>
        <w:rPr>
          <w:spacing w:val="-20"/>
        </w:rPr>
        <w:t>）</w:t>
      </w:r>
      <w:r>
        <w:rPr>
          <w:spacing w:val="-12"/>
        </w:rPr>
        <w:t>二级或二级以上的医院、二级或二级以上的妇幼保健院、住院床位在 </w:t>
      </w:r>
      <w:r>
        <w:rPr>
          <w:rFonts w:ascii="Times New Roman" w:eastAsia="Times New Roman"/>
        </w:rPr>
        <w:t>100</w:t>
      </w:r>
      <w:r>
        <w:rPr>
          <w:rFonts w:ascii="Times New Roman" w:eastAsia="Times New Roman"/>
          <w:spacing w:val="20"/>
        </w:rPr>
        <w:t> </w:t>
      </w:r>
      <w:r>
        <w:rPr>
          <w:spacing w:val="-3"/>
        </w:rPr>
        <w:t>张及以上的医院， 但不包括上述医院的康复病房以及精神病医院、皮肤病医院、整形外科医院、美容医院、康复医院和疗养院。</w:t>
      </w:r>
    </w:p>
    <w:p>
      <w:pPr>
        <w:pStyle w:val="BodyText"/>
        <w:spacing w:line="287" w:lineRule="exact"/>
        <w:ind w:left="535"/>
      </w:pPr>
      <w:r>
        <w:rPr/>
        <w:t>（</w:t>
      </w:r>
      <w:r>
        <w:rPr>
          <w:rFonts w:ascii="Times New Roman" w:eastAsia="Times New Roman"/>
        </w:rPr>
        <w:t>2</w:t>
      </w:r>
      <w:r>
        <w:rPr/>
        <w:t>）我们认可的、为受伤者和患病者提供全日 </w:t>
      </w:r>
      <w:r>
        <w:rPr>
          <w:rFonts w:ascii="Times New Roman" w:eastAsia="Times New Roman"/>
        </w:rPr>
        <w:t>24 </w:t>
      </w:r>
      <w:r>
        <w:rPr/>
        <w:t>小时诊断和治疗服务的医疗机构。</w:t>
      </w:r>
    </w:p>
    <w:p>
      <w:pPr>
        <w:pStyle w:val="BodyText"/>
        <w:rPr>
          <w:sz w:val="17"/>
        </w:rPr>
      </w:pPr>
    </w:p>
    <w:p>
      <w:pPr>
        <w:pStyle w:val="Heading2"/>
        <w:numPr>
          <w:ilvl w:val="1"/>
          <w:numId w:val="3"/>
        </w:numPr>
        <w:tabs>
          <w:tab w:pos="1217" w:val="left" w:leader="none"/>
          <w:tab w:pos="1218" w:val="left" w:leader="none"/>
        </w:tabs>
        <w:spacing w:line="282" w:lineRule="exact" w:before="1" w:after="0"/>
        <w:ind w:left="1217" w:right="0" w:hanging="682"/>
        <w:jc w:val="left"/>
      </w:pPr>
      <w:r>
        <w:rPr/>
        <w:t>肢体机能完全丧失</w:t>
      </w:r>
    </w:p>
    <w:p>
      <w:pPr>
        <w:pStyle w:val="BodyText"/>
        <w:spacing w:line="237" w:lineRule="auto"/>
        <w:ind w:left="112" w:right="216" w:firstLine="422"/>
      </w:pPr>
      <w:r>
        <w:rPr/>
        <w:t>指肢体的三大关节中的两大关节僵硬，或不能随意识活动。肢体是指包括肩关节的整个上肢或包括髋关节的整个下肢。</w:t>
      </w:r>
    </w:p>
    <w:p>
      <w:pPr>
        <w:pStyle w:val="BodyText"/>
        <w:spacing w:before="9"/>
        <w:rPr>
          <w:sz w:val="18"/>
        </w:rPr>
      </w:pPr>
    </w:p>
    <w:p>
      <w:pPr>
        <w:pStyle w:val="Heading2"/>
        <w:numPr>
          <w:ilvl w:val="1"/>
          <w:numId w:val="3"/>
        </w:numPr>
        <w:tabs>
          <w:tab w:pos="1217" w:val="left" w:leader="none"/>
          <w:tab w:pos="1218" w:val="left" w:leader="none"/>
        </w:tabs>
        <w:spacing w:line="282" w:lineRule="exact" w:before="0" w:after="0"/>
        <w:ind w:left="1217" w:right="0" w:hanging="682"/>
        <w:jc w:val="left"/>
      </w:pPr>
      <w:r>
        <w:rPr>
          <w:spacing w:val="-1"/>
        </w:rPr>
        <w:t>语言能力或咀嚼吞咽能力完全丧失</w:t>
      </w:r>
    </w:p>
    <w:p>
      <w:pPr>
        <w:pStyle w:val="BodyText"/>
        <w:spacing w:line="237" w:lineRule="auto"/>
        <w:ind w:left="112" w:right="216" w:firstLine="422"/>
      </w:pPr>
      <w:r>
        <w:rPr/>
        <w:t>语言能力完全丧失，指无法发出四种语音（包括口唇音、齿舌音、口盖音和喉头音）中的任何三种、或声带全部切除，或因大脑语言中枢受伤害而患失语症。</w:t>
      </w:r>
    </w:p>
    <w:p>
      <w:pPr>
        <w:pStyle w:val="BodyText"/>
        <w:spacing w:line="237" w:lineRule="auto" w:before="7"/>
        <w:ind w:left="112" w:right="216" w:firstLine="422"/>
      </w:pPr>
      <w:r>
        <w:rPr/>
        <w:t>咀嚼吞咽能力完全丧失，指因牙齿以外的原因导致器质障碍或机能障碍，以致不能作咀嚼吞咽运动，除流质食物外不能摄取或吞咽的状态。</w:t>
      </w:r>
    </w:p>
    <w:p>
      <w:pPr>
        <w:pStyle w:val="BodyText"/>
        <w:spacing w:before="6"/>
        <w:rPr>
          <w:sz w:val="19"/>
        </w:rPr>
      </w:pPr>
    </w:p>
    <w:p>
      <w:pPr>
        <w:pStyle w:val="ListParagraph"/>
        <w:numPr>
          <w:ilvl w:val="1"/>
          <w:numId w:val="3"/>
        </w:numPr>
        <w:tabs>
          <w:tab w:pos="1217" w:val="left" w:leader="none"/>
          <w:tab w:pos="1218" w:val="left" w:leader="none"/>
        </w:tabs>
        <w:spacing w:line="225" w:lineRule="auto" w:before="1" w:after="0"/>
        <w:ind w:left="535" w:right="6077" w:firstLine="0"/>
        <w:jc w:val="left"/>
        <w:rPr>
          <w:sz w:val="21"/>
        </w:rPr>
      </w:pPr>
      <w:r>
        <w:rPr>
          <w:b/>
          <w:spacing w:val="-1"/>
          <w:sz w:val="21"/>
        </w:rPr>
        <w:t>六项基本日常生活活动</w:t>
      </w:r>
      <w:r>
        <w:rPr>
          <w:spacing w:val="-3"/>
          <w:sz w:val="21"/>
        </w:rPr>
        <w:t>六项基本日常生活活动是指：</w:t>
      </w:r>
    </w:p>
    <w:p>
      <w:pPr>
        <w:pStyle w:val="BodyText"/>
        <w:spacing w:line="279" w:lineRule="exact"/>
        <w:ind w:left="535"/>
      </w:pPr>
      <w:r>
        <w:rPr/>
        <w:t>（</w:t>
      </w:r>
      <w:r>
        <w:rPr>
          <w:rFonts w:ascii="Times New Roman" w:eastAsia="Times New Roman"/>
        </w:rPr>
        <w:t>1</w:t>
      </w:r>
      <w:r>
        <w:rPr/>
        <w:t>）穿衣：自己能够穿衣及脱衣；</w:t>
      </w:r>
    </w:p>
    <w:p>
      <w:pPr>
        <w:pStyle w:val="BodyText"/>
        <w:spacing w:line="272" w:lineRule="exact"/>
        <w:ind w:left="535"/>
      </w:pPr>
      <w:r>
        <w:rPr/>
        <w:t>（</w:t>
      </w:r>
      <w:r>
        <w:rPr>
          <w:rFonts w:ascii="Times New Roman" w:eastAsia="Times New Roman"/>
        </w:rPr>
        <w:t>2</w:t>
      </w:r>
      <w:r>
        <w:rPr/>
        <w:t>）移动：自己从一个房间到另一个房间；</w:t>
      </w:r>
    </w:p>
    <w:p>
      <w:pPr>
        <w:pStyle w:val="BodyText"/>
        <w:spacing w:line="272" w:lineRule="exact"/>
        <w:ind w:left="535"/>
      </w:pPr>
      <w:r>
        <w:rPr/>
        <w:t>（</w:t>
      </w:r>
      <w:r>
        <w:rPr>
          <w:rFonts w:ascii="Times New Roman" w:eastAsia="Times New Roman"/>
        </w:rPr>
        <w:t>3</w:t>
      </w:r>
      <w:r>
        <w:rPr/>
        <w:t>）行动：自己上下床或上下轮椅；</w:t>
      </w:r>
    </w:p>
    <w:p>
      <w:pPr>
        <w:pStyle w:val="BodyText"/>
        <w:spacing w:line="272" w:lineRule="exact"/>
        <w:ind w:left="535"/>
      </w:pPr>
      <w:r>
        <w:rPr/>
        <w:t>（</w:t>
      </w:r>
      <w:r>
        <w:rPr>
          <w:rFonts w:ascii="Times New Roman" w:eastAsia="Times New Roman"/>
        </w:rPr>
        <w:t>4</w:t>
      </w:r>
      <w:r>
        <w:rPr/>
        <w:t>）如厕：自己控制进行大小便；</w:t>
      </w:r>
    </w:p>
    <w:p>
      <w:pPr>
        <w:pStyle w:val="BodyText"/>
        <w:spacing w:line="272" w:lineRule="exact"/>
        <w:ind w:left="535"/>
      </w:pPr>
      <w:r>
        <w:rPr/>
        <w:t>（</w:t>
      </w:r>
      <w:r>
        <w:rPr>
          <w:rFonts w:ascii="Times New Roman" w:eastAsia="Times New Roman"/>
        </w:rPr>
        <w:t>5</w:t>
      </w:r>
      <w:r>
        <w:rPr/>
        <w:t>）进食：自己从已准备好的碗或碟中取食物放入口中；</w:t>
      </w:r>
    </w:p>
    <w:p>
      <w:pPr>
        <w:pStyle w:val="BodyText"/>
        <w:spacing w:line="282" w:lineRule="exact"/>
        <w:ind w:left="535"/>
      </w:pPr>
      <w:r>
        <w:rPr/>
        <w:t>（</w:t>
      </w:r>
      <w:r>
        <w:rPr>
          <w:rFonts w:ascii="Times New Roman" w:eastAsia="Times New Roman"/>
        </w:rPr>
        <w:t>6</w:t>
      </w:r>
      <w:r>
        <w:rPr/>
        <w:t>）洗澡：自己进行淋浴或盆浴。</w:t>
      </w:r>
    </w:p>
    <w:p>
      <w:pPr>
        <w:pStyle w:val="BodyText"/>
        <w:spacing w:before="1"/>
        <w:rPr>
          <w:sz w:val="17"/>
        </w:rPr>
      </w:pPr>
    </w:p>
    <w:p>
      <w:pPr>
        <w:pStyle w:val="Heading2"/>
        <w:numPr>
          <w:ilvl w:val="1"/>
          <w:numId w:val="3"/>
        </w:numPr>
        <w:tabs>
          <w:tab w:pos="1217" w:val="left" w:leader="none"/>
          <w:tab w:pos="1218" w:val="left" w:leader="none"/>
        </w:tabs>
        <w:spacing w:line="281" w:lineRule="exact" w:before="0" w:after="0"/>
        <w:ind w:left="1217" w:right="0" w:hanging="682"/>
        <w:jc w:val="left"/>
      </w:pPr>
      <w:r>
        <w:rPr/>
        <w:t>永久不可逆</w:t>
      </w:r>
    </w:p>
    <w:p>
      <w:pPr>
        <w:pStyle w:val="BodyText"/>
        <w:spacing w:line="281" w:lineRule="exact"/>
        <w:ind w:left="535"/>
      </w:pPr>
      <w:r>
        <w:rPr/>
        <w:t>指自疾病确诊或意外伤害发生之日起，经过积极治疗</w:t>
      </w:r>
      <w:r>
        <w:rPr>
          <w:rFonts w:ascii="Times New Roman" w:eastAsia="Times New Roman"/>
        </w:rPr>
        <w:t>180</w:t>
      </w:r>
      <w:r>
        <w:rPr/>
        <w:t>天后，仍无法通过现有医疗手段恢复。</w:t>
      </w:r>
    </w:p>
    <w:p>
      <w:pPr>
        <w:pStyle w:val="BodyText"/>
        <w:rPr>
          <w:sz w:val="17"/>
        </w:rPr>
      </w:pPr>
    </w:p>
    <w:p>
      <w:pPr>
        <w:pStyle w:val="Heading2"/>
        <w:numPr>
          <w:ilvl w:val="1"/>
          <w:numId w:val="3"/>
        </w:numPr>
        <w:tabs>
          <w:tab w:pos="1217" w:val="left" w:leader="none"/>
          <w:tab w:pos="1218" w:val="left" w:leader="none"/>
        </w:tabs>
        <w:spacing w:line="282" w:lineRule="exact" w:before="0" w:after="0"/>
        <w:ind w:left="1217" w:right="0" w:hanging="682"/>
        <w:jc w:val="left"/>
      </w:pPr>
      <w:r>
        <w:rPr>
          <w:spacing w:val="-1"/>
        </w:rPr>
        <w:t>美国纽约心脏病学会心功能状态分级</w:t>
      </w:r>
      <w:r>
        <w:rPr>
          <w:rFonts w:ascii="Times New Roman" w:eastAsia="Times New Roman"/>
          <w:spacing w:val="-3"/>
        </w:rPr>
        <w:t>IV</w:t>
      </w:r>
      <w:r>
        <w:rPr/>
        <w:t>级</w:t>
      </w:r>
    </w:p>
    <w:p>
      <w:pPr>
        <w:pStyle w:val="BodyText"/>
        <w:spacing w:line="237" w:lineRule="auto"/>
        <w:ind w:left="112" w:right="216" w:firstLine="422"/>
      </w:pPr>
      <w:r>
        <w:rPr/>
        <w:t>心功能状态分级Ⅳ级是指被保险人不能无症状地进行任何体力活动，休息时也会出现心力衰竭或心绞痛的症状，任何体力活动都会加重病情。</w:t>
      </w:r>
    </w:p>
    <w:p>
      <w:pPr>
        <w:spacing w:after="0" w:line="237" w:lineRule="auto"/>
        <w:sectPr>
          <w:pgSz w:w="11910" w:h="16840"/>
          <w:pgMar w:header="0" w:footer="1239" w:top="1060" w:bottom="1420" w:left="1020" w:right="1480"/>
        </w:sectPr>
      </w:pPr>
    </w:p>
    <w:p>
      <w:pPr>
        <w:pStyle w:val="Heading1"/>
        <w:numPr>
          <w:ilvl w:val="0"/>
          <w:numId w:val="3"/>
        </w:numPr>
        <w:tabs>
          <w:tab w:pos="1172" w:val="left" w:leader="none"/>
          <w:tab w:pos="1173" w:val="left" w:leader="none"/>
        </w:tabs>
        <w:spacing w:line="325" w:lineRule="exact" w:before="14" w:after="0"/>
        <w:ind w:left="1172" w:right="0" w:hanging="586"/>
        <w:jc w:val="left"/>
        <w:rPr>
          <w:rFonts w:ascii="Times New Roman" w:eastAsia="Times New Roman"/>
        </w:rPr>
      </w:pPr>
      <w:r>
        <w:rPr/>
        <w:t>特别说明</w:t>
      </w:r>
    </w:p>
    <w:p>
      <w:pPr>
        <w:pStyle w:val="BodyText"/>
        <w:spacing w:line="225" w:lineRule="auto" w:before="10"/>
        <w:ind w:left="102" w:right="107" w:firstLine="422"/>
      </w:pPr>
      <w:r>
        <w:rPr/>
        <w:t>（</w:t>
      </w:r>
      <w:r>
        <w:rPr>
          <w:rFonts w:ascii="Times New Roman" w:eastAsia="Times New Roman"/>
        </w:rPr>
        <w:t>1</w:t>
      </w:r>
      <w:r>
        <w:rPr/>
        <w:t>）本附加合同第</w:t>
      </w:r>
      <w:r>
        <w:rPr>
          <w:rFonts w:ascii="Times New Roman" w:eastAsia="Times New Roman"/>
        </w:rPr>
        <w:t>9</w:t>
      </w:r>
      <w:r>
        <w:rPr/>
        <w:t>条</w:t>
      </w:r>
      <w:r>
        <w:rPr>
          <w:rFonts w:ascii="Times New Roman" w:eastAsia="Times New Roman"/>
        </w:rPr>
        <w:t>9.1</w:t>
      </w:r>
      <w:r>
        <w:rPr/>
        <w:t>至</w:t>
      </w:r>
      <w:r>
        <w:rPr>
          <w:rFonts w:ascii="Times New Roman" w:eastAsia="Times New Roman"/>
        </w:rPr>
        <w:t>9.25</w:t>
      </w:r>
      <w:r>
        <w:rPr/>
        <w:t>款（除特别声明）使用了中国保险行业协会《重大疾病保险的疾病定义使用规范》（中保协寿【</w:t>
      </w:r>
      <w:r>
        <w:rPr>
          <w:rFonts w:ascii="Times New Roman" w:eastAsia="Times New Roman"/>
        </w:rPr>
        <w:t>2007</w:t>
      </w:r>
      <w:r>
        <w:rPr/>
        <w:t>】</w:t>
      </w:r>
      <w:r>
        <w:rPr>
          <w:rFonts w:ascii="Times New Roman" w:eastAsia="Times New Roman"/>
        </w:rPr>
        <w:t>9</w:t>
      </w:r>
      <w:r>
        <w:rPr/>
        <w:t>号）的疾病名称和疾病定义。</w:t>
      </w:r>
    </w:p>
    <w:p>
      <w:pPr>
        <w:pStyle w:val="BodyText"/>
        <w:spacing w:line="225" w:lineRule="auto"/>
        <w:ind w:left="102" w:right="39" w:firstLine="422"/>
      </w:pPr>
      <w:r>
        <w:rPr/>
        <w:t>（</w:t>
      </w:r>
      <w:r>
        <w:rPr>
          <w:rFonts w:ascii="Times New Roman" w:eastAsia="Times New Roman"/>
        </w:rPr>
        <w:t>2</w:t>
      </w:r>
      <w:r>
        <w:rPr/>
        <w:t>）本附加合同第</w:t>
      </w:r>
      <w:r>
        <w:rPr>
          <w:rFonts w:ascii="Times New Roman" w:eastAsia="Times New Roman"/>
        </w:rPr>
        <w:t>10</w:t>
      </w:r>
      <w:r>
        <w:rPr/>
        <w:t>条</w:t>
      </w:r>
      <w:r>
        <w:rPr>
          <w:rFonts w:ascii="Times New Roman" w:eastAsia="Times New Roman"/>
        </w:rPr>
        <w:t>10.17</w:t>
      </w:r>
      <w:r>
        <w:rPr/>
        <w:t>至</w:t>
      </w:r>
      <w:r>
        <w:rPr>
          <w:rFonts w:ascii="Times New Roman" w:eastAsia="Times New Roman"/>
        </w:rPr>
        <w:t>10.19</w:t>
      </w:r>
      <w:r>
        <w:rPr/>
        <w:t>款和</w:t>
      </w:r>
      <w:r>
        <w:rPr>
          <w:rFonts w:ascii="Times New Roman" w:eastAsia="Times New Roman"/>
        </w:rPr>
        <w:t>10.21</w:t>
      </w:r>
      <w:r>
        <w:rPr/>
        <w:t>至</w:t>
      </w:r>
      <w:r>
        <w:rPr>
          <w:rFonts w:ascii="Times New Roman" w:eastAsia="Times New Roman"/>
        </w:rPr>
        <w:t>10.24</w:t>
      </w:r>
      <w:r>
        <w:rPr/>
        <w:t>款使用了中国保险行业协会《重大疾病保险的疾病定义使用规范》（中保协寿【</w:t>
      </w:r>
      <w:r>
        <w:rPr>
          <w:rFonts w:ascii="Times New Roman" w:eastAsia="Times New Roman"/>
        </w:rPr>
        <w:t>2007</w:t>
      </w:r>
      <w:r>
        <w:rPr/>
        <w:t>】</w:t>
      </w:r>
      <w:r>
        <w:rPr>
          <w:rFonts w:ascii="Times New Roman" w:eastAsia="Times New Roman"/>
        </w:rPr>
        <w:t>9</w:t>
      </w:r>
      <w:r>
        <w:rPr/>
        <w:t>号）的术语释义。</w:t>
      </w:r>
    </w:p>
    <w:p>
      <w:pPr>
        <w:pStyle w:val="BodyText"/>
        <w:rPr>
          <w:sz w:val="22"/>
        </w:rPr>
      </w:pPr>
    </w:p>
    <w:p>
      <w:pPr>
        <w:pStyle w:val="BodyText"/>
        <w:spacing w:before="177"/>
        <w:ind w:left="4162" w:right="3749"/>
        <w:jc w:val="center"/>
      </w:pPr>
      <w:r>
        <w:rPr/>
        <w:t>（完）</w:t>
      </w:r>
    </w:p>
    <w:sectPr>
      <w:pgSz w:w="11910" w:h="16840"/>
      <w:pgMar w:header="0" w:footer="1239" w:top="1060" w:bottom="1420" w:left="16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4.890015pt;margin-top:768.976624pt;width:14.1pt;height:12pt;mso-position-horizontal-relative:page;mso-position-vertical-relative:page;z-index:-26488" type="#_x0000_t202" filled="false" stroked="false">
          <v:textbox inset="0,0,0,0">
            <w:txbxContent>
              <w:p>
                <w:pPr>
                  <w:spacing w:line="219" w:lineRule="exact" w:before="0"/>
                  <w:ind w:left="40" w:right="0" w:firstLine="0"/>
                  <w:jc w:val="left"/>
                  <w:rPr>
                    <w:sz w:val="20"/>
                  </w:rPr>
                </w:pPr>
                <w:r>
                  <w:rPr/>
                  <w:fldChar w:fldCharType="begin"/>
                </w:r>
                <w:r>
                  <w:rPr>
                    <w:sz w:val="20"/>
                  </w:rPr>
                  <w:instrText> PAGE </w:instrText>
                </w:r>
                <w:r>
                  <w:rPr/>
                  <w:fldChar w:fldCharType="separate"/>
                </w:r>
                <w:r>
                  <w:rPr/>
                  <w:t>11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450012pt;margin-top:768.976624pt;width:14.1pt;height:12pt;mso-position-horizontal-relative:page;mso-position-vertical-relative:page;z-index:-26464" type="#_x0000_t202" filled="false" stroked="false">
          <v:textbox inset="0,0,0,0">
            <w:txbxContent>
              <w:p>
                <w:pPr>
                  <w:spacing w:line="219" w:lineRule="exact" w:before="0"/>
                  <w:ind w:left="4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0"/>
      <w:numFmt w:val="decimal"/>
      <w:lvlText w:val="%1"/>
      <w:lvlJc w:val="left"/>
      <w:pPr>
        <w:ind w:left="1102" w:hanging="579"/>
        <w:jc w:val="right"/>
      </w:pPr>
      <w:rPr>
        <w:rFonts w:hint="default"/>
      </w:rPr>
    </w:lvl>
    <w:lvl w:ilvl="1">
      <w:start w:val="6"/>
      <w:numFmt w:val="decimal"/>
      <w:lvlText w:val="%1.%2"/>
      <w:lvlJc w:val="left"/>
      <w:pPr>
        <w:ind w:left="524" w:hanging="579"/>
        <w:jc w:val="left"/>
      </w:pPr>
      <w:rPr>
        <w:rFonts w:hint="default" w:ascii="Times New Roman" w:hAnsi="Times New Roman" w:eastAsia="Times New Roman" w:cs="Times New Roman"/>
        <w:w w:val="100"/>
        <w:sz w:val="21"/>
        <w:szCs w:val="21"/>
      </w:rPr>
    </w:lvl>
    <w:lvl w:ilvl="2">
      <w:start w:val="0"/>
      <w:numFmt w:val="bullet"/>
      <w:lvlText w:val="•"/>
      <w:lvlJc w:val="left"/>
      <w:pPr>
        <w:ind w:left="2020" w:hanging="579"/>
      </w:pPr>
      <w:rPr>
        <w:rFonts w:hint="default"/>
      </w:rPr>
    </w:lvl>
    <w:lvl w:ilvl="3">
      <w:start w:val="0"/>
      <w:numFmt w:val="bullet"/>
      <w:lvlText w:val="•"/>
      <w:lvlJc w:val="left"/>
      <w:pPr>
        <w:ind w:left="2941" w:hanging="579"/>
      </w:pPr>
      <w:rPr>
        <w:rFonts w:hint="default"/>
      </w:rPr>
    </w:lvl>
    <w:lvl w:ilvl="4">
      <w:start w:val="0"/>
      <w:numFmt w:val="bullet"/>
      <w:lvlText w:val="•"/>
      <w:lvlJc w:val="left"/>
      <w:pPr>
        <w:ind w:left="3862" w:hanging="579"/>
      </w:pPr>
      <w:rPr>
        <w:rFonts w:hint="default"/>
      </w:rPr>
    </w:lvl>
    <w:lvl w:ilvl="5">
      <w:start w:val="0"/>
      <w:numFmt w:val="bullet"/>
      <w:lvlText w:val="•"/>
      <w:lvlJc w:val="left"/>
      <w:pPr>
        <w:ind w:left="4782" w:hanging="579"/>
      </w:pPr>
      <w:rPr>
        <w:rFonts w:hint="default"/>
      </w:rPr>
    </w:lvl>
    <w:lvl w:ilvl="6">
      <w:start w:val="0"/>
      <w:numFmt w:val="bullet"/>
      <w:lvlText w:val="•"/>
      <w:lvlJc w:val="left"/>
      <w:pPr>
        <w:ind w:left="5703" w:hanging="579"/>
      </w:pPr>
      <w:rPr>
        <w:rFonts w:hint="default"/>
      </w:rPr>
    </w:lvl>
    <w:lvl w:ilvl="7">
      <w:start w:val="0"/>
      <w:numFmt w:val="bullet"/>
      <w:lvlText w:val="•"/>
      <w:lvlJc w:val="left"/>
      <w:pPr>
        <w:ind w:left="6624" w:hanging="579"/>
      </w:pPr>
      <w:rPr>
        <w:rFonts w:hint="default"/>
      </w:rPr>
    </w:lvl>
    <w:lvl w:ilvl="8">
      <w:start w:val="0"/>
      <w:numFmt w:val="bullet"/>
      <w:lvlText w:val="•"/>
      <w:lvlJc w:val="left"/>
      <w:pPr>
        <w:ind w:left="7544" w:hanging="579"/>
      </w:pPr>
      <w:rPr>
        <w:rFonts w:hint="default"/>
      </w:rPr>
    </w:lvl>
  </w:abstractNum>
  <w:abstractNum w:abstractNumId="1">
    <w:multiLevelType w:val="hybridMultilevel"/>
    <w:lvl w:ilvl="0">
      <w:start w:val="1"/>
      <w:numFmt w:val="decimal"/>
      <w:lvlText w:val="%1"/>
      <w:lvlJc w:val="left"/>
      <w:pPr>
        <w:ind w:left="1066" w:hanging="480"/>
        <w:jc w:val="left"/>
      </w:pPr>
      <w:rPr>
        <w:rFonts w:hint="default" w:ascii="Times New Roman" w:hAnsi="Times New Roman" w:eastAsia="Times New Roman" w:cs="Times New Roman"/>
        <w:b/>
        <w:bCs/>
        <w:w w:val="99"/>
        <w:sz w:val="24"/>
        <w:szCs w:val="24"/>
      </w:rPr>
    </w:lvl>
    <w:lvl w:ilvl="1">
      <w:start w:val="1"/>
      <w:numFmt w:val="decimal"/>
      <w:lvlText w:val="%1.%2"/>
      <w:lvlJc w:val="left"/>
      <w:pPr>
        <w:ind w:left="997" w:hanging="473"/>
        <w:jc w:val="left"/>
      </w:pPr>
      <w:rPr>
        <w:rFonts w:hint="default" w:ascii="Times New Roman" w:hAnsi="Times New Roman" w:eastAsia="Times New Roman" w:cs="Times New Roman"/>
        <w:w w:val="100"/>
        <w:sz w:val="21"/>
        <w:szCs w:val="21"/>
      </w:rPr>
    </w:lvl>
    <w:lvl w:ilvl="2">
      <w:start w:val="1"/>
      <w:numFmt w:val="decimal"/>
      <w:lvlText w:val="%1.%2.%3"/>
      <w:lvlJc w:val="left"/>
      <w:pPr>
        <w:ind w:left="1061" w:hanging="526"/>
        <w:jc w:val="left"/>
      </w:pPr>
      <w:rPr>
        <w:rFonts w:hint="default" w:ascii="Times New Roman" w:hAnsi="Times New Roman" w:eastAsia="Times New Roman" w:cs="Times New Roman"/>
        <w:w w:val="100"/>
        <w:sz w:val="21"/>
        <w:szCs w:val="21"/>
      </w:rPr>
    </w:lvl>
    <w:lvl w:ilvl="3">
      <w:start w:val="0"/>
      <w:numFmt w:val="bullet"/>
      <w:lvlText w:val="•"/>
      <w:lvlJc w:val="left"/>
      <w:pPr>
        <w:ind w:left="2070" w:hanging="526"/>
      </w:pPr>
      <w:rPr>
        <w:rFonts w:hint="default"/>
      </w:rPr>
    </w:lvl>
    <w:lvl w:ilvl="4">
      <w:start w:val="0"/>
      <w:numFmt w:val="bullet"/>
      <w:lvlText w:val="•"/>
      <w:lvlJc w:val="left"/>
      <w:pPr>
        <w:ind w:left="3021" w:hanging="526"/>
      </w:pPr>
      <w:rPr>
        <w:rFonts w:hint="default"/>
      </w:rPr>
    </w:lvl>
    <w:lvl w:ilvl="5">
      <w:start w:val="0"/>
      <w:numFmt w:val="bullet"/>
      <w:lvlText w:val="•"/>
      <w:lvlJc w:val="left"/>
      <w:pPr>
        <w:ind w:left="3972" w:hanging="526"/>
      </w:pPr>
      <w:rPr>
        <w:rFonts w:hint="default"/>
      </w:rPr>
    </w:lvl>
    <w:lvl w:ilvl="6">
      <w:start w:val="0"/>
      <w:numFmt w:val="bullet"/>
      <w:lvlText w:val="•"/>
      <w:lvlJc w:val="left"/>
      <w:pPr>
        <w:ind w:left="4923" w:hanging="526"/>
      </w:pPr>
      <w:rPr>
        <w:rFonts w:hint="default"/>
      </w:rPr>
    </w:lvl>
    <w:lvl w:ilvl="7">
      <w:start w:val="0"/>
      <w:numFmt w:val="bullet"/>
      <w:lvlText w:val="•"/>
      <w:lvlJc w:val="left"/>
      <w:pPr>
        <w:ind w:left="5874" w:hanging="526"/>
      </w:pPr>
      <w:rPr>
        <w:rFonts w:hint="default"/>
      </w:rPr>
    </w:lvl>
    <w:lvl w:ilvl="8">
      <w:start w:val="0"/>
      <w:numFmt w:val="bullet"/>
      <w:lvlText w:val="•"/>
      <w:lvlJc w:val="left"/>
      <w:pPr>
        <w:ind w:left="6824" w:hanging="526"/>
      </w:pPr>
      <w:rPr>
        <w:rFonts w:hint="default"/>
      </w:rPr>
    </w:lvl>
  </w:abstractNum>
  <w:abstractNum w:abstractNumId="0">
    <w:multiLevelType w:val="hybridMultilevel"/>
    <w:lvl w:ilvl="0">
      <w:start w:val="0"/>
      <w:numFmt w:val="bullet"/>
      <w:lvlText w:val=""/>
      <w:lvlJc w:val="left"/>
      <w:pPr>
        <w:ind w:left="1373" w:hanging="413"/>
      </w:pPr>
      <w:rPr>
        <w:rFonts w:hint="default" w:ascii="Wingdings" w:hAnsi="Wingdings" w:eastAsia="Wingdings" w:cs="Wingdings"/>
        <w:w w:val="100"/>
        <w:sz w:val="21"/>
        <w:szCs w:val="21"/>
      </w:rPr>
    </w:lvl>
    <w:lvl w:ilvl="1">
      <w:start w:val="0"/>
      <w:numFmt w:val="bullet"/>
      <w:lvlText w:val="•"/>
      <w:lvlJc w:val="left"/>
      <w:pPr>
        <w:ind w:left="2318" w:hanging="413"/>
      </w:pPr>
      <w:rPr>
        <w:rFonts w:hint="default"/>
      </w:rPr>
    </w:lvl>
    <w:lvl w:ilvl="2">
      <w:start w:val="0"/>
      <w:numFmt w:val="bullet"/>
      <w:lvlText w:val="•"/>
      <w:lvlJc w:val="left"/>
      <w:pPr>
        <w:ind w:left="3257" w:hanging="413"/>
      </w:pPr>
      <w:rPr>
        <w:rFonts w:hint="default"/>
      </w:rPr>
    </w:lvl>
    <w:lvl w:ilvl="3">
      <w:start w:val="0"/>
      <w:numFmt w:val="bullet"/>
      <w:lvlText w:val="•"/>
      <w:lvlJc w:val="left"/>
      <w:pPr>
        <w:ind w:left="4195" w:hanging="413"/>
      </w:pPr>
      <w:rPr>
        <w:rFonts w:hint="default"/>
      </w:rPr>
    </w:lvl>
    <w:lvl w:ilvl="4">
      <w:start w:val="0"/>
      <w:numFmt w:val="bullet"/>
      <w:lvlText w:val="•"/>
      <w:lvlJc w:val="left"/>
      <w:pPr>
        <w:ind w:left="5134" w:hanging="413"/>
      </w:pPr>
      <w:rPr>
        <w:rFonts w:hint="default"/>
      </w:rPr>
    </w:lvl>
    <w:lvl w:ilvl="5">
      <w:start w:val="0"/>
      <w:numFmt w:val="bullet"/>
      <w:lvlText w:val="•"/>
      <w:lvlJc w:val="left"/>
      <w:pPr>
        <w:ind w:left="6073" w:hanging="413"/>
      </w:pPr>
      <w:rPr>
        <w:rFonts w:hint="default"/>
      </w:rPr>
    </w:lvl>
    <w:lvl w:ilvl="6">
      <w:start w:val="0"/>
      <w:numFmt w:val="bullet"/>
      <w:lvlText w:val="•"/>
      <w:lvlJc w:val="left"/>
      <w:pPr>
        <w:ind w:left="7011" w:hanging="413"/>
      </w:pPr>
      <w:rPr>
        <w:rFonts w:hint="default"/>
      </w:rPr>
    </w:lvl>
    <w:lvl w:ilvl="7">
      <w:start w:val="0"/>
      <w:numFmt w:val="bullet"/>
      <w:lvlText w:val="•"/>
      <w:lvlJc w:val="left"/>
      <w:pPr>
        <w:ind w:left="7950" w:hanging="413"/>
      </w:pPr>
      <w:rPr>
        <w:rFonts w:hint="default"/>
      </w:rPr>
    </w:lvl>
    <w:lvl w:ilvl="8">
      <w:start w:val="0"/>
      <w:numFmt w:val="bullet"/>
      <w:lvlText w:val="•"/>
      <w:lvlJc w:val="left"/>
      <w:pPr>
        <w:ind w:left="8889" w:hanging="41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325" w:lineRule="exact"/>
      <w:ind w:left="1066" w:hanging="480"/>
      <w:outlineLvl w:val="1"/>
    </w:pPr>
    <w:rPr>
      <w:rFonts w:ascii="宋体" w:hAnsi="宋体" w:eastAsia="宋体" w:cs="宋体"/>
      <w:b/>
      <w:bCs/>
      <w:sz w:val="24"/>
      <w:szCs w:val="24"/>
    </w:rPr>
  </w:style>
  <w:style w:styleId="Heading2" w:type="paragraph">
    <w:name w:val="Heading 2"/>
    <w:basedOn w:val="Normal"/>
    <w:uiPriority w:val="1"/>
    <w:qFormat/>
    <w:pPr>
      <w:spacing w:line="281" w:lineRule="exact"/>
      <w:ind w:left="1114" w:hanging="579"/>
      <w:outlineLvl w:val="2"/>
    </w:pPr>
    <w:rPr>
      <w:rFonts w:ascii="宋体" w:hAnsi="宋体" w:eastAsia="宋体" w:cs="宋体"/>
      <w:b/>
      <w:bCs/>
      <w:sz w:val="21"/>
      <w:szCs w:val="21"/>
    </w:rPr>
  </w:style>
  <w:style w:styleId="ListParagraph" w:type="paragraph">
    <w:name w:val="List Paragraph"/>
    <w:basedOn w:val="Normal"/>
    <w:uiPriority w:val="1"/>
    <w:qFormat/>
    <w:pPr>
      <w:spacing w:line="281" w:lineRule="exact"/>
      <w:ind w:left="1114" w:hanging="579"/>
    </w:pPr>
    <w:rPr>
      <w:rFonts w:ascii="宋体" w:hAnsi="宋体" w:eastAsia="宋体" w:cs="宋体"/>
    </w:rPr>
  </w:style>
  <w:style w:styleId="TableParagraph" w:type="paragraph">
    <w:name w:val="Table Paragraph"/>
    <w:basedOn w:val="Normal"/>
    <w:uiPriority w:val="1"/>
    <w:qFormat/>
    <w:pPr>
      <w:spacing w:before="31"/>
      <w:ind w:left="5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5.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guni004</dc:creator>
  <dcterms:created xsi:type="dcterms:W3CDTF">2018-10-20T00:56:14Z</dcterms:created>
  <dcterms:modified xsi:type="dcterms:W3CDTF">2018-10-20T00:56:14Z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2016-12-29T00:00:00Z</vt:filetime>
  </property>
  <property fmtid="{D5CDD505-2E9C-101B-9397-08002B2CF9AE}" pid="3" name="Creator">
    <vt:lpwstr>Microsoft® Office Word 2007</vt:lpwstr>
  </property>
  <property fmtid="{D5CDD505-2E9C-101B-9397-08002B2CF9AE}" pid="4" name="LastSaved">
    <vt:filetime>2018-10-19T00:00:00Z</vt:filetime>
  </property>
</Properties>
</file>