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3"/>
        <w:ind w:left="5629" w:right="0" w:firstLine="0"/>
        <w:jc w:val="left"/>
        <w:rPr>
          <w:sz w:val="20"/>
        </w:rPr>
      </w:pPr>
      <w:r>
        <w:rPr/>
        <w:drawing>
          <wp:anchor distT="0" distB="0" distL="0" distR="0" allowOverlap="1" layoutInCell="1" locked="0" behindDoc="0" simplePos="0" relativeHeight="0">
            <wp:simplePos x="0" y="0"/>
            <wp:positionH relativeFrom="page">
              <wp:posOffset>5695315</wp:posOffset>
            </wp:positionH>
            <wp:positionV relativeFrom="paragraph">
              <wp:posOffset>245106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0"/>
        </w:rPr>
        <w:t>长生人寿[2015]疾病保险 001 号</w:t>
      </w:r>
    </w:p>
    <w:p>
      <w:pPr>
        <w:spacing w:before="18"/>
        <w:ind w:left="0" w:right="117" w:firstLine="0"/>
        <w:jc w:val="right"/>
        <w:rPr>
          <w:sz w:val="20"/>
        </w:rPr>
      </w:pPr>
      <w:r>
        <w:rPr>
          <w:w w:val="95"/>
          <w:sz w:val="20"/>
        </w:rPr>
        <w:t>请扫描以查询验证条款</w:t>
      </w:r>
    </w:p>
    <w:p>
      <w:pPr>
        <w:spacing w:before="109"/>
        <w:ind w:left="2667" w:right="0" w:firstLine="0"/>
        <w:jc w:val="left"/>
        <w:rPr>
          <w:b/>
          <w:sz w:val="32"/>
        </w:rPr>
      </w:pPr>
      <w:r>
        <w:rPr>
          <w:b/>
          <w:w w:val="95"/>
          <w:sz w:val="32"/>
        </w:rPr>
        <w:t>长生人寿保险有限公司</w:t>
      </w:r>
    </w:p>
    <w:p>
      <w:pPr>
        <w:tabs>
          <w:tab w:pos="4395" w:val="left" w:leader="none"/>
        </w:tabs>
        <w:spacing w:line="477" w:lineRule="auto" w:before="114"/>
        <w:ind w:left="3912" w:right="2703" w:hanging="1205"/>
        <w:jc w:val="left"/>
        <w:rPr>
          <w:b/>
          <w:sz w:val="24"/>
        </w:rPr>
      </w:pPr>
      <w:r>
        <w:rPr>
          <w:b/>
          <w:sz w:val="24"/>
        </w:rPr>
        <w:t>长生鑫天祥重大疾病保险条款目</w:t>
        <w:tab/>
        <w:t>录</w:t>
      </w:r>
    </w:p>
    <w:sdt>
      <w:sdtPr>
        <w:docPartObj>
          <w:docPartGallery w:val="Table of Contents"/>
          <w:docPartUnique/>
        </w:docPartObj>
      </w:sdtPr>
      <w:sdtEndPr/>
      <w:sdtContent>
        <w:p>
          <w:pPr>
            <w:pStyle w:val="TOC1"/>
            <w:tabs>
              <w:tab w:pos="1377" w:val="left" w:leader="none"/>
              <w:tab w:pos="8421" w:val="right" w:leader="dot"/>
            </w:tabs>
            <w:spacing w:before="100"/>
            <w:rPr>
              <w:rFonts w:ascii="Times New Roman" w:eastAsia="Times New Roman"/>
            </w:rPr>
          </w:pPr>
          <w:hyperlink w:history="true" w:anchor="_bookmark0">
            <w:r>
              <w:rPr/>
              <w:t>第一章</w:t>
              <w:tab/>
              <w:t>保险合同构成及投</w:t>
            </w:r>
            <w:r>
              <w:rPr>
                <w:spacing w:val="-3"/>
              </w:rPr>
              <w:t>保</w:t>
            </w:r>
            <w:r>
              <w:rPr/>
              <w:t>范围</w:t>
              <w:tab/>
            </w:r>
            <w:r>
              <w:rPr>
                <w:rFonts w:ascii="Times New Roman" w:eastAsia="Times New Roman"/>
              </w:rPr>
              <w:t>3</w:t>
            </w:r>
          </w:hyperlink>
        </w:p>
        <w:p>
          <w:pPr>
            <w:pStyle w:val="TOC2"/>
            <w:tabs>
              <w:tab w:pos="1737" w:val="left" w:leader="none"/>
              <w:tab w:pos="8416" w:val="right" w:leader="dot"/>
            </w:tabs>
            <w:spacing w:before="21"/>
            <w:rPr>
              <w:rFonts w:ascii="Times New Roman" w:eastAsia="Times New Roman"/>
            </w:rPr>
          </w:pPr>
          <w:hyperlink w:history="true" w:anchor="_bookmark1">
            <w:r>
              <w:rPr/>
              <w:t>第一条</w:t>
              <w:tab/>
              <w:t>保险</w:t>
            </w:r>
            <w:r>
              <w:rPr>
                <w:spacing w:val="-3"/>
              </w:rPr>
              <w:t>合</w:t>
            </w:r>
            <w:r>
              <w:rPr/>
              <w:t>同</w:t>
            </w:r>
            <w:r>
              <w:rPr>
                <w:spacing w:val="-3"/>
              </w:rPr>
              <w:t>构</w:t>
            </w:r>
            <w:r>
              <w:rPr/>
              <w:t>成</w:t>
              <w:tab/>
            </w:r>
            <w:r>
              <w:rPr>
                <w:rFonts w:ascii="Times New Roman" w:eastAsia="Times New Roman"/>
              </w:rPr>
              <w:t>3</w:t>
            </w:r>
          </w:hyperlink>
        </w:p>
        <w:p>
          <w:pPr>
            <w:pStyle w:val="TOC2"/>
            <w:tabs>
              <w:tab w:pos="1737" w:val="left" w:leader="none"/>
              <w:tab w:pos="8416" w:val="right" w:leader="dot"/>
            </w:tabs>
            <w:rPr>
              <w:rFonts w:ascii="Times New Roman" w:eastAsia="Times New Roman"/>
            </w:rPr>
          </w:pPr>
          <w:hyperlink w:history="true" w:anchor="_bookmark2">
            <w:r>
              <w:rPr/>
              <w:t>第二条</w:t>
              <w:tab/>
              <w:t>投保</w:t>
            </w:r>
            <w:r>
              <w:rPr>
                <w:spacing w:val="-3"/>
              </w:rPr>
              <w:t>范</w:t>
            </w:r>
            <w:r>
              <w:rPr/>
              <w:t>围</w:t>
              <w:tab/>
            </w:r>
            <w:r>
              <w:rPr>
                <w:rFonts w:ascii="Times New Roman" w:eastAsia="Times New Roman"/>
              </w:rPr>
              <w:t>3</w:t>
            </w:r>
          </w:hyperlink>
        </w:p>
        <w:p>
          <w:pPr>
            <w:pStyle w:val="TOC1"/>
            <w:tabs>
              <w:tab w:pos="1377" w:val="left" w:leader="none"/>
              <w:tab w:pos="8421" w:val="right" w:leader="dot"/>
            </w:tabs>
            <w:rPr>
              <w:rFonts w:ascii="Times New Roman" w:eastAsia="Times New Roman"/>
            </w:rPr>
          </w:pPr>
          <w:hyperlink w:history="true" w:anchor="_bookmark3">
            <w:r>
              <w:rPr/>
              <w:t>第二章</w:t>
              <w:tab/>
              <w:t>保险责任及责任免除</w:t>
              <w:tab/>
            </w:r>
            <w:r>
              <w:rPr>
                <w:rFonts w:ascii="Times New Roman" w:eastAsia="Times New Roman"/>
              </w:rPr>
              <w:t>3</w:t>
            </w:r>
          </w:hyperlink>
        </w:p>
        <w:p>
          <w:pPr>
            <w:pStyle w:val="TOC2"/>
            <w:tabs>
              <w:tab w:pos="1737" w:val="left" w:leader="none"/>
              <w:tab w:pos="8416" w:val="right" w:leader="dot"/>
            </w:tabs>
            <w:rPr>
              <w:rFonts w:ascii="Times New Roman" w:eastAsia="Times New Roman"/>
            </w:rPr>
          </w:pPr>
          <w:hyperlink w:history="true" w:anchor="_bookmark4">
            <w:r>
              <w:rPr/>
              <w:t>第三条</w:t>
              <w:tab/>
              <w:t>保险</w:t>
            </w:r>
            <w:r>
              <w:rPr>
                <w:spacing w:val="-3"/>
              </w:rPr>
              <w:t>责</w:t>
            </w:r>
            <w:r>
              <w:rPr/>
              <w:t>任</w:t>
              <w:tab/>
            </w:r>
            <w:r>
              <w:rPr>
                <w:rFonts w:ascii="Times New Roman" w:eastAsia="Times New Roman"/>
              </w:rPr>
              <w:t>3</w:t>
            </w:r>
          </w:hyperlink>
        </w:p>
        <w:p>
          <w:pPr>
            <w:pStyle w:val="TOC2"/>
            <w:tabs>
              <w:tab w:pos="1737" w:val="left" w:leader="none"/>
              <w:tab w:pos="8416" w:val="right" w:leader="dot"/>
            </w:tabs>
            <w:rPr>
              <w:rFonts w:ascii="Times New Roman" w:eastAsia="Times New Roman"/>
            </w:rPr>
          </w:pPr>
          <w:hyperlink w:history="true" w:anchor="_bookmark5">
            <w:r>
              <w:rPr/>
              <w:t>第四条</w:t>
              <w:tab/>
              <w:t>责任</w:t>
            </w:r>
            <w:r>
              <w:rPr>
                <w:spacing w:val="-3"/>
              </w:rPr>
              <w:t>免</w:t>
            </w:r>
            <w:r>
              <w:rPr/>
              <w:t>除</w:t>
              <w:tab/>
            </w:r>
            <w:r>
              <w:rPr>
                <w:rFonts w:ascii="Times New Roman" w:eastAsia="Times New Roman"/>
              </w:rPr>
              <w:t>3</w:t>
            </w:r>
          </w:hyperlink>
        </w:p>
        <w:p>
          <w:pPr>
            <w:pStyle w:val="TOC1"/>
            <w:tabs>
              <w:tab w:pos="1377" w:val="left" w:leader="none"/>
              <w:tab w:pos="8421" w:val="right" w:leader="dot"/>
            </w:tabs>
            <w:rPr>
              <w:rFonts w:ascii="Times New Roman" w:eastAsia="Times New Roman"/>
            </w:rPr>
          </w:pPr>
          <w:hyperlink w:history="true" w:anchor="_bookmark6">
            <w:r>
              <w:rPr/>
              <w:t>第三章</w:t>
              <w:tab/>
              <w:t>保险金额、保险费</w:t>
            </w:r>
            <w:r>
              <w:rPr>
                <w:spacing w:val="-3"/>
              </w:rPr>
              <w:t>及</w:t>
            </w:r>
            <w:r>
              <w:rPr/>
              <w:t>宽</w:t>
            </w:r>
            <w:r>
              <w:rPr>
                <w:spacing w:val="-3"/>
              </w:rPr>
              <w:t>限</w:t>
            </w:r>
            <w:r>
              <w:rPr/>
              <w:t>期</w:t>
              <w:tab/>
            </w:r>
            <w:r>
              <w:rPr>
                <w:rFonts w:ascii="Times New Roman" w:eastAsia="Times New Roman"/>
              </w:rPr>
              <w:t>5</w:t>
            </w:r>
          </w:hyperlink>
        </w:p>
        <w:p>
          <w:pPr>
            <w:pStyle w:val="TOC2"/>
            <w:tabs>
              <w:tab w:pos="1737" w:val="left" w:leader="none"/>
              <w:tab w:pos="8416" w:val="right" w:leader="dot"/>
            </w:tabs>
            <w:rPr>
              <w:rFonts w:ascii="Times New Roman" w:eastAsia="Times New Roman"/>
            </w:rPr>
          </w:pPr>
          <w:hyperlink w:history="true" w:anchor="_bookmark7">
            <w:r>
              <w:rPr/>
              <w:t>第五条</w:t>
              <w:tab/>
              <w:t>保险</w:t>
            </w:r>
            <w:r>
              <w:rPr>
                <w:spacing w:val="-3"/>
              </w:rPr>
              <w:t>金</w:t>
            </w:r>
            <w:r>
              <w:rPr/>
              <w:t>额</w:t>
              <w:tab/>
            </w:r>
            <w:r>
              <w:rPr>
                <w:rFonts w:ascii="Times New Roman" w:eastAsia="Times New Roman"/>
              </w:rPr>
              <w:t>5</w:t>
            </w:r>
          </w:hyperlink>
        </w:p>
        <w:p>
          <w:pPr>
            <w:pStyle w:val="TOC2"/>
            <w:tabs>
              <w:tab w:pos="1737" w:val="left" w:leader="none"/>
              <w:tab w:pos="8416" w:val="right" w:leader="dot"/>
            </w:tabs>
            <w:rPr>
              <w:rFonts w:ascii="Times New Roman" w:eastAsia="Times New Roman"/>
            </w:rPr>
          </w:pPr>
          <w:hyperlink w:history="true" w:anchor="_bookmark8">
            <w:r>
              <w:rPr/>
              <w:t>第六条</w:t>
              <w:tab/>
              <w:t>保险</w:t>
            </w:r>
            <w:r>
              <w:rPr>
                <w:spacing w:val="-3"/>
              </w:rPr>
              <w:t>费</w:t>
            </w:r>
            <w:r>
              <w:rPr/>
              <w:t>及</w:t>
            </w:r>
            <w:r>
              <w:rPr>
                <w:spacing w:val="-3"/>
              </w:rPr>
              <w:t>宽</w:t>
            </w:r>
            <w:r>
              <w:rPr/>
              <w:t>限期</w:t>
              <w:tab/>
            </w:r>
            <w:r>
              <w:rPr>
                <w:rFonts w:ascii="Times New Roman" w:eastAsia="Times New Roman"/>
              </w:rPr>
              <w:t>5</w:t>
            </w:r>
          </w:hyperlink>
        </w:p>
        <w:p>
          <w:pPr>
            <w:pStyle w:val="TOC2"/>
            <w:tabs>
              <w:tab w:pos="1737" w:val="left" w:leader="none"/>
              <w:tab w:pos="8416" w:val="right" w:leader="dot"/>
            </w:tabs>
            <w:rPr>
              <w:rFonts w:ascii="Times New Roman" w:eastAsia="Times New Roman"/>
            </w:rPr>
          </w:pPr>
          <w:hyperlink w:history="true" w:anchor="_bookmark9">
            <w:r>
              <w:rPr/>
              <w:t>第七条</w:t>
              <w:tab/>
              <w:t>保险</w:t>
            </w:r>
            <w:r>
              <w:rPr>
                <w:spacing w:val="-3"/>
              </w:rPr>
              <w:t>费</w:t>
            </w:r>
            <w:r>
              <w:rPr/>
              <w:t>自</w:t>
            </w:r>
            <w:r>
              <w:rPr>
                <w:spacing w:val="-3"/>
              </w:rPr>
              <w:t>动</w:t>
            </w:r>
            <w:r>
              <w:rPr/>
              <w:t>垫交</w:t>
              <w:tab/>
            </w:r>
            <w:r>
              <w:rPr>
                <w:rFonts w:ascii="Times New Roman" w:eastAsia="Times New Roman"/>
              </w:rPr>
              <w:t>5</w:t>
            </w:r>
          </w:hyperlink>
        </w:p>
        <w:p>
          <w:pPr>
            <w:pStyle w:val="TOC2"/>
            <w:tabs>
              <w:tab w:pos="1737" w:val="left" w:leader="none"/>
              <w:tab w:pos="8416" w:val="right" w:leader="dot"/>
            </w:tabs>
            <w:rPr>
              <w:rFonts w:ascii="Times New Roman" w:eastAsia="Times New Roman"/>
            </w:rPr>
          </w:pPr>
          <w:hyperlink w:history="true" w:anchor="_bookmark10">
            <w:r>
              <w:rPr/>
              <w:t>第八条</w:t>
              <w:tab/>
              <w:t>保单</w:t>
            </w:r>
            <w:r>
              <w:rPr>
                <w:spacing w:val="-3"/>
              </w:rPr>
              <w:t>借</w:t>
            </w:r>
            <w:r>
              <w:rPr/>
              <w:t>款</w:t>
              <w:tab/>
            </w:r>
            <w:r>
              <w:rPr>
                <w:rFonts w:ascii="Times New Roman" w:eastAsia="Times New Roman"/>
              </w:rPr>
              <w:t>5</w:t>
            </w:r>
          </w:hyperlink>
        </w:p>
        <w:p>
          <w:pPr>
            <w:pStyle w:val="TOC2"/>
            <w:tabs>
              <w:tab w:pos="1737" w:val="left" w:leader="none"/>
              <w:tab w:pos="8416" w:val="right" w:leader="dot"/>
            </w:tabs>
            <w:rPr>
              <w:rFonts w:ascii="Times New Roman" w:eastAsia="Times New Roman"/>
            </w:rPr>
          </w:pPr>
          <w:hyperlink w:history="true" w:anchor="_bookmark11">
            <w:r>
              <w:rPr/>
              <w:t>第九条</w:t>
              <w:tab/>
              <w:t>欠款</w:t>
            </w:r>
            <w:r>
              <w:rPr>
                <w:spacing w:val="-3"/>
              </w:rPr>
              <w:t>扣</w:t>
            </w:r>
            <w:r>
              <w:rPr/>
              <w:t>除</w:t>
              <w:tab/>
            </w:r>
            <w:r>
              <w:rPr>
                <w:rFonts w:ascii="Times New Roman" w:eastAsia="Times New Roman"/>
              </w:rPr>
              <w:t>5</w:t>
            </w:r>
          </w:hyperlink>
        </w:p>
        <w:p>
          <w:pPr>
            <w:pStyle w:val="TOC1"/>
            <w:tabs>
              <w:tab w:pos="1377" w:val="left" w:leader="none"/>
              <w:tab w:pos="8421" w:val="right" w:leader="dot"/>
            </w:tabs>
            <w:rPr>
              <w:rFonts w:ascii="Times New Roman" w:eastAsia="Times New Roman"/>
            </w:rPr>
          </w:pPr>
          <w:hyperlink w:history="true" w:anchor="_bookmark12">
            <w:r>
              <w:rPr/>
              <w:t>第四章</w:t>
              <w:tab/>
              <w:t>保险期间、保险合</w:t>
            </w:r>
            <w:r>
              <w:rPr>
                <w:spacing w:val="-3"/>
              </w:rPr>
              <w:t>同</w:t>
            </w:r>
            <w:r>
              <w:rPr/>
              <w:t>成</w:t>
            </w:r>
            <w:r>
              <w:rPr>
                <w:spacing w:val="-3"/>
              </w:rPr>
              <w:t>立</w:t>
            </w:r>
            <w:r>
              <w:rPr/>
              <w:t>与生效、复效及解除</w:t>
              <w:tab/>
            </w:r>
            <w:r>
              <w:rPr>
                <w:rFonts w:ascii="Times New Roman" w:eastAsia="Times New Roman"/>
              </w:rPr>
              <w:t>5</w:t>
            </w:r>
          </w:hyperlink>
        </w:p>
        <w:p>
          <w:pPr>
            <w:pStyle w:val="TOC2"/>
            <w:tabs>
              <w:tab w:pos="1737" w:val="left" w:leader="none"/>
              <w:tab w:pos="8416" w:val="right" w:leader="dot"/>
            </w:tabs>
            <w:spacing w:before="21"/>
            <w:rPr>
              <w:rFonts w:ascii="Times New Roman" w:eastAsia="Times New Roman"/>
            </w:rPr>
          </w:pPr>
          <w:hyperlink w:history="true" w:anchor="_bookmark13">
            <w:r>
              <w:rPr/>
              <w:t>第十条</w:t>
              <w:tab/>
              <w:t>保险</w:t>
            </w:r>
            <w:r>
              <w:rPr>
                <w:spacing w:val="-3"/>
              </w:rPr>
              <w:t>期</w:t>
            </w:r>
            <w:r>
              <w:rPr/>
              <w:t>间</w:t>
              <w:tab/>
            </w:r>
            <w:r>
              <w:rPr>
                <w:rFonts w:ascii="Times New Roman" w:eastAsia="Times New Roman"/>
              </w:rPr>
              <w:t>5</w:t>
            </w:r>
          </w:hyperlink>
        </w:p>
        <w:p>
          <w:pPr>
            <w:pStyle w:val="TOC2"/>
            <w:tabs>
              <w:tab w:pos="1737" w:val="left" w:leader="none"/>
              <w:tab w:pos="8416" w:val="right" w:leader="dot"/>
            </w:tabs>
            <w:spacing w:before="21"/>
            <w:rPr>
              <w:rFonts w:ascii="Times New Roman" w:eastAsia="Times New Roman"/>
            </w:rPr>
          </w:pPr>
          <w:hyperlink w:history="true" w:anchor="_bookmark14">
            <w:r>
              <w:rPr/>
              <w:t>第十</w:t>
            </w:r>
            <w:r>
              <w:rPr>
                <w:spacing w:val="-3"/>
              </w:rPr>
              <w:t>一</w:t>
            </w:r>
            <w:r>
              <w:rPr/>
              <w:t>条</w:t>
              <w:tab/>
              <w:t>保险</w:t>
            </w:r>
            <w:r>
              <w:rPr>
                <w:spacing w:val="-3"/>
              </w:rPr>
              <w:t>合</w:t>
            </w:r>
            <w:r>
              <w:rPr/>
              <w:t>同</w:t>
            </w:r>
            <w:r>
              <w:rPr>
                <w:spacing w:val="-3"/>
              </w:rPr>
              <w:t>成</w:t>
            </w:r>
            <w:r>
              <w:rPr/>
              <w:t>立</w:t>
            </w:r>
            <w:r>
              <w:rPr>
                <w:spacing w:val="-3"/>
              </w:rPr>
              <w:t>与</w:t>
            </w:r>
            <w:r>
              <w:rPr/>
              <w:t>生效</w:t>
              <w:tab/>
            </w:r>
            <w:r>
              <w:rPr>
                <w:rFonts w:ascii="Times New Roman" w:eastAsia="Times New Roman"/>
              </w:rPr>
              <w:t>5</w:t>
            </w:r>
          </w:hyperlink>
        </w:p>
        <w:p>
          <w:pPr>
            <w:pStyle w:val="TOC2"/>
            <w:tabs>
              <w:tab w:pos="1737" w:val="left" w:leader="none"/>
              <w:tab w:pos="8416" w:val="right" w:leader="dot"/>
            </w:tabs>
            <w:spacing w:before="21"/>
            <w:rPr>
              <w:rFonts w:ascii="Times New Roman" w:eastAsia="Times New Roman"/>
            </w:rPr>
          </w:pPr>
          <w:hyperlink w:history="true" w:anchor="_bookmark15">
            <w:r>
              <w:rPr/>
              <w:t>第十</w:t>
            </w:r>
            <w:r>
              <w:rPr>
                <w:spacing w:val="-3"/>
              </w:rPr>
              <w:t>二</w:t>
            </w:r>
            <w:r>
              <w:rPr/>
              <w:t>条</w:t>
              <w:tab/>
              <w:t>合同</w:t>
            </w:r>
            <w:r>
              <w:rPr>
                <w:spacing w:val="-3"/>
              </w:rPr>
              <w:t>效</w:t>
            </w:r>
            <w:r>
              <w:rPr/>
              <w:t>力</w:t>
            </w:r>
            <w:r>
              <w:rPr>
                <w:spacing w:val="-3"/>
              </w:rPr>
              <w:t>恢</w:t>
            </w:r>
            <w:r>
              <w:rPr/>
              <w:t>复</w:t>
              <w:tab/>
            </w:r>
            <w:r>
              <w:rPr>
                <w:rFonts w:ascii="Times New Roman" w:eastAsia="Times New Roman"/>
              </w:rPr>
              <w:t>6</w:t>
            </w:r>
          </w:hyperlink>
        </w:p>
        <w:p>
          <w:pPr>
            <w:pStyle w:val="TOC2"/>
            <w:tabs>
              <w:tab w:pos="1737" w:val="left" w:leader="none"/>
              <w:tab w:pos="8416" w:val="right" w:leader="dot"/>
            </w:tabs>
            <w:spacing w:before="21"/>
            <w:rPr>
              <w:rFonts w:ascii="Times New Roman" w:eastAsia="Times New Roman"/>
            </w:rPr>
          </w:pPr>
          <w:hyperlink w:history="true" w:anchor="_bookmark16">
            <w:r>
              <w:rPr/>
              <w:t>第十</w:t>
            </w:r>
            <w:r>
              <w:rPr>
                <w:spacing w:val="-3"/>
              </w:rPr>
              <w:t>三</w:t>
            </w:r>
            <w:r>
              <w:rPr/>
              <w:t>条</w:t>
              <w:tab/>
              <w:t>投保</w:t>
            </w:r>
            <w:r>
              <w:rPr>
                <w:spacing w:val="-3"/>
              </w:rPr>
              <w:t>人</w:t>
            </w:r>
            <w:r>
              <w:rPr/>
              <w:t>解</w:t>
            </w:r>
            <w:r>
              <w:rPr>
                <w:spacing w:val="-3"/>
              </w:rPr>
              <w:t>除</w:t>
            </w:r>
            <w:r>
              <w:rPr/>
              <w:t>合同</w:t>
              <w:tab/>
            </w:r>
            <w:r>
              <w:rPr>
                <w:rFonts w:ascii="Times New Roman" w:eastAsia="Times New Roman"/>
              </w:rPr>
              <w:t>6</w:t>
            </w:r>
          </w:hyperlink>
        </w:p>
        <w:p>
          <w:pPr>
            <w:pStyle w:val="TOC1"/>
            <w:tabs>
              <w:tab w:pos="1377" w:val="left" w:leader="none"/>
              <w:tab w:pos="8421" w:val="right" w:leader="dot"/>
            </w:tabs>
            <w:spacing w:before="21"/>
            <w:rPr>
              <w:rFonts w:ascii="Times New Roman" w:eastAsia="Times New Roman"/>
            </w:rPr>
          </w:pPr>
          <w:hyperlink w:history="true" w:anchor="_bookmark17">
            <w:r>
              <w:rPr/>
              <w:t>第五章</w:t>
              <w:tab/>
              <w:t>保险金申请</w:t>
              <w:tab/>
            </w:r>
            <w:r>
              <w:rPr>
                <w:rFonts w:ascii="Times New Roman" w:eastAsia="Times New Roman"/>
              </w:rPr>
              <w:t>6</w:t>
            </w:r>
          </w:hyperlink>
        </w:p>
        <w:p>
          <w:pPr>
            <w:pStyle w:val="TOC2"/>
            <w:tabs>
              <w:tab w:pos="1737" w:val="left" w:leader="none"/>
              <w:tab w:pos="8416" w:val="right" w:leader="dot"/>
            </w:tabs>
            <w:spacing w:before="21"/>
            <w:rPr>
              <w:rFonts w:ascii="Times New Roman" w:eastAsia="Times New Roman"/>
            </w:rPr>
          </w:pPr>
          <w:hyperlink w:history="true" w:anchor="_bookmark18">
            <w:r>
              <w:rPr/>
              <w:t>第十</w:t>
            </w:r>
            <w:r>
              <w:rPr>
                <w:spacing w:val="-3"/>
              </w:rPr>
              <w:t>四</w:t>
            </w:r>
            <w:r>
              <w:rPr/>
              <w:t>条</w:t>
              <w:tab/>
              <w:t>保险</w:t>
            </w:r>
            <w:r>
              <w:rPr>
                <w:spacing w:val="-3"/>
              </w:rPr>
              <w:t>事</w:t>
            </w:r>
            <w:r>
              <w:rPr/>
              <w:t>故</w:t>
            </w:r>
            <w:r>
              <w:rPr>
                <w:spacing w:val="-3"/>
              </w:rPr>
              <w:t>通</w:t>
            </w:r>
            <w:r>
              <w:rPr/>
              <w:t>知</w:t>
              <w:tab/>
            </w:r>
            <w:r>
              <w:rPr>
                <w:rFonts w:ascii="Times New Roman" w:eastAsia="Times New Roman"/>
              </w:rPr>
              <w:t>6</w:t>
            </w:r>
          </w:hyperlink>
        </w:p>
        <w:p>
          <w:pPr>
            <w:pStyle w:val="TOC2"/>
            <w:tabs>
              <w:tab w:pos="1737" w:val="left" w:leader="none"/>
              <w:tab w:pos="8416" w:val="right" w:leader="dot"/>
            </w:tabs>
            <w:spacing w:before="21"/>
            <w:rPr>
              <w:rFonts w:ascii="Times New Roman" w:eastAsia="Times New Roman"/>
            </w:rPr>
          </w:pPr>
          <w:hyperlink w:history="true" w:anchor="_bookmark19">
            <w:r>
              <w:rPr/>
              <w:t>第十</w:t>
            </w:r>
            <w:r>
              <w:rPr>
                <w:spacing w:val="-3"/>
              </w:rPr>
              <w:t>五</w:t>
            </w:r>
            <w:r>
              <w:rPr/>
              <w:t>条</w:t>
              <w:tab/>
              <w:t>诉讼</w:t>
            </w:r>
            <w:r>
              <w:rPr>
                <w:spacing w:val="-3"/>
              </w:rPr>
              <w:t>时</w:t>
            </w:r>
            <w:r>
              <w:rPr/>
              <w:t>效</w:t>
              <w:tab/>
            </w:r>
            <w:r>
              <w:rPr>
                <w:rFonts w:ascii="Times New Roman" w:eastAsia="Times New Roman"/>
              </w:rPr>
              <w:t>6</w:t>
            </w:r>
          </w:hyperlink>
        </w:p>
        <w:p>
          <w:pPr>
            <w:pStyle w:val="TOC2"/>
            <w:tabs>
              <w:tab w:pos="1737" w:val="left" w:leader="none"/>
              <w:tab w:pos="8416" w:val="right" w:leader="dot"/>
            </w:tabs>
            <w:spacing w:before="21"/>
            <w:rPr>
              <w:rFonts w:ascii="Times New Roman" w:eastAsia="Times New Roman"/>
            </w:rPr>
          </w:pPr>
          <w:hyperlink w:history="true" w:anchor="_bookmark20">
            <w:r>
              <w:rPr/>
              <w:t>第十</w:t>
            </w:r>
            <w:r>
              <w:rPr>
                <w:spacing w:val="-3"/>
              </w:rPr>
              <w:t>六</w:t>
            </w:r>
            <w:r>
              <w:rPr/>
              <w:t>条</w:t>
              <w:tab/>
              <w:t>保险</w:t>
            </w:r>
            <w:r>
              <w:rPr>
                <w:spacing w:val="-3"/>
              </w:rPr>
              <w:t>金</w:t>
            </w:r>
            <w:r>
              <w:rPr/>
              <w:t>申请</w:t>
              <w:tab/>
            </w:r>
            <w:r>
              <w:rPr>
                <w:rFonts w:ascii="Times New Roman" w:eastAsia="Times New Roman"/>
              </w:rPr>
              <w:t>6</w:t>
            </w:r>
          </w:hyperlink>
        </w:p>
        <w:p>
          <w:pPr>
            <w:pStyle w:val="TOC2"/>
            <w:tabs>
              <w:tab w:pos="1737" w:val="left" w:leader="none"/>
              <w:tab w:pos="8416" w:val="right" w:leader="dot"/>
            </w:tabs>
            <w:spacing w:before="21"/>
            <w:rPr>
              <w:rFonts w:ascii="Times New Roman" w:eastAsia="Times New Roman"/>
            </w:rPr>
          </w:pPr>
          <w:hyperlink w:history="true" w:anchor="_bookmark21">
            <w:r>
              <w:rPr/>
              <w:t>第十</w:t>
            </w:r>
            <w:r>
              <w:rPr>
                <w:spacing w:val="-3"/>
              </w:rPr>
              <w:t>七</w:t>
            </w:r>
            <w:r>
              <w:rPr/>
              <w:t>条</w:t>
              <w:tab/>
              <w:t>保险</w:t>
            </w:r>
            <w:r>
              <w:rPr>
                <w:spacing w:val="-3"/>
              </w:rPr>
              <w:t>金</w:t>
            </w:r>
            <w:r>
              <w:rPr/>
              <w:t>给付</w:t>
              <w:tab/>
            </w:r>
            <w:r>
              <w:rPr>
                <w:rFonts w:ascii="Times New Roman" w:eastAsia="Times New Roman"/>
              </w:rPr>
              <w:t>7</w:t>
            </w:r>
          </w:hyperlink>
        </w:p>
        <w:p>
          <w:pPr>
            <w:pStyle w:val="TOC2"/>
            <w:tabs>
              <w:tab w:pos="1737" w:val="left" w:leader="none"/>
              <w:tab w:pos="8416" w:val="right" w:leader="dot"/>
            </w:tabs>
            <w:spacing w:before="21"/>
            <w:rPr>
              <w:rFonts w:ascii="Times New Roman" w:eastAsia="Times New Roman"/>
            </w:rPr>
          </w:pPr>
          <w:hyperlink w:history="true" w:anchor="_bookmark22">
            <w:r>
              <w:rPr/>
              <w:t>第十</w:t>
            </w:r>
            <w:r>
              <w:rPr>
                <w:spacing w:val="-3"/>
              </w:rPr>
              <w:t>八</w:t>
            </w:r>
            <w:r>
              <w:rPr/>
              <w:t>条</w:t>
              <w:tab/>
              <w:t>失踪</w:t>
            </w:r>
            <w:r>
              <w:rPr>
                <w:spacing w:val="-3"/>
              </w:rPr>
              <w:t>处</w:t>
            </w:r>
            <w:r>
              <w:rPr/>
              <w:t>理</w:t>
              <w:tab/>
            </w:r>
            <w:r>
              <w:rPr>
                <w:rFonts w:ascii="Times New Roman" w:eastAsia="Times New Roman"/>
              </w:rPr>
              <w:t>7</w:t>
            </w:r>
          </w:hyperlink>
        </w:p>
        <w:p>
          <w:pPr>
            <w:pStyle w:val="TOC1"/>
            <w:tabs>
              <w:tab w:pos="1377" w:val="left" w:leader="none"/>
              <w:tab w:pos="8421" w:val="right" w:leader="dot"/>
            </w:tabs>
            <w:spacing w:before="21"/>
            <w:rPr>
              <w:rFonts w:ascii="Times New Roman" w:eastAsia="Times New Roman"/>
            </w:rPr>
          </w:pPr>
          <w:hyperlink w:history="true" w:anchor="_bookmark23">
            <w:r>
              <w:rPr/>
              <w:t>第六章</w:t>
              <w:tab/>
              <w:t>一般条款</w:t>
              <w:tab/>
            </w:r>
            <w:r>
              <w:rPr>
                <w:rFonts w:ascii="Times New Roman" w:eastAsia="Times New Roman"/>
              </w:rPr>
              <w:t>7</w:t>
            </w:r>
          </w:hyperlink>
        </w:p>
        <w:p>
          <w:pPr>
            <w:pStyle w:val="TOC2"/>
            <w:tabs>
              <w:tab w:pos="1737" w:val="left" w:leader="none"/>
              <w:tab w:pos="8416" w:val="right" w:leader="dot"/>
            </w:tabs>
            <w:spacing w:before="21"/>
            <w:rPr>
              <w:rFonts w:ascii="Times New Roman" w:eastAsia="Times New Roman"/>
            </w:rPr>
          </w:pPr>
          <w:hyperlink w:history="true" w:anchor="_bookmark24">
            <w:r>
              <w:rPr/>
              <w:t>第十</w:t>
            </w:r>
            <w:r>
              <w:rPr>
                <w:spacing w:val="-3"/>
              </w:rPr>
              <w:t>九</w:t>
            </w:r>
            <w:r>
              <w:rPr/>
              <w:t>条</w:t>
              <w:tab/>
              <w:t>如实</w:t>
            </w:r>
            <w:r>
              <w:rPr>
                <w:spacing w:val="-3"/>
              </w:rPr>
              <w:t>告</w:t>
            </w:r>
            <w:r>
              <w:rPr/>
              <w:t>知</w:t>
              <w:tab/>
            </w:r>
            <w:r>
              <w:rPr>
                <w:rFonts w:ascii="Times New Roman" w:eastAsia="Times New Roman"/>
              </w:rPr>
              <w:t>7</w:t>
            </w:r>
          </w:hyperlink>
        </w:p>
        <w:p>
          <w:pPr>
            <w:pStyle w:val="TOC2"/>
            <w:tabs>
              <w:tab w:pos="1737" w:val="left" w:leader="none"/>
              <w:tab w:pos="8416" w:val="right" w:leader="dot"/>
            </w:tabs>
            <w:spacing w:before="21"/>
            <w:rPr>
              <w:rFonts w:ascii="Times New Roman" w:eastAsia="Times New Roman"/>
            </w:rPr>
          </w:pPr>
          <w:hyperlink w:history="true" w:anchor="_bookmark25">
            <w:r>
              <w:rPr/>
              <w:t>第二</w:t>
            </w:r>
            <w:r>
              <w:rPr>
                <w:spacing w:val="-3"/>
              </w:rPr>
              <w:t>十</w:t>
            </w:r>
            <w:r>
              <w:rPr/>
              <w:t>条</w:t>
              <w:tab/>
              <w:t>年龄</w:t>
            </w:r>
            <w:r>
              <w:rPr>
                <w:spacing w:val="-3"/>
              </w:rPr>
              <w:t>确</w:t>
            </w:r>
            <w:r>
              <w:rPr/>
              <w:t>定</w:t>
            </w:r>
            <w:r>
              <w:rPr>
                <w:spacing w:val="-3"/>
              </w:rPr>
              <w:t>及</w:t>
            </w:r>
            <w:r>
              <w:rPr/>
              <w:t>错</w:t>
            </w:r>
            <w:r>
              <w:rPr>
                <w:spacing w:val="-3"/>
              </w:rPr>
              <w:t>误</w:t>
            </w:r>
            <w:r>
              <w:rPr/>
              <w:t>处理</w:t>
              <w:tab/>
            </w:r>
            <w:r>
              <w:rPr>
                <w:rFonts w:ascii="Times New Roman" w:eastAsia="Times New Roman"/>
              </w:rPr>
              <w:t>8</w:t>
            </w:r>
          </w:hyperlink>
        </w:p>
        <w:p>
          <w:pPr>
            <w:pStyle w:val="TOC2"/>
            <w:tabs>
              <w:tab w:pos="8416" w:val="right" w:leader="dot"/>
            </w:tabs>
            <w:rPr>
              <w:rFonts w:ascii="Times New Roman" w:eastAsia="Times New Roman"/>
            </w:rPr>
          </w:pPr>
          <w:hyperlink w:history="true" w:anchor="_bookmark26">
            <w:r>
              <w:rPr/>
              <w:t>第二</w:t>
            </w:r>
            <w:r>
              <w:rPr>
                <w:spacing w:val="-3"/>
              </w:rPr>
              <w:t>十</w:t>
            </w:r>
            <w:r>
              <w:rPr/>
              <w:t>一条</w:t>
            </w:r>
            <w:r>
              <w:rPr>
                <w:spacing w:val="40"/>
              </w:rPr>
              <w:t> </w:t>
            </w:r>
            <w:r>
              <w:rPr/>
              <w:t>犹豫期</w:t>
              <w:tab/>
            </w:r>
            <w:r>
              <w:rPr>
                <w:rFonts w:ascii="Times New Roman" w:eastAsia="Times New Roman"/>
              </w:rPr>
              <w:t>8</w:t>
            </w:r>
          </w:hyperlink>
        </w:p>
        <w:p>
          <w:pPr>
            <w:pStyle w:val="TOC2"/>
            <w:tabs>
              <w:tab w:pos="8416" w:val="right" w:leader="dot"/>
            </w:tabs>
            <w:rPr>
              <w:rFonts w:ascii="Times New Roman" w:eastAsia="Times New Roman"/>
            </w:rPr>
          </w:pPr>
          <w:hyperlink w:history="true" w:anchor="_bookmark27">
            <w:r>
              <w:rPr/>
              <w:t>第二</w:t>
            </w:r>
            <w:r>
              <w:rPr>
                <w:spacing w:val="-3"/>
              </w:rPr>
              <w:t>十</w:t>
            </w:r>
            <w:r>
              <w:rPr/>
              <w:t>二条</w:t>
            </w:r>
            <w:r>
              <w:rPr>
                <w:spacing w:val="40"/>
              </w:rPr>
              <w:t> </w:t>
            </w:r>
            <w:r>
              <w:rPr/>
              <w:t>受益</w:t>
            </w:r>
            <w:r>
              <w:rPr>
                <w:spacing w:val="-3"/>
              </w:rPr>
              <w:t>人</w:t>
            </w:r>
            <w:r>
              <w:rPr/>
              <w:t>指</w:t>
            </w:r>
            <w:r>
              <w:rPr>
                <w:spacing w:val="-3"/>
              </w:rPr>
              <w:t>定</w:t>
            </w:r>
            <w:r>
              <w:rPr/>
              <w:t>与</w:t>
            </w:r>
            <w:r>
              <w:rPr>
                <w:spacing w:val="-3"/>
              </w:rPr>
              <w:t>变</w:t>
            </w:r>
            <w:r>
              <w:rPr/>
              <w:t>更</w:t>
              <w:tab/>
            </w:r>
            <w:r>
              <w:rPr>
                <w:rFonts w:ascii="Times New Roman" w:eastAsia="Times New Roman"/>
              </w:rPr>
              <w:t>8</w:t>
            </w:r>
          </w:hyperlink>
        </w:p>
        <w:p>
          <w:pPr>
            <w:pStyle w:val="TOC2"/>
            <w:tabs>
              <w:tab w:pos="8416" w:val="right" w:leader="dot"/>
            </w:tabs>
            <w:rPr>
              <w:rFonts w:ascii="Times New Roman" w:eastAsia="Times New Roman"/>
            </w:rPr>
          </w:pPr>
          <w:hyperlink w:history="true" w:anchor="_bookmark28">
            <w:r>
              <w:rPr/>
              <w:t>第二</w:t>
            </w:r>
            <w:r>
              <w:rPr>
                <w:spacing w:val="-3"/>
              </w:rPr>
              <w:t>十</w:t>
            </w:r>
            <w:r>
              <w:rPr/>
              <w:t>三条</w:t>
            </w:r>
            <w:r>
              <w:rPr>
                <w:spacing w:val="40"/>
              </w:rPr>
              <w:t> </w:t>
            </w:r>
            <w:r>
              <w:rPr/>
              <w:t>合同</w:t>
            </w:r>
            <w:r>
              <w:rPr>
                <w:spacing w:val="-3"/>
              </w:rPr>
              <w:t>内</w:t>
            </w:r>
            <w:r>
              <w:rPr/>
              <w:t>容</w:t>
            </w:r>
            <w:r>
              <w:rPr>
                <w:spacing w:val="-3"/>
              </w:rPr>
              <w:t>变</w:t>
            </w:r>
            <w:r>
              <w:rPr/>
              <w:t>更</w:t>
              <w:tab/>
            </w:r>
            <w:r>
              <w:rPr>
                <w:rFonts w:ascii="Times New Roman" w:eastAsia="Times New Roman"/>
              </w:rPr>
              <w:t>9</w:t>
            </w:r>
          </w:hyperlink>
        </w:p>
        <w:p>
          <w:pPr>
            <w:pStyle w:val="TOC2"/>
            <w:tabs>
              <w:tab w:pos="8416" w:val="right" w:leader="dot"/>
            </w:tabs>
            <w:rPr>
              <w:rFonts w:ascii="Times New Roman" w:eastAsia="Times New Roman"/>
            </w:rPr>
          </w:pPr>
          <w:hyperlink w:history="true" w:anchor="_bookmark29">
            <w:r>
              <w:rPr/>
              <w:t>第二</w:t>
            </w:r>
            <w:r>
              <w:rPr>
                <w:spacing w:val="-3"/>
              </w:rPr>
              <w:t>十</w:t>
            </w:r>
            <w:r>
              <w:rPr/>
              <w:t>四条</w:t>
            </w:r>
            <w:r>
              <w:rPr>
                <w:spacing w:val="40"/>
              </w:rPr>
              <w:t> </w:t>
            </w:r>
            <w:r>
              <w:rPr/>
              <w:t>通讯</w:t>
            </w:r>
            <w:r>
              <w:rPr>
                <w:spacing w:val="-3"/>
              </w:rPr>
              <w:t>地</w:t>
            </w:r>
            <w:r>
              <w:rPr/>
              <w:t>址</w:t>
            </w:r>
            <w:r>
              <w:rPr>
                <w:spacing w:val="-3"/>
              </w:rPr>
              <w:t>变</w:t>
            </w:r>
            <w:r>
              <w:rPr/>
              <w:t>更</w:t>
              <w:tab/>
            </w:r>
            <w:r>
              <w:rPr>
                <w:rFonts w:ascii="Times New Roman" w:eastAsia="Times New Roman"/>
              </w:rPr>
              <w:t>9</w:t>
            </w:r>
          </w:hyperlink>
        </w:p>
        <w:p>
          <w:pPr>
            <w:pStyle w:val="TOC2"/>
            <w:tabs>
              <w:tab w:pos="8416" w:val="right" w:leader="dot"/>
            </w:tabs>
            <w:rPr>
              <w:rFonts w:ascii="Times New Roman" w:eastAsia="Times New Roman"/>
            </w:rPr>
          </w:pPr>
          <w:hyperlink w:history="true" w:anchor="_bookmark30">
            <w:r>
              <w:rPr/>
              <w:t>第二</w:t>
            </w:r>
            <w:r>
              <w:rPr>
                <w:spacing w:val="-3"/>
              </w:rPr>
              <w:t>十</w:t>
            </w:r>
            <w:r>
              <w:rPr/>
              <w:t>五条</w:t>
            </w:r>
            <w:r>
              <w:rPr>
                <w:spacing w:val="40"/>
              </w:rPr>
              <w:t> </w:t>
            </w:r>
            <w:r>
              <w:rPr/>
              <w:t>司法</w:t>
            </w:r>
            <w:r>
              <w:rPr>
                <w:spacing w:val="-3"/>
              </w:rPr>
              <w:t>鉴</w:t>
            </w:r>
            <w:r>
              <w:rPr/>
              <w:t>定</w:t>
              <w:tab/>
            </w:r>
            <w:r>
              <w:rPr>
                <w:rFonts w:ascii="Times New Roman" w:eastAsia="Times New Roman"/>
              </w:rPr>
              <w:t>9</w:t>
            </w:r>
          </w:hyperlink>
        </w:p>
        <w:p>
          <w:pPr>
            <w:pStyle w:val="TOC2"/>
            <w:tabs>
              <w:tab w:pos="8416" w:val="right" w:leader="dot"/>
            </w:tabs>
            <w:rPr>
              <w:rFonts w:ascii="Times New Roman" w:eastAsia="Times New Roman"/>
            </w:rPr>
          </w:pPr>
          <w:hyperlink w:history="true" w:anchor="_bookmark31">
            <w:r>
              <w:rPr/>
              <w:t>第二</w:t>
            </w:r>
            <w:r>
              <w:rPr>
                <w:spacing w:val="-3"/>
              </w:rPr>
              <w:t>十</w:t>
            </w:r>
            <w:r>
              <w:rPr/>
              <w:t>六条</w:t>
            </w:r>
            <w:r>
              <w:rPr>
                <w:spacing w:val="40"/>
              </w:rPr>
              <w:t> </w:t>
            </w:r>
            <w:r>
              <w:rPr/>
              <w:t>争议</w:t>
            </w:r>
            <w:r>
              <w:rPr>
                <w:spacing w:val="-3"/>
              </w:rPr>
              <w:t>处</w:t>
            </w:r>
            <w:r>
              <w:rPr/>
              <w:t>理</w:t>
              <w:tab/>
            </w:r>
            <w:r>
              <w:rPr>
                <w:rFonts w:ascii="Times New Roman" w:eastAsia="Times New Roman"/>
              </w:rPr>
              <w:t>9</w:t>
            </w:r>
          </w:hyperlink>
        </w:p>
      </w:sdtContent>
    </w:sdt>
    <w:p>
      <w:pPr>
        <w:spacing w:after="0"/>
        <w:rPr>
          <w:rFonts w:ascii="Times New Roman" w:eastAsia="Times New Roman"/>
        </w:rPr>
        <w:sectPr>
          <w:footerReference w:type="default" r:id="rId5"/>
          <w:type w:val="continuous"/>
          <w:pgSz w:w="11910" w:h="16840"/>
          <w:pgMar w:footer="1137" w:top="1400" w:bottom="1320" w:left="1680" w:right="1680"/>
          <w:pgNumType w:start="1"/>
        </w:sectPr>
      </w:pPr>
    </w:p>
    <w:p>
      <w:pPr>
        <w:pStyle w:val="Heading1"/>
        <w:tabs>
          <w:tab w:pos="1377" w:val="left" w:leader="none"/>
          <w:tab w:pos="8421" w:val="right" w:leader="dot"/>
        </w:tabs>
        <w:spacing w:before="29"/>
        <w:ind w:left="118" w:right="0"/>
        <w:jc w:val="left"/>
        <w:rPr>
          <w:rFonts w:ascii="Times New Roman" w:eastAsia="Times New Roman"/>
        </w:rPr>
      </w:pPr>
      <w:hyperlink w:history="true" w:anchor="_bookmark32">
        <w:r>
          <w:rPr/>
          <w:t>第七章</w:t>
          <w:tab/>
          <w:t>附表</w:t>
          <w:tab/>
        </w:r>
        <w:r>
          <w:rPr>
            <w:rFonts w:ascii="Times New Roman" w:eastAsia="Times New Roman"/>
          </w:rPr>
          <w:t>9</w:t>
        </w:r>
      </w:hyperlink>
    </w:p>
    <w:p>
      <w:pPr>
        <w:pStyle w:val="BodyText"/>
        <w:tabs>
          <w:tab w:pos="8416" w:val="right" w:leader="dot"/>
        </w:tabs>
        <w:spacing w:before="21"/>
        <w:ind w:left="538"/>
        <w:rPr>
          <w:rFonts w:ascii="Times New Roman" w:eastAsia="Times New Roman"/>
        </w:rPr>
      </w:pPr>
      <w:hyperlink w:history="true" w:anchor="_bookmark33">
        <w:r>
          <w:rPr/>
          <w:t>附表</w:t>
        </w:r>
        <w:r>
          <w:rPr>
            <w:spacing w:val="-3"/>
          </w:rPr>
          <w:t>：</w:t>
        </w:r>
        <w:r>
          <w:rPr/>
          <w:t>重</w:t>
        </w:r>
        <w:r>
          <w:rPr>
            <w:spacing w:val="-3"/>
          </w:rPr>
          <w:t>大</w:t>
        </w:r>
        <w:r>
          <w:rPr/>
          <w:t>疾</w:t>
        </w:r>
        <w:r>
          <w:rPr>
            <w:spacing w:val="-3"/>
          </w:rPr>
          <w:t>病</w:t>
        </w:r>
        <w:r>
          <w:rPr/>
          <w:t>种</w:t>
        </w:r>
        <w:r>
          <w:rPr>
            <w:spacing w:val="-3"/>
          </w:rPr>
          <w:t>类</w:t>
        </w:r>
        <w:r>
          <w:rPr/>
          <w:t>表</w:t>
          <w:tab/>
        </w:r>
        <w:r>
          <w:rPr>
            <w:rFonts w:ascii="Times New Roman" w:eastAsia="Times New Roman"/>
          </w:rPr>
          <w:t>9</w:t>
        </w:r>
      </w:hyperlink>
    </w:p>
    <w:p>
      <w:pPr>
        <w:spacing w:after="0"/>
        <w:rPr>
          <w:rFonts w:ascii="Times New Roman" w:eastAsia="Times New Roman"/>
        </w:rPr>
        <w:sectPr>
          <w:pgSz w:w="11910" w:h="16840"/>
          <w:pgMar w:header="0" w:footer="1137" w:top="1380" w:bottom="1320" w:left="1680" w:right="1680"/>
        </w:sectPr>
      </w:pPr>
    </w:p>
    <w:p>
      <w:pPr>
        <w:pStyle w:val="BodyText"/>
        <w:spacing w:line="273" w:lineRule="auto" w:before="9"/>
        <w:ind w:right="191"/>
      </w:pPr>
      <w:r>
        <w:rPr>
          <w:spacing w:val="-8"/>
        </w:rPr>
        <w:t>在本条款中，“您”指投保人，“我们”、“本公司”均指长生人寿保险有限公司, “本合</w:t>
      </w:r>
      <w:r>
        <w:rPr>
          <w:spacing w:val="-3"/>
        </w:rPr>
        <w:t>同”指您与我们之间订立的《长生鑫天祥重大疾病保险》合同。</w:t>
      </w:r>
    </w:p>
    <w:p>
      <w:pPr>
        <w:pStyle w:val="BodyText"/>
        <w:spacing w:before="5"/>
        <w:ind w:left="0"/>
        <w:rPr>
          <w:sz w:val="24"/>
        </w:rPr>
      </w:pPr>
    </w:p>
    <w:p>
      <w:pPr>
        <w:pStyle w:val="Heading1"/>
        <w:ind w:left="1779"/>
      </w:pPr>
      <w:bookmarkStart w:name="_bookmark0" w:id="1"/>
      <w:bookmarkEnd w:id="1"/>
      <w:r>
        <w:rPr>
          <w:b w:val="0"/>
        </w:rPr>
      </w:r>
      <w:r>
        <w:rPr/>
        <w:t>第一章 保险合同构成及投保范围</w:t>
      </w:r>
    </w:p>
    <w:p>
      <w:pPr>
        <w:pStyle w:val="BodyText"/>
        <w:spacing w:before="8"/>
        <w:ind w:left="0"/>
        <w:rPr>
          <w:b/>
          <w:sz w:val="26"/>
        </w:rPr>
      </w:pPr>
    </w:p>
    <w:p>
      <w:pPr>
        <w:pStyle w:val="BodyText"/>
        <w:tabs>
          <w:tab w:pos="1377" w:val="left" w:leader="none"/>
        </w:tabs>
      </w:pPr>
      <w:bookmarkStart w:name="_bookmark1" w:id="2"/>
      <w:bookmarkEnd w:id="2"/>
      <w:r>
        <w:rPr/>
      </w:r>
      <w:r>
        <w:rPr/>
        <w:t>第一条</w:t>
        <w:tab/>
        <w:t>保险</w:t>
      </w:r>
      <w:r>
        <w:rPr>
          <w:spacing w:val="-3"/>
        </w:rPr>
        <w:t>合</w:t>
      </w:r>
      <w:r>
        <w:rPr/>
        <w:t>同</w:t>
      </w:r>
      <w:r>
        <w:rPr>
          <w:spacing w:val="-3"/>
        </w:rPr>
        <w:t>构</w:t>
      </w:r>
      <w:r>
        <w:rPr/>
        <w:t>成</w:t>
      </w:r>
    </w:p>
    <w:p>
      <w:pPr>
        <w:pStyle w:val="BodyText"/>
        <w:spacing w:line="273" w:lineRule="auto" w:before="37"/>
        <w:ind w:right="100"/>
      </w:pPr>
      <w:r>
        <w:rPr/>
        <w:t>本合同由保险单及其所附条款、声明、批注，以及与本合同有关的投保单、其他投保文件、体检报告书、效力恢复申请书及其他约定书共同构成。</w:t>
      </w:r>
    </w:p>
    <w:p>
      <w:pPr>
        <w:pStyle w:val="BodyText"/>
        <w:spacing w:before="5"/>
        <w:ind w:left="0"/>
        <w:rPr>
          <w:sz w:val="24"/>
        </w:rPr>
      </w:pPr>
    </w:p>
    <w:p>
      <w:pPr>
        <w:pStyle w:val="BodyText"/>
        <w:spacing w:before="1"/>
        <w:jc w:val="both"/>
      </w:pPr>
      <w:bookmarkStart w:name="_bookmark2" w:id="3"/>
      <w:bookmarkEnd w:id="3"/>
      <w:r>
        <w:rPr/>
      </w:r>
      <w:r>
        <w:rPr/>
        <w:t>第二条      投保范围</w:t>
      </w:r>
    </w:p>
    <w:p>
      <w:pPr>
        <w:pStyle w:val="BodyText"/>
        <w:spacing w:before="37"/>
        <w:jc w:val="both"/>
      </w:pPr>
      <w:r>
        <w:rPr/>
        <w:t>本合同接受的被保险人的投保年龄为出生满三十天至六十五周岁。</w:t>
      </w:r>
    </w:p>
    <w:p>
      <w:pPr>
        <w:pStyle w:val="BodyText"/>
        <w:spacing w:before="8"/>
        <w:ind w:left="0"/>
        <w:rPr>
          <w:sz w:val="26"/>
        </w:rPr>
      </w:pPr>
    </w:p>
    <w:p>
      <w:pPr>
        <w:pStyle w:val="Heading1"/>
      </w:pPr>
      <w:bookmarkStart w:name="_bookmark3" w:id="4"/>
      <w:bookmarkEnd w:id="4"/>
      <w:r>
        <w:rPr>
          <w:b w:val="0"/>
        </w:rPr>
      </w:r>
      <w:r>
        <w:rPr/>
        <w:t>第二章 保险责任及责任免除</w:t>
      </w:r>
    </w:p>
    <w:p>
      <w:pPr>
        <w:pStyle w:val="BodyText"/>
        <w:spacing w:before="8"/>
        <w:ind w:left="0"/>
        <w:rPr>
          <w:b/>
          <w:sz w:val="26"/>
        </w:rPr>
      </w:pPr>
    </w:p>
    <w:p>
      <w:pPr>
        <w:pStyle w:val="BodyText"/>
        <w:tabs>
          <w:tab w:pos="1377" w:val="left" w:leader="none"/>
        </w:tabs>
        <w:spacing w:line="273" w:lineRule="auto" w:before="1"/>
        <w:ind w:right="6403"/>
      </w:pPr>
      <w:bookmarkStart w:name="_bookmark4" w:id="5"/>
      <w:bookmarkEnd w:id="5"/>
      <w:r>
        <w:rPr/>
      </w:r>
      <w:r>
        <w:rPr/>
        <w:t>第三条</w:t>
        <w:tab/>
        <w:t>保险</w:t>
      </w:r>
      <w:r>
        <w:rPr>
          <w:spacing w:val="-3"/>
        </w:rPr>
        <w:t>责</w:t>
      </w:r>
      <w:r>
        <w:rPr/>
        <w:t>任 一</w:t>
      </w:r>
      <w:r>
        <w:rPr>
          <w:spacing w:val="10"/>
        </w:rPr>
        <w:t>、</w:t>
      </w:r>
      <w:r>
        <w:rPr/>
        <w:t>身故</w:t>
      </w:r>
      <w:r>
        <w:rPr>
          <w:spacing w:val="-3"/>
        </w:rPr>
        <w:t>保</w:t>
      </w:r>
      <w:r>
        <w:rPr/>
        <w:t>险金</w:t>
      </w:r>
    </w:p>
    <w:p>
      <w:pPr>
        <w:pStyle w:val="BodyText"/>
        <w:spacing w:line="273" w:lineRule="auto" w:before="8"/>
        <w:ind w:right="189"/>
      </w:pPr>
      <w:r>
        <w:rPr>
          <w:spacing w:val="-8"/>
        </w:rPr>
        <w:t>若被保险人在本合同有效期内身故，我们按本合同的基本保险金额给付身故保险金，本合同终止。</w:t>
      </w:r>
    </w:p>
    <w:p>
      <w:pPr>
        <w:pStyle w:val="BodyText"/>
        <w:spacing w:before="8"/>
      </w:pPr>
      <w:r>
        <w:rPr/>
        <w:t>二、重大疾病保险金</w:t>
      </w:r>
    </w:p>
    <w:p>
      <w:pPr>
        <w:pStyle w:val="BodyText"/>
        <w:spacing w:line="273" w:lineRule="auto" w:before="37"/>
        <w:ind w:right="189"/>
        <w:jc w:val="both"/>
      </w:pPr>
      <w:r>
        <w:rPr/>
        <w:t>若本合同有效，且被保险人于等待期后经我们指定或认可的</w:t>
      </w:r>
      <w:r>
        <w:rPr>
          <w:b/>
        </w:rPr>
        <w:t>医院</w:t>
      </w:r>
      <w:r>
        <w:rPr>
          <w:b/>
          <w:spacing w:val="2"/>
          <w:position w:val="11"/>
          <w:sz w:val="11"/>
        </w:rPr>
        <w:t>1</w:t>
      </w:r>
      <w:r>
        <w:rPr/>
        <w:t>确诊，并由我们确认初次</w:t>
      </w:r>
      <w:r>
        <w:rPr>
          <w:spacing w:val="-3"/>
        </w:rPr>
        <w:t>患有本合同所定义的</w:t>
      </w:r>
      <w:r>
        <w:rPr>
          <w:b/>
          <w:spacing w:val="-2"/>
        </w:rPr>
        <w:t>重大疾病</w:t>
      </w:r>
      <w:r>
        <w:rPr>
          <w:b/>
          <w:spacing w:val="-10"/>
          <w:position w:val="11"/>
          <w:sz w:val="11"/>
        </w:rPr>
        <w:t>2</w:t>
      </w:r>
      <w:r>
        <w:rPr>
          <w:spacing w:val="-10"/>
        </w:rPr>
        <w:t>（</w:t>
      </w:r>
      <w:r>
        <w:rPr>
          <w:spacing w:val="-3"/>
        </w:rPr>
        <w:t>无论一种或多种</w:t>
      </w:r>
      <w:r>
        <w:rPr>
          <w:spacing w:val="-66"/>
        </w:rPr>
        <w:t>）</w:t>
      </w:r>
      <w:r>
        <w:rPr>
          <w:spacing w:val="-10"/>
        </w:rPr>
        <w:t>，我们按本合同的基本保险金额给付重大</w:t>
      </w:r>
      <w:r>
        <w:rPr>
          <w:spacing w:val="-5"/>
        </w:rPr>
        <w:t>疾病保险金，本合同终止。</w:t>
      </w:r>
    </w:p>
    <w:p>
      <w:pPr>
        <w:pStyle w:val="BodyText"/>
        <w:spacing w:before="7"/>
      </w:pPr>
      <w:r>
        <w:rPr/>
        <w:t>三、生命关爱保险金</w:t>
      </w:r>
    </w:p>
    <w:p>
      <w:pPr>
        <w:pStyle w:val="BodyText"/>
        <w:spacing w:line="273" w:lineRule="auto" w:before="36"/>
        <w:ind w:right="248"/>
      </w:pPr>
      <w:r>
        <w:rPr/>
        <w:t>若本合同有效，且被保险人于等待期后经我们指定或认可的医院确诊达到</w:t>
      </w:r>
      <w:r>
        <w:rPr>
          <w:b/>
        </w:rPr>
        <w:t>末期疾病</w:t>
      </w:r>
      <w:r>
        <w:rPr>
          <w:b/>
          <w:position w:val="11"/>
          <w:sz w:val="11"/>
        </w:rPr>
        <w:t>3</w:t>
      </w:r>
      <w:r>
        <w:rPr/>
        <w:t>状态， 我们将按本合同的基本保险金额给付生命关爱保险金，本合同终止。</w:t>
      </w:r>
    </w:p>
    <w:p>
      <w:pPr>
        <w:pStyle w:val="BodyText"/>
        <w:spacing w:before="5"/>
        <w:ind w:left="0"/>
        <w:rPr>
          <w:sz w:val="24"/>
        </w:rPr>
      </w:pPr>
    </w:p>
    <w:p>
      <w:pPr>
        <w:pStyle w:val="BodyText"/>
        <w:spacing w:line="273" w:lineRule="auto"/>
        <w:ind w:right="189"/>
        <w:jc w:val="both"/>
        <w:rPr>
          <w:rFonts w:ascii="黑体" w:eastAsia="黑体" w:hint="eastAsia"/>
        </w:rPr>
      </w:pPr>
      <w:r>
        <w:rPr>
          <w:spacing w:val="-8"/>
        </w:rPr>
        <w:t>除本合同另有约定外，</w:t>
      </w:r>
      <w:r>
        <w:rPr>
          <w:rFonts w:ascii="黑体" w:eastAsia="黑体" w:hint="eastAsia"/>
          <w:spacing w:val="-3"/>
        </w:rPr>
        <w:t>重大疾病保险金责任等待期为自本合同</w:t>
      </w:r>
      <w:r>
        <w:rPr>
          <w:rFonts w:ascii="黑体" w:eastAsia="黑体" w:hint="eastAsia"/>
        </w:rPr>
        <w:t>Th</w:t>
      </w:r>
      <w:r>
        <w:rPr>
          <w:rFonts w:ascii="黑体" w:eastAsia="黑体" w:hint="eastAsia"/>
          <w:spacing w:val="-10"/>
        </w:rPr>
        <w:t>效日或复效日</w:t>
      </w:r>
      <w:r>
        <w:rPr>
          <w:rFonts w:ascii="黑体" w:eastAsia="黑体" w:hint="eastAsia"/>
          <w:spacing w:val="-3"/>
        </w:rPr>
        <w:t>（以较迟者为准</w:t>
      </w:r>
      <w:r>
        <w:rPr>
          <w:rFonts w:ascii="黑体" w:eastAsia="黑体" w:hint="eastAsia"/>
          <w:spacing w:val="-25"/>
        </w:rPr>
        <w:t>）</w:t>
      </w:r>
      <w:r>
        <w:rPr>
          <w:rFonts w:ascii="黑体" w:eastAsia="黑体" w:hint="eastAsia"/>
          <w:spacing w:val="-5"/>
        </w:rPr>
        <w:t>起九十天，</w:t>
      </w:r>
      <w:r>
        <w:rPr>
          <w:rFonts w:ascii="黑体" w:eastAsia="黑体" w:hint="eastAsia"/>
          <w:spacing w:val="-9"/>
        </w:rPr>
        <w:t>Th</w:t>
      </w:r>
      <w:r>
        <w:rPr>
          <w:rFonts w:ascii="黑体" w:eastAsia="黑体" w:hint="eastAsia"/>
          <w:spacing w:val="-3"/>
        </w:rPr>
        <w:t>命关爱保险金责任等待期为自本合同</w:t>
      </w:r>
      <w:r>
        <w:rPr>
          <w:rFonts w:ascii="黑体" w:eastAsia="黑体" w:hint="eastAsia"/>
        </w:rPr>
        <w:t>Th</w:t>
      </w:r>
      <w:r>
        <w:rPr>
          <w:rFonts w:ascii="黑体" w:eastAsia="黑体" w:hint="eastAsia"/>
          <w:spacing w:val="-7"/>
        </w:rPr>
        <w:t>效日或复效日</w:t>
      </w:r>
      <w:r>
        <w:rPr>
          <w:rFonts w:ascii="黑体" w:eastAsia="黑体" w:hint="eastAsia"/>
          <w:spacing w:val="-3"/>
        </w:rPr>
        <w:t>（以较迟者为准</w:t>
      </w:r>
      <w:r>
        <w:rPr>
          <w:rFonts w:ascii="黑体" w:eastAsia="黑体" w:hint="eastAsia"/>
          <w:spacing w:val="-25"/>
        </w:rPr>
        <w:t>）</w:t>
      </w:r>
      <w:r>
        <w:rPr>
          <w:rFonts w:ascii="黑体" w:eastAsia="黑体" w:hint="eastAsia"/>
        </w:rPr>
        <w:t>起</w:t>
      </w:r>
      <w:r>
        <w:rPr>
          <w:rFonts w:ascii="黑体" w:eastAsia="黑体" w:hint="eastAsia"/>
          <w:spacing w:val="-1"/>
        </w:rPr>
        <w:t>一年。</w:t>
      </w:r>
    </w:p>
    <w:p>
      <w:pPr>
        <w:pStyle w:val="BodyText"/>
        <w:spacing w:before="5"/>
        <w:ind w:left="0"/>
        <w:rPr>
          <w:rFonts w:ascii="黑体"/>
          <w:sz w:val="24"/>
        </w:rPr>
      </w:pPr>
    </w:p>
    <w:p>
      <w:pPr>
        <w:pStyle w:val="BodyText"/>
        <w:spacing w:line="273" w:lineRule="auto"/>
        <w:ind w:right="189"/>
        <w:rPr>
          <w:rFonts w:ascii="黑体" w:eastAsia="黑体" w:hint="eastAsia"/>
        </w:rPr>
      </w:pPr>
      <w:r>
        <w:rPr>
          <w:rFonts w:ascii="黑体" w:eastAsia="黑体" w:hint="eastAsia"/>
          <w:spacing w:val="-8"/>
        </w:rPr>
        <w:t>本条各项保险责任各自独立，互不包含，被保险人发</w:t>
      </w:r>
      <w:r>
        <w:rPr>
          <w:rFonts w:ascii="黑体" w:eastAsia="黑体" w:hint="eastAsia"/>
        </w:rPr>
        <w:t>Th</w:t>
      </w:r>
      <w:r>
        <w:rPr>
          <w:rFonts w:ascii="黑体" w:eastAsia="黑体" w:hint="eastAsia"/>
          <w:spacing w:val="-7"/>
        </w:rPr>
        <w:t>保险事故的，我们将根据保险事故的</w:t>
      </w:r>
      <w:r>
        <w:rPr>
          <w:rFonts w:ascii="黑体" w:eastAsia="黑体" w:hint="eastAsia"/>
          <w:spacing w:val="-5"/>
        </w:rPr>
        <w:t>性质仅按其中一项保险责任的约定承担保险责任。</w:t>
      </w:r>
    </w:p>
    <w:p>
      <w:pPr>
        <w:pStyle w:val="BodyText"/>
        <w:spacing w:before="5"/>
        <w:ind w:left="0"/>
        <w:rPr>
          <w:rFonts w:ascii="黑体"/>
          <w:sz w:val="24"/>
        </w:rPr>
      </w:pPr>
    </w:p>
    <w:p>
      <w:pPr>
        <w:pStyle w:val="BodyText"/>
        <w:jc w:val="both"/>
        <w:rPr>
          <w:rFonts w:ascii="黑体" w:eastAsia="黑体" w:hint="eastAsia"/>
        </w:rPr>
      </w:pPr>
      <w:bookmarkStart w:name="_bookmark5" w:id="6"/>
      <w:bookmarkEnd w:id="6"/>
      <w:r>
        <w:rPr/>
      </w:r>
      <w:r>
        <w:rPr/>
        <w:t>第四条      </w:t>
      </w:r>
      <w:r>
        <w:rPr>
          <w:rFonts w:ascii="黑体" w:eastAsia="黑体" w:hint="eastAsia"/>
        </w:rPr>
        <w:t>责任免除</w:t>
      </w:r>
    </w:p>
    <w:p>
      <w:pPr>
        <w:pStyle w:val="BodyText"/>
        <w:spacing w:before="36"/>
        <w:jc w:val="both"/>
        <w:rPr>
          <w:rFonts w:ascii="黑体" w:eastAsia="黑体" w:hint="eastAsia"/>
        </w:rPr>
      </w:pPr>
      <w:r>
        <w:rPr>
          <w:rFonts w:ascii="黑体" w:eastAsia="黑体" w:hint="eastAsia"/>
        </w:rPr>
        <w:t>一、被保险人因下列情形之一而身故，我们不承担给付身故保险金的责任：</w:t>
      </w:r>
    </w:p>
    <w:p>
      <w:pPr>
        <w:pStyle w:val="BodyText"/>
        <w:spacing w:before="5"/>
        <w:ind w:left="0"/>
        <w:rPr>
          <w:rFonts w:ascii="黑体"/>
          <w:sz w:val="19"/>
        </w:rPr>
      </w:pPr>
      <w:r>
        <w:rPr/>
        <w:pict>
          <v:line style="position:absolute;mso-position-horizontal-relative:page;mso-position-vertical-relative:paragraph;z-index:1048;mso-wrap-distance-left:0;mso-wrap-distance-right:0" from="89.903999pt,14.925636pt" to="233.923999pt,14.925636pt" stroked="true" strokeweight=".47998pt" strokecolor="#000000">
            <v:stroke dashstyle="solid"/>
            <w10:wrap type="topAndBottom"/>
          </v:line>
        </w:pict>
      </w:r>
    </w:p>
    <w:p>
      <w:pPr>
        <w:spacing w:line="235" w:lineRule="exact" w:before="36"/>
        <w:ind w:left="118" w:right="0" w:firstLine="0"/>
        <w:jc w:val="both"/>
        <w:rPr>
          <w:sz w:val="18"/>
        </w:rPr>
      </w:pPr>
      <w:r>
        <w:rPr>
          <w:rFonts w:ascii="Times New Roman" w:eastAsia="Times New Roman"/>
          <w:position w:val="8"/>
          <w:sz w:val="12"/>
        </w:rPr>
        <w:t>1   </w:t>
      </w:r>
      <w:r>
        <w:rPr>
          <w:b/>
          <w:sz w:val="18"/>
        </w:rPr>
        <w:t>医院</w:t>
      </w:r>
      <w:r>
        <w:rPr>
          <w:sz w:val="18"/>
        </w:rPr>
        <w:t>：是指符合下列所有条件之机构：</w:t>
      </w:r>
    </w:p>
    <w:p>
      <w:pPr>
        <w:pStyle w:val="ListParagraph"/>
        <w:numPr>
          <w:ilvl w:val="0"/>
          <w:numId w:val="1"/>
        </w:numPr>
        <w:tabs>
          <w:tab w:pos="658" w:val="left" w:leader="none"/>
        </w:tabs>
        <w:spacing w:line="234" w:lineRule="exact" w:before="0" w:after="0"/>
        <w:ind w:left="658" w:right="0" w:hanging="360"/>
        <w:jc w:val="left"/>
        <w:rPr>
          <w:sz w:val="18"/>
        </w:rPr>
      </w:pPr>
      <w:r>
        <w:rPr>
          <w:sz w:val="18"/>
        </w:rPr>
        <w:t>拥有合法经营执照；</w:t>
      </w:r>
    </w:p>
    <w:p>
      <w:pPr>
        <w:pStyle w:val="ListParagraph"/>
        <w:numPr>
          <w:ilvl w:val="0"/>
          <w:numId w:val="1"/>
        </w:numPr>
        <w:tabs>
          <w:tab w:pos="658" w:val="left" w:leader="none"/>
        </w:tabs>
        <w:spacing w:line="233" w:lineRule="exact" w:before="0" w:after="0"/>
        <w:ind w:left="658" w:right="0" w:hanging="360"/>
        <w:jc w:val="left"/>
        <w:rPr>
          <w:sz w:val="18"/>
        </w:rPr>
      </w:pPr>
      <w:r>
        <w:rPr>
          <w:sz w:val="18"/>
        </w:rPr>
        <w:t>设立的主要目的为向受伤者或患病者提供住院治疗；</w:t>
      </w:r>
    </w:p>
    <w:p>
      <w:pPr>
        <w:pStyle w:val="ListParagraph"/>
        <w:numPr>
          <w:ilvl w:val="0"/>
          <w:numId w:val="1"/>
        </w:numPr>
        <w:tabs>
          <w:tab w:pos="658" w:val="left" w:leader="none"/>
        </w:tabs>
        <w:spacing w:line="233" w:lineRule="exact" w:before="0" w:after="0"/>
        <w:ind w:left="658" w:right="0" w:hanging="360"/>
        <w:jc w:val="left"/>
        <w:rPr>
          <w:sz w:val="18"/>
        </w:rPr>
      </w:pPr>
      <w:r>
        <w:rPr>
          <w:sz w:val="18"/>
        </w:rPr>
        <w:t>有合格的医生或护士提供全日二十四小时的医疗和护理服务；</w:t>
      </w:r>
    </w:p>
    <w:p>
      <w:pPr>
        <w:pStyle w:val="ListParagraph"/>
        <w:numPr>
          <w:ilvl w:val="0"/>
          <w:numId w:val="1"/>
        </w:numPr>
        <w:tabs>
          <w:tab w:pos="658" w:val="left" w:leader="none"/>
        </w:tabs>
        <w:spacing w:line="240" w:lineRule="auto" w:before="0" w:after="0"/>
        <w:ind w:left="658" w:right="226" w:hanging="360"/>
        <w:jc w:val="left"/>
        <w:rPr>
          <w:sz w:val="18"/>
        </w:rPr>
      </w:pPr>
      <w:r>
        <w:rPr>
          <w:sz w:val="18"/>
        </w:rPr>
        <w:t>具有系统性诊疗等程序或手术设备并经中华人民共和国卫生部指定的二级或二级以上综合性医院和专科医院，但不包括观察室、联合病房和康复病房；</w:t>
      </w:r>
    </w:p>
    <w:p>
      <w:pPr>
        <w:pStyle w:val="ListParagraph"/>
        <w:numPr>
          <w:ilvl w:val="0"/>
          <w:numId w:val="1"/>
        </w:numPr>
        <w:tabs>
          <w:tab w:pos="658" w:val="left" w:leader="none"/>
        </w:tabs>
        <w:spacing w:line="231" w:lineRule="exact" w:before="1" w:after="0"/>
        <w:ind w:left="658" w:right="0" w:hanging="360"/>
        <w:jc w:val="left"/>
        <w:rPr>
          <w:sz w:val="18"/>
        </w:rPr>
      </w:pPr>
      <w:r>
        <w:rPr>
          <w:sz w:val="18"/>
        </w:rPr>
        <w:t>非主要作为康复、护理、疗养、戒酒、戒毒或类似的医疗机构。</w:t>
      </w:r>
    </w:p>
    <w:p>
      <w:pPr>
        <w:spacing w:line="233" w:lineRule="exact" w:before="0"/>
        <w:ind w:left="118" w:right="0" w:firstLine="0"/>
        <w:jc w:val="left"/>
        <w:rPr>
          <w:sz w:val="18"/>
        </w:rPr>
      </w:pPr>
      <w:r>
        <w:rPr>
          <w:rFonts w:ascii="Times New Roman" w:eastAsia="Times New Roman"/>
          <w:position w:val="8"/>
          <w:sz w:val="12"/>
        </w:rPr>
        <w:t>2   </w:t>
      </w:r>
      <w:r>
        <w:rPr>
          <w:b/>
          <w:sz w:val="18"/>
        </w:rPr>
        <w:t>重大疾病</w:t>
      </w:r>
      <w:r>
        <w:rPr>
          <w:sz w:val="18"/>
        </w:rPr>
        <w:t>：重大疾病种类见附表。</w:t>
      </w:r>
    </w:p>
    <w:p>
      <w:pPr>
        <w:spacing w:line="237" w:lineRule="auto" w:before="1"/>
        <w:ind w:left="118" w:right="225" w:firstLine="0"/>
        <w:jc w:val="both"/>
        <w:rPr>
          <w:sz w:val="18"/>
        </w:rPr>
      </w:pPr>
      <w:r>
        <w:rPr>
          <w:rFonts w:ascii="Times New Roman" w:eastAsia="Times New Roman"/>
          <w:position w:val="8"/>
          <w:sz w:val="12"/>
        </w:rPr>
        <w:t>3 </w:t>
      </w:r>
      <w:r>
        <w:rPr>
          <w:b/>
          <w:sz w:val="18"/>
        </w:rPr>
        <w:t>末期疾病</w:t>
      </w:r>
      <w:r>
        <w:rPr>
          <w:sz w:val="18"/>
        </w:rPr>
        <w:t>：是指被保险人经本公司指定或认可的医院确诊且经本公司认定，其所患疾病依现有医疗技术无法治愈且依据医学及临床经验认定其平均存活期间在六个月以下，积极治疗已被放弃，所有治疗措施仅以减轻被保险人痛苦为目的。</w:t>
      </w:r>
    </w:p>
    <w:p>
      <w:pPr>
        <w:spacing w:after="0" w:line="237" w:lineRule="auto"/>
        <w:jc w:val="both"/>
        <w:rPr>
          <w:sz w:val="18"/>
        </w:rPr>
        <w:sectPr>
          <w:pgSz w:w="11910" w:h="16840"/>
          <w:pgMar w:header="0" w:footer="1137" w:top="1400" w:bottom="1320" w:left="1680" w:right="1600"/>
        </w:sectPr>
      </w:pPr>
    </w:p>
    <w:p>
      <w:pPr>
        <w:pStyle w:val="ListParagraph"/>
        <w:numPr>
          <w:ilvl w:val="0"/>
          <w:numId w:val="2"/>
        </w:numPr>
        <w:tabs>
          <w:tab w:pos="537" w:val="left" w:leader="none"/>
          <w:tab w:pos="538" w:val="left" w:leader="none"/>
        </w:tabs>
        <w:spacing w:line="240" w:lineRule="auto" w:before="9" w:after="0"/>
        <w:ind w:left="554" w:right="0" w:hanging="436"/>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2"/>
        </w:numPr>
        <w:tabs>
          <w:tab w:pos="537" w:val="left" w:leader="none"/>
          <w:tab w:pos="538" w:val="left" w:leader="none"/>
        </w:tabs>
        <w:spacing w:line="240" w:lineRule="auto" w:before="37" w:after="0"/>
        <w:ind w:left="554" w:right="0" w:hanging="436"/>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2"/>
        </w:numPr>
        <w:tabs>
          <w:tab w:pos="537" w:val="left" w:leader="none"/>
          <w:tab w:pos="538" w:val="left" w:leader="none"/>
        </w:tabs>
        <w:spacing w:line="240" w:lineRule="auto" w:before="36" w:after="0"/>
        <w:ind w:left="554" w:right="0" w:hanging="436"/>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b/>
          <w:position w:val="11"/>
          <w:sz w:val="11"/>
        </w:rPr>
        <w:t>4</w:t>
      </w:r>
      <w:r>
        <w:rPr>
          <w:rFonts w:ascii="黑体" w:eastAsia="黑体" w:hint="eastAsia"/>
          <w:sz w:val="21"/>
        </w:rPr>
        <w:t>；</w:t>
      </w:r>
    </w:p>
    <w:p>
      <w:pPr>
        <w:pStyle w:val="ListParagraph"/>
        <w:numPr>
          <w:ilvl w:val="0"/>
          <w:numId w:val="2"/>
        </w:numPr>
        <w:tabs>
          <w:tab w:pos="537" w:val="left" w:leader="none"/>
          <w:tab w:pos="538" w:val="left" w:leader="none"/>
        </w:tabs>
        <w:spacing w:line="273" w:lineRule="auto" w:before="36" w:after="0"/>
        <w:ind w:left="554" w:right="109" w:hanging="436"/>
        <w:jc w:val="left"/>
        <w:rPr>
          <w:rFonts w:ascii="黑体" w:eastAsia="黑体" w:hint="eastAsia"/>
          <w:sz w:val="21"/>
        </w:rPr>
      </w:pPr>
      <w:r>
        <w:rPr>
          <w:rFonts w:ascii="黑体" w:eastAsia="黑体" w:hint="eastAsia"/>
          <w:spacing w:val="-6"/>
          <w:sz w:val="21"/>
        </w:rPr>
        <w:t>被保险人自本合同成立日起二年内或本合同最后复效日起二年内自杀，但被保险人自杀</w:t>
      </w:r>
      <w:r>
        <w:rPr>
          <w:rFonts w:ascii="黑体" w:eastAsia="黑体" w:hint="eastAsia"/>
          <w:spacing w:val="-4"/>
          <w:sz w:val="21"/>
        </w:rPr>
        <w:t>时为无民事行为能力人的除外；</w:t>
      </w:r>
    </w:p>
    <w:p>
      <w:pPr>
        <w:pStyle w:val="ListParagraph"/>
        <w:numPr>
          <w:ilvl w:val="0"/>
          <w:numId w:val="2"/>
        </w:numPr>
        <w:tabs>
          <w:tab w:pos="537" w:val="left" w:leader="none"/>
          <w:tab w:pos="538" w:val="left" w:leader="none"/>
        </w:tabs>
        <w:spacing w:line="240" w:lineRule="auto" w:before="7" w:after="0"/>
        <w:ind w:left="554" w:right="0" w:hanging="436"/>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酒后驾驶</w:t>
      </w:r>
      <w:r>
        <w:rPr>
          <w:rFonts w:ascii="黑体" w:eastAsia="黑体" w:hint="eastAsia"/>
          <w:b/>
          <w:position w:val="11"/>
          <w:sz w:val="11"/>
        </w:rPr>
        <w:t>5</w:t>
      </w:r>
      <w:r>
        <w:rPr>
          <w:rFonts w:ascii="黑体" w:eastAsia="黑体" w:hint="eastAsia"/>
          <w:sz w:val="21"/>
        </w:rPr>
        <w:t>、</w:t>
      </w:r>
      <w:r>
        <w:rPr>
          <w:rFonts w:ascii="黑体" w:eastAsia="黑体" w:hint="eastAsia"/>
          <w:b/>
          <w:spacing w:val="-1"/>
          <w:sz w:val="21"/>
        </w:rPr>
        <w:t>无合法有效驾驶证驾驶</w:t>
      </w:r>
      <w:r>
        <w:rPr>
          <w:rFonts w:ascii="黑体" w:eastAsia="黑体" w:hint="eastAsia"/>
          <w:b/>
          <w:position w:val="11"/>
          <w:sz w:val="11"/>
        </w:rPr>
        <w:t>6</w:t>
      </w:r>
      <w:r>
        <w:rPr>
          <w:rFonts w:ascii="黑体" w:eastAsia="黑体" w:hint="eastAsia"/>
          <w:spacing w:val="-3"/>
          <w:sz w:val="21"/>
        </w:rPr>
        <w:t>，或驾驶</w:t>
      </w:r>
      <w:r>
        <w:rPr>
          <w:rFonts w:ascii="黑体" w:eastAsia="黑体" w:hint="eastAsia"/>
          <w:b/>
          <w:sz w:val="21"/>
        </w:rPr>
        <w:t>无有效行驶证</w:t>
      </w:r>
      <w:r>
        <w:rPr>
          <w:rFonts w:ascii="黑体" w:eastAsia="黑体" w:hint="eastAsia"/>
          <w:b/>
          <w:position w:val="11"/>
          <w:sz w:val="11"/>
        </w:rPr>
        <w:t>7</w:t>
      </w:r>
      <w:r>
        <w:rPr>
          <w:rFonts w:ascii="黑体" w:eastAsia="黑体" w:hint="eastAsia"/>
          <w:spacing w:val="-3"/>
          <w:sz w:val="21"/>
        </w:rPr>
        <w:t>的</w:t>
      </w:r>
      <w:r>
        <w:rPr>
          <w:rFonts w:ascii="黑体" w:eastAsia="黑体" w:hint="eastAsia"/>
          <w:b/>
          <w:sz w:val="21"/>
        </w:rPr>
        <w:t>机动车</w:t>
      </w:r>
      <w:r>
        <w:rPr>
          <w:rFonts w:ascii="黑体" w:eastAsia="黑体" w:hint="eastAsia"/>
          <w:b/>
          <w:position w:val="11"/>
          <w:sz w:val="11"/>
        </w:rPr>
        <w:t>8</w:t>
      </w:r>
      <w:r>
        <w:rPr>
          <w:rFonts w:ascii="黑体" w:eastAsia="黑体" w:hint="eastAsia"/>
          <w:sz w:val="21"/>
        </w:rPr>
        <w:t>；</w:t>
      </w:r>
    </w:p>
    <w:p>
      <w:pPr>
        <w:pStyle w:val="ListParagraph"/>
        <w:numPr>
          <w:ilvl w:val="0"/>
          <w:numId w:val="2"/>
        </w:numPr>
        <w:tabs>
          <w:tab w:pos="537" w:val="left" w:leader="none"/>
          <w:tab w:pos="538" w:val="left" w:leader="none"/>
        </w:tabs>
        <w:spacing w:line="240" w:lineRule="auto" w:before="37" w:after="0"/>
        <w:ind w:left="554" w:right="0" w:hanging="436"/>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2"/>
        </w:numPr>
        <w:tabs>
          <w:tab w:pos="537" w:val="left" w:leader="none"/>
          <w:tab w:pos="538" w:val="left" w:leader="none"/>
        </w:tabs>
        <w:spacing w:line="240" w:lineRule="auto" w:before="37" w:after="0"/>
        <w:ind w:left="554" w:right="0" w:hanging="436"/>
        <w:jc w:val="left"/>
        <w:rPr>
          <w:rFonts w:ascii="黑体" w:eastAsia="黑体" w:hint="eastAsia"/>
          <w:sz w:val="21"/>
        </w:rPr>
      </w:pPr>
      <w:r>
        <w:rPr>
          <w:rFonts w:ascii="黑体" w:eastAsia="黑体" w:hint="eastAsia"/>
          <w:spacing w:val="-3"/>
          <w:sz w:val="21"/>
        </w:rPr>
        <w:t>核爆炸、核辐射或核污染。</w:t>
      </w:r>
    </w:p>
    <w:p>
      <w:pPr>
        <w:pStyle w:val="BodyText"/>
        <w:spacing w:line="273" w:lineRule="auto" w:before="37"/>
        <w:ind w:right="109"/>
        <w:rPr>
          <w:rFonts w:ascii="黑体" w:eastAsia="黑体" w:hint="eastAsia"/>
        </w:rPr>
      </w:pPr>
      <w:r>
        <w:rPr>
          <w:rFonts w:ascii="黑体" w:eastAsia="黑体" w:hint="eastAsia"/>
        </w:rPr>
        <w:t>发Th</w:t>
      </w:r>
      <w:r>
        <w:rPr>
          <w:rFonts w:ascii="黑体" w:eastAsia="黑体" w:hint="eastAsia"/>
          <w:spacing w:val="-10"/>
        </w:rPr>
        <w:t>上述第 </w:t>
      </w:r>
      <w:r>
        <w:rPr>
          <w:rFonts w:ascii="黑体" w:eastAsia="黑体" w:hint="eastAsia"/>
        </w:rPr>
        <w:t>1</w:t>
      </w:r>
      <w:r>
        <w:rPr>
          <w:rFonts w:ascii="黑体" w:eastAsia="黑体" w:hint="eastAsia"/>
          <w:spacing w:val="-12"/>
        </w:rPr>
        <w:t> 项情形导致被保险人身故的，本合同终止，我们向享有权利的受益人退还本合</w:t>
      </w:r>
      <w:r>
        <w:rPr>
          <w:rFonts w:ascii="黑体" w:eastAsia="黑体" w:hint="eastAsia"/>
          <w:spacing w:val="-8"/>
        </w:rPr>
        <w:t>同的</w:t>
      </w:r>
      <w:r>
        <w:rPr>
          <w:rFonts w:ascii="黑体" w:eastAsia="黑体" w:hint="eastAsia"/>
          <w:b/>
          <w:spacing w:val="-1"/>
        </w:rPr>
        <w:t>现金价值</w:t>
      </w:r>
      <w:r>
        <w:rPr>
          <w:rFonts w:ascii="黑体" w:eastAsia="黑体" w:hint="eastAsia"/>
          <w:b/>
          <w:position w:val="11"/>
          <w:sz w:val="11"/>
        </w:rPr>
        <w:t>9</w:t>
      </w:r>
      <w:r>
        <w:rPr>
          <w:rFonts w:ascii="黑体" w:eastAsia="黑体" w:hint="eastAsia"/>
        </w:rPr>
        <w:t>。</w:t>
      </w:r>
    </w:p>
    <w:p>
      <w:pPr>
        <w:pStyle w:val="BodyText"/>
        <w:spacing w:before="4"/>
        <w:rPr>
          <w:rFonts w:ascii="黑体" w:eastAsia="黑体" w:hint="eastAsia"/>
        </w:rPr>
      </w:pPr>
      <w:r>
        <w:rPr>
          <w:rFonts w:ascii="黑体" w:eastAsia="黑体" w:hint="eastAsia"/>
        </w:rPr>
        <w:t>发Th上述其他情形导致被保险人身故的，本合同终止，我们向您退还本合同的现金价值。</w:t>
      </w:r>
    </w:p>
    <w:p>
      <w:pPr>
        <w:pStyle w:val="BodyText"/>
        <w:spacing w:before="8"/>
        <w:ind w:left="0"/>
        <w:rPr>
          <w:rFonts w:ascii="黑体"/>
          <w:sz w:val="26"/>
        </w:rPr>
      </w:pPr>
    </w:p>
    <w:p>
      <w:pPr>
        <w:pStyle w:val="BodyText"/>
        <w:spacing w:line="273" w:lineRule="auto"/>
        <w:ind w:right="111"/>
        <w:rPr>
          <w:rFonts w:ascii="黑体" w:eastAsia="黑体" w:hint="eastAsia"/>
        </w:rPr>
      </w:pPr>
      <w:r>
        <w:rPr>
          <w:rFonts w:ascii="黑体" w:eastAsia="黑体" w:hint="eastAsia"/>
          <w:spacing w:val="-7"/>
        </w:rPr>
        <w:t>二、被保险人因下列情形之一导致发</w:t>
      </w:r>
      <w:r>
        <w:rPr>
          <w:rFonts w:ascii="黑体" w:eastAsia="黑体" w:hint="eastAsia"/>
        </w:rPr>
        <w:t>Th</w:t>
      </w:r>
      <w:r>
        <w:rPr>
          <w:rFonts w:ascii="黑体" w:eastAsia="黑体" w:hint="eastAsia"/>
          <w:spacing w:val="-9"/>
        </w:rPr>
        <w:t>疾病、达到疾病状态或进行手术的，我们不承担给付</w:t>
      </w:r>
      <w:r>
        <w:rPr>
          <w:rFonts w:ascii="黑体" w:eastAsia="黑体" w:hint="eastAsia"/>
          <w:spacing w:val="-3"/>
        </w:rPr>
        <w:t>重大疾病保险金、</w:t>
      </w:r>
      <w:r>
        <w:rPr>
          <w:rFonts w:ascii="黑体" w:eastAsia="黑体" w:hint="eastAsia"/>
        </w:rPr>
        <w:t>Th</w:t>
      </w:r>
      <w:r>
        <w:rPr>
          <w:rFonts w:ascii="黑体" w:eastAsia="黑体" w:hint="eastAsia"/>
          <w:spacing w:val="-3"/>
        </w:rPr>
        <w:t>命关爱保险金的责任：</w:t>
      </w:r>
    </w:p>
    <w:p>
      <w:pPr>
        <w:pStyle w:val="ListParagraph"/>
        <w:numPr>
          <w:ilvl w:val="0"/>
          <w:numId w:val="3"/>
        </w:numPr>
        <w:tabs>
          <w:tab w:pos="537" w:val="left" w:leader="none"/>
          <w:tab w:pos="538" w:val="left" w:leader="none"/>
        </w:tabs>
        <w:spacing w:line="240" w:lineRule="auto" w:before="7" w:after="0"/>
        <w:ind w:left="538" w:right="0" w:hanging="420"/>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3"/>
        </w:numPr>
        <w:tabs>
          <w:tab w:pos="537" w:val="left" w:leader="none"/>
          <w:tab w:pos="538" w:val="left" w:leader="none"/>
        </w:tabs>
        <w:spacing w:line="240" w:lineRule="auto" w:before="37" w:after="0"/>
        <w:ind w:left="538" w:right="0" w:hanging="420"/>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3"/>
        </w:numPr>
        <w:tabs>
          <w:tab w:pos="537" w:val="left" w:leader="none"/>
          <w:tab w:pos="538" w:val="left" w:leader="none"/>
        </w:tabs>
        <w:spacing w:line="240" w:lineRule="auto" w:before="37" w:after="0"/>
        <w:ind w:left="538" w:right="0" w:hanging="420"/>
        <w:jc w:val="left"/>
        <w:rPr>
          <w:rFonts w:ascii="黑体" w:eastAsia="黑体" w:hint="eastAsia"/>
          <w:sz w:val="21"/>
        </w:rPr>
      </w:pPr>
      <w:r>
        <w:rPr>
          <w:rFonts w:ascii="黑体" w:eastAsia="黑体" w:hint="eastAsia"/>
          <w:spacing w:val="-3"/>
          <w:sz w:val="21"/>
        </w:rPr>
        <w:t>被保险人主动吸食或注射毒品；</w:t>
      </w:r>
    </w:p>
    <w:p>
      <w:pPr>
        <w:pStyle w:val="ListParagraph"/>
        <w:numPr>
          <w:ilvl w:val="0"/>
          <w:numId w:val="3"/>
        </w:numPr>
        <w:tabs>
          <w:tab w:pos="537" w:val="left" w:leader="none"/>
          <w:tab w:pos="538" w:val="left" w:leader="none"/>
        </w:tabs>
        <w:spacing w:line="240" w:lineRule="auto" w:before="37" w:after="0"/>
        <w:ind w:left="538" w:right="0" w:hanging="420"/>
        <w:jc w:val="left"/>
        <w:rPr>
          <w:rFonts w:ascii="黑体" w:eastAsia="黑体" w:hint="eastAsia"/>
          <w:sz w:val="21"/>
        </w:rPr>
      </w:pPr>
      <w:r>
        <w:rPr>
          <w:rFonts w:ascii="黑体" w:eastAsia="黑体" w:hint="eastAsia"/>
          <w:spacing w:val="-3"/>
          <w:sz w:val="21"/>
        </w:rPr>
        <w:t>被保险人酒后驾驶、无合法有效驾驶证驾驶，或驾驶无有效行驶证的机动车；</w:t>
      </w:r>
    </w:p>
    <w:p>
      <w:pPr>
        <w:pStyle w:val="ListParagraph"/>
        <w:numPr>
          <w:ilvl w:val="0"/>
          <w:numId w:val="3"/>
        </w:numPr>
        <w:tabs>
          <w:tab w:pos="537" w:val="left" w:leader="none"/>
          <w:tab w:pos="538" w:val="left" w:leader="none"/>
        </w:tabs>
        <w:spacing w:line="240" w:lineRule="auto" w:before="37" w:after="0"/>
        <w:ind w:left="538" w:right="0" w:hanging="420"/>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3"/>
        </w:numPr>
        <w:tabs>
          <w:tab w:pos="537" w:val="left" w:leader="none"/>
          <w:tab w:pos="538" w:val="left" w:leader="none"/>
        </w:tabs>
        <w:spacing w:line="240" w:lineRule="auto" w:before="37" w:after="0"/>
        <w:ind w:left="538" w:right="0" w:hanging="420"/>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3"/>
        </w:numPr>
        <w:tabs>
          <w:tab w:pos="537" w:val="left" w:leader="none"/>
          <w:tab w:pos="538" w:val="left" w:leader="none"/>
        </w:tabs>
        <w:spacing w:line="240" w:lineRule="auto" w:before="37" w:after="0"/>
        <w:ind w:left="538" w:right="0" w:hanging="420"/>
        <w:jc w:val="left"/>
        <w:rPr>
          <w:rFonts w:ascii="黑体" w:eastAsia="黑体" w:hint="eastAsia"/>
          <w:sz w:val="21"/>
        </w:rPr>
      </w:pPr>
      <w:r>
        <w:rPr>
          <w:rFonts w:ascii="黑体" w:eastAsia="黑体" w:hint="eastAsia"/>
          <w:spacing w:val="-2"/>
          <w:sz w:val="21"/>
        </w:rPr>
        <w:t>被保险人</w:t>
      </w:r>
      <w:r>
        <w:rPr>
          <w:rFonts w:ascii="黑体" w:eastAsia="黑体" w:hint="eastAsia"/>
          <w:b/>
          <w:spacing w:val="-2"/>
          <w:sz w:val="21"/>
        </w:rPr>
        <w:t>感染艾滋病病毒或患艾滋病</w:t>
      </w:r>
      <w:r>
        <w:rPr>
          <w:rFonts w:ascii="黑体" w:eastAsia="黑体" w:hint="eastAsia"/>
          <w:b/>
          <w:position w:val="11"/>
          <w:sz w:val="11"/>
        </w:rPr>
        <w:t>10</w:t>
      </w:r>
      <w:r>
        <w:rPr>
          <w:rFonts w:ascii="黑体" w:eastAsia="黑体" w:hint="eastAsia"/>
          <w:sz w:val="21"/>
        </w:rPr>
        <w:t>；</w:t>
      </w:r>
    </w:p>
    <w:p>
      <w:pPr>
        <w:pStyle w:val="ListParagraph"/>
        <w:numPr>
          <w:ilvl w:val="0"/>
          <w:numId w:val="3"/>
        </w:numPr>
        <w:tabs>
          <w:tab w:pos="537" w:val="left" w:leader="none"/>
          <w:tab w:pos="538" w:val="left" w:leader="none"/>
        </w:tabs>
        <w:spacing w:line="240" w:lineRule="auto" w:before="37" w:after="0"/>
        <w:ind w:left="538" w:right="0" w:hanging="420"/>
        <w:jc w:val="left"/>
        <w:rPr>
          <w:rFonts w:ascii="黑体" w:eastAsia="黑体" w:hint="eastAsia"/>
          <w:sz w:val="21"/>
        </w:rPr>
      </w:pPr>
      <w:r>
        <w:rPr>
          <w:rFonts w:ascii="黑体" w:eastAsia="黑体" w:hint="eastAsia"/>
          <w:b/>
          <w:spacing w:val="-1"/>
          <w:sz w:val="21"/>
        </w:rPr>
        <w:t>遗传性疾病</w:t>
      </w:r>
      <w:r>
        <w:rPr>
          <w:rFonts w:ascii="黑体" w:eastAsia="黑体" w:hint="eastAsia"/>
          <w:b/>
          <w:position w:val="11"/>
          <w:sz w:val="11"/>
        </w:rPr>
        <w:t>11</w:t>
      </w:r>
      <w:r>
        <w:rPr>
          <w:rFonts w:ascii="黑体" w:eastAsia="黑体" w:hint="eastAsia"/>
          <w:sz w:val="21"/>
        </w:rPr>
        <w:t>，</w:t>
      </w:r>
      <w:r>
        <w:rPr>
          <w:rFonts w:ascii="黑体" w:eastAsia="黑体" w:hint="eastAsia"/>
          <w:b/>
          <w:spacing w:val="-1"/>
          <w:sz w:val="21"/>
        </w:rPr>
        <w:t>先天性畸形、变形或染色体异常</w:t>
      </w:r>
      <w:r>
        <w:rPr>
          <w:rFonts w:ascii="黑体" w:eastAsia="黑体" w:hint="eastAsia"/>
          <w:b/>
          <w:position w:val="11"/>
          <w:sz w:val="11"/>
        </w:rPr>
        <w:t>12</w:t>
      </w:r>
      <w:r>
        <w:rPr>
          <w:rFonts w:ascii="黑体" w:eastAsia="黑体" w:hint="eastAsia"/>
          <w:sz w:val="21"/>
        </w:rPr>
        <w:t>。</w:t>
      </w: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spacing w:before="8"/>
        <w:ind w:left="0"/>
        <w:rPr>
          <w:rFonts w:ascii="黑体"/>
          <w:sz w:val="19"/>
        </w:rPr>
      </w:pPr>
      <w:r>
        <w:rPr/>
        <w:pict>
          <v:line style="position:absolute;mso-position-horizontal-relative:page;mso-position-vertical-relative:paragraph;z-index:1072;mso-wrap-distance-left:0;mso-wrap-distance-right:0" from="89.903999pt,15.075164pt" to="233.923999pt,15.075164pt" stroked="true" strokeweight=".48001pt" strokecolor="#000000">
            <v:stroke dashstyle="solid"/>
            <w10:wrap type="topAndBottom"/>
          </v:line>
        </w:pict>
      </w:r>
    </w:p>
    <w:p>
      <w:pPr>
        <w:spacing w:line="237" w:lineRule="auto" w:before="41"/>
        <w:ind w:left="118" w:right="113" w:firstLine="0"/>
        <w:jc w:val="both"/>
        <w:rPr>
          <w:sz w:val="18"/>
        </w:rPr>
      </w:pPr>
      <w:r>
        <w:rPr>
          <w:rFonts w:ascii="Times New Roman" w:eastAsia="Times New Roman"/>
          <w:position w:val="8"/>
          <w:sz w:val="12"/>
        </w:rPr>
        <w:t>4 </w:t>
      </w:r>
      <w:r>
        <w:rPr>
          <w:b/>
          <w:sz w:val="18"/>
        </w:rPr>
        <w:t>毒品</w:t>
      </w:r>
      <w:r>
        <w:rPr>
          <w:spacing w:val="-5"/>
          <w:sz w:val="18"/>
        </w:rPr>
        <w:t>：指中华人民共和国刑法规定的鸦片、海洛因、甲基苯丙胺</w:t>
      </w:r>
      <w:r>
        <w:rPr>
          <w:sz w:val="18"/>
        </w:rPr>
        <w:t>（冰毒</w:t>
      </w:r>
      <w:r>
        <w:rPr>
          <w:spacing w:val="-92"/>
          <w:sz w:val="18"/>
        </w:rPr>
        <w:t>）</w:t>
      </w:r>
      <w:r>
        <w:rPr>
          <w:spacing w:val="-4"/>
          <w:sz w:val="18"/>
        </w:rPr>
        <w:t>、吗啡、大麻、可卡因以及国家规定管制的其他能够使人形成瘾癖的麻醉药品和精神药品，但不包括由医生开具并遵医嘱使用的用于治疗</w:t>
      </w:r>
      <w:r>
        <w:rPr>
          <w:spacing w:val="-1"/>
          <w:sz w:val="18"/>
        </w:rPr>
        <w:t>疾病但含有毒品成分的处方药品。</w:t>
      </w:r>
    </w:p>
    <w:p>
      <w:pPr>
        <w:spacing w:line="240" w:lineRule="auto" w:before="0"/>
        <w:ind w:left="118" w:right="172" w:firstLine="0"/>
        <w:jc w:val="both"/>
        <w:rPr>
          <w:sz w:val="18"/>
        </w:rPr>
      </w:pPr>
      <w:r>
        <w:rPr>
          <w:rFonts w:ascii="Times New Roman" w:eastAsia="Times New Roman"/>
          <w:position w:val="8"/>
          <w:sz w:val="12"/>
        </w:rPr>
        <w:t>5 </w:t>
      </w:r>
      <w:r>
        <w:rPr>
          <w:b/>
          <w:sz w:val="18"/>
        </w:rPr>
        <w:t>酒后驾驶</w:t>
      </w:r>
      <w:r>
        <w:rPr>
          <w:sz w:val="18"/>
        </w:rPr>
        <w:t>：指经检测或鉴定，发生事故时车辆驾驶人员每百毫升血液中的酒精含量达到或超过一定的标准，公安机关交通管理部门依据《道路交通安全法》的规定认定为饮酒后驾驶或醉酒后驾驶。</w:t>
      </w:r>
    </w:p>
    <w:p>
      <w:pPr>
        <w:spacing w:line="231" w:lineRule="exact" w:before="3"/>
        <w:ind w:left="118" w:right="0" w:firstLine="0"/>
        <w:jc w:val="both"/>
        <w:rPr>
          <w:sz w:val="18"/>
        </w:rPr>
      </w:pPr>
      <w:r>
        <w:rPr>
          <w:rFonts w:ascii="Times New Roman" w:eastAsia="Times New Roman"/>
          <w:position w:val="8"/>
          <w:sz w:val="12"/>
        </w:rPr>
        <w:t>6   </w:t>
      </w:r>
      <w:r>
        <w:rPr>
          <w:b/>
          <w:sz w:val="18"/>
        </w:rPr>
        <w:t>无合法有效驾驶证驾驶</w:t>
      </w:r>
      <w:r>
        <w:rPr>
          <w:sz w:val="18"/>
        </w:rPr>
        <w:t>：指下列情形之一：</w:t>
      </w:r>
    </w:p>
    <w:p>
      <w:pPr>
        <w:pStyle w:val="ListParagraph"/>
        <w:numPr>
          <w:ilvl w:val="1"/>
          <w:numId w:val="3"/>
        </w:numPr>
        <w:tabs>
          <w:tab w:pos="657" w:val="left" w:leader="none"/>
          <w:tab w:pos="658" w:val="left" w:leader="none"/>
        </w:tabs>
        <w:spacing w:line="240" w:lineRule="exact" w:before="0" w:after="0"/>
        <w:ind w:left="658" w:right="0" w:hanging="360"/>
        <w:jc w:val="left"/>
        <w:rPr>
          <w:sz w:val="18"/>
        </w:rPr>
      </w:pPr>
      <w:r>
        <w:rPr>
          <w:sz w:val="18"/>
        </w:rPr>
        <w:t>没有取得驾驶资格；</w:t>
      </w:r>
    </w:p>
    <w:p>
      <w:pPr>
        <w:pStyle w:val="ListParagraph"/>
        <w:numPr>
          <w:ilvl w:val="1"/>
          <w:numId w:val="3"/>
        </w:numPr>
        <w:tabs>
          <w:tab w:pos="657" w:val="left" w:leader="none"/>
          <w:tab w:pos="658" w:val="left" w:leader="none"/>
        </w:tabs>
        <w:spacing w:line="234" w:lineRule="exact" w:before="0" w:after="0"/>
        <w:ind w:left="658" w:right="0" w:hanging="360"/>
        <w:jc w:val="left"/>
        <w:rPr>
          <w:sz w:val="18"/>
        </w:rPr>
      </w:pPr>
      <w:r>
        <w:rPr>
          <w:w w:val="95"/>
          <w:sz w:val="18"/>
        </w:rPr>
        <w:t>驾驶与驾驶证准驾车型不相符合的车辆；</w:t>
      </w:r>
    </w:p>
    <w:p>
      <w:pPr>
        <w:pStyle w:val="ListParagraph"/>
        <w:numPr>
          <w:ilvl w:val="1"/>
          <w:numId w:val="3"/>
        </w:numPr>
        <w:tabs>
          <w:tab w:pos="657" w:val="left" w:leader="none"/>
          <w:tab w:pos="658" w:val="left" w:leader="none"/>
        </w:tabs>
        <w:spacing w:line="234" w:lineRule="exact" w:before="0" w:after="0"/>
        <w:ind w:left="658" w:right="0" w:hanging="360"/>
        <w:jc w:val="left"/>
        <w:rPr>
          <w:sz w:val="18"/>
        </w:rPr>
      </w:pPr>
      <w:r>
        <w:rPr>
          <w:w w:val="95"/>
          <w:sz w:val="18"/>
        </w:rPr>
        <w:t>持审验不合格的驾驶证驾驶；</w:t>
      </w:r>
    </w:p>
    <w:p>
      <w:pPr>
        <w:pStyle w:val="ListParagraph"/>
        <w:numPr>
          <w:ilvl w:val="1"/>
          <w:numId w:val="3"/>
        </w:numPr>
        <w:tabs>
          <w:tab w:pos="657" w:val="left" w:leader="none"/>
          <w:tab w:pos="658" w:val="left" w:leader="none"/>
        </w:tabs>
        <w:spacing w:line="233" w:lineRule="exact" w:before="0" w:after="0"/>
        <w:ind w:left="658" w:right="0" w:hanging="360"/>
        <w:jc w:val="left"/>
        <w:rPr>
          <w:sz w:val="18"/>
        </w:rPr>
      </w:pPr>
      <w:r>
        <w:rPr>
          <w:sz w:val="18"/>
        </w:rPr>
        <w:t>持学习驾驶证学习驾车时，无教练员随车指导，或不按指定时间、路线学习驾车。</w:t>
      </w:r>
    </w:p>
    <w:p>
      <w:pPr>
        <w:spacing w:line="227" w:lineRule="exact" w:before="0"/>
        <w:ind w:left="118" w:right="0" w:firstLine="0"/>
        <w:jc w:val="both"/>
        <w:rPr>
          <w:sz w:val="18"/>
        </w:rPr>
      </w:pPr>
      <w:r>
        <w:rPr>
          <w:rFonts w:ascii="Times New Roman" w:eastAsia="Times New Roman"/>
          <w:position w:val="8"/>
          <w:sz w:val="12"/>
        </w:rPr>
        <w:t>7   </w:t>
      </w:r>
      <w:r>
        <w:rPr>
          <w:b/>
          <w:sz w:val="18"/>
        </w:rPr>
        <w:t>无有效行驶证</w:t>
      </w:r>
      <w:r>
        <w:rPr>
          <w:sz w:val="18"/>
        </w:rPr>
        <w:t>：指下列情形之一：</w:t>
      </w:r>
    </w:p>
    <w:p>
      <w:pPr>
        <w:pStyle w:val="ListParagraph"/>
        <w:numPr>
          <w:ilvl w:val="0"/>
          <w:numId w:val="4"/>
        </w:numPr>
        <w:tabs>
          <w:tab w:pos="657" w:val="left" w:leader="none"/>
          <w:tab w:pos="658" w:val="left" w:leader="none"/>
        </w:tabs>
        <w:spacing w:line="241" w:lineRule="exact" w:before="0" w:after="0"/>
        <w:ind w:left="658" w:right="0" w:hanging="360"/>
        <w:jc w:val="left"/>
        <w:rPr>
          <w:sz w:val="18"/>
        </w:rPr>
      </w:pPr>
      <w:r>
        <w:rPr>
          <w:w w:val="95"/>
          <w:sz w:val="18"/>
        </w:rPr>
        <w:t>机动车被依法注销登记的；</w:t>
      </w:r>
    </w:p>
    <w:p>
      <w:pPr>
        <w:pStyle w:val="ListParagraph"/>
        <w:numPr>
          <w:ilvl w:val="0"/>
          <w:numId w:val="4"/>
        </w:numPr>
        <w:tabs>
          <w:tab w:pos="657" w:val="left" w:leader="none"/>
          <w:tab w:pos="658" w:val="left" w:leader="none"/>
        </w:tabs>
        <w:spacing w:line="233" w:lineRule="exact" w:before="0" w:after="0"/>
        <w:ind w:left="658" w:right="0" w:hanging="360"/>
        <w:jc w:val="left"/>
        <w:rPr>
          <w:sz w:val="18"/>
        </w:rPr>
      </w:pPr>
      <w:r>
        <w:rPr>
          <w:w w:val="95"/>
          <w:sz w:val="18"/>
        </w:rPr>
        <w:t>未依法按时进行或通过机动车安全技术检验。</w:t>
      </w:r>
    </w:p>
    <w:p>
      <w:pPr>
        <w:spacing w:line="237" w:lineRule="auto" w:before="0"/>
        <w:ind w:left="118" w:right="175" w:firstLine="0"/>
        <w:jc w:val="both"/>
        <w:rPr>
          <w:sz w:val="18"/>
        </w:rPr>
      </w:pPr>
      <w:r>
        <w:rPr>
          <w:rFonts w:ascii="Times New Roman" w:eastAsia="Times New Roman"/>
          <w:position w:val="8"/>
          <w:sz w:val="12"/>
        </w:rPr>
        <w:t>8 </w:t>
      </w:r>
      <w:r>
        <w:rPr>
          <w:b/>
          <w:sz w:val="18"/>
        </w:rPr>
        <w:t>机动车</w:t>
      </w:r>
      <w:r>
        <w:rPr>
          <w:sz w:val="18"/>
        </w:rPr>
        <w:t>：指以动力装置驱动或者牵引，上道路行驶的供人员乘用或者用于运送物品以及进行工程专项作业的轮式车辆。</w:t>
      </w:r>
    </w:p>
    <w:p>
      <w:pPr>
        <w:spacing w:line="237" w:lineRule="auto" w:before="7"/>
        <w:ind w:left="118" w:right="172" w:firstLine="0"/>
        <w:jc w:val="both"/>
        <w:rPr>
          <w:sz w:val="18"/>
        </w:rPr>
      </w:pPr>
      <w:r>
        <w:rPr>
          <w:rFonts w:ascii="Times New Roman" w:eastAsia="Times New Roman"/>
          <w:position w:val="8"/>
          <w:sz w:val="12"/>
        </w:rPr>
        <w:t>9 </w:t>
      </w:r>
      <w:r>
        <w:rPr>
          <w:b/>
          <w:sz w:val="18"/>
        </w:rPr>
        <w:t>现金价值</w:t>
      </w:r>
      <w:r>
        <w:rPr>
          <w:sz w:val="18"/>
        </w:rPr>
        <w:t>：指本合同所具有的价值，通常体现为您解除合同时，根据精算原理计算的，由我们退还的那部分金额。各保险单年度末的现金价值载明于保险单现金价值表中。</w:t>
      </w:r>
    </w:p>
    <w:p>
      <w:pPr>
        <w:spacing w:line="223" w:lineRule="auto" w:before="14"/>
        <w:ind w:left="118" w:right="111" w:firstLine="0"/>
        <w:jc w:val="both"/>
        <w:rPr>
          <w:sz w:val="18"/>
        </w:rPr>
      </w:pPr>
      <w:r>
        <w:rPr>
          <w:rFonts w:ascii="Times New Roman" w:eastAsia="Times New Roman"/>
          <w:position w:val="8"/>
          <w:sz w:val="12"/>
        </w:rPr>
        <w:t>10 </w:t>
      </w:r>
      <w:r>
        <w:rPr>
          <w:b/>
          <w:sz w:val="18"/>
        </w:rPr>
        <w:t>感染艾滋病病毒或患艾滋病</w:t>
      </w:r>
      <w:r>
        <w:rPr>
          <w:sz w:val="18"/>
        </w:rPr>
        <w:t>：艾滋病病毒指人类免疫缺陷病毒，英文缩写为 </w:t>
      </w:r>
      <w:r>
        <w:rPr>
          <w:rFonts w:ascii="Times New Roman" w:eastAsia="Times New Roman"/>
          <w:sz w:val="18"/>
        </w:rPr>
        <w:t>HIV</w:t>
      </w:r>
      <w:r>
        <w:rPr>
          <w:sz w:val="18"/>
        </w:rPr>
        <w:t>。艾滋病指人类免疫缺陷病毒引起的获得性免疫缺陷综合征，英文缩写为 </w:t>
      </w:r>
      <w:r>
        <w:rPr>
          <w:rFonts w:ascii="Times New Roman" w:eastAsia="Times New Roman"/>
          <w:sz w:val="18"/>
        </w:rPr>
        <w:t>AIDS</w:t>
      </w:r>
      <w:r>
        <w:rPr>
          <w:sz w:val="18"/>
        </w:rPr>
        <w:t>。</w:t>
      </w:r>
    </w:p>
    <w:p>
      <w:pPr>
        <w:spacing w:line="232" w:lineRule="exact" w:before="10"/>
        <w:ind w:left="118" w:right="146" w:firstLine="0"/>
        <w:jc w:val="both"/>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32" w:lineRule="exact" w:before="0"/>
        <w:ind w:left="118" w:right="111" w:firstLine="0"/>
        <w:jc w:val="both"/>
        <w:rPr>
          <w:sz w:val="18"/>
        </w:rPr>
      </w:pPr>
      <w:r>
        <w:rPr>
          <w:rFonts w:ascii="Times New Roman" w:eastAsia="Times New Roman"/>
          <w:position w:val="8"/>
          <w:sz w:val="12"/>
        </w:rPr>
        <w:t>11 </w:t>
      </w:r>
      <w:r>
        <w:rPr>
          <w:b/>
          <w:sz w:val="18"/>
        </w:rPr>
        <w:t>遗传性疾病</w:t>
      </w:r>
      <w:r>
        <w:rPr>
          <w:sz w:val="18"/>
        </w:rPr>
        <w:t>：指生殖细胞或受精卵的遗传物质（染色体和基因）发生突变或畸变所引起的疾病，通常具有由亲代传至后代的垂直传递的特征。</w:t>
      </w:r>
    </w:p>
    <w:p>
      <w:pPr>
        <w:spacing w:line="232" w:lineRule="exact" w:before="2"/>
        <w:ind w:left="118" w:right="107" w:firstLine="0"/>
        <w:jc w:val="both"/>
        <w:rPr>
          <w:sz w:val="18"/>
        </w:rPr>
      </w:pPr>
      <w:r>
        <w:rPr>
          <w:rFonts w:ascii="Times New Roman" w:eastAsia="Times New Roman"/>
          <w:position w:val="8"/>
          <w:sz w:val="12"/>
        </w:rPr>
        <w:t>12 </w:t>
      </w:r>
      <w:r>
        <w:rPr>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after="0" w:line="232" w:lineRule="exact"/>
        <w:jc w:val="both"/>
        <w:rPr>
          <w:sz w:val="18"/>
        </w:rPr>
        <w:sectPr>
          <w:pgSz w:w="11910" w:h="16840"/>
          <w:pgMar w:header="0" w:footer="1137" w:top="1400" w:bottom="1320" w:left="1680" w:right="1680"/>
        </w:sectPr>
      </w:pPr>
    </w:p>
    <w:p>
      <w:pPr>
        <w:pStyle w:val="Heading1"/>
        <w:spacing w:before="9"/>
        <w:ind w:left="1776"/>
      </w:pPr>
      <w:bookmarkStart w:name="_bookmark6" w:id="7"/>
      <w:bookmarkEnd w:id="7"/>
      <w:r>
        <w:rPr>
          <w:b w:val="0"/>
        </w:rPr>
      </w:r>
      <w:r>
        <w:rPr/>
        <w:t>第三章 保险金额、保险费及宽限期</w:t>
      </w:r>
    </w:p>
    <w:p>
      <w:pPr>
        <w:pStyle w:val="BodyText"/>
        <w:spacing w:before="9"/>
        <w:ind w:left="0"/>
        <w:rPr>
          <w:b/>
          <w:sz w:val="26"/>
        </w:rPr>
      </w:pPr>
    </w:p>
    <w:p>
      <w:pPr>
        <w:pStyle w:val="BodyText"/>
        <w:tabs>
          <w:tab w:pos="1377" w:val="left" w:leader="none"/>
        </w:tabs>
      </w:pPr>
      <w:bookmarkStart w:name="_bookmark7" w:id="8"/>
      <w:bookmarkEnd w:id="8"/>
      <w:r>
        <w:rPr/>
      </w:r>
      <w:r>
        <w:rPr/>
        <w:t>第五条</w:t>
        <w:tab/>
        <w:t>保险</w:t>
      </w:r>
      <w:r>
        <w:rPr>
          <w:spacing w:val="-3"/>
        </w:rPr>
        <w:t>金</w:t>
      </w:r>
      <w:r>
        <w:rPr/>
        <w:t>额</w:t>
      </w:r>
    </w:p>
    <w:p>
      <w:pPr>
        <w:pStyle w:val="BodyText"/>
        <w:spacing w:before="37"/>
      </w:pPr>
      <w:r>
        <w:rPr/>
        <w:t>一、 本合同的基本保险金额由您与我们约定并于保险单上载明。</w:t>
      </w:r>
    </w:p>
    <w:p>
      <w:pPr>
        <w:pStyle w:val="BodyText"/>
        <w:spacing w:line="273" w:lineRule="auto" w:before="37"/>
        <w:ind w:left="658" w:right="189" w:hanging="540"/>
      </w:pPr>
      <w:r>
        <w:rPr/>
        <w:t>二、 在本合同有效期内，您可以书面申请减少本合同的基本保险金额，但减少后的基本保险金额不得低于变更时我们规定的最低基本保险金额，减少部分按您解除合同处理。</w:t>
      </w:r>
    </w:p>
    <w:p>
      <w:pPr>
        <w:pStyle w:val="BodyText"/>
        <w:spacing w:line="273" w:lineRule="auto" w:before="7"/>
        <w:ind w:left="658" w:right="189" w:hanging="540"/>
      </w:pPr>
      <w:r>
        <w:rPr/>
        <w:t>三、 为未成年子女投保的人身保险，因被保险人身故给付的保险金总和不得超过国务院保险监督管理机构规定的限额，身故给付的保险金额总和约定也不得超过前述限额。</w:t>
      </w:r>
    </w:p>
    <w:p>
      <w:pPr>
        <w:pStyle w:val="BodyText"/>
        <w:spacing w:before="5"/>
        <w:ind w:left="0"/>
        <w:rPr>
          <w:sz w:val="24"/>
        </w:rPr>
      </w:pPr>
    </w:p>
    <w:p>
      <w:pPr>
        <w:pStyle w:val="BodyText"/>
        <w:tabs>
          <w:tab w:pos="1377" w:val="left" w:leader="none"/>
        </w:tabs>
      </w:pPr>
      <w:bookmarkStart w:name="_bookmark8" w:id="9"/>
      <w:bookmarkEnd w:id="9"/>
      <w:r>
        <w:rPr/>
      </w:r>
      <w:r>
        <w:rPr/>
        <w:t>第六条</w:t>
        <w:tab/>
      </w:r>
      <w:r>
        <w:rPr>
          <w:spacing w:val="-1"/>
        </w:rPr>
        <w:t>保</w:t>
      </w:r>
      <w:r>
        <w:rPr/>
        <w:t>险</w:t>
      </w:r>
      <w:r>
        <w:rPr>
          <w:spacing w:val="-3"/>
        </w:rPr>
        <w:t>费</w:t>
      </w:r>
      <w:r>
        <w:rPr/>
        <w:t>及</w:t>
      </w:r>
      <w:r>
        <w:rPr>
          <w:spacing w:val="-3"/>
        </w:rPr>
        <w:t>宽</w:t>
      </w:r>
      <w:r>
        <w:rPr/>
        <w:t>限期</w:t>
      </w:r>
    </w:p>
    <w:p>
      <w:pPr>
        <w:pStyle w:val="BodyText"/>
        <w:spacing w:before="37"/>
      </w:pPr>
      <w:r>
        <w:rPr/>
        <w:t>您应按本合同约定的保险费交费期间、应付日、交费方式等交付本合同的保险费。</w:t>
      </w:r>
    </w:p>
    <w:p>
      <w:pPr>
        <w:pStyle w:val="BodyText"/>
        <w:spacing w:line="273" w:lineRule="auto" w:before="37"/>
        <w:ind w:right="189"/>
        <w:jc w:val="both"/>
      </w:pPr>
      <w:r>
        <w:rPr>
          <w:spacing w:val="-10"/>
        </w:rPr>
        <w:t>分期支付保险费的，在您交纳首期保险费后，您应在保险费应付日或应付日前交付以后各期</w:t>
      </w:r>
      <w:r>
        <w:rPr>
          <w:spacing w:val="-12"/>
        </w:rPr>
        <w:t>保险费。若到期未交付保险费，自保险费应付日的次日零时起六十日为宽限期。宽限期内本</w:t>
      </w:r>
      <w:r>
        <w:rPr>
          <w:spacing w:val="-10"/>
        </w:rPr>
        <w:t>合同继续有效，若被保险人发生保险事故，我们仍承担保险责任，但给付保险金时须扣除已</w:t>
      </w:r>
      <w:r>
        <w:rPr>
          <w:spacing w:val="-5"/>
        </w:rPr>
        <w:t>到期而未交的保险费。</w:t>
      </w:r>
    </w:p>
    <w:p>
      <w:pPr>
        <w:pStyle w:val="BodyText"/>
        <w:spacing w:line="273" w:lineRule="auto" w:before="7"/>
        <w:ind w:right="189"/>
      </w:pPr>
      <w:r>
        <w:rPr>
          <w:spacing w:val="-10"/>
        </w:rPr>
        <w:t>除本合同另有约定外，宽限期期满日保险费仍未交付的，本合同自宽限期期满日的次日零时</w:t>
      </w:r>
      <w:r>
        <w:rPr>
          <w:spacing w:val="-5"/>
        </w:rPr>
        <w:t>起效力中止。</w:t>
      </w:r>
    </w:p>
    <w:p>
      <w:pPr>
        <w:pStyle w:val="BodyText"/>
        <w:spacing w:before="5"/>
        <w:ind w:left="0"/>
        <w:rPr>
          <w:sz w:val="24"/>
        </w:rPr>
      </w:pPr>
    </w:p>
    <w:p>
      <w:pPr>
        <w:pStyle w:val="BodyText"/>
        <w:tabs>
          <w:tab w:pos="1377" w:val="left" w:leader="none"/>
        </w:tabs>
      </w:pPr>
      <w:bookmarkStart w:name="_bookmark9" w:id="10"/>
      <w:bookmarkEnd w:id="10"/>
      <w:r>
        <w:rPr/>
      </w:r>
      <w:r>
        <w:rPr/>
        <w:t>第七条</w:t>
        <w:tab/>
        <w:t>保险</w:t>
      </w:r>
      <w:r>
        <w:rPr>
          <w:spacing w:val="-3"/>
        </w:rPr>
        <w:t>费</w:t>
      </w:r>
      <w:r>
        <w:rPr/>
        <w:t>自</w:t>
      </w:r>
      <w:r>
        <w:rPr>
          <w:spacing w:val="-3"/>
        </w:rPr>
        <w:t>动</w:t>
      </w:r>
      <w:r>
        <w:rPr/>
        <w:t>垫交</w:t>
      </w:r>
    </w:p>
    <w:p>
      <w:pPr>
        <w:pStyle w:val="BodyText"/>
        <w:spacing w:line="273" w:lineRule="auto" w:before="37"/>
        <w:ind w:right="188"/>
        <w:jc w:val="both"/>
      </w:pPr>
      <w:r>
        <w:rPr>
          <w:spacing w:val="-3"/>
        </w:rPr>
        <w:t>宽限期期满日保险费仍未交付的，且本合同的</w:t>
      </w:r>
      <w:r>
        <w:rPr>
          <w:b/>
        </w:rPr>
        <w:t>现金价值净额</w:t>
      </w:r>
      <w:r>
        <w:rPr>
          <w:b/>
          <w:position w:val="11"/>
          <w:sz w:val="11"/>
        </w:rPr>
        <w:t>13</w:t>
      </w:r>
      <w:r>
        <w:rPr>
          <w:spacing w:val="-3"/>
        </w:rPr>
        <w:t>足以垫交到期应交保险费及其</w:t>
      </w:r>
      <w:r>
        <w:rPr>
          <w:b/>
          <w:spacing w:val="-3"/>
        </w:rPr>
        <w:t>利息</w:t>
      </w:r>
      <w:r>
        <w:rPr>
          <w:b/>
          <w:spacing w:val="-3"/>
          <w:position w:val="11"/>
          <w:sz w:val="11"/>
        </w:rPr>
        <w:t>14</w:t>
      </w:r>
      <w:r>
        <w:rPr>
          <w:spacing w:val="-3"/>
        </w:rPr>
        <w:t>，除您在宽限期期满日前有书面反对声明外，则我们以该现金价值净额自动垫交到期</w:t>
      </w:r>
      <w:r>
        <w:rPr>
          <w:spacing w:val="-10"/>
        </w:rPr>
        <w:t>应交保险费及其利息，本合同及其附加合同继续有效；若前项现金价值净额不足以垫交到期</w:t>
      </w:r>
      <w:r>
        <w:rPr>
          <w:spacing w:val="-5"/>
        </w:rPr>
        <w:t>应交保险费及其利息时，本合同及其附加合同效力中止。</w:t>
      </w:r>
    </w:p>
    <w:p>
      <w:pPr>
        <w:pStyle w:val="BodyText"/>
        <w:spacing w:before="7"/>
      </w:pPr>
      <w:r>
        <w:rPr/>
        <w:t>若本合同附有附加合同，保险费的自动垫交也包括附加合同的保险费。</w:t>
      </w:r>
    </w:p>
    <w:p>
      <w:pPr>
        <w:pStyle w:val="BodyText"/>
        <w:spacing w:before="8"/>
        <w:ind w:left="0"/>
        <w:rPr>
          <w:sz w:val="26"/>
        </w:rPr>
      </w:pPr>
    </w:p>
    <w:p>
      <w:pPr>
        <w:pStyle w:val="BodyText"/>
        <w:tabs>
          <w:tab w:pos="1377" w:val="left" w:leader="none"/>
        </w:tabs>
      </w:pPr>
      <w:bookmarkStart w:name="_bookmark10" w:id="11"/>
      <w:bookmarkEnd w:id="11"/>
      <w:r>
        <w:rPr/>
      </w:r>
      <w:r>
        <w:rPr/>
        <w:t>第八条</w:t>
        <w:tab/>
        <w:t>保单</w:t>
      </w:r>
      <w:r>
        <w:rPr>
          <w:spacing w:val="-3"/>
        </w:rPr>
        <w:t>借</w:t>
      </w:r>
      <w:r>
        <w:rPr/>
        <w:t>款</w:t>
      </w:r>
    </w:p>
    <w:p>
      <w:pPr>
        <w:pStyle w:val="BodyText"/>
        <w:spacing w:line="273" w:lineRule="auto" w:before="36"/>
        <w:ind w:right="188"/>
      </w:pPr>
      <w:r>
        <w:rPr>
          <w:spacing w:val="-8"/>
        </w:rPr>
        <w:t>若本合同有效且具有现金价值，您可以书面申请保单借款。最高借款金额不得超过申请时现</w:t>
      </w:r>
      <w:r>
        <w:rPr>
          <w:spacing w:val="-10"/>
        </w:rPr>
        <w:t>金价值净额的 </w:t>
      </w:r>
      <w:r>
        <w:rPr/>
        <w:t>80</w:t>
      </w:r>
      <w:r>
        <w:rPr>
          <w:spacing w:val="-3"/>
        </w:rPr>
        <w:t>%，每次借款期限最长为六个月。</w:t>
      </w:r>
    </w:p>
    <w:p>
      <w:pPr>
        <w:pStyle w:val="BodyText"/>
        <w:spacing w:line="273" w:lineRule="auto" w:before="7"/>
        <w:ind w:right="189"/>
      </w:pPr>
      <w:r>
        <w:rPr>
          <w:spacing w:val="-9"/>
        </w:rPr>
        <w:t>当自动垫交的保险费及利息、保单借款及利息达到现金价值时，本合同及其附加合同效力中止。</w:t>
      </w:r>
    </w:p>
    <w:p>
      <w:pPr>
        <w:pStyle w:val="BodyText"/>
        <w:spacing w:before="5"/>
        <w:ind w:left="0"/>
        <w:rPr>
          <w:sz w:val="24"/>
        </w:rPr>
      </w:pPr>
    </w:p>
    <w:p>
      <w:pPr>
        <w:pStyle w:val="BodyText"/>
        <w:tabs>
          <w:tab w:pos="1377" w:val="left" w:leader="none"/>
        </w:tabs>
      </w:pPr>
      <w:bookmarkStart w:name="_bookmark11" w:id="12"/>
      <w:bookmarkEnd w:id="12"/>
      <w:r>
        <w:rPr/>
      </w:r>
      <w:r>
        <w:rPr/>
        <w:t>第九条</w:t>
        <w:tab/>
        <w:t>欠款</w:t>
      </w:r>
      <w:r>
        <w:rPr>
          <w:spacing w:val="-3"/>
        </w:rPr>
        <w:t>扣</w:t>
      </w:r>
      <w:r>
        <w:rPr/>
        <w:t>除</w:t>
      </w:r>
    </w:p>
    <w:p>
      <w:pPr>
        <w:pStyle w:val="BodyText"/>
        <w:spacing w:line="273" w:lineRule="auto" w:before="36"/>
        <w:ind w:right="189"/>
      </w:pPr>
      <w:r>
        <w:rPr>
          <w:spacing w:val="-10"/>
        </w:rPr>
        <w:t>我们给付各项保险金、退还现金价值或退还保险费时，应先扣除我们自动垫交的保险费及利</w:t>
      </w:r>
      <w:r>
        <w:rPr>
          <w:spacing w:val="-5"/>
        </w:rPr>
        <w:t>息、保单借款及利息、欠交保险费。</w:t>
      </w:r>
    </w:p>
    <w:p>
      <w:pPr>
        <w:pStyle w:val="BodyText"/>
        <w:spacing w:before="5"/>
        <w:ind w:left="0"/>
        <w:rPr>
          <w:sz w:val="24"/>
        </w:rPr>
      </w:pPr>
    </w:p>
    <w:p>
      <w:pPr>
        <w:pStyle w:val="Heading1"/>
      </w:pPr>
      <w:bookmarkStart w:name="_bookmark12" w:id="13"/>
      <w:bookmarkEnd w:id="13"/>
      <w:r>
        <w:rPr>
          <w:b w:val="0"/>
        </w:rPr>
      </w:r>
      <w:r>
        <w:rPr/>
        <w:t>第四章 保险期间、保险合同成立与生效、复效及解除</w:t>
      </w:r>
    </w:p>
    <w:p>
      <w:pPr>
        <w:pStyle w:val="BodyText"/>
        <w:spacing w:before="9"/>
        <w:ind w:left="0"/>
        <w:rPr>
          <w:b/>
          <w:sz w:val="26"/>
        </w:rPr>
      </w:pPr>
    </w:p>
    <w:p>
      <w:pPr>
        <w:pStyle w:val="BodyText"/>
        <w:tabs>
          <w:tab w:pos="1377" w:val="left" w:leader="none"/>
        </w:tabs>
      </w:pPr>
      <w:bookmarkStart w:name="_bookmark13" w:id="14"/>
      <w:bookmarkEnd w:id="14"/>
      <w:r>
        <w:rPr/>
      </w:r>
      <w:r>
        <w:rPr/>
        <w:t>第十条</w:t>
        <w:tab/>
        <w:t>保险</w:t>
      </w:r>
      <w:r>
        <w:rPr>
          <w:spacing w:val="-3"/>
        </w:rPr>
        <w:t>期</w:t>
      </w:r>
      <w:r>
        <w:rPr/>
        <w:t>间</w:t>
      </w:r>
    </w:p>
    <w:p>
      <w:pPr>
        <w:pStyle w:val="BodyText"/>
        <w:spacing w:before="36"/>
      </w:pPr>
      <w:r>
        <w:rPr/>
        <w:t>本合同的保险期间由您与我们约定并于保险单上载明。</w:t>
      </w:r>
    </w:p>
    <w:p>
      <w:pPr>
        <w:pStyle w:val="BodyText"/>
        <w:spacing w:before="8"/>
        <w:ind w:left="0"/>
        <w:rPr>
          <w:sz w:val="26"/>
        </w:rPr>
      </w:pPr>
    </w:p>
    <w:p>
      <w:pPr>
        <w:pStyle w:val="BodyText"/>
        <w:tabs>
          <w:tab w:pos="1377" w:val="left" w:leader="none"/>
        </w:tabs>
      </w:pPr>
      <w:bookmarkStart w:name="_bookmark14" w:id="15"/>
      <w:bookmarkEnd w:id="15"/>
      <w:r>
        <w:rPr/>
      </w:r>
      <w:r>
        <w:rPr/>
        <w:t>第十</w:t>
      </w:r>
      <w:r>
        <w:rPr>
          <w:spacing w:val="-3"/>
        </w:rPr>
        <w:t>一</w:t>
      </w:r>
      <w:r>
        <w:rPr/>
        <w:t>条</w:t>
        <w:tab/>
      </w:r>
      <w:r>
        <w:rPr>
          <w:spacing w:val="-1"/>
        </w:rPr>
        <w:t>保险</w:t>
      </w:r>
      <w:r>
        <w:rPr>
          <w:spacing w:val="-3"/>
        </w:rPr>
        <w:t>合</w:t>
      </w:r>
      <w:r>
        <w:rPr>
          <w:spacing w:val="-1"/>
        </w:rPr>
        <w:t>同</w:t>
      </w:r>
      <w:r>
        <w:rPr>
          <w:spacing w:val="-3"/>
        </w:rPr>
        <w:t>成</w:t>
      </w:r>
      <w:r>
        <w:rPr/>
        <w:t>立与生效</w:t>
      </w:r>
    </w:p>
    <w:p>
      <w:pPr>
        <w:pStyle w:val="BodyText"/>
        <w:spacing w:before="37"/>
      </w:pPr>
      <w:r>
        <w:rPr/>
        <w:t>您提出保险申请、我们同意承保，本合同成立，我们将签发保险单作为本合同成立的标志。</w:t>
      </w:r>
    </w:p>
    <w:p>
      <w:pPr>
        <w:pStyle w:val="BodyText"/>
        <w:spacing w:before="1"/>
        <w:ind w:left="0"/>
        <w:rPr>
          <w:sz w:val="13"/>
        </w:rPr>
      </w:pPr>
      <w:r>
        <w:rPr/>
        <w:pict>
          <v:line style="position:absolute;mso-position-horizontal-relative:page;mso-position-vertical-relative:paragraph;z-index:1096;mso-wrap-distance-left:0;mso-wrap-distance-right:0" from="89.903999pt,10.76895pt" to="233.923999pt,10.76895pt" stroked="true" strokeweight=".47998pt" strokecolor="#000000">
            <v:stroke dashstyle="solid"/>
            <w10:wrap type="topAndBottom"/>
          </v:line>
        </w:pict>
      </w:r>
    </w:p>
    <w:p>
      <w:pPr>
        <w:spacing w:line="234" w:lineRule="exact" w:before="39"/>
        <w:ind w:left="118" w:right="0" w:firstLine="0"/>
        <w:jc w:val="left"/>
        <w:rPr>
          <w:sz w:val="18"/>
        </w:rPr>
      </w:pPr>
      <w:r>
        <w:rPr>
          <w:rFonts w:ascii="Times New Roman" w:eastAsia="Times New Roman"/>
          <w:position w:val="8"/>
          <w:sz w:val="12"/>
        </w:rPr>
        <w:t>13   </w:t>
      </w:r>
      <w:r>
        <w:rPr>
          <w:b/>
          <w:sz w:val="18"/>
        </w:rPr>
        <w:t>现金价值净额</w:t>
      </w:r>
      <w:r>
        <w:rPr>
          <w:sz w:val="18"/>
        </w:rPr>
        <w:t>：指本合同的现金价值在扣除自动垫交的保险费及利息、保单借款及利息后的净额。</w:t>
      </w:r>
    </w:p>
    <w:p>
      <w:pPr>
        <w:spacing w:line="234" w:lineRule="exact" w:before="0"/>
        <w:ind w:left="118" w:right="0" w:firstLine="0"/>
        <w:jc w:val="left"/>
        <w:rPr>
          <w:sz w:val="18"/>
        </w:rPr>
      </w:pPr>
      <w:r>
        <w:rPr>
          <w:rFonts w:ascii="Times New Roman" w:eastAsia="Times New Roman"/>
          <w:position w:val="8"/>
          <w:sz w:val="12"/>
        </w:rPr>
        <w:t>14   </w:t>
      </w:r>
      <w:r>
        <w:rPr>
          <w:b/>
          <w:sz w:val="18"/>
        </w:rPr>
        <w:t>利息</w:t>
      </w:r>
      <w:r>
        <w:rPr>
          <w:sz w:val="18"/>
        </w:rPr>
        <w:t>：按借款利率计算，其中借款利率参照一年期流动资金贷款法定利率确定，并且不低于年利率 4%。</w:t>
      </w:r>
    </w:p>
    <w:p>
      <w:pPr>
        <w:spacing w:after="0" w:line="234" w:lineRule="exact"/>
        <w:jc w:val="left"/>
        <w:rPr>
          <w:sz w:val="18"/>
        </w:rPr>
        <w:sectPr>
          <w:pgSz w:w="11910" w:h="16840"/>
          <w:pgMar w:header="0" w:footer="1137" w:top="1400" w:bottom="1320" w:left="1680" w:right="1600"/>
        </w:sectPr>
      </w:pPr>
    </w:p>
    <w:p>
      <w:pPr>
        <w:pStyle w:val="BodyText"/>
        <w:spacing w:line="273" w:lineRule="auto" w:before="9"/>
        <w:ind w:right="102"/>
      </w:pPr>
      <w:r>
        <w:rPr/>
        <w:t>除本合同另有约定外，本合同自我们收到首期保险费并签发保险单的次日零时起开始生效。本合同的成立日、生效日均载明于保险单上。</w:t>
      </w:r>
    </w:p>
    <w:p>
      <w:pPr>
        <w:pStyle w:val="BodyText"/>
        <w:spacing w:line="273" w:lineRule="auto" w:before="7"/>
        <w:ind w:right="189"/>
      </w:pPr>
      <w:r>
        <w:rPr>
          <w:spacing w:val="-11"/>
        </w:rPr>
        <w:t>保险单周年日、保险单年度、保险单月份、保险费应付日和保险合同满期日均以生效日为基</w:t>
      </w:r>
      <w:r>
        <w:rPr>
          <w:spacing w:val="-7"/>
        </w:rPr>
        <w:t>准计算。</w:t>
      </w:r>
    </w:p>
    <w:p>
      <w:pPr>
        <w:pStyle w:val="BodyText"/>
        <w:spacing w:before="7"/>
      </w:pPr>
      <w:r>
        <w:rPr/>
        <w:t>除本合同另有约定外，我们自生效日零时起开始承担保险责任。</w:t>
      </w:r>
    </w:p>
    <w:p>
      <w:pPr>
        <w:pStyle w:val="BodyText"/>
        <w:spacing w:before="8"/>
        <w:ind w:left="0"/>
        <w:rPr>
          <w:sz w:val="26"/>
        </w:rPr>
      </w:pPr>
    </w:p>
    <w:p>
      <w:pPr>
        <w:pStyle w:val="BodyText"/>
        <w:tabs>
          <w:tab w:pos="1377" w:val="left" w:leader="none"/>
        </w:tabs>
        <w:spacing w:before="1"/>
      </w:pPr>
      <w:bookmarkStart w:name="_bookmark15" w:id="16"/>
      <w:bookmarkEnd w:id="16"/>
      <w:r>
        <w:rPr/>
      </w:r>
      <w:r>
        <w:rPr/>
        <w:t>第十</w:t>
      </w:r>
      <w:r>
        <w:rPr>
          <w:spacing w:val="-3"/>
        </w:rPr>
        <w:t>二</w:t>
      </w:r>
      <w:r>
        <w:rPr/>
        <w:t>条</w:t>
        <w:tab/>
        <w:t>合同</w:t>
      </w:r>
      <w:r>
        <w:rPr>
          <w:spacing w:val="-3"/>
        </w:rPr>
        <w:t>效</w:t>
      </w:r>
      <w:r>
        <w:rPr/>
        <w:t>力</w:t>
      </w:r>
      <w:r>
        <w:rPr>
          <w:spacing w:val="-3"/>
        </w:rPr>
        <w:t>恢</w:t>
      </w:r>
      <w:r>
        <w:rPr/>
        <w:t>复</w:t>
      </w:r>
    </w:p>
    <w:p>
      <w:pPr>
        <w:pStyle w:val="BodyText"/>
        <w:spacing w:line="273" w:lineRule="auto" w:before="37"/>
        <w:ind w:right="189"/>
        <w:jc w:val="both"/>
      </w:pPr>
      <w:r>
        <w:rPr>
          <w:spacing w:val="-8"/>
        </w:rPr>
        <w:t>自本合同效力中止之日起二年内，您可书面申请恢复本合同效力。您交清所欠交的保险费及</w:t>
      </w:r>
      <w:r>
        <w:rPr>
          <w:spacing w:val="-11"/>
        </w:rPr>
        <w:t>利息、自动垫交的保险费及利息、保单借款及利息，经我们审核同意并于保险单上批注后的</w:t>
      </w:r>
      <w:r>
        <w:rPr>
          <w:spacing w:val="-6"/>
        </w:rPr>
        <w:t>次日零时起，本合同效力恢复。</w:t>
      </w:r>
    </w:p>
    <w:p>
      <w:pPr>
        <w:pStyle w:val="BodyText"/>
        <w:spacing w:before="7"/>
        <w:rPr>
          <w:rFonts w:ascii="黑体" w:eastAsia="黑体" w:hint="eastAsia"/>
        </w:rPr>
      </w:pPr>
      <w:r>
        <w:rPr>
          <w:rFonts w:ascii="黑体" w:eastAsia="黑体" w:hint="eastAsia"/>
        </w:rPr>
        <w:t>本合同效力中止期间，我们对所发Th的保险事故不承担给付保险金的责任。</w:t>
      </w:r>
    </w:p>
    <w:p>
      <w:pPr>
        <w:pStyle w:val="BodyText"/>
        <w:spacing w:line="273" w:lineRule="auto" w:before="36"/>
        <w:ind w:right="189"/>
      </w:pPr>
      <w:r>
        <w:rPr>
          <w:spacing w:val="-7"/>
        </w:rPr>
        <w:t>若自本合同效力中止之日起二年内双方未达成合同效力恢复协议的，我们有权解除合同，并</w:t>
      </w:r>
      <w:r>
        <w:rPr>
          <w:spacing w:val="-5"/>
        </w:rPr>
        <w:t>向您退还本合同的现金价值。</w:t>
      </w:r>
    </w:p>
    <w:p>
      <w:pPr>
        <w:pStyle w:val="BodyText"/>
        <w:spacing w:before="5"/>
        <w:ind w:left="0"/>
        <w:rPr>
          <w:sz w:val="24"/>
        </w:rPr>
      </w:pPr>
    </w:p>
    <w:p>
      <w:pPr>
        <w:pStyle w:val="BodyText"/>
        <w:tabs>
          <w:tab w:pos="1377" w:val="left" w:leader="none"/>
        </w:tabs>
      </w:pPr>
      <w:bookmarkStart w:name="_bookmark16" w:id="17"/>
      <w:bookmarkEnd w:id="17"/>
      <w:r>
        <w:rPr/>
      </w:r>
      <w:r>
        <w:rPr/>
        <w:t>第十</w:t>
      </w:r>
      <w:r>
        <w:rPr>
          <w:spacing w:val="-3"/>
        </w:rPr>
        <w:t>三</w:t>
      </w:r>
      <w:r>
        <w:rPr/>
        <w:t>条</w:t>
        <w:tab/>
        <w:t>投保</w:t>
      </w:r>
      <w:r>
        <w:rPr>
          <w:spacing w:val="-3"/>
        </w:rPr>
        <w:t>人</w:t>
      </w:r>
      <w:r>
        <w:rPr/>
        <w:t>解</w:t>
      </w:r>
      <w:r>
        <w:rPr>
          <w:spacing w:val="-3"/>
        </w:rPr>
        <w:t>除</w:t>
      </w:r>
      <w:r>
        <w:rPr/>
        <w:t>合同</w:t>
      </w:r>
    </w:p>
    <w:p>
      <w:pPr>
        <w:pStyle w:val="BodyText"/>
        <w:spacing w:line="273" w:lineRule="auto" w:before="36"/>
        <w:ind w:right="2200"/>
      </w:pPr>
      <w:r>
        <w:rPr/>
        <w:t>在本合同有效期内，您在犹豫期后请出具下列文件申请解除本合同： 一、保险合同；</w:t>
      </w:r>
    </w:p>
    <w:p>
      <w:pPr>
        <w:pStyle w:val="BodyText"/>
        <w:spacing w:line="273" w:lineRule="auto" w:before="7"/>
        <w:ind w:right="6403"/>
      </w:pPr>
      <w:r>
        <w:rPr/>
        <w:t>二、解除合同申请书； 三、您的身份证明。</w:t>
      </w:r>
    </w:p>
    <w:p>
      <w:pPr>
        <w:pStyle w:val="BodyText"/>
        <w:spacing w:line="273" w:lineRule="auto" w:before="7"/>
        <w:ind w:right="100"/>
      </w:pPr>
      <w:r>
        <w:rPr/>
        <w:t>自我们收到解除合同申请书时，本合同终止。我们自收到解除合同通知书之日起三十日内， 向您退还本合同的现金价值。</w:t>
      </w:r>
    </w:p>
    <w:p>
      <w:pPr>
        <w:pStyle w:val="BodyText"/>
        <w:spacing w:before="5"/>
        <w:ind w:left="0"/>
        <w:rPr>
          <w:sz w:val="24"/>
        </w:rPr>
      </w:pPr>
    </w:p>
    <w:p>
      <w:pPr>
        <w:pStyle w:val="Heading1"/>
      </w:pPr>
      <w:bookmarkStart w:name="_bookmark17" w:id="18"/>
      <w:bookmarkEnd w:id="18"/>
      <w:r>
        <w:rPr>
          <w:b w:val="0"/>
        </w:rPr>
      </w:r>
      <w:r>
        <w:rPr/>
        <w:t>第五章 保险金申请</w:t>
      </w:r>
    </w:p>
    <w:p>
      <w:pPr>
        <w:pStyle w:val="BodyText"/>
        <w:spacing w:before="8"/>
        <w:ind w:left="0"/>
        <w:rPr>
          <w:b/>
          <w:sz w:val="26"/>
        </w:rPr>
      </w:pPr>
    </w:p>
    <w:p>
      <w:pPr>
        <w:pStyle w:val="BodyText"/>
        <w:tabs>
          <w:tab w:pos="1377" w:val="left" w:leader="none"/>
        </w:tabs>
        <w:spacing w:before="1"/>
      </w:pPr>
      <w:bookmarkStart w:name="_bookmark18" w:id="19"/>
      <w:bookmarkEnd w:id="19"/>
      <w:r>
        <w:rPr/>
      </w:r>
      <w:r>
        <w:rPr/>
        <w:t>第十</w:t>
      </w:r>
      <w:r>
        <w:rPr>
          <w:spacing w:val="-3"/>
        </w:rPr>
        <w:t>四</w:t>
      </w:r>
      <w:r>
        <w:rPr/>
        <w:t>条</w:t>
        <w:tab/>
        <w:t>保险</w:t>
      </w:r>
      <w:r>
        <w:rPr>
          <w:spacing w:val="-3"/>
        </w:rPr>
        <w:t>事</w:t>
      </w:r>
      <w:r>
        <w:rPr/>
        <w:t>故</w:t>
      </w:r>
      <w:r>
        <w:rPr>
          <w:spacing w:val="-3"/>
        </w:rPr>
        <w:t>通</w:t>
      </w:r>
      <w:r>
        <w:rPr/>
        <w:t>知</w:t>
      </w:r>
    </w:p>
    <w:p>
      <w:pPr>
        <w:pStyle w:val="BodyText"/>
        <w:spacing w:line="273" w:lineRule="auto" w:before="37"/>
        <w:ind w:right="189"/>
      </w:pPr>
      <w:r>
        <w:rPr>
          <w:spacing w:val="-7"/>
        </w:rPr>
        <w:t>您或受益人应于知道保险事故发生之日起十日内通知我们。否则，您或受益人应承担由于通</w:t>
      </w:r>
      <w:r>
        <w:rPr>
          <w:spacing w:val="-5"/>
        </w:rPr>
        <w:t>知迟延致使我们增加的勘查、检验等项费用，但因</w:t>
      </w:r>
      <w:r>
        <w:rPr>
          <w:b/>
        </w:rPr>
        <w:t>不可抗力</w:t>
      </w:r>
      <w:r>
        <w:rPr>
          <w:b/>
          <w:position w:val="11"/>
          <w:sz w:val="11"/>
        </w:rPr>
        <w:t>15</w:t>
      </w:r>
      <w:r>
        <w:rPr>
          <w:spacing w:val="-3"/>
        </w:rPr>
        <w:t>导致的迟延除外。</w:t>
      </w:r>
    </w:p>
    <w:p>
      <w:pPr>
        <w:pStyle w:val="BodyText"/>
        <w:spacing w:line="273" w:lineRule="auto" w:before="3"/>
        <w:ind w:right="189"/>
        <w:jc w:val="both"/>
      </w:pPr>
      <w:r>
        <w:rPr>
          <w:rFonts w:ascii="黑体" w:eastAsia="黑体" w:hint="eastAsia"/>
          <w:spacing w:val="-7"/>
        </w:rPr>
        <w:t>如果您或受益人故意或者因重大过失未及时通知，致使保险事故的性质、原因、损失程度等</w:t>
      </w:r>
      <w:r>
        <w:rPr>
          <w:rFonts w:ascii="黑体" w:eastAsia="黑体" w:hint="eastAsia"/>
          <w:spacing w:val="-10"/>
        </w:rPr>
        <w:t>难以确定的，我们对无法确定的部分，不承担给付保险金的责任</w:t>
      </w:r>
      <w:r>
        <w:rPr>
          <w:spacing w:val="-6"/>
        </w:rPr>
        <w:t>，但我们通过其他途径已经及时知道或者应当及时知道保险事故发生或者虽未及时通知但不影响我们确定保险事故的</w:t>
      </w:r>
      <w:r>
        <w:rPr>
          <w:spacing w:val="-4"/>
        </w:rPr>
        <w:t>性质、原因、损失程度的除外。</w:t>
      </w:r>
    </w:p>
    <w:p>
      <w:pPr>
        <w:pStyle w:val="BodyText"/>
        <w:spacing w:before="5"/>
        <w:ind w:left="0"/>
        <w:rPr>
          <w:sz w:val="24"/>
        </w:rPr>
      </w:pPr>
    </w:p>
    <w:p>
      <w:pPr>
        <w:pStyle w:val="BodyText"/>
        <w:tabs>
          <w:tab w:pos="1377" w:val="left" w:leader="none"/>
        </w:tabs>
      </w:pPr>
      <w:bookmarkStart w:name="_bookmark19" w:id="20"/>
      <w:bookmarkEnd w:id="20"/>
      <w:r>
        <w:rPr/>
      </w:r>
      <w:r>
        <w:rPr/>
        <w:t>第十</w:t>
      </w:r>
      <w:r>
        <w:rPr>
          <w:spacing w:val="-3"/>
        </w:rPr>
        <w:t>五</w:t>
      </w:r>
      <w:r>
        <w:rPr/>
        <w:t>条</w:t>
        <w:tab/>
        <w:t>诉讼</w:t>
      </w:r>
      <w:r>
        <w:rPr>
          <w:spacing w:val="-3"/>
        </w:rPr>
        <w:t>时</w:t>
      </w:r>
      <w:r>
        <w:rPr/>
        <w:t>效</w:t>
      </w:r>
    </w:p>
    <w:p>
      <w:pPr>
        <w:pStyle w:val="BodyText"/>
        <w:spacing w:line="273" w:lineRule="auto" w:before="37"/>
        <w:ind w:right="188"/>
        <w:jc w:val="both"/>
      </w:pPr>
      <w:r>
        <w:rPr>
          <w:spacing w:val="-7"/>
        </w:rPr>
        <w:t>受益人向我们请求给付身故保险金的诉讼时效期间为五年，自其知道或者应当知道保险事故</w:t>
      </w:r>
      <w:r>
        <w:rPr>
          <w:spacing w:val="-12"/>
        </w:rPr>
        <w:t>发生之日起计算；受益人向我们请求给付重大疾病保险金、生命关爱保险金的诉讼时效期间</w:t>
      </w:r>
      <w:r>
        <w:rPr>
          <w:spacing w:val="-3"/>
        </w:rPr>
        <w:t>为二年，自其知道或者应当知道保险事故发生之日起计算。</w:t>
      </w:r>
    </w:p>
    <w:p>
      <w:pPr>
        <w:pStyle w:val="BodyText"/>
        <w:spacing w:before="6"/>
        <w:ind w:left="0"/>
        <w:rPr>
          <w:sz w:val="24"/>
        </w:rPr>
      </w:pPr>
    </w:p>
    <w:p>
      <w:pPr>
        <w:pStyle w:val="BodyText"/>
        <w:tabs>
          <w:tab w:pos="1377" w:val="left" w:leader="none"/>
        </w:tabs>
        <w:spacing w:line="273" w:lineRule="auto"/>
        <w:ind w:right="6192"/>
      </w:pPr>
      <w:bookmarkStart w:name="_bookmark20" w:id="21"/>
      <w:bookmarkEnd w:id="21"/>
      <w:r>
        <w:rPr/>
      </w:r>
      <w:r>
        <w:rPr/>
        <w:t>第十</w:t>
      </w:r>
      <w:r>
        <w:rPr>
          <w:spacing w:val="-3"/>
        </w:rPr>
        <w:t>六</w:t>
      </w:r>
      <w:r>
        <w:rPr/>
        <w:t>条</w:t>
        <w:tab/>
        <w:t>保险</w:t>
      </w:r>
      <w:r>
        <w:rPr>
          <w:spacing w:val="-3"/>
        </w:rPr>
        <w:t>金</w:t>
      </w:r>
      <w:r>
        <w:rPr/>
        <w:t>申请 一、</w:t>
      </w:r>
      <w:r>
        <w:rPr>
          <w:spacing w:val="20"/>
        </w:rPr>
        <w:t> </w:t>
      </w:r>
      <w:r>
        <w:rPr/>
        <w:t>身故</w:t>
      </w:r>
      <w:r>
        <w:rPr>
          <w:spacing w:val="-3"/>
        </w:rPr>
        <w:t>保</w:t>
      </w:r>
      <w:r>
        <w:rPr/>
        <w:t>险金</w:t>
      </w:r>
    </w:p>
    <w:p>
      <w:pPr>
        <w:pStyle w:val="BodyText"/>
        <w:spacing w:before="7"/>
        <w:jc w:val="both"/>
      </w:pPr>
      <w:r>
        <w:rPr/>
        <w:t>在申请身故保险金时，申请人须填写保险金给付申请书，并提供下列证明和资料：</w:t>
      </w:r>
    </w:p>
    <w:p>
      <w:pPr>
        <w:pStyle w:val="ListParagraph"/>
        <w:numPr>
          <w:ilvl w:val="0"/>
          <w:numId w:val="5"/>
        </w:numPr>
        <w:tabs>
          <w:tab w:pos="478" w:val="left" w:leader="none"/>
        </w:tabs>
        <w:spacing w:line="240" w:lineRule="auto" w:before="36" w:after="0"/>
        <w:ind w:left="478" w:right="0" w:hanging="360"/>
        <w:jc w:val="both"/>
        <w:rPr>
          <w:sz w:val="21"/>
        </w:rPr>
      </w:pPr>
      <w:r>
        <w:rPr>
          <w:spacing w:val="-2"/>
          <w:sz w:val="21"/>
        </w:rPr>
        <w:t>保险合同；</w:t>
      </w:r>
    </w:p>
    <w:p>
      <w:pPr>
        <w:pStyle w:val="ListParagraph"/>
        <w:numPr>
          <w:ilvl w:val="0"/>
          <w:numId w:val="5"/>
        </w:numPr>
        <w:tabs>
          <w:tab w:pos="478" w:val="left" w:leader="none"/>
        </w:tabs>
        <w:spacing w:line="240" w:lineRule="auto" w:before="36" w:after="0"/>
        <w:ind w:left="478" w:right="0" w:hanging="360"/>
        <w:jc w:val="both"/>
        <w:rPr>
          <w:sz w:val="21"/>
        </w:rPr>
      </w:pPr>
      <w:r>
        <w:rPr>
          <w:spacing w:val="-3"/>
          <w:sz w:val="21"/>
        </w:rPr>
        <w:t>申请人的有效身份证件；</w:t>
      </w:r>
    </w:p>
    <w:p>
      <w:pPr>
        <w:pStyle w:val="BodyText"/>
        <w:ind w:left="0"/>
        <w:rPr>
          <w:sz w:val="20"/>
        </w:rPr>
      </w:pPr>
    </w:p>
    <w:p>
      <w:pPr>
        <w:pStyle w:val="BodyText"/>
        <w:spacing w:before="10"/>
        <w:ind w:left="0"/>
        <w:rPr>
          <w:sz w:val="10"/>
        </w:rPr>
      </w:pPr>
      <w:r>
        <w:rPr/>
        <w:pict>
          <v:line style="position:absolute;mso-position-horizontal-relative:page;mso-position-vertical-relative:paragraph;z-index:1120;mso-wrap-distance-left:0;mso-wrap-distance-right:0" from="89.903999pt,9.283024pt" to="233.923999pt,9.283024pt" stroked="true" strokeweight=".47998pt" strokecolor="#000000">
            <v:stroke dashstyle="solid"/>
            <w10:wrap type="topAndBottom"/>
          </v:line>
        </w:pict>
      </w:r>
    </w:p>
    <w:p>
      <w:pPr>
        <w:spacing w:before="39"/>
        <w:ind w:left="118" w:right="0" w:firstLine="0"/>
        <w:jc w:val="left"/>
        <w:rPr>
          <w:sz w:val="18"/>
        </w:rPr>
      </w:pPr>
      <w:r>
        <w:rPr>
          <w:rFonts w:ascii="Times New Roman" w:eastAsia="Times New Roman"/>
          <w:position w:val="8"/>
          <w:sz w:val="12"/>
        </w:rPr>
        <w:t>15   </w:t>
      </w:r>
      <w:r>
        <w:rPr>
          <w:b/>
          <w:sz w:val="18"/>
        </w:rPr>
        <w:t>不可抗力</w:t>
      </w:r>
      <w:r>
        <w:rPr>
          <w:sz w:val="18"/>
        </w:rPr>
        <w:t>：指无法预见、不可避免并不能克服的客观情况。</w:t>
      </w:r>
    </w:p>
    <w:p>
      <w:pPr>
        <w:spacing w:after="0"/>
        <w:jc w:val="left"/>
        <w:rPr>
          <w:sz w:val="18"/>
        </w:rPr>
        <w:sectPr>
          <w:footerReference w:type="default" r:id="rId7"/>
          <w:pgSz w:w="11910" w:h="16840"/>
          <w:pgMar w:footer="1137" w:header="0" w:top="1400" w:bottom="1320" w:left="1680" w:right="1600"/>
          <w:pgNumType w:start="6"/>
        </w:sectPr>
      </w:pPr>
    </w:p>
    <w:p>
      <w:pPr>
        <w:pStyle w:val="ListParagraph"/>
        <w:numPr>
          <w:ilvl w:val="0"/>
          <w:numId w:val="5"/>
        </w:numPr>
        <w:tabs>
          <w:tab w:pos="478" w:val="left" w:leader="none"/>
        </w:tabs>
        <w:spacing w:line="273" w:lineRule="auto" w:before="9" w:after="0"/>
        <w:ind w:left="478" w:right="211" w:hanging="360"/>
        <w:jc w:val="left"/>
        <w:rPr>
          <w:sz w:val="21"/>
        </w:rPr>
      </w:pPr>
      <w:r>
        <w:rPr>
          <w:spacing w:val="-5"/>
          <w:sz w:val="21"/>
        </w:rPr>
        <w:t>国家卫生行政部门认定的医疗机构、公安部门或其他相关机构出具的被保险人的死亡证</w:t>
      </w:r>
      <w:r>
        <w:rPr>
          <w:sz w:val="21"/>
        </w:rPr>
        <w:t>明；</w:t>
      </w:r>
    </w:p>
    <w:p>
      <w:pPr>
        <w:pStyle w:val="ListParagraph"/>
        <w:numPr>
          <w:ilvl w:val="0"/>
          <w:numId w:val="5"/>
        </w:numPr>
        <w:tabs>
          <w:tab w:pos="478" w:val="left" w:leader="none"/>
        </w:tabs>
        <w:spacing w:line="273" w:lineRule="auto" w:before="7" w:after="0"/>
        <w:ind w:left="118" w:right="1860" w:firstLine="0"/>
        <w:jc w:val="left"/>
        <w:rPr>
          <w:sz w:val="21"/>
        </w:rPr>
      </w:pPr>
      <w:r>
        <w:rPr>
          <w:spacing w:val="-3"/>
          <w:sz w:val="21"/>
        </w:rPr>
        <w:t>所能提供的与确认保险事故的性质、原因等有关的其他证明和资料。二、 重大疾病保险金、生命关爱保险金</w:t>
      </w:r>
    </w:p>
    <w:p>
      <w:pPr>
        <w:pStyle w:val="BodyText"/>
        <w:spacing w:line="273" w:lineRule="auto" w:before="7"/>
        <w:ind w:right="211"/>
      </w:pPr>
      <w:r>
        <w:rPr>
          <w:spacing w:val="-9"/>
        </w:rPr>
        <w:t>在申请重大疾病保险金、生命关爱保险金时，申请人须填写保险金给付申请书，并提供下列</w:t>
      </w:r>
      <w:r>
        <w:rPr>
          <w:spacing w:val="-5"/>
        </w:rPr>
        <w:t>证明和资料：</w:t>
      </w:r>
    </w:p>
    <w:p>
      <w:pPr>
        <w:pStyle w:val="ListParagraph"/>
        <w:numPr>
          <w:ilvl w:val="0"/>
          <w:numId w:val="6"/>
        </w:numPr>
        <w:tabs>
          <w:tab w:pos="478" w:val="left" w:leader="none"/>
        </w:tabs>
        <w:spacing w:line="240" w:lineRule="auto" w:before="7" w:after="0"/>
        <w:ind w:left="478" w:right="0" w:hanging="360"/>
        <w:jc w:val="left"/>
        <w:rPr>
          <w:sz w:val="21"/>
        </w:rPr>
      </w:pPr>
      <w:r>
        <w:rPr>
          <w:spacing w:val="-2"/>
          <w:sz w:val="21"/>
        </w:rPr>
        <w:t>保险合同；</w:t>
      </w:r>
    </w:p>
    <w:p>
      <w:pPr>
        <w:pStyle w:val="ListParagraph"/>
        <w:numPr>
          <w:ilvl w:val="0"/>
          <w:numId w:val="6"/>
        </w:numPr>
        <w:tabs>
          <w:tab w:pos="478" w:val="left" w:leader="none"/>
        </w:tabs>
        <w:spacing w:line="240" w:lineRule="auto" w:before="36" w:after="0"/>
        <w:ind w:left="478" w:right="0" w:hanging="360"/>
        <w:jc w:val="left"/>
        <w:rPr>
          <w:sz w:val="21"/>
        </w:rPr>
      </w:pPr>
      <w:r>
        <w:rPr>
          <w:spacing w:val="-3"/>
          <w:sz w:val="21"/>
        </w:rPr>
        <w:t>申请人的有效身份证件；</w:t>
      </w:r>
    </w:p>
    <w:p>
      <w:pPr>
        <w:pStyle w:val="ListParagraph"/>
        <w:numPr>
          <w:ilvl w:val="0"/>
          <w:numId w:val="6"/>
        </w:numPr>
        <w:tabs>
          <w:tab w:pos="478" w:val="left" w:leader="none"/>
        </w:tabs>
        <w:spacing w:line="273" w:lineRule="auto" w:before="36" w:after="0"/>
        <w:ind w:left="478" w:right="209" w:hanging="360"/>
        <w:jc w:val="left"/>
        <w:rPr>
          <w:sz w:val="21"/>
        </w:rPr>
      </w:pPr>
      <w:r>
        <w:rPr>
          <w:spacing w:val="-5"/>
          <w:sz w:val="21"/>
        </w:rPr>
        <w:t>我们指定或认可的医院出具的被保险人病历、病理、血液及其他科学方法检验报告的诊</w:t>
      </w:r>
      <w:r>
        <w:rPr>
          <w:spacing w:val="-4"/>
          <w:sz w:val="21"/>
        </w:rPr>
        <w:t>断证明文件；</w:t>
      </w:r>
    </w:p>
    <w:p>
      <w:pPr>
        <w:pStyle w:val="ListParagraph"/>
        <w:numPr>
          <w:ilvl w:val="0"/>
          <w:numId w:val="6"/>
        </w:numPr>
        <w:tabs>
          <w:tab w:pos="478" w:val="left" w:leader="none"/>
        </w:tabs>
        <w:spacing w:line="240" w:lineRule="auto" w:before="7" w:after="0"/>
        <w:ind w:left="478" w:right="0" w:hanging="360"/>
        <w:jc w:val="left"/>
        <w:rPr>
          <w:sz w:val="21"/>
        </w:rPr>
      </w:pPr>
      <w:r>
        <w:rPr>
          <w:spacing w:val="-3"/>
          <w:sz w:val="21"/>
        </w:rPr>
        <w:t>所能提供的与确认保险事故的性质、原因等有关的其他证明和资料。</w:t>
      </w:r>
    </w:p>
    <w:p>
      <w:pPr>
        <w:pStyle w:val="BodyText"/>
        <w:spacing w:before="8"/>
        <w:ind w:left="0"/>
        <w:rPr>
          <w:sz w:val="26"/>
        </w:rPr>
      </w:pPr>
    </w:p>
    <w:p>
      <w:pPr>
        <w:pStyle w:val="BodyText"/>
        <w:spacing w:before="1"/>
      </w:pPr>
      <w:r>
        <w:rPr/>
        <w:t>保险金作为被保险人遗产时，必须提供可证明合法继承权的相关权利文件。</w:t>
      </w:r>
    </w:p>
    <w:p>
      <w:pPr>
        <w:pStyle w:val="BodyText"/>
        <w:spacing w:before="38"/>
      </w:pPr>
      <w:r>
        <w:rPr/>
        <w:t>以上证明和资料不完整的，我们将及时一次性通知申请人补充提供有关证明或资料。</w:t>
      </w:r>
    </w:p>
    <w:p>
      <w:pPr>
        <w:pStyle w:val="BodyText"/>
        <w:spacing w:before="9"/>
        <w:ind w:left="0"/>
        <w:rPr>
          <w:sz w:val="26"/>
        </w:rPr>
      </w:pPr>
    </w:p>
    <w:p>
      <w:pPr>
        <w:pStyle w:val="BodyText"/>
        <w:tabs>
          <w:tab w:pos="1377" w:val="left" w:leader="none"/>
        </w:tabs>
      </w:pPr>
      <w:bookmarkStart w:name="_bookmark21" w:id="22"/>
      <w:bookmarkEnd w:id="22"/>
      <w:r>
        <w:rPr/>
      </w:r>
      <w:r>
        <w:rPr/>
        <w:t>第十</w:t>
      </w:r>
      <w:r>
        <w:rPr>
          <w:spacing w:val="-3"/>
        </w:rPr>
        <w:t>七</w:t>
      </w:r>
      <w:r>
        <w:rPr/>
        <w:t>条</w:t>
        <w:tab/>
        <w:t>保险</w:t>
      </w:r>
      <w:r>
        <w:rPr>
          <w:spacing w:val="-3"/>
        </w:rPr>
        <w:t>金</w:t>
      </w:r>
      <w:r>
        <w:rPr/>
        <w:t>给付</w:t>
      </w:r>
    </w:p>
    <w:p>
      <w:pPr>
        <w:pStyle w:val="BodyText"/>
        <w:spacing w:line="273" w:lineRule="auto" w:before="37"/>
        <w:ind w:right="209"/>
        <w:jc w:val="both"/>
      </w:pPr>
      <w:r>
        <w:rPr>
          <w:spacing w:val="-7"/>
        </w:rPr>
        <w:t>我们在收到保险金给付申请书及合同约定的证明和资料后，将在五个工作日内作出核定；情</w:t>
      </w:r>
      <w:r>
        <w:rPr>
          <w:spacing w:val="-11"/>
        </w:rPr>
        <w:t>形复杂的，在三十日内作出核定。对属于保险责任的，我们在与受益人达成给付保险金的协</w:t>
      </w:r>
      <w:r>
        <w:rPr>
          <w:spacing w:val="-6"/>
        </w:rPr>
        <w:t>议后十日内，履行给付保险金义务。</w:t>
      </w:r>
    </w:p>
    <w:p>
      <w:pPr>
        <w:pStyle w:val="BodyText"/>
        <w:spacing w:before="7"/>
      </w:pPr>
      <w:r>
        <w:rPr/>
        <w:t>我们未及时履行前款规定义务的，除支付保险金外，应当赔偿受益人因此受到的损失。</w:t>
      </w:r>
    </w:p>
    <w:p>
      <w:pPr>
        <w:pStyle w:val="BodyText"/>
        <w:spacing w:line="273" w:lineRule="auto" w:before="36"/>
        <w:ind w:right="208"/>
      </w:pPr>
      <w:r>
        <w:rPr>
          <w:spacing w:val="-12"/>
        </w:rPr>
        <w:t>对不属于保险责任的，我们自作出核定之日起三日内向受益人发出拒绝给付保险金通知书并</w:t>
      </w:r>
      <w:r>
        <w:rPr>
          <w:spacing w:val="-6"/>
        </w:rPr>
        <w:t>说明理由。</w:t>
      </w:r>
    </w:p>
    <w:p>
      <w:pPr>
        <w:pStyle w:val="BodyText"/>
        <w:spacing w:line="273" w:lineRule="auto" w:before="7"/>
        <w:ind w:right="103"/>
      </w:pPr>
      <w:r>
        <w:rPr>
          <w:spacing w:val="-7"/>
        </w:rPr>
        <w:t>我们在收到保险金给付申请书及有关证明和资料之日起六十日内，对给付保险金的数额不能</w:t>
      </w:r>
      <w:r>
        <w:rPr>
          <w:spacing w:val="-17"/>
        </w:rPr>
        <w:t>确定的，根据已有证明和资料可以确定的数额先予支付；我们最终确定给付保险金的数额后， </w:t>
      </w:r>
      <w:r>
        <w:rPr>
          <w:spacing w:val="-7"/>
        </w:rPr>
        <w:t>将支付相应的差额。</w:t>
      </w:r>
    </w:p>
    <w:p>
      <w:pPr>
        <w:pStyle w:val="BodyText"/>
        <w:spacing w:before="5"/>
        <w:ind w:left="0"/>
        <w:rPr>
          <w:sz w:val="24"/>
        </w:rPr>
      </w:pPr>
    </w:p>
    <w:p>
      <w:pPr>
        <w:pStyle w:val="BodyText"/>
        <w:tabs>
          <w:tab w:pos="1377" w:val="left" w:leader="none"/>
        </w:tabs>
        <w:spacing w:before="1"/>
      </w:pPr>
      <w:bookmarkStart w:name="_bookmark22" w:id="23"/>
      <w:bookmarkEnd w:id="23"/>
      <w:r>
        <w:rPr/>
      </w:r>
      <w:r>
        <w:rPr/>
        <w:t>第十</w:t>
      </w:r>
      <w:r>
        <w:rPr>
          <w:spacing w:val="-3"/>
        </w:rPr>
        <w:t>八</w:t>
      </w:r>
      <w:r>
        <w:rPr/>
        <w:t>条</w:t>
        <w:tab/>
        <w:t>失踪</w:t>
      </w:r>
      <w:r>
        <w:rPr>
          <w:spacing w:val="-3"/>
        </w:rPr>
        <w:t>处</w:t>
      </w:r>
      <w:r>
        <w:rPr/>
        <w:t>理</w:t>
      </w:r>
    </w:p>
    <w:p>
      <w:pPr>
        <w:pStyle w:val="BodyText"/>
        <w:spacing w:line="273" w:lineRule="auto" w:before="37"/>
        <w:ind w:right="208"/>
      </w:pPr>
      <w:r>
        <w:rPr>
          <w:spacing w:val="-8"/>
        </w:rPr>
        <w:t>被保险人在本合同有效期内失踪，若经法院宣告死亡，我们按照法院判决宣告日期确定被保</w:t>
      </w:r>
      <w:r>
        <w:rPr>
          <w:spacing w:val="-5"/>
        </w:rPr>
        <w:t>险人身故时间。</w:t>
      </w:r>
    </w:p>
    <w:p>
      <w:pPr>
        <w:pStyle w:val="BodyText"/>
        <w:spacing w:line="273" w:lineRule="auto" w:before="7"/>
        <w:ind w:right="209"/>
      </w:pPr>
      <w:r>
        <w:rPr>
          <w:spacing w:val="-10"/>
        </w:rPr>
        <w:t>若被保险人在宣告死亡后生还，身故保险金受益人应于知道被保险人生还之日起三十日内退</w:t>
      </w:r>
      <w:r>
        <w:rPr>
          <w:spacing w:val="-3"/>
        </w:rPr>
        <w:t>还我们已给付的身故保险金。</w:t>
      </w:r>
    </w:p>
    <w:p>
      <w:pPr>
        <w:pStyle w:val="BodyText"/>
        <w:spacing w:before="5"/>
        <w:ind w:left="0"/>
        <w:rPr>
          <w:sz w:val="24"/>
        </w:rPr>
      </w:pPr>
    </w:p>
    <w:p>
      <w:pPr>
        <w:pStyle w:val="Heading1"/>
        <w:ind w:left="3467" w:right="3560"/>
      </w:pPr>
      <w:bookmarkStart w:name="_bookmark23" w:id="24"/>
      <w:bookmarkEnd w:id="24"/>
      <w:r>
        <w:rPr>
          <w:b w:val="0"/>
        </w:rPr>
      </w:r>
      <w:r>
        <w:rPr/>
        <w:t>第六章 一般条款</w:t>
      </w:r>
    </w:p>
    <w:p>
      <w:pPr>
        <w:pStyle w:val="BodyText"/>
        <w:spacing w:before="8"/>
        <w:ind w:left="0"/>
        <w:rPr>
          <w:b/>
          <w:sz w:val="26"/>
        </w:rPr>
      </w:pPr>
    </w:p>
    <w:p>
      <w:pPr>
        <w:pStyle w:val="BodyText"/>
        <w:tabs>
          <w:tab w:pos="1377" w:val="left" w:leader="none"/>
        </w:tabs>
      </w:pPr>
      <w:bookmarkStart w:name="_bookmark24" w:id="25"/>
      <w:bookmarkEnd w:id="25"/>
      <w:r>
        <w:rPr/>
      </w:r>
      <w:r>
        <w:rPr/>
        <w:t>第十</w:t>
      </w:r>
      <w:r>
        <w:rPr>
          <w:spacing w:val="-3"/>
        </w:rPr>
        <w:t>九</w:t>
      </w:r>
      <w:r>
        <w:rPr/>
        <w:t>条</w:t>
        <w:tab/>
        <w:t>如实</w:t>
      </w:r>
      <w:r>
        <w:rPr>
          <w:spacing w:val="-3"/>
        </w:rPr>
        <w:t>告</w:t>
      </w:r>
      <w:r>
        <w:rPr/>
        <w:t>知</w:t>
      </w:r>
    </w:p>
    <w:p>
      <w:pPr>
        <w:pStyle w:val="BodyText"/>
        <w:spacing w:before="36"/>
      </w:pPr>
      <w:r>
        <w:rPr/>
        <w:t>订立本合同时，我们应向您说明本合同的内容。</w:t>
      </w:r>
    </w:p>
    <w:p>
      <w:pPr>
        <w:pStyle w:val="BodyText"/>
        <w:spacing w:line="273" w:lineRule="auto" w:before="36"/>
        <w:ind w:right="209"/>
        <w:jc w:val="both"/>
      </w:pPr>
      <w:r>
        <w:rPr>
          <w:spacing w:val="-8"/>
        </w:rPr>
        <w:t>对保险条款中免除我们责任的条款，我们在订立合同时应当在投保单、保险单或者其他保险</w:t>
      </w:r>
      <w:r>
        <w:rPr>
          <w:spacing w:val="-11"/>
        </w:rPr>
        <w:t>凭证上作出足以引起您注意的提示，并对该条款的内容以书面或者口头形式向您作出明确说</w:t>
      </w:r>
      <w:r>
        <w:rPr>
          <w:spacing w:val="-3"/>
        </w:rPr>
        <w:t>明，未作提示或者明确说明的，该条款不产生效力。</w:t>
      </w:r>
    </w:p>
    <w:p>
      <w:pPr>
        <w:pStyle w:val="BodyText"/>
        <w:spacing w:before="7"/>
      </w:pPr>
      <w:r>
        <w:rPr/>
        <w:t>我们就您和被保险人的有关情况提出询问，您应当如实告知。</w:t>
      </w:r>
    </w:p>
    <w:p>
      <w:pPr>
        <w:pStyle w:val="BodyText"/>
        <w:spacing w:line="273" w:lineRule="auto" w:before="37"/>
        <w:ind w:right="209"/>
        <w:rPr>
          <w:rFonts w:ascii="黑体" w:eastAsia="黑体" w:hint="eastAsia"/>
        </w:rPr>
      </w:pPr>
      <w:r>
        <w:rPr>
          <w:rFonts w:ascii="黑体" w:eastAsia="黑体" w:hint="eastAsia"/>
          <w:spacing w:val="-7"/>
        </w:rPr>
        <w:t>如果您故意或者因重大过失未履行前款规定的如实告知义务，足以影响我们决定是否同意承</w:t>
      </w:r>
      <w:r>
        <w:rPr>
          <w:rFonts w:ascii="黑体" w:eastAsia="黑体" w:hint="eastAsia"/>
          <w:spacing w:val="-5"/>
        </w:rPr>
        <w:t>保或者提高保险费率的，我们有权解除本合同。</w:t>
      </w:r>
    </w:p>
    <w:p>
      <w:pPr>
        <w:pStyle w:val="BodyText"/>
        <w:spacing w:line="273" w:lineRule="auto" w:before="7"/>
        <w:ind w:right="209"/>
        <w:rPr>
          <w:rFonts w:ascii="黑体" w:eastAsia="黑体" w:hint="eastAsia"/>
        </w:rPr>
      </w:pPr>
      <w:r>
        <w:rPr>
          <w:rFonts w:ascii="黑体" w:eastAsia="黑体" w:hint="eastAsia"/>
          <w:spacing w:val="-6"/>
        </w:rPr>
        <w:t>如果您故意不履行如实告知义务，对于本合同解除前发</w:t>
      </w:r>
      <w:r>
        <w:rPr>
          <w:rFonts w:ascii="黑体" w:eastAsia="黑体" w:hint="eastAsia"/>
        </w:rPr>
        <w:t>Th</w:t>
      </w:r>
      <w:r>
        <w:rPr>
          <w:rFonts w:ascii="黑体" w:eastAsia="黑体" w:hint="eastAsia"/>
          <w:spacing w:val="-8"/>
        </w:rPr>
        <w:t>的保险事故，我们不承担给付保险</w:t>
      </w:r>
      <w:r>
        <w:rPr>
          <w:rFonts w:ascii="黑体" w:eastAsia="黑体" w:hint="eastAsia"/>
          <w:spacing w:val="-5"/>
        </w:rPr>
        <w:t>金的责任，并不退还保险费。</w:t>
      </w:r>
    </w:p>
    <w:p>
      <w:pPr>
        <w:spacing w:after="0" w:line="273" w:lineRule="auto"/>
        <w:rPr>
          <w:rFonts w:ascii="黑体" w:eastAsia="黑体" w:hint="eastAsia"/>
        </w:rPr>
        <w:sectPr>
          <w:pgSz w:w="11910" w:h="16840"/>
          <w:pgMar w:header="0" w:footer="1137" w:top="1400" w:bottom="1320" w:left="1680" w:right="1580"/>
        </w:sectPr>
      </w:pPr>
    </w:p>
    <w:p>
      <w:pPr>
        <w:pStyle w:val="BodyText"/>
        <w:spacing w:line="273" w:lineRule="auto" w:before="9"/>
        <w:ind w:right="189"/>
        <w:rPr>
          <w:rFonts w:ascii="黑体" w:eastAsia="黑体" w:hint="eastAsia"/>
        </w:rPr>
      </w:pPr>
      <w:r>
        <w:rPr>
          <w:rFonts w:ascii="黑体" w:eastAsia="黑体" w:hint="eastAsia"/>
          <w:spacing w:val="-6"/>
        </w:rPr>
        <w:t>如果您因重大过失未履行如实告知义务，对保险事故的发</w:t>
      </w:r>
      <w:r>
        <w:rPr>
          <w:rFonts w:ascii="黑体" w:eastAsia="黑体" w:hint="eastAsia"/>
        </w:rPr>
        <w:t>Th</w:t>
      </w:r>
      <w:r>
        <w:rPr>
          <w:rFonts w:ascii="黑体" w:eastAsia="黑体" w:hint="eastAsia"/>
          <w:spacing w:val="-8"/>
        </w:rPr>
        <w:t>有严重影响的，对于本合同解除</w:t>
      </w:r>
      <w:r>
        <w:rPr>
          <w:rFonts w:ascii="黑体" w:eastAsia="黑体" w:hint="eastAsia"/>
          <w:spacing w:val="-1"/>
        </w:rPr>
        <w:t>前发Th</w:t>
      </w:r>
      <w:r>
        <w:rPr>
          <w:rFonts w:ascii="黑体" w:eastAsia="黑体" w:hint="eastAsia"/>
          <w:spacing w:val="-3"/>
        </w:rPr>
        <w:t>的保险事故，我们不承担给付保险金的责任，但应当退还保险费。</w:t>
      </w:r>
    </w:p>
    <w:p>
      <w:pPr>
        <w:pStyle w:val="BodyText"/>
        <w:spacing w:line="273" w:lineRule="auto" w:before="7"/>
        <w:ind w:right="100"/>
      </w:pPr>
      <w:r>
        <w:rPr/>
        <w:t>我们在合同订立时已经知道您未如实告知的情况的，我们不得解除合同；发生保险事故的， 我们承担给付保险金的责任。</w:t>
      </w:r>
    </w:p>
    <w:p>
      <w:pPr>
        <w:pStyle w:val="BodyText"/>
        <w:spacing w:line="273" w:lineRule="auto" w:before="7"/>
        <w:ind w:right="188"/>
        <w:jc w:val="both"/>
      </w:pPr>
      <w:r>
        <w:rPr>
          <w:spacing w:val="-8"/>
        </w:rPr>
        <w:t>本条规定的合同解除权，自我们知道有解除事由之日起，超过三十日不行使而消灭。自本合</w:t>
      </w:r>
      <w:r>
        <w:rPr>
          <w:spacing w:val="-10"/>
        </w:rPr>
        <w:t>同成立之日起超过二年的，我们不得解除合同；发生保险事故的，我们承担给付保险金的责任。</w:t>
      </w:r>
    </w:p>
    <w:p>
      <w:pPr>
        <w:pStyle w:val="BodyText"/>
        <w:spacing w:before="5"/>
        <w:ind w:left="0"/>
        <w:rPr>
          <w:sz w:val="24"/>
        </w:rPr>
      </w:pPr>
    </w:p>
    <w:p>
      <w:pPr>
        <w:pStyle w:val="BodyText"/>
        <w:tabs>
          <w:tab w:pos="1377" w:val="left" w:leader="none"/>
        </w:tabs>
      </w:pPr>
      <w:bookmarkStart w:name="_bookmark25" w:id="26"/>
      <w:bookmarkEnd w:id="26"/>
      <w:r>
        <w:rPr/>
      </w:r>
      <w:r>
        <w:rPr/>
        <w:t>第二</w:t>
      </w:r>
      <w:r>
        <w:rPr>
          <w:spacing w:val="-3"/>
        </w:rPr>
        <w:t>十</w:t>
      </w:r>
      <w:r>
        <w:rPr/>
        <w:t>条</w:t>
        <w:tab/>
        <w:t>年龄</w:t>
      </w:r>
      <w:r>
        <w:rPr>
          <w:spacing w:val="-3"/>
        </w:rPr>
        <w:t>确</w:t>
      </w:r>
      <w:r>
        <w:rPr/>
        <w:t>定</w:t>
      </w:r>
      <w:r>
        <w:rPr>
          <w:spacing w:val="-3"/>
        </w:rPr>
        <w:t>及</w:t>
      </w:r>
      <w:r>
        <w:rPr/>
        <w:t>错</w:t>
      </w:r>
      <w:r>
        <w:rPr>
          <w:spacing w:val="-3"/>
        </w:rPr>
        <w:t>误</w:t>
      </w:r>
      <w:r>
        <w:rPr/>
        <w:t>处理</w:t>
      </w:r>
    </w:p>
    <w:p>
      <w:pPr>
        <w:pStyle w:val="BodyText"/>
        <w:spacing w:line="273" w:lineRule="auto" w:before="36"/>
        <w:ind w:right="189"/>
      </w:pPr>
      <w:r>
        <w:rPr>
          <w:spacing w:val="-7"/>
        </w:rPr>
        <w:t>被保险人的投保年龄为以法定证件载明的出生日期计算的周岁年龄。您在申请投保时，应按</w:t>
      </w:r>
      <w:r>
        <w:rPr>
          <w:spacing w:val="-5"/>
        </w:rPr>
        <w:t>被保险人的周岁年龄填写。若发生错误，我们依下列约定处理：</w:t>
      </w:r>
    </w:p>
    <w:p>
      <w:pPr>
        <w:pStyle w:val="BodyText"/>
        <w:spacing w:line="273" w:lineRule="auto" w:before="7"/>
        <w:ind w:left="538" w:right="189" w:hanging="420"/>
        <w:rPr>
          <w:rFonts w:ascii="黑体" w:eastAsia="黑体" w:hint="eastAsia"/>
        </w:rPr>
      </w:pPr>
      <w:r>
        <w:rPr>
          <w:rFonts w:ascii="黑体" w:eastAsia="黑体" w:hint="eastAsia"/>
          <w:spacing w:val="-7"/>
        </w:rPr>
        <w:t>一、申报的被保险人年龄不真实，并且其真实年龄不符合本合同约定投保年龄限制的，在保</w:t>
      </w:r>
      <w:r>
        <w:rPr>
          <w:rFonts w:ascii="黑体" w:eastAsia="黑体" w:hint="eastAsia"/>
          <w:spacing w:val="-2"/>
        </w:rPr>
        <w:t>险事故发</w:t>
      </w:r>
      <w:r>
        <w:rPr>
          <w:rFonts w:ascii="黑体" w:eastAsia="黑体" w:hint="eastAsia"/>
        </w:rPr>
        <w:t>Th</w:t>
      </w:r>
      <w:r>
        <w:rPr>
          <w:rFonts w:ascii="黑体" w:eastAsia="黑体" w:hint="eastAsia"/>
          <w:spacing w:val="-3"/>
        </w:rPr>
        <w:t>之前我们有权解除合同，并向您退还本合同的现金价值。</w:t>
      </w:r>
    </w:p>
    <w:p>
      <w:pPr>
        <w:pStyle w:val="BodyText"/>
        <w:spacing w:line="273" w:lineRule="auto" w:before="8"/>
        <w:ind w:left="538" w:right="188"/>
        <w:jc w:val="both"/>
      </w:pPr>
      <w:r>
        <w:rPr>
          <w:spacing w:val="-8"/>
        </w:rPr>
        <w:t>本款规定的合同解除权，自我们知道有解除事由之日起，超过三十日不行使而消灭。自</w:t>
      </w:r>
      <w:r>
        <w:rPr>
          <w:spacing w:val="-9"/>
        </w:rPr>
        <w:t>本合同成立之日起超过二年的，我们不得解除合同；发生保险事故的，我们承担给付保</w:t>
      </w:r>
      <w:r>
        <w:rPr>
          <w:spacing w:val="-5"/>
        </w:rPr>
        <w:t>险金的责任。</w:t>
      </w:r>
    </w:p>
    <w:p>
      <w:pPr>
        <w:pStyle w:val="BodyText"/>
        <w:spacing w:line="273" w:lineRule="auto" w:before="7"/>
        <w:ind w:left="538" w:right="189" w:hanging="420"/>
        <w:jc w:val="both"/>
        <w:rPr>
          <w:rFonts w:ascii="黑体" w:eastAsia="黑体" w:hint="eastAsia"/>
        </w:rPr>
      </w:pPr>
      <w:r>
        <w:rPr>
          <w:rFonts w:ascii="黑体" w:eastAsia="黑体" w:hint="eastAsia"/>
          <w:spacing w:val="-8"/>
        </w:rPr>
        <w:t>二、申报的被保险人年龄不真实，致使您实付保险费少于应付保险费的，我们有权更正并要</w:t>
      </w:r>
      <w:r>
        <w:rPr>
          <w:rFonts w:ascii="黑体" w:eastAsia="黑体" w:hint="eastAsia"/>
          <w:spacing w:val="-10"/>
        </w:rPr>
        <w:t>求您补交保险费。若已经发</w:t>
      </w:r>
      <w:r>
        <w:rPr>
          <w:rFonts w:ascii="黑体" w:eastAsia="黑体" w:hint="eastAsia"/>
        </w:rPr>
        <w:t>Th</w:t>
      </w:r>
      <w:r>
        <w:rPr>
          <w:rFonts w:ascii="黑体" w:eastAsia="黑体" w:hint="eastAsia"/>
          <w:spacing w:val="-9"/>
        </w:rPr>
        <w:t>保险事故，在给付保险金时按实付保险费和应付保险费的</w:t>
      </w:r>
      <w:r>
        <w:rPr>
          <w:rFonts w:ascii="黑体" w:eastAsia="黑体" w:hint="eastAsia"/>
          <w:spacing w:val="-5"/>
        </w:rPr>
        <w:t>比例给付。</w:t>
      </w:r>
    </w:p>
    <w:p>
      <w:pPr>
        <w:pStyle w:val="BodyText"/>
        <w:spacing w:line="273" w:lineRule="auto" w:before="7"/>
        <w:ind w:left="538" w:right="189" w:hanging="420"/>
      </w:pPr>
      <w:r>
        <w:rPr>
          <w:spacing w:val="-8"/>
        </w:rPr>
        <w:t>三、申报的被保险人年龄不真实，致使您实付保险费多于应付保险费的，我们会将多收的保</w:t>
      </w:r>
      <w:r>
        <w:rPr>
          <w:spacing w:val="-5"/>
        </w:rPr>
        <w:t>险费退还给您。</w:t>
      </w:r>
    </w:p>
    <w:p>
      <w:pPr>
        <w:pStyle w:val="BodyText"/>
        <w:spacing w:before="5"/>
        <w:ind w:left="0"/>
        <w:rPr>
          <w:sz w:val="24"/>
        </w:rPr>
      </w:pPr>
    </w:p>
    <w:p>
      <w:pPr>
        <w:pStyle w:val="BodyText"/>
        <w:tabs>
          <w:tab w:pos="1377" w:val="left" w:leader="none"/>
        </w:tabs>
      </w:pPr>
      <w:bookmarkStart w:name="_bookmark26" w:id="27"/>
      <w:bookmarkEnd w:id="27"/>
      <w:r>
        <w:rPr/>
      </w:r>
      <w:r>
        <w:rPr/>
        <w:t>第二</w:t>
      </w:r>
      <w:r>
        <w:rPr>
          <w:spacing w:val="-3"/>
        </w:rPr>
        <w:t>十</w:t>
      </w:r>
      <w:r>
        <w:rPr/>
        <w:t>一条</w:t>
        <w:tab/>
        <w:t>犹豫期</w:t>
      </w:r>
    </w:p>
    <w:p>
      <w:pPr>
        <w:pStyle w:val="BodyText"/>
        <w:spacing w:line="273" w:lineRule="auto" w:before="36"/>
        <w:ind w:right="189"/>
        <w:jc w:val="both"/>
      </w:pPr>
      <w:r>
        <w:rPr>
          <w:spacing w:val="-8"/>
        </w:rPr>
        <w:t>自您签收本合同起十日内为犹豫期。在犹豫期内，若未发生保险金给付，您可以书面申请解</w:t>
      </w:r>
      <w:r>
        <w:rPr>
          <w:spacing w:val="-6"/>
          <w:w w:val="100"/>
        </w:rPr>
        <w:t>除本合同。自我们收到解除申请时起</w:t>
      </w:r>
      <w:r>
        <w:rPr>
          <w:w w:val="100"/>
        </w:rPr>
        <w:t>（</w:t>
      </w:r>
      <w:r>
        <w:rPr>
          <w:spacing w:val="-3"/>
          <w:w w:val="100"/>
        </w:rPr>
        <w:t>若为邮寄，则以寄发邮戳为准</w:t>
      </w:r>
      <w:r>
        <w:rPr>
          <w:spacing w:val="-106"/>
          <w:w w:val="100"/>
        </w:rPr>
        <w:t>）</w:t>
      </w:r>
      <w:r>
        <w:rPr>
          <w:spacing w:val="-3"/>
          <w:w w:val="100"/>
        </w:rPr>
        <w:t>，本合同自始无效。</w:t>
      </w:r>
      <w:r>
        <w:rPr>
          <w:spacing w:val="-3"/>
        </w:rPr>
        <w:t>您向我们退回保险合同，我们无息向您退还已收到的保险费。</w:t>
      </w:r>
    </w:p>
    <w:p>
      <w:pPr>
        <w:pStyle w:val="BodyText"/>
        <w:spacing w:before="5"/>
        <w:ind w:left="0"/>
        <w:rPr>
          <w:sz w:val="24"/>
        </w:rPr>
      </w:pPr>
    </w:p>
    <w:p>
      <w:pPr>
        <w:pStyle w:val="BodyText"/>
        <w:tabs>
          <w:tab w:pos="1377" w:val="left" w:leader="none"/>
        </w:tabs>
      </w:pPr>
      <w:bookmarkStart w:name="_bookmark27" w:id="28"/>
      <w:bookmarkEnd w:id="28"/>
      <w:r>
        <w:rPr/>
      </w:r>
      <w:r>
        <w:rPr/>
        <w:t>第二</w:t>
      </w:r>
      <w:r>
        <w:rPr>
          <w:spacing w:val="-3"/>
        </w:rPr>
        <w:t>十</w:t>
      </w:r>
      <w:r>
        <w:rPr/>
        <w:t>二条</w:t>
        <w:tab/>
        <w:t>受益</w:t>
      </w:r>
      <w:r>
        <w:rPr>
          <w:spacing w:val="-3"/>
        </w:rPr>
        <w:t>人</w:t>
      </w:r>
      <w:r>
        <w:rPr/>
        <w:t>指</w:t>
      </w:r>
      <w:r>
        <w:rPr>
          <w:spacing w:val="-3"/>
        </w:rPr>
        <w:t>定</w:t>
      </w:r>
      <w:r>
        <w:rPr/>
        <w:t>与</w:t>
      </w:r>
      <w:r>
        <w:rPr>
          <w:spacing w:val="-3"/>
        </w:rPr>
        <w:t>变</w:t>
      </w:r>
      <w:r>
        <w:rPr/>
        <w:t>更</w:t>
      </w:r>
    </w:p>
    <w:p>
      <w:pPr>
        <w:pStyle w:val="BodyText"/>
        <w:spacing w:before="37"/>
      </w:pPr>
      <w:r>
        <w:rPr/>
        <w:t>除本合同另有约定外，重大疾病保险金、生命关爱保险金的受益人为被保险人本人。</w:t>
      </w:r>
    </w:p>
    <w:p>
      <w:pPr>
        <w:pStyle w:val="BodyText"/>
        <w:spacing w:line="273" w:lineRule="auto" w:before="37"/>
        <w:ind w:right="188"/>
      </w:pPr>
      <w:r>
        <w:rPr>
          <w:spacing w:val="-8"/>
        </w:rPr>
        <w:t>您或被保险人可以指定或变更身故保险金受益人。但您指定或变更身故保险金受益人须征得</w:t>
      </w:r>
      <w:r>
        <w:rPr>
          <w:spacing w:val="-3"/>
        </w:rPr>
        <w:t>被保险人书面同意。变更受益人须书面通知我们，并经我们在保险单上批注。</w:t>
      </w:r>
    </w:p>
    <w:p>
      <w:pPr>
        <w:pStyle w:val="BodyText"/>
        <w:spacing w:line="273" w:lineRule="auto" w:before="7"/>
        <w:ind w:right="191"/>
      </w:pPr>
      <w:r>
        <w:rPr>
          <w:spacing w:val="-8"/>
        </w:rPr>
        <w:t>若受益人为数人时，您或被保险人应确定受益顺序和受益份额；未确定受益份额的，各受益</w:t>
      </w:r>
      <w:r>
        <w:rPr>
          <w:spacing w:val="-5"/>
        </w:rPr>
        <w:t>人享有相等份额的受益权。</w:t>
      </w:r>
    </w:p>
    <w:p>
      <w:pPr>
        <w:pStyle w:val="BodyText"/>
        <w:spacing w:before="7"/>
      </w:pPr>
      <w:r>
        <w:rPr/>
        <w:t>被保险人为无民事行为能力人或限制民事行为能力人的，可以由其监护人指定受益人。</w:t>
      </w:r>
    </w:p>
    <w:p>
      <w:pPr>
        <w:pStyle w:val="BodyText"/>
        <w:spacing w:line="273" w:lineRule="auto" w:before="37"/>
        <w:ind w:right="194"/>
      </w:pPr>
      <w:r>
        <w:rPr>
          <w:spacing w:val="-10"/>
        </w:rPr>
        <w:t>被保险人身故后，有下列情形之一的，保险金作为被保险人的遗产，由我们依照《中华人民</w:t>
      </w:r>
      <w:r>
        <w:rPr>
          <w:spacing w:val="-5"/>
        </w:rPr>
        <w:t>共和国继承法》的规定履行给付保险金的义务：</w:t>
      </w:r>
    </w:p>
    <w:p>
      <w:pPr>
        <w:pStyle w:val="BodyText"/>
        <w:spacing w:line="273" w:lineRule="auto" w:before="7"/>
        <w:ind w:right="3252"/>
      </w:pPr>
      <w:r>
        <w:rPr/>
        <w:t>一、没有指定受益人，或者受益人指定不明无法确定的； 二、受益人先于被保险人身故，没有其他受益人的；</w:t>
      </w:r>
    </w:p>
    <w:p>
      <w:pPr>
        <w:pStyle w:val="BodyText"/>
        <w:spacing w:before="7"/>
      </w:pPr>
      <w:r>
        <w:rPr/>
        <w:t>三、受益人依法丧失受益权或者放弃受益权，没有其他受益人的。</w:t>
      </w:r>
    </w:p>
    <w:p>
      <w:pPr>
        <w:pStyle w:val="BodyText"/>
        <w:spacing w:line="273" w:lineRule="auto" w:before="37"/>
        <w:ind w:right="189"/>
      </w:pPr>
      <w:r>
        <w:rPr>
          <w:spacing w:val="-8"/>
        </w:rPr>
        <w:t>若受益人与被保险人在同一事件中身故，且不能确定身故先后顺序的，则推定受益人先于被</w:t>
      </w:r>
      <w:r>
        <w:rPr>
          <w:spacing w:val="-5"/>
        </w:rPr>
        <w:t>保险人身故。</w:t>
      </w:r>
    </w:p>
    <w:p>
      <w:pPr>
        <w:pStyle w:val="BodyText"/>
        <w:spacing w:line="273" w:lineRule="auto" w:before="7"/>
        <w:ind w:right="189"/>
      </w:pPr>
      <w:r>
        <w:rPr>
          <w:spacing w:val="-9"/>
        </w:rPr>
        <w:t>受益人故意造成被保险人身故、伤残、疾病的，或者故意杀害被保险人未遂的，该受益人丧</w:t>
      </w:r>
      <w:r>
        <w:rPr>
          <w:spacing w:val="-5"/>
        </w:rPr>
        <w:t>失受益权。</w:t>
      </w:r>
    </w:p>
    <w:p>
      <w:pPr>
        <w:spacing w:after="0" w:line="273" w:lineRule="auto"/>
        <w:sectPr>
          <w:pgSz w:w="11910" w:h="16840"/>
          <w:pgMar w:header="0" w:footer="1137" w:top="1400" w:bottom="1320" w:left="1680" w:right="1600"/>
        </w:sectPr>
      </w:pPr>
    </w:p>
    <w:p>
      <w:pPr>
        <w:pStyle w:val="BodyText"/>
        <w:tabs>
          <w:tab w:pos="1477" w:val="left" w:leader="none"/>
        </w:tabs>
        <w:spacing w:before="9"/>
        <w:ind w:left="218"/>
      </w:pPr>
      <w:bookmarkStart w:name="_bookmark28" w:id="29"/>
      <w:bookmarkEnd w:id="29"/>
      <w:r>
        <w:rPr/>
      </w:r>
      <w:r>
        <w:rPr/>
        <w:t>第二</w:t>
      </w:r>
      <w:r>
        <w:rPr>
          <w:spacing w:val="-3"/>
        </w:rPr>
        <w:t>十</w:t>
      </w:r>
      <w:r>
        <w:rPr/>
        <w:t>三条</w:t>
        <w:tab/>
        <w:t>合同</w:t>
      </w:r>
      <w:r>
        <w:rPr>
          <w:spacing w:val="-3"/>
        </w:rPr>
        <w:t>内</w:t>
      </w:r>
      <w:r>
        <w:rPr/>
        <w:t>容</w:t>
      </w:r>
      <w:r>
        <w:rPr>
          <w:spacing w:val="-3"/>
        </w:rPr>
        <w:t>变</w:t>
      </w:r>
      <w:r>
        <w:rPr/>
        <w:t>更</w:t>
      </w:r>
    </w:p>
    <w:p>
      <w:pPr>
        <w:pStyle w:val="BodyText"/>
        <w:spacing w:line="273" w:lineRule="auto" w:before="37"/>
        <w:ind w:left="218" w:right="411"/>
      </w:pPr>
      <w:r>
        <w:rPr>
          <w:spacing w:val="-9"/>
        </w:rPr>
        <w:t>在本合同有效期内，经与我们协商一致，您可以变更本合同的有关内容，并经我们在保险单</w:t>
      </w:r>
      <w:r>
        <w:rPr>
          <w:spacing w:val="-6"/>
        </w:rPr>
        <w:t>上批注。</w:t>
      </w:r>
    </w:p>
    <w:p>
      <w:pPr>
        <w:pStyle w:val="BodyText"/>
        <w:spacing w:before="5"/>
        <w:ind w:left="0"/>
        <w:rPr>
          <w:sz w:val="24"/>
        </w:rPr>
      </w:pPr>
    </w:p>
    <w:p>
      <w:pPr>
        <w:pStyle w:val="BodyText"/>
        <w:tabs>
          <w:tab w:pos="1477" w:val="left" w:leader="none"/>
        </w:tabs>
        <w:ind w:left="218"/>
      </w:pPr>
      <w:bookmarkStart w:name="_bookmark29" w:id="30"/>
      <w:bookmarkEnd w:id="30"/>
      <w:r>
        <w:rPr/>
      </w:r>
      <w:r>
        <w:rPr/>
        <w:t>第二</w:t>
      </w:r>
      <w:r>
        <w:rPr>
          <w:spacing w:val="-3"/>
        </w:rPr>
        <w:t>十</w:t>
      </w:r>
      <w:r>
        <w:rPr/>
        <w:t>四条</w:t>
        <w:tab/>
        <w:t>通讯</w:t>
      </w:r>
      <w:r>
        <w:rPr>
          <w:spacing w:val="-3"/>
        </w:rPr>
        <w:t>地</w:t>
      </w:r>
      <w:r>
        <w:rPr/>
        <w:t>址</w:t>
      </w:r>
      <w:r>
        <w:rPr>
          <w:spacing w:val="-3"/>
        </w:rPr>
        <w:t>变</w:t>
      </w:r>
      <w:r>
        <w:rPr/>
        <w:t>更</w:t>
      </w:r>
    </w:p>
    <w:p>
      <w:pPr>
        <w:pStyle w:val="BodyText"/>
        <w:spacing w:line="273" w:lineRule="auto" w:before="37"/>
        <w:ind w:left="218" w:right="411"/>
      </w:pPr>
      <w:r>
        <w:rPr>
          <w:spacing w:val="-9"/>
        </w:rPr>
        <w:t>您的通讯地址变更时，应及时书面通知我们。您不作前项通知时，我们按本合同所载的最新</w:t>
      </w:r>
      <w:r>
        <w:rPr>
          <w:spacing w:val="-5"/>
        </w:rPr>
        <w:t>通讯地址发送的通知，视为已送达您。</w:t>
      </w:r>
    </w:p>
    <w:p>
      <w:pPr>
        <w:pStyle w:val="BodyText"/>
        <w:spacing w:before="5"/>
        <w:ind w:left="0"/>
        <w:rPr>
          <w:sz w:val="24"/>
        </w:rPr>
      </w:pPr>
    </w:p>
    <w:p>
      <w:pPr>
        <w:pStyle w:val="BodyText"/>
        <w:tabs>
          <w:tab w:pos="1477" w:val="left" w:leader="none"/>
        </w:tabs>
        <w:ind w:left="218"/>
      </w:pPr>
      <w:bookmarkStart w:name="_bookmark30" w:id="31"/>
      <w:bookmarkEnd w:id="31"/>
      <w:r>
        <w:rPr/>
      </w:r>
      <w:r>
        <w:rPr/>
        <w:t>第二</w:t>
      </w:r>
      <w:r>
        <w:rPr>
          <w:spacing w:val="-3"/>
        </w:rPr>
        <w:t>十</w:t>
      </w:r>
      <w:r>
        <w:rPr/>
        <w:t>五条</w:t>
        <w:tab/>
        <w:t>司法</w:t>
      </w:r>
      <w:r>
        <w:rPr>
          <w:spacing w:val="-3"/>
        </w:rPr>
        <w:t>鉴</w:t>
      </w:r>
      <w:r>
        <w:rPr/>
        <w:t>定</w:t>
      </w:r>
    </w:p>
    <w:p>
      <w:pPr>
        <w:pStyle w:val="BodyText"/>
        <w:spacing w:before="36"/>
        <w:ind w:left="218"/>
      </w:pPr>
      <w:r>
        <w:rPr/>
        <w:t>我们有权要求司法鉴定机构对保险事故进行鉴定。</w:t>
      </w:r>
    </w:p>
    <w:p>
      <w:pPr>
        <w:pStyle w:val="BodyText"/>
        <w:spacing w:before="8"/>
        <w:ind w:left="0"/>
        <w:rPr>
          <w:sz w:val="26"/>
        </w:rPr>
      </w:pPr>
    </w:p>
    <w:p>
      <w:pPr>
        <w:pStyle w:val="BodyText"/>
        <w:tabs>
          <w:tab w:pos="1477" w:val="left" w:leader="none"/>
        </w:tabs>
        <w:ind w:left="218"/>
      </w:pPr>
      <w:bookmarkStart w:name="_bookmark31" w:id="32"/>
      <w:bookmarkEnd w:id="32"/>
      <w:r>
        <w:rPr/>
      </w:r>
      <w:r>
        <w:rPr/>
        <w:t>第二</w:t>
      </w:r>
      <w:r>
        <w:rPr>
          <w:spacing w:val="-3"/>
        </w:rPr>
        <w:t>十</w:t>
      </w:r>
      <w:r>
        <w:rPr/>
        <w:t>六条</w:t>
        <w:tab/>
        <w:t>争议</w:t>
      </w:r>
      <w:r>
        <w:rPr>
          <w:spacing w:val="-3"/>
        </w:rPr>
        <w:t>处</w:t>
      </w:r>
      <w:r>
        <w:rPr/>
        <w:t>理</w:t>
      </w:r>
    </w:p>
    <w:p>
      <w:pPr>
        <w:pStyle w:val="BodyText"/>
        <w:spacing w:line="273" w:lineRule="auto" w:before="36"/>
        <w:ind w:left="218" w:right="409"/>
      </w:pPr>
      <w:r>
        <w:rPr>
          <w:spacing w:val="-9"/>
        </w:rPr>
        <w:t>本合同受中华人民共和国的法律管辖。合同争议解决方式由当事人在合同约定从下列两种方</w:t>
      </w:r>
      <w:r>
        <w:rPr>
          <w:spacing w:val="-5"/>
        </w:rPr>
        <w:t>式中选择一种：</w:t>
      </w:r>
    </w:p>
    <w:p>
      <w:pPr>
        <w:pStyle w:val="BodyText"/>
        <w:spacing w:line="273" w:lineRule="auto" w:before="7"/>
        <w:ind w:left="218" w:right="305"/>
      </w:pPr>
      <w:r>
        <w:rPr>
          <w:spacing w:val="-16"/>
        </w:rPr>
        <w:t>一、因履行本合同发生的争议，由当事人协商解决，协商不成的，提交××仲裁委员会仲裁； </w:t>
      </w:r>
      <w:r>
        <w:rPr>
          <w:spacing w:val="-3"/>
        </w:rPr>
        <w:t>二、因履行本合同发生的争议，由当事人协商解决，协商不成的，依法向人民法院起诉。</w:t>
      </w:r>
    </w:p>
    <w:p>
      <w:pPr>
        <w:pStyle w:val="BodyText"/>
        <w:spacing w:before="5"/>
        <w:ind w:left="0"/>
        <w:rPr>
          <w:sz w:val="24"/>
        </w:rPr>
      </w:pPr>
    </w:p>
    <w:p>
      <w:pPr>
        <w:pStyle w:val="Heading1"/>
        <w:ind w:left="3776" w:right="3974"/>
      </w:pPr>
      <w:bookmarkStart w:name="_bookmark32" w:id="33"/>
      <w:bookmarkEnd w:id="33"/>
      <w:r>
        <w:rPr>
          <w:b w:val="0"/>
        </w:rPr>
      </w:r>
      <w:r>
        <w:rPr/>
        <w:t>第七章 附表</w:t>
      </w:r>
    </w:p>
    <w:p>
      <w:pPr>
        <w:pStyle w:val="BodyText"/>
        <w:spacing w:before="8"/>
        <w:ind w:left="0"/>
        <w:rPr>
          <w:b/>
          <w:sz w:val="26"/>
        </w:rPr>
      </w:pPr>
    </w:p>
    <w:p>
      <w:pPr>
        <w:pStyle w:val="BodyText"/>
        <w:ind w:left="218"/>
      </w:pPr>
      <w:bookmarkStart w:name="_bookmark33" w:id="34"/>
      <w:bookmarkEnd w:id="34"/>
      <w:r>
        <w:rPr/>
      </w:r>
      <w:r>
        <w:rPr/>
        <w:t>附表：重大疾病种类表</w:t>
      </w:r>
    </w:p>
    <w:p>
      <w:pPr>
        <w:pStyle w:val="BodyText"/>
        <w:spacing w:line="273" w:lineRule="auto" w:before="37" w:after="17"/>
        <w:ind w:left="218" w:right="320"/>
      </w:pPr>
      <w:r>
        <w:rPr>
          <w:spacing w:val="-3"/>
        </w:rPr>
        <w:t>以下第一至二十五类重大疾病是中国保险行业协会与中国医师协会制定了规范定义的疾病， 第二十六至四十五类重大疾病是我们在中国保险行业协会与中国医师协会制定了规范定义 </w:t>
      </w:r>
      <w:r>
        <w:rPr>
          <w:spacing w:val="-9"/>
        </w:rPr>
        <w:t>的疾病范围之外增加的疾病。被保险人发生符合以下疾病定义所述条件的疾病，应当由</w:t>
      </w:r>
      <w:r>
        <w:rPr>
          <w:b/>
        </w:rPr>
        <w:t>专科医生</w:t>
      </w:r>
      <w:r>
        <w:rPr>
          <w:b/>
          <w:position w:val="11"/>
          <w:sz w:val="11"/>
        </w:rPr>
        <w:t>16</w:t>
      </w:r>
      <w:r>
        <w:rPr>
          <w:spacing w:val="-3"/>
        </w:rPr>
        <w:t>明确诊断。</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3"/>
      </w:tblGrid>
      <w:tr>
        <w:trPr>
          <w:trHeight w:val="3432" w:hRule="atLeast"/>
        </w:trPr>
        <w:tc>
          <w:tcPr>
            <w:tcW w:w="1908" w:type="dxa"/>
          </w:tcPr>
          <w:p>
            <w:pPr>
              <w:pStyle w:val="TableParagraph"/>
              <w:spacing w:line="262" w:lineRule="exact"/>
              <w:rPr>
                <w:sz w:val="21"/>
              </w:rPr>
            </w:pPr>
            <w:r>
              <w:rPr>
                <w:sz w:val="21"/>
              </w:rPr>
              <w:t>一、恶性肿瘤</w:t>
            </w:r>
          </w:p>
        </w:tc>
        <w:tc>
          <w:tcPr>
            <w:tcW w:w="6813" w:type="dxa"/>
          </w:tcPr>
          <w:p>
            <w:pPr>
              <w:pStyle w:val="TableParagraph"/>
              <w:spacing w:line="273" w:lineRule="auto"/>
              <w:ind w:right="101"/>
              <w:jc w:val="both"/>
              <w:rPr>
                <w:sz w:val="21"/>
              </w:rPr>
            </w:pPr>
            <w:r>
              <w:rPr>
                <w:sz w:val="21"/>
              </w:rPr>
              <w:t>指恶性细胞不受控制的进行性增长和扩散，浸润和破坏周围正常组织， 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20"/>
              <w:jc w:val="both"/>
              <w:rPr>
                <w:rFonts w:ascii="黑体" w:eastAsia="黑体" w:hint="eastAsia"/>
                <w:sz w:val="21"/>
              </w:rPr>
            </w:pPr>
            <w:r>
              <w:rPr>
                <w:rFonts w:ascii="黑体" w:eastAsia="黑体" w:hint="eastAsia"/>
                <w:sz w:val="21"/>
              </w:rPr>
              <w:t>下列疾病不在保障范围内：</w:t>
            </w:r>
          </w:p>
          <w:p>
            <w:pPr>
              <w:pStyle w:val="TableParagraph"/>
              <w:numPr>
                <w:ilvl w:val="0"/>
                <w:numId w:val="7"/>
              </w:numPr>
              <w:tabs>
                <w:tab w:pos="469" w:val="left" w:leader="none"/>
              </w:tabs>
              <w:spacing w:line="240" w:lineRule="auto" w:before="36" w:after="0"/>
              <w:ind w:left="468" w:right="0" w:hanging="361"/>
              <w:jc w:val="both"/>
              <w:rPr>
                <w:rFonts w:ascii="黑体" w:eastAsia="黑体" w:hint="eastAsia"/>
                <w:sz w:val="21"/>
              </w:rPr>
            </w:pPr>
            <w:r>
              <w:rPr>
                <w:rFonts w:ascii="黑体" w:eastAsia="黑体" w:hint="eastAsia"/>
                <w:spacing w:val="-1"/>
                <w:sz w:val="21"/>
              </w:rPr>
              <w:t>原位癌；</w:t>
            </w:r>
          </w:p>
          <w:p>
            <w:pPr>
              <w:pStyle w:val="TableParagraph"/>
              <w:numPr>
                <w:ilvl w:val="0"/>
                <w:numId w:val="7"/>
              </w:numPr>
              <w:tabs>
                <w:tab w:pos="469" w:val="left" w:leader="none"/>
              </w:tabs>
              <w:spacing w:line="240" w:lineRule="auto" w:before="36" w:after="0"/>
              <w:ind w:left="468" w:right="0" w:hanging="361"/>
              <w:jc w:val="both"/>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7"/>
              </w:numPr>
              <w:tabs>
                <w:tab w:pos="469" w:val="left" w:leader="none"/>
              </w:tabs>
              <w:spacing w:line="240" w:lineRule="auto" w:before="36" w:after="0"/>
              <w:ind w:left="468" w:right="0" w:hanging="361"/>
              <w:jc w:val="both"/>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7"/>
              </w:numPr>
              <w:tabs>
                <w:tab w:pos="469" w:val="left" w:leader="none"/>
              </w:tabs>
              <w:spacing w:line="240" w:lineRule="auto" w:before="36" w:after="0"/>
              <w:ind w:left="468" w:right="0" w:hanging="361"/>
              <w:jc w:val="both"/>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7"/>
              </w:numPr>
              <w:tabs>
                <w:tab w:pos="469" w:val="left" w:leader="none"/>
              </w:tabs>
              <w:spacing w:line="240" w:lineRule="auto" w:before="36" w:after="0"/>
              <w:ind w:left="468" w:right="0" w:hanging="361"/>
              <w:jc w:val="both"/>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5"/>
                <w:sz w:val="11"/>
              </w:rPr>
              <w:t> </w:t>
            </w:r>
            <w:r>
              <w:rPr>
                <w:rFonts w:ascii="黑体" w:eastAsia="黑体" w:hint="eastAsia"/>
                <w:spacing w:val="-3"/>
                <w:position w:val="1"/>
                <w:sz w:val="21"/>
              </w:rPr>
              <w:t>期或更轻分期的前列腺癌；</w:t>
            </w:r>
          </w:p>
          <w:p>
            <w:pPr>
              <w:pStyle w:val="TableParagraph"/>
              <w:numPr>
                <w:ilvl w:val="0"/>
                <w:numId w:val="7"/>
              </w:numPr>
              <w:tabs>
                <w:tab w:pos="469" w:val="left" w:leader="none"/>
              </w:tabs>
              <w:spacing w:line="240" w:lineRule="auto" w:before="37" w:after="0"/>
              <w:ind w:left="468" w:right="0" w:hanging="361"/>
              <w:jc w:val="both"/>
              <w:rPr>
                <w:sz w:val="21"/>
              </w:rPr>
            </w:pPr>
            <w:r>
              <w:rPr>
                <w:rFonts w:ascii="黑体" w:eastAsia="黑体" w:hint="eastAsia"/>
                <w:spacing w:val="-3"/>
                <w:sz w:val="21"/>
              </w:rPr>
              <w:t>感染艾滋病病毒或患艾滋病期间所患恶性肿瘤。</w:t>
            </w:r>
          </w:p>
        </w:tc>
      </w:tr>
      <w:tr>
        <w:trPr>
          <w:trHeight w:val="1248" w:hRule="atLeast"/>
        </w:trPr>
        <w:tc>
          <w:tcPr>
            <w:tcW w:w="1908" w:type="dxa"/>
          </w:tcPr>
          <w:p>
            <w:pPr>
              <w:pStyle w:val="TableParagraph"/>
              <w:spacing w:line="262" w:lineRule="exact"/>
              <w:rPr>
                <w:sz w:val="21"/>
              </w:rPr>
            </w:pPr>
            <w:r>
              <w:rPr>
                <w:sz w:val="21"/>
              </w:rPr>
              <w:t>二、急性心肌梗塞</w:t>
            </w:r>
          </w:p>
        </w:tc>
        <w:tc>
          <w:tcPr>
            <w:tcW w:w="6813" w:type="dxa"/>
          </w:tcPr>
          <w:p>
            <w:pPr>
              <w:pStyle w:val="TableParagraph"/>
              <w:spacing w:line="273" w:lineRule="auto"/>
              <w:ind w:right="103"/>
              <w:rPr>
                <w:sz w:val="21"/>
              </w:rPr>
            </w:pPr>
            <w:r>
              <w:rPr>
                <w:sz w:val="21"/>
              </w:rPr>
              <w:t>指因冠状动脉阻塞导致的相应区域供血不足造成部分心肌坏死。须满足下列至少三项条件：</w:t>
            </w:r>
          </w:p>
          <w:p>
            <w:pPr>
              <w:pStyle w:val="TableParagraph"/>
              <w:numPr>
                <w:ilvl w:val="0"/>
                <w:numId w:val="8"/>
              </w:numPr>
              <w:tabs>
                <w:tab w:pos="529" w:val="left" w:leader="none"/>
              </w:tabs>
              <w:spacing w:line="240" w:lineRule="auto" w:before="21" w:after="0"/>
              <w:ind w:left="528" w:right="0" w:hanging="421"/>
              <w:jc w:val="left"/>
              <w:rPr>
                <w:sz w:val="21"/>
              </w:rPr>
            </w:pPr>
            <w:r>
              <w:rPr>
                <w:spacing w:val="-3"/>
                <w:sz w:val="21"/>
              </w:rPr>
              <w:t>典型临床表现，例如急性胸痛等；</w:t>
            </w:r>
          </w:p>
          <w:p>
            <w:pPr>
              <w:pStyle w:val="TableParagraph"/>
              <w:numPr>
                <w:ilvl w:val="0"/>
                <w:numId w:val="8"/>
              </w:numPr>
              <w:tabs>
                <w:tab w:pos="529" w:val="left" w:leader="none"/>
              </w:tabs>
              <w:spacing w:line="240" w:lineRule="auto" w:before="37" w:after="0"/>
              <w:ind w:left="528" w:right="0" w:hanging="421"/>
              <w:jc w:val="left"/>
              <w:rPr>
                <w:sz w:val="21"/>
              </w:rPr>
            </w:pPr>
            <w:r>
              <w:rPr>
                <w:spacing w:val="-3"/>
                <w:sz w:val="21"/>
              </w:rPr>
              <w:t>新近的心电图改变提示急性心肌梗塞；</w:t>
            </w:r>
          </w:p>
        </w:tc>
      </w:tr>
    </w:tbl>
    <w:p>
      <w:pPr>
        <w:pStyle w:val="BodyText"/>
        <w:ind w:left="0"/>
        <w:rPr>
          <w:sz w:val="25"/>
        </w:rPr>
      </w:pPr>
      <w:r>
        <w:rPr/>
        <w:pict>
          <v:line style="position:absolute;mso-position-horizontal-relative:page;mso-position-vertical-relative:paragraph;z-index:1144;mso-wrap-distance-left:0;mso-wrap-distance-right:0" from="89.903999pt,18.60001pt" to="233.923999pt,18.60001pt" stroked="true" strokeweight=".47998pt" strokecolor="#000000">
            <v:stroke dashstyle="solid"/>
            <w10:wrap type="topAndBottom"/>
          </v:line>
        </w:pict>
      </w:r>
    </w:p>
    <w:p>
      <w:pPr>
        <w:spacing w:line="234" w:lineRule="exact" w:before="39"/>
        <w:ind w:left="218" w:right="0" w:firstLine="0"/>
        <w:jc w:val="left"/>
        <w:rPr>
          <w:sz w:val="18"/>
        </w:rPr>
      </w:pPr>
      <w:r>
        <w:rPr>
          <w:rFonts w:ascii="Times New Roman" w:eastAsia="Times New Roman"/>
          <w:position w:val="8"/>
          <w:sz w:val="12"/>
        </w:rPr>
        <w:t>16   </w:t>
      </w:r>
      <w:r>
        <w:rPr>
          <w:b/>
          <w:sz w:val="18"/>
        </w:rPr>
        <w:t>专科医生</w:t>
      </w:r>
      <w:r>
        <w:rPr>
          <w:sz w:val="18"/>
        </w:rPr>
        <w:t>：专科医生应当同时满足以下四项资格条件：</w:t>
      </w:r>
    </w:p>
    <w:p>
      <w:pPr>
        <w:pStyle w:val="ListParagraph"/>
        <w:numPr>
          <w:ilvl w:val="1"/>
          <w:numId w:val="6"/>
        </w:numPr>
        <w:tabs>
          <w:tab w:pos="758" w:val="left" w:leader="none"/>
        </w:tabs>
        <w:spacing w:line="233" w:lineRule="exact" w:before="0" w:after="0"/>
        <w:ind w:left="758" w:right="0" w:hanging="360"/>
        <w:jc w:val="left"/>
        <w:rPr>
          <w:sz w:val="18"/>
        </w:rPr>
      </w:pPr>
      <w:r>
        <w:rPr>
          <w:spacing w:val="-5"/>
          <w:sz w:val="18"/>
        </w:rPr>
        <w:t>具有有效的中华人民共和国《医师资格证书》；</w:t>
      </w:r>
    </w:p>
    <w:p>
      <w:pPr>
        <w:pStyle w:val="ListParagraph"/>
        <w:numPr>
          <w:ilvl w:val="1"/>
          <w:numId w:val="6"/>
        </w:numPr>
        <w:tabs>
          <w:tab w:pos="758" w:val="left" w:leader="none"/>
        </w:tabs>
        <w:spacing w:line="234" w:lineRule="exact" w:before="0" w:after="0"/>
        <w:ind w:left="758" w:right="0" w:hanging="360"/>
        <w:jc w:val="left"/>
        <w:rPr>
          <w:sz w:val="18"/>
        </w:rPr>
      </w:pPr>
      <w:r>
        <w:rPr>
          <w:spacing w:val="-5"/>
          <w:sz w:val="18"/>
        </w:rPr>
        <w:t>具有有效的中华人民共和国《医师执业证书》，并按期到相关部门登记注册；</w:t>
      </w:r>
    </w:p>
    <w:p>
      <w:pPr>
        <w:pStyle w:val="ListParagraph"/>
        <w:numPr>
          <w:ilvl w:val="1"/>
          <w:numId w:val="6"/>
        </w:numPr>
        <w:tabs>
          <w:tab w:pos="758" w:val="left" w:leader="none"/>
        </w:tabs>
        <w:spacing w:line="234" w:lineRule="exact" w:before="0" w:after="0"/>
        <w:ind w:left="758" w:right="0" w:hanging="360"/>
        <w:jc w:val="left"/>
        <w:rPr>
          <w:sz w:val="18"/>
        </w:rPr>
      </w:pPr>
      <w:r>
        <w:rPr>
          <w:spacing w:val="-3"/>
          <w:sz w:val="18"/>
        </w:rPr>
        <w:t>具有有效的中华人民共和国主治医师或主治医师以上职称的《医师职称证书》；</w:t>
      </w:r>
    </w:p>
    <w:p>
      <w:pPr>
        <w:pStyle w:val="ListParagraph"/>
        <w:numPr>
          <w:ilvl w:val="1"/>
          <w:numId w:val="6"/>
        </w:numPr>
        <w:tabs>
          <w:tab w:pos="758" w:val="left" w:leader="none"/>
        </w:tabs>
        <w:spacing w:line="234" w:lineRule="exact" w:before="0" w:after="0"/>
        <w:ind w:left="758" w:right="0" w:hanging="360"/>
        <w:jc w:val="left"/>
        <w:rPr>
          <w:sz w:val="18"/>
        </w:rPr>
      </w:pPr>
      <w:r>
        <w:rPr>
          <w:sz w:val="18"/>
        </w:rPr>
        <w:t>在二级或二级以上医院的相应科室从事临床工作三年以上。</w:t>
      </w:r>
    </w:p>
    <w:p>
      <w:pPr>
        <w:spacing w:after="0" w:line="234" w:lineRule="exact"/>
        <w:jc w:val="left"/>
        <w:rPr>
          <w:sz w:val="18"/>
        </w:rPr>
        <w:sectPr>
          <w:pgSz w:w="11910" w:h="16840"/>
          <w:pgMar w:header="0" w:footer="1137" w:top="1400" w:bottom="1320" w:left="1580" w:right="138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3"/>
      </w:tblGrid>
      <w:tr>
        <w:trPr>
          <w:trHeight w:val="1248" w:hRule="atLeast"/>
        </w:trPr>
        <w:tc>
          <w:tcPr>
            <w:tcW w:w="1908" w:type="dxa"/>
          </w:tcPr>
          <w:p>
            <w:pPr>
              <w:pStyle w:val="TableParagraph"/>
              <w:ind w:left="0"/>
              <w:rPr>
                <w:rFonts w:ascii="Times New Roman"/>
                <w:sz w:val="20"/>
              </w:rPr>
            </w:pPr>
          </w:p>
        </w:tc>
        <w:tc>
          <w:tcPr>
            <w:tcW w:w="6813" w:type="dxa"/>
          </w:tcPr>
          <w:p>
            <w:pPr>
              <w:pStyle w:val="TableParagraph"/>
              <w:numPr>
                <w:ilvl w:val="0"/>
                <w:numId w:val="9"/>
              </w:numPr>
              <w:tabs>
                <w:tab w:pos="529" w:val="left" w:leader="none"/>
              </w:tabs>
              <w:spacing w:line="273" w:lineRule="auto" w:before="0" w:after="0"/>
              <w:ind w:left="528" w:right="103" w:hanging="421"/>
              <w:jc w:val="left"/>
              <w:rPr>
                <w:sz w:val="21"/>
              </w:rPr>
            </w:pPr>
            <w:r>
              <w:rPr>
                <w:sz w:val="21"/>
              </w:rPr>
              <w:t>肌酶或肌钙蛋白有诊断意义的升高，或呈符合急性心肌梗塞的动态</w:t>
            </w:r>
            <w:r>
              <w:rPr>
                <w:spacing w:val="-1"/>
                <w:sz w:val="21"/>
              </w:rPr>
              <w:t>性变化；</w:t>
            </w:r>
          </w:p>
          <w:p>
            <w:pPr>
              <w:pStyle w:val="TableParagraph"/>
              <w:numPr>
                <w:ilvl w:val="0"/>
                <w:numId w:val="9"/>
              </w:numPr>
              <w:tabs>
                <w:tab w:pos="529" w:val="left" w:leader="none"/>
              </w:tabs>
              <w:spacing w:line="273" w:lineRule="auto" w:before="20" w:after="0"/>
              <w:ind w:left="528" w:right="102" w:hanging="421"/>
              <w:jc w:val="left"/>
              <w:rPr>
                <w:sz w:val="21"/>
              </w:rPr>
            </w:pPr>
            <w:r>
              <w:rPr>
                <w:sz w:val="21"/>
              </w:rPr>
              <w:t>发病九十天后，经检查证实左心室功能降低，如左心室射血分数低</w:t>
            </w:r>
            <w:r>
              <w:rPr>
                <w:spacing w:val="-26"/>
                <w:sz w:val="21"/>
              </w:rPr>
              <w:t>于 </w:t>
            </w:r>
            <w:r>
              <w:rPr>
                <w:sz w:val="21"/>
              </w:rPr>
              <w:t>50%。</w:t>
            </w:r>
          </w:p>
        </w:tc>
      </w:tr>
      <w:tr>
        <w:trPr>
          <w:trHeight w:val="2183" w:hRule="atLeast"/>
        </w:trPr>
        <w:tc>
          <w:tcPr>
            <w:tcW w:w="1908" w:type="dxa"/>
          </w:tcPr>
          <w:p>
            <w:pPr>
              <w:pStyle w:val="TableParagraph"/>
              <w:spacing w:line="262" w:lineRule="exact"/>
              <w:rPr>
                <w:sz w:val="21"/>
              </w:rPr>
            </w:pPr>
            <w:r>
              <w:rPr>
                <w:sz w:val="21"/>
              </w:rPr>
              <w:t>三、脑中风后遗症</w:t>
            </w:r>
          </w:p>
        </w:tc>
        <w:tc>
          <w:tcPr>
            <w:tcW w:w="6813" w:type="dxa"/>
          </w:tcPr>
          <w:p>
            <w:pPr>
              <w:pStyle w:val="TableParagraph"/>
              <w:spacing w:line="273" w:lineRule="auto"/>
              <w:ind w:right="103"/>
              <w:jc w:val="both"/>
              <w:rPr>
                <w:sz w:val="21"/>
              </w:rPr>
            </w:pPr>
            <w:r>
              <w:rPr>
                <w:sz w:val="21"/>
              </w:rPr>
              <w:t>指因脑血管的突发病变引起脑血管出血、栓塞或梗塞，并导致神经系统永久性的功能障碍。神经系统永久性的功能障碍，指疾病确诊一百八十天后，仍遗留下列一种或一种以上障碍：</w:t>
            </w:r>
          </w:p>
          <w:p>
            <w:pPr>
              <w:pStyle w:val="TableParagraph"/>
              <w:numPr>
                <w:ilvl w:val="0"/>
                <w:numId w:val="10"/>
              </w:numPr>
              <w:tabs>
                <w:tab w:pos="529" w:val="left" w:leader="none"/>
              </w:tabs>
              <w:spacing w:line="240" w:lineRule="auto" w:before="20" w:after="0"/>
              <w:ind w:left="528" w:right="0" w:hanging="421"/>
              <w:jc w:val="left"/>
              <w:rPr>
                <w:sz w:val="21"/>
              </w:rPr>
            </w:pPr>
            <w:r>
              <w:rPr>
                <w:spacing w:val="-3"/>
                <w:sz w:val="21"/>
              </w:rPr>
              <w:t>一肢或一肢以上</w:t>
            </w:r>
            <w:r>
              <w:rPr>
                <w:b/>
                <w:spacing w:val="-2"/>
                <w:sz w:val="21"/>
              </w:rPr>
              <w:t>肢体机能完全丧失</w:t>
            </w:r>
            <w:r>
              <w:rPr>
                <w:b/>
                <w:position w:val="11"/>
                <w:sz w:val="11"/>
              </w:rPr>
              <w:t>17</w:t>
            </w:r>
            <w:r>
              <w:rPr>
                <w:sz w:val="21"/>
              </w:rPr>
              <w:t>；</w:t>
            </w:r>
          </w:p>
          <w:p>
            <w:pPr>
              <w:pStyle w:val="TableParagraph"/>
              <w:numPr>
                <w:ilvl w:val="0"/>
                <w:numId w:val="10"/>
              </w:numPr>
              <w:tabs>
                <w:tab w:pos="529" w:val="left" w:leader="none"/>
              </w:tabs>
              <w:spacing w:line="240" w:lineRule="auto" w:before="36" w:after="0"/>
              <w:ind w:left="528" w:right="0" w:hanging="421"/>
              <w:jc w:val="left"/>
              <w:rPr>
                <w:sz w:val="21"/>
              </w:rPr>
            </w:pPr>
            <w:r>
              <w:rPr>
                <w:b/>
                <w:spacing w:val="-3"/>
                <w:sz w:val="21"/>
              </w:rPr>
              <w:t>语言能力或咀嚼吞咽能力完全丧失</w:t>
            </w:r>
            <w:r>
              <w:rPr>
                <w:b/>
                <w:position w:val="11"/>
                <w:sz w:val="11"/>
              </w:rPr>
              <w:t>18</w:t>
            </w:r>
            <w:r>
              <w:rPr>
                <w:sz w:val="21"/>
              </w:rPr>
              <w:t>；</w:t>
            </w:r>
          </w:p>
          <w:p>
            <w:pPr>
              <w:pStyle w:val="TableParagraph"/>
              <w:numPr>
                <w:ilvl w:val="0"/>
                <w:numId w:val="10"/>
              </w:numPr>
              <w:tabs>
                <w:tab w:pos="529" w:val="left" w:leader="none"/>
              </w:tabs>
              <w:spacing w:line="273" w:lineRule="auto" w:before="36" w:after="0"/>
              <w:ind w:left="528" w:right="96" w:hanging="421"/>
              <w:jc w:val="left"/>
              <w:rPr>
                <w:sz w:val="21"/>
              </w:rPr>
            </w:pPr>
            <w:r>
              <w:rPr>
                <w:spacing w:val="-7"/>
                <w:sz w:val="21"/>
              </w:rPr>
              <w:t>自主生活能力完全丧失，无法独立完成</w:t>
            </w:r>
            <w:r>
              <w:rPr>
                <w:b/>
                <w:spacing w:val="-1"/>
                <w:sz w:val="21"/>
              </w:rPr>
              <w:t>六项基本日常生活活动</w:t>
            </w:r>
            <w:r>
              <w:rPr>
                <w:b/>
                <w:position w:val="11"/>
                <w:sz w:val="11"/>
              </w:rPr>
              <w:t>19</w:t>
            </w:r>
            <w:r>
              <w:rPr>
                <w:spacing w:val="-3"/>
                <w:sz w:val="21"/>
              </w:rPr>
              <w:t>中的三项或三项以上。</w:t>
            </w:r>
          </w:p>
        </w:tc>
      </w:tr>
      <w:tr>
        <w:trPr>
          <w:trHeight w:val="1560" w:hRule="atLeast"/>
        </w:trPr>
        <w:tc>
          <w:tcPr>
            <w:tcW w:w="1908" w:type="dxa"/>
          </w:tcPr>
          <w:p>
            <w:pPr>
              <w:pStyle w:val="TableParagraph"/>
              <w:spacing w:line="273" w:lineRule="auto"/>
              <w:ind w:right="105"/>
              <w:jc w:val="both"/>
              <w:rPr>
                <w:sz w:val="21"/>
              </w:rPr>
            </w:pPr>
            <w:r>
              <w:rPr>
                <w:sz w:val="21"/>
              </w:rPr>
              <w:t>四、重大器官移植术或造血干细胞移植术</w:t>
            </w:r>
          </w:p>
        </w:tc>
        <w:tc>
          <w:tcPr>
            <w:tcW w:w="6813" w:type="dxa"/>
          </w:tcPr>
          <w:p>
            <w:pPr>
              <w:pStyle w:val="TableParagraph"/>
              <w:spacing w:line="273" w:lineRule="auto"/>
              <w:ind w:right="103"/>
              <w:jc w:val="both"/>
              <w:rPr>
                <w:sz w:val="21"/>
              </w:rPr>
            </w:pPr>
            <w:r>
              <w:rPr>
                <w:sz w:val="21"/>
              </w:rPr>
              <w:t>重大器官移植术，指因相应器官功能衰竭，已经实施了肾脏、肝脏、心脏或肺脏的异体移植手术。</w:t>
            </w:r>
          </w:p>
          <w:p>
            <w:pPr>
              <w:pStyle w:val="TableParagraph"/>
              <w:spacing w:line="273" w:lineRule="auto" w:before="21"/>
              <w:ind w:right="15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9" w:hRule="atLeast"/>
        </w:trPr>
        <w:tc>
          <w:tcPr>
            <w:tcW w:w="1908" w:type="dxa"/>
          </w:tcPr>
          <w:p>
            <w:pPr>
              <w:pStyle w:val="TableParagraph"/>
              <w:spacing w:line="273" w:lineRule="auto"/>
              <w:ind w:right="105"/>
              <w:jc w:val="both"/>
              <w:rPr>
                <w:sz w:val="21"/>
              </w:rPr>
            </w:pPr>
            <w:r>
              <w:rPr>
                <w:sz w:val="21"/>
              </w:rPr>
              <w:t>五、冠状动脉搭桥术（或称冠状动脉旁路移植术）</w:t>
            </w:r>
          </w:p>
        </w:tc>
        <w:tc>
          <w:tcPr>
            <w:tcW w:w="6813" w:type="dxa"/>
          </w:tcPr>
          <w:p>
            <w:pPr>
              <w:pStyle w:val="TableParagraph"/>
              <w:spacing w:line="273" w:lineRule="auto"/>
              <w:ind w:right="103"/>
              <w:rPr>
                <w:sz w:val="21"/>
              </w:rPr>
            </w:pPr>
            <w:r>
              <w:rPr>
                <w:sz w:val="21"/>
              </w:rPr>
              <w:t>指为治疗严重的冠心病，实际实施了开胸进行的冠状动脉血管旁路移植的手术。</w:t>
            </w:r>
          </w:p>
          <w:p>
            <w:pPr>
              <w:pStyle w:val="TableParagraph"/>
              <w:spacing w:line="273" w:lineRule="auto" w:before="18"/>
              <w:ind w:right="102"/>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935" w:hRule="atLeast"/>
        </w:trPr>
        <w:tc>
          <w:tcPr>
            <w:tcW w:w="1908" w:type="dxa"/>
          </w:tcPr>
          <w:p>
            <w:pPr>
              <w:pStyle w:val="TableParagraph"/>
              <w:spacing w:line="273" w:lineRule="auto"/>
              <w:ind w:right="93"/>
              <w:jc w:val="both"/>
              <w:rPr>
                <w:sz w:val="21"/>
              </w:rPr>
            </w:pPr>
            <w:r>
              <w:rPr>
                <w:spacing w:val="-31"/>
                <w:sz w:val="21"/>
              </w:rPr>
              <w:t>六、终末期肾病</w:t>
            </w:r>
            <w:r>
              <w:rPr>
                <w:spacing w:val="-3"/>
                <w:sz w:val="21"/>
              </w:rPr>
              <w:t>（</w:t>
            </w:r>
            <w:r>
              <w:rPr>
                <w:sz w:val="21"/>
              </w:rPr>
              <w:t>或</w:t>
            </w:r>
            <w:r>
              <w:rPr>
                <w:spacing w:val="-3"/>
                <w:sz w:val="21"/>
              </w:rPr>
              <w:t>称慢性肾功能衰竭尿毒症期</w:t>
            </w:r>
            <w:r>
              <w:rPr>
                <w:sz w:val="21"/>
              </w:rPr>
              <w:t>）</w:t>
            </w:r>
          </w:p>
        </w:tc>
        <w:tc>
          <w:tcPr>
            <w:tcW w:w="6813" w:type="dxa"/>
          </w:tcPr>
          <w:p>
            <w:pPr>
              <w:pStyle w:val="TableParagraph"/>
              <w:spacing w:line="273" w:lineRule="auto"/>
              <w:ind w:right="103"/>
              <w:rPr>
                <w:sz w:val="21"/>
              </w:rPr>
            </w:pPr>
            <w:r>
              <w:rPr>
                <w:sz w:val="21"/>
              </w:rPr>
              <w:t>指双肾功能慢性不可逆性衰竭，达到尿毒症期，经诊断后已经进行了至少九十天的规律性透析治疗或实施了肾脏移植手术。</w:t>
            </w:r>
          </w:p>
        </w:tc>
      </w:tr>
      <w:tr>
        <w:trPr>
          <w:trHeight w:val="623" w:hRule="atLeast"/>
        </w:trPr>
        <w:tc>
          <w:tcPr>
            <w:tcW w:w="1908" w:type="dxa"/>
          </w:tcPr>
          <w:p>
            <w:pPr>
              <w:pStyle w:val="TableParagraph"/>
              <w:spacing w:line="262" w:lineRule="exact"/>
              <w:rPr>
                <w:sz w:val="21"/>
              </w:rPr>
            </w:pPr>
            <w:r>
              <w:rPr>
                <w:sz w:val="21"/>
              </w:rPr>
              <w:t>七、多个肢体缺失</w:t>
            </w:r>
          </w:p>
        </w:tc>
        <w:tc>
          <w:tcPr>
            <w:tcW w:w="6813" w:type="dxa"/>
          </w:tcPr>
          <w:p>
            <w:pPr>
              <w:pStyle w:val="TableParagraph"/>
              <w:spacing w:line="262" w:lineRule="exact"/>
              <w:rPr>
                <w:sz w:val="21"/>
              </w:rPr>
            </w:pPr>
            <w:r>
              <w:rPr>
                <w:sz w:val="21"/>
              </w:rPr>
              <w:t>指因疾病或意外伤害导致两个或两个以上肢体自腕关节或踝关节近端</w:t>
            </w:r>
          </w:p>
          <w:p>
            <w:pPr>
              <w:pStyle w:val="TableParagraph"/>
              <w:spacing w:before="37"/>
              <w:rPr>
                <w:sz w:val="21"/>
              </w:rPr>
            </w:pPr>
            <w:r>
              <w:rPr>
                <w:sz w:val="21"/>
              </w:rPr>
              <w:t>（靠近躯干端）以上完全性断离。</w:t>
            </w:r>
          </w:p>
        </w:tc>
      </w:tr>
      <w:tr>
        <w:trPr>
          <w:trHeight w:val="1871" w:hRule="atLeast"/>
        </w:trPr>
        <w:tc>
          <w:tcPr>
            <w:tcW w:w="1908" w:type="dxa"/>
          </w:tcPr>
          <w:p>
            <w:pPr>
              <w:pStyle w:val="TableParagraph"/>
              <w:spacing w:line="273" w:lineRule="auto"/>
              <w:ind w:right="94"/>
              <w:rPr>
                <w:sz w:val="21"/>
              </w:rPr>
            </w:pPr>
            <w:r>
              <w:rPr>
                <w:sz w:val="21"/>
              </w:rPr>
              <w:t>八、急性或亚急性重症肝炎</w:t>
            </w:r>
          </w:p>
        </w:tc>
        <w:tc>
          <w:tcPr>
            <w:tcW w:w="6813" w:type="dxa"/>
          </w:tcPr>
          <w:p>
            <w:pPr>
              <w:pStyle w:val="TableParagraph"/>
              <w:spacing w:line="273" w:lineRule="auto"/>
              <w:ind w:right="103"/>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1"/>
              </w:numPr>
              <w:tabs>
                <w:tab w:pos="529" w:val="left" w:leader="none"/>
              </w:tabs>
              <w:spacing w:line="240" w:lineRule="auto" w:before="20" w:after="0"/>
              <w:ind w:left="528" w:right="0" w:hanging="421"/>
              <w:jc w:val="left"/>
              <w:rPr>
                <w:sz w:val="21"/>
              </w:rPr>
            </w:pPr>
            <w:r>
              <w:rPr>
                <w:spacing w:val="-3"/>
                <w:sz w:val="21"/>
              </w:rPr>
              <w:t>重度黄疸或黄疸迅速加重；</w:t>
            </w:r>
          </w:p>
          <w:p>
            <w:pPr>
              <w:pStyle w:val="TableParagraph"/>
              <w:numPr>
                <w:ilvl w:val="0"/>
                <w:numId w:val="11"/>
              </w:numPr>
              <w:tabs>
                <w:tab w:pos="529" w:val="left" w:leader="none"/>
              </w:tabs>
              <w:spacing w:line="240" w:lineRule="auto" w:before="37" w:after="0"/>
              <w:ind w:left="528" w:right="0" w:hanging="421"/>
              <w:jc w:val="left"/>
              <w:rPr>
                <w:sz w:val="21"/>
              </w:rPr>
            </w:pPr>
            <w:r>
              <w:rPr>
                <w:spacing w:val="-1"/>
                <w:sz w:val="21"/>
              </w:rPr>
              <w:t>肝性脑病；</w:t>
            </w:r>
          </w:p>
          <w:p>
            <w:pPr>
              <w:pStyle w:val="TableParagraph"/>
              <w:numPr>
                <w:ilvl w:val="0"/>
                <w:numId w:val="11"/>
              </w:numPr>
              <w:tabs>
                <w:tab w:pos="529" w:val="left" w:leader="none"/>
              </w:tabs>
              <w:spacing w:line="240" w:lineRule="auto" w:before="37" w:after="0"/>
              <w:ind w:left="528" w:right="0" w:hanging="421"/>
              <w:jc w:val="left"/>
              <w:rPr>
                <w:sz w:val="21"/>
              </w:rPr>
            </w:pPr>
            <w:r>
              <w:rPr>
                <w:sz w:val="21"/>
              </w:rPr>
              <w:t>B</w:t>
            </w:r>
            <w:r>
              <w:rPr>
                <w:spacing w:val="-7"/>
                <w:sz w:val="21"/>
              </w:rPr>
              <w:t> 超或其它影像学检查显示肝脏体积急速萎缩；</w:t>
            </w:r>
          </w:p>
          <w:p>
            <w:pPr>
              <w:pStyle w:val="TableParagraph"/>
              <w:numPr>
                <w:ilvl w:val="0"/>
                <w:numId w:val="11"/>
              </w:numPr>
              <w:tabs>
                <w:tab w:pos="529" w:val="left" w:leader="none"/>
              </w:tabs>
              <w:spacing w:line="240" w:lineRule="auto" w:before="37" w:after="0"/>
              <w:ind w:left="528" w:right="0" w:hanging="421"/>
              <w:jc w:val="left"/>
              <w:rPr>
                <w:sz w:val="21"/>
              </w:rPr>
            </w:pPr>
            <w:r>
              <w:rPr>
                <w:spacing w:val="-3"/>
                <w:sz w:val="21"/>
              </w:rPr>
              <w:t>肝功能指标进行性恶化。</w:t>
            </w:r>
          </w:p>
        </w:tc>
      </w:tr>
      <w:tr>
        <w:trPr>
          <w:trHeight w:val="623" w:hRule="atLeast"/>
        </w:trPr>
        <w:tc>
          <w:tcPr>
            <w:tcW w:w="1908" w:type="dxa"/>
          </w:tcPr>
          <w:p>
            <w:pPr>
              <w:pStyle w:val="TableParagraph"/>
              <w:spacing w:line="262" w:lineRule="exact"/>
              <w:rPr>
                <w:sz w:val="21"/>
              </w:rPr>
            </w:pPr>
            <w:r>
              <w:rPr>
                <w:sz w:val="21"/>
              </w:rPr>
              <w:t>九、良性脑肿瘤</w:t>
            </w:r>
          </w:p>
        </w:tc>
        <w:tc>
          <w:tcPr>
            <w:tcW w:w="6813" w:type="dxa"/>
          </w:tcPr>
          <w:p>
            <w:pPr>
              <w:pStyle w:val="TableParagraph"/>
              <w:spacing w:line="273" w:lineRule="auto"/>
              <w:ind w:right="94"/>
              <w:rPr>
                <w:sz w:val="21"/>
              </w:rPr>
            </w:pPr>
            <w:r>
              <w:rPr>
                <w:sz w:val="21"/>
              </w:rPr>
              <w:t>指脑的良性肿瘤，已经引起颅内压增高，临床表现为视神经乳头水肿、</w:t>
            </w:r>
            <w:r>
              <w:rPr>
                <w:spacing w:val="-24"/>
                <w:w w:val="100"/>
                <w:sz w:val="21"/>
              </w:rPr>
              <w:t>精神症状、癫痫及运动感觉障碍等，并危及生命。须由头颅断层扫描</w:t>
            </w:r>
            <w:r>
              <w:rPr>
                <w:spacing w:val="-2"/>
                <w:w w:val="100"/>
                <w:sz w:val="21"/>
              </w:rPr>
              <w:t>（</w:t>
            </w:r>
            <w:r>
              <w:rPr>
                <w:w w:val="100"/>
                <w:sz w:val="21"/>
              </w:rPr>
              <w:t>CT</w:t>
            </w:r>
            <w:r>
              <w:rPr>
                <w:spacing w:val="-106"/>
                <w:w w:val="100"/>
                <w:sz w:val="21"/>
              </w:rPr>
              <w:t>）、</w:t>
            </w:r>
          </w:p>
        </w:tc>
      </w:tr>
    </w:tbl>
    <w:p>
      <w:pPr>
        <w:pStyle w:val="BodyText"/>
        <w:spacing w:before="11"/>
        <w:ind w:left="0"/>
        <w:rPr>
          <w:sz w:val="20"/>
        </w:rPr>
      </w:pPr>
      <w:r>
        <w:rPr/>
        <w:pict>
          <v:line style="position:absolute;mso-position-horizontal-relative:page;mso-position-vertical-relative:paragraph;z-index:1168;mso-wrap-distance-left:0;mso-wrap-distance-right:0" from="89.903999pt,15.83998pt" to="233.923999pt,15.83998pt" stroked="true" strokeweight=".48004pt" strokecolor="#000000">
            <v:stroke dashstyle="solid"/>
            <w10:wrap type="topAndBottom"/>
          </v:line>
        </w:pict>
      </w:r>
    </w:p>
    <w:p>
      <w:pPr>
        <w:spacing w:line="237" w:lineRule="auto" w:before="41"/>
        <w:ind w:left="218" w:right="412" w:firstLine="0"/>
        <w:jc w:val="left"/>
        <w:rPr>
          <w:sz w:val="18"/>
        </w:rPr>
      </w:pPr>
      <w:r>
        <w:rPr>
          <w:rFonts w:ascii="Times New Roman" w:eastAsia="Times New Roman"/>
          <w:position w:val="8"/>
          <w:sz w:val="12"/>
        </w:rPr>
        <w:t>17 </w:t>
      </w:r>
      <w:r>
        <w:rPr>
          <w:b/>
          <w:sz w:val="18"/>
        </w:rPr>
        <w:t>肢体机能完全丧失</w:t>
      </w:r>
      <w:r>
        <w:rPr>
          <w:sz w:val="18"/>
        </w:rPr>
        <w:t>：指肢体的三大关节中的两大关节僵硬，或不能随意识活动。肢体是指包括肩关节的整个上肢或包括髋关节的整个下肢。</w:t>
      </w:r>
    </w:p>
    <w:p>
      <w:pPr>
        <w:spacing w:line="240" w:lineRule="auto" w:before="0"/>
        <w:ind w:left="218" w:right="402" w:firstLine="0"/>
        <w:jc w:val="left"/>
        <w:rPr>
          <w:sz w:val="18"/>
        </w:rPr>
      </w:pPr>
      <w:r>
        <w:rPr>
          <w:rFonts w:ascii="Times New Roman" w:eastAsia="Times New Roman"/>
          <w:position w:val="8"/>
          <w:sz w:val="12"/>
        </w:rPr>
        <w:t>18 </w:t>
      </w:r>
      <w:r>
        <w:rPr>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37" w:lineRule="auto" w:before="3"/>
        <w:ind w:left="218" w:right="446" w:firstLine="0"/>
        <w:jc w:val="left"/>
        <w:rPr>
          <w:sz w:val="18"/>
        </w:rPr>
      </w:pPr>
      <w:r>
        <w:rPr>
          <w:sz w:val="18"/>
        </w:rPr>
        <w:t>咀嚼吞咽能力完全丧失，指因牙齿以外的原因导致器质障碍或机能障碍，以致不能作咀嚼吞咽运动，除流质食物外不能摄取或吞咽的状态。</w:t>
      </w:r>
    </w:p>
    <w:p>
      <w:pPr>
        <w:spacing w:line="233" w:lineRule="exact" w:before="0"/>
        <w:ind w:left="218" w:right="0" w:firstLine="0"/>
        <w:jc w:val="left"/>
        <w:rPr>
          <w:sz w:val="18"/>
        </w:rPr>
      </w:pPr>
      <w:r>
        <w:rPr>
          <w:rFonts w:ascii="Times New Roman" w:eastAsia="Times New Roman"/>
          <w:position w:val="8"/>
          <w:sz w:val="12"/>
        </w:rPr>
        <w:t>19  </w:t>
      </w:r>
      <w:r>
        <w:rPr>
          <w:b/>
          <w:sz w:val="18"/>
        </w:rPr>
        <w:t>六项基本日常生活活动</w:t>
      </w:r>
      <w:r>
        <w:rPr>
          <w:sz w:val="18"/>
        </w:rPr>
        <w:t>：六项基本日常生活活动是指：</w:t>
      </w:r>
    </w:p>
    <w:p>
      <w:pPr>
        <w:pStyle w:val="ListParagraph"/>
        <w:numPr>
          <w:ilvl w:val="0"/>
          <w:numId w:val="12"/>
        </w:numPr>
        <w:tabs>
          <w:tab w:pos="758" w:val="left" w:leader="none"/>
        </w:tabs>
        <w:spacing w:line="234" w:lineRule="exact" w:before="0" w:after="0"/>
        <w:ind w:left="758" w:right="0" w:hanging="360"/>
        <w:jc w:val="left"/>
        <w:rPr>
          <w:sz w:val="18"/>
        </w:rPr>
      </w:pPr>
      <w:r>
        <w:rPr>
          <w:sz w:val="18"/>
        </w:rPr>
        <w:t>穿衣：自己能够穿衣及脱衣；</w:t>
      </w:r>
    </w:p>
    <w:p>
      <w:pPr>
        <w:pStyle w:val="ListParagraph"/>
        <w:numPr>
          <w:ilvl w:val="0"/>
          <w:numId w:val="12"/>
        </w:numPr>
        <w:tabs>
          <w:tab w:pos="757" w:val="left" w:leader="none"/>
          <w:tab w:pos="758" w:val="left" w:leader="none"/>
        </w:tabs>
        <w:spacing w:line="240" w:lineRule="exact" w:before="0" w:after="0"/>
        <w:ind w:left="758" w:right="0" w:hanging="360"/>
        <w:jc w:val="left"/>
        <w:rPr>
          <w:rFonts w:ascii="Times New Roman" w:eastAsia="Times New Roman"/>
          <w:sz w:val="18"/>
        </w:rPr>
      </w:pPr>
      <w:r>
        <w:rPr>
          <w:w w:val="95"/>
          <w:sz w:val="18"/>
        </w:rPr>
        <w:t>移动：自己从一个房间到另一个房间；</w:t>
      </w:r>
    </w:p>
    <w:p>
      <w:pPr>
        <w:pStyle w:val="ListParagraph"/>
        <w:numPr>
          <w:ilvl w:val="0"/>
          <w:numId w:val="12"/>
        </w:numPr>
        <w:tabs>
          <w:tab w:pos="757" w:val="left" w:leader="none"/>
          <w:tab w:pos="758" w:val="left" w:leader="none"/>
        </w:tabs>
        <w:spacing w:line="233" w:lineRule="exact" w:before="0" w:after="0"/>
        <w:ind w:left="758" w:right="0" w:hanging="360"/>
        <w:jc w:val="left"/>
        <w:rPr>
          <w:rFonts w:ascii="Times New Roman" w:eastAsia="Times New Roman"/>
          <w:sz w:val="18"/>
        </w:rPr>
      </w:pPr>
      <w:r>
        <w:rPr>
          <w:w w:val="95"/>
          <w:sz w:val="18"/>
        </w:rPr>
        <w:t>行动：自己上下床或上下轮椅；</w:t>
      </w:r>
    </w:p>
    <w:p>
      <w:pPr>
        <w:pStyle w:val="ListParagraph"/>
        <w:numPr>
          <w:ilvl w:val="0"/>
          <w:numId w:val="12"/>
        </w:numPr>
        <w:tabs>
          <w:tab w:pos="757" w:val="left" w:leader="none"/>
          <w:tab w:pos="758" w:val="left" w:leader="none"/>
        </w:tabs>
        <w:spacing w:line="234" w:lineRule="exact" w:before="0" w:after="0"/>
        <w:ind w:left="758" w:right="0" w:hanging="360"/>
        <w:jc w:val="left"/>
        <w:rPr>
          <w:rFonts w:ascii="Times New Roman" w:eastAsia="Times New Roman"/>
          <w:sz w:val="18"/>
        </w:rPr>
      </w:pPr>
      <w:r>
        <w:rPr>
          <w:w w:val="95"/>
          <w:sz w:val="18"/>
        </w:rPr>
        <w:t>如厕：自己控制进行大小便；</w:t>
      </w:r>
    </w:p>
    <w:p>
      <w:pPr>
        <w:pStyle w:val="ListParagraph"/>
        <w:numPr>
          <w:ilvl w:val="0"/>
          <w:numId w:val="12"/>
        </w:numPr>
        <w:tabs>
          <w:tab w:pos="757" w:val="left" w:leader="none"/>
          <w:tab w:pos="758" w:val="left" w:leader="none"/>
        </w:tabs>
        <w:spacing w:line="234" w:lineRule="exact" w:before="0" w:after="0"/>
        <w:ind w:left="758" w:right="0" w:hanging="360"/>
        <w:jc w:val="left"/>
        <w:rPr>
          <w:rFonts w:ascii="Times New Roman" w:eastAsia="Times New Roman"/>
          <w:sz w:val="18"/>
        </w:rPr>
      </w:pPr>
      <w:r>
        <w:rPr>
          <w:w w:val="95"/>
          <w:sz w:val="18"/>
        </w:rPr>
        <w:t>进食：自己从已准备好的碗或碟中取食物放入口中；</w:t>
      </w:r>
    </w:p>
    <w:p>
      <w:pPr>
        <w:pStyle w:val="ListParagraph"/>
        <w:numPr>
          <w:ilvl w:val="0"/>
          <w:numId w:val="12"/>
        </w:numPr>
        <w:tabs>
          <w:tab w:pos="757" w:val="left" w:leader="none"/>
          <w:tab w:pos="758" w:val="left" w:leader="none"/>
        </w:tabs>
        <w:spacing w:line="241" w:lineRule="exact" w:before="0" w:after="0"/>
        <w:ind w:left="758" w:right="0" w:hanging="360"/>
        <w:jc w:val="left"/>
        <w:rPr>
          <w:rFonts w:ascii="Times New Roman" w:eastAsia="Times New Roman"/>
          <w:sz w:val="18"/>
        </w:rPr>
      </w:pPr>
      <w:r>
        <w:rPr>
          <w:w w:val="95"/>
          <w:sz w:val="18"/>
        </w:rPr>
        <w:t>洗澡：自己进行淋浴或盆浴。</w:t>
      </w:r>
    </w:p>
    <w:p>
      <w:pPr>
        <w:spacing w:after="0" w:line="241" w:lineRule="exact"/>
        <w:jc w:val="left"/>
        <w:rPr>
          <w:rFonts w:ascii="Times New Roman" w:eastAsia="Times New Roman"/>
          <w:sz w:val="18"/>
        </w:rPr>
        <w:sectPr>
          <w:footerReference w:type="default" r:id="rId8"/>
          <w:pgSz w:w="11910" w:h="16840"/>
          <w:pgMar w:footer="1057" w:header="0" w:top="1420" w:bottom="1240" w:left="1580" w:right="1380"/>
          <w:pgNumType w:start="1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3"/>
      </w:tblGrid>
      <w:tr>
        <w:trPr>
          <w:trHeight w:val="1559" w:hRule="atLeast"/>
        </w:trPr>
        <w:tc>
          <w:tcPr>
            <w:tcW w:w="1908" w:type="dxa"/>
          </w:tcPr>
          <w:p>
            <w:pPr>
              <w:pStyle w:val="TableParagraph"/>
              <w:ind w:left="0"/>
              <w:rPr>
                <w:rFonts w:ascii="Times New Roman"/>
                <w:sz w:val="20"/>
              </w:rPr>
            </w:pPr>
          </w:p>
        </w:tc>
        <w:tc>
          <w:tcPr>
            <w:tcW w:w="6813" w:type="dxa"/>
          </w:tcPr>
          <w:p>
            <w:pPr>
              <w:pStyle w:val="TableParagraph"/>
              <w:spacing w:line="273" w:lineRule="auto"/>
              <w:ind w:right="-15"/>
              <w:rPr>
                <w:sz w:val="21"/>
              </w:rPr>
            </w:pPr>
            <w:r>
              <w:rPr>
                <w:spacing w:val="-3"/>
                <w:sz w:val="21"/>
              </w:rPr>
              <w:t>核磁共振检查（MRI）</w:t>
            </w:r>
            <w:r>
              <w:rPr>
                <w:spacing w:val="-4"/>
                <w:sz w:val="21"/>
              </w:rPr>
              <w:t>或正电子发射断层扫描</w:t>
            </w:r>
            <w:r>
              <w:rPr>
                <w:spacing w:val="-3"/>
                <w:sz w:val="21"/>
              </w:rPr>
              <w:t>（PET）等影像学检查证实， 并须满足下列至少一项条件：</w:t>
            </w:r>
          </w:p>
          <w:p>
            <w:pPr>
              <w:pStyle w:val="TableParagraph"/>
              <w:numPr>
                <w:ilvl w:val="0"/>
                <w:numId w:val="13"/>
              </w:numPr>
              <w:tabs>
                <w:tab w:pos="529" w:val="left" w:leader="none"/>
              </w:tabs>
              <w:spacing w:line="240" w:lineRule="auto" w:before="20" w:after="0"/>
              <w:ind w:left="528" w:right="0" w:hanging="421"/>
              <w:jc w:val="left"/>
              <w:rPr>
                <w:sz w:val="21"/>
              </w:rPr>
            </w:pPr>
            <w:r>
              <w:rPr>
                <w:spacing w:val="-3"/>
                <w:sz w:val="21"/>
              </w:rPr>
              <w:t>实际实施了开颅进行的脑肿瘤完全切除或部分切除的手术；</w:t>
            </w:r>
          </w:p>
          <w:p>
            <w:pPr>
              <w:pStyle w:val="TableParagraph"/>
              <w:numPr>
                <w:ilvl w:val="0"/>
                <w:numId w:val="13"/>
              </w:numPr>
              <w:tabs>
                <w:tab w:pos="529" w:val="left" w:leader="none"/>
              </w:tabs>
              <w:spacing w:line="240" w:lineRule="auto" w:before="36" w:after="0"/>
              <w:ind w:left="528" w:right="0" w:hanging="421"/>
              <w:jc w:val="left"/>
              <w:rPr>
                <w:sz w:val="21"/>
              </w:rPr>
            </w:pPr>
            <w:r>
              <w:rPr>
                <w:spacing w:val="-3"/>
                <w:sz w:val="21"/>
              </w:rPr>
              <w:t>实际实施了对脑肿瘤进行的放射治疗。</w:t>
            </w:r>
          </w:p>
          <w:p>
            <w:pPr>
              <w:pStyle w:val="TableParagraph"/>
              <w:spacing w:before="36"/>
              <w:rPr>
                <w:rFonts w:ascii="黑体" w:eastAsia="黑体" w:hint="eastAsia"/>
                <w:sz w:val="21"/>
              </w:rPr>
            </w:pPr>
            <w:r>
              <w:rPr>
                <w:rFonts w:ascii="黑体" w:eastAsia="黑体" w:hint="eastAsia"/>
                <w:sz w:val="21"/>
              </w:rPr>
              <w:t>脑垂体瘤、脑囊肿、脑血管性疾病不在保障范围内。</w:t>
            </w:r>
          </w:p>
        </w:tc>
      </w:tr>
      <w:tr>
        <w:trPr>
          <w:trHeight w:val="1871" w:hRule="atLeast"/>
        </w:trPr>
        <w:tc>
          <w:tcPr>
            <w:tcW w:w="1908" w:type="dxa"/>
          </w:tcPr>
          <w:p>
            <w:pPr>
              <w:pStyle w:val="TableParagraph"/>
              <w:spacing w:line="273" w:lineRule="auto"/>
              <w:ind w:right="94"/>
              <w:rPr>
                <w:sz w:val="21"/>
              </w:rPr>
            </w:pPr>
            <w:r>
              <w:rPr>
                <w:sz w:val="21"/>
              </w:rPr>
              <w:t>十、慢性肝功能衰竭失代偿期</w:t>
            </w:r>
          </w:p>
        </w:tc>
        <w:tc>
          <w:tcPr>
            <w:tcW w:w="6813" w:type="dxa"/>
          </w:tcPr>
          <w:p>
            <w:pPr>
              <w:pStyle w:val="TableParagraph"/>
              <w:spacing w:line="262" w:lineRule="exact"/>
              <w:rPr>
                <w:sz w:val="21"/>
              </w:rPr>
            </w:pPr>
            <w:r>
              <w:rPr>
                <w:sz w:val="21"/>
              </w:rPr>
              <w:t>指因慢性肝脏疾病导致肝功能衰竭。须满足下列全部条件：</w:t>
            </w:r>
          </w:p>
          <w:p>
            <w:pPr>
              <w:pStyle w:val="TableParagraph"/>
              <w:numPr>
                <w:ilvl w:val="0"/>
                <w:numId w:val="14"/>
              </w:numPr>
              <w:tabs>
                <w:tab w:pos="529" w:val="left" w:leader="none"/>
              </w:tabs>
              <w:spacing w:line="240" w:lineRule="auto" w:before="37" w:after="0"/>
              <w:ind w:left="528" w:right="0" w:hanging="421"/>
              <w:jc w:val="left"/>
              <w:rPr>
                <w:sz w:val="21"/>
              </w:rPr>
            </w:pPr>
            <w:r>
              <w:rPr>
                <w:spacing w:val="-2"/>
                <w:sz w:val="21"/>
              </w:rPr>
              <w:t>持续性黄疸；</w:t>
            </w:r>
          </w:p>
          <w:p>
            <w:pPr>
              <w:pStyle w:val="TableParagraph"/>
              <w:numPr>
                <w:ilvl w:val="0"/>
                <w:numId w:val="14"/>
              </w:numPr>
              <w:tabs>
                <w:tab w:pos="529" w:val="left" w:leader="none"/>
              </w:tabs>
              <w:spacing w:line="240" w:lineRule="auto" w:before="37" w:after="0"/>
              <w:ind w:left="528" w:right="0" w:hanging="421"/>
              <w:jc w:val="left"/>
              <w:rPr>
                <w:sz w:val="21"/>
              </w:rPr>
            </w:pPr>
            <w:r>
              <w:rPr>
                <w:sz w:val="21"/>
              </w:rPr>
              <w:t>腹水；</w:t>
            </w:r>
          </w:p>
          <w:p>
            <w:pPr>
              <w:pStyle w:val="TableParagraph"/>
              <w:numPr>
                <w:ilvl w:val="0"/>
                <w:numId w:val="14"/>
              </w:numPr>
              <w:tabs>
                <w:tab w:pos="529" w:val="left" w:leader="none"/>
              </w:tabs>
              <w:spacing w:line="240" w:lineRule="auto" w:before="37" w:after="0"/>
              <w:ind w:left="528" w:right="0" w:hanging="421"/>
              <w:jc w:val="left"/>
              <w:rPr>
                <w:sz w:val="21"/>
              </w:rPr>
            </w:pPr>
            <w:r>
              <w:rPr>
                <w:spacing w:val="-1"/>
                <w:sz w:val="21"/>
              </w:rPr>
              <w:t>肝性脑病；</w:t>
            </w:r>
          </w:p>
          <w:p>
            <w:pPr>
              <w:pStyle w:val="TableParagraph"/>
              <w:numPr>
                <w:ilvl w:val="0"/>
                <w:numId w:val="14"/>
              </w:numPr>
              <w:tabs>
                <w:tab w:pos="529" w:val="left" w:leader="none"/>
              </w:tabs>
              <w:spacing w:line="240" w:lineRule="auto" w:before="37" w:after="0"/>
              <w:ind w:left="528" w:right="0" w:hanging="421"/>
              <w:jc w:val="left"/>
              <w:rPr>
                <w:sz w:val="21"/>
              </w:rPr>
            </w:pPr>
            <w:r>
              <w:rPr>
                <w:spacing w:val="-3"/>
                <w:sz w:val="21"/>
              </w:rPr>
              <w:t>充血性脾肿大伴脾功能亢进或食管胃底静脉曲张。</w:t>
            </w:r>
          </w:p>
          <w:p>
            <w:pPr>
              <w:pStyle w:val="TableParagraph"/>
              <w:spacing w:before="37"/>
              <w:ind w:left="100"/>
              <w:rPr>
                <w:rFonts w:ascii="黑体" w:eastAsia="黑体" w:hint="eastAsia"/>
                <w:sz w:val="21"/>
              </w:rPr>
            </w:pPr>
            <w:r>
              <w:rPr>
                <w:rFonts w:ascii="黑体" w:eastAsia="黑体" w:hint="eastAsia"/>
                <w:sz w:val="21"/>
              </w:rPr>
              <w:t>因酗酒或药物滥用导致的肝功能衰竭不在保障范围内。</w:t>
            </w:r>
          </w:p>
        </w:tc>
      </w:tr>
      <w:tr>
        <w:trPr>
          <w:trHeight w:val="2184" w:hRule="atLeast"/>
        </w:trPr>
        <w:tc>
          <w:tcPr>
            <w:tcW w:w="1908" w:type="dxa"/>
          </w:tcPr>
          <w:p>
            <w:pPr>
              <w:pStyle w:val="TableParagraph"/>
              <w:spacing w:line="273" w:lineRule="auto"/>
              <w:ind w:right="105"/>
              <w:rPr>
                <w:sz w:val="21"/>
              </w:rPr>
            </w:pPr>
            <w:r>
              <w:rPr>
                <w:sz w:val="21"/>
              </w:rPr>
              <w:t>十一、脑炎后遗症或脑膜炎后遗症</w:t>
            </w:r>
          </w:p>
        </w:tc>
        <w:tc>
          <w:tcPr>
            <w:tcW w:w="6813" w:type="dxa"/>
          </w:tcPr>
          <w:p>
            <w:pPr>
              <w:pStyle w:val="TableParagraph"/>
              <w:spacing w:line="273" w:lineRule="auto"/>
              <w:ind w:right="99"/>
              <w:jc w:val="both"/>
              <w:rPr>
                <w:sz w:val="21"/>
              </w:rPr>
            </w:pPr>
            <w:r>
              <w:rPr>
                <w:sz w:val="21"/>
              </w:rPr>
              <w:t>指因患脑炎或脑膜炎导致的神经系统永久性的功能障碍。神经系统永久性的功能障碍，指疾病确诊一百八十天后，仍遗留下列一种或一种以上障碍：</w:t>
            </w:r>
          </w:p>
          <w:p>
            <w:pPr>
              <w:pStyle w:val="TableParagraph"/>
              <w:numPr>
                <w:ilvl w:val="0"/>
                <w:numId w:val="15"/>
              </w:numPr>
              <w:tabs>
                <w:tab w:pos="529" w:val="left" w:leader="none"/>
              </w:tabs>
              <w:spacing w:line="240" w:lineRule="auto" w:before="20" w:after="0"/>
              <w:ind w:left="528" w:right="0" w:hanging="421"/>
              <w:jc w:val="left"/>
              <w:rPr>
                <w:sz w:val="21"/>
              </w:rPr>
            </w:pPr>
            <w:r>
              <w:rPr>
                <w:spacing w:val="-3"/>
                <w:sz w:val="21"/>
              </w:rPr>
              <w:t>一肢或一肢以上肢体机能完全丧失；</w:t>
            </w:r>
          </w:p>
          <w:p>
            <w:pPr>
              <w:pStyle w:val="TableParagraph"/>
              <w:numPr>
                <w:ilvl w:val="0"/>
                <w:numId w:val="15"/>
              </w:numPr>
              <w:tabs>
                <w:tab w:pos="529" w:val="left" w:leader="none"/>
              </w:tabs>
              <w:spacing w:line="240" w:lineRule="auto" w:before="36" w:after="0"/>
              <w:ind w:left="528" w:right="0" w:hanging="421"/>
              <w:jc w:val="left"/>
              <w:rPr>
                <w:sz w:val="21"/>
              </w:rPr>
            </w:pPr>
            <w:r>
              <w:rPr>
                <w:spacing w:val="-3"/>
                <w:sz w:val="21"/>
              </w:rPr>
              <w:t>语言能力或咀嚼吞咽能力完全丧失；</w:t>
            </w:r>
          </w:p>
          <w:p>
            <w:pPr>
              <w:pStyle w:val="TableParagraph"/>
              <w:numPr>
                <w:ilvl w:val="0"/>
                <w:numId w:val="15"/>
              </w:numPr>
              <w:tabs>
                <w:tab w:pos="529" w:val="left" w:leader="none"/>
              </w:tabs>
              <w:spacing w:line="273" w:lineRule="auto" w:before="36" w:after="0"/>
              <w:ind w:left="528" w:right="103" w:hanging="421"/>
              <w:jc w:val="left"/>
              <w:rPr>
                <w:sz w:val="21"/>
              </w:rPr>
            </w:pPr>
            <w:r>
              <w:rPr>
                <w:sz w:val="21"/>
              </w:rPr>
              <w:t>自主生活能力完全丧失，无法独立完成六项基本日常生活活动中的</w:t>
            </w:r>
            <w:r>
              <w:rPr>
                <w:spacing w:val="-3"/>
                <w:sz w:val="21"/>
              </w:rPr>
              <w:t>三项或三项以上。</w:t>
            </w:r>
          </w:p>
        </w:tc>
      </w:tr>
      <w:tr>
        <w:trPr>
          <w:trHeight w:val="1250" w:hRule="atLeast"/>
        </w:trPr>
        <w:tc>
          <w:tcPr>
            <w:tcW w:w="1908" w:type="dxa"/>
          </w:tcPr>
          <w:p>
            <w:pPr>
              <w:pStyle w:val="TableParagraph"/>
              <w:spacing w:line="265" w:lineRule="exact"/>
              <w:rPr>
                <w:sz w:val="21"/>
              </w:rPr>
            </w:pPr>
            <w:r>
              <w:rPr>
                <w:sz w:val="21"/>
              </w:rPr>
              <w:t>十二、深度昏迷</w:t>
            </w:r>
          </w:p>
        </w:tc>
        <w:tc>
          <w:tcPr>
            <w:tcW w:w="6813" w:type="dxa"/>
          </w:tcPr>
          <w:p>
            <w:pPr>
              <w:pStyle w:val="TableParagraph"/>
              <w:spacing w:line="273" w:lineRule="auto"/>
              <w:ind w:right="74"/>
              <w:rPr>
                <w:rFonts w:ascii="黑体" w:eastAsia="黑体" w:hint="eastAsia"/>
                <w:sz w:val="21"/>
              </w:rPr>
            </w:pPr>
            <w:r>
              <w:rPr>
                <w:sz w:val="21"/>
              </w:rPr>
              <w:t>指因疾病或意外伤害导致意识丧失,对外界刺激和体内需求均无反应,昏迷程度按照格拉斯哥昏迷分级（Glasgow coma scale）结果为 5 分或 5 分以下，且已经持续使用呼吸机及其它生命维持系统九十六小时以上。</w:t>
            </w:r>
            <w:r>
              <w:rPr>
                <w:rFonts w:ascii="黑体" w:eastAsia="黑体" w:hint="eastAsia"/>
                <w:sz w:val="21"/>
              </w:rPr>
              <w:t>因酗酒或药物滥用导致的深度昏迷不在保障范围内。</w:t>
            </w:r>
          </w:p>
        </w:tc>
      </w:tr>
      <w:tr>
        <w:trPr>
          <w:trHeight w:val="935" w:hRule="atLeast"/>
        </w:trPr>
        <w:tc>
          <w:tcPr>
            <w:tcW w:w="1908" w:type="dxa"/>
          </w:tcPr>
          <w:p>
            <w:pPr>
              <w:pStyle w:val="TableParagraph"/>
              <w:spacing w:line="262" w:lineRule="exact"/>
              <w:rPr>
                <w:sz w:val="21"/>
              </w:rPr>
            </w:pPr>
            <w:r>
              <w:rPr>
                <w:sz w:val="21"/>
              </w:rPr>
              <w:t>十三、双耳失聪</w:t>
            </w:r>
          </w:p>
        </w:tc>
        <w:tc>
          <w:tcPr>
            <w:tcW w:w="6813" w:type="dxa"/>
          </w:tcPr>
          <w:p>
            <w:pPr>
              <w:pStyle w:val="TableParagraph"/>
              <w:spacing w:line="262" w:lineRule="exact"/>
              <w:rPr>
                <w:sz w:val="21"/>
              </w:rPr>
            </w:pPr>
            <w:r>
              <w:rPr>
                <w:spacing w:val="-3"/>
                <w:sz w:val="21"/>
              </w:rPr>
              <w:t>指因疾病或意外伤害导致双耳听力</w:t>
            </w:r>
            <w:r>
              <w:rPr>
                <w:b/>
                <w:spacing w:val="-1"/>
                <w:sz w:val="21"/>
              </w:rPr>
              <w:t>永久不可逆</w:t>
            </w:r>
            <w:r>
              <w:rPr>
                <w:b/>
                <w:position w:val="11"/>
                <w:sz w:val="11"/>
              </w:rPr>
              <w:t>20</w:t>
            </w:r>
            <w:r>
              <w:rPr>
                <w:spacing w:val="-16"/>
                <w:sz w:val="21"/>
              </w:rPr>
              <w:t>性丧失，在</w:t>
            </w:r>
            <w:r>
              <w:rPr>
                <w:sz w:val="21"/>
              </w:rPr>
              <w:t>500</w:t>
            </w:r>
            <w:r>
              <w:rPr>
                <w:spacing w:val="-38"/>
                <w:sz w:val="21"/>
              </w:rPr>
              <w:t> 赫兹、</w:t>
            </w:r>
            <w:r>
              <w:rPr>
                <w:sz w:val="21"/>
              </w:rPr>
              <w:t>1000</w:t>
            </w:r>
          </w:p>
          <w:p>
            <w:pPr>
              <w:pStyle w:val="TableParagraph"/>
              <w:spacing w:line="273" w:lineRule="auto" w:before="37"/>
              <w:ind w:right="96"/>
              <w:rPr>
                <w:sz w:val="21"/>
              </w:rPr>
            </w:pPr>
            <w:r>
              <w:rPr>
                <w:spacing w:val="-8"/>
                <w:sz w:val="21"/>
              </w:rPr>
              <w:t>赫兹和 </w:t>
            </w:r>
            <w:r>
              <w:rPr>
                <w:sz w:val="21"/>
              </w:rPr>
              <w:t>2000</w:t>
            </w:r>
            <w:r>
              <w:rPr>
                <w:spacing w:val="-9"/>
                <w:sz w:val="21"/>
              </w:rPr>
              <w:t> 赫兹语音频率下，平均听阈大于 </w:t>
            </w:r>
            <w:r>
              <w:rPr>
                <w:sz w:val="21"/>
              </w:rPr>
              <w:t>90</w:t>
            </w:r>
            <w:r>
              <w:rPr>
                <w:spacing w:val="-6"/>
                <w:sz w:val="21"/>
              </w:rPr>
              <w:t> 分贝，且经纯音听力测</w:t>
            </w:r>
            <w:r>
              <w:rPr>
                <w:spacing w:val="-4"/>
                <w:sz w:val="21"/>
              </w:rPr>
              <w:t>试、声导抗检测或听觉诱发电位检测等证实。</w:t>
            </w:r>
          </w:p>
        </w:tc>
      </w:tr>
      <w:tr>
        <w:trPr>
          <w:trHeight w:val="1872" w:hRule="atLeast"/>
        </w:trPr>
        <w:tc>
          <w:tcPr>
            <w:tcW w:w="1908" w:type="dxa"/>
          </w:tcPr>
          <w:p>
            <w:pPr>
              <w:pStyle w:val="TableParagraph"/>
              <w:spacing w:line="263" w:lineRule="exact"/>
              <w:rPr>
                <w:sz w:val="21"/>
              </w:rPr>
            </w:pPr>
            <w:r>
              <w:rPr>
                <w:sz w:val="21"/>
              </w:rPr>
              <w:t>十四、双目失明</w:t>
            </w:r>
          </w:p>
        </w:tc>
        <w:tc>
          <w:tcPr>
            <w:tcW w:w="6813" w:type="dxa"/>
          </w:tcPr>
          <w:p>
            <w:pPr>
              <w:pStyle w:val="TableParagraph"/>
              <w:spacing w:line="273" w:lineRule="auto"/>
              <w:ind w:right="100"/>
              <w:rPr>
                <w:sz w:val="21"/>
              </w:rPr>
            </w:pPr>
            <w:r>
              <w:rPr>
                <w:sz w:val="21"/>
              </w:rPr>
              <w:t>指因疾病或意外伤害导致双眼视力永久不可逆性丧失，双眼中较好眼须满足下列至少一项条件：</w:t>
            </w:r>
          </w:p>
          <w:p>
            <w:pPr>
              <w:pStyle w:val="TableParagraph"/>
              <w:numPr>
                <w:ilvl w:val="0"/>
                <w:numId w:val="16"/>
              </w:numPr>
              <w:tabs>
                <w:tab w:pos="529" w:val="left" w:leader="none"/>
              </w:tabs>
              <w:spacing w:line="240" w:lineRule="auto" w:before="20" w:after="0"/>
              <w:ind w:left="528" w:right="0" w:hanging="421"/>
              <w:jc w:val="left"/>
              <w:rPr>
                <w:sz w:val="21"/>
              </w:rPr>
            </w:pPr>
            <w:r>
              <w:rPr>
                <w:spacing w:val="-3"/>
                <w:sz w:val="21"/>
              </w:rPr>
              <w:t>眼球缺失或摘除；</w:t>
            </w:r>
          </w:p>
          <w:p>
            <w:pPr>
              <w:pStyle w:val="TableParagraph"/>
              <w:numPr>
                <w:ilvl w:val="0"/>
                <w:numId w:val="16"/>
              </w:numPr>
              <w:tabs>
                <w:tab w:pos="529" w:val="left" w:leader="none"/>
              </w:tabs>
              <w:spacing w:line="273" w:lineRule="auto" w:before="37" w:after="0"/>
              <w:ind w:left="528" w:right="94" w:hanging="421"/>
              <w:jc w:val="left"/>
              <w:rPr>
                <w:sz w:val="21"/>
              </w:rPr>
            </w:pPr>
            <w:r>
              <w:rPr>
                <w:spacing w:val="-2"/>
                <w:sz w:val="21"/>
              </w:rPr>
              <w:t>矫正视力低于 </w:t>
            </w:r>
            <w:r>
              <w:rPr>
                <w:sz w:val="21"/>
              </w:rPr>
              <w:t>0.02（</w:t>
            </w:r>
            <w:r>
              <w:rPr>
                <w:spacing w:val="-3"/>
                <w:sz w:val="21"/>
              </w:rPr>
              <w:t>采用国际标准视力表，如果使用其它视力表应</w:t>
            </w:r>
            <w:r>
              <w:rPr>
                <w:spacing w:val="-3"/>
                <w:w w:val="100"/>
                <w:sz w:val="21"/>
              </w:rPr>
              <w:t>进行换算</w:t>
            </w:r>
            <w:r>
              <w:rPr>
                <w:spacing w:val="-108"/>
                <w:w w:val="100"/>
                <w:sz w:val="21"/>
              </w:rPr>
              <w:t>）</w:t>
            </w:r>
            <w:r>
              <w:rPr>
                <w:w w:val="100"/>
                <w:sz w:val="21"/>
              </w:rPr>
              <w:t>；</w:t>
            </w:r>
          </w:p>
          <w:p>
            <w:pPr>
              <w:pStyle w:val="TableParagraph"/>
              <w:numPr>
                <w:ilvl w:val="0"/>
                <w:numId w:val="16"/>
              </w:numPr>
              <w:tabs>
                <w:tab w:pos="529" w:val="left" w:leader="none"/>
              </w:tabs>
              <w:spacing w:line="240" w:lineRule="auto" w:before="7" w:after="0"/>
              <w:ind w:left="528" w:right="0" w:hanging="421"/>
              <w:jc w:val="left"/>
              <w:rPr>
                <w:sz w:val="21"/>
              </w:rPr>
            </w:pPr>
            <w:r>
              <w:rPr>
                <w:spacing w:val="-9"/>
                <w:sz w:val="21"/>
              </w:rPr>
              <w:t>视野半径小于 </w:t>
            </w:r>
            <w:r>
              <w:rPr>
                <w:sz w:val="21"/>
              </w:rPr>
              <w:t>5</w:t>
            </w:r>
            <w:r>
              <w:rPr>
                <w:spacing w:val="-17"/>
                <w:sz w:val="21"/>
              </w:rPr>
              <w:t> 度。</w:t>
            </w:r>
          </w:p>
        </w:tc>
      </w:tr>
      <w:tr>
        <w:trPr>
          <w:trHeight w:val="935" w:hRule="atLeast"/>
        </w:trPr>
        <w:tc>
          <w:tcPr>
            <w:tcW w:w="1908" w:type="dxa"/>
          </w:tcPr>
          <w:p>
            <w:pPr>
              <w:pStyle w:val="TableParagraph"/>
              <w:spacing w:line="262" w:lineRule="exact"/>
              <w:rPr>
                <w:sz w:val="21"/>
              </w:rPr>
            </w:pPr>
            <w:r>
              <w:rPr>
                <w:sz w:val="21"/>
              </w:rPr>
              <w:t>十五、瘫痪</w:t>
            </w:r>
          </w:p>
        </w:tc>
        <w:tc>
          <w:tcPr>
            <w:tcW w:w="6813" w:type="dxa"/>
          </w:tcPr>
          <w:p>
            <w:pPr>
              <w:pStyle w:val="TableParagraph"/>
              <w:spacing w:line="273" w:lineRule="auto"/>
              <w:ind w:right="97"/>
              <w:jc w:val="both"/>
              <w:rPr>
                <w:sz w:val="21"/>
              </w:rPr>
            </w:pPr>
            <w:r>
              <w:rPr>
                <w:sz w:val="21"/>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tc>
      </w:tr>
      <w:tr>
        <w:trPr>
          <w:trHeight w:val="623" w:hRule="atLeast"/>
        </w:trPr>
        <w:tc>
          <w:tcPr>
            <w:tcW w:w="1908" w:type="dxa"/>
          </w:tcPr>
          <w:p>
            <w:pPr>
              <w:pStyle w:val="TableParagraph"/>
              <w:spacing w:line="273" w:lineRule="auto"/>
              <w:ind w:right="94"/>
              <w:rPr>
                <w:sz w:val="21"/>
              </w:rPr>
            </w:pPr>
            <w:r>
              <w:rPr>
                <w:sz w:val="21"/>
              </w:rPr>
              <w:t>十六、心脏瓣膜手术</w:t>
            </w:r>
          </w:p>
        </w:tc>
        <w:tc>
          <w:tcPr>
            <w:tcW w:w="6813" w:type="dxa"/>
          </w:tcPr>
          <w:p>
            <w:pPr>
              <w:pStyle w:val="TableParagraph"/>
              <w:spacing w:line="273" w:lineRule="auto"/>
              <w:ind w:right="103"/>
              <w:rPr>
                <w:sz w:val="21"/>
              </w:rPr>
            </w:pPr>
            <w:r>
              <w:rPr>
                <w:sz w:val="21"/>
              </w:rPr>
              <w:t>指为治疗心脏瓣膜疾病，实际实施了开胸进行的心脏瓣膜置换或修复的手术。</w:t>
            </w:r>
          </w:p>
        </w:tc>
      </w:tr>
      <w:tr>
        <w:trPr>
          <w:trHeight w:val="1562" w:hRule="atLeast"/>
        </w:trPr>
        <w:tc>
          <w:tcPr>
            <w:tcW w:w="1908" w:type="dxa"/>
          </w:tcPr>
          <w:p>
            <w:pPr>
              <w:pStyle w:val="TableParagraph"/>
              <w:spacing w:line="273" w:lineRule="auto"/>
              <w:ind w:right="94"/>
              <w:rPr>
                <w:sz w:val="21"/>
              </w:rPr>
            </w:pPr>
            <w:r>
              <w:rPr>
                <w:sz w:val="21"/>
              </w:rPr>
              <w:t>十七、严重阿尔茨海默病</w:t>
            </w:r>
          </w:p>
        </w:tc>
        <w:tc>
          <w:tcPr>
            <w:tcW w:w="6813" w:type="dxa"/>
          </w:tcPr>
          <w:p>
            <w:pPr>
              <w:pStyle w:val="TableParagraph"/>
              <w:spacing w:line="273" w:lineRule="auto"/>
              <w:ind w:right="72"/>
              <w:jc w:val="both"/>
              <w:rPr>
                <w:sz w:val="21"/>
              </w:rPr>
            </w:pPr>
            <w:r>
              <w:rPr>
                <w:sz w:val="21"/>
              </w:rPr>
              <w:t>指因大脑进行性、不可逆性改变导致智能严重衰退或丧失，临床表现为明显的认知能力障碍、行为异常和社交能力减退，其日常生活必须持续</w:t>
            </w:r>
            <w:r>
              <w:rPr>
                <w:w w:val="100"/>
                <w:sz w:val="21"/>
              </w:rPr>
              <w:t>受到他人监护。须由头颅断层扫描</w:t>
            </w:r>
            <w:r>
              <w:rPr>
                <w:spacing w:val="5"/>
                <w:w w:val="100"/>
                <w:sz w:val="21"/>
              </w:rPr>
              <w:t>（</w:t>
            </w:r>
            <w:r>
              <w:rPr>
                <w:w w:val="100"/>
                <w:sz w:val="21"/>
              </w:rPr>
              <w:t>C</w:t>
            </w:r>
            <w:r>
              <w:rPr>
                <w:spacing w:val="1"/>
                <w:w w:val="100"/>
                <w:sz w:val="21"/>
              </w:rPr>
              <w:t>T</w:t>
            </w:r>
            <w:r>
              <w:rPr>
                <w:spacing w:val="-104"/>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w:t>
            </w:r>
            <w:r>
              <w:rPr>
                <w:spacing w:val="-3"/>
                <w:sz w:val="21"/>
              </w:rPr>
              <w:t>子发射断层扫描</w:t>
            </w:r>
            <w:r>
              <w:rPr>
                <w:sz w:val="21"/>
              </w:rPr>
              <w:t>（PET）</w:t>
            </w:r>
            <w:r>
              <w:rPr>
                <w:spacing w:val="-3"/>
                <w:sz w:val="21"/>
              </w:rPr>
              <w:t>等影像学检查证实，且自主生活能力完全丧失， 无法独立完成六项基本日常生活活动中的三项或三项以上。</w:t>
            </w:r>
          </w:p>
        </w:tc>
      </w:tr>
    </w:tbl>
    <w:p>
      <w:pPr>
        <w:pStyle w:val="BodyText"/>
        <w:spacing w:before="5"/>
        <w:ind w:left="0"/>
        <w:rPr>
          <w:sz w:val="25"/>
        </w:rPr>
      </w:pPr>
      <w:r>
        <w:rPr/>
        <w:pict>
          <v:line style="position:absolute;mso-position-horizontal-relative:page;mso-position-vertical-relative:paragraph;z-index:1192;mso-wrap-distance-left:0;mso-wrap-distance-right:0" from="89.903999pt,18.84001pt" to="233.923999pt,18.84001pt" stroked="true" strokeweight=".47998pt" strokecolor="#000000">
            <v:stroke dashstyle="solid"/>
            <w10:wrap type="topAndBottom"/>
          </v:line>
        </w:pict>
      </w:r>
    </w:p>
    <w:p>
      <w:pPr>
        <w:spacing w:line="237" w:lineRule="auto" w:before="41"/>
        <w:ind w:left="218" w:right="411" w:firstLine="0"/>
        <w:jc w:val="left"/>
        <w:rPr>
          <w:sz w:val="18"/>
        </w:rPr>
      </w:pPr>
      <w:r>
        <w:rPr>
          <w:rFonts w:ascii="Times New Roman" w:eastAsia="Times New Roman"/>
          <w:position w:val="8"/>
          <w:sz w:val="12"/>
        </w:rPr>
        <w:t>20 </w:t>
      </w:r>
      <w:r>
        <w:rPr>
          <w:b/>
          <w:sz w:val="18"/>
        </w:rPr>
        <w:t>永久不可逆</w:t>
      </w:r>
      <w:r>
        <w:rPr>
          <w:sz w:val="18"/>
        </w:rPr>
        <w:t>：指自疾病确诊或意外伤害发生之日起，经过积极治疗一百八十天后，仍无法通过现有医疗手段恢复。</w:t>
      </w:r>
    </w:p>
    <w:p>
      <w:pPr>
        <w:spacing w:after="0" w:line="237" w:lineRule="auto"/>
        <w:jc w:val="left"/>
        <w:rPr>
          <w:sz w:val="18"/>
        </w:rPr>
        <w:sectPr>
          <w:pgSz w:w="11910" w:h="16840"/>
          <w:pgMar w:header="0" w:footer="1057" w:top="1420" w:bottom="1320" w:left="1580" w:right="138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3"/>
      </w:tblGrid>
      <w:tr>
        <w:trPr>
          <w:trHeight w:val="311" w:hRule="atLeast"/>
        </w:trPr>
        <w:tc>
          <w:tcPr>
            <w:tcW w:w="1908" w:type="dxa"/>
          </w:tcPr>
          <w:p>
            <w:pPr>
              <w:pStyle w:val="TableParagraph"/>
              <w:ind w:left="0"/>
              <w:rPr>
                <w:rFonts w:ascii="Times New Roman"/>
                <w:sz w:val="20"/>
              </w:rPr>
            </w:pPr>
          </w:p>
        </w:tc>
        <w:tc>
          <w:tcPr>
            <w:tcW w:w="6813" w:type="dxa"/>
          </w:tcPr>
          <w:p>
            <w:pPr>
              <w:pStyle w:val="TableParagraph"/>
              <w:spacing w:line="262" w:lineRule="exact"/>
              <w:rPr>
                <w:rFonts w:ascii="黑体" w:eastAsia="黑体" w:hint="eastAsia"/>
                <w:sz w:val="21"/>
              </w:rPr>
            </w:pPr>
            <w:r>
              <w:rPr>
                <w:rFonts w:ascii="黑体" w:eastAsia="黑体" w:hint="eastAsia"/>
                <w:sz w:val="21"/>
              </w:rPr>
              <w:t>神经官能症和精神疾病不在保障范围内。</w:t>
            </w:r>
          </w:p>
        </w:tc>
      </w:tr>
      <w:tr>
        <w:trPr>
          <w:trHeight w:val="2496" w:hRule="atLeast"/>
        </w:trPr>
        <w:tc>
          <w:tcPr>
            <w:tcW w:w="1908" w:type="dxa"/>
          </w:tcPr>
          <w:p>
            <w:pPr>
              <w:pStyle w:val="TableParagraph"/>
              <w:spacing w:line="263" w:lineRule="exact"/>
              <w:ind w:left="89" w:right="89"/>
              <w:jc w:val="center"/>
              <w:rPr>
                <w:sz w:val="21"/>
              </w:rPr>
            </w:pPr>
            <w:r>
              <w:rPr>
                <w:sz w:val="21"/>
              </w:rPr>
              <w:t>十八、严重脑损伤</w:t>
            </w:r>
          </w:p>
        </w:tc>
        <w:tc>
          <w:tcPr>
            <w:tcW w:w="6813" w:type="dxa"/>
          </w:tcPr>
          <w:p>
            <w:pPr>
              <w:pStyle w:val="TableParagraph"/>
              <w:spacing w:line="273" w:lineRule="auto"/>
              <w:ind w:right="72"/>
              <w:jc w:val="both"/>
              <w:rPr>
                <w:sz w:val="21"/>
              </w:rPr>
            </w:pPr>
            <w:r>
              <w:rPr>
                <w:sz w:val="21"/>
              </w:rPr>
              <w:t>指因头部遭受机械性外力，引起脑重要部位损伤，导致神经系统永久性</w:t>
            </w:r>
            <w:r>
              <w:rPr>
                <w:w w:val="100"/>
                <w:sz w:val="21"/>
              </w:rPr>
              <w:t>的功能障碍。须由头颅断层扫描</w:t>
            </w:r>
            <w:r>
              <w:rPr>
                <w:spacing w:val="2"/>
                <w:w w:val="100"/>
                <w:sz w:val="21"/>
              </w:rPr>
              <w:t>（</w:t>
            </w:r>
            <w:r>
              <w:rPr>
                <w:w w:val="100"/>
                <w:sz w:val="21"/>
              </w:rPr>
              <w:t>C</w:t>
            </w:r>
            <w:r>
              <w:rPr>
                <w:spacing w:val="1"/>
                <w:w w:val="100"/>
                <w:sz w:val="21"/>
              </w:rPr>
              <w:t>T</w:t>
            </w:r>
            <w:r>
              <w:rPr>
                <w:spacing w:val="-104"/>
                <w:w w:val="100"/>
                <w:sz w:val="21"/>
              </w:rPr>
              <w:t>）</w:t>
            </w:r>
            <w:r>
              <w:rPr>
                <w:w w:val="100"/>
                <w:sz w:val="21"/>
              </w:rPr>
              <w:t>、核磁共振检查</w:t>
            </w:r>
            <w:r>
              <w:rPr>
                <w:spacing w:val="2"/>
                <w:w w:val="100"/>
                <w:sz w:val="21"/>
              </w:rPr>
              <w:t>（</w:t>
            </w:r>
            <w:r>
              <w:rPr>
                <w:w w:val="100"/>
                <w:sz w:val="21"/>
              </w:rPr>
              <w:t>MRI</w:t>
            </w:r>
            <w:r>
              <w:rPr>
                <w:spacing w:val="1"/>
                <w:w w:val="100"/>
                <w:sz w:val="21"/>
              </w:rPr>
              <w:t>）</w:t>
            </w:r>
            <w:r>
              <w:rPr>
                <w:w w:val="100"/>
                <w:sz w:val="21"/>
              </w:rPr>
              <w:t>或正电子</w:t>
            </w:r>
            <w:r>
              <w:rPr>
                <w:spacing w:val="-2"/>
                <w:sz w:val="21"/>
              </w:rPr>
              <w:t>发射断层扫描</w:t>
            </w:r>
            <w:r>
              <w:rPr>
                <w:sz w:val="21"/>
              </w:rPr>
              <w:t>（PET）</w:t>
            </w:r>
            <w:r>
              <w:rPr>
                <w:spacing w:val="-3"/>
                <w:sz w:val="21"/>
              </w:rPr>
              <w:t>等影像学检查证实。神经系统永久性的功能障碍， 指脑损伤一百八十天后，仍遗留下列一种或一种以上障碍：</w:t>
            </w:r>
          </w:p>
          <w:p>
            <w:pPr>
              <w:pStyle w:val="TableParagraph"/>
              <w:numPr>
                <w:ilvl w:val="0"/>
                <w:numId w:val="17"/>
              </w:numPr>
              <w:tabs>
                <w:tab w:pos="529" w:val="left" w:leader="none"/>
              </w:tabs>
              <w:spacing w:line="240" w:lineRule="auto" w:before="20" w:after="0"/>
              <w:ind w:left="528" w:right="0" w:hanging="421"/>
              <w:jc w:val="left"/>
              <w:rPr>
                <w:sz w:val="21"/>
              </w:rPr>
            </w:pPr>
            <w:r>
              <w:rPr>
                <w:spacing w:val="-3"/>
                <w:sz w:val="21"/>
              </w:rPr>
              <w:t>一肢或一肢以上肢体机能完全丧失；</w:t>
            </w:r>
          </w:p>
          <w:p>
            <w:pPr>
              <w:pStyle w:val="TableParagraph"/>
              <w:numPr>
                <w:ilvl w:val="0"/>
                <w:numId w:val="17"/>
              </w:numPr>
              <w:tabs>
                <w:tab w:pos="529" w:val="left" w:leader="none"/>
              </w:tabs>
              <w:spacing w:line="240" w:lineRule="auto" w:before="37" w:after="0"/>
              <w:ind w:left="528" w:right="0" w:hanging="421"/>
              <w:jc w:val="left"/>
              <w:rPr>
                <w:sz w:val="21"/>
              </w:rPr>
            </w:pPr>
            <w:r>
              <w:rPr>
                <w:spacing w:val="-3"/>
                <w:sz w:val="21"/>
              </w:rPr>
              <w:t>语言能力或咀嚼吞咽能力完全丧失；</w:t>
            </w:r>
          </w:p>
          <w:p>
            <w:pPr>
              <w:pStyle w:val="TableParagraph"/>
              <w:numPr>
                <w:ilvl w:val="0"/>
                <w:numId w:val="17"/>
              </w:numPr>
              <w:tabs>
                <w:tab w:pos="529" w:val="left" w:leader="none"/>
              </w:tabs>
              <w:spacing w:line="273" w:lineRule="auto" w:before="37" w:after="0"/>
              <w:ind w:left="528" w:right="103" w:hanging="421"/>
              <w:jc w:val="left"/>
              <w:rPr>
                <w:sz w:val="21"/>
              </w:rPr>
            </w:pPr>
            <w:r>
              <w:rPr>
                <w:sz w:val="21"/>
              </w:rPr>
              <w:t>自主生活能力完全丧失，无法独立完成六项基本日常生活活动中的</w:t>
            </w:r>
            <w:r>
              <w:rPr>
                <w:spacing w:val="-3"/>
                <w:sz w:val="21"/>
              </w:rPr>
              <w:t>三项或三项以上。</w:t>
            </w:r>
          </w:p>
        </w:tc>
      </w:tr>
      <w:tr>
        <w:trPr>
          <w:trHeight w:val="1872" w:hRule="atLeast"/>
        </w:trPr>
        <w:tc>
          <w:tcPr>
            <w:tcW w:w="1908" w:type="dxa"/>
          </w:tcPr>
          <w:p>
            <w:pPr>
              <w:pStyle w:val="TableParagraph"/>
              <w:spacing w:line="273" w:lineRule="auto"/>
              <w:ind w:right="94"/>
              <w:rPr>
                <w:sz w:val="21"/>
              </w:rPr>
            </w:pPr>
            <w:r>
              <w:rPr>
                <w:sz w:val="21"/>
              </w:rPr>
              <w:t>十九、严重帕金森病</w:t>
            </w:r>
          </w:p>
        </w:tc>
        <w:tc>
          <w:tcPr>
            <w:tcW w:w="6813" w:type="dxa"/>
          </w:tcPr>
          <w:p>
            <w:pPr>
              <w:pStyle w:val="TableParagraph"/>
              <w:spacing w:line="273" w:lineRule="auto"/>
              <w:ind w:right="-15"/>
              <w:rPr>
                <w:sz w:val="21"/>
              </w:rPr>
            </w:pPr>
            <w:r>
              <w:rPr>
                <w:spacing w:val="-5"/>
                <w:sz w:val="21"/>
              </w:rPr>
              <w:t>是一种中枢神经系统的退行性疾病，临床表现为震颤麻痹、共济失调等。</w:t>
            </w:r>
            <w:r>
              <w:rPr>
                <w:spacing w:val="-4"/>
                <w:sz w:val="21"/>
              </w:rPr>
              <w:t>须满足下列全部条件：</w:t>
            </w:r>
          </w:p>
          <w:p>
            <w:pPr>
              <w:pStyle w:val="TableParagraph"/>
              <w:numPr>
                <w:ilvl w:val="0"/>
                <w:numId w:val="18"/>
              </w:numPr>
              <w:tabs>
                <w:tab w:pos="529" w:val="left" w:leader="none"/>
              </w:tabs>
              <w:spacing w:line="240" w:lineRule="auto" w:before="20" w:after="0"/>
              <w:ind w:left="528" w:right="0" w:hanging="421"/>
              <w:jc w:val="left"/>
              <w:rPr>
                <w:sz w:val="21"/>
              </w:rPr>
            </w:pPr>
            <w:r>
              <w:rPr>
                <w:spacing w:val="-3"/>
                <w:sz w:val="21"/>
              </w:rPr>
              <w:t>药物治疗无法控制病情；</w:t>
            </w:r>
          </w:p>
          <w:p>
            <w:pPr>
              <w:pStyle w:val="TableParagraph"/>
              <w:numPr>
                <w:ilvl w:val="0"/>
                <w:numId w:val="18"/>
              </w:numPr>
              <w:tabs>
                <w:tab w:pos="529" w:val="left" w:leader="none"/>
              </w:tabs>
              <w:spacing w:line="273" w:lineRule="auto" w:before="36" w:after="0"/>
              <w:ind w:left="528" w:right="103" w:hanging="421"/>
              <w:jc w:val="left"/>
              <w:rPr>
                <w:sz w:val="21"/>
              </w:rPr>
            </w:pPr>
            <w:r>
              <w:rPr>
                <w:sz w:val="21"/>
              </w:rPr>
              <w:t>自主生活能力完全丧失，无法独立完成六项基本日常生活活动中的</w:t>
            </w:r>
            <w:r>
              <w:rPr>
                <w:spacing w:val="-3"/>
                <w:sz w:val="21"/>
              </w:rPr>
              <w:t>三项或三项以上。</w:t>
            </w:r>
          </w:p>
          <w:p>
            <w:pPr>
              <w:pStyle w:val="TableParagraph"/>
              <w:spacing w:before="7"/>
              <w:rPr>
                <w:rFonts w:ascii="黑体" w:eastAsia="黑体" w:hint="eastAsia"/>
                <w:sz w:val="21"/>
              </w:rPr>
            </w:pPr>
            <w:r>
              <w:rPr>
                <w:rFonts w:ascii="黑体" w:eastAsia="黑体" w:hint="eastAsia"/>
                <w:sz w:val="21"/>
              </w:rPr>
              <w:t>继发性帕金森综合征不在保障范围内。</w:t>
            </w:r>
          </w:p>
        </w:tc>
      </w:tr>
      <w:tr>
        <w:trPr>
          <w:trHeight w:val="626" w:hRule="atLeast"/>
        </w:trPr>
        <w:tc>
          <w:tcPr>
            <w:tcW w:w="1908" w:type="dxa"/>
          </w:tcPr>
          <w:p>
            <w:pPr>
              <w:pStyle w:val="TableParagraph"/>
              <w:spacing w:line="273" w:lineRule="auto"/>
              <w:ind w:right="93"/>
              <w:rPr>
                <w:sz w:val="21"/>
              </w:rPr>
            </w:pPr>
            <w:r>
              <w:rPr>
                <w:spacing w:val="-9"/>
                <w:sz w:val="21"/>
              </w:rPr>
              <w:t>二十、严重 </w:t>
            </w:r>
            <w:r>
              <w:rPr>
                <w:sz w:val="21"/>
              </w:rPr>
              <w:t>III</w:t>
            </w:r>
            <w:r>
              <w:rPr>
                <w:spacing w:val="-23"/>
                <w:sz w:val="21"/>
              </w:rPr>
              <w:t> 度烧伤</w:t>
            </w:r>
          </w:p>
        </w:tc>
        <w:tc>
          <w:tcPr>
            <w:tcW w:w="6813" w:type="dxa"/>
          </w:tcPr>
          <w:p>
            <w:pPr>
              <w:pStyle w:val="TableParagraph"/>
              <w:spacing w:line="265" w:lineRule="exact"/>
              <w:rPr>
                <w:sz w:val="21"/>
              </w:rPr>
            </w:pPr>
            <w:r>
              <w:rPr>
                <w:spacing w:val="-5"/>
                <w:sz w:val="21"/>
              </w:rPr>
              <w:t>指烧伤程度为 </w:t>
            </w:r>
            <w:r>
              <w:rPr>
                <w:sz w:val="21"/>
              </w:rPr>
              <w:t>III</w:t>
            </w:r>
            <w:r>
              <w:rPr>
                <w:spacing w:val="-10"/>
                <w:sz w:val="21"/>
              </w:rPr>
              <w:t> 度，且 </w:t>
            </w:r>
            <w:r>
              <w:rPr>
                <w:sz w:val="21"/>
              </w:rPr>
              <w:t>III</w:t>
            </w:r>
            <w:r>
              <w:rPr>
                <w:spacing w:val="-6"/>
                <w:sz w:val="21"/>
              </w:rPr>
              <w:t> 度烧伤的面积达到全身体表面积的 </w:t>
            </w:r>
            <w:r>
              <w:rPr>
                <w:sz w:val="21"/>
              </w:rPr>
              <w:t>20%或</w:t>
            </w:r>
          </w:p>
          <w:p>
            <w:pPr>
              <w:pStyle w:val="TableParagraph"/>
              <w:spacing w:before="37"/>
              <w:rPr>
                <w:sz w:val="21"/>
              </w:rPr>
            </w:pPr>
            <w:r>
              <w:rPr>
                <w:sz w:val="21"/>
              </w:rPr>
              <w:t>20%以上。体表面积根据《中国新九分法》计算。</w:t>
            </w:r>
          </w:p>
        </w:tc>
      </w:tr>
      <w:tr>
        <w:trPr>
          <w:trHeight w:val="935" w:hRule="atLeast"/>
        </w:trPr>
        <w:tc>
          <w:tcPr>
            <w:tcW w:w="1908" w:type="dxa"/>
          </w:tcPr>
          <w:p>
            <w:pPr>
              <w:pStyle w:val="TableParagraph"/>
              <w:spacing w:line="273" w:lineRule="auto"/>
              <w:ind w:right="94"/>
              <w:rPr>
                <w:sz w:val="21"/>
              </w:rPr>
            </w:pPr>
            <w:r>
              <w:rPr>
                <w:sz w:val="21"/>
              </w:rPr>
              <w:t>二十一、严重原发性肺动脉高压</w:t>
            </w:r>
          </w:p>
        </w:tc>
        <w:tc>
          <w:tcPr>
            <w:tcW w:w="6813" w:type="dxa"/>
          </w:tcPr>
          <w:p>
            <w:pPr>
              <w:pStyle w:val="TableParagraph"/>
              <w:spacing w:line="273" w:lineRule="auto"/>
              <w:ind w:right="103"/>
              <w:jc w:val="both"/>
              <w:rPr>
                <w:sz w:val="21"/>
              </w:rPr>
            </w:pPr>
            <w:r>
              <w:rPr>
                <w:sz w:val="21"/>
              </w:rPr>
              <w:t>指不明原因的肺动脉压力持续性增高，进行性发展而导致的慢性疾病， 已经造成永久不可逆性的体力活动能力受限，达到美国纽约心脏病学会心功能状态分级 IV 级，且静息状态下肺动脉平均压超过 30mmHg。</w:t>
            </w:r>
          </w:p>
        </w:tc>
      </w:tr>
      <w:tr>
        <w:trPr>
          <w:trHeight w:val="1247" w:hRule="atLeast"/>
        </w:trPr>
        <w:tc>
          <w:tcPr>
            <w:tcW w:w="1908" w:type="dxa"/>
          </w:tcPr>
          <w:p>
            <w:pPr>
              <w:pStyle w:val="TableParagraph"/>
              <w:spacing w:line="273" w:lineRule="auto"/>
              <w:ind w:right="94"/>
              <w:rPr>
                <w:sz w:val="21"/>
              </w:rPr>
            </w:pPr>
            <w:r>
              <w:rPr>
                <w:sz w:val="21"/>
              </w:rPr>
              <w:t>二十二、严重运动神经元病</w:t>
            </w:r>
          </w:p>
        </w:tc>
        <w:tc>
          <w:tcPr>
            <w:tcW w:w="6813" w:type="dxa"/>
          </w:tcPr>
          <w:p>
            <w:pPr>
              <w:pStyle w:val="TableParagraph"/>
              <w:spacing w:line="273" w:lineRule="auto"/>
              <w:ind w:right="10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936" w:hRule="atLeast"/>
        </w:trPr>
        <w:tc>
          <w:tcPr>
            <w:tcW w:w="1908" w:type="dxa"/>
          </w:tcPr>
          <w:p>
            <w:pPr>
              <w:pStyle w:val="TableParagraph"/>
              <w:spacing w:line="273" w:lineRule="auto"/>
              <w:ind w:right="94"/>
              <w:rPr>
                <w:sz w:val="21"/>
              </w:rPr>
            </w:pPr>
            <w:r>
              <w:rPr>
                <w:sz w:val="21"/>
              </w:rPr>
              <w:t>二十三、语言能力丧失</w:t>
            </w:r>
          </w:p>
        </w:tc>
        <w:tc>
          <w:tcPr>
            <w:tcW w:w="6813" w:type="dxa"/>
          </w:tcPr>
          <w:p>
            <w:pPr>
              <w:pStyle w:val="TableParagraph"/>
              <w:spacing w:line="273" w:lineRule="auto"/>
              <w:ind w:right="96"/>
              <w:rPr>
                <w:rFonts w:ascii="黑体" w:eastAsia="黑体" w:hint="eastAsia"/>
                <w:sz w:val="21"/>
              </w:rPr>
            </w:pPr>
            <w:r>
              <w:rPr>
                <w:sz w:val="21"/>
              </w:rPr>
              <w:t>指因疾病或意外伤害导致完全丧失语言能力，经过积极治疗至少十二个</w:t>
            </w:r>
            <w:r>
              <w:rPr>
                <w:w w:val="100"/>
                <w:sz w:val="21"/>
              </w:rPr>
              <w:t>月（</w:t>
            </w:r>
            <w:r>
              <w:rPr>
                <w:spacing w:val="-3"/>
                <w:w w:val="100"/>
                <w:sz w:val="21"/>
              </w:rPr>
              <w:t>声带完全切除不受此时间限制</w:t>
            </w:r>
            <w:r>
              <w:rPr>
                <w:spacing w:val="-108"/>
                <w:w w:val="100"/>
                <w:sz w:val="21"/>
              </w:rPr>
              <w:t>）</w:t>
            </w:r>
            <w:r>
              <w:rPr>
                <w:spacing w:val="-3"/>
                <w:w w:val="100"/>
                <w:sz w:val="21"/>
              </w:rPr>
              <w:t>，仍无法通过现有医疗手段恢复。</w:t>
            </w:r>
            <w:r>
              <w:rPr>
                <w:rFonts w:ascii="黑体" w:eastAsia="黑体" w:hint="eastAsia"/>
                <w:spacing w:val="-3"/>
                <w:sz w:val="21"/>
              </w:rPr>
              <w:t>精神心理因素所致的语言能力丧失不在保障范围内。</w:t>
            </w:r>
          </w:p>
        </w:tc>
      </w:tr>
      <w:tr>
        <w:trPr>
          <w:trHeight w:val="2183" w:hRule="atLeast"/>
        </w:trPr>
        <w:tc>
          <w:tcPr>
            <w:tcW w:w="1908" w:type="dxa"/>
          </w:tcPr>
          <w:p>
            <w:pPr>
              <w:pStyle w:val="TableParagraph"/>
              <w:spacing w:line="273" w:lineRule="auto"/>
              <w:ind w:right="94"/>
              <w:rPr>
                <w:sz w:val="21"/>
              </w:rPr>
            </w:pPr>
            <w:r>
              <w:rPr>
                <w:sz w:val="21"/>
              </w:rPr>
              <w:t>二十四、重型再生障碍性贫血</w:t>
            </w:r>
          </w:p>
        </w:tc>
        <w:tc>
          <w:tcPr>
            <w:tcW w:w="6813" w:type="dxa"/>
          </w:tcPr>
          <w:p>
            <w:pPr>
              <w:pStyle w:val="TableParagraph"/>
              <w:spacing w:line="273" w:lineRule="auto"/>
              <w:ind w:right="103"/>
              <w:rPr>
                <w:sz w:val="21"/>
              </w:rPr>
            </w:pPr>
            <w:r>
              <w:rPr>
                <w:sz w:val="21"/>
              </w:rPr>
              <w:t>指因骨髓造血功能慢性持续性衰竭导致的贫血、中性粒细胞减少及血小板减少。须满足下列全部条件：</w:t>
            </w:r>
          </w:p>
          <w:p>
            <w:pPr>
              <w:pStyle w:val="TableParagraph"/>
              <w:numPr>
                <w:ilvl w:val="0"/>
                <w:numId w:val="19"/>
              </w:numPr>
              <w:tabs>
                <w:tab w:pos="529" w:val="left" w:leader="none"/>
              </w:tabs>
              <w:spacing w:line="240" w:lineRule="auto" w:before="20" w:after="0"/>
              <w:ind w:left="528" w:right="0" w:hanging="421"/>
              <w:jc w:val="left"/>
              <w:rPr>
                <w:sz w:val="21"/>
              </w:rPr>
            </w:pPr>
            <w:r>
              <w:rPr>
                <w:spacing w:val="-3"/>
                <w:sz w:val="21"/>
              </w:rPr>
              <w:t>骨髓穿刺检查或骨髓活检结果支持诊断；</w:t>
            </w:r>
          </w:p>
          <w:p>
            <w:pPr>
              <w:pStyle w:val="TableParagraph"/>
              <w:numPr>
                <w:ilvl w:val="0"/>
                <w:numId w:val="19"/>
              </w:numPr>
              <w:tabs>
                <w:tab w:pos="529" w:val="left" w:leader="none"/>
              </w:tabs>
              <w:spacing w:line="240" w:lineRule="auto" w:before="36" w:after="0"/>
              <w:ind w:left="528" w:right="0" w:hanging="421"/>
              <w:jc w:val="left"/>
              <w:rPr>
                <w:sz w:val="21"/>
              </w:rPr>
            </w:pPr>
            <w:r>
              <w:rPr>
                <w:spacing w:val="-3"/>
                <w:sz w:val="21"/>
              </w:rPr>
              <w:t>外周血象须具备以下三项条件：</w:t>
            </w:r>
          </w:p>
          <w:p>
            <w:pPr>
              <w:pStyle w:val="TableParagraph"/>
              <w:spacing w:before="36"/>
              <w:ind w:left="528"/>
              <w:rPr>
                <w:sz w:val="21"/>
              </w:rPr>
            </w:pPr>
            <w:r>
              <w:rPr>
                <w:sz w:val="21"/>
              </w:rPr>
              <w:t>① 中性粒细胞绝对值≤0.5×10</w:t>
            </w:r>
            <w:r>
              <w:rPr>
                <w:position w:val="11"/>
                <w:sz w:val="11"/>
              </w:rPr>
              <w:t>9</w:t>
            </w:r>
            <w:r>
              <w:rPr>
                <w:sz w:val="21"/>
              </w:rPr>
              <w:t>/L；</w:t>
            </w:r>
          </w:p>
          <w:p>
            <w:pPr>
              <w:pStyle w:val="TableParagraph"/>
              <w:spacing w:before="36"/>
              <w:ind w:left="528"/>
              <w:rPr>
                <w:sz w:val="21"/>
              </w:rPr>
            </w:pPr>
            <w:r>
              <w:rPr>
                <w:sz w:val="21"/>
              </w:rPr>
              <w:t>② 网织红细胞＜1%；</w:t>
            </w:r>
          </w:p>
          <w:p>
            <w:pPr>
              <w:pStyle w:val="TableParagraph"/>
              <w:spacing w:before="36"/>
              <w:ind w:left="528"/>
              <w:rPr>
                <w:sz w:val="21"/>
              </w:rPr>
            </w:pPr>
            <w:r>
              <w:rPr>
                <w:sz w:val="21"/>
              </w:rPr>
              <w:t>③ 血小板绝对值≤20×10</w:t>
            </w:r>
            <w:r>
              <w:rPr>
                <w:position w:val="11"/>
                <w:sz w:val="11"/>
              </w:rPr>
              <w:t>9</w:t>
            </w:r>
            <w:r>
              <w:rPr>
                <w:sz w:val="21"/>
              </w:rPr>
              <w:t>/L。</w:t>
            </w:r>
          </w:p>
        </w:tc>
      </w:tr>
      <w:tr>
        <w:trPr>
          <w:trHeight w:val="1248" w:hRule="atLeast"/>
        </w:trPr>
        <w:tc>
          <w:tcPr>
            <w:tcW w:w="1908" w:type="dxa"/>
          </w:tcPr>
          <w:p>
            <w:pPr>
              <w:pStyle w:val="TableParagraph"/>
              <w:spacing w:line="273" w:lineRule="auto"/>
              <w:ind w:right="94"/>
              <w:rPr>
                <w:sz w:val="21"/>
              </w:rPr>
            </w:pPr>
            <w:r>
              <w:rPr>
                <w:sz w:val="21"/>
              </w:rPr>
              <w:t>二十五、主动脉手术</w:t>
            </w:r>
          </w:p>
        </w:tc>
        <w:tc>
          <w:tcPr>
            <w:tcW w:w="6813" w:type="dxa"/>
          </w:tcPr>
          <w:p>
            <w:pPr>
              <w:pStyle w:val="TableParagraph"/>
              <w:spacing w:line="273" w:lineRule="auto"/>
              <w:ind w:right="103"/>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21"/>
              <w:jc w:val="both"/>
              <w:rPr>
                <w:rFonts w:ascii="黑体" w:eastAsia="黑体" w:hint="eastAsia"/>
                <w:sz w:val="21"/>
              </w:rPr>
            </w:pPr>
            <w:r>
              <w:rPr>
                <w:rFonts w:ascii="黑体" w:eastAsia="黑体" w:hint="eastAsia"/>
                <w:sz w:val="21"/>
              </w:rPr>
              <w:t>动脉内血管成形术不在保障范围内。</w:t>
            </w:r>
          </w:p>
        </w:tc>
      </w:tr>
      <w:tr>
        <w:trPr>
          <w:trHeight w:val="1250" w:hRule="atLeast"/>
        </w:trPr>
        <w:tc>
          <w:tcPr>
            <w:tcW w:w="1908" w:type="dxa"/>
          </w:tcPr>
          <w:p>
            <w:pPr>
              <w:pStyle w:val="TableParagraph"/>
              <w:spacing w:line="273" w:lineRule="auto"/>
              <w:ind w:right="105"/>
              <w:rPr>
                <w:sz w:val="21"/>
              </w:rPr>
            </w:pPr>
            <w:r>
              <w:rPr>
                <w:sz w:val="21"/>
              </w:rPr>
              <w:t>二十六、植物人状态</w:t>
            </w:r>
          </w:p>
        </w:tc>
        <w:tc>
          <w:tcPr>
            <w:tcW w:w="6813" w:type="dxa"/>
          </w:tcPr>
          <w:p>
            <w:pPr>
              <w:pStyle w:val="TableParagraph"/>
              <w:spacing w:line="273" w:lineRule="auto"/>
              <w:ind w:right="176"/>
              <w:jc w:val="both"/>
              <w:rPr>
                <w:rFonts w:ascii="黑体" w:eastAsia="黑体" w:hint="eastAsia"/>
                <w:sz w:val="21"/>
              </w:rPr>
            </w:pPr>
            <w:r>
              <w:rPr>
                <w:sz w:val="21"/>
              </w:rPr>
              <w:t>植物人状态系指由于严重颅脑外伤造成大脑严重损害导致完全永久性的对自身和环境的意识丧失和中枢神经系统功能丧失，仅残存植物神经功能的疾病状态。诊断必须明确并且具有严重颅脑外伤和脑损害的证据。</w:t>
            </w:r>
            <w:r>
              <w:rPr>
                <w:rFonts w:ascii="黑体" w:eastAsia="黑体" w:hint="eastAsia"/>
                <w:sz w:val="21"/>
              </w:rPr>
              <w:t>植物人状态必须持续三十天以上方可申请理赔。</w:t>
            </w:r>
          </w:p>
        </w:tc>
      </w:tr>
      <w:tr>
        <w:trPr>
          <w:trHeight w:val="311" w:hRule="atLeast"/>
        </w:trPr>
        <w:tc>
          <w:tcPr>
            <w:tcW w:w="1908" w:type="dxa"/>
          </w:tcPr>
          <w:p>
            <w:pPr>
              <w:pStyle w:val="TableParagraph"/>
              <w:spacing w:line="262" w:lineRule="exact"/>
              <w:ind w:left="89" w:right="89"/>
              <w:jc w:val="center"/>
              <w:rPr>
                <w:sz w:val="21"/>
              </w:rPr>
            </w:pPr>
            <w:r>
              <w:rPr>
                <w:sz w:val="21"/>
              </w:rPr>
              <w:t>二十七、急性脊髓</w:t>
            </w:r>
          </w:p>
        </w:tc>
        <w:tc>
          <w:tcPr>
            <w:tcW w:w="6813" w:type="dxa"/>
          </w:tcPr>
          <w:p>
            <w:pPr>
              <w:pStyle w:val="TableParagraph"/>
              <w:spacing w:line="262" w:lineRule="exact"/>
              <w:rPr>
                <w:sz w:val="21"/>
              </w:rPr>
            </w:pPr>
            <w:r>
              <w:rPr>
                <w:sz w:val="21"/>
              </w:rPr>
              <w:t>是指由于脊髓灰质炎病毒感染所导致的运动功能障碍或呼吸功能减弱的</w:t>
            </w:r>
          </w:p>
        </w:tc>
      </w:tr>
    </w:tbl>
    <w:p>
      <w:pPr>
        <w:spacing w:after="0" w:line="262" w:lineRule="exact"/>
        <w:rPr>
          <w:sz w:val="21"/>
        </w:rPr>
        <w:sectPr>
          <w:pgSz w:w="11910" w:h="16840"/>
          <w:pgMar w:header="0" w:footer="1057" w:top="1420" w:bottom="1240" w:left="1580" w:right="138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3"/>
      </w:tblGrid>
      <w:tr>
        <w:trPr>
          <w:trHeight w:val="1559" w:hRule="atLeast"/>
        </w:trPr>
        <w:tc>
          <w:tcPr>
            <w:tcW w:w="1908" w:type="dxa"/>
          </w:tcPr>
          <w:p>
            <w:pPr>
              <w:pStyle w:val="TableParagraph"/>
              <w:spacing w:line="262" w:lineRule="exact"/>
              <w:rPr>
                <w:sz w:val="21"/>
              </w:rPr>
            </w:pPr>
            <w:r>
              <w:rPr>
                <w:sz w:val="21"/>
              </w:rPr>
              <w:t>灰质炎</w:t>
            </w:r>
          </w:p>
        </w:tc>
        <w:tc>
          <w:tcPr>
            <w:tcW w:w="6813" w:type="dxa"/>
          </w:tcPr>
          <w:p>
            <w:pPr>
              <w:pStyle w:val="TableParagraph"/>
              <w:spacing w:line="273" w:lineRule="auto"/>
              <w:ind w:right="91"/>
              <w:jc w:val="both"/>
              <w:rPr>
                <w:rFonts w:ascii="黑体" w:eastAsia="黑体" w:hint="eastAsia"/>
                <w:sz w:val="21"/>
              </w:rPr>
            </w:pPr>
            <w:r>
              <w:rPr>
                <w:sz w:val="21"/>
              </w:rPr>
              <w:t>瘫痪性疾病。诊断必须由我们认可的神经科主任级专科医生确认并提供相关的脊髓灰质炎病毒感染的证据（例如：脑脊液检查或血清学抗体检查报告）被保险人若无因此感染而导致的瘫痪，则不符合理赔条件。</w:t>
            </w:r>
            <w:r>
              <w:rPr>
                <w:rFonts w:ascii="黑体" w:eastAsia="黑体" w:hint="eastAsia"/>
                <w:sz w:val="21"/>
              </w:rPr>
              <w:t>其它病因所致的瘫痪，例如格林一巴利综合症(急性感染性多神经炎)则不在此保障范围以内。</w:t>
            </w:r>
          </w:p>
        </w:tc>
      </w:tr>
      <w:tr>
        <w:trPr>
          <w:trHeight w:val="3744" w:hRule="atLeast"/>
        </w:trPr>
        <w:tc>
          <w:tcPr>
            <w:tcW w:w="1908" w:type="dxa"/>
          </w:tcPr>
          <w:p>
            <w:pPr>
              <w:pStyle w:val="TableParagraph"/>
              <w:spacing w:line="273" w:lineRule="auto"/>
              <w:ind w:right="105"/>
              <w:rPr>
                <w:sz w:val="21"/>
              </w:rPr>
            </w:pPr>
            <w:r>
              <w:rPr>
                <w:sz w:val="21"/>
              </w:rPr>
              <w:t>二十八、多发性硬化症</w:t>
            </w:r>
          </w:p>
        </w:tc>
        <w:tc>
          <w:tcPr>
            <w:tcW w:w="6813" w:type="dxa"/>
          </w:tcPr>
          <w:p>
            <w:pPr>
              <w:pStyle w:val="TableParagraph"/>
              <w:spacing w:line="273" w:lineRule="auto"/>
              <w:ind w:right="76"/>
              <w:rPr>
                <w:sz w:val="21"/>
              </w:rPr>
            </w:pPr>
            <w:r>
              <w:rPr>
                <w:sz w:val="21"/>
              </w:rPr>
              <w:t>多发性硬化症为中枢神经系统脱髓鞘病变。其诊断必须由医疗机构的神经内科主任级专科医生确诊，并应由CT或MRI确认的中枢神经系统病灶证实。由于其它病因（如：血管疾病、细菌或病毒疾病）引起的中枢神经系统疾病除外。神经内科专科医生提供的病历文件必须载明不可逆性的神经系统功能障碍与缺失的详情。诊断必须我们认可医院的神经专科医生确诊。诊断须包括：</w:t>
            </w:r>
          </w:p>
          <w:p>
            <w:pPr>
              <w:pStyle w:val="TableParagraph"/>
              <w:numPr>
                <w:ilvl w:val="0"/>
                <w:numId w:val="20"/>
              </w:numPr>
              <w:tabs>
                <w:tab w:pos="468" w:val="left" w:leader="none"/>
                <w:tab w:pos="469" w:val="left" w:leader="none"/>
              </w:tabs>
              <w:spacing w:line="240" w:lineRule="auto" w:before="20" w:after="0"/>
              <w:ind w:left="468" w:right="0" w:hanging="361"/>
              <w:jc w:val="left"/>
              <w:rPr>
                <w:sz w:val="21"/>
              </w:rPr>
            </w:pPr>
            <w:r>
              <w:rPr>
                <w:spacing w:val="-3"/>
                <w:sz w:val="21"/>
              </w:rPr>
              <w:t>神经异常症状必须不间断地持续至少六个月，或</w:t>
            </w:r>
          </w:p>
          <w:p>
            <w:pPr>
              <w:pStyle w:val="TableParagraph"/>
              <w:numPr>
                <w:ilvl w:val="0"/>
                <w:numId w:val="20"/>
              </w:numPr>
              <w:tabs>
                <w:tab w:pos="468" w:val="left" w:leader="none"/>
                <w:tab w:pos="469" w:val="left" w:leader="none"/>
              </w:tabs>
              <w:spacing w:line="240" w:lineRule="auto" w:before="20" w:after="0"/>
              <w:ind w:left="468" w:right="0" w:hanging="361"/>
              <w:jc w:val="left"/>
              <w:rPr>
                <w:sz w:val="21"/>
              </w:rPr>
            </w:pPr>
            <w:r>
              <w:rPr>
                <w:spacing w:val="-3"/>
                <w:sz w:val="21"/>
              </w:rPr>
              <w:t>有至少两次发作的临床记录且发作间隔至少一个月，或</w:t>
            </w:r>
          </w:p>
          <w:p>
            <w:pPr>
              <w:pStyle w:val="TableParagraph"/>
              <w:numPr>
                <w:ilvl w:val="0"/>
                <w:numId w:val="20"/>
              </w:numPr>
              <w:tabs>
                <w:tab w:pos="468" w:val="left" w:leader="none"/>
                <w:tab w:pos="469" w:val="left" w:leader="none"/>
              </w:tabs>
              <w:spacing w:line="256" w:lineRule="auto" w:before="21" w:after="0"/>
              <w:ind w:left="468" w:right="341" w:hanging="361"/>
              <w:jc w:val="left"/>
              <w:rPr>
                <w:sz w:val="21"/>
              </w:rPr>
            </w:pPr>
            <w:r>
              <w:rPr>
                <w:spacing w:val="-3"/>
                <w:sz w:val="21"/>
              </w:rPr>
              <w:t>至少有一次临床发作记录且有典型的脑脊液改变并伴</w:t>
            </w:r>
            <w:r>
              <w:rPr>
                <w:sz w:val="21"/>
              </w:rPr>
              <w:t>MRI</w:t>
            </w:r>
            <w:r>
              <w:rPr>
                <w:spacing w:val="-2"/>
                <w:sz w:val="21"/>
              </w:rPr>
              <w:t>的损伤表现。</w:t>
            </w:r>
          </w:p>
          <w:p>
            <w:pPr>
              <w:pStyle w:val="TableParagraph"/>
              <w:spacing w:line="273" w:lineRule="auto" w:before="22"/>
              <w:ind w:right="281"/>
              <w:rPr>
                <w:sz w:val="21"/>
              </w:rPr>
            </w:pPr>
            <w:r>
              <w:rPr>
                <w:sz w:val="21"/>
              </w:rPr>
              <w:t>必须伴有典型的脱髓鞘症状和运动及感觉功能障碍的证据并有MRI检查的典型改变。</w:t>
            </w:r>
          </w:p>
        </w:tc>
      </w:tr>
      <w:tr>
        <w:trPr>
          <w:trHeight w:val="2807" w:hRule="atLeast"/>
        </w:trPr>
        <w:tc>
          <w:tcPr>
            <w:tcW w:w="1908" w:type="dxa"/>
          </w:tcPr>
          <w:p>
            <w:pPr>
              <w:pStyle w:val="TableParagraph"/>
              <w:spacing w:line="273" w:lineRule="auto"/>
              <w:ind w:right="105"/>
              <w:rPr>
                <w:sz w:val="21"/>
              </w:rPr>
            </w:pPr>
            <w:r>
              <w:rPr>
                <w:sz w:val="21"/>
              </w:rPr>
              <w:t>二十九、原发性心肌病</w:t>
            </w:r>
          </w:p>
        </w:tc>
        <w:tc>
          <w:tcPr>
            <w:tcW w:w="6813" w:type="dxa"/>
          </w:tcPr>
          <w:p>
            <w:pPr>
              <w:pStyle w:val="TableParagraph"/>
              <w:spacing w:line="273" w:lineRule="auto"/>
              <w:ind w:right="75"/>
              <w:rPr>
                <w:sz w:val="21"/>
              </w:rPr>
            </w:pPr>
            <w:r>
              <w:rPr>
                <w:sz w:val="21"/>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 * ），且有相关住院医疗记录显示四级心功能衰竭状态持续至少一百八十天。</w:t>
            </w:r>
          </w:p>
          <w:p>
            <w:pPr>
              <w:pStyle w:val="TableParagraph"/>
              <w:spacing w:line="273" w:lineRule="auto" w:before="20"/>
              <w:ind w:right="176"/>
              <w:rPr>
                <w:rFonts w:ascii="黑体" w:eastAsia="黑体" w:hint="eastAsia"/>
                <w:sz w:val="21"/>
              </w:rPr>
            </w:pPr>
            <w:r>
              <w:rPr>
                <w:sz w:val="21"/>
              </w:rPr>
              <w:t>本病须经专科医师明确诊断。</w:t>
            </w:r>
            <w:r>
              <w:rPr>
                <w:rFonts w:ascii="黑体" w:eastAsia="黑体" w:hint="eastAsia"/>
                <w:sz w:val="21"/>
              </w:rPr>
              <w:t>继发于全身性疾病或其它器官系统疾病造成的心肌病变除外。</w:t>
            </w:r>
          </w:p>
          <w:p>
            <w:pPr>
              <w:pStyle w:val="TableParagraph"/>
              <w:spacing w:line="273" w:lineRule="auto" w:before="7"/>
              <w:ind w:right="176"/>
              <w:rPr>
                <w:sz w:val="21"/>
              </w:rPr>
            </w:pPr>
            <w:r>
              <w:rPr>
                <w:sz w:val="21"/>
              </w:rPr>
              <w:t>* 美国纽约心脏协会分类标准心功能四级是指有医院的医疗记录显示病人不能进行任何活动，休息时仍有心悸、呼吸困难等心力衰竭表现。</w:t>
            </w:r>
          </w:p>
        </w:tc>
      </w:tr>
      <w:tr>
        <w:trPr>
          <w:trHeight w:val="2810" w:hRule="atLeast"/>
        </w:trPr>
        <w:tc>
          <w:tcPr>
            <w:tcW w:w="1908" w:type="dxa"/>
          </w:tcPr>
          <w:p>
            <w:pPr>
              <w:pStyle w:val="TableParagraph"/>
              <w:spacing w:line="273" w:lineRule="auto"/>
              <w:ind w:right="105"/>
              <w:rPr>
                <w:sz w:val="21"/>
              </w:rPr>
            </w:pPr>
            <w:r>
              <w:rPr>
                <w:sz w:val="21"/>
              </w:rPr>
              <w:t>三十、严重的类风湿性关节炎</w:t>
            </w:r>
          </w:p>
        </w:tc>
        <w:tc>
          <w:tcPr>
            <w:tcW w:w="6813" w:type="dxa"/>
          </w:tcPr>
          <w:p>
            <w:pPr>
              <w:pStyle w:val="TableParagraph"/>
              <w:spacing w:line="273" w:lineRule="auto"/>
              <w:ind w:right="175"/>
              <w:jc w:val="both"/>
              <w:rPr>
                <w:sz w:val="21"/>
              </w:rPr>
            </w:pPr>
            <w:r>
              <w:rPr>
                <w:sz w:val="21"/>
              </w:rPr>
              <w:t>类风湿性关节炎是指以关节滑膜炎为主要病理改变的慢性全身性自身免疫性疾病，诊断须符合国际认可的疾病诊断标准；严重的类风湿性关节炎是指符合下列三项标准的类风湿性关节炎：</w:t>
            </w:r>
          </w:p>
          <w:p>
            <w:pPr>
              <w:pStyle w:val="TableParagraph"/>
              <w:numPr>
                <w:ilvl w:val="0"/>
                <w:numId w:val="21"/>
              </w:numPr>
              <w:tabs>
                <w:tab w:pos="529" w:val="left" w:leader="none"/>
              </w:tabs>
              <w:spacing w:line="273" w:lineRule="auto" w:before="18" w:after="0"/>
              <w:ind w:left="528" w:right="175" w:hanging="421"/>
              <w:jc w:val="both"/>
              <w:rPr>
                <w:sz w:val="21"/>
              </w:rPr>
            </w:pPr>
            <w:r>
              <w:rPr>
                <w:spacing w:val="-3"/>
                <w:sz w:val="21"/>
              </w:rPr>
              <w:t>至少包括下列关节中的三组或三组以上有广泛受损和畸形改变：手指关节、腕关节、肘关节、膝关节、髋关节、踝关节、脊椎或脚趾关节；</w:t>
            </w:r>
          </w:p>
          <w:p>
            <w:pPr>
              <w:pStyle w:val="TableParagraph"/>
              <w:numPr>
                <w:ilvl w:val="0"/>
                <w:numId w:val="21"/>
              </w:numPr>
              <w:tabs>
                <w:tab w:pos="529" w:val="left" w:leader="none"/>
              </w:tabs>
              <w:spacing w:line="273" w:lineRule="auto" w:before="7" w:after="0"/>
              <w:ind w:left="528" w:right="94" w:hanging="421"/>
              <w:jc w:val="both"/>
              <w:rPr>
                <w:sz w:val="21"/>
              </w:rPr>
            </w:pPr>
            <w:r>
              <w:rPr>
                <w:spacing w:val="-3"/>
                <w:sz w:val="21"/>
              </w:rPr>
              <w:t>手和腕的后前位</w:t>
            </w:r>
            <w:r>
              <w:rPr>
                <w:sz w:val="21"/>
              </w:rPr>
              <w:t>X</w:t>
            </w:r>
            <w:r>
              <w:rPr>
                <w:spacing w:val="-5"/>
                <w:sz w:val="21"/>
              </w:rPr>
              <w:t>线检查可见类风湿关节炎的典型变化，包括骨质侵</w:t>
            </w:r>
            <w:r>
              <w:rPr>
                <w:spacing w:val="-4"/>
                <w:sz w:val="21"/>
              </w:rPr>
              <w:t>蚀或钙流失，在受累关节及其临近部位尤其明显；</w:t>
            </w:r>
          </w:p>
          <w:p>
            <w:pPr>
              <w:pStyle w:val="TableParagraph"/>
              <w:numPr>
                <w:ilvl w:val="0"/>
                <w:numId w:val="21"/>
              </w:numPr>
              <w:tabs>
                <w:tab w:pos="529" w:val="left" w:leader="none"/>
              </w:tabs>
              <w:spacing w:line="240" w:lineRule="auto" w:before="7" w:after="0"/>
              <w:ind w:left="528" w:right="0" w:hanging="421"/>
              <w:jc w:val="both"/>
              <w:rPr>
                <w:sz w:val="21"/>
              </w:rPr>
            </w:pPr>
            <w:r>
              <w:rPr>
                <w:spacing w:val="-3"/>
                <w:sz w:val="21"/>
              </w:rPr>
              <w:t>关节的畸形改变伴功能障碍至少持续六个月。</w:t>
            </w:r>
          </w:p>
        </w:tc>
      </w:tr>
      <w:tr>
        <w:trPr>
          <w:trHeight w:val="2808" w:hRule="atLeast"/>
        </w:trPr>
        <w:tc>
          <w:tcPr>
            <w:tcW w:w="1908" w:type="dxa"/>
          </w:tcPr>
          <w:p>
            <w:pPr>
              <w:pStyle w:val="TableParagraph"/>
              <w:spacing w:line="273" w:lineRule="auto"/>
              <w:ind w:right="94"/>
              <w:rPr>
                <w:sz w:val="21"/>
              </w:rPr>
            </w:pPr>
            <w:r>
              <w:rPr>
                <w:sz w:val="21"/>
              </w:rPr>
              <w:t>三十一、系统性红斑狼疮</w:t>
            </w:r>
          </w:p>
        </w:tc>
        <w:tc>
          <w:tcPr>
            <w:tcW w:w="6813" w:type="dxa"/>
          </w:tcPr>
          <w:p>
            <w:pPr>
              <w:pStyle w:val="TableParagraph"/>
              <w:spacing w:line="273" w:lineRule="auto"/>
              <w:ind w:right="75"/>
              <w:rPr>
                <w:rFonts w:ascii="黑体" w:hAnsi="黑体" w:eastAsia="黑体" w:hint="eastAsia"/>
                <w:sz w:val="21"/>
              </w:rPr>
            </w:pPr>
            <w:r>
              <w:rPr>
                <w:sz w:val="21"/>
              </w:rPr>
              <w:t>是由多种因素引起，累及多系统的自身免疫性疾病。多侵犯育龄女性。其特点是生成自身抗体对抗多种自身抗原。本合同所指的系统性红斑狼疮仅限于累及肾脏（经肾脏病理检查或临床确诊，并符合下列世界卫生组织(WHO)诊断标准定义Ⅲ型至Ⅴ型狼疮性肾炎）的系统性红斑狼疮。</w:t>
            </w:r>
            <w:r>
              <w:rPr>
                <w:rFonts w:ascii="黑体" w:hAnsi="黑体" w:eastAsia="黑体" w:hint="eastAsia"/>
                <w:sz w:val="21"/>
              </w:rPr>
              <w:t>其他类型的红斑性狼疮，如盘状狼疮，仅累及血液及关节等其他系统的系统性红斑狼疮不在保障范围。</w:t>
            </w:r>
          </w:p>
          <w:p>
            <w:pPr>
              <w:pStyle w:val="TableParagraph"/>
              <w:spacing w:before="5"/>
              <w:ind w:left="0"/>
              <w:rPr>
                <w:sz w:val="25"/>
              </w:rPr>
            </w:pPr>
          </w:p>
          <w:p>
            <w:pPr>
              <w:pStyle w:val="TableParagraph"/>
              <w:rPr>
                <w:sz w:val="21"/>
              </w:rPr>
            </w:pPr>
            <w:r>
              <w:rPr>
                <w:sz w:val="21"/>
              </w:rPr>
              <w:t>世界卫生组织(WHO)狼疮性肾炎分型：</w:t>
            </w:r>
          </w:p>
          <w:p>
            <w:pPr>
              <w:pStyle w:val="TableParagraph"/>
              <w:spacing w:before="36"/>
              <w:ind w:left="318"/>
              <w:rPr>
                <w:sz w:val="21"/>
              </w:rPr>
            </w:pPr>
            <w:r>
              <w:rPr>
                <w:sz w:val="21"/>
              </w:rPr>
              <w:t>Ⅰ型(微小病变型)镜下阴性，尿液正常；</w:t>
            </w:r>
          </w:p>
        </w:tc>
      </w:tr>
    </w:tbl>
    <w:p>
      <w:pPr>
        <w:spacing w:after="0"/>
        <w:rPr>
          <w:sz w:val="21"/>
        </w:rPr>
        <w:sectPr>
          <w:pgSz w:w="11910" w:h="16840"/>
          <w:pgMar w:header="0" w:footer="1057" w:top="1420" w:bottom="1240" w:left="1580" w:right="138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3"/>
      </w:tblGrid>
      <w:tr>
        <w:trPr>
          <w:trHeight w:val="1248" w:hRule="atLeast"/>
        </w:trPr>
        <w:tc>
          <w:tcPr>
            <w:tcW w:w="1908" w:type="dxa"/>
          </w:tcPr>
          <w:p>
            <w:pPr>
              <w:pStyle w:val="TableParagraph"/>
              <w:ind w:left="0"/>
              <w:rPr>
                <w:rFonts w:ascii="Times New Roman"/>
                <w:sz w:val="20"/>
              </w:rPr>
            </w:pPr>
          </w:p>
        </w:tc>
        <w:tc>
          <w:tcPr>
            <w:tcW w:w="6813" w:type="dxa"/>
          </w:tcPr>
          <w:p>
            <w:pPr>
              <w:pStyle w:val="TableParagraph"/>
              <w:spacing w:line="262" w:lineRule="exact"/>
              <w:ind w:left="318"/>
              <w:rPr>
                <w:sz w:val="21"/>
              </w:rPr>
            </w:pPr>
            <w:r>
              <w:rPr>
                <w:sz w:val="21"/>
              </w:rPr>
              <w:t>Ⅱ型(系膜病变型)中度蛋白尿，偶有尿沉渣改变；</w:t>
            </w:r>
          </w:p>
          <w:p>
            <w:pPr>
              <w:pStyle w:val="TableParagraph"/>
              <w:spacing w:before="37"/>
              <w:ind w:left="318"/>
              <w:rPr>
                <w:sz w:val="21"/>
              </w:rPr>
            </w:pPr>
            <w:r>
              <w:rPr>
                <w:sz w:val="21"/>
              </w:rPr>
              <w:t>Ⅲ型(局灶及节段增生型)蛋白尿，尿沉渣改变；</w:t>
            </w:r>
          </w:p>
          <w:p>
            <w:pPr>
              <w:pStyle w:val="TableParagraph"/>
              <w:spacing w:before="36"/>
              <w:ind w:left="318"/>
              <w:rPr>
                <w:sz w:val="21"/>
              </w:rPr>
            </w:pPr>
            <w:r>
              <w:rPr>
                <w:sz w:val="21"/>
              </w:rPr>
              <w:t>Ⅳ型(弥漫增生型)急性肾炎伴有尿沉渣改变及/或肾病综合征；</w:t>
            </w:r>
          </w:p>
          <w:p>
            <w:pPr>
              <w:pStyle w:val="TableParagraph"/>
              <w:spacing w:before="36"/>
              <w:ind w:left="318"/>
              <w:rPr>
                <w:sz w:val="21"/>
              </w:rPr>
            </w:pPr>
            <w:r>
              <w:rPr>
                <w:sz w:val="21"/>
              </w:rPr>
              <w:t>Ⅴ型(膜型)肾病综合征或重度蛋白尿。</w:t>
            </w:r>
          </w:p>
        </w:tc>
      </w:tr>
      <w:tr>
        <w:trPr>
          <w:trHeight w:val="1871" w:hRule="atLeast"/>
        </w:trPr>
        <w:tc>
          <w:tcPr>
            <w:tcW w:w="1908" w:type="dxa"/>
          </w:tcPr>
          <w:p>
            <w:pPr>
              <w:pStyle w:val="TableParagraph"/>
              <w:spacing w:line="273" w:lineRule="auto"/>
              <w:ind w:right="94"/>
              <w:rPr>
                <w:sz w:val="21"/>
              </w:rPr>
            </w:pPr>
            <w:r>
              <w:rPr>
                <w:sz w:val="21"/>
              </w:rPr>
              <w:t>三十二、严重慢性呼吸衰竭</w:t>
            </w:r>
          </w:p>
        </w:tc>
        <w:tc>
          <w:tcPr>
            <w:tcW w:w="6813" w:type="dxa"/>
          </w:tcPr>
          <w:p>
            <w:pPr>
              <w:pStyle w:val="TableParagraph"/>
              <w:spacing w:line="273" w:lineRule="auto"/>
              <w:ind w:right="176"/>
              <w:rPr>
                <w:sz w:val="21"/>
              </w:rPr>
            </w:pPr>
            <w:r>
              <w:rPr>
                <w:sz w:val="21"/>
              </w:rPr>
              <w:t>慢性肺部疾病导致永久不可逆性的慢性呼吸功能衰竭，必须由呼吸专科医师确认并符合下列所有条件：</w:t>
            </w:r>
          </w:p>
          <w:p>
            <w:pPr>
              <w:pStyle w:val="TableParagraph"/>
              <w:numPr>
                <w:ilvl w:val="0"/>
                <w:numId w:val="22"/>
              </w:numPr>
              <w:tabs>
                <w:tab w:pos="529" w:val="left" w:leader="none"/>
              </w:tabs>
              <w:spacing w:line="240" w:lineRule="auto" w:before="20" w:after="0"/>
              <w:ind w:left="528" w:right="0" w:hanging="421"/>
              <w:jc w:val="left"/>
              <w:rPr>
                <w:sz w:val="21"/>
              </w:rPr>
            </w:pPr>
            <w:r>
              <w:rPr>
                <w:spacing w:val="-3"/>
                <w:sz w:val="21"/>
              </w:rPr>
              <w:t>肺功能测试其</w:t>
            </w:r>
            <w:r>
              <w:rPr>
                <w:spacing w:val="-1"/>
                <w:sz w:val="21"/>
              </w:rPr>
              <w:t>FEV1</w:t>
            </w:r>
            <w:r>
              <w:rPr>
                <w:spacing w:val="-3"/>
                <w:sz w:val="21"/>
              </w:rPr>
              <w:t>持续低于</w:t>
            </w:r>
            <w:r>
              <w:rPr>
                <w:sz w:val="21"/>
              </w:rPr>
              <w:t>0.75升；</w:t>
            </w:r>
          </w:p>
          <w:p>
            <w:pPr>
              <w:pStyle w:val="TableParagraph"/>
              <w:numPr>
                <w:ilvl w:val="0"/>
                <w:numId w:val="22"/>
              </w:numPr>
              <w:tabs>
                <w:tab w:pos="529" w:val="left" w:leader="none"/>
              </w:tabs>
              <w:spacing w:line="240" w:lineRule="auto" w:before="36" w:after="0"/>
              <w:ind w:left="528" w:right="0" w:hanging="421"/>
              <w:jc w:val="left"/>
              <w:rPr>
                <w:sz w:val="21"/>
              </w:rPr>
            </w:pPr>
            <w:r>
              <w:rPr>
                <w:spacing w:val="-3"/>
                <w:sz w:val="21"/>
              </w:rPr>
              <w:t>病人缺氧必须广泛而持续地进行输氧治疗；</w:t>
            </w:r>
          </w:p>
          <w:p>
            <w:pPr>
              <w:pStyle w:val="TableParagraph"/>
              <w:numPr>
                <w:ilvl w:val="0"/>
                <w:numId w:val="22"/>
              </w:numPr>
              <w:tabs>
                <w:tab w:pos="529" w:val="left" w:leader="none"/>
              </w:tabs>
              <w:spacing w:line="240" w:lineRule="auto" w:before="36" w:after="0"/>
              <w:ind w:left="528" w:right="0" w:hanging="421"/>
              <w:jc w:val="left"/>
              <w:rPr>
                <w:sz w:val="21"/>
              </w:rPr>
            </w:pPr>
            <w:r>
              <w:rPr>
                <w:spacing w:val="-3"/>
                <w:sz w:val="21"/>
              </w:rPr>
              <w:t>动脉血气分析氧分压低于</w:t>
            </w:r>
            <w:r>
              <w:rPr>
                <w:sz w:val="21"/>
              </w:rPr>
              <w:t>55mmHg。</w:t>
            </w:r>
          </w:p>
          <w:p>
            <w:pPr>
              <w:pStyle w:val="TableParagraph"/>
              <w:spacing w:before="36"/>
              <w:rPr>
                <w:sz w:val="21"/>
              </w:rPr>
            </w:pPr>
            <w:r>
              <w:rPr>
                <w:sz w:val="21"/>
              </w:rPr>
              <w:t>理赔时必须提供以上三项相应的证明文件或检查报告。</w:t>
            </w:r>
          </w:p>
        </w:tc>
      </w:tr>
      <w:tr>
        <w:trPr>
          <w:trHeight w:val="1872" w:hRule="atLeast"/>
        </w:trPr>
        <w:tc>
          <w:tcPr>
            <w:tcW w:w="1908" w:type="dxa"/>
          </w:tcPr>
          <w:p>
            <w:pPr>
              <w:pStyle w:val="TableParagraph"/>
              <w:spacing w:line="273" w:lineRule="auto"/>
              <w:ind w:right="94"/>
              <w:rPr>
                <w:sz w:val="21"/>
              </w:rPr>
            </w:pPr>
            <w:r>
              <w:rPr>
                <w:sz w:val="21"/>
              </w:rPr>
              <w:t>三十三、全身性重症肌无力</w:t>
            </w:r>
          </w:p>
        </w:tc>
        <w:tc>
          <w:tcPr>
            <w:tcW w:w="6813" w:type="dxa"/>
          </w:tcPr>
          <w:p>
            <w:pPr>
              <w:pStyle w:val="TableParagraph"/>
              <w:spacing w:line="273" w:lineRule="auto"/>
              <w:ind w:right="176"/>
              <w:jc w:val="both"/>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numPr>
                <w:ilvl w:val="0"/>
                <w:numId w:val="23"/>
              </w:numPr>
              <w:tabs>
                <w:tab w:pos="529" w:val="left" w:leader="none"/>
              </w:tabs>
              <w:spacing w:line="240" w:lineRule="auto" w:before="21" w:after="0"/>
              <w:ind w:left="528" w:right="0" w:hanging="421"/>
              <w:jc w:val="left"/>
              <w:rPr>
                <w:sz w:val="21"/>
              </w:rPr>
            </w:pPr>
            <w:r>
              <w:rPr>
                <w:spacing w:val="-3"/>
                <w:sz w:val="21"/>
              </w:rPr>
              <w:t>经药物治疗和胸腺切除治疗一年以上仍无法控制病情；</w:t>
            </w:r>
          </w:p>
          <w:p>
            <w:pPr>
              <w:pStyle w:val="TableParagraph"/>
              <w:numPr>
                <w:ilvl w:val="0"/>
                <w:numId w:val="23"/>
              </w:numPr>
              <w:tabs>
                <w:tab w:pos="529" w:val="left" w:leader="none"/>
              </w:tabs>
              <w:spacing w:line="273" w:lineRule="auto" w:before="37" w:after="0"/>
              <w:ind w:left="528" w:right="175" w:hanging="421"/>
              <w:jc w:val="left"/>
              <w:rPr>
                <w:sz w:val="21"/>
              </w:rPr>
            </w:pPr>
            <w:r>
              <w:rPr>
                <w:spacing w:val="-3"/>
                <w:sz w:val="21"/>
              </w:rPr>
              <w:t>自主生活能力完全丧失，无法独立完成六项基本日常生活活动中的三项或三项以上。</w:t>
            </w:r>
          </w:p>
        </w:tc>
      </w:tr>
      <w:tr>
        <w:trPr>
          <w:trHeight w:val="937" w:hRule="atLeast"/>
        </w:trPr>
        <w:tc>
          <w:tcPr>
            <w:tcW w:w="1908" w:type="dxa"/>
          </w:tcPr>
          <w:p>
            <w:pPr>
              <w:pStyle w:val="TableParagraph"/>
              <w:spacing w:line="273" w:lineRule="auto"/>
              <w:ind w:right="94"/>
              <w:rPr>
                <w:sz w:val="21"/>
              </w:rPr>
            </w:pPr>
            <w:r>
              <w:rPr>
                <w:sz w:val="21"/>
              </w:rPr>
              <w:t>三十四、严重克隆病</w:t>
            </w:r>
          </w:p>
        </w:tc>
        <w:tc>
          <w:tcPr>
            <w:tcW w:w="6813" w:type="dxa"/>
          </w:tcPr>
          <w:p>
            <w:pPr>
              <w:pStyle w:val="TableParagraph"/>
              <w:spacing w:line="273" w:lineRule="auto"/>
              <w:ind w:right="-15"/>
              <w:rPr>
                <w:sz w:val="21"/>
              </w:rPr>
            </w:pPr>
            <w:r>
              <w:rPr>
                <w:spacing w:val="-5"/>
                <w:sz w:val="21"/>
              </w:rPr>
              <w:t>克隆病是一种慢性肉芽肿性肠炎，具有特征性的克隆病病理组织学变化。</w:t>
            </w:r>
            <w:r>
              <w:rPr>
                <w:spacing w:val="-4"/>
                <w:sz w:val="21"/>
              </w:rPr>
              <w:t>诊断必须由病理检查结果证实。被保险人所患的克隆病必须已经造成瘘 </w:t>
            </w:r>
            <w:r>
              <w:rPr>
                <w:spacing w:val="-3"/>
                <w:sz w:val="21"/>
              </w:rPr>
              <w:t>管形成并伴有肠梗阻或肠穿孔。</w:t>
            </w:r>
          </w:p>
        </w:tc>
      </w:tr>
      <w:tr>
        <w:trPr>
          <w:trHeight w:val="1247" w:hRule="atLeast"/>
        </w:trPr>
        <w:tc>
          <w:tcPr>
            <w:tcW w:w="1908" w:type="dxa"/>
          </w:tcPr>
          <w:p>
            <w:pPr>
              <w:pStyle w:val="TableParagraph"/>
              <w:spacing w:line="273" w:lineRule="auto"/>
              <w:ind w:right="94"/>
              <w:rPr>
                <w:sz w:val="21"/>
              </w:rPr>
            </w:pPr>
            <w:r>
              <w:rPr>
                <w:sz w:val="21"/>
              </w:rPr>
              <w:t>三十五、严重溃疡性结肠炎</w:t>
            </w:r>
          </w:p>
        </w:tc>
        <w:tc>
          <w:tcPr>
            <w:tcW w:w="6813" w:type="dxa"/>
          </w:tcPr>
          <w:p>
            <w:pPr>
              <w:pStyle w:val="TableParagraph"/>
              <w:spacing w:line="273" w:lineRule="auto"/>
              <w:ind w:right="-15"/>
              <w:rPr>
                <w:sz w:val="21"/>
              </w:rPr>
            </w:pPr>
            <w:r>
              <w:rPr>
                <w:spacing w:val="-4"/>
                <w:sz w:val="21"/>
              </w:rPr>
              <w:t>指伴有致命性电解质紊乱的急性暴发性溃疡性结肠炎，病变累及全结肠， </w:t>
            </w:r>
            <w:r>
              <w:rPr>
                <w:spacing w:val="-3"/>
                <w:sz w:val="21"/>
              </w:rPr>
              <w:t>表现为严重的血便和系统性症状体征，治疗通常采取全结肠切除和回肠 造瘘术。溃疡性结肠炎必须根据组织病理学特点诊断，并且被保险人已 经接受了结肠切除和回肠造瘘术。</w:t>
            </w:r>
          </w:p>
        </w:tc>
      </w:tr>
      <w:tr>
        <w:trPr>
          <w:trHeight w:val="1871" w:hRule="atLeast"/>
        </w:trPr>
        <w:tc>
          <w:tcPr>
            <w:tcW w:w="1908" w:type="dxa"/>
          </w:tcPr>
          <w:p>
            <w:pPr>
              <w:pStyle w:val="TableParagraph"/>
              <w:spacing w:line="273" w:lineRule="auto"/>
              <w:ind w:right="94"/>
              <w:rPr>
                <w:sz w:val="21"/>
              </w:rPr>
            </w:pPr>
            <w:r>
              <w:rPr>
                <w:sz w:val="21"/>
              </w:rPr>
              <w:t>三十六、坏死性筋膜炎</w:t>
            </w:r>
          </w:p>
        </w:tc>
        <w:tc>
          <w:tcPr>
            <w:tcW w:w="6813" w:type="dxa"/>
          </w:tcPr>
          <w:p>
            <w:pPr>
              <w:pStyle w:val="TableParagraph"/>
              <w:spacing w:line="262" w:lineRule="exact"/>
              <w:rPr>
                <w:sz w:val="21"/>
              </w:rPr>
            </w:pPr>
            <w:r>
              <w:rPr>
                <w:sz w:val="21"/>
              </w:rPr>
              <w:t>坏死性筋膜炎的诊断须同时符合下列要求：</w:t>
            </w:r>
          </w:p>
          <w:p>
            <w:pPr>
              <w:pStyle w:val="TableParagraph"/>
              <w:numPr>
                <w:ilvl w:val="0"/>
                <w:numId w:val="24"/>
              </w:numPr>
              <w:tabs>
                <w:tab w:pos="529" w:val="left" w:leader="none"/>
              </w:tabs>
              <w:spacing w:line="240" w:lineRule="auto" w:before="37" w:after="0"/>
              <w:ind w:left="528" w:right="0" w:hanging="421"/>
              <w:jc w:val="left"/>
              <w:rPr>
                <w:sz w:val="21"/>
              </w:rPr>
            </w:pPr>
            <w:r>
              <w:rPr>
                <w:spacing w:val="-3"/>
                <w:sz w:val="21"/>
              </w:rPr>
              <w:t>符合坏死性筋膜炎的一般临床表现；</w:t>
            </w:r>
          </w:p>
          <w:p>
            <w:pPr>
              <w:pStyle w:val="TableParagraph"/>
              <w:numPr>
                <w:ilvl w:val="0"/>
                <w:numId w:val="24"/>
              </w:numPr>
              <w:tabs>
                <w:tab w:pos="529" w:val="left" w:leader="none"/>
              </w:tabs>
              <w:spacing w:line="240" w:lineRule="auto" w:before="37" w:after="0"/>
              <w:ind w:left="528" w:right="0" w:hanging="421"/>
              <w:jc w:val="left"/>
              <w:rPr>
                <w:sz w:val="21"/>
              </w:rPr>
            </w:pPr>
            <w:r>
              <w:rPr>
                <w:spacing w:val="-3"/>
                <w:sz w:val="21"/>
              </w:rPr>
              <w:t>细菌培养检出致病菌；</w:t>
            </w:r>
          </w:p>
          <w:p>
            <w:pPr>
              <w:pStyle w:val="TableParagraph"/>
              <w:numPr>
                <w:ilvl w:val="0"/>
                <w:numId w:val="24"/>
              </w:numPr>
              <w:tabs>
                <w:tab w:pos="529" w:val="left" w:leader="none"/>
              </w:tabs>
              <w:spacing w:line="273" w:lineRule="auto" w:before="36" w:after="0"/>
              <w:ind w:left="528" w:right="175" w:hanging="421"/>
              <w:jc w:val="left"/>
              <w:rPr>
                <w:sz w:val="21"/>
              </w:rPr>
            </w:pPr>
            <w:r>
              <w:rPr>
                <w:spacing w:val="-3"/>
                <w:sz w:val="21"/>
              </w:rPr>
              <w:t>出现广泛性肌肉及组织坏死，并确实实施了坏死组织和筋膜以及肌肉的切除手术。</w:t>
            </w:r>
          </w:p>
          <w:p>
            <w:pPr>
              <w:pStyle w:val="TableParagraph"/>
              <w:spacing w:before="7"/>
              <w:rPr>
                <w:rFonts w:ascii="黑体" w:eastAsia="黑体" w:hint="eastAsia"/>
                <w:sz w:val="21"/>
              </w:rPr>
            </w:pPr>
            <w:r>
              <w:rPr>
                <w:rFonts w:ascii="黑体" w:eastAsia="黑体" w:hint="eastAsia"/>
                <w:sz w:val="21"/>
              </w:rPr>
              <w:t>清创术不属于保险责任范围。</w:t>
            </w:r>
          </w:p>
        </w:tc>
      </w:tr>
      <w:tr>
        <w:trPr>
          <w:trHeight w:val="1247" w:hRule="atLeast"/>
        </w:trPr>
        <w:tc>
          <w:tcPr>
            <w:tcW w:w="1908" w:type="dxa"/>
          </w:tcPr>
          <w:p>
            <w:pPr>
              <w:pStyle w:val="TableParagraph"/>
              <w:spacing w:line="273" w:lineRule="auto"/>
              <w:ind w:right="94"/>
              <w:rPr>
                <w:sz w:val="21"/>
              </w:rPr>
            </w:pPr>
            <w:r>
              <w:rPr>
                <w:sz w:val="21"/>
              </w:rPr>
              <w:t>三十七、慢性复发性胰腺炎</w:t>
            </w:r>
          </w:p>
        </w:tc>
        <w:tc>
          <w:tcPr>
            <w:tcW w:w="6813" w:type="dxa"/>
          </w:tcPr>
          <w:p>
            <w:pPr>
              <w:pStyle w:val="TableParagraph"/>
              <w:spacing w:line="273" w:lineRule="auto"/>
              <w:ind w:right="176"/>
              <w:jc w:val="both"/>
              <w:rPr>
                <w:sz w:val="21"/>
              </w:rPr>
            </w:pPr>
            <w:r>
              <w:rPr>
                <w:sz w:val="21"/>
              </w:rPr>
              <w:t>胰腺炎反复发作超过三次以上并导致胰腺功能紊乱和营养不良，需要接受酶替代治疗。诊断必须有消化科专科医生确认并且有内窥镜逆行胰胆管造影所证实。</w:t>
            </w:r>
          </w:p>
          <w:p>
            <w:pPr>
              <w:pStyle w:val="TableParagraph"/>
              <w:spacing w:before="20"/>
              <w:jc w:val="both"/>
              <w:rPr>
                <w:rFonts w:ascii="黑体" w:eastAsia="黑体" w:hint="eastAsia"/>
                <w:sz w:val="21"/>
              </w:rPr>
            </w:pPr>
            <w:r>
              <w:rPr>
                <w:rFonts w:ascii="黑体" w:eastAsia="黑体" w:hint="eastAsia"/>
                <w:sz w:val="21"/>
              </w:rPr>
              <w:t>因酒精所致的慢性复发性胰腺炎除外。</w:t>
            </w:r>
          </w:p>
        </w:tc>
      </w:tr>
      <w:tr>
        <w:trPr>
          <w:trHeight w:val="2184" w:hRule="atLeast"/>
        </w:trPr>
        <w:tc>
          <w:tcPr>
            <w:tcW w:w="1908" w:type="dxa"/>
          </w:tcPr>
          <w:p>
            <w:pPr>
              <w:pStyle w:val="TableParagraph"/>
              <w:spacing w:line="273" w:lineRule="auto"/>
              <w:ind w:right="94"/>
              <w:rPr>
                <w:sz w:val="21"/>
              </w:rPr>
            </w:pPr>
            <w:r>
              <w:rPr>
                <w:sz w:val="21"/>
              </w:rPr>
              <w:t>三十八、肌营养不良症</w:t>
            </w:r>
          </w:p>
        </w:tc>
        <w:tc>
          <w:tcPr>
            <w:tcW w:w="6813" w:type="dxa"/>
          </w:tcPr>
          <w:p>
            <w:pPr>
              <w:pStyle w:val="TableParagraph"/>
              <w:spacing w:line="273" w:lineRule="auto"/>
              <w:ind w:right="176"/>
              <w:rPr>
                <w:sz w:val="21"/>
              </w:rPr>
            </w:pPr>
            <w:r>
              <w:rPr>
                <w:sz w:val="21"/>
              </w:rPr>
              <w:t>指一组遗传性肌肉变性病变, 临床特征为与神经系统无关的骨骼肌肉对称地进行性无力和萎缩。其诊断需满足下列全部条件：</w:t>
            </w:r>
          </w:p>
          <w:p>
            <w:pPr>
              <w:pStyle w:val="TableParagraph"/>
              <w:numPr>
                <w:ilvl w:val="0"/>
                <w:numId w:val="25"/>
              </w:numPr>
              <w:tabs>
                <w:tab w:pos="529" w:val="left" w:leader="none"/>
              </w:tabs>
              <w:spacing w:line="240" w:lineRule="auto" w:before="20" w:after="0"/>
              <w:ind w:left="528" w:right="0" w:hanging="421"/>
              <w:jc w:val="left"/>
              <w:rPr>
                <w:sz w:val="21"/>
              </w:rPr>
            </w:pPr>
            <w:r>
              <w:rPr>
                <w:spacing w:val="-3"/>
                <w:sz w:val="21"/>
              </w:rPr>
              <w:t>肌电图显示典型肌营养不良症的阳性改变；</w:t>
            </w:r>
          </w:p>
          <w:p>
            <w:pPr>
              <w:pStyle w:val="TableParagraph"/>
              <w:numPr>
                <w:ilvl w:val="0"/>
                <w:numId w:val="25"/>
              </w:numPr>
              <w:tabs>
                <w:tab w:pos="529" w:val="left" w:leader="none"/>
              </w:tabs>
              <w:spacing w:line="273" w:lineRule="auto" w:before="36" w:after="0"/>
              <w:ind w:left="528" w:right="281" w:hanging="421"/>
              <w:jc w:val="left"/>
              <w:rPr>
                <w:sz w:val="21"/>
              </w:rPr>
            </w:pPr>
            <w:r>
              <w:rPr>
                <w:spacing w:val="-3"/>
                <w:sz w:val="21"/>
              </w:rPr>
              <w:t>肌肉活检的病理学诊断符合肌营养不良症的肌肉细胞变性</w:t>
            </w:r>
            <w:r>
              <w:rPr>
                <w:sz w:val="21"/>
              </w:rPr>
              <w:t>\</w:t>
            </w:r>
            <w:r>
              <w:rPr>
                <w:spacing w:val="-2"/>
                <w:sz w:val="21"/>
              </w:rPr>
              <w:t>坏死等阳性改变;</w:t>
            </w:r>
          </w:p>
          <w:p>
            <w:pPr>
              <w:pStyle w:val="TableParagraph"/>
              <w:numPr>
                <w:ilvl w:val="0"/>
                <w:numId w:val="25"/>
              </w:numPr>
              <w:tabs>
                <w:tab w:pos="529" w:val="left" w:leader="none"/>
              </w:tabs>
              <w:spacing w:line="273" w:lineRule="auto" w:before="7" w:after="0"/>
              <w:ind w:left="528" w:right="175" w:hanging="421"/>
              <w:jc w:val="left"/>
              <w:rPr>
                <w:sz w:val="21"/>
              </w:rPr>
            </w:pPr>
            <w:r>
              <w:rPr>
                <w:spacing w:val="-3"/>
                <w:sz w:val="21"/>
              </w:rPr>
              <w:t>已导致被保险人持续超过三个月无法独立完成六项基本日常生活活动中的三项获三项以上。</w:t>
            </w:r>
          </w:p>
        </w:tc>
      </w:tr>
      <w:tr>
        <w:trPr>
          <w:trHeight w:val="1249" w:hRule="atLeast"/>
        </w:trPr>
        <w:tc>
          <w:tcPr>
            <w:tcW w:w="1908" w:type="dxa"/>
          </w:tcPr>
          <w:p>
            <w:pPr>
              <w:pStyle w:val="TableParagraph"/>
              <w:spacing w:line="273" w:lineRule="auto"/>
              <w:ind w:right="94"/>
              <w:jc w:val="both"/>
              <w:rPr>
                <w:sz w:val="21"/>
              </w:rPr>
            </w:pPr>
            <w:r>
              <w:rPr>
                <w:sz w:val="21"/>
              </w:rPr>
              <w:t>三十九、非阿尔茨海默病所致严重痴呆</w:t>
            </w:r>
          </w:p>
        </w:tc>
        <w:tc>
          <w:tcPr>
            <w:tcW w:w="6813" w:type="dxa"/>
          </w:tcPr>
          <w:p>
            <w:pPr>
              <w:pStyle w:val="TableParagraph"/>
              <w:spacing w:line="273" w:lineRule="auto"/>
              <w:ind w:right="98"/>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w:t>
            </w:r>
          </w:p>
        </w:tc>
      </w:tr>
    </w:tbl>
    <w:p>
      <w:pPr>
        <w:spacing w:after="0" w:line="273" w:lineRule="auto"/>
        <w:jc w:val="both"/>
        <w:rPr>
          <w:sz w:val="21"/>
        </w:rPr>
        <w:sectPr>
          <w:pgSz w:w="11910" w:h="16840"/>
          <w:pgMar w:header="0" w:footer="1057" w:top="1420" w:bottom="1240" w:left="1580" w:right="138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3"/>
      </w:tblGrid>
      <w:tr>
        <w:trPr>
          <w:trHeight w:val="936" w:hRule="atLeast"/>
        </w:trPr>
        <w:tc>
          <w:tcPr>
            <w:tcW w:w="1908" w:type="dxa"/>
          </w:tcPr>
          <w:p>
            <w:pPr>
              <w:pStyle w:val="TableParagraph"/>
              <w:ind w:left="0"/>
              <w:rPr>
                <w:rFonts w:ascii="Times New Roman"/>
                <w:sz w:val="20"/>
              </w:rPr>
            </w:pPr>
          </w:p>
        </w:tc>
        <w:tc>
          <w:tcPr>
            <w:tcW w:w="6813" w:type="dxa"/>
          </w:tcPr>
          <w:p>
            <w:pPr>
              <w:pStyle w:val="TableParagraph"/>
              <w:spacing w:line="273" w:lineRule="auto"/>
              <w:ind w:right="103"/>
              <w:rPr>
                <w:sz w:val="21"/>
              </w:rPr>
            </w:pPr>
            <w:r>
              <w:rPr>
                <w:sz w:val="21"/>
              </w:rPr>
              <w:t>痴呆的疾病必须明确诊断，并且由完整的临床、实验室和影像学检查结果证实。</w:t>
            </w:r>
          </w:p>
          <w:p>
            <w:pPr>
              <w:pStyle w:val="TableParagraph"/>
              <w:spacing w:before="20"/>
              <w:rPr>
                <w:rFonts w:ascii="黑体" w:eastAsia="黑体" w:hint="eastAsia"/>
                <w:sz w:val="21"/>
              </w:rPr>
            </w:pPr>
            <w:r>
              <w:rPr>
                <w:rFonts w:ascii="黑体" w:eastAsia="黑体" w:hint="eastAsia"/>
                <w:sz w:val="21"/>
              </w:rPr>
              <w:t>神经官能症,精神疾病及酒精中毒所致脑损害不在保障范围内。</w:t>
            </w:r>
          </w:p>
        </w:tc>
      </w:tr>
      <w:tr>
        <w:trPr>
          <w:trHeight w:val="935" w:hRule="atLeast"/>
        </w:trPr>
        <w:tc>
          <w:tcPr>
            <w:tcW w:w="1908" w:type="dxa"/>
          </w:tcPr>
          <w:p>
            <w:pPr>
              <w:pStyle w:val="TableParagraph"/>
              <w:spacing w:line="262" w:lineRule="exact"/>
              <w:rPr>
                <w:sz w:val="21"/>
              </w:rPr>
            </w:pPr>
            <w:r>
              <w:rPr>
                <w:sz w:val="21"/>
              </w:rPr>
              <w:t>四十、严重川崎病</w:t>
            </w:r>
          </w:p>
        </w:tc>
        <w:tc>
          <w:tcPr>
            <w:tcW w:w="6813" w:type="dxa"/>
          </w:tcPr>
          <w:p>
            <w:pPr>
              <w:pStyle w:val="TableParagraph"/>
              <w:spacing w:line="262" w:lineRule="exact"/>
              <w:rPr>
                <w:sz w:val="21"/>
              </w:rPr>
            </w:pPr>
            <w:r>
              <w:rPr>
                <w:sz w:val="21"/>
              </w:rPr>
              <w:t>川崎病为一种病因不明的系统性血管炎。</w:t>
            </w:r>
          </w:p>
          <w:p>
            <w:pPr>
              <w:pStyle w:val="TableParagraph"/>
              <w:spacing w:line="273" w:lineRule="auto" w:before="37"/>
              <w:ind w:right="176"/>
              <w:rPr>
                <w:sz w:val="21"/>
              </w:rPr>
            </w:pPr>
            <w:r>
              <w:rPr>
                <w:sz w:val="21"/>
              </w:rPr>
              <w:t>本合同仅对诊断性检查证实川崎病并发冠状动脉瘤或其他心血管异常并且实际接受了手术治疗的情况予以理赔。</w:t>
            </w:r>
          </w:p>
        </w:tc>
      </w:tr>
      <w:tr>
        <w:trPr>
          <w:trHeight w:val="1247" w:hRule="atLeast"/>
        </w:trPr>
        <w:tc>
          <w:tcPr>
            <w:tcW w:w="1908" w:type="dxa"/>
          </w:tcPr>
          <w:p>
            <w:pPr>
              <w:pStyle w:val="TableParagraph"/>
              <w:spacing w:line="273" w:lineRule="auto"/>
              <w:ind w:right="105"/>
              <w:rPr>
                <w:sz w:val="21"/>
              </w:rPr>
            </w:pPr>
            <w:r>
              <w:rPr>
                <w:sz w:val="21"/>
              </w:rPr>
              <w:t>四十一、严重幼年型类风湿性关节炎</w:t>
            </w:r>
          </w:p>
        </w:tc>
        <w:tc>
          <w:tcPr>
            <w:tcW w:w="6813" w:type="dxa"/>
          </w:tcPr>
          <w:p>
            <w:pPr>
              <w:pStyle w:val="TableParagraph"/>
              <w:spacing w:line="273" w:lineRule="auto"/>
              <w:ind w:right="176"/>
              <w:rPr>
                <w:sz w:val="21"/>
              </w:rPr>
            </w:pPr>
            <w:r>
              <w:rPr>
                <w:sz w:val="21"/>
              </w:rPr>
              <w:t>幼年型类风湿性关节炎是一种儿童期发病的慢性关节炎，其特点为在高热和系统性病征出现数月后发生关节炎。</w:t>
            </w:r>
          </w:p>
          <w:p>
            <w:pPr>
              <w:pStyle w:val="TableParagraph"/>
              <w:spacing w:line="273" w:lineRule="auto" w:before="20"/>
              <w:ind w:right="175"/>
              <w:rPr>
                <w:sz w:val="21"/>
              </w:rPr>
            </w:pPr>
            <w:r>
              <w:rPr>
                <w:sz w:val="21"/>
              </w:rPr>
              <w:t>本合同仅对实际接受了膝关节或髋关节置换手术治疗的严重的幼年型类风湿性关节炎予以理赔。</w:t>
            </w:r>
          </w:p>
        </w:tc>
      </w:tr>
      <w:tr>
        <w:trPr>
          <w:trHeight w:val="4370" w:hRule="atLeast"/>
        </w:trPr>
        <w:tc>
          <w:tcPr>
            <w:tcW w:w="1908" w:type="dxa"/>
          </w:tcPr>
          <w:p>
            <w:pPr>
              <w:pStyle w:val="TableParagraph"/>
              <w:spacing w:line="273" w:lineRule="auto"/>
              <w:ind w:right="105"/>
              <w:rPr>
                <w:sz w:val="21"/>
              </w:rPr>
            </w:pPr>
            <w:r>
              <w:rPr>
                <w:sz w:val="21"/>
              </w:rPr>
              <w:t>四十二、疾病或外伤所致智力障碍</w:t>
            </w:r>
          </w:p>
          <w:p>
            <w:pPr>
              <w:pStyle w:val="TableParagraph"/>
              <w:spacing w:before="18"/>
              <w:rPr>
                <w:sz w:val="21"/>
              </w:rPr>
            </w:pPr>
            <w:r>
              <w:rPr>
                <w:sz w:val="21"/>
              </w:rPr>
              <w:t>（残疾）</w:t>
            </w:r>
          </w:p>
        </w:tc>
        <w:tc>
          <w:tcPr>
            <w:tcW w:w="6813" w:type="dxa"/>
          </w:tcPr>
          <w:p>
            <w:pPr>
              <w:pStyle w:val="TableParagraph"/>
              <w:spacing w:line="273" w:lineRule="auto"/>
              <w:ind w:right="22"/>
              <w:rPr>
                <w:sz w:val="21"/>
              </w:rPr>
            </w:pPr>
            <w:r>
              <w:rPr>
                <w:spacing w:val="-3"/>
                <w:sz w:val="21"/>
              </w:rPr>
              <w:t>因严重头部创伤或疾病造成被保险人智力低常</w:t>
            </w:r>
            <w:r>
              <w:rPr>
                <w:sz w:val="21"/>
              </w:rPr>
              <w:t>（</w:t>
            </w:r>
            <w:r>
              <w:rPr>
                <w:spacing w:val="-3"/>
                <w:sz w:val="21"/>
              </w:rPr>
              <w:t>智力低于常态</w:t>
            </w:r>
            <w:r>
              <w:rPr>
                <w:sz w:val="21"/>
              </w:rPr>
              <w:t>）</w:t>
            </w:r>
            <w:r>
              <w:rPr>
                <w:spacing w:val="-2"/>
                <w:sz w:val="21"/>
              </w:rPr>
              <w:t>或智力</w:t>
            </w:r>
            <w:r>
              <w:rPr>
                <w:spacing w:val="-11"/>
                <w:sz w:val="21"/>
              </w:rPr>
              <w:t>残疾。根据智商</w:t>
            </w:r>
            <w:r>
              <w:rPr>
                <w:spacing w:val="-9"/>
                <w:sz w:val="21"/>
              </w:rPr>
              <w:t>（IQ）</w:t>
            </w:r>
            <w:r>
              <w:rPr>
                <w:spacing w:val="-7"/>
                <w:sz w:val="21"/>
              </w:rPr>
              <w:t>智力低常分为轻度（IQ50-70）</w:t>
            </w:r>
            <w:r>
              <w:rPr>
                <w:spacing w:val="-13"/>
                <w:sz w:val="21"/>
              </w:rPr>
              <w:t>；中度</w:t>
            </w:r>
            <w:r>
              <w:rPr>
                <w:spacing w:val="-8"/>
                <w:sz w:val="21"/>
              </w:rPr>
              <w:t>（IQ35-50）； </w:t>
            </w:r>
            <w:r>
              <w:rPr>
                <w:sz w:val="21"/>
              </w:rPr>
              <w:t>重度（IQ20-35）</w:t>
            </w:r>
            <w:r>
              <w:rPr>
                <w:spacing w:val="-3"/>
                <w:sz w:val="21"/>
              </w:rPr>
              <w:t>和极重度</w:t>
            </w:r>
            <w:r>
              <w:rPr>
                <w:sz w:val="21"/>
              </w:rPr>
              <w:t>（IQ&lt;20）。</w:t>
            </w:r>
            <w:r>
              <w:rPr>
                <w:rFonts w:ascii="黑体" w:eastAsia="黑体" w:hint="eastAsia"/>
                <w:spacing w:val="-2"/>
                <w:sz w:val="21"/>
              </w:rPr>
              <w:t>智商</w:t>
            </w:r>
            <w:r>
              <w:rPr>
                <w:rFonts w:ascii="黑体" w:eastAsia="黑体" w:hint="eastAsia"/>
                <w:sz w:val="21"/>
              </w:rPr>
              <w:t>70-85</w:t>
            </w:r>
            <w:r>
              <w:rPr>
                <w:rFonts w:ascii="黑体" w:eastAsia="黑体" w:hint="eastAsia"/>
                <w:spacing w:val="-3"/>
                <w:sz w:val="21"/>
              </w:rPr>
              <w:t> 为智力临界低常，不在本合同保障范围内。</w:t>
            </w:r>
            <w:r>
              <w:rPr>
                <w:spacing w:val="-3"/>
                <w:sz w:val="21"/>
              </w:rPr>
              <w:t>智商的检测必须由本公司认可的专职心理测验工作者进行，心理测验工作者必须持有心理测量专业委员会资格认定书。根据被保险人年龄采用对应的智力量表如韦克斯勒智力量表（</w:t>
            </w:r>
            <w:r>
              <w:rPr>
                <w:spacing w:val="-2"/>
                <w:sz w:val="21"/>
              </w:rPr>
              <w:t>儿童智力</w:t>
            </w:r>
            <w:r>
              <w:rPr>
                <w:spacing w:val="-3"/>
                <w:sz w:val="21"/>
              </w:rPr>
              <w:t>量表或成人智力量表</w:t>
            </w:r>
            <w:r>
              <w:rPr>
                <w:sz w:val="21"/>
              </w:rPr>
              <w:t>）。</w:t>
            </w:r>
          </w:p>
          <w:p>
            <w:pPr>
              <w:pStyle w:val="TableParagraph"/>
              <w:spacing w:before="18"/>
              <w:rPr>
                <w:sz w:val="21"/>
              </w:rPr>
            </w:pPr>
            <w:r>
              <w:rPr>
                <w:sz w:val="21"/>
              </w:rPr>
              <w:t>理赔时必须满足下列全部条件：</w:t>
            </w:r>
          </w:p>
          <w:p>
            <w:pPr>
              <w:pStyle w:val="TableParagraph"/>
              <w:numPr>
                <w:ilvl w:val="0"/>
                <w:numId w:val="26"/>
              </w:numPr>
              <w:tabs>
                <w:tab w:pos="529" w:val="left" w:leader="none"/>
              </w:tabs>
              <w:spacing w:line="240" w:lineRule="auto" w:before="37" w:after="0"/>
              <w:ind w:left="528" w:right="0" w:hanging="421"/>
              <w:jc w:val="left"/>
              <w:rPr>
                <w:sz w:val="21"/>
              </w:rPr>
            </w:pPr>
            <w:r>
              <w:rPr>
                <w:spacing w:val="-3"/>
                <w:sz w:val="21"/>
              </w:rPr>
              <w:t>被保险人大于或等于六周岁；</w:t>
            </w:r>
          </w:p>
          <w:p>
            <w:pPr>
              <w:pStyle w:val="TableParagraph"/>
              <w:numPr>
                <w:ilvl w:val="0"/>
                <w:numId w:val="26"/>
              </w:numPr>
              <w:tabs>
                <w:tab w:pos="529" w:val="left" w:leader="none"/>
              </w:tabs>
              <w:spacing w:line="273" w:lineRule="auto" w:before="37" w:after="0"/>
              <w:ind w:left="528" w:right="386" w:hanging="421"/>
              <w:jc w:val="left"/>
              <w:rPr>
                <w:sz w:val="21"/>
              </w:rPr>
            </w:pPr>
            <w:r>
              <w:rPr>
                <w:spacing w:val="-3"/>
                <w:sz w:val="21"/>
              </w:rPr>
              <w:t>儿科主任医师确诊被保险人由于严重头部创伤或疾病造成智力低下；</w:t>
            </w:r>
          </w:p>
          <w:p>
            <w:pPr>
              <w:pStyle w:val="TableParagraph"/>
              <w:numPr>
                <w:ilvl w:val="0"/>
                <w:numId w:val="26"/>
              </w:numPr>
              <w:tabs>
                <w:tab w:pos="529" w:val="left" w:leader="none"/>
              </w:tabs>
              <w:spacing w:line="240" w:lineRule="auto" w:before="7" w:after="0"/>
              <w:ind w:left="528" w:right="0" w:hanging="421"/>
              <w:jc w:val="left"/>
              <w:rPr>
                <w:sz w:val="21"/>
              </w:rPr>
            </w:pPr>
            <w:r>
              <w:rPr>
                <w:spacing w:val="-3"/>
                <w:sz w:val="21"/>
              </w:rPr>
              <w:t>专职合格心理检测工作者适时做的心理检测证实被保险人智力低常</w:t>
            </w:r>
          </w:p>
          <w:p>
            <w:pPr>
              <w:pStyle w:val="TableParagraph"/>
              <w:spacing w:before="36"/>
              <w:ind w:left="528"/>
              <w:rPr>
                <w:sz w:val="21"/>
              </w:rPr>
            </w:pPr>
            <w:r>
              <w:rPr>
                <w:sz w:val="21"/>
              </w:rPr>
              <w:t>（轻度、中度、重度或极重度）；</w:t>
            </w:r>
          </w:p>
          <w:p>
            <w:pPr>
              <w:pStyle w:val="TableParagraph"/>
              <w:numPr>
                <w:ilvl w:val="0"/>
                <w:numId w:val="26"/>
              </w:numPr>
              <w:tabs>
                <w:tab w:pos="529" w:val="left" w:leader="none"/>
              </w:tabs>
              <w:spacing w:line="240" w:lineRule="auto" w:before="36" w:after="0"/>
              <w:ind w:left="528" w:right="0" w:hanging="421"/>
              <w:jc w:val="left"/>
              <w:rPr>
                <w:sz w:val="21"/>
              </w:rPr>
            </w:pPr>
            <w:r>
              <w:rPr>
                <w:spacing w:val="-3"/>
                <w:sz w:val="21"/>
              </w:rPr>
              <w:t>被保险人的智力低常自确认日起持续一百八十天以上。</w:t>
            </w:r>
          </w:p>
        </w:tc>
      </w:tr>
      <w:tr>
        <w:trPr>
          <w:trHeight w:val="624" w:hRule="atLeast"/>
        </w:trPr>
        <w:tc>
          <w:tcPr>
            <w:tcW w:w="1908" w:type="dxa"/>
          </w:tcPr>
          <w:p>
            <w:pPr>
              <w:pStyle w:val="TableParagraph"/>
              <w:spacing w:line="273" w:lineRule="auto"/>
              <w:ind w:right="105"/>
              <w:rPr>
                <w:sz w:val="21"/>
              </w:rPr>
            </w:pPr>
            <w:r>
              <w:rPr>
                <w:sz w:val="21"/>
              </w:rPr>
              <w:t>四十三、严重心肌炎</w:t>
            </w:r>
          </w:p>
        </w:tc>
        <w:tc>
          <w:tcPr>
            <w:tcW w:w="6813" w:type="dxa"/>
          </w:tcPr>
          <w:p>
            <w:pPr>
              <w:pStyle w:val="TableParagraph"/>
              <w:spacing w:line="273" w:lineRule="auto"/>
              <w:ind w:right="176"/>
              <w:rPr>
                <w:sz w:val="21"/>
              </w:rPr>
            </w:pPr>
            <w:r>
              <w:rPr>
                <w:sz w:val="21"/>
              </w:rPr>
              <w:t>指心肌局限性或弥漫性的急性或慢性炎症病变，导致心脏功能障碍，达到纽约心脏病学会心功能分级状态分级IV 级，且持续至少九十天。</w:t>
            </w:r>
          </w:p>
        </w:tc>
      </w:tr>
      <w:tr>
        <w:trPr>
          <w:trHeight w:val="2183" w:hRule="atLeast"/>
        </w:trPr>
        <w:tc>
          <w:tcPr>
            <w:tcW w:w="1908" w:type="dxa"/>
          </w:tcPr>
          <w:p>
            <w:pPr>
              <w:pStyle w:val="TableParagraph"/>
              <w:spacing w:line="273" w:lineRule="auto"/>
              <w:ind w:right="105"/>
              <w:rPr>
                <w:sz w:val="21"/>
              </w:rPr>
            </w:pPr>
            <w:r>
              <w:rPr>
                <w:sz w:val="21"/>
              </w:rPr>
              <w:t>四十四、原发性硬化性胆管炎</w:t>
            </w:r>
          </w:p>
        </w:tc>
        <w:tc>
          <w:tcPr>
            <w:tcW w:w="6813" w:type="dxa"/>
          </w:tcPr>
          <w:p>
            <w:pPr>
              <w:pStyle w:val="TableParagraph"/>
              <w:spacing w:line="273" w:lineRule="auto"/>
              <w:ind w:right="175"/>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numPr>
                <w:ilvl w:val="0"/>
                <w:numId w:val="27"/>
              </w:numPr>
              <w:tabs>
                <w:tab w:pos="529" w:val="left" w:leader="none"/>
              </w:tabs>
              <w:spacing w:line="240" w:lineRule="auto" w:before="20" w:after="0"/>
              <w:ind w:left="528" w:right="0" w:hanging="421"/>
              <w:jc w:val="both"/>
              <w:rPr>
                <w:sz w:val="21"/>
              </w:rPr>
            </w:pPr>
            <w:r>
              <w:rPr>
                <w:spacing w:val="-3"/>
                <w:sz w:val="21"/>
              </w:rPr>
              <w:t>总胆红素和直接胆红素同时升高，血清</w:t>
            </w:r>
            <w:r>
              <w:rPr>
                <w:sz w:val="21"/>
              </w:rPr>
              <w:t>ALP&gt;200U/L；</w:t>
            </w:r>
          </w:p>
          <w:p>
            <w:pPr>
              <w:pStyle w:val="TableParagraph"/>
              <w:numPr>
                <w:ilvl w:val="0"/>
                <w:numId w:val="27"/>
              </w:numPr>
              <w:tabs>
                <w:tab w:pos="529" w:val="left" w:leader="none"/>
              </w:tabs>
              <w:spacing w:line="240" w:lineRule="auto" w:before="36" w:after="0"/>
              <w:ind w:left="528" w:right="0" w:hanging="421"/>
              <w:jc w:val="both"/>
              <w:rPr>
                <w:sz w:val="21"/>
              </w:rPr>
            </w:pPr>
            <w:r>
              <w:rPr>
                <w:spacing w:val="-3"/>
                <w:sz w:val="21"/>
              </w:rPr>
              <w:t>持续性黄疸病史；</w:t>
            </w:r>
          </w:p>
          <w:p>
            <w:pPr>
              <w:pStyle w:val="TableParagraph"/>
              <w:numPr>
                <w:ilvl w:val="0"/>
                <w:numId w:val="27"/>
              </w:numPr>
              <w:tabs>
                <w:tab w:pos="529" w:val="left" w:leader="none"/>
              </w:tabs>
              <w:spacing w:line="240" w:lineRule="auto" w:before="36" w:after="0"/>
              <w:ind w:left="528" w:right="0" w:hanging="421"/>
              <w:jc w:val="both"/>
              <w:rPr>
                <w:sz w:val="21"/>
              </w:rPr>
            </w:pPr>
            <w:r>
              <w:rPr>
                <w:spacing w:val="-3"/>
                <w:sz w:val="21"/>
              </w:rPr>
              <w:t>出现胆汁性肝硬化或门脉高压。</w:t>
            </w:r>
          </w:p>
          <w:p>
            <w:pPr>
              <w:pStyle w:val="TableParagraph"/>
              <w:spacing w:before="36"/>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1872" w:hRule="atLeast"/>
        </w:trPr>
        <w:tc>
          <w:tcPr>
            <w:tcW w:w="1908" w:type="dxa"/>
          </w:tcPr>
          <w:p>
            <w:pPr>
              <w:pStyle w:val="TableParagraph"/>
              <w:spacing w:line="273" w:lineRule="auto"/>
              <w:ind w:right="105"/>
              <w:rPr>
                <w:sz w:val="21"/>
              </w:rPr>
            </w:pPr>
            <w:r>
              <w:rPr>
                <w:sz w:val="21"/>
              </w:rPr>
              <w:t>四十五、Ⅲ度房室传导阻滞</w:t>
            </w:r>
          </w:p>
        </w:tc>
        <w:tc>
          <w:tcPr>
            <w:tcW w:w="6813" w:type="dxa"/>
          </w:tcPr>
          <w:p>
            <w:pPr>
              <w:pStyle w:val="TableParagraph"/>
              <w:spacing w:line="273" w:lineRule="auto"/>
              <w:ind w:right="176"/>
              <w:rPr>
                <w:sz w:val="21"/>
              </w:rPr>
            </w:pPr>
            <w:r>
              <w:rPr>
                <w:sz w:val="21"/>
              </w:rPr>
              <w:t>指心房激动在房室交界区、房室束及其分支内发生阻滞，不能正常地传到心室的心脏传导性疾病，须满足下列所有条件：</w:t>
            </w:r>
          </w:p>
          <w:p>
            <w:pPr>
              <w:pStyle w:val="TableParagraph"/>
              <w:numPr>
                <w:ilvl w:val="0"/>
                <w:numId w:val="28"/>
              </w:numPr>
              <w:tabs>
                <w:tab w:pos="529" w:val="left" w:leader="none"/>
              </w:tabs>
              <w:spacing w:line="240" w:lineRule="auto" w:before="20" w:after="0"/>
              <w:ind w:left="528" w:right="0" w:hanging="421"/>
              <w:jc w:val="left"/>
              <w:rPr>
                <w:sz w:val="21"/>
              </w:rPr>
            </w:pPr>
            <w:r>
              <w:rPr>
                <w:spacing w:val="-3"/>
                <w:sz w:val="21"/>
              </w:rPr>
              <w:t>心电图显示房室搏动彼此独立，心室率&lt;</w:t>
            </w:r>
            <w:r>
              <w:rPr>
                <w:sz w:val="21"/>
              </w:rPr>
              <w:t>50</w:t>
            </w:r>
            <w:r>
              <w:rPr>
                <w:spacing w:val="10"/>
                <w:sz w:val="21"/>
              </w:rPr>
              <w:t> 次</w:t>
            </w:r>
            <w:r>
              <w:rPr>
                <w:sz w:val="21"/>
              </w:rPr>
              <w:t>/</w:t>
            </w:r>
            <w:r>
              <w:rPr>
                <w:spacing w:val="-3"/>
                <w:sz w:val="21"/>
              </w:rPr>
              <w:t>分钟；</w:t>
            </w:r>
          </w:p>
          <w:p>
            <w:pPr>
              <w:pStyle w:val="TableParagraph"/>
              <w:numPr>
                <w:ilvl w:val="0"/>
                <w:numId w:val="28"/>
              </w:numPr>
              <w:tabs>
                <w:tab w:pos="529" w:val="left" w:leader="none"/>
              </w:tabs>
              <w:spacing w:line="240" w:lineRule="auto" w:before="36" w:after="0"/>
              <w:ind w:left="528" w:right="0" w:hanging="421"/>
              <w:jc w:val="left"/>
              <w:rPr>
                <w:sz w:val="21"/>
              </w:rPr>
            </w:pPr>
            <w:r>
              <w:rPr>
                <w:spacing w:val="-3"/>
                <w:sz w:val="21"/>
              </w:rPr>
              <w:t>出现阿-斯综合征或心力衰竭的表现；</w:t>
            </w:r>
          </w:p>
          <w:p>
            <w:pPr>
              <w:pStyle w:val="TableParagraph"/>
              <w:numPr>
                <w:ilvl w:val="0"/>
                <w:numId w:val="28"/>
              </w:numPr>
              <w:tabs>
                <w:tab w:pos="529" w:val="left" w:leader="none"/>
              </w:tabs>
              <w:spacing w:line="273" w:lineRule="auto" w:before="37" w:after="0"/>
              <w:ind w:left="528" w:right="175" w:hanging="421"/>
              <w:jc w:val="left"/>
              <w:rPr>
                <w:sz w:val="21"/>
              </w:rPr>
            </w:pPr>
            <w:r>
              <w:rPr>
                <w:spacing w:val="-3"/>
                <w:sz w:val="21"/>
              </w:rPr>
              <w:t>必须持续性依赖心脏起搏器维持心脏正常功能，且已经放置心脏起搏器。</w:t>
            </w:r>
          </w:p>
        </w:tc>
      </w:tr>
    </w:tbl>
    <w:sectPr>
      <w:pgSz w:w="11910" w:h="16840"/>
      <w:pgMar w:header="0" w:footer="1057" w:top="1420" w:bottom="1240" w:left="158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98.980011pt;margin-top:774.075989pt;width:8.5pt;height:12pt;mso-position-horizontal-relative:page;mso-position-vertical-relative:page;z-index:-225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r>
      <w:rPr/>
      <w:pict>
        <v:shape style="position:absolute;margin-left:88.903999pt;margin-top:775.186584pt;width:90.1pt;height:10.050pt;mso-position-horizontal-relative:page;mso-position-vertical-relative:page;z-index:-22504" type="#_x0000_t202" filled="false" stroked="false">
          <v:textbox inset="0,0,0,0">
            <w:txbxContent>
              <w:p>
                <w:pPr>
                  <w:spacing w:line="181" w:lineRule="exact" w:before="0"/>
                  <w:ind w:left="20" w:right="0" w:firstLine="0"/>
                  <w:jc w:val="left"/>
                  <w:rPr>
                    <w:sz w:val="16"/>
                  </w:rPr>
                </w:pPr>
                <w:r>
                  <w:rPr>
                    <w:sz w:val="16"/>
                  </w:rPr>
                  <w:t>长生鑫天祥重大疾病保险</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98.980011pt;margin-top:774.075989pt;width:8.5pt;height:12pt;mso-position-horizontal-relative:page;mso-position-vertical-relative:page;z-index:-224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w:t>
                </w:r>
                <w:r>
                  <w:rPr/>
                  <w:fldChar w:fldCharType="end"/>
                </w:r>
              </w:p>
            </w:txbxContent>
          </v:textbox>
          <w10:wrap type="none"/>
        </v:shape>
      </w:pict>
    </w:r>
    <w:r>
      <w:rPr/>
      <w:pict>
        <v:shape style="position:absolute;margin-left:88.903999pt;margin-top:775.186584pt;width:90.1pt;height:10.050pt;mso-position-horizontal-relative:page;mso-position-vertical-relative:page;z-index:-22456" type="#_x0000_t202" filled="false" stroked="false">
          <v:textbox inset="0,0,0,0">
            <w:txbxContent>
              <w:p>
                <w:pPr>
                  <w:spacing w:line="181" w:lineRule="exact" w:before="0"/>
                  <w:ind w:left="20" w:right="0" w:firstLine="0"/>
                  <w:jc w:val="left"/>
                  <w:rPr>
                    <w:sz w:val="16"/>
                  </w:rPr>
                </w:pPr>
                <w:r>
                  <w:rPr>
                    <w:sz w:val="16"/>
                  </w:rPr>
                  <w:t>长生鑫天祥重大疾病保险</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 style="position:absolute;margin-left:494.540009pt;margin-top:774.075989pt;width:13.15pt;height:12pt;mso-position-horizontal-relative:page;mso-position-vertical-relative:page;z-index:-22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r>
      <w:rPr/>
      <w:pict>
        <v:shape style="position:absolute;margin-left:88.903999pt;margin-top:775.186584pt;width:90.1pt;height:10.050pt;mso-position-horizontal-relative:page;mso-position-vertical-relative:page;z-index:-22408" type="#_x0000_t202" filled="false" stroked="false">
          <v:textbox inset="0,0,0,0">
            <w:txbxContent>
              <w:p>
                <w:pPr>
                  <w:spacing w:line="181" w:lineRule="exact" w:before="0"/>
                  <w:ind w:left="20" w:right="0" w:firstLine="0"/>
                  <w:jc w:val="left"/>
                  <w:rPr>
                    <w:sz w:val="16"/>
                  </w:rPr>
                </w:pPr>
                <w:r>
                  <w:rPr>
                    <w:sz w:val="16"/>
                  </w:rPr>
                  <w:t>长生鑫天祥重大疾病保险</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3" w:hanging="421"/>
      </w:pPr>
      <w:rPr>
        <w:rFonts w:hint="default"/>
      </w:rPr>
    </w:lvl>
    <w:lvl w:ilvl="5">
      <w:start w:val="0"/>
      <w:numFmt w:val="bullet"/>
      <w:lvlText w:val="•"/>
      <w:lvlJc w:val="left"/>
      <w:pPr>
        <w:ind w:left="3661" w:hanging="421"/>
      </w:pPr>
      <w:rPr>
        <w:rFonts w:hint="default"/>
      </w:rPr>
    </w:lvl>
    <w:lvl w:ilvl="6">
      <w:start w:val="0"/>
      <w:numFmt w:val="bullet"/>
      <w:lvlText w:val="•"/>
      <w:lvlJc w:val="left"/>
      <w:pPr>
        <w:ind w:left="4289" w:hanging="421"/>
      </w:pPr>
      <w:rPr>
        <w:rFonts w:hint="default"/>
      </w:rPr>
    </w:lvl>
    <w:lvl w:ilvl="7">
      <w:start w:val="0"/>
      <w:numFmt w:val="bullet"/>
      <w:lvlText w:val="•"/>
      <w:lvlJc w:val="left"/>
      <w:pPr>
        <w:ind w:left="4918" w:hanging="421"/>
      </w:pPr>
      <w:rPr>
        <w:rFonts w:hint="default"/>
      </w:rPr>
    </w:lvl>
    <w:lvl w:ilvl="8">
      <w:start w:val="0"/>
      <w:numFmt w:val="bullet"/>
      <w:lvlText w:val="•"/>
      <w:lvlJc w:val="left"/>
      <w:pPr>
        <w:ind w:left="5546" w:hanging="421"/>
      </w:pPr>
      <w:rPr>
        <w:rFonts w:hint="default"/>
      </w:rPr>
    </w:lvl>
  </w:abstractNum>
  <w:abstractNum w:abstractNumId="26">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3" w:hanging="421"/>
      </w:pPr>
      <w:rPr>
        <w:rFonts w:hint="default"/>
      </w:rPr>
    </w:lvl>
    <w:lvl w:ilvl="5">
      <w:start w:val="0"/>
      <w:numFmt w:val="bullet"/>
      <w:lvlText w:val="•"/>
      <w:lvlJc w:val="left"/>
      <w:pPr>
        <w:ind w:left="3661" w:hanging="421"/>
      </w:pPr>
      <w:rPr>
        <w:rFonts w:hint="default"/>
      </w:rPr>
    </w:lvl>
    <w:lvl w:ilvl="6">
      <w:start w:val="0"/>
      <w:numFmt w:val="bullet"/>
      <w:lvlText w:val="•"/>
      <w:lvlJc w:val="left"/>
      <w:pPr>
        <w:ind w:left="4289" w:hanging="421"/>
      </w:pPr>
      <w:rPr>
        <w:rFonts w:hint="default"/>
      </w:rPr>
    </w:lvl>
    <w:lvl w:ilvl="7">
      <w:start w:val="0"/>
      <w:numFmt w:val="bullet"/>
      <w:lvlText w:val="•"/>
      <w:lvlJc w:val="left"/>
      <w:pPr>
        <w:ind w:left="4918" w:hanging="421"/>
      </w:pPr>
      <w:rPr>
        <w:rFonts w:hint="default"/>
      </w:rPr>
    </w:lvl>
    <w:lvl w:ilvl="8">
      <w:start w:val="0"/>
      <w:numFmt w:val="bullet"/>
      <w:lvlText w:val="•"/>
      <w:lvlJc w:val="left"/>
      <w:pPr>
        <w:ind w:left="5546" w:hanging="421"/>
      </w:pPr>
      <w:rPr>
        <w:rFonts w:hint="default"/>
      </w:rPr>
    </w:lvl>
  </w:abstractNum>
  <w:abstractNum w:abstractNumId="25">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3" w:hanging="421"/>
      </w:pPr>
      <w:rPr>
        <w:rFonts w:hint="default"/>
      </w:rPr>
    </w:lvl>
    <w:lvl w:ilvl="5">
      <w:start w:val="0"/>
      <w:numFmt w:val="bullet"/>
      <w:lvlText w:val="•"/>
      <w:lvlJc w:val="left"/>
      <w:pPr>
        <w:ind w:left="3661" w:hanging="421"/>
      </w:pPr>
      <w:rPr>
        <w:rFonts w:hint="default"/>
      </w:rPr>
    </w:lvl>
    <w:lvl w:ilvl="6">
      <w:start w:val="0"/>
      <w:numFmt w:val="bullet"/>
      <w:lvlText w:val="•"/>
      <w:lvlJc w:val="left"/>
      <w:pPr>
        <w:ind w:left="4289" w:hanging="421"/>
      </w:pPr>
      <w:rPr>
        <w:rFonts w:hint="default"/>
      </w:rPr>
    </w:lvl>
    <w:lvl w:ilvl="7">
      <w:start w:val="0"/>
      <w:numFmt w:val="bullet"/>
      <w:lvlText w:val="•"/>
      <w:lvlJc w:val="left"/>
      <w:pPr>
        <w:ind w:left="4918" w:hanging="421"/>
      </w:pPr>
      <w:rPr>
        <w:rFonts w:hint="default"/>
      </w:rPr>
    </w:lvl>
    <w:lvl w:ilvl="8">
      <w:start w:val="0"/>
      <w:numFmt w:val="bullet"/>
      <w:lvlText w:val="•"/>
      <w:lvlJc w:val="left"/>
      <w:pPr>
        <w:ind w:left="5546" w:hanging="421"/>
      </w:pPr>
      <w:rPr>
        <w:rFonts w:hint="default"/>
      </w:rPr>
    </w:lvl>
  </w:abstractNum>
  <w:abstractNum w:abstractNumId="24">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3" w:hanging="421"/>
      </w:pPr>
      <w:rPr>
        <w:rFonts w:hint="default"/>
      </w:rPr>
    </w:lvl>
    <w:lvl w:ilvl="5">
      <w:start w:val="0"/>
      <w:numFmt w:val="bullet"/>
      <w:lvlText w:val="•"/>
      <w:lvlJc w:val="left"/>
      <w:pPr>
        <w:ind w:left="3661" w:hanging="421"/>
      </w:pPr>
      <w:rPr>
        <w:rFonts w:hint="default"/>
      </w:rPr>
    </w:lvl>
    <w:lvl w:ilvl="6">
      <w:start w:val="0"/>
      <w:numFmt w:val="bullet"/>
      <w:lvlText w:val="•"/>
      <w:lvlJc w:val="left"/>
      <w:pPr>
        <w:ind w:left="4289" w:hanging="421"/>
      </w:pPr>
      <w:rPr>
        <w:rFonts w:hint="default"/>
      </w:rPr>
    </w:lvl>
    <w:lvl w:ilvl="7">
      <w:start w:val="0"/>
      <w:numFmt w:val="bullet"/>
      <w:lvlText w:val="•"/>
      <w:lvlJc w:val="left"/>
      <w:pPr>
        <w:ind w:left="4918" w:hanging="421"/>
      </w:pPr>
      <w:rPr>
        <w:rFonts w:hint="default"/>
      </w:rPr>
    </w:lvl>
    <w:lvl w:ilvl="8">
      <w:start w:val="0"/>
      <w:numFmt w:val="bullet"/>
      <w:lvlText w:val="•"/>
      <w:lvlJc w:val="left"/>
      <w:pPr>
        <w:ind w:left="5546" w:hanging="421"/>
      </w:pPr>
      <w:rPr>
        <w:rFonts w:hint="default"/>
      </w:rPr>
    </w:lvl>
  </w:abstractNum>
  <w:abstractNum w:abstractNumId="23">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3" w:hanging="421"/>
      </w:pPr>
      <w:rPr>
        <w:rFonts w:hint="default"/>
      </w:rPr>
    </w:lvl>
    <w:lvl w:ilvl="5">
      <w:start w:val="0"/>
      <w:numFmt w:val="bullet"/>
      <w:lvlText w:val="•"/>
      <w:lvlJc w:val="left"/>
      <w:pPr>
        <w:ind w:left="3661" w:hanging="421"/>
      </w:pPr>
      <w:rPr>
        <w:rFonts w:hint="default"/>
      </w:rPr>
    </w:lvl>
    <w:lvl w:ilvl="6">
      <w:start w:val="0"/>
      <w:numFmt w:val="bullet"/>
      <w:lvlText w:val="•"/>
      <w:lvlJc w:val="left"/>
      <w:pPr>
        <w:ind w:left="4289" w:hanging="421"/>
      </w:pPr>
      <w:rPr>
        <w:rFonts w:hint="default"/>
      </w:rPr>
    </w:lvl>
    <w:lvl w:ilvl="7">
      <w:start w:val="0"/>
      <w:numFmt w:val="bullet"/>
      <w:lvlText w:val="•"/>
      <w:lvlJc w:val="left"/>
      <w:pPr>
        <w:ind w:left="4918" w:hanging="421"/>
      </w:pPr>
      <w:rPr>
        <w:rFonts w:hint="default"/>
      </w:rPr>
    </w:lvl>
    <w:lvl w:ilvl="8">
      <w:start w:val="0"/>
      <w:numFmt w:val="bullet"/>
      <w:lvlText w:val="•"/>
      <w:lvlJc w:val="left"/>
      <w:pPr>
        <w:ind w:left="5546" w:hanging="421"/>
      </w:pPr>
      <w:rPr>
        <w:rFonts w:hint="default"/>
      </w:rPr>
    </w:lvl>
  </w:abstractNum>
  <w:abstractNum w:abstractNumId="22">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3" w:hanging="421"/>
      </w:pPr>
      <w:rPr>
        <w:rFonts w:hint="default"/>
      </w:rPr>
    </w:lvl>
    <w:lvl w:ilvl="5">
      <w:start w:val="0"/>
      <w:numFmt w:val="bullet"/>
      <w:lvlText w:val="•"/>
      <w:lvlJc w:val="left"/>
      <w:pPr>
        <w:ind w:left="3661" w:hanging="421"/>
      </w:pPr>
      <w:rPr>
        <w:rFonts w:hint="default"/>
      </w:rPr>
    </w:lvl>
    <w:lvl w:ilvl="6">
      <w:start w:val="0"/>
      <w:numFmt w:val="bullet"/>
      <w:lvlText w:val="•"/>
      <w:lvlJc w:val="left"/>
      <w:pPr>
        <w:ind w:left="4289" w:hanging="421"/>
      </w:pPr>
      <w:rPr>
        <w:rFonts w:hint="default"/>
      </w:rPr>
    </w:lvl>
    <w:lvl w:ilvl="7">
      <w:start w:val="0"/>
      <w:numFmt w:val="bullet"/>
      <w:lvlText w:val="•"/>
      <w:lvlJc w:val="left"/>
      <w:pPr>
        <w:ind w:left="4918" w:hanging="421"/>
      </w:pPr>
      <w:rPr>
        <w:rFonts w:hint="default"/>
      </w:rPr>
    </w:lvl>
    <w:lvl w:ilvl="8">
      <w:start w:val="0"/>
      <w:numFmt w:val="bullet"/>
      <w:lvlText w:val="•"/>
      <w:lvlJc w:val="left"/>
      <w:pPr>
        <w:ind w:left="5546" w:hanging="421"/>
      </w:pPr>
      <w:rPr>
        <w:rFonts w:hint="default"/>
      </w:rPr>
    </w:lvl>
  </w:abstractNum>
  <w:abstractNum w:abstractNumId="21">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3" w:hanging="421"/>
      </w:pPr>
      <w:rPr>
        <w:rFonts w:hint="default"/>
      </w:rPr>
    </w:lvl>
    <w:lvl w:ilvl="5">
      <w:start w:val="0"/>
      <w:numFmt w:val="bullet"/>
      <w:lvlText w:val="•"/>
      <w:lvlJc w:val="left"/>
      <w:pPr>
        <w:ind w:left="3661" w:hanging="421"/>
      </w:pPr>
      <w:rPr>
        <w:rFonts w:hint="default"/>
      </w:rPr>
    </w:lvl>
    <w:lvl w:ilvl="6">
      <w:start w:val="0"/>
      <w:numFmt w:val="bullet"/>
      <w:lvlText w:val="•"/>
      <w:lvlJc w:val="left"/>
      <w:pPr>
        <w:ind w:left="4289" w:hanging="421"/>
      </w:pPr>
      <w:rPr>
        <w:rFonts w:hint="default"/>
      </w:rPr>
    </w:lvl>
    <w:lvl w:ilvl="7">
      <w:start w:val="0"/>
      <w:numFmt w:val="bullet"/>
      <w:lvlText w:val="•"/>
      <w:lvlJc w:val="left"/>
      <w:pPr>
        <w:ind w:left="4918" w:hanging="421"/>
      </w:pPr>
      <w:rPr>
        <w:rFonts w:hint="default"/>
      </w:rPr>
    </w:lvl>
    <w:lvl w:ilvl="8">
      <w:start w:val="0"/>
      <w:numFmt w:val="bullet"/>
      <w:lvlText w:val="•"/>
      <w:lvlJc w:val="left"/>
      <w:pPr>
        <w:ind w:left="5546" w:hanging="421"/>
      </w:pPr>
      <w:rPr>
        <w:rFonts w:hint="default"/>
      </w:rPr>
    </w:lvl>
  </w:abstractNum>
  <w:abstractNum w:abstractNumId="20">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3" w:hanging="421"/>
      </w:pPr>
      <w:rPr>
        <w:rFonts w:hint="default"/>
      </w:rPr>
    </w:lvl>
    <w:lvl w:ilvl="5">
      <w:start w:val="0"/>
      <w:numFmt w:val="bullet"/>
      <w:lvlText w:val="•"/>
      <w:lvlJc w:val="left"/>
      <w:pPr>
        <w:ind w:left="3661" w:hanging="421"/>
      </w:pPr>
      <w:rPr>
        <w:rFonts w:hint="default"/>
      </w:rPr>
    </w:lvl>
    <w:lvl w:ilvl="6">
      <w:start w:val="0"/>
      <w:numFmt w:val="bullet"/>
      <w:lvlText w:val="•"/>
      <w:lvlJc w:val="left"/>
      <w:pPr>
        <w:ind w:left="4289" w:hanging="421"/>
      </w:pPr>
      <w:rPr>
        <w:rFonts w:hint="default"/>
      </w:rPr>
    </w:lvl>
    <w:lvl w:ilvl="7">
      <w:start w:val="0"/>
      <w:numFmt w:val="bullet"/>
      <w:lvlText w:val="•"/>
      <w:lvlJc w:val="left"/>
      <w:pPr>
        <w:ind w:left="4918" w:hanging="421"/>
      </w:pPr>
      <w:rPr>
        <w:rFonts w:hint="default"/>
      </w:rPr>
    </w:lvl>
    <w:lvl w:ilvl="8">
      <w:start w:val="0"/>
      <w:numFmt w:val="bullet"/>
      <w:lvlText w:val="•"/>
      <w:lvlJc w:val="left"/>
      <w:pPr>
        <w:ind w:left="5546" w:hanging="421"/>
      </w:pPr>
      <w:rPr>
        <w:rFonts w:hint="default"/>
      </w:rPr>
    </w:lvl>
  </w:abstractNum>
  <w:abstractNum w:abstractNumId="19">
    <w:multiLevelType w:val="hybridMultilevel"/>
    <w:lvl w:ilvl="0">
      <w:start w:val="0"/>
      <w:numFmt w:val="bullet"/>
      <w:lvlText w:val=""/>
      <w:lvlJc w:val="left"/>
      <w:pPr>
        <w:ind w:left="468" w:hanging="361"/>
      </w:pPr>
      <w:rPr>
        <w:rFonts w:hint="default" w:ascii="Symbol" w:hAnsi="Symbol" w:eastAsia="Symbol" w:cs="Symbol"/>
        <w:w w:val="100"/>
        <w:sz w:val="21"/>
        <w:szCs w:val="21"/>
      </w:rPr>
    </w:lvl>
    <w:lvl w:ilvl="1">
      <w:start w:val="0"/>
      <w:numFmt w:val="bullet"/>
      <w:lvlText w:val="•"/>
      <w:lvlJc w:val="left"/>
      <w:pPr>
        <w:ind w:left="1094" w:hanging="361"/>
      </w:pPr>
      <w:rPr>
        <w:rFonts w:hint="default"/>
      </w:rPr>
    </w:lvl>
    <w:lvl w:ilvl="2">
      <w:start w:val="0"/>
      <w:numFmt w:val="bullet"/>
      <w:lvlText w:val="•"/>
      <w:lvlJc w:val="left"/>
      <w:pPr>
        <w:ind w:left="1728" w:hanging="361"/>
      </w:pPr>
      <w:rPr>
        <w:rFonts w:hint="default"/>
      </w:rPr>
    </w:lvl>
    <w:lvl w:ilvl="3">
      <w:start w:val="0"/>
      <w:numFmt w:val="bullet"/>
      <w:lvlText w:val="•"/>
      <w:lvlJc w:val="left"/>
      <w:pPr>
        <w:ind w:left="2362" w:hanging="361"/>
      </w:pPr>
      <w:rPr>
        <w:rFonts w:hint="default"/>
      </w:rPr>
    </w:lvl>
    <w:lvl w:ilvl="4">
      <w:start w:val="0"/>
      <w:numFmt w:val="bullet"/>
      <w:lvlText w:val="•"/>
      <w:lvlJc w:val="left"/>
      <w:pPr>
        <w:ind w:left="2997" w:hanging="361"/>
      </w:pPr>
      <w:rPr>
        <w:rFonts w:hint="default"/>
      </w:rPr>
    </w:lvl>
    <w:lvl w:ilvl="5">
      <w:start w:val="0"/>
      <w:numFmt w:val="bullet"/>
      <w:lvlText w:val="•"/>
      <w:lvlJc w:val="left"/>
      <w:pPr>
        <w:ind w:left="3631" w:hanging="361"/>
      </w:pPr>
      <w:rPr>
        <w:rFonts w:hint="default"/>
      </w:rPr>
    </w:lvl>
    <w:lvl w:ilvl="6">
      <w:start w:val="0"/>
      <w:numFmt w:val="bullet"/>
      <w:lvlText w:val="•"/>
      <w:lvlJc w:val="left"/>
      <w:pPr>
        <w:ind w:left="4265" w:hanging="361"/>
      </w:pPr>
      <w:rPr>
        <w:rFonts w:hint="default"/>
      </w:rPr>
    </w:lvl>
    <w:lvl w:ilvl="7">
      <w:start w:val="0"/>
      <w:numFmt w:val="bullet"/>
      <w:lvlText w:val="•"/>
      <w:lvlJc w:val="left"/>
      <w:pPr>
        <w:ind w:left="4900" w:hanging="361"/>
      </w:pPr>
      <w:rPr>
        <w:rFonts w:hint="default"/>
      </w:rPr>
    </w:lvl>
    <w:lvl w:ilvl="8">
      <w:start w:val="0"/>
      <w:numFmt w:val="bullet"/>
      <w:lvlText w:val="•"/>
      <w:lvlJc w:val="left"/>
      <w:pPr>
        <w:ind w:left="5534" w:hanging="361"/>
      </w:pPr>
      <w:rPr>
        <w:rFonts w:hint="default"/>
      </w:rPr>
    </w:lvl>
  </w:abstractNum>
  <w:abstractNum w:abstractNumId="18">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3" w:hanging="421"/>
      </w:pPr>
      <w:rPr>
        <w:rFonts w:hint="default"/>
      </w:rPr>
    </w:lvl>
    <w:lvl w:ilvl="5">
      <w:start w:val="0"/>
      <w:numFmt w:val="bullet"/>
      <w:lvlText w:val="•"/>
      <w:lvlJc w:val="left"/>
      <w:pPr>
        <w:ind w:left="3661" w:hanging="421"/>
      </w:pPr>
      <w:rPr>
        <w:rFonts w:hint="default"/>
      </w:rPr>
    </w:lvl>
    <w:lvl w:ilvl="6">
      <w:start w:val="0"/>
      <w:numFmt w:val="bullet"/>
      <w:lvlText w:val="•"/>
      <w:lvlJc w:val="left"/>
      <w:pPr>
        <w:ind w:left="4289" w:hanging="421"/>
      </w:pPr>
      <w:rPr>
        <w:rFonts w:hint="default"/>
      </w:rPr>
    </w:lvl>
    <w:lvl w:ilvl="7">
      <w:start w:val="0"/>
      <w:numFmt w:val="bullet"/>
      <w:lvlText w:val="•"/>
      <w:lvlJc w:val="left"/>
      <w:pPr>
        <w:ind w:left="4918" w:hanging="421"/>
      </w:pPr>
      <w:rPr>
        <w:rFonts w:hint="default"/>
      </w:rPr>
    </w:lvl>
    <w:lvl w:ilvl="8">
      <w:start w:val="0"/>
      <w:numFmt w:val="bullet"/>
      <w:lvlText w:val="•"/>
      <w:lvlJc w:val="left"/>
      <w:pPr>
        <w:ind w:left="5546" w:hanging="421"/>
      </w:pPr>
      <w:rPr>
        <w:rFonts w:hint="default"/>
      </w:rPr>
    </w:lvl>
  </w:abstractNum>
  <w:abstractNum w:abstractNumId="17">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3" w:hanging="421"/>
      </w:pPr>
      <w:rPr>
        <w:rFonts w:hint="default"/>
      </w:rPr>
    </w:lvl>
    <w:lvl w:ilvl="5">
      <w:start w:val="0"/>
      <w:numFmt w:val="bullet"/>
      <w:lvlText w:val="•"/>
      <w:lvlJc w:val="left"/>
      <w:pPr>
        <w:ind w:left="3661" w:hanging="421"/>
      </w:pPr>
      <w:rPr>
        <w:rFonts w:hint="default"/>
      </w:rPr>
    </w:lvl>
    <w:lvl w:ilvl="6">
      <w:start w:val="0"/>
      <w:numFmt w:val="bullet"/>
      <w:lvlText w:val="•"/>
      <w:lvlJc w:val="left"/>
      <w:pPr>
        <w:ind w:left="4289" w:hanging="421"/>
      </w:pPr>
      <w:rPr>
        <w:rFonts w:hint="default"/>
      </w:rPr>
    </w:lvl>
    <w:lvl w:ilvl="7">
      <w:start w:val="0"/>
      <w:numFmt w:val="bullet"/>
      <w:lvlText w:val="•"/>
      <w:lvlJc w:val="left"/>
      <w:pPr>
        <w:ind w:left="4918" w:hanging="421"/>
      </w:pPr>
      <w:rPr>
        <w:rFonts w:hint="default"/>
      </w:rPr>
    </w:lvl>
    <w:lvl w:ilvl="8">
      <w:start w:val="0"/>
      <w:numFmt w:val="bullet"/>
      <w:lvlText w:val="•"/>
      <w:lvlJc w:val="left"/>
      <w:pPr>
        <w:ind w:left="5546" w:hanging="421"/>
      </w:pPr>
      <w:rPr>
        <w:rFonts w:hint="default"/>
      </w:rPr>
    </w:lvl>
  </w:abstractNum>
  <w:abstractNum w:abstractNumId="16">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3" w:hanging="421"/>
      </w:pPr>
      <w:rPr>
        <w:rFonts w:hint="default"/>
      </w:rPr>
    </w:lvl>
    <w:lvl w:ilvl="5">
      <w:start w:val="0"/>
      <w:numFmt w:val="bullet"/>
      <w:lvlText w:val="•"/>
      <w:lvlJc w:val="left"/>
      <w:pPr>
        <w:ind w:left="3661" w:hanging="421"/>
      </w:pPr>
      <w:rPr>
        <w:rFonts w:hint="default"/>
      </w:rPr>
    </w:lvl>
    <w:lvl w:ilvl="6">
      <w:start w:val="0"/>
      <w:numFmt w:val="bullet"/>
      <w:lvlText w:val="•"/>
      <w:lvlJc w:val="left"/>
      <w:pPr>
        <w:ind w:left="4289" w:hanging="421"/>
      </w:pPr>
      <w:rPr>
        <w:rFonts w:hint="default"/>
      </w:rPr>
    </w:lvl>
    <w:lvl w:ilvl="7">
      <w:start w:val="0"/>
      <w:numFmt w:val="bullet"/>
      <w:lvlText w:val="•"/>
      <w:lvlJc w:val="left"/>
      <w:pPr>
        <w:ind w:left="4918" w:hanging="421"/>
      </w:pPr>
      <w:rPr>
        <w:rFonts w:hint="default"/>
      </w:rPr>
    </w:lvl>
    <w:lvl w:ilvl="8">
      <w:start w:val="0"/>
      <w:numFmt w:val="bullet"/>
      <w:lvlText w:val="•"/>
      <w:lvlJc w:val="left"/>
      <w:pPr>
        <w:ind w:left="5546" w:hanging="421"/>
      </w:pPr>
      <w:rPr>
        <w:rFonts w:hint="default"/>
      </w:rPr>
    </w:lvl>
  </w:abstractNum>
  <w:abstractNum w:abstractNumId="15">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3" w:hanging="421"/>
      </w:pPr>
      <w:rPr>
        <w:rFonts w:hint="default"/>
      </w:rPr>
    </w:lvl>
    <w:lvl w:ilvl="5">
      <w:start w:val="0"/>
      <w:numFmt w:val="bullet"/>
      <w:lvlText w:val="•"/>
      <w:lvlJc w:val="left"/>
      <w:pPr>
        <w:ind w:left="3661" w:hanging="421"/>
      </w:pPr>
      <w:rPr>
        <w:rFonts w:hint="default"/>
      </w:rPr>
    </w:lvl>
    <w:lvl w:ilvl="6">
      <w:start w:val="0"/>
      <w:numFmt w:val="bullet"/>
      <w:lvlText w:val="•"/>
      <w:lvlJc w:val="left"/>
      <w:pPr>
        <w:ind w:left="4289" w:hanging="421"/>
      </w:pPr>
      <w:rPr>
        <w:rFonts w:hint="default"/>
      </w:rPr>
    </w:lvl>
    <w:lvl w:ilvl="7">
      <w:start w:val="0"/>
      <w:numFmt w:val="bullet"/>
      <w:lvlText w:val="•"/>
      <w:lvlJc w:val="left"/>
      <w:pPr>
        <w:ind w:left="4918" w:hanging="421"/>
      </w:pPr>
      <w:rPr>
        <w:rFonts w:hint="default"/>
      </w:rPr>
    </w:lvl>
    <w:lvl w:ilvl="8">
      <w:start w:val="0"/>
      <w:numFmt w:val="bullet"/>
      <w:lvlText w:val="•"/>
      <w:lvlJc w:val="left"/>
      <w:pPr>
        <w:ind w:left="5546" w:hanging="421"/>
      </w:pPr>
      <w:rPr>
        <w:rFonts w:hint="default"/>
      </w:rPr>
    </w:lvl>
  </w:abstractNum>
  <w:abstractNum w:abstractNumId="14">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3" w:hanging="421"/>
      </w:pPr>
      <w:rPr>
        <w:rFonts w:hint="default"/>
      </w:rPr>
    </w:lvl>
    <w:lvl w:ilvl="5">
      <w:start w:val="0"/>
      <w:numFmt w:val="bullet"/>
      <w:lvlText w:val="•"/>
      <w:lvlJc w:val="left"/>
      <w:pPr>
        <w:ind w:left="3661" w:hanging="421"/>
      </w:pPr>
      <w:rPr>
        <w:rFonts w:hint="default"/>
      </w:rPr>
    </w:lvl>
    <w:lvl w:ilvl="6">
      <w:start w:val="0"/>
      <w:numFmt w:val="bullet"/>
      <w:lvlText w:val="•"/>
      <w:lvlJc w:val="left"/>
      <w:pPr>
        <w:ind w:left="4289" w:hanging="421"/>
      </w:pPr>
      <w:rPr>
        <w:rFonts w:hint="default"/>
      </w:rPr>
    </w:lvl>
    <w:lvl w:ilvl="7">
      <w:start w:val="0"/>
      <w:numFmt w:val="bullet"/>
      <w:lvlText w:val="•"/>
      <w:lvlJc w:val="left"/>
      <w:pPr>
        <w:ind w:left="4918" w:hanging="421"/>
      </w:pPr>
      <w:rPr>
        <w:rFonts w:hint="default"/>
      </w:rPr>
    </w:lvl>
    <w:lvl w:ilvl="8">
      <w:start w:val="0"/>
      <w:numFmt w:val="bullet"/>
      <w:lvlText w:val="•"/>
      <w:lvlJc w:val="left"/>
      <w:pPr>
        <w:ind w:left="5546" w:hanging="421"/>
      </w:pPr>
      <w:rPr>
        <w:rFonts w:hint="default"/>
      </w:rPr>
    </w:lvl>
  </w:abstractNum>
  <w:abstractNum w:abstractNumId="13">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3" w:hanging="421"/>
      </w:pPr>
      <w:rPr>
        <w:rFonts w:hint="default"/>
      </w:rPr>
    </w:lvl>
    <w:lvl w:ilvl="5">
      <w:start w:val="0"/>
      <w:numFmt w:val="bullet"/>
      <w:lvlText w:val="•"/>
      <w:lvlJc w:val="left"/>
      <w:pPr>
        <w:ind w:left="3661" w:hanging="421"/>
      </w:pPr>
      <w:rPr>
        <w:rFonts w:hint="default"/>
      </w:rPr>
    </w:lvl>
    <w:lvl w:ilvl="6">
      <w:start w:val="0"/>
      <w:numFmt w:val="bullet"/>
      <w:lvlText w:val="•"/>
      <w:lvlJc w:val="left"/>
      <w:pPr>
        <w:ind w:left="4289" w:hanging="421"/>
      </w:pPr>
      <w:rPr>
        <w:rFonts w:hint="default"/>
      </w:rPr>
    </w:lvl>
    <w:lvl w:ilvl="7">
      <w:start w:val="0"/>
      <w:numFmt w:val="bullet"/>
      <w:lvlText w:val="•"/>
      <w:lvlJc w:val="left"/>
      <w:pPr>
        <w:ind w:left="4918" w:hanging="421"/>
      </w:pPr>
      <w:rPr>
        <w:rFonts w:hint="default"/>
      </w:rPr>
    </w:lvl>
    <w:lvl w:ilvl="8">
      <w:start w:val="0"/>
      <w:numFmt w:val="bullet"/>
      <w:lvlText w:val="•"/>
      <w:lvlJc w:val="left"/>
      <w:pPr>
        <w:ind w:left="5546" w:hanging="421"/>
      </w:pPr>
      <w:rPr>
        <w:rFonts w:hint="default"/>
      </w:rPr>
    </w:lvl>
  </w:abstractNum>
  <w:abstractNum w:abstractNumId="12">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3" w:hanging="421"/>
      </w:pPr>
      <w:rPr>
        <w:rFonts w:hint="default"/>
      </w:rPr>
    </w:lvl>
    <w:lvl w:ilvl="5">
      <w:start w:val="0"/>
      <w:numFmt w:val="bullet"/>
      <w:lvlText w:val="•"/>
      <w:lvlJc w:val="left"/>
      <w:pPr>
        <w:ind w:left="3661" w:hanging="421"/>
      </w:pPr>
      <w:rPr>
        <w:rFonts w:hint="default"/>
      </w:rPr>
    </w:lvl>
    <w:lvl w:ilvl="6">
      <w:start w:val="0"/>
      <w:numFmt w:val="bullet"/>
      <w:lvlText w:val="•"/>
      <w:lvlJc w:val="left"/>
      <w:pPr>
        <w:ind w:left="4289" w:hanging="421"/>
      </w:pPr>
      <w:rPr>
        <w:rFonts w:hint="default"/>
      </w:rPr>
    </w:lvl>
    <w:lvl w:ilvl="7">
      <w:start w:val="0"/>
      <w:numFmt w:val="bullet"/>
      <w:lvlText w:val="•"/>
      <w:lvlJc w:val="left"/>
      <w:pPr>
        <w:ind w:left="4918" w:hanging="421"/>
      </w:pPr>
      <w:rPr>
        <w:rFonts w:hint="default"/>
      </w:rPr>
    </w:lvl>
    <w:lvl w:ilvl="8">
      <w:start w:val="0"/>
      <w:numFmt w:val="bullet"/>
      <w:lvlText w:val="•"/>
      <w:lvlJc w:val="left"/>
      <w:pPr>
        <w:ind w:left="5546" w:hanging="421"/>
      </w:pPr>
      <w:rPr>
        <w:rFonts w:hint="default"/>
      </w:rPr>
    </w:lvl>
  </w:abstractNum>
  <w:abstractNum w:abstractNumId="11">
    <w:multiLevelType w:val="hybridMultilevel"/>
    <w:lvl w:ilvl="0">
      <w:start w:val="1"/>
      <w:numFmt w:val="decimal"/>
      <w:lvlText w:val="%1)"/>
      <w:lvlJc w:val="left"/>
      <w:pPr>
        <w:ind w:left="758" w:hanging="360"/>
        <w:jc w:val="left"/>
      </w:pPr>
      <w:rPr>
        <w:rFonts w:hint="default"/>
        <w:spacing w:val="-2"/>
        <w:w w:val="100"/>
      </w:rPr>
    </w:lvl>
    <w:lvl w:ilvl="1">
      <w:start w:val="0"/>
      <w:numFmt w:val="bullet"/>
      <w:lvlText w:val="•"/>
      <w:lvlJc w:val="left"/>
      <w:pPr>
        <w:ind w:left="1578" w:hanging="360"/>
      </w:pPr>
      <w:rPr>
        <w:rFonts w:hint="default"/>
      </w:rPr>
    </w:lvl>
    <w:lvl w:ilvl="2">
      <w:start w:val="0"/>
      <w:numFmt w:val="bullet"/>
      <w:lvlText w:val="•"/>
      <w:lvlJc w:val="left"/>
      <w:pPr>
        <w:ind w:left="2397" w:hanging="360"/>
      </w:pPr>
      <w:rPr>
        <w:rFonts w:hint="default"/>
      </w:rPr>
    </w:lvl>
    <w:lvl w:ilvl="3">
      <w:start w:val="0"/>
      <w:numFmt w:val="bullet"/>
      <w:lvlText w:val="•"/>
      <w:lvlJc w:val="left"/>
      <w:pPr>
        <w:ind w:left="3215" w:hanging="360"/>
      </w:pPr>
      <w:rPr>
        <w:rFonts w:hint="default"/>
      </w:rPr>
    </w:lvl>
    <w:lvl w:ilvl="4">
      <w:start w:val="0"/>
      <w:numFmt w:val="bullet"/>
      <w:lvlText w:val="•"/>
      <w:lvlJc w:val="left"/>
      <w:pPr>
        <w:ind w:left="4034" w:hanging="360"/>
      </w:pPr>
      <w:rPr>
        <w:rFonts w:hint="default"/>
      </w:rPr>
    </w:lvl>
    <w:lvl w:ilvl="5">
      <w:start w:val="0"/>
      <w:numFmt w:val="bullet"/>
      <w:lvlText w:val="•"/>
      <w:lvlJc w:val="left"/>
      <w:pPr>
        <w:ind w:left="4853" w:hanging="360"/>
      </w:pPr>
      <w:rPr>
        <w:rFonts w:hint="default"/>
      </w:rPr>
    </w:lvl>
    <w:lvl w:ilvl="6">
      <w:start w:val="0"/>
      <w:numFmt w:val="bullet"/>
      <w:lvlText w:val="•"/>
      <w:lvlJc w:val="left"/>
      <w:pPr>
        <w:ind w:left="5671" w:hanging="360"/>
      </w:pPr>
      <w:rPr>
        <w:rFonts w:hint="default"/>
      </w:rPr>
    </w:lvl>
    <w:lvl w:ilvl="7">
      <w:start w:val="0"/>
      <w:numFmt w:val="bullet"/>
      <w:lvlText w:val="•"/>
      <w:lvlJc w:val="left"/>
      <w:pPr>
        <w:ind w:left="6490" w:hanging="360"/>
      </w:pPr>
      <w:rPr>
        <w:rFonts w:hint="default"/>
      </w:rPr>
    </w:lvl>
    <w:lvl w:ilvl="8">
      <w:start w:val="0"/>
      <w:numFmt w:val="bullet"/>
      <w:lvlText w:val="•"/>
      <w:lvlJc w:val="left"/>
      <w:pPr>
        <w:ind w:left="7309" w:hanging="360"/>
      </w:pPr>
      <w:rPr>
        <w:rFonts w:hint="default"/>
      </w:rPr>
    </w:lvl>
  </w:abstractNum>
  <w:abstractNum w:abstractNumId="10">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3" w:hanging="421"/>
      </w:pPr>
      <w:rPr>
        <w:rFonts w:hint="default"/>
      </w:rPr>
    </w:lvl>
    <w:lvl w:ilvl="5">
      <w:start w:val="0"/>
      <w:numFmt w:val="bullet"/>
      <w:lvlText w:val="•"/>
      <w:lvlJc w:val="left"/>
      <w:pPr>
        <w:ind w:left="3661" w:hanging="421"/>
      </w:pPr>
      <w:rPr>
        <w:rFonts w:hint="default"/>
      </w:rPr>
    </w:lvl>
    <w:lvl w:ilvl="6">
      <w:start w:val="0"/>
      <w:numFmt w:val="bullet"/>
      <w:lvlText w:val="•"/>
      <w:lvlJc w:val="left"/>
      <w:pPr>
        <w:ind w:left="4289" w:hanging="421"/>
      </w:pPr>
      <w:rPr>
        <w:rFonts w:hint="default"/>
      </w:rPr>
    </w:lvl>
    <w:lvl w:ilvl="7">
      <w:start w:val="0"/>
      <w:numFmt w:val="bullet"/>
      <w:lvlText w:val="•"/>
      <w:lvlJc w:val="left"/>
      <w:pPr>
        <w:ind w:left="4918" w:hanging="421"/>
      </w:pPr>
      <w:rPr>
        <w:rFonts w:hint="default"/>
      </w:rPr>
    </w:lvl>
    <w:lvl w:ilvl="8">
      <w:start w:val="0"/>
      <w:numFmt w:val="bullet"/>
      <w:lvlText w:val="•"/>
      <w:lvlJc w:val="left"/>
      <w:pPr>
        <w:ind w:left="5546" w:hanging="421"/>
      </w:pPr>
      <w:rPr>
        <w:rFonts w:hint="default"/>
      </w:rPr>
    </w:lvl>
  </w:abstractNum>
  <w:abstractNum w:abstractNumId="9">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3" w:hanging="421"/>
      </w:pPr>
      <w:rPr>
        <w:rFonts w:hint="default"/>
      </w:rPr>
    </w:lvl>
    <w:lvl w:ilvl="5">
      <w:start w:val="0"/>
      <w:numFmt w:val="bullet"/>
      <w:lvlText w:val="•"/>
      <w:lvlJc w:val="left"/>
      <w:pPr>
        <w:ind w:left="3661" w:hanging="421"/>
      </w:pPr>
      <w:rPr>
        <w:rFonts w:hint="default"/>
      </w:rPr>
    </w:lvl>
    <w:lvl w:ilvl="6">
      <w:start w:val="0"/>
      <w:numFmt w:val="bullet"/>
      <w:lvlText w:val="•"/>
      <w:lvlJc w:val="left"/>
      <w:pPr>
        <w:ind w:left="4289" w:hanging="421"/>
      </w:pPr>
      <w:rPr>
        <w:rFonts w:hint="default"/>
      </w:rPr>
    </w:lvl>
    <w:lvl w:ilvl="7">
      <w:start w:val="0"/>
      <w:numFmt w:val="bullet"/>
      <w:lvlText w:val="•"/>
      <w:lvlJc w:val="left"/>
      <w:pPr>
        <w:ind w:left="4918" w:hanging="421"/>
      </w:pPr>
      <w:rPr>
        <w:rFonts w:hint="default"/>
      </w:rPr>
    </w:lvl>
    <w:lvl w:ilvl="8">
      <w:start w:val="0"/>
      <w:numFmt w:val="bullet"/>
      <w:lvlText w:val="•"/>
      <w:lvlJc w:val="left"/>
      <w:pPr>
        <w:ind w:left="5546" w:hanging="421"/>
      </w:pPr>
      <w:rPr>
        <w:rFonts w:hint="default"/>
      </w:rPr>
    </w:lvl>
  </w:abstractNum>
  <w:abstractNum w:abstractNumId="8">
    <w:multiLevelType w:val="hybridMultilevel"/>
    <w:lvl w:ilvl="0">
      <w:start w:val="3"/>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3" w:hanging="421"/>
      </w:pPr>
      <w:rPr>
        <w:rFonts w:hint="default"/>
      </w:rPr>
    </w:lvl>
    <w:lvl w:ilvl="5">
      <w:start w:val="0"/>
      <w:numFmt w:val="bullet"/>
      <w:lvlText w:val="•"/>
      <w:lvlJc w:val="left"/>
      <w:pPr>
        <w:ind w:left="3661" w:hanging="421"/>
      </w:pPr>
      <w:rPr>
        <w:rFonts w:hint="default"/>
      </w:rPr>
    </w:lvl>
    <w:lvl w:ilvl="6">
      <w:start w:val="0"/>
      <w:numFmt w:val="bullet"/>
      <w:lvlText w:val="•"/>
      <w:lvlJc w:val="left"/>
      <w:pPr>
        <w:ind w:left="4289" w:hanging="421"/>
      </w:pPr>
      <w:rPr>
        <w:rFonts w:hint="default"/>
      </w:rPr>
    </w:lvl>
    <w:lvl w:ilvl="7">
      <w:start w:val="0"/>
      <w:numFmt w:val="bullet"/>
      <w:lvlText w:val="•"/>
      <w:lvlJc w:val="left"/>
      <w:pPr>
        <w:ind w:left="4918" w:hanging="421"/>
      </w:pPr>
      <w:rPr>
        <w:rFonts w:hint="default"/>
      </w:rPr>
    </w:lvl>
    <w:lvl w:ilvl="8">
      <w:start w:val="0"/>
      <w:numFmt w:val="bullet"/>
      <w:lvlText w:val="•"/>
      <w:lvlJc w:val="left"/>
      <w:pPr>
        <w:ind w:left="5546" w:hanging="421"/>
      </w:pPr>
      <w:rPr>
        <w:rFonts w:hint="default"/>
      </w:rPr>
    </w:lvl>
  </w:abstractNum>
  <w:abstractNum w:abstractNumId="7">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3" w:hanging="421"/>
      </w:pPr>
      <w:rPr>
        <w:rFonts w:hint="default"/>
      </w:rPr>
    </w:lvl>
    <w:lvl w:ilvl="5">
      <w:start w:val="0"/>
      <w:numFmt w:val="bullet"/>
      <w:lvlText w:val="•"/>
      <w:lvlJc w:val="left"/>
      <w:pPr>
        <w:ind w:left="3661" w:hanging="421"/>
      </w:pPr>
      <w:rPr>
        <w:rFonts w:hint="default"/>
      </w:rPr>
    </w:lvl>
    <w:lvl w:ilvl="6">
      <w:start w:val="0"/>
      <w:numFmt w:val="bullet"/>
      <w:lvlText w:val="•"/>
      <w:lvlJc w:val="left"/>
      <w:pPr>
        <w:ind w:left="4289" w:hanging="421"/>
      </w:pPr>
      <w:rPr>
        <w:rFonts w:hint="default"/>
      </w:rPr>
    </w:lvl>
    <w:lvl w:ilvl="7">
      <w:start w:val="0"/>
      <w:numFmt w:val="bullet"/>
      <w:lvlText w:val="•"/>
      <w:lvlJc w:val="left"/>
      <w:pPr>
        <w:ind w:left="4918" w:hanging="421"/>
      </w:pPr>
      <w:rPr>
        <w:rFonts w:hint="default"/>
      </w:rPr>
    </w:lvl>
    <w:lvl w:ilvl="8">
      <w:start w:val="0"/>
      <w:numFmt w:val="bullet"/>
      <w:lvlText w:val="•"/>
      <w:lvlJc w:val="left"/>
      <w:pPr>
        <w:ind w:left="5546" w:hanging="421"/>
      </w:pPr>
      <w:rPr>
        <w:rFonts w:hint="default"/>
      </w:rPr>
    </w:lvl>
  </w:abstractNum>
  <w:abstractNum w:abstractNumId="6">
    <w:multiLevelType w:val="hybridMultilevel"/>
    <w:lvl w:ilvl="0">
      <w:start w:val="1"/>
      <w:numFmt w:val="decimal"/>
      <w:lvlText w:val="(%1)"/>
      <w:lvlJc w:val="left"/>
      <w:pPr>
        <w:ind w:left="468" w:hanging="361"/>
        <w:jc w:val="left"/>
      </w:pPr>
      <w:rPr>
        <w:rFonts w:hint="default"/>
        <w:w w:val="100"/>
      </w:rPr>
    </w:lvl>
    <w:lvl w:ilvl="1">
      <w:start w:val="0"/>
      <w:numFmt w:val="bullet"/>
      <w:lvlText w:val="•"/>
      <w:lvlJc w:val="left"/>
      <w:pPr>
        <w:ind w:left="1094" w:hanging="361"/>
      </w:pPr>
      <w:rPr>
        <w:rFonts w:hint="default"/>
      </w:rPr>
    </w:lvl>
    <w:lvl w:ilvl="2">
      <w:start w:val="0"/>
      <w:numFmt w:val="bullet"/>
      <w:lvlText w:val="•"/>
      <w:lvlJc w:val="left"/>
      <w:pPr>
        <w:ind w:left="1728" w:hanging="361"/>
      </w:pPr>
      <w:rPr>
        <w:rFonts w:hint="default"/>
      </w:rPr>
    </w:lvl>
    <w:lvl w:ilvl="3">
      <w:start w:val="0"/>
      <w:numFmt w:val="bullet"/>
      <w:lvlText w:val="•"/>
      <w:lvlJc w:val="left"/>
      <w:pPr>
        <w:ind w:left="2362" w:hanging="361"/>
      </w:pPr>
      <w:rPr>
        <w:rFonts w:hint="default"/>
      </w:rPr>
    </w:lvl>
    <w:lvl w:ilvl="4">
      <w:start w:val="0"/>
      <w:numFmt w:val="bullet"/>
      <w:lvlText w:val="•"/>
      <w:lvlJc w:val="left"/>
      <w:pPr>
        <w:ind w:left="2997" w:hanging="361"/>
      </w:pPr>
      <w:rPr>
        <w:rFonts w:hint="default"/>
      </w:rPr>
    </w:lvl>
    <w:lvl w:ilvl="5">
      <w:start w:val="0"/>
      <w:numFmt w:val="bullet"/>
      <w:lvlText w:val="•"/>
      <w:lvlJc w:val="left"/>
      <w:pPr>
        <w:ind w:left="3631" w:hanging="361"/>
      </w:pPr>
      <w:rPr>
        <w:rFonts w:hint="default"/>
      </w:rPr>
    </w:lvl>
    <w:lvl w:ilvl="6">
      <w:start w:val="0"/>
      <w:numFmt w:val="bullet"/>
      <w:lvlText w:val="•"/>
      <w:lvlJc w:val="left"/>
      <w:pPr>
        <w:ind w:left="4265" w:hanging="361"/>
      </w:pPr>
      <w:rPr>
        <w:rFonts w:hint="default"/>
      </w:rPr>
    </w:lvl>
    <w:lvl w:ilvl="7">
      <w:start w:val="0"/>
      <w:numFmt w:val="bullet"/>
      <w:lvlText w:val="•"/>
      <w:lvlJc w:val="left"/>
      <w:pPr>
        <w:ind w:left="4900" w:hanging="361"/>
      </w:pPr>
      <w:rPr>
        <w:rFonts w:hint="default"/>
      </w:rPr>
    </w:lvl>
    <w:lvl w:ilvl="8">
      <w:start w:val="0"/>
      <w:numFmt w:val="bullet"/>
      <w:lvlText w:val="•"/>
      <w:lvlJc w:val="left"/>
      <w:pPr>
        <w:ind w:left="5534" w:hanging="361"/>
      </w:pPr>
      <w:rPr>
        <w:rFonts w:hint="default"/>
      </w:rPr>
    </w:lvl>
  </w:abstractNum>
  <w:abstractNum w:abstractNumId="5">
    <w:multiLevelType w:val="hybridMultilevel"/>
    <w:lvl w:ilvl="0">
      <w:start w:val="1"/>
      <w:numFmt w:val="decimal"/>
      <w:lvlText w:val="%1."/>
      <w:lvlJc w:val="left"/>
      <w:pPr>
        <w:ind w:left="478" w:hanging="360"/>
        <w:jc w:val="left"/>
      </w:pPr>
      <w:rPr>
        <w:rFonts w:hint="default" w:ascii="宋体" w:hAnsi="宋体" w:eastAsia="宋体" w:cs="宋体"/>
        <w:w w:val="100"/>
        <w:sz w:val="21"/>
        <w:szCs w:val="21"/>
      </w:rPr>
    </w:lvl>
    <w:lvl w:ilvl="1">
      <w:start w:val="1"/>
      <w:numFmt w:val="decimal"/>
      <w:lvlText w:val="%2)"/>
      <w:lvlJc w:val="left"/>
      <w:pPr>
        <w:ind w:left="758" w:hanging="360"/>
        <w:jc w:val="left"/>
      </w:pPr>
      <w:rPr>
        <w:rFonts w:hint="default" w:ascii="宋体" w:hAnsi="宋体" w:eastAsia="宋体" w:cs="宋体"/>
        <w:spacing w:val="-92"/>
        <w:w w:val="100"/>
        <w:sz w:val="18"/>
        <w:szCs w:val="18"/>
      </w:rPr>
    </w:lvl>
    <w:lvl w:ilvl="2">
      <w:start w:val="0"/>
      <w:numFmt w:val="bullet"/>
      <w:lvlText w:val="•"/>
      <w:lvlJc w:val="left"/>
      <w:pPr>
        <w:ind w:left="1636" w:hanging="360"/>
      </w:pPr>
      <w:rPr>
        <w:rFonts w:hint="default"/>
      </w:rPr>
    </w:lvl>
    <w:lvl w:ilvl="3">
      <w:start w:val="0"/>
      <w:numFmt w:val="bullet"/>
      <w:lvlText w:val="•"/>
      <w:lvlJc w:val="left"/>
      <w:pPr>
        <w:ind w:left="2512" w:hanging="360"/>
      </w:pPr>
      <w:rPr>
        <w:rFonts w:hint="default"/>
      </w:rPr>
    </w:lvl>
    <w:lvl w:ilvl="4">
      <w:start w:val="0"/>
      <w:numFmt w:val="bullet"/>
      <w:lvlText w:val="•"/>
      <w:lvlJc w:val="left"/>
      <w:pPr>
        <w:ind w:left="3388" w:hanging="360"/>
      </w:pPr>
      <w:rPr>
        <w:rFonts w:hint="default"/>
      </w:rPr>
    </w:lvl>
    <w:lvl w:ilvl="5">
      <w:start w:val="0"/>
      <w:numFmt w:val="bullet"/>
      <w:lvlText w:val="•"/>
      <w:lvlJc w:val="left"/>
      <w:pPr>
        <w:ind w:left="4265" w:hanging="360"/>
      </w:pPr>
      <w:rPr>
        <w:rFonts w:hint="default"/>
      </w:rPr>
    </w:lvl>
    <w:lvl w:ilvl="6">
      <w:start w:val="0"/>
      <w:numFmt w:val="bullet"/>
      <w:lvlText w:val="•"/>
      <w:lvlJc w:val="left"/>
      <w:pPr>
        <w:ind w:left="5141" w:hanging="360"/>
      </w:pPr>
      <w:rPr>
        <w:rFonts w:hint="default"/>
      </w:rPr>
    </w:lvl>
    <w:lvl w:ilvl="7">
      <w:start w:val="0"/>
      <w:numFmt w:val="bullet"/>
      <w:lvlText w:val="•"/>
      <w:lvlJc w:val="left"/>
      <w:pPr>
        <w:ind w:left="6017" w:hanging="360"/>
      </w:pPr>
      <w:rPr>
        <w:rFonts w:hint="default"/>
      </w:rPr>
    </w:lvl>
    <w:lvl w:ilvl="8">
      <w:start w:val="0"/>
      <w:numFmt w:val="bullet"/>
      <w:lvlText w:val="•"/>
      <w:lvlJc w:val="left"/>
      <w:pPr>
        <w:ind w:left="6893" w:hanging="360"/>
      </w:pPr>
      <w:rPr>
        <w:rFonts w:hint="default"/>
      </w:rPr>
    </w:lvl>
  </w:abstractNum>
  <w:abstractNum w:abstractNumId="4">
    <w:multiLevelType w:val="hybridMultilevel"/>
    <w:lvl w:ilvl="0">
      <w:start w:val="1"/>
      <w:numFmt w:val="decimal"/>
      <w:lvlText w:val="%1."/>
      <w:lvlJc w:val="left"/>
      <w:pPr>
        <w:ind w:left="478" w:hanging="360"/>
        <w:jc w:val="left"/>
      </w:pPr>
      <w:rPr>
        <w:rFonts w:hint="default" w:ascii="宋体" w:hAnsi="宋体" w:eastAsia="宋体" w:cs="宋体"/>
        <w:w w:val="100"/>
        <w:sz w:val="21"/>
        <w:szCs w:val="21"/>
      </w:rPr>
    </w:lvl>
    <w:lvl w:ilvl="1">
      <w:start w:val="0"/>
      <w:numFmt w:val="bullet"/>
      <w:lvlText w:val="•"/>
      <w:lvlJc w:val="left"/>
      <w:pPr>
        <w:ind w:left="1294" w:hanging="360"/>
      </w:pPr>
      <w:rPr>
        <w:rFonts w:hint="default"/>
      </w:rPr>
    </w:lvl>
    <w:lvl w:ilvl="2">
      <w:start w:val="0"/>
      <w:numFmt w:val="bullet"/>
      <w:lvlText w:val="•"/>
      <w:lvlJc w:val="left"/>
      <w:pPr>
        <w:ind w:left="2109" w:hanging="360"/>
      </w:pPr>
      <w:rPr>
        <w:rFonts w:hint="default"/>
      </w:rPr>
    </w:lvl>
    <w:lvl w:ilvl="3">
      <w:start w:val="0"/>
      <w:numFmt w:val="bullet"/>
      <w:lvlText w:val="•"/>
      <w:lvlJc w:val="left"/>
      <w:pPr>
        <w:ind w:left="2923" w:hanging="360"/>
      </w:pPr>
      <w:rPr>
        <w:rFonts w:hint="default"/>
      </w:rPr>
    </w:lvl>
    <w:lvl w:ilvl="4">
      <w:start w:val="0"/>
      <w:numFmt w:val="bullet"/>
      <w:lvlText w:val="•"/>
      <w:lvlJc w:val="left"/>
      <w:pPr>
        <w:ind w:left="3738" w:hanging="360"/>
      </w:pPr>
      <w:rPr>
        <w:rFonts w:hint="default"/>
      </w:rPr>
    </w:lvl>
    <w:lvl w:ilvl="5">
      <w:start w:val="0"/>
      <w:numFmt w:val="bullet"/>
      <w:lvlText w:val="•"/>
      <w:lvlJc w:val="left"/>
      <w:pPr>
        <w:ind w:left="4553" w:hanging="360"/>
      </w:pPr>
      <w:rPr>
        <w:rFonts w:hint="default"/>
      </w:rPr>
    </w:lvl>
    <w:lvl w:ilvl="6">
      <w:start w:val="0"/>
      <w:numFmt w:val="bullet"/>
      <w:lvlText w:val="•"/>
      <w:lvlJc w:val="left"/>
      <w:pPr>
        <w:ind w:left="5367" w:hanging="360"/>
      </w:pPr>
      <w:rPr>
        <w:rFonts w:hint="default"/>
      </w:rPr>
    </w:lvl>
    <w:lvl w:ilvl="7">
      <w:start w:val="0"/>
      <w:numFmt w:val="bullet"/>
      <w:lvlText w:val="•"/>
      <w:lvlJc w:val="left"/>
      <w:pPr>
        <w:ind w:left="6182" w:hanging="360"/>
      </w:pPr>
      <w:rPr>
        <w:rFonts w:hint="default"/>
      </w:rPr>
    </w:lvl>
    <w:lvl w:ilvl="8">
      <w:start w:val="0"/>
      <w:numFmt w:val="bullet"/>
      <w:lvlText w:val="•"/>
      <w:lvlJc w:val="left"/>
      <w:pPr>
        <w:ind w:left="6997" w:hanging="360"/>
      </w:pPr>
      <w:rPr>
        <w:rFonts w:hint="default"/>
      </w:rPr>
    </w:lvl>
  </w:abstractNum>
  <w:abstractNum w:abstractNumId="3">
    <w:multiLevelType w:val="hybridMultilevel"/>
    <w:lvl w:ilvl="0">
      <w:start w:val="1"/>
      <w:numFmt w:val="decimal"/>
      <w:lvlText w:val="%1)"/>
      <w:lvlJc w:val="left"/>
      <w:pPr>
        <w:ind w:left="658" w:hanging="360"/>
        <w:jc w:val="left"/>
      </w:pPr>
      <w:rPr>
        <w:rFonts w:hint="default" w:ascii="Times New Roman" w:hAnsi="Times New Roman" w:eastAsia="Times New Roman" w:cs="Times New Roman"/>
        <w:spacing w:val="0"/>
        <w:w w:val="99"/>
        <w:sz w:val="18"/>
        <w:szCs w:val="18"/>
      </w:rPr>
    </w:lvl>
    <w:lvl w:ilvl="1">
      <w:start w:val="0"/>
      <w:numFmt w:val="bullet"/>
      <w:lvlText w:val="•"/>
      <w:lvlJc w:val="left"/>
      <w:pPr>
        <w:ind w:left="1448" w:hanging="360"/>
      </w:pPr>
      <w:rPr>
        <w:rFonts w:hint="default"/>
      </w:rPr>
    </w:lvl>
    <w:lvl w:ilvl="2">
      <w:start w:val="0"/>
      <w:numFmt w:val="bullet"/>
      <w:lvlText w:val="•"/>
      <w:lvlJc w:val="left"/>
      <w:pPr>
        <w:ind w:left="2237" w:hanging="360"/>
      </w:pPr>
      <w:rPr>
        <w:rFonts w:hint="default"/>
      </w:rPr>
    </w:lvl>
    <w:lvl w:ilvl="3">
      <w:start w:val="0"/>
      <w:numFmt w:val="bullet"/>
      <w:lvlText w:val="•"/>
      <w:lvlJc w:val="left"/>
      <w:pPr>
        <w:ind w:left="3025" w:hanging="360"/>
      </w:pPr>
      <w:rPr>
        <w:rFonts w:hint="default"/>
      </w:rPr>
    </w:lvl>
    <w:lvl w:ilvl="4">
      <w:start w:val="0"/>
      <w:numFmt w:val="bullet"/>
      <w:lvlText w:val="•"/>
      <w:lvlJc w:val="left"/>
      <w:pPr>
        <w:ind w:left="3814" w:hanging="360"/>
      </w:pPr>
      <w:rPr>
        <w:rFonts w:hint="default"/>
      </w:rPr>
    </w:lvl>
    <w:lvl w:ilvl="5">
      <w:start w:val="0"/>
      <w:numFmt w:val="bullet"/>
      <w:lvlText w:val="•"/>
      <w:lvlJc w:val="left"/>
      <w:pPr>
        <w:ind w:left="4603" w:hanging="360"/>
      </w:pPr>
      <w:rPr>
        <w:rFonts w:hint="default"/>
      </w:rPr>
    </w:lvl>
    <w:lvl w:ilvl="6">
      <w:start w:val="0"/>
      <w:numFmt w:val="bullet"/>
      <w:lvlText w:val="•"/>
      <w:lvlJc w:val="left"/>
      <w:pPr>
        <w:ind w:left="5391" w:hanging="360"/>
      </w:pPr>
      <w:rPr>
        <w:rFonts w:hint="default"/>
      </w:rPr>
    </w:lvl>
    <w:lvl w:ilvl="7">
      <w:start w:val="0"/>
      <w:numFmt w:val="bullet"/>
      <w:lvlText w:val="•"/>
      <w:lvlJc w:val="left"/>
      <w:pPr>
        <w:ind w:left="6180" w:hanging="360"/>
      </w:pPr>
      <w:rPr>
        <w:rFonts w:hint="default"/>
      </w:rPr>
    </w:lvl>
    <w:lvl w:ilvl="8">
      <w:start w:val="0"/>
      <w:numFmt w:val="bullet"/>
      <w:lvlText w:val="•"/>
      <w:lvlJc w:val="left"/>
      <w:pPr>
        <w:ind w:left="6969" w:hanging="360"/>
      </w:pPr>
      <w:rPr>
        <w:rFonts w:hint="default"/>
      </w:rPr>
    </w:lvl>
  </w:abstractNum>
  <w:abstractNum w:abstractNumId="2">
    <w:multiLevelType w:val="hybridMultilevel"/>
    <w:lvl w:ilvl="0">
      <w:start w:val="1"/>
      <w:numFmt w:val="decimal"/>
      <w:lvlText w:val="%1."/>
      <w:lvlJc w:val="left"/>
      <w:pPr>
        <w:ind w:left="538" w:hanging="420"/>
        <w:jc w:val="left"/>
      </w:pPr>
      <w:rPr>
        <w:rFonts w:hint="default" w:ascii="黑体" w:hAnsi="黑体" w:eastAsia="黑体" w:cs="黑体"/>
        <w:w w:val="100"/>
        <w:sz w:val="21"/>
        <w:szCs w:val="21"/>
      </w:rPr>
    </w:lvl>
    <w:lvl w:ilvl="1">
      <w:start w:val="1"/>
      <w:numFmt w:val="decimal"/>
      <w:lvlText w:val="%2)"/>
      <w:lvlJc w:val="left"/>
      <w:pPr>
        <w:ind w:left="658" w:hanging="360"/>
        <w:jc w:val="left"/>
      </w:pPr>
      <w:rPr>
        <w:rFonts w:hint="default" w:ascii="Times New Roman" w:hAnsi="Times New Roman" w:eastAsia="Times New Roman" w:cs="Times New Roman"/>
        <w:spacing w:val="0"/>
        <w:w w:val="99"/>
        <w:sz w:val="18"/>
        <w:szCs w:val="18"/>
      </w:rPr>
    </w:lvl>
    <w:lvl w:ilvl="2">
      <w:start w:val="0"/>
      <w:numFmt w:val="bullet"/>
      <w:lvlText w:val="•"/>
      <w:lvlJc w:val="left"/>
      <w:pPr>
        <w:ind w:left="1536" w:hanging="360"/>
      </w:pPr>
      <w:rPr>
        <w:rFonts w:hint="default"/>
      </w:rPr>
    </w:lvl>
    <w:lvl w:ilvl="3">
      <w:start w:val="0"/>
      <w:numFmt w:val="bullet"/>
      <w:lvlText w:val="•"/>
      <w:lvlJc w:val="left"/>
      <w:pPr>
        <w:ind w:left="2412" w:hanging="360"/>
      </w:pPr>
      <w:rPr>
        <w:rFonts w:hint="default"/>
      </w:rPr>
    </w:lvl>
    <w:lvl w:ilvl="4">
      <w:start w:val="0"/>
      <w:numFmt w:val="bullet"/>
      <w:lvlText w:val="•"/>
      <w:lvlJc w:val="left"/>
      <w:pPr>
        <w:ind w:left="3288" w:hanging="360"/>
      </w:pPr>
      <w:rPr>
        <w:rFonts w:hint="default"/>
      </w:rPr>
    </w:lvl>
    <w:lvl w:ilvl="5">
      <w:start w:val="0"/>
      <w:numFmt w:val="bullet"/>
      <w:lvlText w:val="•"/>
      <w:lvlJc w:val="left"/>
      <w:pPr>
        <w:ind w:left="4165" w:hanging="360"/>
      </w:pPr>
      <w:rPr>
        <w:rFonts w:hint="default"/>
      </w:rPr>
    </w:lvl>
    <w:lvl w:ilvl="6">
      <w:start w:val="0"/>
      <w:numFmt w:val="bullet"/>
      <w:lvlText w:val="•"/>
      <w:lvlJc w:val="left"/>
      <w:pPr>
        <w:ind w:left="5041" w:hanging="360"/>
      </w:pPr>
      <w:rPr>
        <w:rFonts w:hint="default"/>
      </w:rPr>
    </w:lvl>
    <w:lvl w:ilvl="7">
      <w:start w:val="0"/>
      <w:numFmt w:val="bullet"/>
      <w:lvlText w:val="•"/>
      <w:lvlJc w:val="left"/>
      <w:pPr>
        <w:ind w:left="5917" w:hanging="360"/>
      </w:pPr>
      <w:rPr>
        <w:rFonts w:hint="default"/>
      </w:rPr>
    </w:lvl>
    <w:lvl w:ilvl="8">
      <w:start w:val="0"/>
      <w:numFmt w:val="bullet"/>
      <w:lvlText w:val="•"/>
      <w:lvlJc w:val="left"/>
      <w:pPr>
        <w:ind w:left="6793" w:hanging="360"/>
      </w:pPr>
      <w:rPr>
        <w:rFonts w:hint="default"/>
      </w:rPr>
    </w:lvl>
  </w:abstractNum>
  <w:abstractNum w:abstractNumId="1">
    <w:multiLevelType w:val="hybridMultilevel"/>
    <w:lvl w:ilvl="0">
      <w:start w:val="1"/>
      <w:numFmt w:val="decimal"/>
      <w:lvlText w:val="%1."/>
      <w:lvlJc w:val="left"/>
      <w:pPr>
        <w:ind w:left="554" w:hanging="420"/>
        <w:jc w:val="left"/>
      </w:pPr>
      <w:rPr>
        <w:rFonts w:hint="default" w:ascii="黑体" w:hAnsi="黑体" w:eastAsia="黑体" w:cs="黑体"/>
        <w:w w:val="100"/>
        <w:sz w:val="21"/>
        <w:szCs w:val="21"/>
      </w:rPr>
    </w:lvl>
    <w:lvl w:ilvl="1">
      <w:start w:val="0"/>
      <w:numFmt w:val="bullet"/>
      <w:lvlText w:val="•"/>
      <w:lvlJc w:val="left"/>
      <w:pPr>
        <w:ind w:left="1358" w:hanging="420"/>
      </w:pPr>
      <w:rPr>
        <w:rFonts w:hint="default"/>
      </w:rPr>
    </w:lvl>
    <w:lvl w:ilvl="2">
      <w:start w:val="0"/>
      <w:numFmt w:val="bullet"/>
      <w:lvlText w:val="•"/>
      <w:lvlJc w:val="left"/>
      <w:pPr>
        <w:ind w:left="2157" w:hanging="420"/>
      </w:pPr>
      <w:rPr>
        <w:rFonts w:hint="default"/>
      </w:rPr>
    </w:lvl>
    <w:lvl w:ilvl="3">
      <w:start w:val="0"/>
      <w:numFmt w:val="bullet"/>
      <w:lvlText w:val="•"/>
      <w:lvlJc w:val="left"/>
      <w:pPr>
        <w:ind w:left="2955" w:hanging="420"/>
      </w:pPr>
      <w:rPr>
        <w:rFonts w:hint="default"/>
      </w:rPr>
    </w:lvl>
    <w:lvl w:ilvl="4">
      <w:start w:val="0"/>
      <w:numFmt w:val="bullet"/>
      <w:lvlText w:val="•"/>
      <w:lvlJc w:val="left"/>
      <w:pPr>
        <w:ind w:left="3754" w:hanging="420"/>
      </w:pPr>
      <w:rPr>
        <w:rFonts w:hint="default"/>
      </w:rPr>
    </w:lvl>
    <w:lvl w:ilvl="5">
      <w:start w:val="0"/>
      <w:numFmt w:val="bullet"/>
      <w:lvlText w:val="•"/>
      <w:lvlJc w:val="left"/>
      <w:pPr>
        <w:ind w:left="4553" w:hanging="420"/>
      </w:pPr>
      <w:rPr>
        <w:rFonts w:hint="default"/>
      </w:rPr>
    </w:lvl>
    <w:lvl w:ilvl="6">
      <w:start w:val="0"/>
      <w:numFmt w:val="bullet"/>
      <w:lvlText w:val="•"/>
      <w:lvlJc w:val="left"/>
      <w:pPr>
        <w:ind w:left="5351" w:hanging="420"/>
      </w:pPr>
      <w:rPr>
        <w:rFonts w:hint="default"/>
      </w:rPr>
    </w:lvl>
    <w:lvl w:ilvl="7">
      <w:start w:val="0"/>
      <w:numFmt w:val="bullet"/>
      <w:lvlText w:val="•"/>
      <w:lvlJc w:val="left"/>
      <w:pPr>
        <w:ind w:left="6150" w:hanging="420"/>
      </w:pPr>
      <w:rPr>
        <w:rFonts w:hint="default"/>
      </w:rPr>
    </w:lvl>
    <w:lvl w:ilvl="8">
      <w:start w:val="0"/>
      <w:numFmt w:val="bullet"/>
      <w:lvlText w:val="•"/>
      <w:lvlJc w:val="left"/>
      <w:pPr>
        <w:ind w:left="6949" w:hanging="420"/>
      </w:pPr>
      <w:rPr>
        <w:rFonts w:hint="default"/>
      </w:rPr>
    </w:lvl>
  </w:abstractNum>
  <w:abstractNum w:abstractNumId="0">
    <w:multiLevelType w:val="hybridMultilevel"/>
    <w:lvl w:ilvl="0">
      <w:start w:val="1"/>
      <w:numFmt w:val="decimal"/>
      <w:lvlText w:val="%1)"/>
      <w:lvlJc w:val="left"/>
      <w:pPr>
        <w:ind w:left="658" w:hanging="360"/>
        <w:jc w:val="left"/>
      </w:pPr>
      <w:rPr>
        <w:rFonts w:hint="default" w:ascii="宋体" w:hAnsi="宋体" w:eastAsia="宋体" w:cs="宋体"/>
        <w:spacing w:val="-2"/>
        <w:w w:val="100"/>
        <w:sz w:val="18"/>
        <w:szCs w:val="18"/>
      </w:rPr>
    </w:lvl>
    <w:lvl w:ilvl="1">
      <w:start w:val="0"/>
      <w:numFmt w:val="bullet"/>
      <w:lvlText w:val="•"/>
      <w:lvlJc w:val="left"/>
      <w:pPr>
        <w:ind w:left="1456" w:hanging="360"/>
      </w:pPr>
      <w:rPr>
        <w:rFonts w:hint="default"/>
      </w:rPr>
    </w:lvl>
    <w:lvl w:ilvl="2">
      <w:start w:val="0"/>
      <w:numFmt w:val="bullet"/>
      <w:lvlText w:val="•"/>
      <w:lvlJc w:val="left"/>
      <w:pPr>
        <w:ind w:left="2253" w:hanging="360"/>
      </w:pPr>
      <w:rPr>
        <w:rFonts w:hint="default"/>
      </w:rPr>
    </w:lvl>
    <w:lvl w:ilvl="3">
      <w:start w:val="0"/>
      <w:numFmt w:val="bullet"/>
      <w:lvlText w:val="•"/>
      <w:lvlJc w:val="left"/>
      <w:pPr>
        <w:ind w:left="3049" w:hanging="360"/>
      </w:pPr>
      <w:rPr>
        <w:rFonts w:hint="default"/>
      </w:rPr>
    </w:lvl>
    <w:lvl w:ilvl="4">
      <w:start w:val="0"/>
      <w:numFmt w:val="bullet"/>
      <w:lvlText w:val="•"/>
      <w:lvlJc w:val="left"/>
      <w:pPr>
        <w:ind w:left="3846" w:hanging="360"/>
      </w:pPr>
      <w:rPr>
        <w:rFonts w:hint="default"/>
      </w:rPr>
    </w:lvl>
    <w:lvl w:ilvl="5">
      <w:start w:val="0"/>
      <w:numFmt w:val="bullet"/>
      <w:lvlText w:val="•"/>
      <w:lvlJc w:val="left"/>
      <w:pPr>
        <w:ind w:left="4643" w:hanging="360"/>
      </w:pPr>
      <w:rPr>
        <w:rFonts w:hint="default"/>
      </w:rPr>
    </w:lvl>
    <w:lvl w:ilvl="6">
      <w:start w:val="0"/>
      <w:numFmt w:val="bullet"/>
      <w:lvlText w:val="•"/>
      <w:lvlJc w:val="left"/>
      <w:pPr>
        <w:ind w:left="5439" w:hanging="360"/>
      </w:pPr>
      <w:rPr>
        <w:rFonts w:hint="default"/>
      </w:rPr>
    </w:lvl>
    <w:lvl w:ilvl="7">
      <w:start w:val="0"/>
      <w:numFmt w:val="bullet"/>
      <w:lvlText w:val="•"/>
      <w:lvlJc w:val="left"/>
      <w:pPr>
        <w:ind w:left="6236" w:hanging="360"/>
      </w:pPr>
      <w:rPr>
        <w:rFonts w:hint="default"/>
      </w:rPr>
    </w:lvl>
    <w:lvl w:ilvl="8">
      <w:start w:val="0"/>
      <w:numFmt w:val="bullet"/>
      <w:lvlText w:val="•"/>
      <w:lvlJc w:val="left"/>
      <w:pPr>
        <w:ind w:left="7033" w:hanging="360"/>
      </w:pPr>
      <w:rPr>
        <w:rFonts w:hint="default"/>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0"/>
      <w:ind w:left="118"/>
    </w:pPr>
    <w:rPr>
      <w:rFonts w:ascii="宋体" w:hAnsi="宋体" w:eastAsia="宋体" w:cs="宋体"/>
      <w:b/>
      <w:bCs/>
      <w:sz w:val="21"/>
      <w:szCs w:val="21"/>
    </w:rPr>
  </w:style>
  <w:style w:styleId="TOC2" w:type="paragraph">
    <w:name w:val="TOC 2"/>
    <w:basedOn w:val="Normal"/>
    <w:uiPriority w:val="1"/>
    <w:qFormat/>
    <w:pPr>
      <w:spacing w:before="20"/>
      <w:ind w:left="538"/>
    </w:pPr>
    <w:rPr>
      <w:rFonts w:ascii="宋体" w:hAnsi="宋体" w:eastAsia="宋体" w:cs="宋体"/>
      <w:sz w:val="21"/>
      <w:szCs w:val="21"/>
    </w:rPr>
  </w:style>
  <w:style w:styleId="BodyText" w:type="paragraph">
    <w:name w:val="Body Text"/>
    <w:basedOn w:val="Normal"/>
    <w:uiPriority w:val="1"/>
    <w:qFormat/>
    <w:pPr>
      <w:ind w:left="118"/>
    </w:pPr>
    <w:rPr>
      <w:rFonts w:ascii="宋体" w:hAnsi="宋体" w:eastAsia="宋体" w:cs="宋体"/>
      <w:sz w:val="21"/>
      <w:szCs w:val="21"/>
    </w:rPr>
  </w:style>
  <w:style w:styleId="Heading1" w:type="paragraph">
    <w:name w:val="Heading 1"/>
    <w:basedOn w:val="Normal"/>
    <w:uiPriority w:val="1"/>
    <w:qFormat/>
    <w:pPr>
      <w:ind w:left="1781" w:right="1854"/>
      <w:jc w:val="center"/>
      <w:outlineLvl w:val="1"/>
    </w:pPr>
    <w:rPr>
      <w:rFonts w:ascii="宋体" w:hAnsi="宋体" w:eastAsia="宋体" w:cs="宋体"/>
      <w:b/>
      <w:bCs/>
      <w:sz w:val="21"/>
      <w:szCs w:val="21"/>
    </w:rPr>
  </w:style>
  <w:style w:styleId="ListParagraph" w:type="paragraph">
    <w:name w:val="List Paragraph"/>
    <w:basedOn w:val="Normal"/>
    <w:uiPriority w:val="1"/>
    <w:qFormat/>
    <w:pPr>
      <w:ind w:left="658" w:hanging="36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yanzk</dc:creator>
  <dc:title>广电日生人寿保险有限公司</dc:title>
  <dcterms:created xsi:type="dcterms:W3CDTF">2018-10-20T01:40:32Z</dcterms:created>
  <dcterms:modified xsi:type="dcterms:W3CDTF">2018-10-20T01:40:32Z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2015-01-22T00:00:00Z</vt:filetime>
  </property>
  <property fmtid="{D5CDD505-2E9C-101B-9397-08002B2CF9AE}" pid="3" name="Creator">
    <vt:lpwstr>Microsoft® Office Word 2007</vt:lpwstr>
  </property>
  <property fmtid="{D5CDD505-2E9C-101B-9397-08002B2CF9AE}" pid="4" name="LastSaved">
    <vt:filetime>2018-10-19T00:00:00Z</vt:filetime>
  </property>
</Properties>
</file>