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0"/>
        <w:ind w:left="0" w:right="102" w:firstLine="0"/>
        <w:jc w:val="right"/>
        <w:rPr>
          <w:sz w:val="18"/>
        </w:rPr>
      </w:pPr>
      <w:r>
        <w:rPr/>
        <w:drawing>
          <wp:anchor distT="0" distB="0" distL="0" distR="0" allowOverlap="1" layoutInCell="1" locked="0" behindDoc="1" simplePos="0" relativeHeight="268382039">
            <wp:simplePos x="0" y="0"/>
            <wp:positionH relativeFrom="page">
              <wp:posOffset>5923788</wp:posOffset>
            </wp:positionH>
            <wp:positionV relativeFrom="paragraph">
              <wp:posOffset>173630</wp:posOffset>
            </wp:positionV>
            <wp:extent cx="722376" cy="72237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2376" cy="722376"/>
                    </a:xfrm>
                    <a:prstGeom prst="rect">
                      <a:avLst/>
                    </a:prstGeom>
                  </pic:spPr>
                </pic:pic>
              </a:graphicData>
            </a:graphic>
          </wp:anchor>
        </w:drawing>
      </w:r>
      <w:r>
        <w:rPr>
          <w:sz w:val="18"/>
        </w:rPr>
        <w:t>英大人寿[2012]疾病保险 008 号</w:t>
      </w:r>
    </w:p>
    <w:p>
      <w:pPr>
        <w:pStyle w:val="BodyText"/>
        <w:rPr>
          <w:i w:val="0"/>
          <w:sz w:val="20"/>
        </w:rPr>
      </w:pPr>
    </w:p>
    <w:p>
      <w:pPr>
        <w:pStyle w:val="BodyText"/>
        <w:rPr>
          <w:i w:val="0"/>
          <w:sz w:val="20"/>
        </w:rPr>
      </w:pPr>
    </w:p>
    <w:p>
      <w:pPr>
        <w:pStyle w:val="BodyText"/>
        <w:spacing w:before="2"/>
        <w:rPr>
          <w:i w:val="0"/>
          <w:sz w:val="20"/>
        </w:rPr>
      </w:pPr>
    </w:p>
    <w:p>
      <w:pPr>
        <w:spacing w:after="0"/>
        <w:rPr>
          <w:sz w:val="20"/>
        </w:rPr>
        <w:sectPr>
          <w:footerReference w:type="default" r:id="rId5"/>
          <w:type w:val="continuous"/>
          <w:pgSz w:w="11910" w:h="16840"/>
          <w:pgMar w:footer="921" w:top="1040" w:bottom="1120" w:left="1200" w:right="700"/>
          <w:pgNumType w:start="1"/>
        </w:sectPr>
      </w:pPr>
    </w:p>
    <w:p>
      <w:pPr>
        <w:spacing w:line="381" w:lineRule="auto" w:before="8"/>
        <w:ind w:left="4120" w:right="0" w:hanging="2410"/>
        <w:jc w:val="left"/>
        <w:rPr>
          <w:b/>
          <w:sz w:val="30"/>
        </w:rPr>
      </w:pPr>
      <w:r>
        <w:rPr>
          <w:b/>
          <w:sz w:val="30"/>
        </w:rPr>
        <w:t>英大附加金生金世提前给付重大疾病保险条款</w:t>
      </w:r>
      <w:r>
        <w:rPr>
          <w:b/>
          <w:w w:val="95"/>
          <w:sz w:val="30"/>
        </w:rPr>
        <w:t>阅读指引</w:t>
      </w:r>
    </w:p>
    <w:p>
      <w:pPr>
        <w:pStyle w:val="BodyText"/>
        <w:spacing w:before="9"/>
        <w:rPr>
          <w:b/>
          <w:i w:val="0"/>
          <w:sz w:val="26"/>
        </w:rPr>
      </w:pPr>
      <w:r>
        <w:rPr>
          <w:i w:val="0"/>
        </w:rPr>
        <w:br w:type="column"/>
      </w:r>
      <w:r>
        <w:rPr>
          <w:b/>
          <w:i w:val="0"/>
          <w:sz w:val="26"/>
        </w:rPr>
      </w:r>
    </w:p>
    <w:p>
      <w:pPr>
        <w:spacing w:before="0"/>
        <w:ind w:left="3" w:right="0" w:firstLine="0"/>
        <w:jc w:val="left"/>
        <w:rPr>
          <w:sz w:val="18"/>
        </w:rPr>
      </w:pPr>
      <w:r>
        <w:rPr>
          <w:sz w:val="18"/>
        </w:rPr>
        <w:t>请扫描以查询验证条款</w:t>
      </w:r>
    </w:p>
    <w:p>
      <w:pPr>
        <w:spacing w:after="0"/>
        <w:jc w:val="left"/>
        <w:rPr>
          <w:sz w:val="18"/>
        </w:rPr>
        <w:sectPr>
          <w:type w:val="continuous"/>
          <w:pgSz w:w="11910" w:h="16840"/>
          <w:pgMar w:top="1040" w:bottom="1120" w:left="1200" w:right="700"/>
          <w:cols w:num="2" w:equalWidth="0">
            <w:col w:w="7736" w:space="40"/>
            <w:col w:w="2234"/>
          </w:cols>
        </w:sectPr>
      </w:pPr>
    </w:p>
    <w:p>
      <w:pPr>
        <w:pStyle w:val="BodyText"/>
        <w:spacing w:line="332" w:lineRule="exact"/>
        <w:ind w:left="1466"/>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pStyle w:val="Heading1"/>
        <w:tabs>
          <w:tab w:pos="652" w:val="left" w:leader="none"/>
        </w:tabs>
        <w:spacing w:before="145"/>
      </w:pPr>
      <w:r>
        <w:rPr>
          <w:rFonts w:ascii="Wingdings" w:hAnsi="Wingdings" w:eastAsia="Wingdings"/>
          <w:b w:val="0"/>
          <w:sz w:val="36"/>
        </w:rPr>
        <w:t></w:t>
      </w:r>
      <w:r>
        <w:rPr>
          <w:rFonts w:ascii="Times New Roman" w:hAnsi="Times New Roman" w:eastAsia="Times New Roman"/>
          <w:b w:val="0"/>
          <w:sz w:val="36"/>
        </w:rPr>
        <w:tab/>
      </w:r>
      <w:r>
        <w:rPr/>
        <w:t>您拥有的重要权益</w:t>
      </w:r>
    </w:p>
    <w:p>
      <w:pPr>
        <w:pStyle w:val="ListParagraph"/>
        <w:numPr>
          <w:ilvl w:val="0"/>
          <w:numId w:val="1"/>
        </w:numPr>
        <w:tabs>
          <w:tab w:pos="921" w:val="left" w:leader="none"/>
          <w:tab w:pos="922" w:val="left" w:leader="none"/>
          <w:tab w:pos="9220" w:val="right" w:leader="dot"/>
        </w:tabs>
        <w:spacing w:line="240" w:lineRule="auto" w:before="139" w:after="0"/>
        <w:ind w:left="921" w:right="0" w:hanging="398"/>
        <w:jc w:val="left"/>
        <w:rPr>
          <w:sz w:val="21"/>
        </w:rPr>
      </w:pPr>
      <w:r>
        <w:rPr>
          <w:i/>
          <w:spacing w:val="-3"/>
          <w:sz w:val="21"/>
        </w:rPr>
        <w:t>被</w:t>
      </w:r>
      <w:r>
        <w:rPr>
          <w:i/>
          <w:sz w:val="21"/>
        </w:rPr>
        <w:t>保险</w:t>
      </w:r>
      <w:r>
        <w:rPr>
          <w:i/>
          <w:spacing w:val="-3"/>
          <w:sz w:val="21"/>
        </w:rPr>
        <w:t>人</w:t>
      </w:r>
      <w:r>
        <w:rPr>
          <w:i/>
          <w:sz w:val="21"/>
        </w:rPr>
        <w:t>可</w:t>
      </w:r>
      <w:r>
        <w:rPr>
          <w:i/>
          <w:spacing w:val="-3"/>
          <w:sz w:val="21"/>
        </w:rPr>
        <w:t>以</w:t>
      </w:r>
      <w:r>
        <w:rPr>
          <w:i/>
          <w:sz w:val="21"/>
        </w:rPr>
        <w:t>享</w:t>
      </w:r>
      <w:r>
        <w:rPr>
          <w:i/>
          <w:spacing w:val="-3"/>
          <w:sz w:val="21"/>
        </w:rPr>
        <w:t>受本附加</w:t>
      </w:r>
      <w:r>
        <w:rPr>
          <w:i/>
          <w:sz w:val="21"/>
        </w:rPr>
        <w:t>合同</w:t>
      </w:r>
      <w:r>
        <w:rPr>
          <w:i/>
          <w:spacing w:val="-3"/>
          <w:sz w:val="21"/>
        </w:rPr>
        <w:t>提供</w:t>
      </w:r>
      <w:r>
        <w:rPr>
          <w:i/>
          <w:sz w:val="21"/>
        </w:rPr>
        <w:t>的</w:t>
      </w:r>
      <w:r>
        <w:rPr>
          <w:i/>
          <w:spacing w:val="-3"/>
          <w:sz w:val="21"/>
        </w:rPr>
        <w:t>保障</w:t>
        <w:tab/>
      </w:r>
      <w:r>
        <w:rPr>
          <w:sz w:val="21"/>
        </w:rPr>
        <w:t>2.3</w:t>
      </w:r>
    </w:p>
    <w:p>
      <w:pPr>
        <w:pStyle w:val="ListParagraph"/>
        <w:numPr>
          <w:ilvl w:val="0"/>
          <w:numId w:val="1"/>
        </w:numPr>
        <w:tabs>
          <w:tab w:pos="921" w:val="left" w:leader="none"/>
          <w:tab w:pos="922" w:val="left" w:leader="none"/>
          <w:tab w:pos="9220" w:val="right" w:leader="dot"/>
        </w:tabs>
        <w:spacing w:line="240" w:lineRule="auto" w:before="51" w:after="0"/>
        <w:ind w:left="921" w:right="0" w:hanging="398"/>
        <w:jc w:val="left"/>
        <w:rPr>
          <w:sz w:val="21"/>
        </w:rPr>
      </w:pPr>
      <w:r>
        <w:rPr>
          <w:i/>
          <w:spacing w:val="-3"/>
          <w:sz w:val="21"/>
        </w:rPr>
        <w:t>您</w:t>
      </w:r>
      <w:r>
        <w:rPr>
          <w:i/>
          <w:sz w:val="21"/>
        </w:rPr>
        <w:t>有退</w:t>
      </w:r>
      <w:r>
        <w:rPr>
          <w:i/>
          <w:spacing w:val="-3"/>
          <w:sz w:val="21"/>
        </w:rPr>
        <w:t>保</w:t>
      </w:r>
      <w:r>
        <w:rPr>
          <w:i/>
          <w:sz w:val="21"/>
        </w:rPr>
        <w:t>的</w:t>
      </w:r>
      <w:r>
        <w:rPr>
          <w:i/>
          <w:spacing w:val="-3"/>
          <w:sz w:val="21"/>
        </w:rPr>
        <w:t>权</w:t>
      </w:r>
      <w:r>
        <w:rPr>
          <w:i/>
          <w:sz w:val="21"/>
        </w:rPr>
        <w:t>利…</w:t>
        <w:tab/>
      </w:r>
      <w:r>
        <w:rPr>
          <w:sz w:val="21"/>
        </w:rPr>
        <w:t>4.2</w:t>
      </w:r>
    </w:p>
    <w:p>
      <w:pPr>
        <w:pStyle w:val="Heading1"/>
        <w:tabs>
          <w:tab w:pos="662" w:val="left" w:leader="none"/>
        </w:tabs>
        <w:spacing w:before="136"/>
      </w:pPr>
      <w:r>
        <w:rPr>
          <w:rFonts w:ascii="Wingdings" w:hAnsi="Wingdings" w:eastAsia="Wingdings"/>
          <w:b w:val="0"/>
          <w:sz w:val="36"/>
        </w:rPr>
        <w:t></w:t>
      </w:r>
      <w:r>
        <w:rPr>
          <w:rFonts w:ascii="Times New Roman" w:hAnsi="Times New Roman" w:eastAsia="Times New Roman"/>
          <w:b w:val="0"/>
          <w:sz w:val="36"/>
        </w:rPr>
        <w:tab/>
      </w:r>
      <w:r>
        <w:rPr>
          <w:spacing w:val="-1"/>
        </w:rPr>
        <w:t>您应当特别注意的事项</w:t>
      </w:r>
    </w:p>
    <w:p>
      <w:pPr>
        <w:pStyle w:val="ListParagraph"/>
        <w:numPr>
          <w:ilvl w:val="0"/>
          <w:numId w:val="1"/>
        </w:numPr>
        <w:tabs>
          <w:tab w:pos="921" w:val="left" w:leader="none"/>
          <w:tab w:pos="922" w:val="left" w:leader="none"/>
          <w:tab w:pos="9220" w:val="right" w:leader="dot"/>
        </w:tabs>
        <w:spacing w:line="240" w:lineRule="auto" w:before="125" w:after="0"/>
        <w:ind w:left="921" w:right="0" w:hanging="398"/>
        <w:jc w:val="left"/>
        <w:rPr>
          <w:sz w:val="21"/>
        </w:rPr>
      </w:pPr>
      <w:r>
        <w:rPr>
          <w:i/>
          <w:spacing w:val="-3"/>
          <w:sz w:val="21"/>
        </w:rPr>
        <w:t>在</w:t>
      </w:r>
      <w:r>
        <w:rPr>
          <w:i/>
          <w:sz w:val="21"/>
        </w:rPr>
        <w:t>某些</w:t>
      </w:r>
      <w:r>
        <w:rPr>
          <w:i/>
          <w:spacing w:val="-3"/>
          <w:sz w:val="21"/>
        </w:rPr>
        <w:t>情</w:t>
      </w:r>
      <w:r>
        <w:rPr>
          <w:i/>
          <w:sz w:val="21"/>
        </w:rPr>
        <w:t>况</w:t>
      </w:r>
      <w:r>
        <w:rPr>
          <w:i/>
          <w:spacing w:val="-3"/>
          <w:sz w:val="21"/>
        </w:rPr>
        <w:t>下</w:t>
      </w:r>
      <w:r>
        <w:rPr>
          <w:i/>
          <w:sz w:val="21"/>
        </w:rPr>
        <w:t>，</w:t>
      </w:r>
      <w:r>
        <w:rPr>
          <w:i/>
          <w:spacing w:val="-3"/>
          <w:sz w:val="21"/>
        </w:rPr>
        <w:t>我们</w:t>
      </w:r>
      <w:r>
        <w:rPr>
          <w:i/>
          <w:sz w:val="21"/>
        </w:rPr>
        <w:t>不承</w:t>
      </w:r>
      <w:r>
        <w:rPr>
          <w:i/>
          <w:spacing w:val="-3"/>
          <w:sz w:val="21"/>
        </w:rPr>
        <w:t>担</w:t>
      </w:r>
      <w:r>
        <w:rPr>
          <w:i/>
          <w:sz w:val="21"/>
        </w:rPr>
        <w:t>保</w:t>
      </w:r>
      <w:r>
        <w:rPr>
          <w:i/>
          <w:spacing w:val="-3"/>
          <w:sz w:val="21"/>
        </w:rPr>
        <w:t>险</w:t>
      </w:r>
      <w:r>
        <w:rPr>
          <w:i/>
          <w:sz w:val="21"/>
        </w:rPr>
        <w:t>责任</w:t>
        <w:tab/>
      </w:r>
      <w:r>
        <w:rPr>
          <w:sz w:val="21"/>
        </w:rPr>
        <w:t>2.4</w:t>
      </w:r>
    </w:p>
    <w:p>
      <w:pPr>
        <w:pStyle w:val="ListParagraph"/>
        <w:numPr>
          <w:ilvl w:val="0"/>
          <w:numId w:val="1"/>
        </w:numPr>
        <w:tabs>
          <w:tab w:pos="921" w:val="left" w:leader="none"/>
          <w:tab w:pos="922" w:val="left" w:leader="none"/>
          <w:tab w:pos="9220" w:val="right" w:leader="dot"/>
        </w:tabs>
        <w:spacing w:line="240" w:lineRule="auto" w:before="29" w:after="0"/>
        <w:ind w:left="921" w:right="0" w:hanging="398"/>
        <w:jc w:val="left"/>
        <w:rPr>
          <w:sz w:val="21"/>
        </w:rPr>
      </w:pPr>
      <w:r>
        <w:rPr>
          <w:i/>
          <w:spacing w:val="-3"/>
          <w:sz w:val="21"/>
        </w:rPr>
        <w:t>本附加</w:t>
      </w:r>
      <w:r>
        <w:rPr>
          <w:i/>
          <w:sz w:val="21"/>
        </w:rPr>
        <w:t>合</w:t>
      </w:r>
      <w:r>
        <w:rPr>
          <w:i/>
          <w:spacing w:val="-3"/>
          <w:sz w:val="21"/>
        </w:rPr>
        <w:t>同</w:t>
      </w:r>
      <w:r>
        <w:rPr>
          <w:i/>
          <w:sz w:val="21"/>
        </w:rPr>
        <w:t>对主</w:t>
      </w:r>
      <w:r>
        <w:rPr>
          <w:i/>
          <w:spacing w:val="-3"/>
          <w:sz w:val="21"/>
        </w:rPr>
        <w:t>保险</w:t>
      </w:r>
      <w:r>
        <w:rPr>
          <w:i/>
          <w:sz w:val="21"/>
        </w:rPr>
        <w:t>合同</w:t>
      </w:r>
      <w:r>
        <w:rPr>
          <w:i/>
          <w:spacing w:val="-3"/>
          <w:sz w:val="21"/>
        </w:rPr>
        <w:t>的</w:t>
      </w:r>
      <w:r>
        <w:rPr>
          <w:i/>
          <w:sz w:val="21"/>
        </w:rPr>
        <w:t>宽</w:t>
      </w:r>
      <w:r>
        <w:rPr>
          <w:i/>
          <w:spacing w:val="-3"/>
          <w:sz w:val="21"/>
        </w:rPr>
        <w:t>限</w:t>
      </w:r>
      <w:r>
        <w:rPr>
          <w:i/>
          <w:sz w:val="21"/>
        </w:rPr>
        <w:t>期</w:t>
      </w:r>
      <w:r>
        <w:rPr>
          <w:i/>
          <w:spacing w:val="-3"/>
          <w:sz w:val="21"/>
        </w:rPr>
        <w:t>间</w:t>
      </w:r>
      <w:r>
        <w:rPr>
          <w:i/>
          <w:sz w:val="21"/>
        </w:rPr>
        <w:t>进</w:t>
      </w:r>
      <w:r>
        <w:rPr>
          <w:i/>
          <w:spacing w:val="-3"/>
          <w:sz w:val="21"/>
        </w:rPr>
        <w:t>行</w:t>
      </w:r>
      <w:r>
        <w:rPr>
          <w:i/>
          <w:sz w:val="21"/>
        </w:rPr>
        <w:t>了</w:t>
      </w:r>
      <w:r>
        <w:rPr>
          <w:i/>
          <w:spacing w:val="-3"/>
          <w:sz w:val="21"/>
        </w:rPr>
        <w:t>重</w:t>
      </w:r>
      <w:r>
        <w:rPr>
          <w:i/>
          <w:sz w:val="21"/>
        </w:rPr>
        <w:t>新约定</w:t>
        <w:tab/>
      </w:r>
      <w:r>
        <w:rPr>
          <w:sz w:val="21"/>
        </w:rPr>
        <w:t>5.1</w:t>
      </w:r>
    </w:p>
    <w:p>
      <w:pPr>
        <w:pStyle w:val="ListParagraph"/>
        <w:numPr>
          <w:ilvl w:val="0"/>
          <w:numId w:val="1"/>
        </w:numPr>
        <w:tabs>
          <w:tab w:pos="921" w:val="left" w:leader="none"/>
          <w:tab w:pos="922" w:val="left" w:leader="none"/>
          <w:tab w:pos="9220" w:val="right" w:leader="dot"/>
        </w:tabs>
        <w:spacing w:line="240" w:lineRule="auto" w:before="29" w:after="0"/>
        <w:ind w:left="921" w:right="0" w:hanging="398"/>
        <w:jc w:val="left"/>
        <w:rPr>
          <w:sz w:val="21"/>
        </w:rPr>
      </w:pPr>
      <w:r>
        <w:rPr>
          <w:i/>
          <w:spacing w:val="-3"/>
          <w:sz w:val="21"/>
        </w:rPr>
        <w:t>本</w:t>
      </w:r>
      <w:r>
        <w:rPr>
          <w:i/>
          <w:sz w:val="21"/>
        </w:rPr>
        <w:t>附加</w:t>
      </w:r>
      <w:r>
        <w:rPr>
          <w:i/>
          <w:spacing w:val="-3"/>
          <w:sz w:val="21"/>
        </w:rPr>
        <w:t>合</w:t>
      </w:r>
      <w:r>
        <w:rPr>
          <w:i/>
          <w:sz w:val="21"/>
        </w:rPr>
        <w:t>同</w:t>
      </w:r>
      <w:r>
        <w:rPr>
          <w:i/>
          <w:spacing w:val="-3"/>
          <w:sz w:val="21"/>
        </w:rPr>
        <w:t>对</w:t>
      </w:r>
      <w:r>
        <w:rPr>
          <w:i/>
          <w:sz w:val="21"/>
        </w:rPr>
        <w:t>重</w:t>
      </w:r>
      <w:r>
        <w:rPr>
          <w:i/>
          <w:spacing w:val="-3"/>
          <w:sz w:val="21"/>
        </w:rPr>
        <w:t>大疾</w:t>
      </w:r>
      <w:r>
        <w:rPr>
          <w:i/>
          <w:sz w:val="21"/>
        </w:rPr>
        <w:t>病进</w:t>
      </w:r>
      <w:r>
        <w:rPr>
          <w:i/>
          <w:spacing w:val="-3"/>
          <w:sz w:val="21"/>
        </w:rPr>
        <w:t>行</w:t>
      </w:r>
      <w:r>
        <w:rPr>
          <w:i/>
          <w:sz w:val="21"/>
        </w:rPr>
        <w:t>了</w:t>
      </w:r>
      <w:r>
        <w:rPr>
          <w:i/>
          <w:spacing w:val="-3"/>
          <w:sz w:val="21"/>
        </w:rPr>
        <w:t>明</w:t>
      </w:r>
      <w:r>
        <w:rPr>
          <w:i/>
          <w:sz w:val="21"/>
        </w:rPr>
        <w:t>确</w:t>
      </w:r>
      <w:r>
        <w:rPr>
          <w:i/>
          <w:spacing w:val="-3"/>
          <w:sz w:val="21"/>
        </w:rPr>
        <w:t>定</w:t>
      </w:r>
      <w:r>
        <w:rPr>
          <w:i/>
          <w:sz w:val="21"/>
        </w:rPr>
        <w:t>义</w:t>
      </w:r>
      <w:r>
        <w:rPr>
          <w:i/>
          <w:spacing w:val="-3"/>
          <w:sz w:val="21"/>
        </w:rPr>
        <w:t>，</w:t>
      </w:r>
      <w:r>
        <w:rPr>
          <w:i/>
          <w:sz w:val="21"/>
        </w:rPr>
        <w:t>请</w:t>
      </w:r>
      <w:r>
        <w:rPr>
          <w:i/>
          <w:spacing w:val="-3"/>
          <w:sz w:val="21"/>
        </w:rPr>
        <w:t>您</w:t>
      </w:r>
      <w:r>
        <w:rPr>
          <w:i/>
          <w:sz w:val="21"/>
        </w:rPr>
        <w:t>留意</w:t>
        <w:tab/>
      </w:r>
      <w:r>
        <w:rPr>
          <w:sz w:val="21"/>
        </w:rPr>
        <w:t>8.4</w:t>
      </w:r>
    </w:p>
    <w:p>
      <w:pPr>
        <w:pStyle w:val="ListParagraph"/>
        <w:numPr>
          <w:ilvl w:val="0"/>
          <w:numId w:val="1"/>
        </w:numPr>
        <w:tabs>
          <w:tab w:pos="921" w:val="left" w:leader="none"/>
          <w:tab w:pos="922" w:val="left" w:leader="none"/>
          <w:tab w:pos="9220" w:val="right" w:leader="dot"/>
        </w:tabs>
        <w:spacing w:line="240" w:lineRule="auto" w:before="32" w:after="0"/>
        <w:ind w:left="921" w:right="0" w:hanging="398"/>
        <w:jc w:val="left"/>
        <w:rPr>
          <w:sz w:val="21"/>
        </w:rPr>
      </w:pPr>
      <w:r>
        <w:rPr>
          <w:i/>
          <w:spacing w:val="-3"/>
          <w:sz w:val="21"/>
        </w:rPr>
        <w:t>主</w:t>
      </w:r>
      <w:r>
        <w:rPr>
          <w:i/>
          <w:sz w:val="21"/>
        </w:rPr>
        <w:t>保险</w:t>
      </w:r>
      <w:r>
        <w:rPr>
          <w:i/>
          <w:spacing w:val="-3"/>
          <w:sz w:val="21"/>
        </w:rPr>
        <w:t>合</w:t>
      </w:r>
      <w:r>
        <w:rPr>
          <w:i/>
          <w:sz w:val="21"/>
        </w:rPr>
        <w:t>同</w:t>
      </w:r>
      <w:r>
        <w:rPr>
          <w:i/>
          <w:spacing w:val="-3"/>
          <w:sz w:val="21"/>
        </w:rPr>
        <w:t>的</w:t>
      </w:r>
      <w:r>
        <w:rPr>
          <w:i/>
          <w:sz w:val="21"/>
        </w:rPr>
        <w:t>某</w:t>
      </w:r>
      <w:r>
        <w:rPr>
          <w:i/>
          <w:spacing w:val="-3"/>
          <w:sz w:val="21"/>
        </w:rPr>
        <w:t>些变</w:t>
      </w:r>
      <w:r>
        <w:rPr>
          <w:i/>
          <w:sz w:val="21"/>
        </w:rPr>
        <w:t>动会</w:t>
      </w:r>
      <w:r>
        <w:rPr>
          <w:i/>
          <w:spacing w:val="-3"/>
          <w:sz w:val="21"/>
        </w:rPr>
        <w:t>导</w:t>
      </w:r>
      <w:r>
        <w:rPr>
          <w:i/>
          <w:sz w:val="21"/>
        </w:rPr>
        <w:t>致</w:t>
      </w:r>
      <w:r>
        <w:rPr>
          <w:i/>
          <w:spacing w:val="-3"/>
          <w:sz w:val="21"/>
        </w:rPr>
        <w:t>本</w:t>
      </w:r>
      <w:r>
        <w:rPr>
          <w:i/>
          <w:sz w:val="21"/>
        </w:rPr>
        <w:t>附</w:t>
      </w:r>
      <w:r>
        <w:rPr>
          <w:i/>
          <w:spacing w:val="-3"/>
          <w:sz w:val="21"/>
        </w:rPr>
        <w:t>加</w:t>
      </w:r>
      <w:r>
        <w:rPr>
          <w:i/>
          <w:sz w:val="21"/>
        </w:rPr>
        <w:t>合</w:t>
      </w:r>
      <w:r>
        <w:rPr>
          <w:i/>
          <w:spacing w:val="-3"/>
          <w:sz w:val="21"/>
        </w:rPr>
        <w:t>同</w:t>
      </w:r>
      <w:r>
        <w:rPr>
          <w:i/>
          <w:sz w:val="21"/>
        </w:rPr>
        <w:t>效</w:t>
      </w:r>
      <w:r>
        <w:rPr>
          <w:i/>
          <w:spacing w:val="-3"/>
          <w:sz w:val="21"/>
        </w:rPr>
        <w:t>力</w:t>
      </w:r>
      <w:r>
        <w:rPr>
          <w:i/>
          <w:sz w:val="21"/>
        </w:rPr>
        <w:t>终止</w:t>
        <w:tab/>
      </w:r>
      <w:r>
        <w:rPr>
          <w:sz w:val="21"/>
        </w:rPr>
        <w:t>7.5</w:t>
      </w:r>
    </w:p>
    <w:p>
      <w:pPr>
        <w:pStyle w:val="ListParagraph"/>
        <w:numPr>
          <w:ilvl w:val="0"/>
          <w:numId w:val="1"/>
        </w:numPr>
        <w:tabs>
          <w:tab w:pos="921" w:val="left" w:leader="none"/>
          <w:tab w:pos="922" w:val="left" w:leader="none"/>
          <w:tab w:pos="9115" w:val="right" w:leader="dot"/>
        </w:tabs>
        <w:spacing w:line="240" w:lineRule="auto" w:before="29" w:after="0"/>
        <w:ind w:left="921" w:right="0" w:hanging="398"/>
        <w:jc w:val="left"/>
        <w:rPr>
          <w:sz w:val="21"/>
        </w:rPr>
      </w:pPr>
      <w:r>
        <w:rPr>
          <w:i/>
          <w:spacing w:val="-3"/>
          <w:sz w:val="21"/>
        </w:rPr>
        <w:t>我</w:t>
      </w:r>
      <w:r>
        <w:rPr>
          <w:i/>
          <w:sz w:val="21"/>
        </w:rPr>
        <w:t>们对</w:t>
      </w:r>
      <w:r>
        <w:rPr>
          <w:i/>
          <w:spacing w:val="-3"/>
          <w:sz w:val="21"/>
        </w:rPr>
        <w:t>一</w:t>
      </w:r>
      <w:r>
        <w:rPr>
          <w:i/>
          <w:sz w:val="21"/>
        </w:rPr>
        <w:t>些</w:t>
      </w:r>
      <w:r>
        <w:rPr>
          <w:i/>
          <w:spacing w:val="-3"/>
          <w:sz w:val="21"/>
        </w:rPr>
        <w:t>重</w:t>
      </w:r>
      <w:r>
        <w:rPr>
          <w:i/>
          <w:sz w:val="21"/>
        </w:rPr>
        <w:t>要</w:t>
      </w:r>
      <w:r>
        <w:rPr>
          <w:i/>
          <w:spacing w:val="-3"/>
          <w:sz w:val="21"/>
        </w:rPr>
        <w:t>术语</w:t>
      </w:r>
      <w:r>
        <w:rPr>
          <w:i/>
          <w:sz w:val="21"/>
        </w:rPr>
        <w:t>进行</w:t>
      </w:r>
      <w:r>
        <w:rPr>
          <w:i/>
          <w:spacing w:val="-3"/>
          <w:sz w:val="21"/>
        </w:rPr>
        <w:t>了</w:t>
      </w:r>
      <w:r>
        <w:rPr>
          <w:i/>
          <w:sz w:val="21"/>
        </w:rPr>
        <w:t>解</w:t>
      </w:r>
      <w:r>
        <w:rPr>
          <w:i/>
          <w:spacing w:val="-3"/>
          <w:sz w:val="21"/>
        </w:rPr>
        <w:t>释</w:t>
      </w:r>
      <w:r>
        <w:rPr>
          <w:i/>
          <w:sz w:val="21"/>
        </w:rPr>
        <w:t>，</w:t>
      </w:r>
      <w:r>
        <w:rPr>
          <w:i/>
          <w:spacing w:val="-3"/>
          <w:sz w:val="21"/>
        </w:rPr>
        <w:t>并</w:t>
      </w:r>
      <w:r>
        <w:rPr>
          <w:i/>
          <w:sz w:val="21"/>
        </w:rPr>
        <w:t>作</w:t>
      </w:r>
      <w:r>
        <w:rPr>
          <w:i/>
          <w:spacing w:val="-3"/>
          <w:sz w:val="21"/>
        </w:rPr>
        <w:t>了</w:t>
      </w:r>
      <w:r>
        <w:rPr>
          <w:i/>
          <w:sz w:val="21"/>
        </w:rPr>
        <w:t>显</w:t>
      </w:r>
      <w:r>
        <w:rPr>
          <w:i/>
          <w:spacing w:val="-3"/>
          <w:sz w:val="21"/>
        </w:rPr>
        <w:t>著</w:t>
      </w:r>
      <w:r>
        <w:rPr>
          <w:i/>
          <w:sz w:val="21"/>
        </w:rPr>
        <w:t>标识</w:t>
      </w:r>
      <w:r>
        <w:rPr>
          <w:i/>
          <w:spacing w:val="-3"/>
          <w:sz w:val="21"/>
        </w:rPr>
        <w:t>，</w:t>
      </w:r>
      <w:r>
        <w:rPr>
          <w:i/>
          <w:sz w:val="21"/>
        </w:rPr>
        <w:t>请</w:t>
      </w:r>
      <w:r>
        <w:rPr>
          <w:i/>
          <w:spacing w:val="-3"/>
          <w:sz w:val="21"/>
        </w:rPr>
        <w:t>您</w:t>
      </w:r>
      <w:r>
        <w:rPr>
          <w:i/>
          <w:sz w:val="21"/>
        </w:rPr>
        <w:t>注意</w:t>
        <w:tab/>
      </w:r>
      <w:r>
        <w:rPr>
          <w:sz w:val="21"/>
        </w:rPr>
        <w:t>8</w:t>
      </w:r>
    </w:p>
    <w:p>
      <w:pPr>
        <w:tabs>
          <w:tab w:pos="662" w:val="left" w:leader="none"/>
        </w:tabs>
        <w:spacing w:before="128"/>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pacing w:val="-3"/>
          <w:sz w:val="21"/>
        </w:rPr>
        <w:t>条款是保险合同的重要内容，为充分保障您的权益，请您仔细阅读本条款。</w:t>
      </w:r>
    </w:p>
    <w:p>
      <w:pPr>
        <w:tabs>
          <w:tab w:pos="662" w:val="left" w:leader="none"/>
        </w:tabs>
        <w:spacing w:before="224"/>
        <w:ind w:left="103" w:right="0" w:firstLine="0"/>
        <w:jc w:val="left"/>
        <w:rPr>
          <w:b/>
          <w:sz w:val="21"/>
        </w:rPr>
      </w:pPr>
      <w:r>
        <w:rPr>
          <w:rFonts w:ascii="Wingdings" w:hAnsi="Wingdings" w:eastAsia="Wingdings"/>
          <w:sz w:val="36"/>
        </w:rPr>
        <w:t></w:t>
      </w:r>
      <w:r>
        <w:rPr>
          <w:rFonts w:ascii="Times New Roman" w:hAnsi="Times New Roman" w:eastAsia="Times New Roman"/>
          <w:sz w:val="36"/>
        </w:rPr>
        <w:tab/>
      </w:r>
      <w:r>
        <w:rPr>
          <w:b/>
          <w:sz w:val="21"/>
        </w:rPr>
        <w:t>条款目录</w:t>
      </w:r>
    </w:p>
    <w:p>
      <w:pPr>
        <w:pStyle w:val="BodyText"/>
        <w:spacing w:before="1"/>
        <w:rPr>
          <w:b/>
          <w:i w:val="0"/>
          <w:sz w:val="16"/>
        </w:rPr>
      </w:pPr>
    </w:p>
    <w:tbl>
      <w:tblPr>
        <w:tblW w:w="0" w:type="auto"/>
        <w:jc w:val="left"/>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27"/>
        <w:gridCol w:w="3135"/>
        <w:gridCol w:w="3011"/>
      </w:tblGrid>
      <w:tr>
        <w:trPr>
          <w:trHeight w:val="5795" w:hRule="atLeast"/>
        </w:trPr>
        <w:tc>
          <w:tcPr>
            <w:tcW w:w="3027" w:type="dxa"/>
          </w:tcPr>
          <w:p>
            <w:pPr>
              <w:pStyle w:val="TableParagraph"/>
              <w:numPr>
                <w:ilvl w:val="0"/>
                <w:numId w:val="2"/>
              </w:numPr>
              <w:tabs>
                <w:tab w:pos="624" w:val="left" w:leader="none"/>
                <w:tab w:pos="625" w:val="left" w:leader="none"/>
              </w:tabs>
              <w:spacing w:line="211" w:lineRule="exact" w:before="0" w:after="0"/>
              <w:ind w:left="624" w:right="0" w:hanging="422"/>
              <w:jc w:val="left"/>
              <w:rPr>
                <w:b/>
                <w:sz w:val="21"/>
              </w:rPr>
            </w:pPr>
            <w:r>
              <w:rPr>
                <w:b/>
                <w:sz w:val="21"/>
              </w:rPr>
              <w:t>您与我们的附加合同</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3"/>
                <w:sz w:val="21"/>
              </w:rPr>
              <w:t>附加合同说明</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3"/>
                <w:sz w:val="21"/>
              </w:rPr>
              <w:t>附加合同构成</w:t>
            </w:r>
          </w:p>
          <w:p>
            <w:pPr>
              <w:pStyle w:val="TableParagraph"/>
              <w:numPr>
                <w:ilvl w:val="1"/>
                <w:numId w:val="2"/>
              </w:numPr>
              <w:tabs>
                <w:tab w:pos="937" w:val="left" w:leader="none"/>
                <w:tab w:pos="938" w:val="left" w:leader="none"/>
              </w:tabs>
              <w:spacing w:line="240" w:lineRule="auto" w:before="37" w:after="0"/>
              <w:ind w:left="937" w:right="0" w:hanging="526"/>
              <w:jc w:val="left"/>
              <w:rPr>
                <w:i/>
                <w:sz w:val="21"/>
              </w:rPr>
            </w:pPr>
            <w:r>
              <w:rPr>
                <w:i/>
                <w:spacing w:val="-3"/>
                <w:sz w:val="21"/>
              </w:rPr>
              <w:t>附加合同生效</w:t>
            </w:r>
          </w:p>
          <w:p>
            <w:pPr>
              <w:pStyle w:val="TableParagraph"/>
              <w:numPr>
                <w:ilvl w:val="0"/>
                <w:numId w:val="2"/>
              </w:numPr>
              <w:tabs>
                <w:tab w:pos="624" w:val="left" w:leader="none"/>
                <w:tab w:pos="625" w:val="left" w:leader="none"/>
              </w:tabs>
              <w:spacing w:line="240" w:lineRule="auto" w:before="37" w:after="0"/>
              <w:ind w:left="624" w:right="0" w:hanging="422"/>
              <w:jc w:val="left"/>
              <w:rPr>
                <w:b/>
                <w:sz w:val="21"/>
              </w:rPr>
            </w:pPr>
            <w:r>
              <w:rPr>
                <w:b/>
                <w:sz w:val="21"/>
              </w:rPr>
              <w:t>您获得的保障</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2"/>
                <w:sz w:val="21"/>
              </w:rPr>
              <w:t>保险金额</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2"/>
                <w:sz w:val="21"/>
              </w:rPr>
              <w:t>保险期间</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2"/>
                <w:sz w:val="21"/>
              </w:rPr>
              <w:t>保险责任</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2"/>
                <w:sz w:val="21"/>
              </w:rPr>
              <w:t>责任免除</w:t>
            </w:r>
          </w:p>
          <w:p>
            <w:pPr>
              <w:pStyle w:val="TableParagraph"/>
              <w:numPr>
                <w:ilvl w:val="0"/>
                <w:numId w:val="2"/>
              </w:numPr>
              <w:tabs>
                <w:tab w:pos="624" w:val="left" w:leader="none"/>
                <w:tab w:pos="625" w:val="left" w:leader="none"/>
              </w:tabs>
              <w:spacing w:line="240" w:lineRule="auto" w:before="37" w:after="0"/>
              <w:ind w:left="624" w:right="0" w:hanging="422"/>
              <w:jc w:val="left"/>
              <w:rPr>
                <w:b/>
                <w:sz w:val="21"/>
              </w:rPr>
            </w:pPr>
            <w:r>
              <w:rPr>
                <w:b/>
                <w:sz w:val="21"/>
              </w:rPr>
              <w:t>风险保障费用的收取</w:t>
            </w:r>
          </w:p>
          <w:p>
            <w:pPr>
              <w:pStyle w:val="TableParagraph"/>
              <w:numPr>
                <w:ilvl w:val="1"/>
                <w:numId w:val="2"/>
              </w:numPr>
              <w:tabs>
                <w:tab w:pos="936" w:val="left" w:leader="none"/>
                <w:tab w:pos="937" w:val="left" w:leader="none"/>
              </w:tabs>
              <w:spacing w:line="240" w:lineRule="auto" w:before="37" w:after="0"/>
              <w:ind w:left="936" w:right="0" w:hanging="525"/>
              <w:jc w:val="left"/>
              <w:rPr>
                <w:i/>
                <w:sz w:val="21"/>
              </w:rPr>
            </w:pPr>
            <w:r>
              <w:rPr>
                <w:i/>
                <w:spacing w:val="-3"/>
                <w:sz w:val="21"/>
              </w:rPr>
              <w:t>风险保障费用的收取</w:t>
            </w:r>
          </w:p>
          <w:p>
            <w:pPr>
              <w:pStyle w:val="TableParagraph"/>
              <w:numPr>
                <w:ilvl w:val="1"/>
                <w:numId w:val="2"/>
              </w:numPr>
              <w:tabs>
                <w:tab w:pos="936" w:val="left" w:leader="none"/>
                <w:tab w:pos="938" w:val="left" w:leader="none"/>
              </w:tabs>
              <w:spacing w:line="240" w:lineRule="auto" w:before="37" w:after="0"/>
              <w:ind w:left="937" w:right="0" w:hanging="526"/>
              <w:jc w:val="left"/>
              <w:rPr>
                <w:i/>
                <w:sz w:val="21"/>
              </w:rPr>
            </w:pPr>
            <w:r>
              <w:rPr>
                <w:i/>
                <w:spacing w:val="-3"/>
                <w:sz w:val="21"/>
              </w:rPr>
              <w:t>风险保障费用的调整</w:t>
            </w:r>
          </w:p>
          <w:p>
            <w:pPr>
              <w:pStyle w:val="TableParagraph"/>
              <w:numPr>
                <w:ilvl w:val="0"/>
                <w:numId w:val="2"/>
              </w:numPr>
              <w:tabs>
                <w:tab w:pos="670" w:val="left" w:leader="none"/>
                <w:tab w:pos="671" w:val="left" w:leader="none"/>
              </w:tabs>
              <w:spacing w:line="273" w:lineRule="auto" w:before="37" w:after="0"/>
              <w:ind w:left="624" w:right="98" w:hanging="422"/>
              <w:jc w:val="left"/>
              <w:rPr>
                <w:b/>
                <w:sz w:val="21"/>
              </w:rPr>
            </w:pPr>
            <w:r>
              <w:rPr>
                <w:b/>
                <w:spacing w:val="12"/>
                <w:sz w:val="21"/>
              </w:rPr>
              <w:t>您对本附加合同拥有的</w:t>
            </w:r>
            <w:r>
              <w:rPr>
                <w:b/>
                <w:sz w:val="21"/>
              </w:rPr>
              <w:t>权利</w:t>
            </w:r>
          </w:p>
          <w:p>
            <w:pPr>
              <w:pStyle w:val="TableParagraph"/>
              <w:numPr>
                <w:ilvl w:val="1"/>
                <w:numId w:val="2"/>
              </w:numPr>
              <w:tabs>
                <w:tab w:pos="936" w:val="left" w:leader="none"/>
                <w:tab w:pos="937" w:val="left" w:leader="none"/>
              </w:tabs>
              <w:spacing w:line="240" w:lineRule="auto" w:before="7" w:after="0"/>
              <w:ind w:left="936" w:right="0" w:hanging="525"/>
              <w:jc w:val="left"/>
              <w:rPr>
                <w:i/>
                <w:sz w:val="21"/>
              </w:rPr>
            </w:pPr>
            <w:r>
              <w:rPr>
                <w:i/>
                <w:spacing w:val="-2"/>
                <w:sz w:val="21"/>
              </w:rPr>
              <w:t>犹豫期</w:t>
            </w:r>
          </w:p>
          <w:p>
            <w:pPr>
              <w:pStyle w:val="TableParagraph"/>
              <w:numPr>
                <w:ilvl w:val="1"/>
                <w:numId w:val="2"/>
              </w:numPr>
              <w:tabs>
                <w:tab w:pos="936" w:val="left" w:leader="none"/>
                <w:tab w:pos="937" w:val="left" w:leader="none"/>
              </w:tabs>
              <w:spacing w:line="240" w:lineRule="auto" w:before="36" w:after="0"/>
              <w:ind w:left="936" w:right="0" w:hanging="525"/>
              <w:jc w:val="left"/>
              <w:rPr>
                <w:i/>
                <w:sz w:val="21"/>
              </w:rPr>
            </w:pPr>
            <w:r>
              <w:rPr>
                <w:i/>
                <w:spacing w:val="-3"/>
                <w:sz w:val="21"/>
              </w:rPr>
              <w:t>附加合同的解除</w:t>
            </w:r>
          </w:p>
          <w:p>
            <w:pPr>
              <w:pStyle w:val="TableParagraph"/>
              <w:numPr>
                <w:ilvl w:val="0"/>
                <w:numId w:val="2"/>
              </w:numPr>
              <w:tabs>
                <w:tab w:pos="622" w:val="left" w:leader="none"/>
                <w:tab w:pos="623" w:val="left" w:leader="none"/>
              </w:tabs>
              <w:spacing w:line="240" w:lineRule="auto" w:before="27" w:after="0"/>
              <w:ind w:left="622" w:right="0" w:hanging="422"/>
              <w:jc w:val="left"/>
              <w:rPr>
                <w:b/>
                <w:sz w:val="21"/>
              </w:rPr>
            </w:pPr>
            <w:r>
              <w:rPr>
                <w:b/>
                <w:spacing w:val="-1"/>
                <w:sz w:val="21"/>
              </w:rPr>
              <w:t>合同效力的中止和恢复</w:t>
            </w:r>
          </w:p>
          <w:p>
            <w:pPr>
              <w:pStyle w:val="TableParagraph"/>
              <w:numPr>
                <w:ilvl w:val="1"/>
                <w:numId w:val="2"/>
              </w:numPr>
              <w:tabs>
                <w:tab w:pos="936" w:val="left" w:leader="none"/>
                <w:tab w:pos="937" w:val="left" w:leader="none"/>
              </w:tabs>
              <w:spacing w:line="240" w:lineRule="auto" w:before="15" w:after="0"/>
              <w:ind w:left="936" w:right="0" w:hanging="525"/>
              <w:jc w:val="left"/>
              <w:rPr>
                <w:i/>
                <w:sz w:val="21"/>
              </w:rPr>
            </w:pPr>
            <w:r>
              <w:rPr>
                <w:i/>
                <w:spacing w:val="-2"/>
                <w:sz w:val="21"/>
              </w:rPr>
              <w:t>宽限期间</w:t>
            </w:r>
          </w:p>
          <w:p>
            <w:pPr>
              <w:pStyle w:val="TableParagraph"/>
              <w:numPr>
                <w:ilvl w:val="1"/>
                <w:numId w:val="2"/>
              </w:numPr>
              <w:tabs>
                <w:tab w:pos="936" w:val="left" w:leader="none"/>
                <w:tab w:pos="937" w:val="left" w:leader="none"/>
              </w:tabs>
              <w:spacing w:line="255" w:lineRule="exact" w:before="37" w:after="0"/>
              <w:ind w:left="936" w:right="0" w:hanging="525"/>
              <w:jc w:val="left"/>
              <w:rPr>
                <w:i/>
                <w:sz w:val="21"/>
              </w:rPr>
            </w:pPr>
            <w:r>
              <w:rPr>
                <w:i/>
                <w:spacing w:val="-2"/>
                <w:sz w:val="21"/>
              </w:rPr>
              <w:t>效力中止</w:t>
            </w:r>
          </w:p>
        </w:tc>
        <w:tc>
          <w:tcPr>
            <w:tcW w:w="3135" w:type="dxa"/>
          </w:tcPr>
          <w:p>
            <w:pPr>
              <w:pStyle w:val="TableParagraph"/>
              <w:tabs>
                <w:tab w:pos="837" w:val="left" w:leader="none"/>
              </w:tabs>
              <w:spacing w:line="211" w:lineRule="exact" w:before="0"/>
              <w:ind w:left="312"/>
              <w:rPr>
                <w:i/>
                <w:sz w:val="21"/>
              </w:rPr>
            </w:pPr>
            <w:r>
              <w:rPr>
                <w:sz w:val="21"/>
              </w:rPr>
              <w:t>5.3</w:t>
              <w:tab/>
            </w:r>
            <w:r>
              <w:rPr>
                <w:i/>
                <w:spacing w:val="-2"/>
                <w:sz w:val="21"/>
              </w:rPr>
              <w:t>效力恢复</w:t>
            </w:r>
          </w:p>
          <w:p>
            <w:pPr>
              <w:pStyle w:val="TableParagraph"/>
              <w:numPr>
                <w:ilvl w:val="0"/>
                <w:numId w:val="3"/>
              </w:numPr>
              <w:tabs>
                <w:tab w:pos="523" w:val="left" w:leader="none"/>
                <w:tab w:pos="524" w:val="left" w:leader="none"/>
              </w:tabs>
              <w:spacing w:line="240" w:lineRule="auto" w:before="37" w:after="0"/>
              <w:ind w:left="523" w:right="0" w:hanging="422"/>
              <w:jc w:val="left"/>
              <w:rPr>
                <w:b/>
                <w:sz w:val="21"/>
              </w:rPr>
            </w:pPr>
            <w:r>
              <w:rPr>
                <w:b/>
                <w:sz w:val="21"/>
              </w:rPr>
              <w:t>如何申请领取保险金</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受益人指定与变更</w:t>
            </w:r>
          </w:p>
          <w:p>
            <w:pPr>
              <w:pStyle w:val="TableParagraph"/>
              <w:numPr>
                <w:ilvl w:val="1"/>
                <w:numId w:val="3"/>
              </w:numPr>
              <w:tabs>
                <w:tab w:pos="837" w:val="left" w:leader="none"/>
                <w:tab w:pos="839" w:val="left" w:leader="none"/>
              </w:tabs>
              <w:spacing w:line="240" w:lineRule="auto" w:before="37" w:after="0"/>
              <w:ind w:left="838" w:right="0" w:hanging="526"/>
              <w:jc w:val="left"/>
              <w:rPr>
                <w:i/>
                <w:sz w:val="21"/>
              </w:rPr>
            </w:pPr>
            <w:r>
              <w:rPr>
                <w:i/>
                <w:spacing w:val="-3"/>
                <w:sz w:val="21"/>
              </w:rPr>
              <w:t>保险金申请时效</w:t>
            </w:r>
          </w:p>
          <w:p>
            <w:pPr>
              <w:pStyle w:val="TableParagraph"/>
              <w:numPr>
                <w:ilvl w:val="1"/>
                <w:numId w:val="3"/>
              </w:numPr>
              <w:tabs>
                <w:tab w:pos="837" w:val="left" w:leader="none"/>
                <w:tab w:pos="839" w:val="left" w:leader="none"/>
              </w:tabs>
              <w:spacing w:line="240" w:lineRule="auto" w:before="37" w:after="0"/>
              <w:ind w:left="838" w:right="0" w:hanging="526"/>
              <w:jc w:val="left"/>
              <w:rPr>
                <w:i/>
                <w:sz w:val="21"/>
              </w:rPr>
            </w:pPr>
            <w:r>
              <w:rPr>
                <w:i/>
                <w:spacing w:val="-3"/>
                <w:sz w:val="21"/>
              </w:rPr>
              <w:t>保险金申请</w:t>
            </w:r>
          </w:p>
          <w:p>
            <w:pPr>
              <w:pStyle w:val="TableParagraph"/>
              <w:numPr>
                <w:ilvl w:val="0"/>
                <w:numId w:val="3"/>
              </w:numPr>
              <w:tabs>
                <w:tab w:pos="523" w:val="left" w:leader="none"/>
                <w:tab w:pos="524" w:val="left" w:leader="none"/>
              </w:tabs>
              <w:spacing w:line="240" w:lineRule="auto" w:before="37" w:after="0"/>
              <w:ind w:left="523" w:right="0" w:hanging="422"/>
              <w:jc w:val="left"/>
              <w:rPr>
                <w:b/>
                <w:sz w:val="21"/>
              </w:rPr>
            </w:pPr>
            <w:r>
              <w:rPr>
                <w:b/>
                <w:spacing w:val="-1"/>
                <w:sz w:val="21"/>
              </w:rPr>
              <w:t>您需要关注的其他事项</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2"/>
                <w:sz w:val="21"/>
              </w:rPr>
              <w:t>投保范围</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2"/>
                <w:sz w:val="21"/>
              </w:rPr>
              <w:t>如实告知</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年龄计算及错误处理</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pacing w:val="-3"/>
                <w:sz w:val="21"/>
              </w:rPr>
              <w:t>适用主合同条款</w:t>
            </w:r>
          </w:p>
          <w:p>
            <w:pPr>
              <w:pStyle w:val="TableParagraph"/>
              <w:numPr>
                <w:ilvl w:val="1"/>
                <w:numId w:val="3"/>
              </w:numPr>
              <w:tabs>
                <w:tab w:pos="838" w:val="left" w:leader="none"/>
                <w:tab w:pos="839" w:val="left" w:leader="none"/>
              </w:tabs>
              <w:spacing w:line="240" w:lineRule="auto" w:before="37" w:after="0"/>
              <w:ind w:left="838" w:right="0" w:hanging="526"/>
              <w:jc w:val="left"/>
              <w:rPr>
                <w:i/>
                <w:sz w:val="21"/>
              </w:rPr>
            </w:pPr>
            <w:r>
              <w:rPr>
                <w:i/>
                <w:spacing w:val="-3"/>
                <w:sz w:val="21"/>
              </w:rPr>
              <w:t>附加合同的终止</w:t>
            </w:r>
          </w:p>
          <w:p>
            <w:pPr>
              <w:pStyle w:val="TableParagraph"/>
              <w:numPr>
                <w:ilvl w:val="0"/>
                <w:numId w:val="3"/>
              </w:numPr>
              <w:tabs>
                <w:tab w:pos="523" w:val="left" w:leader="none"/>
                <w:tab w:pos="524" w:val="left" w:leader="none"/>
              </w:tabs>
              <w:spacing w:line="240" w:lineRule="auto" w:before="37" w:after="0"/>
              <w:ind w:left="523" w:right="0" w:hanging="422"/>
              <w:jc w:val="left"/>
              <w:rPr>
                <w:b/>
                <w:sz w:val="21"/>
              </w:rPr>
            </w:pPr>
            <w:r>
              <w:rPr>
                <w:b/>
                <w:spacing w:val="-1"/>
                <w:sz w:val="21"/>
              </w:rPr>
              <w:t>您需要了解的重要术语</w:t>
            </w:r>
          </w:p>
          <w:p>
            <w:pPr>
              <w:pStyle w:val="TableParagraph"/>
              <w:numPr>
                <w:ilvl w:val="1"/>
                <w:numId w:val="3"/>
              </w:numPr>
              <w:tabs>
                <w:tab w:pos="837" w:val="left" w:leader="none"/>
                <w:tab w:pos="838" w:val="left" w:leader="none"/>
              </w:tabs>
              <w:spacing w:line="240" w:lineRule="auto" w:before="27" w:after="0"/>
              <w:ind w:left="837" w:right="0" w:hanging="525"/>
              <w:jc w:val="left"/>
              <w:rPr>
                <w:i/>
                <w:sz w:val="21"/>
              </w:rPr>
            </w:pPr>
            <w:r>
              <w:rPr>
                <w:i/>
                <w:spacing w:val="-3"/>
                <w:sz w:val="21"/>
              </w:rPr>
              <w:t>保险单周年日</w:t>
            </w:r>
          </w:p>
          <w:p>
            <w:pPr>
              <w:pStyle w:val="TableParagraph"/>
              <w:numPr>
                <w:ilvl w:val="1"/>
                <w:numId w:val="3"/>
              </w:numPr>
              <w:tabs>
                <w:tab w:pos="837" w:val="left" w:leader="none"/>
                <w:tab w:pos="838" w:val="left" w:leader="none"/>
              </w:tabs>
              <w:spacing w:line="240" w:lineRule="auto" w:before="6" w:after="0"/>
              <w:ind w:left="837" w:right="0" w:hanging="525"/>
              <w:jc w:val="left"/>
              <w:rPr>
                <w:i/>
                <w:sz w:val="21"/>
              </w:rPr>
            </w:pPr>
            <w:r>
              <w:rPr>
                <w:i/>
                <w:spacing w:val="-3"/>
                <w:sz w:val="21"/>
              </w:rPr>
              <w:t>保险单年度</w:t>
            </w:r>
          </w:p>
          <w:p>
            <w:pPr>
              <w:pStyle w:val="TableParagraph"/>
              <w:numPr>
                <w:ilvl w:val="1"/>
                <w:numId w:val="3"/>
              </w:numPr>
              <w:tabs>
                <w:tab w:pos="837" w:val="left" w:leader="none"/>
                <w:tab w:pos="838" w:val="left" w:leader="none"/>
              </w:tabs>
              <w:spacing w:line="240" w:lineRule="auto" w:before="3" w:after="0"/>
              <w:ind w:left="837" w:right="0" w:hanging="525"/>
              <w:jc w:val="left"/>
              <w:rPr>
                <w:i/>
                <w:sz w:val="21"/>
              </w:rPr>
            </w:pPr>
            <w:r>
              <w:rPr>
                <w:i/>
                <w:spacing w:val="-2"/>
                <w:sz w:val="21"/>
              </w:rPr>
              <w:t>意外伤害</w:t>
            </w:r>
          </w:p>
          <w:p>
            <w:pPr>
              <w:pStyle w:val="TableParagraph"/>
              <w:numPr>
                <w:ilvl w:val="1"/>
                <w:numId w:val="3"/>
              </w:numPr>
              <w:tabs>
                <w:tab w:pos="837" w:val="left" w:leader="none"/>
                <w:tab w:pos="838" w:val="left" w:leader="none"/>
              </w:tabs>
              <w:spacing w:line="240" w:lineRule="auto" w:before="15" w:after="0"/>
              <w:ind w:left="837" w:right="0" w:hanging="525"/>
              <w:jc w:val="left"/>
              <w:rPr>
                <w:i/>
                <w:sz w:val="21"/>
              </w:rPr>
            </w:pPr>
            <w:r>
              <w:rPr>
                <w:i/>
                <w:spacing w:val="-2"/>
                <w:sz w:val="21"/>
              </w:rPr>
              <w:t>重大疾病</w:t>
            </w:r>
          </w:p>
          <w:p>
            <w:pPr>
              <w:pStyle w:val="TableParagraph"/>
              <w:numPr>
                <w:ilvl w:val="1"/>
                <w:numId w:val="3"/>
              </w:numPr>
              <w:tabs>
                <w:tab w:pos="837" w:val="left" w:leader="none"/>
                <w:tab w:pos="838" w:val="left" w:leader="none"/>
              </w:tabs>
              <w:spacing w:line="240" w:lineRule="auto" w:before="37" w:after="0"/>
              <w:ind w:left="837" w:right="0" w:hanging="525"/>
              <w:jc w:val="left"/>
              <w:rPr>
                <w:i/>
                <w:sz w:val="21"/>
              </w:rPr>
            </w:pPr>
            <w:r>
              <w:rPr>
                <w:i/>
                <w:sz w:val="21"/>
              </w:rPr>
              <w:t>毒品</w:t>
            </w:r>
          </w:p>
          <w:p>
            <w:pPr>
              <w:pStyle w:val="TableParagraph"/>
              <w:numPr>
                <w:ilvl w:val="1"/>
                <w:numId w:val="3"/>
              </w:numPr>
              <w:tabs>
                <w:tab w:pos="837" w:val="left" w:leader="none"/>
                <w:tab w:pos="839" w:val="left" w:leader="none"/>
              </w:tabs>
              <w:spacing w:line="240" w:lineRule="auto" w:before="27" w:after="0"/>
              <w:ind w:left="838" w:right="0" w:hanging="526"/>
              <w:jc w:val="left"/>
              <w:rPr>
                <w:i/>
                <w:sz w:val="21"/>
              </w:rPr>
            </w:pPr>
            <w:r>
              <w:rPr>
                <w:i/>
                <w:spacing w:val="-2"/>
                <w:sz w:val="21"/>
              </w:rPr>
              <w:t>酒后驾驶</w:t>
            </w:r>
          </w:p>
          <w:p>
            <w:pPr>
              <w:pStyle w:val="TableParagraph"/>
              <w:numPr>
                <w:ilvl w:val="1"/>
                <w:numId w:val="3"/>
              </w:numPr>
              <w:tabs>
                <w:tab w:pos="837" w:val="left" w:leader="none"/>
                <w:tab w:pos="838" w:val="left" w:leader="none"/>
              </w:tabs>
              <w:spacing w:line="240" w:lineRule="auto" w:before="5" w:after="0"/>
              <w:ind w:left="837" w:right="0" w:hanging="525"/>
              <w:jc w:val="left"/>
              <w:rPr>
                <w:i/>
                <w:sz w:val="21"/>
              </w:rPr>
            </w:pPr>
            <w:r>
              <w:rPr>
                <w:i/>
                <w:spacing w:val="-3"/>
                <w:sz w:val="21"/>
              </w:rPr>
              <w:t>无合法有效驾驶证驾驶</w:t>
            </w:r>
          </w:p>
        </w:tc>
        <w:tc>
          <w:tcPr>
            <w:tcW w:w="3011" w:type="dxa"/>
          </w:tcPr>
          <w:p>
            <w:pPr>
              <w:pStyle w:val="TableParagraph"/>
              <w:numPr>
                <w:ilvl w:val="1"/>
                <w:numId w:val="4"/>
              </w:numPr>
              <w:tabs>
                <w:tab w:pos="935" w:val="left" w:leader="none"/>
                <w:tab w:pos="936" w:val="left" w:leader="none"/>
              </w:tabs>
              <w:spacing w:line="211" w:lineRule="exact" w:before="0" w:after="0"/>
              <w:ind w:left="933" w:right="0" w:hanging="523"/>
              <w:jc w:val="left"/>
              <w:rPr>
                <w:i/>
                <w:sz w:val="21"/>
              </w:rPr>
            </w:pPr>
            <w:r>
              <w:rPr>
                <w:i/>
                <w:spacing w:val="-3"/>
                <w:sz w:val="21"/>
              </w:rPr>
              <w:t>无有效行驶证</w:t>
            </w:r>
          </w:p>
          <w:p>
            <w:pPr>
              <w:pStyle w:val="TableParagraph"/>
              <w:numPr>
                <w:ilvl w:val="1"/>
                <w:numId w:val="4"/>
              </w:numPr>
              <w:tabs>
                <w:tab w:pos="935" w:val="left" w:leader="none"/>
                <w:tab w:pos="936" w:val="left" w:leader="none"/>
              </w:tabs>
              <w:spacing w:line="273" w:lineRule="auto" w:before="37" w:after="0"/>
              <w:ind w:left="933" w:right="390" w:hanging="523"/>
              <w:jc w:val="left"/>
              <w:rPr>
                <w:i/>
                <w:sz w:val="21"/>
              </w:rPr>
            </w:pPr>
            <w:r>
              <w:rPr>
                <w:i/>
                <w:spacing w:val="-3"/>
                <w:sz w:val="21"/>
              </w:rPr>
              <w:t>感染艾滋病病毒或患艾滋病</w:t>
            </w:r>
          </w:p>
          <w:p>
            <w:pPr>
              <w:pStyle w:val="TableParagraph"/>
              <w:numPr>
                <w:ilvl w:val="1"/>
                <w:numId w:val="4"/>
              </w:numPr>
              <w:tabs>
                <w:tab w:pos="936" w:val="left" w:leader="none"/>
              </w:tabs>
              <w:spacing w:line="240" w:lineRule="auto" w:before="7" w:after="0"/>
              <w:ind w:left="933" w:right="0" w:hanging="523"/>
              <w:jc w:val="left"/>
              <w:rPr>
                <w:i/>
                <w:sz w:val="21"/>
              </w:rPr>
            </w:pPr>
            <w:r>
              <w:rPr>
                <w:i/>
                <w:spacing w:val="-3"/>
                <w:sz w:val="21"/>
              </w:rPr>
              <w:t>遗传性疾病</w:t>
            </w:r>
          </w:p>
          <w:p>
            <w:pPr>
              <w:pStyle w:val="TableParagraph"/>
              <w:numPr>
                <w:ilvl w:val="1"/>
                <w:numId w:val="4"/>
              </w:numPr>
              <w:tabs>
                <w:tab w:pos="936" w:val="left" w:leader="none"/>
              </w:tabs>
              <w:spacing w:line="273" w:lineRule="auto" w:before="36" w:after="0"/>
              <w:ind w:left="933" w:right="198" w:hanging="523"/>
              <w:jc w:val="left"/>
              <w:rPr>
                <w:i/>
                <w:sz w:val="21"/>
              </w:rPr>
            </w:pPr>
            <w:r>
              <w:rPr>
                <w:i/>
                <w:spacing w:val="-6"/>
                <w:sz w:val="21"/>
              </w:rPr>
              <w:t>先天性畸形、变形及</w:t>
            </w:r>
            <w:r>
              <w:rPr>
                <w:i/>
                <w:spacing w:val="-4"/>
                <w:sz w:val="21"/>
              </w:rPr>
              <w:t>染色体异常</w:t>
            </w:r>
          </w:p>
          <w:p>
            <w:pPr>
              <w:pStyle w:val="TableParagraph"/>
              <w:numPr>
                <w:ilvl w:val="1"/>
                <w:numId w:val="4"/>
              </w:numPr>
              <w:tabs>
                <w:tab w:pos="936" w:val="left" w:leader="none"/>
              </w:tabs>
              <w:spacing w:line="240" w:lineRule="auto" w:before="7" w:after="0"/>
              <w:ind w:left="933" w:right="0" w:hanging="523"/>
              <w:jc w:val="left"/>
              <w:rPr>
                <w:i/>
                <w:sz w:val="21"/>
              </w:rPr>
            </w:pPr>
            <w:r>
              <w:rPr>
                <w:i/>
                <w:sz w:val="21"/>
              </w:rPr>
              <w:t>医院</w:t>
            </w:r>
          </w:p>
          <w:p>
            <w:pPr>
              <w:pStyle w:val="TableParagraph"/>
              <w:numPr>
                <w:ilvl w:val="1"/>
                <w:numId w:val="4"/>
              </w:numPr>
              <w:tabs>
                <w:tab w:pos="936" w:val="left" w:leader="none"/>
              </w:tabs>
              <w:spacing w:line="240" w:lineRule="auto" w:before="37" w:after="0"/>
              <w:ind w:left="935" w:right="0" w:hanging="525"/>
              <w:jc w:val="left"/>
              <w:rPr>
                <w:i/>
                <w:sz w:val="21"/>
              </w:rPr>
            </w:pPr>
            <w:r>
              <w:rPr>
                <w:i/>
                <w:sz w:val="21"/>
              </w:rPr>
              <w:t>周岁</w:t>
            </w:r>
          </w:p>
          <w:p>
            <w:pPr>
              <w:pStyle w:val="TableParagraph"/>
              <w:numPr>
                <w:ilvl w:val="1"/>
                <w:numId w:val="4"/>
              </w:numPr>
              <w:tabs>
                <w:tab w:pos="884" w:val="left" w:leader="none"/>
              </w:tabs>
              <w:spacing w:line="240" w:lineRule="auto" w:before="37" w:after="0"/>
              <w:ind w:left="883" w:right="0" w:hanging="473"/>
              <w:jc w:val="left"/>
              <w:rPr>
                <w:i/>
                <w:sz w:val="21"/>
              </w:rPr>
            </w:pPr>
            <w:r>
              <w:rPr>
                <w:i/>
                <w:spacing w:val="-2"/>
                <w:sz w:val="21"/>
              </w:rPr>
              <w:t>专科医生</w:t>
            </w:r>
          </w:p>
          <w:p>
            <w:pPr>
              <w:pStyle w:val="TableParagraph"/>
              <w:numPr>
                <w:ilvl w:val="1"/>
                <w:numId w:val="4"/>
              </w:numPr>
              <w:tabs>
                <w:tab w:pos="937" w:val="left" w:leader="none"/>
              </w:tabs>
              <w:spacing w:line="240" w:lineRule="auto" w:before="37" w:after="0"/>
              <w:ind w:left="936" w:right="0" w:hanging="526"/>
              <w:jc w:val="left"/>
              <w:rPr>
                <w:i/>
                <w:sz w:val="21"/>
              </w:rPr>
            </w:pPr>
            <w:r>
              <w:rPr>
                <w:i/>
                <w:spacing w:val="-3"/>
                <w:sz w:val="21"/>
              </w:rPr>
              <w:t>肢体机能完全丧失</w:t>
            </w:r>
          </w:p>
          <w:p>
            <w:pPr>
              <w:pStyle w:val="TableParagraph"/>
              <w:numPr>
                <w:ilvl w:val="1"/>
                <w:numId w:val="4"/>
              </w:numPr>
              <w:tabs>
                <w:tab w:pos="937" w:val="left" w:leader="none"/>
              </w:tabs>
              <w:spacing w:line="273" w:lineRule="auto" w:before="37" w:after="0"/>
              <w:ind w:left="931" w:right="390" w:hanging="521"/>
              <w:jc w:val="left"/>
              <w:rPr>
                <w:i/>
                <w:sz w:val="21"/>
              </w:rPr>
            </w:pPr>
            <w:r>
              <w:rPr>
                <w:i/>
                <w:spacing w:val="-3"/>
                <w:sz w:val="21"/>
              </w:rPr>
              <w:t>语言能力或咀嚼吞咽能力完全丧失</w:t>
            </w:r>
          </w:p>
          <w:p>
            <w:pPr>
              <w:pStyle w:val="TableParagraph"/>
              <w:numPr>
                <w:ilvl w:val="1"/>
                <w:numId w:val="4"/>
              </w:numPr>
              <w:tabs>
                <w:tab w:pos="961" w:val="left" w:leader="none"/>
              </w:tabs>
              <w:spacing w:line="273" w:lineRule="auto" w:before="7" w:after="0"/>
              <w:ind w:left="931" w:right="198" w:hanging="521"/>
              <w:jc w:val="left"/>
              <w:rPr>
                <w:i/>
                <w:sz w:val="21"/>
              </w:rPr>
            </w:pPr>
            <w:r>
              <w:rPr>
                <w:i/>
                <w:spacing w:val="16"/>
                <w:sz w:val="21"/>
              </w:rPr>
              <w:t>六项基本日常生活活动</w:t>
            </w:r>
          </w:p>
          <w:p>
            <w:pPr>
              <w:pStyle w:val="TableParagraph"/>
              <w:numPr>
                <w:ilvl w:val="1"/>
                <w:numId w:val="4"/>
              </w:numPr>
              <w:tabs>
                <w:tab w:pos="937" w:val="left" w:leader="none"/>
              </w:tabs>
              <w:spacing w:line="240" w:lineRule="auto" w:before="7" w:after="0"/>
              <w:ind w:left="936" w:right="0" w:hanging="526"/>
              <w:jc w:val="left"/>
              <w:rPr>
                <w:i/>
                <w:sz w:val="21"/>
              </w:rPr>
            </w:pPr>
            <w:r>
              <w:rPr>
                <w:i/>
                <w:spacing w:val="-3"/>
                <w:sz w:val="21"/>
              </w:rPr>
              <w:t>永久不可逆</w:t>
            </w:r>
          </w:p>
          <w:p>
            <w:pPr>
              <w:pStyle w:val="TableParagraph"/>
              <w:tabs>
                <w:tab w:pos="832" w:val="left" w:leader="none"/>
              </w:tabs>
              <w:spacing w:before="38"/>
              <w:ind w:left="198"/>
              <w:rPr>
                <w:b/>
                <w:sz w:val="21"/>
              </w:rPr>
            </w:pPr>
            <w:r>
              <w:rPr>
                <w:b/>
                <w:sz w:val="21"/>
              </w:rPr>
              <w:t>附表</w:t>
              <w:tab/>
              <w:t>年风险保障</w:t>
            </w:r>
            <w:r>
              <w:rPr>
                <w:b/>
                <w:spacing w:val="-3"/>
                <w:sz w:val="21"/>
              </w:rPr>
              <w:t>费</w:t>
            </w:r>
            <w:r>
              <w:rPr>
                <w:b/>
                <w:sz w:val="21"/>
              </w:rPr>
              <w:t>用表</w:t>
            </w:r>
          </w:p>
        </w:tc>
      </w:tr>
    </w:tbl>
    <w:p>
      <w:pPr>
        <w:spacing w:after="0"/>
        <w:rPr>
          <w:sz w:val="21"/>
        </w:rPr>
        <w:sectPr>
          <w:type w:val="continuous"/>
          <w:pgSz w:w="11910" w:h="16840"/>
          <w:pgMar w:top="1040" w:bottom="1120" w:left="1200" w:right="700"/>
        </w:sectPr>
      </w:pPr>
    </w:p>
    <w:p>
      <w:pPr>
        <w:pStyle w:val="BodyText"/>
        <w:spacing w:before="6"/>
        <w:rPr>
          <w:rFonts w:ascii="Times New Roman"/>
          <w:i w:val="0"/>
          <w:sz w:val="28"/>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7"/>
        <w:gridCol w:w="6648"/>
      </w:tblGrid>
      <w:tr>
        <w:trPr>
          <w:trHeight w:val="1315" w:hRule="atLeast"/>
        </w:trPr>
        <w:tc>
          <w:tcPr>
            <w:tcW w:w="9397" w:type="dxa"/>
            <w:gridSpan w:val="3"/>
          </w:tcPr>
          <w:p>
            <w:pPr>
              <w:pStyle w:val="TableParagraph"/>
              <w:spacing w:line="319" w:lineRule="exact" w:before="0"/>
              <w:ind w:left="1624" w:right="1626"/>
              <w:jc w:val="center"/>
              <w:rPr>
                <w:b/>
                <w:sz w:val="32"/>
              </w:rPr>
            </w:pPr>
            <w:r>
              <w:rPr>
                <w:b/>
                <w:w w:val="95"/>
                <w:sz w:val="32"/>
              </w:rPr>
              <w:t>英大泰和人寿保险股份有限公司</w:t>
            </w:r>
          </w:p>
          <w:p>
            <w:pPr>
              <w:pStyle w:val="TableParagraph"/>
              <w:spacing w:before="102"/>
              <w:ind w:left="1626" w:right="1626"/>
              <w:jc w:val="center"/>
              <w:rPr>
                <w:b/>
                <w:sz w:val="32"/>
              </w:rPr>
            </w:pPr>
            <w:r>
              <w:rPr>
                <w:b/>
                <w:w w:val="95"/>
                <w:sz w:val="32"/>
              </w:rPr>
              <w:t>英大附加金生金世提前给付重大疾病保险条款</w:t>
            </w:r>
          </w:p>
          <w:p>
            <w:pPr>
              <w:pStyle w:val="TableParagraph"/>
              <w:spacing w:before="49"/>
              <w:ind w:left="1626" w:right="1626"/>
              <w:jc w:val="center"/>
              <w:rPr>
                <w:i/>
                <w:sz w:val="24"/>
              </w:rPr>
            </w:pPr>
            <w:r>
              <w:rPr>
                <w:i/>
                <w:sz w:val="24"/>
              </w:rPr>
              <w:t>（</w:t>
            </w:r>
            <w:r>
              <w:rPr>
                <w:sz w:val="24"/>
              </w:rPr>
              <w:t>2012</w:t>
            </w:r>
            <w:r>
              <w:rPr>
                <w:spacing w:val="-60"/>
                <w:sz w:val="24"/>
              </w:rPr>
              <w:t> </w:t>
            </w:r>
            <w:r>
              <w:rPr>
                <w:i/>
                <w:spacing w:val="-30"/>
                <w:sz w:val="24"/>
              </w:rPr>
              <w:t>年 </w:t>
            </w:r>
            <w:r>
              <w:rPr>
                <w:sz w:val="24"/>
              </w:rPr>
              <w:t>8</w:t>
            </w:r>
            <w:r>
              <w:rPr>
                <w:spacing w:val="-60"/>
                <w:sz w:val="24"/>
              </w:rPr>
              <w:t> </w:t>
            </w:r>
            <w:r>
              <w:rPr>
                <w:i/>
                <w:sz w:val="24"/>
              </w:rPr>
              <w:t>月）</w:t>
            </w:r>
          </w:p>
        </w:tc>
      </w:tr>
      <w:tr>
        <w:trPr>
          <w:trHeight w:val="732" w:hRule="atLeast"/>
        </w:trPr>
        <w:tc>
          <w:tcPr>
            <w:tcW w:w="9397" w:type="dxa"/>
            <w:gridSpan w:val="3"/>
          </w:tcPr>
          <w:p>
            <w:pPr>
              <w:pStyle w:val="TableParagraph"/>
              <w:spacing w:before="48"/>
              <w:ind w:left="482"/>
              <w:rPr>
                <w:b/>
                <w:sz w:val="21"/>
              </w:rPr>
            </w:pPr>
            <w:r>
              <w:rPr>
                <w:b/>
                <w:spacing w:val="-23"/>
                <w:w w:val="100"/>
                <w:sz w:val="21"/>
              </w:rPr>
              <w:t>在本条款中，“您”指投保人，“我们”、“我们公司”均指英大泰和人寿保险股份有限公司。</w:t>
            </w:r>
          </w:p>
        </w:tc>
      </w:tr>
      <w:tr>
        <w:trPr>
          <w:trHeight w:val="446" w:hRule="atLeast"/>
        </w:trPr>
        <w:tc>
          <w:tcPr>
            <w:tcW w:w="902"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4"/>
              <w:ind w:left="475"/>
              <w:rPr>
                <w:b/>
                <w:sz w:val="21"/>
              </w:rPr>
            </w:pPr>
            <w:r>
              <w:rPr>
                <w:b/>
                <w:sz w:val="21"/>
              </w:rPr>
              <w:t>您与我们的附加合同</w:t>
            </w:r>
          </w:p>
        </w:tc>
      </w:tr>
      <w:tr>
        <w:trPr>
          <w:trHeight w:val="1268" w:hRule="atLeast"/>
        </w:trPr>
        <w:tc>
          <w:tcPr>
            <w:tcW w:w="902" w:type="dxa"/>
          </w:tcPr>
          <w:p>
            <w:pPr>
              <w:pStyle w:val="TableParagraph"/>
              <w:spacing w:before="45"/>
              <w:ind w:left="108"/>
              <w:rPr>
                <w:sz w:val="21"/>
              </w:rPr>
            </w:pPr>
            <w:r>
              <w:rPr>
                <w:sz w:val="21"/>
              </w:rPr>
              <w:t>1.1</w:t>
            </w:r>
          </w:p>
        </w:tc>
        <w:tc>
          <w:tcPr>
            <w:tcW w:w="1847" w:type="dxa"/>
          </w:tcPr>
          <w:p>
            <w:pPr>
              <w:pStyle w:val="TableParagraph"/>
              <w:spacing w:before="45"/>
              <w:ind w:left="475"/>
              <w:rPr>
                <w:i/>
                <w:sz w:val="21"/>
              </w:rPr>
            </w:pPr>
            <w:r>
              <w:rPr>
                <w:i/>
                <w:sz w:val="21"/>
              </w:rPr>
              <w:t>附加合同说明</w:t>
            </w:r>
          </w:p>
        </w:tc>
        <w:tc>
          <w:tcPr>
            <w:tcW w:w="6648" w:type="dxa"/>
          </w:tcPr>
          <w:p>
            <w:pPr>
              <w:pStyle w:val="TableParagraph"/>
              <w:spacing w:line="292" w:lineRule="auto" w:before="45"/>
              <w:jc w:val="both"/>
              <w:rPr>
                <w:i/>
                <w:sz w:val="21"/>
              </w:rPr>
            </w:pPr>
            <w:r>
              <w:rPr>
                <w:i/>
                <w:spacing w:val="-7"/>
                <w:w w:val="100"/>
                <w:sz w:val="21"/>
              </w:rPr>
              <w:t>英大附加金生金世提前给付重大疾病保险合同</w:t>
            </w:r>
            <w:r>
              <w:rPr>
                <w:i/>
                <w:w w:val="100"/>
                <w:sz w:val="21"/>
              </w:rPr>
              <w:t>（</w:t>
            </w:r>
            <w:r>
              <w:rPr>
                <w:i/>
                <w:spacing w:val="-3"/>
                <w:w w:val="100"/>
                <w:sz w:val="21"/>
              </w:rPr>
              <w:t>以下简称本附加合同</w:t>
            </w:r>
            <w:r>
              <w:rPr>
                <w:i/>
                <w:spacing w:val="-106"/>
                <w:w w:val="100"/>
                <w:sz w:val="21"/>
              </w:rPr>
              <w:t>）</w:t>
            </w:r>
            <w:r>
              <w:rPr>
                <w:i/>
                <w:w w:val="100"/>
                <w:sz w:val="21"/>
              </w:rPr>
              <w:t>，</w:t>
            </w:r>
            <w:r>
              <w:rPr>
                <w:i/>
                <w:spacing w:val="-9"/>
                <w:sz w:val="21"/>
              </w:rPr>
              <w:t>依我们公司主保险合同</w:t>
            </w:r>
            <w:r>
              <w:rPr>
                <w:i/>
                <w:spacing w:val="-3"/>
                <w:sz w:val="21"/>
              </w:rPr>
              <w:t>（以下简称主合同</w:t>
            </w:r>
            <w:r>
              <w:rPr>
                <w:i/>
                <w:spacing w:val="-63"/>
                <w:sz w:val="21"/>
              </w:rPr>
              <w:t>）</w:t>
            </w:r>
            <w:r>
              <w:rPr>
                <w:i/>
                <w:spacing w:val="-10"/>
                <w:sz w:val="21"/>
              </w:rPr>
              <w:t>的投保人申请，经我们同意， </w:t>
            </w:r>
            <w:r>
              <w:rPr>
                <w:i/>
                <w:spacing w:val="-5"/>
                <w:sz w:val="21"/>
              </w:rPr>
              <w:t>附加在主合同上。</w:t>
            </w:r>
          </w:p>
        </w:tc>
      </w:tr>
      <w:tr>
        <w:trPr>
          <w:trHeight w:val="1437" w:hRule="atLeast"/>
        </w:trPr>
        <w:tc>
          <w:tcPr>
            <w:tcW w:w="902" w:type="dxa"/>
          </w:tcPr>
          <w:p>
            <w:pPr>
              <w:pStyle w:val="TableParagraph"/>
              <w:spacing w:before="5"/>
              <w:ind w:left="0"/>
              <w:rPr>
                <w:rFonts w:ascii="Times New Roman"/>
                <w:sz w:val="18"/>
              </w:rPr>
            </w:pPr>
          </w:p>
          <w:p>
            <w:pPr>
              <w:pStyle w:val="TableParagraph"/>
              <w:spacing w:before="0"/>
              <w:ind w:left="108"/>
              <w:rPr>
                <w:sz w:val="21"/>
              </w:rPr>
            </w:pPr>
            <w:r>
              <w:rPr>
                <w:sz w:val="21"/>
              </w:rPr>
              <w:t>1.2</w:t>
            </w:r>
          </w:p>
        </w:tc>
        <w:tc>
          <w:tcPr>
            <w:tcW w:w="1847" w:type="dxa"/>
          </w:tcPr>
          <w:p>
            <w:pPr>
              <w:pStyle w:val="TableParagraph"/>
              <w:spacing w:before="5"/>
              <w:ind w:left="0"/>
              <w:rPr>
                <w:rFonts w:ascii="Times New Roman"/>
                <w:sz w:val="18"/>
              </w:rPr>
            </w:pPr>
          </w:p>
          <w:p>
            <w:pPr>
              <w:pStyle w:val="TableParagraph"/>
              <w:spacing w:before="0"/>
              <w:ind w:left="475"/>
              <w:rPr>
                <w:i/>
                <w:sz w:val="21"/>
              </w:rPr>
            </w:pPr>
            <w:r>
              <w:rPr>
                <w:i/>
                <w:sz w:val="21"/>
              </w:rPr>
              <w:t>附加合同构成</w:t>
            </w:r>
          </w:p>
        </w:tc>
        <w:tc>
          <w:tcPr>
            <w:tcW w:w="6648" w:type="dxa"/>
          </w:tcPr>
          <w:p>
            <w:pPr>
              <w:pStyle w:val="TableParagraph"/>
              <w:spacing w:before="5"/>
              <w:ind w:left="0"/>
              <w:rPr>
                <w:rFonts w:ascii="Times New Roman"/>
                <w:sz w:val="18"/>
              </w:rPr>
            </w:pPr>
          </w:p>
          <w:p>
            <w:pPr>
              <w:pStyle w:val="TableParagraph"/>
              <w:spacing w:line="295" w:lineRule="auto" w:before="0"/>
              <w:ind w:right="101"/>
              <w:jc w:val="both"/>
              <w:rPr>
                <w:i/>
                <w:sz w:val="21"/>
              </w:rPr>
            </w:pPr>
            <w:r>
              <w:rPr>
                <w:i/>
                <w:spacing w:val="-8"/>
                <w:sz w:val="21"/>
              </w:rPr>
              <w:t>本附加合同由保险单及其所附条款、声明、批注、批单，以及与本附加</w:t>
            </w:r>
            <w:r>
              <w:rPr>
                <w:i/>
                <w:spacing w:val="-11"/>
                <w:sz w:val="21"/>
              </w:rPr>
              <w:t>合同有关的投保单、复效申请书、健康声明书、体检报告及其他约定书</w:t>
            </w:r>
            <w:r>
              <w:rPr>
                <w:i/>
                <w:spacing w:val="-6"/>
                <w:sz w:val="21"/>
              </w:rPr>
              <w:t>共同构成。</w:t>
            </w:r>
          </w:p>
        </w:tc>
      </w:tr>
      <w:tr>
        <w:trPr>
          <w:trHeight w:val="1940" w:hRule="atLeast"/>
        </w:trPr>
        <w:tc>
          <w:tcPr>
            <w:tcW w:w="902" w:type="dxa"/>
          </w:tcPr>
          <w:p>
            <w:pPr>
              <w:pStyle w:val="TableParagraph"/>
              <w:spacing w:before="5"/>
              <w:ind w:left="0"/>
              <w:rPr>
                <w:rFonts w:ascii="Times New Roman"/>
                <w:sz w:val="18"/>
              </w:rPr>
            </w:pPr>
          </w:p>
          <w:p>
            <w:pPr>
              <w:pStyle w:val="TableParagraph"/>
              <w:spacing w:before="0"/>
              <w:ind w:left="108"/>
              <w:rPr>
                <w:sz w:val="21"/>
              </w:rPr>
            </w:pPr>
            <w:r>
              <w:rPr>
                <w:sz w:val="21"/>
              </w:rPr>
              <w:t>1.3</w:t>
            </w:r>
          </w:p>
        </w:tc>
        <w:tc>
          <w:tcPr>
            <w:tcW w:w="1847" w:type="dxa"/>
          </w:tcPr>
          <w:p>
            <w:pPr>
              <w:pStyle w:val="TableParagraph"/>
              <w:spacing w:before="5"/>
              <w:ind w:left="0"/>
              <w:rPr>
                <w:rFonts w:ascii="Times New Roman"/>
                <w:sz w:val="18"/>
              </w:rPr>
            </w:pPr>
          </w:p>
          <w:p>
            <w:pPr>
              <w:pStyle w:val="TableParagraph"/>
              <w:spacing w:before="0"/>
              <w:ind w:left="475"/>
              <w:rPr>
                <w:i/>
                <w:sz w:val="21"/>
              </w:rPr>
            </w:pPr>
            <w:r>
              <w:rPr>
                <w:i/>
                <w:sz w:val="21"/>
              </w:rPr>
              <w:t>附加合同生效</w:t>
            </w:r>
          </w:p>
        </w:tc>
        <w:tc>
          <w:tcPr>
            <w:tcW w:w="6648" w:type="dxa"/>
          </w:tcPr>
          <w:p>
            <w:pPr>
              <w:pStyle w:val="TableParagraph"/>
              <w:spacing w:before="5"/>
              <w:ind w:left="0"/>
              <w:rPr>
                <w:rFonts w:ascii="Times New Roman"/>
                <w:sz w:val="18"/>
              </w:rPr>
            </w:pPr>
          </w:p>
          <w:p>
            <w:pPr>
              <w:pStyle w:val="TableParagraph"/>
              <w:spacing w:line="295" w:lineRule="auto" w:before="0"/>
              <w:ind w:left="106" w:right="106"/>
              <w:jc w:val="both"/>
              <w:rPr>
                <w:i/>
                <w:sz w:val="21"/>
              </w:rPr>
            </w:pPr>
            <w:r>
              <w:rPr>
                <w:i/>
                <w:spacing w:val="-7"/>
                <w:sz w:val="21"/>
              </w:rPr>
              <w:t>本附加合同以我们同意承保并签发保险单为生效条件，生效日载明于保</w:t>
            </w:r>
            <w:r>
              <w:rPr>
                <w:i/>
                <w:spacing w:val="-6"/>
                <w:w w:val="100"/>
                <w:sz w:val="21"/>
              </w:rPr>
              <w:t>险单上。</w:t>
            </w:r>
            <w:r>
              <w:rPr>
                <w:b/>
                <w:spacing w:val="-3"/>
                <w:w w:val="100"/>
                <w:sz w:val="21"/>
              </w:rPr>
              <w:t>保险单周年日</w:t>
            </w:r>
            <w:r>
              <w:rPr>
                <w:i/>
                <w:spacing w:val="-5"/>
                <w:w w:val="100"/>
                <w:sz w:val="21"/>
              </w:rPr>
              <w:t>（</w:t>
            </w:r>
            <w:r>
              <w:rPr>
                <w:i/>
                <w:w w:val="100"/>
                <w:sz w:val="21"/>
              </w:rPr>
              <w:t>见</w:t>
            </w:r>
            <w:r>
              <w:rPr>
                <w:i/>
                <w:spacing w:val="-53"/>
                <w:sz w:val="21"/>
              </w:rPr>
              <w:t> </w:t>
            </w:r>
            <w:r>
              <w:rPr>
                <w:w w:val="100"/>
                <w:sz w:val="21"/>
              </w:rPr>
              <w:t>8.</w:t>
            </w:r>
            <w:r>
              <w:rPr>
                <w:spacing w:val="-3"/>
                <w:w w:val="100"/>
                <w:sz w:val="21"/>
              </w:rPr>
              <w:t>1</w:t>
            </w:r>
            <w:r>
              <w:rPr>
                <w:i/>
                <w:spacing w:val="-106"/>
                <w:w w:val="100"/>
                <w:sz w:val="21"/>
              </w:rPr>
              <w:t>）</w:t>
            </w:r>
            <w:r>
              <w:rPr>
                <w:i/>
                <w:spacing w:val="-20"/>
                <w:w w:val="100"/>
                <w:sz w:val="21"/>
              </w:rPr>
              <w:t>、</w:t>
            </w:r>
            <w:r>
              <w:rPr>
                <w:b/>
                <w:spacing w:val="-4"/>
                <w:w w:val="100"/>
                <w:sz w:val="21"/>
              </w:rPr>
              <w:t>保险单年度</w:t>
            </w:r>
            <w:r>
              <w:rPr>
                <w:i/>
                <w:spacing w:val="-3"/>
                <w:w w:val="100"/>
                <w:sz w:val="21"/>
              </w:rPr>
              <w:t>（</w:t>
            </w:r>
            <w:r>
              <w:rPr>
                <w:i/>
                <w:w w:val="100"/>
                <w:sz w:val="21"/>
              </w:rPr>
              <w:t>见</w:t>
            </w:r>
            <w:r>
              <w:rPr>
                <w:i/>
                <w:spacing w:val="-58"/>
                <w:sz w:val="21"/>
              </w:rPr>
              <w:t> </w:t>
            </w:r>
            <w:r>
              <w:rPr>
                <w:w w:val="100"/>
                <w:sz w:val="21"/>
              </w:rPr>
              <w:t>8.</w:t>
            </w:r>
            <w:r>
              <w:rPr>
                <w:spacing w:val="-3"/>
                <w:w w:val="100"/>
                <w:sz w:val="21"/>
              </w:rPr>
              <w:t>2</w:t>
            </w:r>
            <w:r>
              <w:rPr>
                <w:i/>
                <w:spacing w:val="-17"/>
                <w:w w:val="100"/>
                <w:sz w:val="21"/>
              </w:rPr>
              <w:t>）</w:t>
            </w:r>
            <w:r>
              <w:rPr>
                <w:i/>
                <w:spacing w:val="-3"/>
                <w:w w:val="100"/>
                <w:sz w:val="21"/>
              </w:rPr>
              <w:t>均依据生效日</w:t>
            </w:r>
            <w:r>
              <w:rPr>
                <w:i/>
                <w:spacing w:val="-3"/>
                <w:sz w:val="21"/>
              </w:rPr>
              <w:t>进行计算。</w:t>
            </w:r>
          </w:p>
          <w:p>
            <w:pPr>
              <w:pStyle w:val="TableParagraph"/>
              <w:spacing w:before="12"/>
              <w:ind w:left="106"/>
              <w:jc w:val="both"/>
              <w:rPr>
                <w:i/>
                <w:sz w:val="21"/>
              </w:rPr>
            </w:pPr>
            <w:r>
              <w:rPr>
                <w:i/>
                <w:sz w:val="21"/>
              </w:rPr>
              <w:t>我们自本附加合同生效日零时开始承担本附加合同约定的保险责任。</w:t>
            </w:r>
          </w:p>
        </w:tc>
      </w:tr>
      <w:tr>
        <w:trPr>
          <w:trHeight w:val="446" w:hRule="atLeast"/>
        </w:trPr>
        <w:tc>
          <w:tcPr>
            <w:tcW w:w="902"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1847" w:type="dxa"/>
            <w:shd w:val="clear" w:color="auto" w:fill="C1C1C1"/>
          </w:tcPr>
          <w:p>
            <w:pPr>
              <w:pStyle w:val="TableParagraph"/>
              <w:spacing w:before="52"/>
              <w:ind w:left="475"/>
              <w:rPr>
                <w:b/>
                <w:sz w:val="21"/>
              </w:rPr>
            </w:pPr>
            <w:r>
              <w:rPr>
                <w:b/>
                <w:sz w:val="21"/>
              </w:rPr>
              <w:t>您获得的保障</w:t>
            </w:r>
          </w:p>
        </w:tc>
        <w:tc>
          <w:tcPr>
            <w:tcW w:w="6648" w:type="dxa"/>
            <w:shd w:val="clear" w:color="auto" w:fill="C1C1C1"/>
          </w:tcPr>
          <w:p>
            <w:pPr>
              <w:pStyle w:val="TableParagraph"/>
              <w:spacing w:before="0"/>
              <w:ind w:left="0"/>
              <w:rPr>
                <w:rFonts w:ascii="Times New Roman"/>
                <w:sz w:val="20"/>
              </w:rPr>
            </w:pPr>
          </w:p>
        </w:tc>
      </w:tr>
      <w:tr>
        <w:trPr>
          <w:trHeight w:val="1604" w:hRule="atLeast"/>
        </w:trPr>
        <w:tc>
          <w:tcPr>
            <w:tcW w:w="902" w:type="dxa"/>
          </w:tcPr>
          <w:p>
            <w:pPr>
              <w:pStyle w:val="TableParagraph"/>
              <w:spacing w:before="42"/>
              <w:ind w:left="108"/>
              <w:rPr>
                <w:sz w:val="21"/>
              </w:rPr>
            </w:pPr>
            <w:r>
              <w:rPr>
                <w:sz w:val="21"/>
              </w:rPr>
              <w:t>2.1</w:t>
            </w:r>
          </w:p>
        </w:tc>
        <w:tc>
          <w:tcPr>
            <w:tcW w:w="1847" w:type="dxa"/>
          </w:tcPr>
          <w:p>
            <w:pPr>
              <w:pStyle w:val="TableParagraph"/>
              <w:spacing w:before="42"/>
              <w:ind w:left="475"/>
              <w:rPr>
                <w:i/>
                <w:sz w:val="21"/>
              </w:rPr>
            </w:pPr>
            <w:r>
              <w:rPr>
                <w:i/>
                <w:sz w:val="21"/>
              </w:rPr>
              <w:t>保险金额</w:t>
            </w:r>
          </w:p>
        </w:tc>
        <w:tc>
          <w:tcPr>
            <w:tcW w:w="6648" w:type="dxa"/>
          </w:tcPr>
          <w:p>
            <w:pPr>
              <w:pStyle w:val="TableParagraph"/>
              <w:spacing w:line="295" w:lineRule="auto" w:before="42"/>
              <w:ind w:right="24"/>
              <w:rPr>
                <w:i/>
                <w:sz w:val="21"/>
              </w:rPr>
            </w:pPr>
            <w:r>
              <w:rPr>
                <w:i/>
                <w:spacing w:val="-3"/>
                <w:sz w:val="21"/>
              </w:rPr>
              <w:t>本附加合同的保险金额由您在投保时与我们约定，并在保险单上载明。</w:t>
            </w:r>
            <w:r>
              <w:rPr>
                <w:i/>
                <w:spacing w:val="-8"/>
                <w:sz w:val="21"/>
              </w:rPr>
              <w:t>如果本附加合同的保险金额发生变更，则以最后一次变更且在保险单上</w:t>
            </w:r>
            <w:r>
              <w:rPr>
                <w:i/>
                <w:spacing w:val="-5"/>
                <w:sz w:val="21"/>
              </w:rPr>
              <w:t>载明的金额为本附加合同的保险金额。</w:t>
            </w:r>
          </w:p>
          <w:p>
            <w:pPr>
              <w:pStyle w:val="TableParagraph"/>
              <w:spacing w:before="12"/>
              <w:rPr>
                <w:i/>
                <w:sz w:val="21"/>
              </w:rPr>
            </w:pPr>
            <w:r>
              <w:rPr>
                <w:i/>
                <w:sz w:val="21"/>
              </w:rPr>
              <w:t>本附加合同的保险金额不得超过主合同的基本保险金额。</w:t>
            </w:r>
          </w:p>
        </w:tc>
      </w:tr>
      <w:tr>
        <w:trPr>
          <w:trHeight w:val="764" w:hRule="atLeast"/>
        </w:trPr>
        <w:tc>
          <w:tcPr>
            <w:tcW w:w="902" w:type="dxa"/>
          </w:tcPr>
          <w:p>
            <w:pPr>
              <w:pStyle w:val="TableParagraph"/>
              <w:spacing w:before="5"/>
              <w:ind w:left="0"/>
              <w:rPr>
                <w:rFonts w:ascii="Times New Roman"/>
                <w:sz w:val="18"/>
              </w:rPr>
            </w:pPr>
          </w:p>
          <w:p>
            <w:pPr>
              <w:pStyle w:val="TableParagraph"/>
              <w:spacing w:before="0"/>
              <w:ind w:left="108"/>
              <w:rPr>
                <w:sz w:val="21"/>
              </w:rPr>
            </w:pPr>
            <w:r>
              <w:rPr>
                <w:sz w:val="21"/>
              </w:rPr>
              <w:t>2.2</w:t>
            </w:r>
          </w:p>
        </w:tc>
        <w:tc>
          <w:tcPr>
            <w:tcW w:w="1847" w:type="dxa"/>
          </w:tcPr>
          <w:p>
            <w:pPr>
              <w:pStyle w:val="TableParagraph"/>
              <w:spacing w:before="5"/>
              <w:ind w:left="0"/>
              <w:rPr>
                <w:rFonts w:ascii="Times New Roman"/>
                <w:sz w:val="18"/>
              </w:rPr>
            </w:pPr>
          </w:p>
          <w:p>
            <w:pPr>
              <w:pStyle w:val="TableParagraph"/>
              <w:spacing w:before="0"/>
              <w:ind w:left="475"/>
              <w:rPr>
                <w:i/>
                <w:sz w:val="21"/>
              </w:rPr>
            </w:pPr>
            <w:r>
              <w:rPr>
                <w:i/>
                <w:sz w:val="21"/>
              </w:rPr>
              <w:t>保险期间</w:t>
            </w:r>
          </w:p>
        </w:tc>
        <w:tc>
          <w:tcPr>
            <w:tcW w:w="6648" w:type="dxa"/>
          </w:tcPr>
          <w:p>
            <w:pPr>
              <w:pStyle w:val="TableParagraph"/>
              <w:spacing w:before="5"/>
              <w:ind w:left="0"/>
              <w:rPr>
                <w:rFonts w:ascii="Times New Roman"/>
                <w:sz w:val="18"/>
              </w:rPr>
            </w:pPr>
          </w:p>
          <w:p>
            <w:pPr>
              <w:pStyle w:val="TableParagraph"/>
              <w:spacing w:before="0"/>
              <w:rPr>
                <w:i/>
                <w:sz w:val="21"/>
              </w:rPr>
            </w:pPr>
            <w:r>
              <w:rPr>
                <w:i/>
                <w:sz w:val="21"/>
              </w:rPr>
              <w:t>本附加合同的保险期间由您在投保时与我们约定并载明于保险单上。</w:t>
            </w:r>
          </w:p>
        </w:tc>
      </w:tr>
      <w:tr>
        <w:trPr>
          <w:trHeight w:val="3181" w:hRule="atLeast"/>
        </w:trPr>
        <w:tc>
          <w:tcPr>
            <w:tcW w:w="902" w:type="dxa"/>
          </w:tcPr>
          <w:p>
            <w:pPr>
              <w:pStyle w:val="TableParagraph"/>
              <w:spacing w:before="6"/>
              <w:ind w:left="0"/>
              <w:rPr>
                <w:rFonts w:ascii="Times New Roman"/>
                <w:sz w:val="18"/>
              </w:rPr>
            </w:pPr>
          </w:p>
          <w:p>
            <w:pPr>
              <w:pStyle w:val="TableParagraph"/>
              <w:spacing w:before="0"/>
              <w:ind w:left="108"/>
              <w:rPr>
                <w:sz w:val="21"/>
              </w:rPr>
            </w:pPr>
            <w:r>
              <w:rPr>
                <w:sz w:val="21"/>
              </w:rPr>
              <w:t>2.3</w:t>
            </w:r>
          </w:p>
        </w:tc>
        <w:tc>
          <w:tcPr>
            <w:tcW w:w="1847" w:type="dxa"/>
          </w:tcPr>
          <w:p>
            <w:pPr>
              <w:pStyle w:val="TableParagraph"/>
              <w:spacing w:before="6"/>
              <w:ind w:left="0"/>
              <w:rPr>
                <w:rFonts w:ascii="Times New Roman"/>
                <w:sz w:val="18"/>
              </w:rPr>
            </w:pPr>
          </w:p>
          <w:p>
            <w:pPr>
              <w:pStyle w:val="TableParagraph"/>
              <w:spacing w:before="0"/>
              <w:ind w:left="476"/>
              <w:rPr>
                <w:i/>
                <w:sz w:val="21"/>
              </w:rPr>
            </w:pPr>
            <w:r>
              <w:rPr>
                <w:i/>
                <w:sz w:val="21"/>
              </w:rPr>
              <w:t>保险责任</w:t>
            </w:r>
          </w:p>
        </w:tc>
        <w:tc>
          <w:tcPr>
            <w:tcW w:w="6648" w:type="dxa"/>
          </w:tcPr>
          <w:p>
            <w:pPr>
              <w:pStyle w:val="TableParagraph"/>
              <w:spacing w:before="6"/>
              <w:ind w:left="0"/>
              <w:rPr>
                <w:rFonts w:ascii="Times New Roman"/>
                <w:sz w:val="18"/>
              </w:rPr>
            </w:pPr>
          </w:p>
          <w:p>
            <w:pPr>
              <w:pStyle w:val="TableParagraph"/>
              <w:spacing w:before="0"/>
              <w:rPr>
                <w:i/>
                <w:sz w:val="21"/>
              </w:rPr>
            </w:pPr>
            <w:r>
              <w:rPr>
                <w:i/>
                <w:sz w:val="21"/>
              </w:rPr>
              <w:t>在本附加合同有效期间内，我们承担下列保险责任：</w:t>
            </w:r>
          </w:p>
          <w:p>
            <w:pPr>
              <w:pStyle w:val="TableParagraph"/>
              <w:spacing w:line="292" w:lineRule="auto" w:before="60"/>
              <w:ind w:right="73" w:hanging="1"/>
              <w:jc w:val="both"/>
              <w:rPr>
                <w:i/>
                <w:sz w:val="21"/>
              </w:rPr>
            </w:pPr>
            <w:r>
              <w:rPr>
                <w:i/>
                <w:spacing w:val="-3"/>
                <w:sz w:val="21"/>
              </w:rPr>
              <w:t>如果被保险人在本附加合同生效之日起九十日内因</w:t>
            </w:r>
            <w:r>
              <w:rPr>
                <w:b/>
                <w:sz w:val="21"/>
              </w:rPr>
              <w:t>意外伤害</w:t>
            </w:r>
            <w:r>
              <w:rPr>
                <w:i/>
                <w:spacing w:val="-3"/>
                <w:sz w:val="21"/>
              </w:rPr>
              <w:t>（</w:t>
            </w:r>
            <w:r>
              <w:rPr>
                <w:i/>
                <w:spacing w:val="-15"/>
                <w:sz w:val="21"/>
              </w:rPr>
              <w:t>见 </w:t>
            </w:r>
            <w:r>
              <w:rPr>
                <w:sz w:val="21"/>
              </w:rPr>
              <w:t>8.3</w:t>
            </w:r>
            <w:r>
              <w:rPr>
                <w:i/>
                <w:sz w:val="21"/>
              </w:rPr>
              <w:t>） </w:t>
            </w:r>
            <w:r>
              <w:rPr>
                <w:i/>
                <w:spacing w:val="-3"/>
                <w:w w:val="100"/>
                <w:sz w:val="21"/>
              </w:rPr>
              <w:t>之外的原因初次发生本附加合同约定的</w:t>
            </w:r>
            <w:r>
              <w:rPr>
                <w:b/>
                <w:w w:val="100"/>
                <w:sz w:val="21"/>
              </w:rPr>
              <w:t>重大疾病</w:t>
            </w:r>
            <w:r>
              <w:rPr>
                <w:i/>
                <w:spacing w:val="-3"/>
                <w:w w:val="100"/>
                <w:sz w:val="21"/>
              </w:rPr>
              <w:t>（</w:t>
            </w:r>
            <w:r>
              <w:rPr>
                <w:i/>
                <w:w w:val="100"/>
                <w:sz w:val="21"/>
              </w:rPr>
              <w:t>见</w:t>
            </w:r>
            <w:r>
              <w:rPr>
                <w:i/>
                <w:sz w:val="21"/>
              </w:rPr>
              <w:t> </w:t>
            </w:r>
            <w:r>
              <w:rPr>
                <w:w w:val="100"/>
                <w:sz w:val="21"/>
              </w:rPr>
              <w:t>8.</w:t>
            </w:r>
            <w:r>
              <w:rPr>
                <w:spacing w:val="-3"/>
                <w:w w:val="100"/>
                <w:sz w:val="21"/>
              </w:rPr>
              <w:t>4</w:t>
            </w:r>
            <w:r>
              <w:rPr>
                <w:i/>
                <w:spacing w:val="-104"/>
                <w:w w:val="100"/>
                <w:sz w:val="21"/>
              </w:rPr>
              <w:t>）</w:t>
            </w:r>
            <w:r>
              <w:rPr>
                <w:i/>
                <w:spacing w:val="-2"/>
                <w:w w:val="100"/>
                <w:sz w:val="21"/>
              </w:rPr>
              <w:t>，我们无息</w:t>
            </w:r>
            <w:r>
              <w:rPr>
                <w:i/>
                <w:spacing w:val="-3"/>
                <w:sz w:val="21"/>
              </w:rPr>
              <w:t>退还已收取的风险保障费用，本附加合同终止；</w:t>
            </w:r>
          </w:p>
          <w:p>
            <w:pPr>
              <w:pStyle w:val="TableParagraph"/>
              <w:spacing w:line="292" w:lineRule="auto" w:before="16"/>
              <w:ind w:right="103"/>
              <w:jc w:val="both"/>
              <w:rPr>
                <w:i/>
                <w:sz w:val="21"/>
              </w:rPr>
            </w:pPr>
            <w:r>
              <w:rPr>
                <w:i/>
                <w:sz w:val="21"/>
              </w:rPr>
              <w:t>如果被保险人在本附加合同生效之日起九十日后因意外伤害之外的原</w:t>
            </w:r>
            <w:r>
              <w:rPr>
                <w:i/>
                <w:spacing w:val="-8"/>
                <w:sz w:val="21"/>
              </w:rPr>
              <w:t>因初次发生本附加合同约定的重大疾病，我们按本附加合同的保险金额</w:t>
            </w:r>
            <w:r>
              <w:rPr>
                <w:i/>
                <w:spacing w:val="-5"/>
                <w:sz w:val="21"/>
              </w:rPr>
              <w:t>给付重大疾病保险金</w:t>
            </w:r>
            <w:r>
              <w:rPr>
                <w:sz w:val="21"/>
              </w:rPr>
              <w:t>,</w:t>
            </w:r>
            <w:r>
              <w:rPr>
                <w:i/>
                <w:spacing w:val="-3"/>
                <w:sz w:val="21"/>
              </w:rPr>
              <w:t>本附加合同终止；</w:t>
            </w:r>
          </w:p>
          <w:p>
            <w:pPr>
              <w:pStyle w:val="TableParagraph"/>
              <w:spacing w:before="16"/>
              <w:jc w:val="both"/>
              <w:rPr>
                <w:i/>
                <w:sz w:val="21"/>
              </w:rPr>
            </w:pPr>
            <w:r>
              <w:rPr>
                <w:i/>
                <w:sz w:val="21"/>
              </w:rPr>
              <w:t>如果被保险人因意外伤害初次发生本附加合同约定的重大疾病，我们按</w:t>
            </w:r>
          </w:p>
          <w:p>
            <w:pPr>
              <w:pStyle w:val="TableParagraph"/>
              <w:spacing w:line="255" w:lineRule="exact" w:before="60"/>
              <w:jc w:val="both"/>
              <w:rPr>
                <w:i/>
                <w:sz w:val="21"/>
              </w:rPr>
            </w:pPr>
            <w:r>
              <w:rPr>
                <w:i/>
                <w:sz w:val="21"/>
              </w:rPr>
              <w:t>本附加合同的保险金额给付重大疾病保险金</w:t>
            </w:r>
            <w:r>
              <w:rPr>
                <w:sz w:val="21"/>
              </w:rPr>
              <w:t>,</w:t>
            </w:r>
            <w:r>
              <w:rPr>
                <w:i/>
                <w:sz w:val="21"/>
              </w:rPr>
              <w:t>本附加合同终止。</w:t>
            </w:r>
          </w:p>
        </w:tc>
      </w:tr>
    </w:tbl>
    <w:p>
      <w:pPr>
        <w:spacing w:after="0" w:line="255" w:lineRule="exact"/>
        <w:jc w:val="both"/>
        <w:rPr>
          <w:sz w:val="21"/>
        </w:rPr>
        <w:sectPr>
          <w:pgSz w:w="11910" w:h="16840"/>
          <w:pgMar w:header="0" w:footer="921" w:top="158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7"/>
      </w:tblGrid>
      <w:tr>
        <w:trPr>
          <w:trHeight w:val="1496" w:hRule="atLeast"/>
        </w:trPr>
        <w:tc>
          <w:tcPr>
            <w:tcW w:w="901" w:type="dxa"/>
          </w:tcPr>
          <w:p>
            <w:pPr>
              <w:pStyle w:val="TableParagraph"/>
              <w:spacing w:before="0"/>
              <w:ind w:left="0"/>
              <w:rPr>
                <w:rFonts w:ascii="Times New Roman"/>
                <w:sz w:val="20"/>
              </w:rPr>
            </w:pPr>
          </w:p>
        </w:tc>
        <w:tc>
          <w:tcPr>
            <w:tcW w:w="1848" w:type="dxa"/>
          </w:tcPr>
          <w:p>
            <w:pPr>
              <w:pStyle w:val="TableParagraph"/>
              <w:spacing w:before="0"/>
              <w:ind w:left="0"/>
              <w:rPr>
                <w:rFonts w:ascii="Times New Roman"/>
                <w:sz w:val="20"/>
              </w:rPr>
            </w:pPr>
          </w:p>
        </w:tc>
        <w:tc>
          <w:tcPr>
            <w:tcW w:w="6647" w:type="dxa"/>
          </w:tcPr>
          <w:p>
            <w:pPr>
              <w:pStyle w:val="TableParagraph"/>
              <w:spacing w:line="211" w:lineRule="exact" w:before="0"/>
              <w:rPr>
                <w:i/>
                <w:sz w:val="21"/>
              </w:rPr>
            </w:pPr>
            <w:r>
              <w:rPr>
                <w:i/>
                <w:sz w:val="21"/>
              </w:rPr>
              <w:t>我们在给付本附加合同的重大疾病保险金且本附加合同终止后，主合同</w:t>
            </w:r>
          </w:p>
          <w:p>
            <w:pPr>
              <w:pStyle w:val="TableParagraph"/>
              <w:spacing w:line="292" w:lineRule="auto" w:before="61"/>
              <w:ind w:left="106" w:right="100"/>
              <w:jc w:val="both"/>
              <w:rPr>
                <w:i/>
                <w:sz w:val="21"/>
              </w:rPr>
            </w:pPr>
            <w:r>
              <w:rPr>
                <w:i/>
                <w:spacing w:val="-7"/>
                <w:sz w:val="21"/>
              </w:rPr>
              <w:t>项下的基本保险金额按给付的重大疾病保险金等额减少。如果主合同的</w:t>
            </w:r>
            <w:r>
              <w:rPr>
                <w:i/>
                <w:spacing w:val="-11"/>
                <w:sz w:val="21"/>
              </w:rPr>
              <w:t>基本保险金额减少至零，我们仅向您支付主合同的保单账户价值，主合</w:t>
            </w:r>
            <w:r>
              <w:rPr>
                <w:i/>
                <w:spacing w:val="-1"/>
                <w:sz w:val="21"/>
              </w:rPr>
              <w:t>同终止。</w:t>
            </w:r>
          </w:p>
        </w:tc>
      </w:tr>
      <w:tr>
        <w:trPr>
          <w:trHeight w:val="5981" w:hRule="atLeast"/>
        </w:trPr>
        <w:tc>
          <w:tcPr>
            <w:tcW w:w="901" w:type="dxa"/>
          </w:tcPr>
          <w:p>
            <w:pPr>
              <w:pStyle w:val="TableParagraph"/>
              <w:spacing w:before="6"/>
              <w:ind w:left="0"/>
              <w:rPr>
                <w:rFonts w:ascii="Times New Roman"/>
                <w:sz w:val="18"/>
              </w:rPr>
            </w:pPr>
          </w:p>
          <w:p>
            <w:pPr>
              <w:pStyle w:val="TableParagraph"/>
              <w:spacing w:before="0"/>
              <w:ind w:left="108"/>
              <w:rPr>
                <w:sz w:val="21"/>
              </w:rPr>
            </w:pPr>
            <w:r>
              <w:rPr>
                <w:sz w:val="21"/>
              </w:rPr>
              <w:t>2.4</w:t>
            </w:r>
          </w:p>
        </w:tc>
        <w:tc>
          <w:tcPr>
            <w:tcW w:w="1848" w:type="dxa"/>
          </w:tcPr>
          <w:p>
            <w:pPr>
              <w:pStyle w:val="TableParagraph"/>
              <w:spacing w:before="6"/>
              <w:ind w:left="0"/>
              <w:rPr>
                <w:rFonts w:ascii="Times New Roman"/>
                <w:sz w:val="18"/>
              </w:rPr>
            </w:pPr>
          </w:p>
          <w:p>
            <w:pPr>
              <w:pStyle w:val="TableParagraph"/>
              <w:spacing w:before="0"/>
              <w:ind w:left="477"/>
              <w:rPr>
                <w:i/>
                <w:sz w:val="21"/>
              </w:rPr>
            </w:pPr>
            <w:r>
              <w:rPr>
                <w:i/>
                <w:sz w:val="21"/>
              </w:rPr>
              <w:t>责任免除</w:t>
            </w:r>
          </w:p>
        </w:tc>
        <w:tc>
          <w:tcPr>
            <w:tcW w:w="6647" w:type="dxa"/>
          </w:tcPr>
          <w:p>
            <w:pPr>
              <w:pStyle w:val="TableParagraph"/>
              <w:spacing w:before="6"/>
              <w:ind w:left="0"/>
              <w:rPr>
                <w:rFonts w:ascii="Times New Roman"/>
                <w:sz w:val="18"/>
              </w:rPr>
            </w:pPr>
          </w:p>
          <w:p>
            <w:pPr>
              <w:pStyle w:val="TableParagraph"/>
              <w:spacing w:line="292" w:lineRule="auto" w:before="0"/>
              <w:ind w:right="103"/>
              <w:jc w:val="both"/>
              <w:rPr>
                <w:rFonts w:ascii="黑体" w:eastAsia="黑体" w:hint="eastAsia"/>
                <w:sz w:val="21"/>
              </w:rPr>
            </w:pPr>
            <w:r>
              <w:rPr>
                <w:rFonts w:ascii="黑体" w:eastAsia="黑体" w:hint="eastAsia"/>
                <w:spacing w:val="-8"/>
                <w:sz w:val="21"/>
              </w:rPr>
              <w:t>因下列情形之一，导致被保险人发</w:t>
            </w:r>
            <w:r>
              <w:rPr>
                <w:rFonts w:ascii="黑体" w:eastAsia="黑体" w:hint="eastAsia"/>
                <w:sz w:val="21"/>
              </w:rPr>
              <w:t>Th</w:t>
            </w:r>
            <w:r>
              <w:rPr>
                <w:rFonts w:ascii="黑体" w:eastAsia="黑体" w:hint="eastAsia"/>
                <w:spacing w:val="-6"/>
                <w:sz w:val="21"/>
              </w:rPr>
              <w:t>本附加合同所指重大疾病的，我们</w:t>
            </w:r>
            <w:r>
              <w:rPr>
                <w:rFonts w:ascii="黑体" w:eastAsia="黑体" w:hint="eastAsia"/>
                <w:spacing w:val="-4"/>
                <w:sz w:val="21"/>
              </w:rPr>
              <w:t>不承担给付重大疾病保险金的责任：</w:t>
            </w:r>
          </w:p>
          <w:p>
            <w:pPr>
              <w:pStyle w:val="TableParagraph"/>
              <w:spacing w:before="14"/>
              <w:rPr>
                <w:rFonts w:ascii="黑体" w:eastAsia="黑体" w:hint="eastAsia"/>
                <w:sz w:val="21"/>
              </w:rPr>
            </w:pPr>
            <w:r>
              <w:rPr>
                <w:rFonts w:ascii="黑体" w:eastAsia="黑体" w:hint="eastAsia"/>
                <w:sz w:val="21"/>
              </w:rPr>
              <w:t>一、投保人对被保险人的故意杀害、故意伤害；</w:t>
            </w:r>
          </w:p>
          <w:p>
            <w:pPr>
              <w:pStyle w:val="TableParagraph"/>
              <w:spacing w:line="295" w:lineRule="auto" w:before="60"/>
              <w:ind w:right="232" w:hanging="1"/>
              <w:rPr>
                <w:rFonts w:ascii="黑体" w:eastAsia="黑体" w:hint="eastAsia"/>
                <w:sz w:val="21"/>
              </w:rPr>
            </w:pPr>
            <w:r>
              <w:rPr>
                <w:rFonts w:ascii="黑体" w:eastAsia="黑体" w:hint="eastAsia"/>
                <w:spacing w:val="-3"/>
                <w:sz w:val="21"/>
              </w:rPr>
              <w:t>二、被保险人故意自伤、故意犯罪或抗拒依法采取的刑事强制措施； </w:t>
            </w:r>
            <w:r>
              <w:rPr>
                <w:rFonts w:ascii="黑体" w:eastAsia="黑体" w:hint="eastAsia"/>
                <w:spacing w:val="-4"/>
                <w:w w:val="100"/>
                <w:sz w:val="21"/>
              </w:rPr>
              <w:t>三、被保险人服用、吸食或注射</w:t>
            </w:r>
            <w:r>
              <w:rPr>
                <w:rFonts w:ascii="黑体" w:eastAsia="黑体" w:hint="eastAsia"/>
                <w:b/>
                <w:w w:val="100"/>
                <w:sz w:val="21"/>
              </w:rPr>
              <w:t>毒品</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5</w:t>
            </w:r>
            <w:r>
              <w:rPr>
                <w:rFonts w:ascii="黑体" w:eastAsia="黑体" w:hint="eastAsia"/>
                <w:spacing w:val="-106"/>
                <w:w w:val="100"/>
                <w:sz w:val="21"/>
              </w:rPr>
              <w:t>）</w:t>
            </w:r>
            <w:r>
              <w:rPr>
                <w:rFonts w:ascii="黑体" w:eastAsia="黑体" w:hint="eastAsia"/>
                <w:w w:val="100"/>
                <w:sz w:val="21"/>
              </w:rPr>
              <w:t>；</w:t>
            </w:r>
          </w:p>
          <w:p>
            <w:pPr>
              <w:pStyle w:val="TableParagraph"/>
              <w:spacing w:line="292" w:lineRule="auto" w:before="12"/>
              <w:ind w:right="103"/>
              <w:jc w:val="both"/>
              <w:rPr>
                <w:rFonts w:ascii="黑体" w:eastAsia="黑体" w:hint="eastAsia"/>
                <w:sz w:val="21"/>
              </w:rPr>
            </w:pPr>
            <w:r>
              <w:rPr>
                <w:rFonts w:ascii="黑体" w:eastAsia="黑体" w:hint="eastAsia"/>
                <w:spacing w:val="-6"/>
                <w:w w:val="100"/>
                <w:sz w:val="21"/>
              </w:rPr>
              <w:t>四、被保险人</w:t>
            </w:r>
            <w:r>
              <w:rPr>
                <w:rFonts w:ascii="黑体" w:eastAsia="黑体" w:hint="eastAsia"/>
                <w:b/>
                <w:spacing w:val="-5"/>
                <w:w w:val="100"/>
                <w:sz w:val="21"/>
              </w:rPr>
              <w:t>酒后驾驶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6</w:t>
            </w:r>
            <w:r>
              <w:rPr>
                <w:rFonts w:ascii="黑体" w:eastAsia="黑体" w:hint="eastAsia"/>
                <w:spacing w:val="-106"/>
                <w:w w:val="100"/>
                <w:sz w:val="21"/>
              </w:rPr>
              <w:t>）</w:t>
            </w:r>
            <w:r>
              <w:rPr>
                <w:rFonts w:ascii="黑体" w:eastAsia="黑体" w:hint="eastAsia"/>
                <w:spacing w:val="-22"/>
                <w:w w:val="100"/>
                <w:sz w:val="21"/>
              </w:rPr>
              <w:t>、</w:t>
            </w:r>
            <w:r>
              <w:rPr>
                <w:rFonts w:ascii="黑体" w:eastAsia="黑体" w:hint="eastAsia"/>
                <w:b/>
                <w:spacing w:val="-3"/>
                <w:w w:val="100"/>
                <w:sz w:val="21"/>
              </w:rPr>
              <w:t>无合法有效驾驶证驾驶</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spacing w:val="-3"/>
                <w:w w:val="100"/>
                <w:sz w:val="21"/>
              </w:rPr>
              <w:t>8</w:t>
            </w:r>
            <w:r>
              <w:rPr>
                <w:rFonts w:ascii="黑体" w:eastAsia="黑体" w:hint="eastAsia"/>
                <w:w w:val="100"/>
                <w:sz w:val="21"/>
              </w:rPr>
              <w:t>.7</w:t>
            </w:r>
            <w:r>
              <w:rPr>
                <w:rFonts w:ascii="黑体" w:eastAsia="黑体" w:hint="eastAsia"/>
                <w:spacing w:val="-20"/>
                <w:w w:val="100"/>
                <w:sz w:val="21"/>
              </w:rPr>
              <w:t>）</w:t>
            </w:r>
            <w:r>
              <w:rPr>
                <w:rFonts w:ascii="黑体" w:eastAsia="黑体" w:hint="eastAsia"/>
                <w:w w:val="100"/>
                <w:sz w:val="21"/>
              </w:rPr>
              <w:t>或</w:t>
            </w:r>
            <w:r>
              <w:rPr>
                <w:rFonts w:ascii="黑体" w:eastAsia="黑体" w:hint="eastAsia"/>
                <w:spacing w:val="-2"/>
                <w:sz w:val="21"/>
              </w:rPr>
              <w:t>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1"/>
                <w:sz w:val="21"/>
              </w:rPr>
              <w:t>见 </w:t>
            </w:r>
            <w:r>
              <w:rPr>
                <w:rFonts w:ascii="黑体" w:eastAsia="黑体" w:hint="eastAsia"/>
                <w:sz w:val="21"/>
              </w:rPr>
              <w:t>8.8）</w:t>
            </w:r>
            <w:r>
              <w:rPr>
                <w:rFonts w:ascii="黑体" w:eastAsia="黑体" w:hint="eastAsia"/>
                <w:spacing w:val="-2"/>
                <w:sz w:val="21"/>
              </w:rPr>
              <w:t>的机动车；</w:t>
            </w:r>
          </w:p>
          <w:p>
            <w:pPr>
              <w:pStyle w:val="TableParagraph"/>
              <w:spacing w:line="292" w:lineRule="auto" w:before="17"/>
              <w:ind w:right="102" w:hanging="1"/>
              <w:jc w:val="both"/>
              <w:rPr>
                <w:rFonts w:ascii="黑体" w:hAnsi="黑体" w:eastAsia="黑体" w:hint="eastAsia"/>
                <w:sz w:val="21"/>
              </w:rPr>
            </w:pPr>
            <w:r>
              <w:rPr>
                <w:rFonts w:ascii="黑体" w:hAnsi="黑体" w:eastAsia="黑体" w:hint="eastAsia"/>
                <w:spacing w:val="-1"/>
                <w:w w:val="100"/>
                <w:sz w:val="21"/>
              </w:rPr>
              <w:t>五、被保险人</w:t>
            </w:r>
            <w:r>
              <w:rPr>
                <w:rFonts w:ascii="黑体" w:hAnsi="黑体" w:eastAsia="黑体" w:hint="eastAsia"/>
                <w:b/>
                <w:w w:val="100"/>
                <w:sz w:val="21"/>
              </w:rPr>
              <w:t>感染艾滋病病毒或患艾滋病</w:t>
            </w:r>
            <w:r>
              <w:rPr>
                <w:rFonts w:ascii="黑体" w:hAnsi="黑体" w:eastAsia="黑体" w:hint="eastAsia"/>
                <w:w w:val="100"/>
                <w:sz w:val="21"/>
              </w:rPr>
              <w:t>（见</w:t>
            </w:r>
            <w:r>
              <w:rPr>
                <w:rFonts w:ascii="黑体" w:hAnsi="黑体" w:eastAsia="黑体" w:hint="eastAsia"/>
                <w:sz w:val="21"/>
              </w:rPr>
              <w:t> </w:t>
            </w:r>
            <w:r>
              <w:rPr>
                <w:rFonts w:ascii="黑体" w:hAnsi="黑体" w:eastAsia="黑体" w:hint="eastAsia"/>
                <w:spacing w:val="-3"/>
                <w:w w:val="100"/>
                <w:sz w:val="21"/>
              </w:rPr>
              <w:t>8</w:t>
            </w:r>
            <w:r>
              <w:rPr>
                <w:rFonts w:ascii="黑体" w:hAnsi="黑体" w:eastAsia="黑体" w:hint="eastAsia"/>
                <w:w w:val="100"/>
                <w:sz w:val="21"/>
              </w:rPr>
              <w:t>.9</w:t>
            </w:r>
            <w:r>
              <w:rPr>
                <w:rFonts w:ascii="黑体" w:hAnsi="黑体" w:eastAsia="黑体" w:hint="eastAsia"/>
                <w:spacing w:val="-108"/>
                <w:w w:val="100"/>
                <w:sz w:val="21"/>
              </w:rPr>
              <w:t>）</w:t>
            </w:r>
            <w:r>
              <w:rPr>
                <w:rFonts w:ascii="黑体" w:hAnsi="黑体" w:eastAsia="黑体" w:hint="eastAsia"/>
                <w:spacing w:val="-1"/>
                <w:w w:val="100"/>
                <w:sz w:val="21"/>
              </w:rPr>
              <w:t>，被保险人感染艾</w:t>
            </w:r>
            <w:r>
              <w:rPr>
                <w:rFonts w:ascii="黑体" w:hAnsi="黑体" w:eastAsia="黑体" w:hint="eastAsia"/>
                <w:spacing w:val="-8"/>
                <w:sz w:val="21"/>
              </w:rPr>
              <w:t>滋病病毒但符合本附加合同“经输血导致的人类免疫缺陷病毒感染”定</w:t>
            </w:r>
            <w:r>
              <w:rPr>
                <w:rFonts w:ascii="黑体" w:hAnsi="黑体" w:eastAsia="黑体" w:hint="eastAsia"/>
                <w:spacing w:val="-5"/>
                <w:sz w:val="21"/>
              </w:rPr>
              <w:t>义的不在此限；</w:t>
            </w:r>
          </w:p>
          <w:p>
            <w:pPr>
              <w:pStyle w:val="TableParagraph"/>
              <w:spacing w:line="295" w:lineRule="auto" w:before="15"/>
              <w:ind w:right="2752" w:hanging="1"/>
              <w:rPr>
                <w:rFonts w:ascii="黑体" w:eastAsia="黑体" w:hint="eastAsia"/>
                <w:sz w:val="21"/>
              </w:rPr>
            </w:pPr>
            <w:r>
              <w:rPr>
                <w:rFonts w:ascii="黑体" w:eastAsia="黑体" w:hint="eastAsia"/>
                <w:sz w:val="21"/>
              </w:rPr>
              <w:t>六、战争、军事冲突、暴乱或武装叛乱； 七、核爆炸、核辐射或核污染；</w:t>
            </w:r>
          </w:p>
          <w:p>
            <w:pPr>
              <w:pStyle w:val="TableParagraph"/>
              <w:spacing w:line="295" w:lineRule="auto" w:before="13"/>
              <w:ind w:right="103"/>
              <w:jc w:val="both"/>
              <w:rPr>
                <w:rFonts w:ascii="黑体" w:eastAsia="黑体" w:hint="eastAsia"/>
                <w:sz w:val="21"/>
              </w:rPr>
            </w:pPr>
            <w:r>
              <w:rPr>
                <w:rFonts w:ascii="黑体" w:eastAsia="黑体" w:hint="eastAsia"/>
                <w:spacing w:val="-32"/>
                <w:w w:val="100"/>
                <w:sz w:val="21"/>
              </w:rPr>
              <w:t>八、</w:t>
            </w:r>
            <w:r>
              <w:rPr>
                <w:rFonts w:ascii="黑体" w:eastAsia="黑体" w:hint="eastAsia"/>
                <w:b/>
                <w:spacing w:val="-12"/>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5"/>
                <w:sz w:val="21"/>
              </w:rPr>
              <w:t> </w:t>
            </w:r>
            <w:r>
              <w:rPr>
                <w:rFonts w:ascii="黑体" w:eastAsia="黑体" w:hint="eastAsia"/>
                <w:w w:val="100"/>
                <w:sz w:val="21"/>
              </w:rPr>
              <w:t>8.</w:t>
            </w:r>
            <w:r>
              <w:rPr>
                <w:rFonts w:ascii="黑体" w:eastAsia="黑体" w:hint="eastAsia"/>
                <w:spacing w:val="-3"/>
                <w:w w:val="100"/>
                <w:sz w:val="21"/>
              </w:rPr>
              <w:t>1</w:t>
            </w:r>
            <w:r>
              <w:rPr>
                <w:rFonts w:ascii="黑体" w:eastAsia="黑体" w:hint="eastAsia"/>
                <w:w w:val="100"/>
                <w:sz w:val="21"/>
              </w:rPr>
              <w:t>0</w:t>
            </w:r>
            <w:r>
              <w:rPr>
                <w:rFonts w:ascii="黑体" w:eastAsia="黑体" w:hint="eastAsia"/>
                <w:spacing w:val="-108"/>
                <w:w w:val="100"/>
                <w:sz w:val="21"/>
              </w:rPr>
              <w:t>）</w:t>
            </w:r>
            <w:r>
              <w:rPr>
                <w:rFonts w:ascii="黑体" w:eastAsia="黑体" w:hint="eastAsia"/>
                <w:spacing w:val="-63"/>
                <w:w w:val="100"/>
                <w:sz w:val="21"/>
              </w:rPr>
              <w:t>，</w:t>
            </w:r>
            <w:r>
              <w:rPr>
                <w:rFonts w:ascii="黑体" w:eastAsia="黑体" w:hint="eastAsia"/>
                <w:b/>
                <w:spacing w:val="-12"/>
                <w:w w:val="100"/>
                <w:sz w:val="21"/>
              </w:rPr>
              <w:t>先天性畸形、变形及染色体异常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8</w:t>
            </w:r>
            <w:r>
              <w:rPr>
                <w:rFonts w:ascii="黑体" w:eastAsia="黑体" w:hint="eastAsia"/>
                <w:spacing w:val="-3"/>
                <w:w w:val="100"/>
                <w:sz w:val="21"/>
              </w:rPr>
              <w:t>.</w:t>
            </w:r>
            <w:r>
              <w:rPr>
                <w:rFonts w:ascii="黑体" w:eastAsia="黑体" w:hint="eastAsia"/>
                <w:w w:val="100"/>
                <w:sz w:val="21"/>
              </w:rPr>
              <w:t>11</w:t>
            </w:r>
            <w:r>
              <w:rPr>
                <w:rFonts w:ascii="黑体" w:eastAsia="黑体" w:hint="eastAsia"/>
                <w:spacing w:val="-106"/>
                <w:w w:val="100"/>
                <w:sz w:val="21"/>
              </w:rPr>
              <w:t>）。</w:t>
            </w:r>
            <w:r>
              <w:rPr>
                <w:rFonts w:ascii="黑体" w:eastAsia="黑体" w:hint="eastAsia"/>
                <w:sz w:val="21"/>
              </w:rPr>
              <w:t>发Th</w:t>
            </w:r>
            <w:r>
              <w:rPr>
                <w:rFonts w:ascii="黑体" w:eastAsia="黑体" w:hint="eastAsia"/>
                <w:spacing w:val="-3"/>
                <w:sz w:val="21"/>
              </w:rPr>
              <w:t>上述情形之一导致被保险人发</w:t>
            </w:r>
            <w:r>
              <w:rPr>
                <w:rFonts w:ascii="黑体" w:eastAsia="黑体" w:hint="eastAsia"/>
                <w:sz w:val="21"/>
              </w:rPr>
              <w:t>Th</w:t>
            </w:r>
            <w:r>
              <w:rPr>
                <w:rFonts w:ascii="黑体" w:eastAsia="黑体" w:hint="eastAsia"/>
                <w:spacing w:val="-11"/>
                <w:sz w:val="21"/>
              </w:rPr>
              <w:t>重大疾病，本附加合同终止。若我</w:t>
            </w:r>
            <w:r>
              <w:rPr>
                <w:rFonts w:ascii="黑体" w:eastAsia="黑体" w:hint="eastAsia"/>
                <w:spacing w:val="-8"/>
                <w:sz w:val="21"/>
              </w:rPr>
              <w:t>们已收取本附加合同终止日当月的风险保障费用，我们将无息退还合同</w:t>
            </w:r>
            <w:r>
              <w:rPr>
                <w:rFonts w:ascii="黑体" w:eastAsia="黑体" w:hint="eastAsia"/>
                <w:spacing w:val="-3"/>
                <w:sz w:val="21"/>
              </w:rPr>
              <w:t>终止日之后的风险保障费用。</w:t>
            </w:r>
          </w:p>
        </w:tc>
      </w:tr>
      <w:tr>
        <w:trPr>
          <w:trHeight w:val="446" w:hRule="atLeast"/>
        </w:trPr>
        <w:tc>
          <w:tcPr>
            <w:tcW w:w="901" w:type="dxa"/>
            <w:shd w:val="clear" w:color="auto" w:fill="C1C1C1"/>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1C1C1"/>
          </w:tcPr>
          <w:p>
            <w:pPr>
              <w:pStyle w:val="TableParagraph"/>
              <w:spacing w:before="52"/>
              <w:ind w:left="476"/>
              <w:rPr>
                <w:b/>
                <w:sz w:val="21"/>
              </w:rPr>
            </w:pPr>
            <w:r>
              <w:rPr>
                <w:b/>
                <w:sz w:val="21"/>
              </w:rPr>
              <w:t>风险保障费用的收取</w:t>
            </w:r>
          </w:p>
        </w:tc>
      </w:tr>
      <w:tr>
        <w:trPr>
          <w:trHeight w:val="2614" w:hRule="atLeast"/>
        </w:trPr>
        <w:tc>
          <w:tcPr>
            <w:tcW w:w="901" w:type="dxa"/>
          </w:tcPr>
          <w:p>
            <w:pPr>
              <w:pStyle w:val="TableParagraph"/>
              <w:spacing w:before="42"/>
              <w:ind w:left="108"/>
              <w:rPr>
                <w:sz w:val="21"/>
              </w:rPr>
            </w:pPr>
            <w:r>
              <w:rPr>
                <w:sz w:val="21"/>
              </w:rPr>
              <w:t>3.1</w:t>
            </w:r>
          </w:p>
        </w:tc>
        <w:tc>
          <w:tcPr>
            <w:tcW w:w="1848" w:type="dxa"/>
          </w:tcPr>
          <w:p>
            <w:pPr>
              <w:pStyle w:val="TableParagraph"/>
              <w:spacing w:line="295" w:lineRule="auto" w:before="42"/>
              <w:ind w:left="476" w:right="104"/>
              <w:rPr>
                <w:i/>
                <w:sz w:val="21"/>
              </w:rPr>
            </w:pPr>
            <w:r>
              <w:rPr>
                <w:i/>
                <w:sz w:val="21"/>
              </w:rPr>
              <w:t>风险保障费用的收取</w:t>
            </w:r>
          </w:p>
        </w:tc>
        <w:tc>
          <w:tcPr>
            <w:tcW w:w="6647" w:type="dxa"/>
          </w:tcPr>
          <w:p>
            <w:pPr>
              <w:pStyle w:val="TableParagraph"/>
              <w:spacing w:before="42"/>
              <w:rPr>
                <w:i/>
                <w:sz w:val="21"/>
              </w:rPr>
            </w:pPr>
            <w:r>
              <w:rPr>
                <w:i/>
                <w:sz w:val="21"/>
              </w:rPr>
              <w:t>我们对本附加合同承担的保险责任收取相应的风险保障费用。</w:t>
            </w:r>
          </w:p>
          <w:p>
            <w:pPr>
              <w:pStyle w:val="TableParagraph"/>
              <w:spacing w:line="292" w:lineRule="auto" w:before="63"/>
              <w:ind w:left="106" w:right="100"/>
              <w:jc w:val="both"/>
              <w:rPr>
                <w:i/>
                <w:sz w:val="21"/>
              </w:rPr>
            </w:pPr>
            <w:r>
              <w:rPr>
                <w:i/>
                <w:spacing w:val="-10"/>
                <w:sz w:val="21"/>
              </w:rPr>
              <w:t>在主合同每月结算日零时，我们按照当月的实际经过天数从您主合同的</w:t>
            </w:r>
            <w:r>
              <w:rPr>
                <w:i/>
                <w:sz w:val="21"/>
              </w:rPr>
              <w:t>保单账户价值中扣除风险保障费用。风险保障费用根据被保险人的年</w:t>
            </w:r>
            <w:r>
              <w:rPr>
                <w:i/>
                <w:spacing w:val="-11"/>
                <w:sz w:val="21"/>
              </w:rPr>
              <w:t>龄、性别、保险金额及风险程度计算。每日的风险保障费用为年风险保</w:t>
            </w:r>
            <w:r>
              <w:rPr>
                <w:i/>
                <w:spacing w:val="-12"/>
                <w:sz w:val="21"/>
              </w:rPr>
              <w:t>障费用的 </w:t>
            </w:r>
            <w:r>
              <w:rPr>
                <w:sz w:val="21"/>
              </w:rPr>
              <w:t>1/365</w:t>
            </w:r>
            <w:r>
              <w:rPr>
                <w:i/>
                <w:spacing w:val="-7"/>
                <w:sz w:val="21"/>
              </w:rPr>
              <w:t>。标准体每千元保险金额应收取的年风险保障费用参见</w:t>
            </w:r>
            <w:r>
              <w:rPr>
                <w:i/>
                <w:spacing w:val="-14"/>
                <w:sz w:val="21"/>
              </w:rPr>
              <w:t>附表《年风险保障费用表》。如果根据被保险人的风险程度需要增加年</w:t>
            </w:r>
            <w:r>
              <w:rPr>
                <w:i/>
                <w:spacing w:val="-3"/>
                <w:sz w:val="21"/>
              </w:rPr>
              <w:t>风险保障费用的，我们将会在保险单上批注。</w:t>
            </w:r>
          </w:p>
        </w:tc>
      </w:tr>
      <w:tr>
        <w:trPr>
          <w:trHeight w:val="2844" w:hRule="atLeast"/>
        </w:trPr>
        <w:tc>
          <w:tcPr>
            <w:tcW w:w="901" w:type="dxa"/>
          </w:tcPr>
          <w:p>
            <w:pPr>
              <w:pStyle w:val="TableParagraph"/>
              <w:spacing w:before="5"/>
              <w:ind w:left="0"/>
              <w:rPr>
                <w:rFonts w:ascii="Times New Roman"/>
                <w:sz w:val="18"/>
              </w:rPr>
            </w:pPr>
          </w:p>
          <w:p>
            <w:pPr>
              <w:pStyle w:val="TableParagraph"/>
              <w:spacing w:before="0"/>
              <w:ind w:left="108"/>
              <w:rPr>
                <w:sz w:val="21"/>
              </w:rPr>
            </w:pPr>
            <w:r>
              <w:rPr>
                <w:sz w:val="21"/>
              </w:rPr>
              <w:t>3.2</w:t>
            </w:r>
          </w:p>
        </w:tc>
        <w:tc>
          <w:tcPr>
            <w:tcW w:w="1848" w:type="dxa"/>
          </w:tcPr>
          <w:p>
            <w:pPr>
              <w:pStyle w:val="TableParagraph"/>
              <w:spacing w:before="5"/>
              <w:ind w:left="0"/>
              <w:rPr>
                <w:rFonts w:ascii="Times New Roman"/>
                <w:sz w:val="18"/>
              </w:rPr>
            </w:pPr>
          </w:p>
          <w:p>
            <w:pPr>
              <w:pStyle w:val="TableParagraph"/>
              <w:spacing w:line="295" w:lineRule="auto" w:before="0"/>
              <w:ind w:left="476" w:right="104"/>
              <w:rPr>
                <w:i/>
                <w:sz w:val="21"/>
              </w:rPr>
            </w:pPr>
            <w:r>
              <w:rPr>
                <w:i/>
                <w:sz w:val="21"/>
              </w:rPr>
              <w:t>风险保障费用的调整</w:t>
            </w:r>
          </w:p>
        </w:tc>
        <w:tc>
          <w:tcPr>
            <w:tcW w:w="6647" w:type="dxa"/>
          </w:tcPr>
          <w:p>
            <w:pPr>
              <w:pStyle w:val="TableParagraph"/>
              <w:spacing w:before="5"/>
              <w:ind w:left="0"/>
              <w:rPr>
                <w:rFonts w:ascii="Times New Roman"/>
                <w:sz w:val="18"/>
              </w:rPr>
            </w:pPr>
          </w:p>
          <w:p>
            <w:pPr>
              <w:pStyle w:val="TableParagraph"/>
              <w:spacing w:before="0"/>
              <w:rPr>
                <w:i/>
                <w:sz w:val="21"/>
              </w:rPr>
            </w:pPr>
            <w:r>
              <w:rPr>
                <w:i/>
                <w:sz w:val="21"/>
              </w:rPr>
              <w:t>我们保留提高或降低风险保障费用的权利。</w:t>
            </w:r>
          </w:p>
          <w:p>
            <w:pPr>
              <w:pStyle w:val="TableParagraph"/>
              <w:spacing w:line="292" w:lineRule="auto" w:before="63"/>
              <w:ind w:right="102"/>
              <w:jc w:val="both"/>
              <w:rPr>
                <w:i/>
                <w:sz w:val="21"/>
              </w:rPr>
            </w:pPr>
            <w:r>
              <w:rPr>
                <w:i/>
                <w:sz w:val="21"/>
              </w:rPr>
              <w:t>我们将根据制定本附加合同风险保障费用的重大疾病发生率与实际重</w:t>
            </w:r>
            <w:r>
              <w:rPr>
                <w:i/>
                <w:spacing w:val="-8"/>
                <w:sz w:val="21"/>
              </w:rPr>
              <w:t>大疾病发生率的偏差程度，决定是否调整风险保障费用。如果需要调整</w:t>
            </w:r>
            <w:r>
              <w:rPr>
                <w:i/>
                <w:spacing w:val="-12"/>
                <w:sz w:val="21"/>
              </w:rPr>
              <w:t>风险保障费用，公司会将调整后的风险保障费用向国务院保险监督管理机构备案。本附加合同的风险保障费用调整将针对所有被保险人或者同</w:t>
            </w:r>
            <w:r>
              <w:rPr>
                <w:i/>
                <w:spacing w:val="-3"/>
                <w:sz w:val="21"/>
              </w:rPr>
              <w:t>一投保年龄的所有被保险人。</w:t>
            </w:r>
          </w:p>
          <w:p>
            <w:pPr>
              <w:pStyle w:val="TableParagraph"/>
              <w:spacing w:before="14"/>
              <w:jc w:val="both"/>
              <w:rPr>
                <w:i/>
                <w:sz w:val="21"/>
              </w:rPr>
            </w:pPr>
            <w:r>
              <w:rPr>
                <w:i/>
                <w:sz w:val="21"/>
              </w:rPr>
              <w:t>我们在进行风险保障费用调整后，每月收取的风险保障费用将按调整后</w:t>
            </w:r>
          </w:p>
          <w:p>
            <w:pPr>
              <w:pStyle w:val="TableParagraph"/>
              <w:spacing w:line="255" w:lineRule="exact" w:before="60"/>
              <w:jc w:val="both"/>
              <w:rPr>
                <w:i/>
                <w:sz w:val="21"/>
              </w:rPr>
            </w:pPr>
            <w:r>
              <w:rPr>
                <w:i/>
                <w:sz w:val="21"/>
              </w:rPr>
              <w:t>的风险保障费用计算，调整前已收取的风险保障费用不受影响。</w:t>
            </w:r>
          </w:p>
        </w:tc>
      </w:tr>
    </w:tbl>
    <w:p>
      <w:pPr>
        <w:spacing w:after="0" w:line="255" w:lineRule="exact"/>
        <w:jc w:val="both"/>
        <w:rPr>
          <w:sz w:val="21"/>
        </w:rPr>
        <w:sectPr>
          <w:pgSz w:w="11910" w:h="16840"/>
          <w:pgMar w:header="0" w:footer="921" w:top="150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8"/>
        <w:gridCol w:w="6647"/>
      </w:tblGrid>
      <w:tr>
        <w:trPr>
          <w:trHeight w:val="446" w:hRule="atLeast"/>
        </w:trPr>
        <w:tc>
          <w:tcPr>
            <w:tcW w:w="902"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5"/>
              <w:rPr>
                <w:b/>
                <w:sz w:val="21"/>
              </w:rPr>
            </w:pPr>
            <w:r>
              <w:rPr>
                <w:b/>
                <w:sz w:val="21"/>
              </w:rPr>
              <w:t>您对本附加合同拥有的权利</w:t>
            </w:r>
          </w:p>
        </w:tc>
      </w:tr>
      <w:tr>
        <w:trPr>
          <w:trHeight w:val="2314" w:hRule="atLeast"/>
        </w:trPr>
        <w:tc>
          <w:tcPr>
            <w:tcW w:w="902" w:type="dxa"/>
          </w:tcPr>
          <w:p>
            <w:pPr>
              <w:pStyle w:val="TableParagraph"/>
              <w:spacing w:before="42"/>
              <w:ind w:left="108"/>
              <w:rPr>
                <w:sz w:val="21"/>
              </w:rPr>
            </w:pPr>
            <w:r>
              <w:rPr>
                <w:sz w:val="21"/>
              </w:rPr>
              <w:t>4.1</w:t>
            </w:r>
          </w:p>
        </w:tc>
        <w:tc>
          <w:tcPr>
            <w:tcW w:w="1848" w:type="dxa"/>
          </w:tcPr>
          <w:p>
            <w:pPr>
              <w:pStyle w:val="TableParagraph"/>
              <w:spacing w:before="42"/>
              <w:ind w:left="475"/>
              <w:rPr>
                <w:i/>
                <w:sz w:val="21"/>
              </w:rPr>
            </w:pPr>
            <w:r>
              <w:rPr>
                <w:i/>
                <w:sz w:val="21"/>
              </w:rPr>
              <w:t>犹豫期</w:t>
            </w:r>
          </w:p>
        </w:tc>
        <w:tc>
          <w:tcPr>
            <w:tcW w:w="6647" w:type="dxa"/>
          </w:tcPr>
          <w:p>
            <w:pPr>
              <w:pStyle w:val="TableParagraph"/>
              <w:spacing w:line="300" w:lineRule="auto" w:before="45"/>
              <w:ind w:left="106" w:right="103"/>
              <w:rPr>
                <w:i/>
                <w:sz w:val="21"/>
              </w:rPr>
            </w:pPr>
            <w:r>
              <w:rPr>
                <w:i/>
                <w:spacing w:val="-9"/>
                <w:sz w:val="21"/>
              </w:rPr>
              <w:t>如果未发生保险金给付，自本附加合同签收日起十日内，您可以解除本</w:t>
            </w:r>
            <w:r>
              <w:rPr>
                <w:i/>
                <w:spacing w:val="-5"/>
                <w:sz w:val="21"/>
              </w:rPr>
              <w:t>附加合同。</w:t>
            </w:r>
          </w:p>
          <w:p>
            <w:pPr>
              <w:pStyle w:val="TableParagraph"/>
              <w:spacing w:line="300" w:lineRule="auto" w:before="15"/>
              <w:ind w:left="106" w:right="-15"/>
              <w:rPr>
                <w:i/>
                <w:sz w:val="21"/>
              </w:rPr>
            </w:pPr>
            <w:r>
              <w:rPr>
                <w:i/>
                <w:spacing w:val="-10"/>
                <w:sz w:val="21"/>
              </w:rPr>
              <w:t>在解除合同时，您需要填写书面申请书，并提供您的保险合同及身份证</w:t>
            </w:r>
            <w:r>
              <w:rPr>
                <w:i/>
                <w:spacing w:val="-18"/>
                <w:w w:val="100"/>
                <w:sz w:val="21"/>
              </w:rPr>
              <w:t>明。自您书面申请解除本附加合同时起</w:t>
            </w:r>
            <w:r>
              <w:rPr>
                <w:i/>
                <w:spacing w:val="-3"/>
                <w:w w:val="100"/>
                <w:sz w:val="21"/>
              </w:rPr>
              <w:t>（</w:t>
            </w:r>
            <w:r>
              <w:rPr>
                <w:i/>
                <w:spacing w:val="-12"/>
                <w:w w:val="100"/>
                <w:sz w:val="21"/>
              </w:rPr>
              <w:t>若为邮寄，则以寄发邮戳为准</w:t>
            </w:r>
            <w:r>
              <w:rPr>
                <w:i/>
                <w:spacing w:val="-106"/>
                <w:w w:val="100"/>
                <w:sz w:val="21"/>
              </w:rPr>
              <w:t>）</w:t>
            </w:r>
            <w:r>
              <w:rPr>
                <w:i/>
                <w:w w:val="100"/>
                <w:sz w:val="21"/>
              </w:rPr>
              <w:t>，</w:t>
            </w:r>
            <w:r>
              <w:rPr>
                <w:i/>
                <w:spacing w:val="-16"/>
                <w:sz w:val="21"/>
              </w:rPr>
              <w:t>本附加合同即被解除，我们自始不承担保险责任。在本附加合同解除后， </w:t>
            </w:r>
            <w:r>
              <w:rPr>
                <w:i/>
                <w:spacing w:val="-7"/>
                <w:sz w:val="21"/>
              </w:rPr>
              <w:t>我们将无息退还已收取的风险保障费用。</w:t>
            </w:r>
          </w:p>
        </w:tc>
      </w:tr>
      <w:tr>
        <w:trPr>
          <w:trHeight w:val="3289" w:hRule="atLeast"/>
        </w:trPr>
        <w:tc>
          <w:tcPr>
            <w:tcW w:w="902" w:type="dxa"/>
          </w:tcPr>
          <w:p>
            <w:pPr>
              <w:pStyle w:val="TableParagraph"/>
              <w:spacing w:before="7"/>
              <w:ind w:left="0"/>
              <w:rPr>
                <w:rFonts w:ascii="Times New Roman"/>
                <w:sz w:val="18"/>
              </w:rPr>
            </w:pPr>
          </w:p>
          <w:p>
            <w:pPr>
              <w:pStyle w:val="TableParagraph"/>
              <w:spacing w:before="0"/>
              <w:ind w:left="108"/>
              <w:rPr>
                <w:sz w:val="21"/>
              </w:rPr>
            </w:pPr>
            <w:r>
              <w:rPr>
                <w:sz w:val="21"/>
              </w:rPr>
              <w:t>4.2</w:t>
            </w:r>
          </w:p>
        </w:tc>
        <w:tc>
          <w:tcPr>
            <w:tcW w:w="1848" w:type="dxa"/>
          </w:tcPr>
          <w:p>
            <w:pPr>
              <w:pStyle w:val="TableParagraph"/>
              <w:spacing w:before="7"/>
              <w:ind w:left="0"/>
              <w:rPr>
                <w:rFonts w:ascii="Times New Roman"/>
                <w:sz w:val="18"/>
              </w:rPr>
            </w:pPr>
          </w:p>
          <w:p>
            <w:pPr>
              <w:pStyle w:val="TableParagraph"/>
              <w:spacing w:line="292" w:lineRule="auto" w:before="0"/>
              <w:ind w:left="475" w:right="105"/>
              <w:rPr>
                <w:i/>
                <w:sz w:val="21"/>
              </w:rPr>
            </w:pPr>
            <w:r>
              <w:rPr>
                <w:i/>
                <w:sz w:val="21"/>
              </w:rPr>
              <w:t>附加合同的解除</w:t>
            </w:r>
          </w:p>
        </w:tc>
        <w:tc>
          <w:tcPr>
            <w:tcW w:w="6647" w:type="dxa"/>
          </w:tcPr>
          <w:p>
            <w:pPr>
              <w:pStyle w:val="TableParagraph"/>
              <w:spacing w:before="7"/>
              <w:ind w:left="0"/>
              <w:rPr>
                <w:rFonts w:ascii="Times New Roman"/>
                <w:sz w:val="18"/>
              </w:rPr>
            </w:pPr>
          </w:p>
          <w:p>
            <w:pPr>
              <w:pStyle w:val="TableParagraph"/>
              <w:spacing w:line="292" w:lineRule="auto" w:before="0"/>
              <w:ind w:left="106" w:right="103"/>
              <w:rPr>
                <w:i/>
                <w:sz w:val="21"/>
              </w:rPr>
            </w:pPr>
            <w:r>
              <w:rPr>
                <w:i/>
                <w:spacing w:val="-8"/>
                <w:sz w:val="21"/>
              </w:rPr>
              <w:t>在本附加合同保险期间内，您可以书面申请解除本附加合同，并向我们</w:t>
            </w:r>
            <w:r>
              <w:rPr>
                <w:i/>
                <w:spacing w:val="-5"/>
                <w:sz w:val="21"/>
              </w:rPr>
              <w:t>提供下列证明和资料：</w:t>
            </w:r>
          </w:p>
          <w:p>
            <w:pPr>
              <w:pStyle w:val="TableParagraph"/>
              <w:spacing w:before="14"/>
              <w:ind w:left="106"/>
              <w:rPr>
                <w:i/>
                <w:sz w:val="21"/>
              </w:rPr>
            </w:pPr>
            <w:r>
              <w:rPr>
                <w:i/>
                <w:sz w:val="21"/>
              </w:rPr>
              <w:t>一、保险合同；</w:t>
            </w:r>
          </w:p>
          <w:p>
            <w:pPr>
              <w:pStyle w:val="TableParagraph"/>
              <w:spacing w:line="292" w:lineRule="auto" w:before="63"/>
              <w:ind w:left="106" w:right="4436"/>
              <w:rPr>
                <w:i/>
                <w:sz w:val="21"/>
              </w:rPr>
            </w:pPr>
            <w:r>
              <w:rPr>
                <w:i/>
                <w:sz w:val="21"/>
              </w:rPr>
              <w:t>二、解除合同申请书； 三、您的身份证明。</w:t>
            </w:r>
          </w:p>
          <w:p>
            <w:pPr>
              <w:pStyle w:val="TableParagraph"/>
              <w:spacing w:line="295" w:lineRule="auto" w:before="15"/>
              <w:ind w:left="106" w:right="104"/>
              <w:jc w:val="both"/>
              <w:rPr>
                <w:i/>
                <w:sz w:val="21"/>
              </w:rPr>
            </w:pPr>
            <w:r>
              <w:rPr>
                <w:i/>
                <w:spacing w:val="-8"/>
                <w:sz w:val="21"/>
              </w:rPr>
              <w:t>自我们收到上述证明和资料之日起，本附加合同终止。若我们已收取本</w:t>
            </w:r>
            <w:r>
              <w:rPr>
                <w:i/>
                <w:spacing w:val="-10"/>
                <w:sz w:val="21"/>
              </w:rPr>
              <w:t>附加合同终止日当月的风险保障费用，我们在收到上述证明和资料之日</w:t>
            </w:r>
            <w:r>
              <w:rPr>
                <w:i/>
                <w:spacing w:val="-5"/>
                <w:sz w:val="21"/>
              </w:rPr>
              <w:t>起三十日内无息退还合同终止日之后的风险保障费用。</w:t>
            </w:r>
          </w:p>
        </w:tc>
      </w:tr>
      <w:tr>
        <w:trPr>
          <w:trHeight w:val="480" w:hRule="atLeast"/>
        </w:trPr>
        <w:tc>
          <w:tcPr>
            <w:tcW w:w="902" w:type="dxa"/>
            <w:shd w:val="clear" w:color="auto" w:fill="CDCDCD"/>
          </w:tcPr>
          <w:p>
            <w:pPr>
              <w:pStyle w:val="TableParagraph"/>
              <w:spacing w:before="60"/>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69"/>
              <w:ind w:left="475"/>
              <w:rPr>
                <w:b/>
                <w:sz w:val="21"/>
              </w:rPr>
            </w:pPr>
            <w:r>
              <w:rPr>
                <w:b/>
                <w:sz w:val="21"/>
              </w:rPr>
              <w:t>合同效力的中止和恢复</w:t>
            </w:r>
          </w:p>
        </w:tc>
      </w:tr>
      <w:tr>
        <w:trPr>
          <w:trHeight w:val="3672" w:hRule="atLeast"/>
        </w:trPr>
        <w:tc>
          <w:tcPr>
            <w:tcW w:w="902" w:type="dxa"/>
          </w:tcPr>
          <w:p>
            <w:pPr>
              <w:pStyle w:val="TableParagraph"/>
              <w:spacing w:before="45"/>
              <w:ind w:left="108"/>
              <w:rPr>
                <w:sz w:val="21"/>
              </w:rPr>
            </w:pPr>
            <w:r>
              <w:rPr>
                <w:sz w:val="21"/>
              </w:rPr>
              <w:t>5.1</w:t>
            </w:r>
          </w:p>
        </w:tc>
        <w:tc>
          <w:tcPr>
            <w:tcW w:w="1848" w:type="dxa"/>
          </w:tcPr>
          <w:p>
            <w:pPr>
              <w:pStyle w:val="TableParagraph"/>
              <w:spacing w:before="45"/>
              <w:ind w:left="475"/>
              <w:rPr>
                <w:i/>
                <w:sz w:val="21"/>
              </w:rPr>
            </w:pPr>
            <w:r>
              <w:rPr>
                <w:i/>
                <w:sz w:val="21"/>
              </w:rPr>
              <w:t>宽限期间</w:t>
            </w:r>
          </w:p>
        </w:tc>
        <w:tc>
          <w:tcPr>
            <w:tcW w:w="6647" w:type="dxa"/>
          </w:tcPr>
          <w:p>
            <w:pPr>
              <w:pStyle w:val="TableParagraph"/>
              <w:spacing w:line="300" w:lineRule="auto" w:before="47"/>
              <w:ind w:left="106" w:right="103"/>
              <w:jc w:val="both"/>
              <w:rPr>
                <w:i/>
                <w:sz w:val="21"/>
              </w:rPr>
            </w:pPr>
            <w:r>
              <w:rPr>
                <w:i/>
                <w:spacing w:val="-9"/>
                <w:sz w:val="21"/>
              </w:rPr>
              <w:t>本附加合同有效期间内，在主合同每月结算日零时，若主合同保单账户</w:t>
            </w:r>
            <w:r>
              <w:rPr>
                <w:i/>
                <w:sz w:val="21"/>
              </w:rPr>
              <w:t>价值不足以同时支付主合同的保单管理费和风险保障费用及本附加合</w:t>
            </w:r>
            <w:r>
              <w:rPr>
                <w:i/>
                <w:spacing w:val="-11"/>
                <w:sz w:val="21"/>
              </w:rPr>
              <w:t>同的风险保障费用，则自该结算日起六十日为主合同及本附加合同的宽</w:t>
            </w:r>
            <w:r>
              <w:rPr>
                <w:i/>
                <w:spacing w:val="-7"/>
                <w:sz w:val="21"/>
              </w:rPr>
              <w:t>限期间。</w:t>
            </w:r>
          </w:p>
          <w:p>
            <w:pPr>
              <w:pStyle w:val="TableParagraph"/>
              <w:spacing w:line="300" w:lineRule="auto" w:before="15"/>
              <w:ind w:left="106" w:right="103"/>
              <w:jc w:val="both"/>
              <w:rPr>
                <w:i/>
                <w:sz w:val="21"/>
              </w:rPr>
            </w:pPr>
            <w:r>
              <w:rPr>
                <w:i/>
                <w:spacing w:val="-8"/>
                <w:sz w:val="21"/>
              </w:rPr>
              <w:t>对宽限期间内发生的保险事故，我们承担保险责任，但在给付保险金时</w:t>
            </w:r>
            <w:r>
              <w:rPr>
                <w:i/>
                <w:sz w:val="21"/>
              </w:rPr>
              <w:t>会扣除您欠交的主合同的保单管理费和风险保障费用及本附加合同的</w:t>
            </w:r>
            <w:r>
              <w:rPr>
                <w:i/>
                <w:spacing w:val="-2"/>
                <w:sz w:val="21"/>
              </w:rPr>
              <w:t>风险保障费用。</w:t>
            </w:r>
          </w:p>
          <w:p>
            <w:pPr>
              <w:pStyle w:val="TableParagraph"/>
              <w:spacing w:line="300" w:lineRule="auto" w:before="15"/>
              <w:ind w:left="106" w:right="102"/>
              <w:jc w:val="both"/>
              <w:rPr>
                <w:i/>
                <w:sz w:val="21"/>
              </w:rPr>
            </w:pPr>
            <w:r>
              <w:rPr>
                <w:i/>
                <w:sz w:val="21"/>
              </w:rPr>
              <w:t>若您在宽限期届满前主合同保单账户价值不足以支付所有欠交的主合</w:t>
            </w:r>
            <w:r>
              <w:rPr>
                <w:i/>
                <w:spacing w:val="-9"/>
                <w:sz w:val="21"/>
              </w:rPr>
              <w:t>同的保单管理费和风险保障费及本附加合同的风险保障费用，则本 附加</w:t>
            </w:r>
            <w:r>
              <w:rPr>
                <w:i/>
                <w:spacing w:val="-5"/>
                <w:sz w:val="21"/>
              </w:rPr>
              <w:t>合同自宽限期届满之日二十四时起效力中止。</w:t>
            </w:r>
          </w:p>
        </w:tc>
      </w:tr>
      <w:tr>
        <w:trPr>
          <w:trHeight w:val="750" w:hRule="atLeast"/>
        </w:trPr>
        <w:tc>
          <w:tcPr>
            <w:tcW w:w="902" w:type="dxa"/>
          </w:tcPr>
          <w:p>
            <w:pPr>
              <w:pStyle w:val="TableParagraph"/>
              <w:spacing w:before="1"/>
              <w:ind w:left="0"/>
              <w:rPr>
                <w:rFonts w:ascii="Times New Roman"/>
                <w:sz w:val="20"/>
              </w:rPr>
            </w:pPr>
          </w:p>
          <w:p>
            <w:pPr>
              <w:pStyle w:val="TableParagraph"/>
              <w:spacing w:before="0"/>
              <w:ind w:left="108"/>
              <w:rPr>
                <w:sz w:val="21"/>
              </w:rPr>
            </w:pPr>
            <w:r>
              <w:rPr>
                <w:sz w:val="21"/>
              </w:rPr>
              <w:t>5.2</w:t>
            </w:r>
          </w:p>
        </w:tc>
        <w:tc>
          <w:tcPr>
            <w:tcW w:w="1848" w:type="dxa"/>
          </w:tcPr>
          <w:p>
            <w:pPr>
              <w:pStyle w:val="TableParagraph"/>
              <w:spacing w:before="1"/>
              <w:ind w:left="0"/>
              <w:rPr>
                <w:rFonts w:ascii="Times New Roman"/>
                <w:sz w:val="20"/>
              </w:rPr>
            </w:pPr>
          </w:p>
          <w:p>
            <w:pPr>
              <w:pStyle w:val="TableParagraph"/>
              <w:spacing w:before="0"/>
              <w:ind w:left="475"/>
              <w:rPr>
                <w:i/>
                <w:sz w:val="21"/>
              </w:rPr>
            </w:pPr>
            <w:r>
              <w:rPr>
                <w:i/>
                <w:sz w:val="21"/>
              </w:rPr>
              <w:t>效力中止</w:t>
            </w:r>
          </w:p>
        </w:tc>
        <w:tc>
          <w:tcPr>
            <w:tcW w:w="6647" w:type="dxa"/>
          </w:tcPr>
          <w:p>
            <w:pPr>
              <w:pStyle w:val="TableParagraph"/>
              <w:spacing w:before="2"/>
              <w:ind w:left="0"/>
              <w:rPr>
                <w:rFonts w:ascii="Times New Roman"/>
                <w:sz w:val="17"/>
              </w:rPr>
            </w:pPr>
          </w:p>
          <w:p>
            <w:pPr>
              <w:pStyle w:val="TableParagraph"/>
              <w:spacing w:before="0"/>
              <w:ind w:left="106"/>
              <w:rPr>
                <w:i/>
                <w:sz w:val="21"/>
              </w:rPr>
            </w:pPr>
            <w:bookmarkStart w:name="在本附加合同效力中止期间，我们不承担保险责任。" w:id="1"/>
            <w:bookmarkEnd w:id="1"/>
            <w:r>
              <w:rPr/>
            </w:r>
            <w:r>
              <w:rPr>
                <w:i/>
                <w:sz w:val="21"/>
              </w:rPr>
              <w:t>在本附加合同效力中止期间，我们不承担保险责任。</w:t>
            </w:r>
          </w:p>
        </w:tc>
      </w:tr>
      <w:tr>
        <w:trPr>
          <w:trHeight w:val="2277" w:hRule="atLeast"/>
        </w:trPr>
        <w:tc>
          <w:tcPr>
            <w:tcW w:w="902" w:type="dxa"/>
          </w:tcPr>
          <w:p>
            <w:pPr>
              <w:pStyle w:val="TableParagraph"/>
              <w:spacing w:before="180"/>
              <w:ind w:left="108"/>
              <w:rPr>
                <w:sz w:val="21"/>
              </w:rPr>
            </w:pPr>
            <w:r>
              <w:rPr>
                <w:sz w:val="21"/>
              </w:rPr>
              <w:t>5.3</w:t>
            </w:r>
          </w:p>
        </w:tc>
        <w:tc>
          <w:tcPr>
            <w:tcW w:w="1848" w:type="dxa"/>
          </w:tcPr>
          <w:p>
            <w:pPr>
              <w:pStyle w:val="TableParagraph"/>
              <w:spacing w:before="180"/>
              <w:ind w:left="476"/>
              <w:rPr>
                <w:i/>
                <w:sz w:val="21"/>
              </w:rPr>
            </w:pPr>
            <w:r>
              <w:rPr>
                <w:i/>
                <w:sz w:val="21"/>
              </w:rPr>
              <w:t>效力恢复</w:t>
            </w:r>
          </w:p>
        </w:tc>
        <w:tc>
          <w:tcPr>
            <w:tcW w:w="6647" w:type="dxa"/>
          </w:tcPr>
          <w:p>
            <w:pPr>
              <w:pStyle w:val="TableParagraph"/>
              <w:spacing w:before="9"/>
              <w:ind w:left="0"/>
              <w:rPr>
                <w:rFonts w:ascii="Times New Roman"/>
                <w:sz w:val="15"/>
              </w:rPr>
            </w:pPr>
          </w:p>
          <w:p>
            <w:pPr>
              <w:pStyle w:val="TableParagraph"/>
              <w:spacing w:line="300" w:lineRule="auto" w:before="0"/>
              <w:ind w:left="106" w:right="102" w:hanging="1"/>
              <w:jc w:val="both"/>
              <w:rPr>
                <w:i/>
                <w:sz w:val="21"/>
              </w:rPr>
            </w:pPr>
            <w:r>
              <w:rPr>
                <w:i/>
                <w:spacing w:val="-8"/>
                <w:sz w:val="21"/>
              </w:rPr>
              <w:t>自本附加合同效力中止之日起二年内，您可以书面申请恢复本附加合同</w:t>
            </w:r>
            <w:r>
              <w:rPr>
                <w:i/>
                <w:spacing w:val="-11"/>
                <w:sz w:val="21"/>
              </w:rPr>
              <w:t>效力，经我们审核同意，本附加合同自保险单载明的复效日期的零时起</w:t>
            </w:r>
            <w:r>
              <w:rPr>
                <w:i/>
                <w:spacing w:val="-6"/>
                <w:sz w:val="21"/>
              </w:rPr>
              <w:t>恢复效力，我们将同时扣除您欠交的各项费用。</w:t>
            </w:r>
          </w:p>
          <w:p>
            <w:pPr>
              <w:pStyle w:val="TableParagraph"/>
              <w:spacing w:line="300" w:lineRule="auto" w:before="15"/>
              <w:ind w:left="106" w:right="21"/>
              <w:jc w:val="both"/>
              <w:rPr>
                <w:i/>
                <w:sz w:val="21"/>
              </w:rPr>
            </w:pPr>
            <w:r>
              <w:rPr>
                <w:i/>
                <w:sz w:val="21"/>
              </w:rPr>
              <w:t>自本附加合同效力中止之日起满二年双方未达成合同效力恢复协议的， 我们可以解除本附加合同。</w:t>
            </w:r>
          </w:p>
        </w:tc>
      </w:tr>
      <w:tr>
        <w:trPr>
          <w:trHeight w:val="427" w:hRule="atLeast"/>
        </w:trPr>
        <w:tc>
          <w:tcPr>
            <w:tcW w:w="902" w:type="dxa"/>
            <w:shd w:val="clear" w:color="auto" w:fill="CDCDCD"/>
          </w:tcPr>
          <w:p>
            <w:pPr>
              <w:pStyle w:val="TableParagraph"/>
              <w:spacing w:before="14"/>
              <w:ind w:left="108"/>
              <w:rPr>
                <w:rFonts w:ascii="Arial" w:hAnsi="Arial"/>
                <w:b/>
                <w:sz w:val="32"/>
              </w:rPr>
            </w:pPr>
            <w:r>
              <w:rPr>
                <w:rFonts w:ascii="Arial" w:hAnsi="Arial"/>
                <w:b/>
                <w:w w:val="118"/>
                <w:sz w:val="32"/>
              </w:rPr>
              <w:t></w:t>
            </w:r>
          </w:p>
        </w:tc>
        <w:tc>
          <w:tcPr>
            <w:tcW w:w="8495" w:type="dxa"/>
            <w:gridSpan w:val="2"/>
            <w:shd w:val="clear" w:color="auto" w:fill="CDCDCD"/>
          </w:tcPr>
          <w:p>
            <w:pPr>
              <w:pStyle w:val="TableParagraph"/>
              <w:spacing w:before="42"/>
              <w:ind w:left="475"/>
              <w:rPr>
                <w:b/>
                <w:sz w:val="21"/>
              </w:rPr>
            </w:pPr>
            <w:r>
              <w:rPr>
                <w:b/>
                <w:sz w:val="21"/>
              </w:rPr>
              <w:t>如何申请领取保险金</w:t>
            </w:r>
          </w:p>
        </w:tc>
      </w:tr>
    </w:tbl>
    <w:p>
      <w:pPr>
        <w:spacing w:after="0"/>
        <w:rPr>
          <w:sz w:val="21"/>
        </w:rPr>
        <w:sectPr>
          <w:pgSz w:w="11910" w:h="16840"/>
          <w:pgMar w:header="0" w:footer="921" w:top="140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2"/>
        <w:gridCol w:w="1849"/>
        <w:gridCol w:w="6647"/>
      </w:tblGrid>
      <w:tr>
        <w:trPr>
          <w:trHeight w:val="655" w:hRule="atLeast"/>
        </w:trPr>
        <w:tc>
          <w:tcPr>
            <w:tcW w:w="902" w:type="dxa"/>
          </w:tcPr>
          <w:p>
            <w:pPr>
              <w:pStyle w:val="TableParagraph"/>
              <w:spacing w:line="211" w:lineRule="exact" w:before="0"/>
              <w:ind w:left="108"/>
              <w:rPr>
                <w:sz w:val="21"/>
              </w:rPr>
            </w:pPr>
            <w:r>
              <w:rPr>
                <w:sz w:val="21"/>
              </w:rPr>
              <w:t>6.1</w:t>
            </w:r>
          </w:p>
        </w:tc>
        <w:tc>
          <w:tcPr>
            <w:tcW w:w="1849" w:type="dxa"/>
          </w:tcPr>
          <w:p>
            <w:pPr>
              <w:pStyle w:val="TableParagraph"/>
              <w:spacing w:line="211" w:lineRule="exact" w:before="0"/>
              <w:ind w:left="475"/>
              <w:rPr>
                <w:i/>
                <w:sz w:val="21"/>
              </w:rPr>
            </w:pPr>
            <w:r>
              <w:rPr>
                <w:i/>
                <w:sz w:val="21"/>
              </w:rPr>
              <w:t>受益人指定与</w:t>
            </w:r>
          </w:p>
          <w:p>
            <w:pPr>
              <w:pStyle w:val="TableParagraph"/>
              <w:spacing w:before="61"/>
              <w:ind w:left="475"/>
              <w:rPr>
                <w:i/>
                <w:sz w:val="21"/>
              </w:rPr>
            </w:pPr>
            <w:r>
              <w:rPr>
                <w:i/>
                <w:sz w:val="21"/>
              </w:rPr>
              <w:t>变更</w:t>
            </w:r>
          </w:p>
        </w:tc>
        <w:tc>
          <w:tcPr>
            <w:tcW w:w="6647" w:type="dxa"/>
          </w:tcPr>
          <w:p>
            <w:pPr>
              <w:pStyle w:val="TableParagraph"/>
              <w:spacing w:line="211" w:lineRule="exact" w:before="0"/>
              <w:ind w:left="105"/>
              <w:rPr>
                <w:i/>
                <w:sz w:val="21"/>
              </w:rPr>
            </w:pPr>
            <w:r>
              <w:rPr>
                <w:i/>
                <w:sz w:val="21"/>
              </w:rPr>
              <w:t>除另有约定外，本附加合同重大疾病保险金的受益人为被保险人本人。</w:t>
            </w:r>
          </w:p>
        </w:tc>
      </w:tr>
      <w:tr>
        <w:trPr>
          <w:trHeight w:val="931" w:hRule="atLeast"/>
        </w:trPr>
        <w:tc>
          <w:tcPr>
            <w:tcW w:w="902" w:type="dxa"/>
          </w:tcPr>
          <w:p>
            <w:pPr>
              <w:pStyle w:val="TableParagraph"/>
              <w:spacing w:before="44"/>
              <w:ind w:left="108"/>
              <w:rPr>
                <w:sz w:val="21"/>
              </w:rPr>
            </w:pPr>
            <w:r>
              <w:rPr>
                <w:sz w:val="21"/>
              </w:rPr>
              <w:t>6.2</w:t>
            </w:r>
          </w:p>
        </w:tc>
        <w:tc>
          <w:tcPr>
            <w:tcW w:w="1849" w:type="dxa"/>
          </w:tcPr>
          <w:p>
            <w:pPr>
              <w:pStyle w:val="TableParagraph"/>
              <w:spacing w:line="292" w:lineRule="auto" w:before="44"/>
              <w:ind w:left="475" w:right="106"/>
              <w:rPr>
                <w:i/>
                <w:sz w:val="21"/>
              </w:rPr>
            </w:pPr>
            <w:r>
              <w:rPr>
                <w:i/>
                <w:sz w:val="21"/>
              </w:rPr>
              <w:t>保险金申请时效</w:t>
            </w:r>
          </w:p>
        </w:tc>
        <w:tc>
          <w:tcPr>
            <w:tcW w:w="6647" w:type="dxa"/>
          </w:tcPr>
          <w:p>
            <w:pPr>
              <w:pStyle w:val="TableParagraph"/>
              <w:spacing w:line="292" w:lineRule="auto" w:before="44"/>
              <w:ind w:left="105" w:right="106"/>
              <w:rPr>
                <w:i/>
                <w:sz w:val="21"/>
              </w:rPr>
            </w:pPr>
            <w:r>
              <w:rPr>
                <w:i/>
                <w:sz w:val="21"/>
              </w:rPr>
              <w:t>受益人及其他有权领取保险金的人向我们申请给付保险金的诉讼时效期间为两年，自其知道或应当知道保险事故发生之日起计算。</w:t>
            </w:r>
          </w:p>
        </w:tc>
      </w:tr>
      <w:tr>
        <w:trPr>
          <w:trHeight w:val="4976" w:hRule="atLeast"/>
        </w:trPr>
        <w:tc>
          <w:tcPr>
            <w:tcW w:w="902" w:type="dxa"/>
          </w:tcPr>
          <w:p>
            <w:pPr>
              <w:pStyle w:val="TableParagraph"/>
              <w:spacing w:before="5"/>
              <w:ind w:left="0"/>
              <w:rPr>
                <w:rFonts w:ascii="Times New Roman"/>
                <w:sz w:val="18"/>
              </w:rPr>
            </w:pPr>
          </w:p>
          <w:p>
            <w:pPr>
              <w:pStyle w:val="TableParagraph"/>
              <w:spacing w:before="0"/>
              <w:ind w:left="108"/>
              <w:rPr>
                <w:sz w:val="21"/>
              </w:rPr>
            </w:pPr>
            <w:r>
              <w:rPr>
                <w:sz w:val="21"/>
              </w:rPr>
              <w:t>6.3</w:t>
            </w:r>
          </w:p>
        </w:tc>
        <w:tc>
          <w:tcPr>
            <w:tcW w:w="1849" w:type="dxa"/>
          </w:tcPr>
          <w:p>
            <w:pPr>
              <w:pStyle w:val="TableParagraph"/>
              <w:spacing w:before="5"/>
              <w:ind w:left="0"/>
              <w:rPr>
                <w:rFonts w:ascii="Times New Roman"/>
                <w:sz w:val="18"/>
              </w:rPr>
            </w:pPr>
          </w:p>
          <w:p>
            <w:pPr>
              <w:pStyle w:val="TableParagraph"/>
              <w:spacing w:before="0"/>
              <w:ind w:left="476"/>
              <w:rPr>
                <w:i/>
                <w:sz w:val="21"/>
              </w:rPr>
            </w:pPr>
            <w:r>
              <w:rPr>
                <w:i/>
                <w:sz w:val="21"/>
              </w:rPr>
              <w:t>保险金申请</w:t>
            </w:r>
          </w:p>
        </w:tc>
        <w:tc>
          <w:tcPr>
            <w:tcW w:w="6647" w:type="dxa"/>
          </w:tcPr>
          <w:p>
            <w:pPr>
              <w:pStyle w:val="TableParagraph"/>
              <w:spacing w:before="7"/>
              <w:ind w:left="0"/>
              <w:rPr>
                <w:rFonts w:ascii="Times New Roman"/>
                <w:sz w:val="18"/>
              </w:rPr>
            </w:pPr>
          </w:p>
          <w:p>
            <w:pPr>
              <w:pStyle w:val="TableParagraph"/>
              <w:spacing w:before="0"/>
              <w:ind w:left="105"/>
              <w:rPr>
                <w:i/>
                <w:sz w:val="21"/>
              </w:rPr>
            </w:pPr>
            <w:r>
              <w:rPr>
                <w:i/>
                <w:sz w:val="21"/>
              </w:rPr>
              <w:t>在申请保险金时，请按照下列方式办理：</w:t>
            </w:r>
          </w:p>
          <w:p>
            <w:pPr>
              <w:pStyle w:val="TableParagraph"/>
              <w:spacing w:line="292" w:lineRule="auto" w:before="65"/>
              <w:ind w:left="105" w:right="103"/>
              <w:rPr>
                <w:i/>
                <w:sz w:val="21"/>
              </w:rPr>
            </w:pPr>
            <w:r>
              <w:rPr>
                <w:i/>
                <w:spacing w:val="-10"/>
                <w:sz w:val="21"/>
              </w:rPr>
              <w:t>一、重大疾病保险金受益人申请领取重大疾病保险金时，应提供下列证</w:t>
            </w:r>
            <w:r>
              <w:rPr>
                <w:i/>
                <w:spacing w:val="-5"/>
                <w:sz w:val="21"/>
              </w:rPr>
              <w:t>明和资料：</w:t>
            </w:r>
          </w:p>
          <w:p>
            <w:pPr>
              <w:pStyle w:val="TableParagraph"/>
              <w:numPr>
                <w:ilvl w:val="0"/>
                <w:numId w:val="5"/>
              </w:numPr>
              <w:tabs>
                <w:tab w:pos="525" w:val="left" w:leader="none"/>
                <w:tab w:pos="526" w:val="left" w:leader="none"/>
              </w:tabs>
              <w:spacing w:line="240" w:lineRule="auto" w:before="17" w:after="0"/>
              <w:ind w:left="105" w:right="0" w:firstLine="0"/>
              <w:jc w:val="left"/>
              <w:rPr>
                <w:i/>
                <w:sz w:val="21"/>
              </w:rPr>
            </w:pPr>
            <w:r>
              <w:rPr>
                <w:i/>
                <w:spacing w:val="-2"/>
                <w:sz w:val="21"/>
              </w:rPr>
              <w:t>给付申请书；</w:t>
            </w:r>
          </w:p>
          <w:p>
            <w:pPr>
              <w:pStyle w:val="TableParagraph"/>
              <w:numPr>
                <w:ilvl w:val="0"/>
                <w:numId w:val="5"/>
              </w:numPr>
              <w:tabs>
                <w:tab w:pos="525" w:val="left" w:leader="none"/>
                <w:tab w:pos="526" w:val="left" w:leader="none"/>
              </w:tabs>
              <w:spacing w:line="240" w:lineRule="auto" w:before="61" w:after="0"/>
              <w:ind w:left="105" w:right="0" w:firstLine="0"/>
              <w:jc w:val="left"/>
              <w:rPr>
                <w:i/>
                <w:sz w:val="21"/>
              </w:rPr>
            </w:pPr>
            <w:r>
              <w:rPr>
                <w:i/>
                <w:spacing w:val="-1"/>
                <w:sz w:val="21"/>
              </w:rPr>
              <w:t>保险合同；</w:t>
            </w:r>
          </w:p>
          <w:p>
            <w:pPr>
              <w:pStyle w:val="TableParagraph"/>
              <w:numPr>
                <w:ilvl w:val="0"/>
                <w:numId w:val="5"/>
              </w:numPr>
              <w:tabs>
                <w:tab w:pos="525" w:val="left" w:leader="none"/>
                <w:tab w:pos="526" w:val="left" w:leader="none"/>
              </w:tabs>
              <w:spacing w:line="240" w:lineRule="auto" w:before="61" w:after="0"/>
              <w:ind w:left="105" w:right="0" w:firstLine="0"/>
              <w:jc w:val="left"/>
              <w:rPr>
                <w:i/>
                <w:sz w:val="21"/>
              </w:rPr>
            </w:pPr>
            <w:r>
              <w:rPr>
                <w:i/>
                <w:spacing w:val="-3"/>
                <w:sz w:val="21"/>
              </w:rPr>
              <w:t>受益人身份证明；</w:t>
            </w:r>
          </w:p>
          <w:p>
            <w:pPr>
              <w:pStyle w:val="TableParagraph"/>
              <w:numPr>
                <w:ilvl w:val="0"/>
                <w:numId w:val="5"/>
              </w:numPr>
              <w:tabs>
                <w:tab w:pos="525" w:val="left" w:leader="none"/>
              </w:tabs>
              <w:spacing w:line="295" w:lineRule="auto" w:before="61" w:after="0"/>
              <w:ind w:left="105" w:right="102" w:firstLine="0"/>
              <w:jc w:val="both"/>
              <w:rPr>
                <w:i/>
                <w:sz w:val="21"/>
              </w:rPr>
            </w:pPr>
            <w:r>
              <w:rPr>
                <w:b/>
                <w:sz w:val="21"/>
              </w:rPr>
              <w:t>医院</w:t>
            </w:r>
            <w:r>
              <w:rPr>
                <w:i/>
                <w:sz w:val="21"/>
              </w:rPr>
              <w:t>（</w:t>
            </w:r>
            <w:r>
              <w:rPr>
                <w:i/>
                <w:spacing w:val="12"/>
                <w:sz w:val="21"/>
              </w:rPr>
              <w:t>见 </w:t>
            </w:r>
            <w:r>
              <w:rPr>
                <w:sz w:val="21"/>
              </w:rPr>
              <w:t>8.12</w:t>
            </w:r>
            <w:r>
              <w:rPr>
                <w:i/>
                <w:sz w:val="21"/>
              </w:rPr>
              <w:t>）</w:t>
            </w:r>
            <w:r>
              <w:rPr>
                <w:i/>
                <w:spacing w:val="-2"/>
                <w:sz w:val="21"/>
              </w:rPr>
              <w:t>出具的疾病诊断证明书、病历记录和确诊疾病必</w:t>
            </w:r>
            <w:r>
              <w:rPr>
                <w:i/>
                <w:spacing w:val="-10"/>
                <w:sz w:val="21"/>
              </w:rPr>
              <w:t>要的病理检验、血液检验、影像学检查及其他科学方法的检查报告。如</w:t>
            </w:r>
            <w:r>
              <w:rPr>
                <w:i/>
                <w:spacing w:val="-12"/>
                <w:sz w:val="21"/>
              </w:rPr>
              <w:t>有必要，我们有权对被保险人进行体检，我们保留就疾病诊断咨询其他</w:t>
            </w:r>
            <w:r>
              <w:rPr>
                <w:i/>
                <w:spacing w:val="-3"/>
                <w:sz w:val="21"/>
              </w:rPr>
              <w:t>医疗专家的权利；</w:t>
            </w:r>
          </w:p>
          <w:p>
            <w:pPr>
              <w:pStyle w:val="TableParagraph"/>
              <w:numPr>
                <w:ilvl w:val="0"/>
                <w:numId w:val="5"/>
              </w:numPr>
              <w:tabs>
                <w:tab w:pos="524" w:val="left" w:leader="none"/>
                <w:tab w:pos="526" w:val="left" w:leader="none"/>
              </w:tabs>
              <w:spacing w:line="292" w:lineRule="auto" w:before="15" w:after="0"/>
              <w:ind w:left="105" w:right="23" w:firstLine="0"/>
              <w:jc w:val="left"/>
              <w:rPr>
                <w:i/>
                <w:sz w:val="21"/>
              </w:rPr>
            </w:pPr>
            <w:r>
              <w:rPr>
                <w:i/>
                <w:spacing w:val="-3"/>
                <w:sz w:val="21"/>
              </w:rPr>
              <w:t>与确认保险事故的时间、性质、原因等相关的其他证明和资料。 二、如果委托他人领取保险金，受托人除提供上述所有证明和资料外， 必须另行出具有委托人亲笔签字的授权委托书和受托人身份证明。</w:t>
            </w:r>
          </w:p>
        </w:tc>
      </w:tr>
      <w:tr>
        <w:trPr>
          <w:trHeight w:val="446" w:hRule="atLeast"/>
        </w:trPr>
        <w:tc>
          <w:tcPr>
            <w:tcW w:w="902"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6" w:type="dxa"/>
            <w:gridSpan w:val="2"/>
            <w:shd w:val="clear" w:color="auto" w:fill="CDCDCD"/>
          </w:tcPr>
          <w:p>
            <w:pPr>
              <w:pStyle w:val="TableParagraph"/>
              <w:spacing w:before="54"/>
              <w:ind w:left="475"/>
              <w:rPr>
                <w:b/>
                <w:sz w:val="21"/>
              </w:rPr>
            </w:pPr>
            <w:r>
              <w:rPr>
                <w:b/>
                <w:sz w:val="21"/>
              </w:rPr>
              <w:t>您需要关注的其他事项</w:t>
            </w:r>
          </w:p>
        </w:tc>
      </w:tr>
      <w:tr>
        <w:trPr>
          <w:trHeight w:val="946" w:hRule="atLeast"/>
        </w:trPr>
        <w:tc>
          <w:tcPr>
            <w:tcW w:w="902" w:type="dxa"/>
          </w:tcPr>
          <w:p>
            <w:pPr>
              <w:pStyle w:val="TableParagraph"/>
              <w:spacing w:before="45"/>
              <w:ind w:left="108"/>
              <w:rPr>
                <w:sz w:val="21"/>
              </w:rPr>
            </w:pPr>
            <w:r>
              <w:rPr>
                <w:sz w:val="21"/>
              </w:rPr>
              <w:t>7.1</w:t>
            </w:r>
          </w:p>
        </w:tc>
        <w:tc>
          <w:tcPr>
            <w:tcW w:w="1849" w:type="dxa"/>
          </w:tcPr>
          <w:p>
            <w:pPr>
              <w:pStyle w:val="TableParagraph"/>
              <w:spacing w:before="45"/>
              <w:ind w:left="475"/>
              <w:rPr>
                <w:i/>
                <w:sz w:val="21"/>
              </w:rPr>
            </w:pPr>
            <w:r>
              <w:rPr>
                <w:i/>
                <w:sz w:val="21"/>
              </w:rPr>
              <w:t>投保范围</w:t>
            </w:r>
          </w:p>
        </w:tc>
        <w:tc>
          <w:tcPr>
            <w:tcW w:w="6647" w:type="dxa"/>
          </w:tcPr>
          <w:p>
            <w:pPr>
              <w:pStyle w:val="TableParagraph"/>
              <w:spacing w:line="300" w:lineRule="auto" w:before="47"/>
              <w:ind w:left="105" w:right="105"/>
              <w:rPr>
                <w:i/>
                <w:sz w:val="21"/>
              </w:rPr>
            </w:pPr>
            <w:r>
              <w:rPr>
                <w:i/>
                <w:spacing w:val="-9"/>
                <w:sz w:val="21"/>
              </w:rPr>
              <w:t>指您投保时被保险人的年龄，本附加合同接受的被保险人的投保年龄与</w:t>
            </w:r>
            <w:r>
              <w:rPr>
                <w:i/>
                <w:spacing w:val="-5"/>
                <w:sz w:val="21"/>
              </w:rPr>
              <w:t>主合同一致。</w:t>
            </w:r>
          </w:p>
        </w:tc>
      </w:tr>
      <w:tr>
        <w:trPr>
          <w:trHeight w:val="4829" w:hRule="atLeast"/>
        </w:trPr>
        <w:tc>
          <w:tcPr>
            <w:tcW w:w="902" w:type="dxa"/>
          </w:tcPr>
          <w:p>
            <w:pPr>
              <w:pStyle w:val="TableParagraph"/>
              <w:spacing w:before="10"/>
              <w:ind w:left="0"/>
              <w:rPr>
                <w:rFonts w:ascii="Times New Roman"/>
                <w:sz w:val="18"/>
              </w:rPr>
            </w:pPr>
          </w:p>
          <w:p>
            <w:pPr>
              <w:pStyle w:val="TableParagraph"/>
              <w:spacing w:before="0"/>
              <w:ind w:left="108"/>
              <w:rPr>
                <w:sz w:val="21"/>
              </w:rPr>
            </w:pPr>
            <w:r>
              <w:rPr>
                <w:sz w:val="21"/>
              </w:rPr>
              <w:t>7.2</w:t>
            </w:r>
          </w:p>
        </w:tc>
        <w:tc>
          <w:tcPr>
            <w:tcW w:w="1849" w:type="dxa"/>
          </w:tcPr>
          <w:p>
            <w:pPr>
              <w:pStyle w:val="TableParagraph"/>
              <w:spacing w:before="10"/>
              <w:ind w:left="0"/>
              <w:rPr>
                <w:rFonts w:ascii="Times New Roman"/>
                <w:sz w:val="18"/>
              </w:rPr>
            </w:pPr>
          </w:p>
          <w:p>
            <w:pPr>
              <w:pStyle w:val="TableParagraph"/>
              <w:spacing w:before="0"/>
              <w:ind w:left="475"/>
              <w:rPr>
                <w:i/>
                <w:sz w:val="21"/>
              </w:rPr>
            </w:pPr>
            <w:r>
              <w:rPr>
                <w:i/>
                <w:sz w:val="21"/>
              </w:rPr>
              <w:t>如实告知</w:t>
            </w:r>
          </w:p>
        </w:tc>
        <w:tc>
          <w:tcPr>
            <w:tcW w:w="6647" w:type="dxa"/>
          </w:tcPr>
          <w:p>
            <w:pPr>
              <w:pStyle w:val="TableParagraph"/>
              <w:spacing w:before="10"/>
              <w:ind w:left="0"/>
              <w:rPr>
                <w:rFonts w:ascii="Times New Roman"/>
                <w:sz w:val="18"/>
              </w:rPr>
            </w:pPr>
          </w:p>
          <w:p>
            <w:pPr>
              <w:pStyle w:val="TableParagraph"/>
              <w:spacing w:line="295" w:lineRule="auto" w:before="0"/>
              <w:ind w:left="105" w:right="104"/>
              <w:jc w:val="both"/>
              <w:rPr>
                <w:i/>
                <w:sz w:val="21"/>
              </w:rPr>
            </w:pPr>
            <w:r>
              <w:rPr>
                <w:i/>
                <w:spacing w:val="-9"/>
                <w:sz w:val="21"/>
              </w:rPr>
              <w:t>在订立本附加合同时，我们会向您说明本附加合同的条款内容，特别是</w:t>
            </w:r>
            <w:r>
              <w:rPr>
                <w:i/>
                <w:spacing w:val="-11"/>
                <w:sz w:val="21"/>
              </w:rPr>
              <w:t>责任免除条款。我们会就您和被保险人的有关情况提出书面询问，您应</w:t>
            </w:r>
            <w:r>
              <w:rPr>
                <w:i/>
                <w:spacing w:val="-2"/>
                <w:sz w:val="21"/>
              </w:rPr>
              <w:t>当如实告知。</w:t>
            </w:r>
          </w:p>
          <w:p>
            <w:pPr>
              <w:pStyle w:val="TableParagraph"/>
              <w:spacing w:line="292" w:lineRule="auto" w:before="13"/>
              <w:ind w:left="105" w:right="101"/>
              <w:rPr>
                <w:i/>
                <w:sz w:val="21"/>
              </w:rPr>
            </w:pPr>
            <w:r>
              <w:rPr>
                <w:i/>
                <w:spacing w:val="-7"/>
                <w:sz w:val="21"/>
              </w:rPr>
              <w:t>您故意或者因重大过失未履行前款规定的如实告知义务，足以影响我们</w:t>
            </w:r>
            <w:r>
              <w:rPr>
                <w:i/>
                <w:spacing w:val="-5"/>
                <w:sz w:val="21"/>
              </w:rPr>
              <w:t>决定是否同意承保或者提高保险费率的，我们有权解除本附加合同。</w:t>
            </w:r>
            <w:r>
              <w:rPr>
                <w:i/>
                <w:spacing w:val="-9"/>
                <w:sz w:val="21"/>
              </w:rPr>
              <w:t>前款规定的合同解除权，自我们知道有解除事由之日起，超过三十日不</w:t>
            </w:r>
            <w:r>
              <w:rPr>
                <w:i/>
                <w:spacing w:val="-10"/>
                <w:sz w:val="21"/>
              </w:rPr>
              <w:t>行使而消灭。自本附加合同成立之日起超过二年的，我们不得解除本附</w:t>
            </w:r>
            <w:r>
              <w:rPr>
                <w:i/>
                <w:spacing w:val="-5"/>
                <w:sz w:val="21"/>
              </w:rPr>
              <w:t>加合同；发生保险事故的，我们承担给付保险金的责任。</w:t>
            </w:r>
          </w:p>
          <w:p>
            <w:pPr>
              <w:pStyle w:val="TableParagraph"/>
              <w:spacing w:line="292" w:lineRule="auto" w:before="17"/>
              <w:ind w:left="105" w:right="104"/>
              <w:rPr>
                <w:i/>
                <w:sz w:val="21"/>
              </w:rPr>
            </w:pPr>
            <w:r>
              <w:rPr>
                <w:i/>
                <w:spacing w:val="-9"/>
                <w:sz w:val="21"/>
              </w:rPr>
              <w:t>您故意不履行如实告知义务的，我们对于本附加合同解除前发生的保险</w:t>
            </w:r>
            <w:r>
              <w:rPr>
                <w:i/>
                <w:spacing w:val="-5"/>
                <w:sz w:val="21"/>
              </w:rPr>
              <w:t>事故，不承担给付保险金的责任，并不退还保险费。</w:t>
            </w:r>
          </w:p>
          <w:p>
            <w:pPr>
              <w:pStyle w:val="TableParagraph"/>
              <w:spacing w:line="300" w:lineRule="auto" w:before="17"/>
              <w:ind w:left="105" w:right="22"/>
              <w:rPr>
                <w:i/>
                <w:sz w:val="21"/>
              </w:rPr>
            </w:pPr>
            <w:r>
              <w:rPr>
                <w:i/>
                <w:sz w:val="21"/>
              </w:rPr>
              <w:t>您因重大过失未履行如实告知义务，对保险事故的发生有严重影响的， 我们对于本附加合同解除前发生的保险事故，不承担给付保险金的责任，但无息退还已收取的风险保障费用。</w:t>
            </w:r>
          </w:p>
        </w:tc>
      </w:tr>
      <w:tr>
        <w:trPr>
          <w:trHeight w:val="839" w:hRule="atLeast"/>
        </w:trPr>
        <w:tc>
          <w:tcPr>
            <w:tcW w:w="902" w:type="dxa"/>
          </w:tcPr>
          <w:p>
            <w:pPr>
              <w:pStyle w:val="TableParagraph"/>
              <w:spacing w:before="11"/>
              <w:ind w:left="0"/>
              <w:rPr>
                <w:rFonts w:ascii="Times New Roman"/>
                <w:sz w:val="18"/>
              </w:rPr>
            </w:pPr>
          </w:p>
          <w:p>
            <w:pPr>
              <w:pStyle w:val="TableParagraph"/>
              <w:spacing w:before="0"/>
              <w:ind w:left="108"/>
              <w:rPr>
                <w:sz w:val="21"/>
              </w:rPr>
            </w:pPr>
            <w:r>
              <w:rPr>
                <w:sz w:val="21"/>
              </w:rPr>
              <w:t>7.3</w:t>
            </w:r>
          </w:p>
        </w:tc>
        <w:tc>
          <w:tcPr>
            <w:tcW w:w="1849" w:type="dxa"/>
          </w:tcPr>
          <w:p>
            <w:pPr>
              <w:pStyle w:val="TableParagraph"/>
              <w:spacing w:line="330" w:lineRule="atLeast" w:before="163"/>
              <w:ind w:left="476" w:right="105"/>
              <w:rPr>
                <w:i/>
                <w:sz w:val="21"/>
              </w:rPr>
            </w:pPr>
            <w:r>
              <w:rPr>
                <w:i/>
                <w:sz w:val="21"/>
              </w:rPr>
              <w:t>年龄计算及错误处理</w:t>
            </w:r>
          </w:p>
        </w:tc>
        <w:tc>
          <w:tcPr>
            <w:tcW w:w="6647" w:type="dxa"/>
          </w:tcPr>
          <w:p>
            <w:pPr>
              <w:pStyle w:val="TableParagraph"/>
              <w:spacing w:before="2"/>
              <w:ind w:left="0"/>
              <w:rPr>
                <w:rFonts w:ascii="Times New Roman"/>
                <w:sz w:val="19"/>
              </w:rPr>
            </w:pPr>
          </w:p>
          <w:p>
            <w:pPr>
              <w:pStyle w:val="TableParagraph"/>
              <w:spacing w:before="0"/>
              <w:ind w:left="105"/>
              <w:rPr>
                <w:i/>
                <w:sz w:val="21"/>
              </w:rPr>
            </w:pPr>
            <w:r>
              <w:rPr>
                <w:i/>
                <w:sz w:val="21"/>
              </w:rPr>
              <w:t>被保险人的投保年龄为以法定证件载明的出生日期计算的</w:t>
            </w:r>
            <w:r>
              <w:rPr>
                <w:b/>
                <w:sz w:val="21"/>
              </w:rPr>
              <w:t>周岁</w:t>
            </w:r>
            <w:r>
              <w:rPr>
                <w:i/>
                <w:sz w:val="21"/>
              </w:rPr>
              <w:t>（见</w:t>
            </w:r>
          </w:p>
          <w:p>
            <w:pPr>
              <w:pStyle w:val="TableParagraph"/>
              <w:spacing w:line="255" w:lineRule="exact" w:before="68"/>
              <w:ind w:left="105"/>
              <w:rPr>
                <w:i/>
                <w:sz w:val="21"/>
              </w:rPr>
            </w:pPr>
            <w:r>
              <w:rPr>
                <w:sz w:val="21"/>
              </w:rPr>
              <w:t>8.13</w:t>
            </w:r>
            <w:r>
              <w:rPr>
                <w:i/>
                <w:sz w:val="21"/>
              </w:rPr>
              <w:t>）年龄。您在申请投保时，应告知被保险人的周岁年龄。</w:t>
            </w:r>
          </w:p>
        </w:tc>
      </w:tr>
    </w:tbl>
    <w:p>
      <w:pPr>
        <w:spacing w:after="0" w:line="255" w:lineRule="exact"/>
        <w:rPr>
          <w:sz w:val="21"/>
        </w:rPr>
        <w:sectPr>
          <w:pgSz w:w="11910" w:h="16840"/>
          <w:pgMar w:header="0" w:footer="921" w:top="1500" w:bottom="1120" w:left="1140" w:right="114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1"/>
        <w:gridCol w:w="1848"/>
        <w:gridCol w:w="6647"/>
      </w:tblGrid>
      <w:tr>
        <w:trPr>
          <w:trHeight w:val="3897" w:hRule="atLeast"/>
        </w:trPr>
        <w:tc>
          <w:tcPr>
            <w:tcW w:w="901" w:type="dxa"/>
          </w:tcPr>
          <w:p>
            <w:pPr>
              <w:pStyle w:val="TableParagraph"/>
              <w:spacing w:before="0"/>
              <w:ind w:left="0"/>
              <w:rPr>
                <w:rFonts w:ascii="Times New Roman"/>
                <w:sz w:val="20"/>
              </w:rPr>
            </w:pPr>
          </w:p>
        </w:tc>
        <w:tc>
          <w:tcPr>
            <w:tcW w:w="1848" w:type="dxa"/>
          </w:tcPr>
          <w:p>
            <w:pPr>
              <w:pStyle w:val="TableParagraph"/>
              <w:spacing w:before="0"/>
              <w:ind w:left="0"/>
              <w:rPr>
                <w:rFonts w:ascii="Times New Roman"/>
                <w:sz w:val="20"/>
              </w:rPr>
            </w:pPr>
          </w:p>
        </w:tc>
        <w:tc>
          <w:tcPr>
            <w:tcW w:w="6647" w:type="dxa"/>
          </w:tcPr>
          <w:p>
            <w:pPr>
              <w:pStyle w:val="TableParagraph"/>
              <w:spacing w:line="211" w:lineRule="exact" w:before="0"/>
              <w:rPr>
                <w:i/>
                <w:sz w:val="21"/>
              </w:rPr>
            </w:pPr>
            <w:r>
              <w:rPr>
                <w:i/>
                <w:sz w:val="21"/>
              </w:rPr>
              <w:t>若您申报的被保险人年龄不真实，且真实年龄不符合我们规定的投保年</w:t>
            </w:r>
          </w:p>
          <w:p>
            <w:pPr>
              <w:pStyle w:val="TableParagraph"/>
              <w:spacing w:line="292" w:lineRule="auto" w:before="61"/>
              <w:ind w:left="106" w:right="107"/>
              <w:jc w:val="both"/>
              <w:rPr>
                <w:i/>
                <w:sz w:val="21"/>
              </w:rPr>
            </w:pPr>
            <w:r>
              <w:rPr>
                <w:i/>
                <w:spacing w:val="-14"/>
                <w:sz w:val="21"/>
              </w:rPr>
              <w:t>龄范围的，我们可以解除本附加合同，但自 本附加合同生效之日起超过</w:t>
            </w:r>
            <w:r>
              <w:rPr>
                <w:i/>
                <w:spacing w:val="-13"/>
                <w:sz w:val="21"/>
              </w:rPr>
              <w:t>两年的除外。对于解除合同的，若我们已收取本附加合同终止日当月的</w:t>
            </w:r>
            <w:r>
              <w:rPr>
                <w:i/>
                <w:spacing w:val="-3"/>
                <w:sz w:val="21"/>
              </w:rPr>
              <w:t>风险保障费用，我们将无息退还合同终止日之后的风险保障费用。</w:t>
            </w:r>
          </w:p>
          <w:p>
            <w:pPr>
              <w:pStyle w:val="TableParagraph"/>
              <w:spacing w:line="300" w:lineRule="auto" w:before="19"/>
              <w:ind w:left="106" w:right="100"/>
              <w:jc w:val="both"/>
              <w:rPr>
                <w:i/>
                <w:sz w:val="21"/>
              </w:rPr>
            </w:pPr>
            <w:r>
              <w:rPr>
                <w:i/>
                <w:spacing w:val="-9"/>
                <w:sz w:val="21"/>
              </w:rPr>
              <w:t>若您申报的被保险人年龄不真实，导致您实付风险保障费用少于应付风</w:t>
            </w:r>
            <w:r>
              <w:rPr>
                <w:i/>
                <w:spacing w:val="-11"/>
                <w:sz w:val="21"/>
              </w:rPr>
              <w:t>险保障费用，我们有权更正并要求您补交风险保障费用及利息；若我们</w:t>
            </w:r>
            <w:r>
              <w:rPr>
                <w:i/>
                <w:spacing w:val="-10"/>
                <w:sz w:val="21"/>
              </w:rPr>
              <w:t>发现申报的被保险人年龄不真实时保险事故已经发生，我们将按最近一</w:t>
            </w:r>
            <w:r>
              <w:rPr>
                <w:i/>
                <w:spacing w:val="-8"/>
                <w:sz w:val="21"/>
              </w:rPr>
              <w:t>次实交风险保障费用和应交风险保障费用的比例调整基本保险金额，并</w:t>
            </w:r>
            <w:r>
              <w:rPr>
                <w:i/>
                <w:spacing w:val="-5"/>
                <w:sz w:val="21"/>
              </w:rPr>
              <w:t>按调整后的基本保险金额承担保险责任。</w:t>
            </w:r>
          </w:p>
          <w:p>
            <w:pPr>
              <w:pStyle w:val="TableParagraph"/>
              <w:spacing w:line="300" w:lineRule="auto" w:before="15"/>
              <w:ind w:left="106" w:right="102"/>
              <w:jc w:val="both"/>
              <w:rPr>
                <w:i/>
                <w:sz w:val="21"/>
              </w:rPr>
            </w:pPr>
            <w:r>
              <w:rPr>
                <w:i/>
                <w:spacing w:val="-9"/>
                <w:sz w:val="21"/>
              </w:rPr>
              <w:t>若您申报的被保险人年龄不真实，导致您实付风险保障费用多于应付风</w:t>
            </w:r>
            <w:r>
              <w:rPr>
                <w:i/>
                <w:spacing w:val="-3"/>
                <w:sz w:val="21"/>
              </w:rPr>
              <w:t>险保障费用，我们将无息退还多收的风险保障费用。</w:t>
            </w:r>
          </w:p>
        </w:tc>
      </w:tr>
      <w:tr>
        <w:trPr>
          <w:trHeight w:val="3163" w:hRule="atLeast"/>
        </w:trPr>
        <w:tc>
          <w:tcPr>
            <w:tcW w:w="901" w:type="dxa"/>
          </w:tcPr>
          <w:p>
            <w:pPr>
              <w:pStyle w:val="TableParagraph"/>
              <w:spacing w:before="7"/>
              <w:ind w:left="0"/>
              <w:rPr>
                <w:rFonts w:ascii="Times New Roman"/>
                <w:sz w:val="18"/>
              </w:rPr>
            </w:pPr>
          </w:p>
          <w:p>
            <w:pPr>
              <w:pStyle w:val="TableParagraph"/>
              <w:spacing w:before="0"/>
              <w:ind w:left="108"/>
              <w:rPr>
                <w:sz w:val="21"/>
              </w:rPr>
            </w:pPr>
            <w:r>
              <w:rPr>
                <w:sz w:val="21"/>
              </w:rPr>
              <w:t>7.4</w:t>
            </w:r>
          </w:p>
        </w:tc>
        <w:tc>
          <w:tcPr>
            <w:tcW w:w="1848" w:type="dxa"/>
          </w:tcPr>
          <w:p>
            <w:pPr>
              <w:pStyle w:val="TableParagraph"/>
              <w:spacing w:before="7"/>
              <w:ind w:left="0"/>
              <w:rPr>
                <w:rFonts w:ascii="Times New Roman"/>
                <w:sz w:val="18"/>
              </w:rPr>
            </w:pPr>
          </w:p>
          <w:p>
            <w:pPr>
              <w:pStyle w:val="TableParagraph"/>
              <w:spacing w:line="292" w:lineRule="auto" w:before="0"/>
              <w:ind w:left="476" w:right="104"/>
              <w:rPr>
                <w:i/>
                <w:sz w:val="21"/>
              </w:rPr>
            </w:pPr>
            <w:r>
              <w:rPr>
                <w:i/>
                <w:sz w:val="21"/>
              </w:rPr>
              <w:t>适用主合同条款</w:t>
            </w:r>
          </w:p>
        </w:tc>
        <w:tc>
          <w:tcPr>
            <w:tcW w:w="6647" w:type="dxa"/>
          </w:tcPr>
          <w:p>
            <w:pPr>
              <w:pStyle w:val="TableParagraph"/>
              <w:spacing w:before="7"/>
              <w:ind w:left="0"/>
              <w:rPr>
                <w:rFonts w:ascii="Times New Roman"/>
                <w:sz w:val="18"/>
              </w:rPr>
            </w:pPr>
          </w:p>
          <w:p>
            <w:pPr>
              <w:pStyle w:val="TableParagraph"/>
              <w:spacing w:line="292" w:lineRule="auto" w:before="0"/>
              <w:ind w:right="2543"/>
              <w:rPr>
                <w:i/>
                <w:sz w:val="21"/>
              </w:rPr>
            </w:pPr>
            <w:r>
              <w:rPr>
                <w:i/>
                <w:sz w:val="21"/>
              </w:rPr>
              <w:t>下列主合同订立的条款适用于本附加合同： 一、保险事故通知；</w:t>
            </w:r>
          </w:p>
          <w:p>
            <w:pPr>
              <w:pStyle w:val="TableParagraph"/>
              <w:spacing w:line="292" w:lineRule="auto" w:before="14"/>
              <w:ind w:right="4015"/>
              <w:rPr>
                <w:i/>
                <w:sz w:val="21"/>
              </w:rPr>
            </w:pPr>
            <w:r>
              <w:rPr>
                <w:i/>
                <w:sz w:val="21"/>
              </w:rPr>
              <w:t>二、基本保险金额的变更； 三、保险金给付；</w:t>
            </w:r>
          </w:p>
          <w:p>
            <w:pPr>
              <w:pStyle w:val="TableParagraph"/>
              <w:spacing w:before="17"/>
              <w:rPr>
                <w:i/>
                <w:sz w:val="21"/>
              </w:rPr>
            </w:pPr>
            <w:r>
              <w:rPr>
                <w:i/>
                <w:sz w:val="21"/>
              </w:rPr>
              <w:t>四、欠款扣除；</w:t>
            </w:r>
          </w:p>
          <w:p>
            <w:pPr>
              <w:pStyle w:val="TableParagraph"/>
              <w:spacing w:line="292" w:lineRule="auto" w:before="61"/>
              <w:ind w:right="4648"/>
              <w:rPr>
                <w:i/>
                <w:sz w:val="21"/>
              </w:rPr>
            </w:pPr>
            <w:r>
              <w:rPr>
                <w:i/>
                <w:sz w:val="21"/>
              </w:rPr>
              <w:t>五、通讯地址变更； 六、司法鉴定；</w:t>
            </w:r>
          </w:p>
          <w:p>
            <w:pPr>
              <w:pStyle w:val="TableParagraph"/>
              <w:spacing w:before="17"/>
              <w:rPr>
                <w:i/>
                <w:sz w:val="21"/>
              </w:rPr>
            </w:pPr>
            <w:r>
              <w:rPr>
                <w:i/>
                <w:sz w:val="21"/>
              </w:rPr>
              <w:t>七、争议处理。</w:t>
            </w:r>
          </w:p>
        </w:tc>
      </w:tr>
      <w:tr>
        <w:trPr>
          <w:trHeight w:val="2581" w:hRule="atLeast"/>
        </w:trPr>
        <w:tc>
          <w:tcPr>
            <w:tcW w:w="901" w:type="dxa"/>
          </w:tcPr>
          <w:p>
            <w:pPr>
              <w:pStyle w:val="TableParagraph"/>
              <w:spacing w:before="0"/>
              <w:ind w:left="0"/>
              <w:rPr>
                <w:rFonts w:ascii="Times New Roman"/>
                <w:sz w:val="23"/>
              </w:rPr>
            </w:pPr>
          </w:p>
          <w:p>
            <w:pPr>
              <w:pStyle w:val="TableParagraph"/>
              <w:spacing w:before="0"/>
              <w:ind w:left="108"/>
              <w:rPr>
                <w:sz w:val="21"/>
              </w:rPr>
            </w:pPr>
            <w:r>
              <w:rPr>
                <w:sz w:val="21"/>
              </w:rPr>
              <w:t>7.5</w:t>
            </w:r>
          </w:p>
        </w:tc>
        <w:tc>
          <w:tcPr>
            <w:tcW w:w="1848" w:type="dxa"/>
          </w:tcPr>
          <w:p>
            <w:pPr>
              <w:pStyle w:val="TableParagraph"/>
              <w:spacing w:before="0"/>
              <w:ind w:left="0"/>
              <w:rPr>
                <w:rFonts w:ascii="Times New Roman"/>
                <w:sz w:val="23"/>
              </w:rPr>
            </w:pPr>
          </w:p>
          <w:p>
            <w:pPr>
              <w:pStyle w:val="TableParagraph"/>
              <w:spacing w:line="295" w:lineRule="auto" w:before="0"/>
              <w:ind w:left="477" w:right="104"/>
              <w:rPr>
                <w:i/>
                <w:sz w:val="21"/>
              </w:rPr>
            </w:pPr>
            <w:r>
              <w:rPr>
                <w:i/>
                <w:sz w:val="21"/>
              </w:rPr>
              <w:t>附加合同的终止</w:t>
            </w:r>
          </w:p>
        </w:tc>
        <w:tc>
          <w:tcPr>
            <w:tcW w:w="6647" w:type="dxa"/>
          </w:tcPr>
          <w:p>
            <w:pPr>
              <w:pStyle w:val="TableParagraph"/>
              <w:spacing w:before="0"/>
              <w:ind w:left="0"/>
              <w:rPr>
                <w:rFonts w:ascii="Times New Roman"/>
                <w:sz w:val="22"/>
              </w:rPr>
            </w:pPr>
          </w:p>
          <w:p>
            <w:pPr>
              <w:pStyle w:val="TableParagraph"/>
              <w:spacing w:line="273" w:lineRule="auto" w:before="0"/>
              <w:ind w:right="2332"/>
              <w:rPr>
                <w:i/>
                <w:sz w:val="21"/>
              </w:rPr>
            </w:pPr>
            <w:r>
              <w:rPr>
                <w:i/>
                <w:sz w:val="21"/>
              </w:rPr>
              <w:t>发生下列情况之一时，本附加合同效力终止： 一、主合同解除、终止或期满；</w:t>
            </w:r>
          </w:p>
          <w:p>
            <w:pPr>
              <w:pStyle w:val="TableParagraph"/>
              <w:spacing w:line="273" w:lineRule="auto" w:before="7"/>
              <w:ind w:right="3592"/>
              <w:rPr>
                <w:i/>
                <w:sz w:val="21"/>
              </w:rPr>
            </w:pPr>
            <w:r>
              <w:rPr>
                <w:i/>
                <w:spacing w:val="-3"/>
                <w:sz w:val="21"/>
              </w:rPr>
              <w:t>二、您申请解除本附加合同； 三、本附加合同保险期间届满；</w:t>
            </w:r>
          </w:p>
          <w:p>
            <w:pPr>
              <w:pStyle w:val="TableParagraph"/>
              <w:spacing w:line="273" w:lineRule="auto" w:before="7"/>
              <w:ind w:right="2123"/>
              <w:rPr>
                <w:i/>
                <w:sz w:val="21"/>
              </w:rPr>
            </w:pPr>
            <w:r>
              <w:rPr>
                <w:i/>
                <w:sz w:val="21"/>
              </w:rPr>
              <w:t>四、我们给付本附加合同的重大疾病保险金后； 五、主合同或本附加合同约定的其他终止情形。</w:t>
            </w:r>
          </w:p>
        </w:tc>
      </w:tr>
      <w:tr>
        <w:trPr>
          <w:trHeight w:val="446" w:hRule="atLeast"/>
        </w:trPr>
        <w:tc>
          <w:tcPr>
            <w:tcW w:w="901" w:type="dxa"/>
            <w:shd w:val="clear" w:color="auto" w:fill="CDCDCD"/>
          </w:tcPr>
          <w:p>
            <w:pPr>
              <w:pStyle w:val="TableParagraph"/>
              <w:spacing w:before="43"/>
              <w:ind w:left="108"/>
              <w:rPr>
                <w:rFonts w:ascii="Wingdings" w:hAnsi="Wingdings"/>
                <w:sz w:val="32"/>
              </w:rPr>
            </w:pPr>
            <w:r>
              <w:rPr>
                <w:rFonts w:ascii="Wingdings" w:hAnsi="Wingdings"/>
                <w:w w:val="99"/>
                <w:sz w:val="32"/>
              </w:rPr>
              <w:t></w:t>
            </w:r>
          </w:p>
        </w:tc>
        <w:tc>
          <w:tcPr>
            <w:tcW w:w="8495" w:type="dxa"/>
            <w:gridSpan w:val="2"/>
            <w:shd w:val="clear" w:color="auto" w:fill="CDCDCD"/>
          </w:tcPr>
          <w:p>
            <w:pPr>
              <w:pStyle w:val="TableParagraph"/>
              <w:spacing w:before="52"/>
              <w:ind w:left="476"/>
              <w:rPr>
                <w:b/>
                <w:sz w:val="21"/>
              </w:rPr>
            </w:pPr>
            <w:r>
              <w:rPr>
                <w:b/>
                <w:sz w:val="21"/>
              </w:rPr>
              <w:t>您需要了解的重要术语</w:t>
            </w:r>
          </w:p>
        </w:tc>
      </w:tr>
      <w:tr>
        <w:trPr>
          <w:trHeight w:val="761" w:hRule="atLeast"/>
        </w:trPr>
        <w:tc>
          <w:tcPr>
            <w:tcW w:w="901" w:type="dxa"/>
          </w:tcPr>
          <w:p>
            <w:pPr>
              <w:pStyle w:val="TableParagraph"/>
              <w:spacing w:before="42"/>
              <w:ind w:left="108"/>
              <w:rPr>
                <w:sz w:val="21"/>
              </w:rPr>
            </w:pPr>
            <w:r>
              <w:rPr>
                <w:sz w:val="21"/>
              </w:rPr>
              <w:t>8.1</w:t>
            </w:r>
          </w:p>
        </w:tc>
        <w:tc>
          <w:tcPr>
            <w:tcW w:w="1848" w:type="dxa"/>
          </w:tcPr>
          <w:p>
            <w:pPr>
              <w:pStyle w:val="TableParagraph"/>
              <w:spacing w:before="42"/>
              <w:ind w:left="476"/>
              <w:rPr>
                <w:i/>
                <w:sz w:val="21"/>
              </w:rPr>
            </w:pPr>
            <w:r>
              <w:rPr>
                <w:i/>
                <w:sz w:val="21"/>
              </w:rPr>
              <w:t>保险单周年日</w:t>
            </w:r>
          </w:p>
        </w:tc>
        <w:tc>
          <w:tcPr>
            <w:tcW w:w="6647" w:type="dxa"/>
          </w:tcPr>
          <w:p>
            <w:pPr>
              <w:pStyle w:val="TableParagraph"/>
              <w:spacing w:line="292" w:lineRule="auto" w:before="42"/>
              <w:ind w:right="100"/>
              <w:rPr>
                <w:i/>
                <w:sz w:val="21"/>
              </w:rPr>
            </w:pPr>
            <w:r>
              <w:rPr>
                <w:i/>
                <w:spacing w:val="-7"/>
                <w:sz w:val="21"/>
              </w:rPr>
              <w:t>本附加合同生效日在以后每年的对应日为保险单周年日，如果当年无此</w:t>
            </w:r>
            <w:r>
              <w:rPr>
                <w:i/>
                <w:spacing w:val="-5"/>
                <w:sz w:val="21"/>
              </w:rPr>
              <w:t>对应日，则以生效日前一日的对应日为该年的保险单周年日。</w:t>
            </w:r>
          </w:p>
        </w:tc>
      </w:tr>
      <w:tr>
        <w:trPr>
          <w:trHeight w:val="764" w:hRule="atLeast"/>
        </w:trPr>
        <w:tc>
          <w:tcPr>
            <w:tcW w:w="901" w:type="dxa"/>
          </w:tcPr>
          <w:p>
            <w:pPr>
              <w:pStyle w:val="TableParagraph"/>
              <w:spacing w:before="44"/>
              <w:ind w:left="108"/>
              <w:rPr>
                <w:sz w:val="21"/>
              </w:rPr>
            </w:pPr>
            <w:r>
              <w:rPr>
                <w:sz w:val="21"/>
              </w:rPr>
              <w:t>8.2</w:t>
            </w:r>
          </w:p>
        </w:tc>
        <w:tc>
          <w:tcPr>
            <w:tcW w:w="1848" w:type="dxa"/>
          </w:tcPr>
          <w:p>
            <w:pPr>
              <w:pStyle w:val="TableParagraph"/>
              <w:spacing w:before="44"/>
              <w:ind w:left="476"/>
              <w:rPr>
                <w:i/>
                <w:sz w:val="21"/>
              </w:rPr>
            </w:pPr>
            <w:r>
              <w:rPr>
                <w:i/>
                <w:sz w:val="21"/>
              </w:rPr>
              <w:t>保险单年度</w:t>
            </w:r>
          </w:p>
        </w:tc>
        <w:tc>
          <w:tcPr>
            <w:tcW w:w="6647" w:type="dxa"/>
          </w:tcPr>
          <w:p>
            <w:pPr>
              <w:pStyle w:val="TableParagraph"/>
              <w:spacing w:line="295" w:lineRule="auto" w:before="44"/>
              <w:ind w:right="25"/>
              <w:rPr>
                <w:i/>
                <w:sz w:val="21"/>
              </w:rPr>
            </w:pPr>
            <w:r>
              <w:rPr>
                <w:i/>
                <w:sz w:val="21"/>
              </w:rPr>
              <w:t>本附加合同生效日（或保险单周年日）零时起至下一个保险单周年日零时止为一个保险单年度。</w:t>
            </w:r>
          </w:p>
        </w:tc>
      </w:tr>
      <w:tr>
        <w:trPr>
          <w:trHeight w:val="445" w:hRule="atLeast"/>
        </w:trPr>
        <w:tc>
          <w:tcPr>
            <w:tcW w:w="901" w:type="dxa"/>
          </w:tcPr>
          <w:p>
            <w:pPr>
              <w:pStyle w:val="TableParagraph"/>
              <w:spacing w:before="43"/>
              <w:ind w:left="108"/>
              <w:rPr>
                <w:sz w:val="21"/>
              </w:rPr>
            </w:pPr>
            <w:r>
              <w:rPr>
                <w:sz w:val="21"/>
              </w:rPr>
              <w:t>8.3</w:t>
            </w:r>
          </w:p>
        </w:tc>
        <w:tc>
          <w:tcPr>
            <w:tcW w:w="1848" w:type="dxa"/>
          </w:tcPr>
          <w:p>
            <w:pPr>
              <w:pStyle w:val="TableParagraph"/>
              <w:spacing w:before="43"/>
              <w:ind w:left="476"/>
              <w:rPr>
                <w:i/>
                <w:sz w:val="21"/>
              </w:rPr>
            </w:pPr>
            <w:r>
              <w:rPr>
                <w:i/>
                <w:sz w:val="21"/>
              </w:rPr>
              <w:t>意外伤害</w:t>
            </w:r>
          </w:p>
        </w:tc>
        <w:tc>
          <w:tcPr>
            <w:tcW w:w="6647" w:type="dxa"/>
          </w:tcPr>
          <w:p>
            <w:pPr>
              <w:pStyle w:val="TableParagraph"/>
              <w:spacing w:before="43"/>
              <w:rPr>
                <w:i/>
                <w:sz w:val="21"/>
              </w:rPr>
            </w:pPr>
            <w:r>
              <w:rPr>
                <w:i/>
                <w:sz w:val="21"/>
              </w:rPr>
              <w:t>指外来的、突然的、非本意的、非疾病的使身体受到伤害的客观事件。</w:t>
            </w:r>
          </w:p>
        </w:tc>
      </w:tr>
      <w:tr>
        <w:trPr>
          <w:trHeight w:val="1348" w:hRule="atLeast"/>
        </w:trPr>
        <w:tc>
          <w:tcPr>
            <w:tcW w:w="901" w:type="dxa"/>
          </w:tcPr>
          <w:p>
            <w:pPr>
              <w:pStyle w:val="TableParagraph"/>
              <w:spacing w:before="63"/>
              <w:ind w:left="108"/>
              <w:rPr>
                <w:sz w:val="21"/>
              </w:rPr>
            </w:pPr>
            <w:r>
              <w:rPr>
                <w:sz w:val="21"/>
              </w:rPr>
              <w:t>8.4</w:t>
            </w:r>
          </w:p>
        </w:tc>
        <w:tc>
          <w:tcPr>
            <w:tcW w:w="1848" w:type="dxa"/>
          </w:tcPr>
          <w:p>
            <w:pPr>
              <w:pStyle w:val="TableParagraph"/>
              <w:spacing w:before="63"/>
              <w:ind w:left="477"/>
              <w:rPr>
                <w:i/>
                <w:sz w:val="21"/>
              </w:rPr>
            </w:pPr>
            <w:r>
              <w:rPr>
                <w:i/>
                <w:sz w:val="21"/>
              </w:rPr>
              <w:t>重大疾病</w:t>
            </w:r>
          </w:p>
        </w:tc>
        <w:tc>
          <w:tcPr>
            <w:tcW w:w="6647" w:type="dxa"/>
          </w:tcPr>
          <w:p>
            <w:pPr>
              <w:pStyle w:val="TableParagraph"/>
              <w:spacing w:before="63"/>
              <w:rPr>
                <w:i/>
                <w:sz w:val="21"/>
              </w:rPr>
            </w:pPr>
            <w:r>
              <w:rPr>
                <w:i/>
                <w:spacing w:val="-14"/>
                <w:sz w:val="21"/>
              </w:rPr>
              <w:t>符合以下疾病定义所述条件的疾病、疾病状态或手术，并由</w:t>
            </w:r>
            <w:r>
              <w:rPr>
                <w:b/>
                <w:spacing w:val="-25"/>
                <w:sz w:val="21"/>
              </w:rPr>
              <w:t>专科医生</w:t>
            </w:r>
            <w:r>
              <w:rPr>
                <w:i/>
                <w:sz w:val="21"/>
              </w:rPr>
              <w:t>（见</w:t>
            </w:r>
          </w:p>
          <w:p>
            <w:pPr>
              <w:pStyle w:val="TableParagraph"/>
              <w:spacing w:before="60"/>
              <w:ind w:left="106"/>
              <w:rPr>
                <w:i/>
                <w:sz w:val="21"/>
              </w:rPr>
            </w:pPr>
            <w:r>
              <w:rPr>
                <w:sz w:val="21"/>
              </w:rPr>
              <w:t>8.14</w:t>
            </w:r>
            <w:r>
              <w:rPr>
                <w:i/>
                <w:sz w:val="21"/>
              </w:rPr>
              <w:t>）明确诊断，共计三十六种。其中第一种至第二十五种为中国保险</w:t>
            </w:r>
          </w:p>
          <w:p>
            <w:pPr>
              <w:pStyle w:val="TableParagraph"/>
              <w:spacing w:line="330" w:lineRule="atLeast" w:before="7"/>
              <w:ind w:left="106" w:right="102"/>
              <w:rPr>
                <w:i/>
                <w:sz w:val="21"/>
              </w:rPr>
            </w:pPr>
            <w:r>
              <w:rPr>
                <w:i/>
                <w:spacing w:val="-10"/>
                <w:sz w:val="21"/>
              </w:rPr>
              <w:t>行业协会在其制定的《重大疾病保险的疾病定义使用规范》中所规定的疾病。</w:t>
            </w:r>
          </w:p>
        </w:tc>
      </w:tr>
    </w:tbl>
    <w:p>
      <w:pPr>
        <w:spacing w:after="0" w:line="330" w:lineRule="atLeast"/>
        <w:rPr>
          <w:sz w:val="21"/>
        </w:rPr>
        <w:sectPr>
          <w:pgSz w:w="11910" w:h="16840"/>
          <w:pgMar w:header="0" w:footer="921" w:top="1500" w:bottom="1120" w:left="1140" w:right="11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3973" w:hRule="atLeast"/>
        </w:trPr>
        <w:tc>
          <w:tcPr>
            <w:tcW w:w="2841" w:type="dxa"/>
          </w:tcPr>
          <w:p>
            <w:pPr>
              <w:pStyle w:val="TableParagraph"/>
              <w:spacing w:line="211" w:lineRule="exact" w:before="0"/>
              <w:ind w:left="200"/>
              <w:rPr>
                <w:i/>
                <w:sz w:val="21"/>
              </w:rPr>
            </w:pPr>
            <w:r>
              <w:rPr>
                <w:i/>
                <w:sz w:val="21"/>
              </w:rPr>
              <w:t>（一）恶性肿瘤</w:t>
            </w:r>
          </w:p>
        </w:tc>
        <w:tc>
          <w:tcPr>
            <w:tcW w:w="6824" w:type="dxa"/>
          </w:tcPr>
          <w:p>
            <w:pPr>
              <w:pStyle w:val="TableParagraph"/>
              <w:spacing w:line="211" w:lineRule="exact" w:before="0"/>
              <w:ind w:left="106"/>
              <w:rPr>
                <w:i/>
                <w:sz w:val="21"/>
              </w:rPr>
            </w:pPr>
            <w:r>
              <w:rPr>
                <w:i/>
                <w:sz w:val="21"/>
              </w:rPr>
              <w:t>指恶性细胞不受控制的进行性增长和扩散，浸润和破坏周围正常组织，</w:t>
            </w:r>
          </w:p>
          <w:p>
            <w:pPr>
              <w:pStyle w:val="TableParagraph"/>
              <w:spacing w:line="295" w:lineRule="auto" w:before="61"/>
              <w:ind w:left="106" w:right="303"/>
              <w:jc w:val="both"/>
              <w:rPr>
                <w:i/>
                <w:sz w:val="21"/>
              </w:rPr>
            </w:pPr>
            <w:r>
              <w:rPr>
                <w:i/>
                <w:spacing w:val="-11"/>
                <w:sz w:val="21"/>
              </w:rPr>
              <w:t>可以经血管、淋巴管和体腔扩散转移到身体其它部位的疾病。经病理学</w:t>
            </w:r>
            <w:r>
              <w:rPr>
                <w:i/>
                <w:spacing w:val="-13"/>
                <w:sz w:val="21"/>
              </w:rPr>
              <w:t>检查结果明确诊断，临床诊断属于世界卫生组织《疾病和有关健康问题</w:t>
            </w:r>
            <w:r>
              <w:rPr>
                <w:i/>
                <w:spacing w:val="-3"/>
                <w:sz w:val="21"/>
              </w:rPr>
              <w:t>的国际统计分类》</w:t>
            </w:r>
            <w:r>
              <w:rPr>
                <w:i/>
                <w:spacing w:val="-1"/>
                <w:sz w:val="21"/>
              </w:rPr>
              <w:t>（</w:t>
            </w:r>
            <w:r>
              <w:rPr>
                <w:spacing w:val="-1"/>
                <w:sz w:val="21"/>
              </w:rPr>
              <w:t>ICD-10</w:t>
            </w:r>
            <w:r>
              <w:rPr>
                <w:i/>
                <w:spacing w:val="-1"/>
                <w:sz w:val="21"/>
              </w:rPr>
              <w:t>）</w:t>
            </w:r>
            <w:r>
              <w:rPr>
                <w:i/>
                <w:spacing w:val="-3"/>
                <w:sz w:val="21"/>
              </w:rPr>
              <w:t>的恶性肿瘤范畴。</w:t>
            </w:r>
          </w:p>
          <w:p>
            <w:pPr>
              <w:pStyle w:val="TableParagraph"/>
              <w:spacing w:line="254" w:lineRule="exact" w:before="0"/>
              <w:jc w:val="both"/>
              <w:rPr>
                <w:i/>
                <w:sz w:val="21"/>
              </w:rPr>
            </w:pPr>
            <w:r>
              <w:rPr>
                <w:i/>
                <w:sz w:val="21"/>
              </w:rPr>
              <w:t>下列疾病不在保障范围内：</w:t>
            </w:r>
          </w:p>
          <w:p>
            <w:pPr>
              <w:pStyle w:val="TableParagraph"/>
              <w:spacing w:before="51"/>
              <w:jc w:val="both"/>
              <w:rPr>
                <w:i/>
                <w:sz w:val="21"/>
              </w:rPr>
            </w:pPr>
            <w:r>
              <w:rPr>
                <w:i/>
                <w:sz w:val="21"/>
              </w:rPr>
              <w:t>（</w:t>
            </w:r>
            <w:r>
              <w:rPr>
                <w:sz w:val="21"/>
              </w:rPr>
              <w:t>1</w:t>
            </w:r>
            <w:r>
              <w:rPr>
                <w:i/>
                <w:sz w:val="21"/>
              </w:rPr>
              <w:t>）原位癌；</w:t>
            </w:r>
          </w:p>
          <w:p>
            <w:pPr>
              <w:pStyle w:val="TableParagraph"/>
              <w:spacing w:before="63"/>
              <w:jc w:val="both"/>
              <w:rPr>
                <w:i/>
                <w:sz w:val="21"/>
              </w:rPr>
            </w:pPr>
            <w:r>
              <w:rPr>
                <w:i/>
                <w:sz w:val="21"/>
              </w:rPr>
              <w:t>（</w:t>
            </w:r>
            <w:r>
              <w:rPr>
                <w:sz w:val="21"/>
              </w:rPr>
              <w:t>2</w:t>
            </w:r>
            <w:r>
              <w:rPr>
                <w:i/>
                <w:sz w:val="21"/>
              </w:rPr>
              <w:t>）相当于</w:t>
            </w:r>
            <w:r>
              <w:rPr>
                <w:sz w:val="21"/>
              </w:rPr>
              <w:t>Binet</w:t>
            </w:r>
            <w:r>
              <w:rPr>
                <w:i/>
                <w:sz w:val="21"/>
              </w:rPr>
              <w:t>分期方案</w:t>
            </w:r>
            <w:r>
              <w:rPr>
                <w:sz w:val="21"/>
              </w:rPr>
              <w:t>A</w:t>
            </w:r>
            <w:r>
              <w:rPr>
                <w:i/>
                <w:sz w:val="21"/>
              </w:rPr>
              <w:t>期程度的慢性淋巴细胞白血病；</w:t>
            </w:r>
          </w:p>
          <w:p>
            <w:pPr>
              <w:pStyle w:val="TableParagraph"/>
              <w:spacing w:before="49"/>
              <w:jc w:val="both"/>
              <w:rPr>
                <w:i/>
                <w:sz w:val="21"/>
              </w:rPr>
            </w:pPr>
            <w:r>
              <w:rPr>
                <w:i/>
                <w:sz w:val="21"/>
              </w:rPr>
              <w:t>（</w:t>
            </w:r>
            <w:r>
              <w:rPr>
                <w:sz w:val="21"/>
              </w:rPr>
              <w:t>3</w:t>
            </w:r>
            <w:r>
              <w:rPr>
                <w:i/>
                <w:sz w:val="21"/>
              </w:rPr>
              <w:t>）相当于</w:t>
            </w:r>
            <w:r>
              <w:rPr>
                <w:sz w:val="21"/>
              </w:rPr>
              <w:t>Ann Arbor</w:t>
            </w:r>
            <w:r>
              <w:rPr>
                <w:i/>
                <w:sz w:val="21"/>
              </w:rPr>
              <w:t>分期方案</w:t>
            </w:r>
            <w:r>
              <w:rPr>
                <w:sz w:val="21"/>
              </w:rPr>
              <w:t>I</w:t>
            </w:r>
            <w:r>
              <w:rPr>
                <w:i/>
                <w:sz w:val="21"/>
              </w:rPr>
              <w:t>期程度的何杰金氏病；</w:t>
            </w:r>
          </w:p>
          <w:p>
            <w:pPr>
              <w:pStyle w:val="TableParagraph"/>
              <w:spacing w:before="37"/>
              <w:jc w:val="both"/>
              <w:rPr>
                <w:i/>
                <w:sz w:val="21"/>
              </w:rPr>
            </w:pPr>
            <w:r>
              <w:rPr>
                <w:i/>
                <w:sz w:val="21"/>
              </w:rPr>
              <w:t>（</w:t>
            </w:r>
            <w:r>
              <w:rPr>
                <w:sz w:val="21"/>
              </w:rPr>
              <w:t>4</w:t>
            </w:r>
            <w:r>
              <w:rPr>
                <w:i/>
                <w:sz w:val="21"/>
              </w:rPr>
              <w:t>）皮肤癌（不包括恶性黑色素瘤及已发生转移的皮肤癌）；</w:t>
            </w:r>
          </w:p>
          <w:p>
            <w:pPr>
              <w:pStyle w:val="TableParagraph"/>
              <w:spacing w:line="231" w:lineRule="exact" w:before="162"/>
              <w:jc w:val="both"/>
              <w:rPr>
                <w:i/>
                <w:sz w:val="21"/>
              </w:rPr>
            </w:pPr>
            <w:r>
              <w:rPr>
                <w:i/>
                <w:sz w:val="21"/>
              </w:rPr>
              <w:t>（</w:t>
            </w:r>
            <w:r>
              <w:rPr>
                <w:sz w:val="21"/>
              </w:rPr>
              <w:t>5</w:t>
            </w:r>
            <w:r>
              <w:rPr>
                <w:i/>
                <w:sz w:val="21"/>
              </w:rPr>
              <w:t>）</w:t>
            </w:r>
            <w:r>
              <w:rPr>
                <w:sz w:val="21"/>
              </w:rPr>
              <w:t>TNM</w:t>
            </w:r>
            <w:r>
              <w:rPr>
                <w:i/>
                <w:sz w:val="21"/>
              </w:rPr>
              <w:t>分期为</w:t>
            </w:r>
            <w:r>
              <w:rPr>
                <w:sz w:val="21"/>
              </w:rPr>
              <w:t>T N M </w:t>
            </w:r>
            <w:r>
              <w:rPr>
                <w:i/>
                <w:sz w:val="21"/>
              </w:rPr>
              <w:t>期或更轻分期的前列腺癌；</w:t>
            </w:r>
          </w:p>
          <w:p>
            <w:pPr>
              <w:pStyle w:val="TableParagraph"/>
              <w:spacing w:line="100" w:lineRule="exact" w:before="0"/>
              <w:ind w:left="1683"/>
              <w:rPr>
                <w:sz w:val="11"/>
              </w:rPr>
            </w:pPr>
            <w:r>
              <w:rPr>
                <w:sz w:val="11"/>
              </w:rPr>
              <w:t>1  0 0</w:t>
            </w:r>
          </w:p>
          <w:p>
            <w:pPr>
              <w:pStyle w:val="TableParagraph"/>
              <w:ind w:left="0"/>
              <w:rPr>
                <w:rFonts w:ascii="Times New Roman"/>
                <w:sz w:val="14"/>
              </w:rPr>
            </w:pPr>
          </w:p>
          <w:p>
            <w:pPr>
              <w:pStyle w:val="TableParagraph"/>
              <w:spacing w:before="0"/>
              <w:jc w:val="both"/>
              <w:rPr>
                <w:i/>
                <w:sz w:val="21"/>
              </w:rPr>
            </w:pPr>
            <w:r>
              <w:rPr>
                <w:i/>
                <w:sz w:val="21"/>
              </w:rPr>
              <w:t>（</w:t>
            </w:r>
            <w:r>
              <w:rPr>
                <w:sz w:val="21"/>
              </w:rPr>
              <w:t>6</w:t>
            </w:r>
            <w:r>
              <w:rPr>
                <w:i/>
                <w:sz w:val="21"/>
              </w:rPr>
              <w:t>）感染艾滋病病毒或患艾滋病期间所患恶性肿瘤。</w:t>
            </w:r>
          </w:p>
        </w:tc>
      </w:tr>
      <w:tr>
        <w:trPr>
          <w:trHeight w:val="3011" w:hRule="atLeast"/>
        </w:trPr>
        <w:tc>
          <w:tcPr>
            <w:tcW w:w="2841" w:type="dxa"/>
          </w:tcPr>
          <w:p>
            <w:pPr>
              <w:pStyle w:val="TableParagraph"/>
              <w:spacing w:before="148"/>
              <w:ind w:left="200"/>
              <w:rPr>
                <w:i/>
                <w:sz w:val="21"/>
              </w:rPr>
            </w:pPr>
            <w:r>
              <w:rPr>
                <w:i/>
                <w:sz w:val="21"/>
              </w:rPr>
              <w:t>（二）急性心肌梗塞</w:t>
            </w:r>
          </w:p>
        </w:tc>
        <w:tc>
          <w:tcPr>
            <w:tcW w:w="6824" w:type="dxa"/>
          </w:tcPr>
          <w:p>
            <w:pPr>
              <w:pStyle w:val="TableParagraph"/>
              <w:spacing w:line="292" w:lineRule="auto" w:before="148"/>
              <w:ind w:right="515"/>
              <w:rPr>
                <w:i/>
                <w:sz w:val="21"/>
              </w:rPr>
            </w:pPr>
            <w:r>
              <w:rPr>
                <w:i/>
                <w:spacing w:val="-16"/>
                <w:sz w:val="21"/>
              </w:rPr>
              <w:t>指因冠状动脉阻塞导致的相应区域供血不足造成部分心肌坏死。须满足</w:t>
            </w:r>
            <w:r>
              <w:rPr>
                <w:i/>
                <w:spacing w:val="-3"/>
                <w:sz w:val="21"/>
              </w:rPr>
              <w:t>下列至少三项条件：</w:t>
            </w:r>
          </w:p>
          <w:p>
            <w:pPr>
              <w:pStyle w:val="TableParagraph"/>
              <w:spacing w:before="16"/>
              <w:rPr>
                <w:i/>
                <w:sz w:val="21"/>
              </w:rPr>
            </w:pPr>
            <w:r>
              <w:rPr>
                <w:i/>
                <w:sz w:val="21"/>
              </w:rPr>
              <w:t>（</w:t>
            </w:r>
            <w:r>
              <w:rPr>
                <w:sz w:val="21"/>
              </w:rPr>
              <w:t>1</w:t>
            </w:r>
            <w:r>
              <w:rPr>
                <w:i/>
                <w:sz w:val="21"/>
              </w:rPr>
              <w:t>）典型临床表现，例如急性胸痛等；</w:t>
            </w:r>
          </w:p>
          <w:p>
            <w:pPr>
              <w:pStyle w:val="TableParagraph"/>
              <w:spacing w:before="60"/>
              <w:rPr>
                <w:i/>
                <w:sz w:val="21"/>
              </w:rPr>
            </w:pPr>
            <w:r>
              <w:rPr>
                <w:i/>
                <w:sz w:val="21"/>
              </w:rPr>
              <w:t>（</w:t>
            </w:r>
            <w:r>
              <w:rPr>
                <w:sz w:val="21"/>
              </w:rPr>
              <w:t>2</w:t>
            </w:r>
            <w:r>
              <w:rPr>
                <w:i/>
                <w:sz w:val="21"/>
              </w:rPr>
              <w:t>）新近的心电图改变提示急性心肌梗塞；</w:t>
            </w:r>
          </w:p>
          <w:p>
            <w:pPr>
              <w:pStyle w:val="TableParagraph"/>
              <w:spacing w:line="292" w:lineRule="auto" w:before="60"/>
              <w:ind w:right="305"/>
              <w:rPr>
                <w:i/>
                <w:sz w:val="21"/>
              </w:rPr>
            </w:pPr>
            <w:r>
              <w:rPr>
                <w:i/>
                <w:sz w:val="21"/>
              </w:rPr>
              <w:t>（</w:t>
            </w:r>
            <w:r>
              <w:rPr>
                <w:sz w:val="21"/>
              </w:rPr>
              <w:t>3</w:t>
            </w:r>
            <w:r>
              <w:rPr>
                <w:i/>
                <w:sz w:val="21"/>
              </w:rPr>
              <w:t>）心肌酶或肌钙蛋白有诊断意义的升高，或呈符合急性心肌梗塞的动态性变化；</w:t>
            </w:r>
          </w:p>
          <w:p>
            <w:pPr>
              <w:pStyle w:val="TableParagraph"/>
              <w:spacing w:line="292" w:lineRule="auto" w:before="16"/>
              <w:ind w:right="305"/>
              <w:rPr>
                <w:i/>
                <w:sz w:val="21"/>
              </w:rPr>
            </w:pPr>
            <w:r>
              <w:rPr>
                <w:i/>
                <w:spacing w:val="-13"/>
                <w:sz w:val="21"/>
              </w:rPr>
              <w:t>（</w:t>
            </w:r>
            <w:r>
              <w:rPr>
                <w:spacing w:val="-13"/>
                <w:sz w:val="21"/>
              </w:rPr>
              <w:t>4</w:t>
            </w:r>
            <w:r>
              <w:rPr>
                <w:i/>
                <w:spacing w:val="-13"/>
                <w:sz w:val="21"/>
              </w:rPr>
              <w:t>）</w:t>
            </w:r>
            <w:r>
              <w:rPr>
                <w:i/>
                <w:spacing w:val="-14"/>
                <w:sz w:val="21"/>
              </w:rPr>
              <w:t>发病 </w:t>
            </w:r>
            <w:r>
              <w:rPr>
                <w:sz w:val="21"/>
              </w:rPr>
              <w:t>90 </w:t>
            </w:r>
            <w:r>
              <w:rPr>
                <w:i/>
                <w:spacing w:val="-10"/>
                <w:sz w:val="21"/>
              </w:rPr>
              <w:t>天后，经检查证实左心室功能降低，如左心室射血分数低</w:t>
            </w:r>
            <w:r>
              <w:rPr>
                <w:i/>
                <w:spacing w:val="-31"/>
                <w:sz w:val="21"/>
              </w:rPr>
              <w:t>于 </w:t>
            </w:r>
            <w:r>
              <w:rPr>
                <w:sz w:val="21"/>
              </w:rPr>
              <w:t>50%</w:t>
            </w:r>
            <w:r>
              <w:rPr>
                <w:i/>
                <w:sz w:val="21"/>
              </w:rPr>
              <w:t>。</w:t>
            </w:r>
          </w:p>
        </w:tc>
      </w:tr>
      <w:tr>
        <w:trPr>
          <w:trHeight w:val="2692" w:hRule="atLeast"/>
        </w:trPr>
        <w:tc>
          <w:tcPr>
            <w:tcW w:w="2841" w:type="dxa"/>
          </w:tcPr>
          <w:p>
            <w:pPr>
              <w:pStyle w:val="TableParagraph"/>
              <w:spacing w:before="168"/>
              <w:ind w:left="200"/>
              <w:rPr>
                <w:i/>
                <w:sz w:val="21"/>
              </w:rPr>
            </w:pPr>
            <w:r>
              <w:rPr>
                <w:i/>
                <w:sz w:val="21"/>
              </w:rPr>
              <w:t>（三）脑中风后遗症</w:t>
            </w:r>
          </w:p>
        </w:tc>
        <w:tc>
          <w:tcPr>
            <w:tcW w:w="6824" w:type="dxa"/>
          </w:tcPr>
          <w:p>
            <w:pPr>
              <w:pStyle w:val="TableParagraph"/>
              <w:spacing w:line="292" w:lineRule="auto" w:before="168"/>
              <w:ind w:left="106" w:right="198"/>
              <w:rPr>
                <w:i/>
                <w:sz w:val="21"/>
              </w:rPr>
            </w:pPr>
            <w:r>
              <w:rPr>
                <w:i/>
                <w:spacing w:val="-8"/>
                <w:sz w:val="21"/>
              </w:rPr>
              <w:t>指因脑血管的突发病变引起脑血管出血、栓塞或梗塞，并导致神经系统</w:t>
            </w:r>
            <w:r>
              <w:rPr>
                <w:i/>
                <w:spacing w:val="-13"/>
                <w:sz w:val="21"/>
              </w:rPr>
              <w:t>永久性的功能障碍。神经系统永久性的功能障碍，指疾病确诊</w:t>
            </w:r>
            <w:r>
              <w:rPr>
                <w:sz w:val="21"/>
              </w:rPr>
              <w:t>180</w:t>
            </w:r>
            <w:r>
              <w:rPr>
                <w:i/>
                <w:sz w:val="21"/>
              </w:rPr>
              <w:t>天后， </w:t>
            </w:r>
            <w:r>
              <w:rPr>
                <w:i/>
                <w:spacing w:val="-3"/>
                <w:sz w:val="21"/>
              </w:rPr>
              <w:t>仍遗留下列一种或一种以上障碍：</w:t>
            </w:r>
          </w:p>
          <w:p>
            <w:pPr>
              <w:pStyle w:val="TableParagraph"/>
              <w:spacing w:before="15"/>
              <w:rPr>
                <w:i/>
                <w:sz w:val="21"/>
              </w:rPr>
            </w:pPr>
            <w:r>
              <w:rPr>
                <w:i/>
                <w:w w:val="100"/>
                <w:sz w:val="21"/>
              </w:rPr>
              <w:t>（</w:t>
            </w:r>
            <w:r>
              <w:rPr>
                <w:w w:val="100"/>
                <w:sz w:val="21"/>
              </w:rPr>
              <w:t>1</w:t>
            </w:r>
            <w:r>
              <w:rPr>
                <w:i/>
                <w:spacing w:val="-3"/>
                <w:w w:val="100"/>
                <w:sz w:val="21"/>
              </w:rPr>
              <w:t>）一肢或一肢以上</w:t>
            </w:r>
            <w:r>
              <w:rPr>
                <w:b/>
                <w:w w:val="100"/>
                <w:sz w:val="21"/>
              </w:rPr>
              <w:t>肢体机能完全丧失</w:t>
            </w:r>
            <w:r>
              <w:rPr>
                <w:i/>
                <w:spacing w:val="-3"/>
                <w:w w:val="100"/>
                <w:sz w:val="21"/>
              </w:rPr>
              <w:t>（</w:t>
            </w:r>
            <w:r>
              <w:rPr>
                <w:i/>
                <w:w w:val="100"/>
                <w:sz w:val="21"/>
              </w:rPr>
              <w:t>见</w:t>
            </w:r>
            <w:r>
              <w:rPr>
                <w:w w:val="100"/>
                <w:sz w:val="21"/>
              </w:rPr>
              <w:t>8</w:t>
            </w:r>
            <w:r>
              <w:rPr>
                <w:spacing w:val="-3"/>
                <w:w w:val="100"/>
                <w:sz w:val="21"/>
              </w:rPr>
              <w:t>.</w:t>
            </w:r>
            <w:r>
              <w:rPr>
                <w:w w:val="100"/>
                <w:sz w:val="21"/>
              </w:rPr>
              <w:t>15</w:t>
            </w:r>
            <w:r>
              <w:rPr>
                <w:i/>
                <w:spacing w:val="-108"/>
                <w:w w:val="100"/>
                <w:sz w:val="21"/>
              </w:rPr>
              <w:t>）；</w:t>
            </w:r>
          </w:p>
          <w:p>
            <w:pPr>
              <w:pStyle w:val="TableParagraph"/>
              <w:spacing w:before="63"/>
              <w:rPr>
                <w:i/>
                <w:sz w:val="21"/>
              </w:rPr>
            </w:pPr>
            <w:r>
              <w:rPr>
                <w:i/>
                <w:w w:val="100"/>
                <w:sz w:val="21"/>
              </w:rPr>
              <w:t>（</w:t>
            </w:r>
            <w:r>
              <w:rPr>
                <w:w w:val="100"/>
                <w:sz w:val="21"/>
              </w:rPr>
              <w:t>2</w:t>
            </w:r>
            <w:r>
              <w:rPr>
                <w:i/>
                <w:spacing w:val="-3"/>
                <w:w w:val="100"/>
                <w:sz w:val="21"/>
              </w:rPr>
              <w:t>）</w:t>
            </w:r>
            <w:r>
              <w:rPr>
                <w:b/>
                <w:spacing w:val="-2"/>
                <w:w w:val="100"/>
                <w:sz w:val="21"/>
              </w:rPr>
              <w:t>语言能力或咀嚼吞咽能力完全丧失</w:t>
            </w:r>
            <w:r>
              <w:rPr>
                <w:i/>
                <w:spacing w:val="-3"/>
                <w:w w:val="100"/>
                <w:sz w:val="21"/>
              </w:rPr>
              <w:t>（</w:t>
            </w:r>
            <w:r>
              <w:rPr>
                <w:i/>
                <w:w w:val="100"/>
                <w:sz w:val="21"/>
              </w:rPr>
              <w:t>见</w:t>
            </w:r>
            <w:r>
              <w:rPr>
                <w:w w:val="100"/>
                <w:sz w:val="21"/>
              </w:rPr>
              <w:t>8</w:t>
            </w:r>
            <w:r>
              <w:rPr>
                <w:spacing w:val="-3"/>
                <w:w w:val="100"/>
                <w:sz w:val="21"/>
              </w:rPr>
              <w:t>.</w:t>
            </w:r>
            <w:r>
              <w:rPr>
                <w:w w:val="100"/>
                <w:sz w:val="21"/>
              </w:rPr>
              <w:t>16</w:t>
            </w:r>
            <w:r>
              <w:rPr>
                <w:i/>
                <w:spacing w:val="-108"/>
                <w:w w:val="100"/>
                <w:sz w:val="21"/>
              </w:rPr>
              <w:t>）；</w:t>
            </w:r>
          </w:p>
          <w:p>
            <w:pPr>
              <w:pStyle w:val="TableParagraph"/>
              <w:spacing w:before="61"/>
              <w:rPr>
                <w:i/>
                <w:sz w:val="21"/>
              </w:rPr>
            </w:pPr>
            <w:r>
              <w:rPr>
                <w:i/>
                <w:sz w:val="21"/>
              </w:rPr>
              <w:t>（</w:t>
            </w:r>
            <w:r>
              <w:rPr>
                <w:sz w:val="21"/>
              </w:rPr>
              <w:t>3</w:t>
            </w:r>
            <w:r>
              <w:rPr>
                <w:i/>
                <w:sz w:val="21"/>
              </w:rPr>
              <w:t>）自主生活能力完全丧失，无法独立完成</w:t>
            </w:r>
            <w:r>
              <w:rPr>
                <w:b/>
                <w:sz w:val="21"/>
              </w:rPr>
              <w:t>六项基本日常生活活动</w:t>
            </w:r>
            <w:r>
              <w:rPr>
                <w:i/>
                <w:sz w:val="21"/>
              </w:rPr>
              <w:t>（见</w:t>
            </w:r>
          </w:p>
          <w:p>
            <w:pPr>
              <w:pStyle w:val="TableParagraph"/>
              <w:spacing w:before="61"/>
              <w:rPr>
                <w:i/>
                <w:sz w:val="21"/>
              </w:rPr>
            </w:pPr>
            <w:r>
              <w:rPr>
                <w:sz w:val="21"/>
              </w:rPr>
              <w:t>8.17</w:t>
            </w:r>
            <w:r>
              <w:rPr>
                <w:i/>
                <w:sz w:val="21"/>
              </w:rPr>
              <w:t>）中的三项或三项以上。</w:t>
            </w:r>
          </w:p>
        </w:tc>
      </w:tr>
      <w:tr>
        <w:trPr>
          <w:trHeight w:val="2020" w:hRule="atLeast"/>
        </w:trPr>
        <w:tc>
          <w:tcPr>
            <w:tcW w:w="2841" w:type="dxa"/>
          </w:tcPr>
          <w:p>
            <w:pPr>
              <w:pStyle w:val="TableParagraph"/>
              <w:spacing w:line="292" w:lineRule="auto" w:before="168"/>
              <w:ind w:left="200" w:right="104"/>
              <w:rPr>
                <w:i/>
                <w:sz w:val="21"/>
              </w:rPr>
            </w:pPr>
            <w:r>
              <w:rPr>
                <w:i/>
                <w:sz w:val="21"/>
              </w:rPr>
              <w:t>（四）重大器官移植术或造血干细胞移植术</w:t>
            </w:r>
          </w:p>
        </w:tc>
        <w:tc>
          <w:tcPr>
            <w:tcW w:w="6824" w:type="dxa"/>
          </w:tcPr>
          <w:p>
            <w:pPr>
              <w:pStyle w:val="TableParagraph"/>
              <w:spacing w:line="292" w:lineRule="auto" w:before="168"/>
              <w:ind w:left="106" w:right="303"/>
              <w:jc w:val="both"/>
              <w:rPr>
                <w:i/>
                <w:sz w:val="21"/>
              </w:rPr>
            </w:pPr>
            <w:r>
              <w:rPr>
                <w:i/>
                <w:spacing w:val="-10"/>
                <w:sz w:val="21"/>
              </w:rPr>
              <w:t>重大器官移植术，指因相应器官功能衰竭，已经实施了肾脏、肝脏、心</w:t>
            </w:r>
            <w:r>
              <w:rPr>
                <w:i/>
                <w:spacing w:val="-5"/>
                <w:sz w:val="21"/>
              </w:rPr>
              <w:t>脏或肺脏的异体移植手术。</w:t>
            </w:r>
          </w:p>
          <w:p>
            <w:pPr>
              <w:pStyle w:val="TableParagraph"/>
              <w:spacing w:line="292" w:lineRule="auto" w:before="17"/>
              <w:ind w:left="106" w:right="303"/>
              <w:jc w:val="both"/>
              <w:rPr>
                <w:i/>
                <w:sz w:val="21"/>
              </w:rPr>
            </w:pPr>
            <w:r>
              <w:rPr>
                <w:i/>
                <w:spacing w:val="-11"/>
                <w:sz w:val="21"/>
              </w:rPr>
              <w:t>造血干细胞移植术，指因造血功能损害或造血系统恶性肿瘤，已经实施</w:t>
            </w:r>
            <w:r>
              <w:rPr>
                <w:i/>
                <w:spacing w:val="-15"/>
                <w:sz w:val="21"/>
              </w:rPr>
              <w:t>了造血干细胞</w:t>
            </w:r>
            <w:r>
              <w:rPr>
                <w:i/>
                <w:spacing w:val="-3"/>
                <w:sz w:val="21"/>
              </w:rPr>
              <w:t>（</w:t>
            </w:r>
            <w:r>
              <w:rPr>
                <w:i/>
                <w:spacing w:val="-8"/>
                <w:sz w:val="21"/>
              </w:rPr>
              <w:t>包括骨髓造血干细胞、外周血造血干细胞和脐血造血干细胞</w:t>
            </w:r>
            <w:r>
              <w:rPr>
                <w:i/>
                <w:spacing w:val="-3"/>
                <w:sz w:val="21"/>
              </w:rPr>
              <w:t>）的异体移植手术。</w:t>
            </w:r>
          </w:p>
        </w:tc>
      </w:tr>
      <w:tr>
        <w:trPr>
          <w:trHeight w:val="1683" w:hRule="atLeast"/>
        </w:trPr>
        <w:tc>
          <w:tcPr>
            <w:tcW w:w="2841" w:type="dxa"/>
          </w:tcPr>
          <w:p>
            <w:pPr>
              <w:pStyle w:val="TableParagraph"/>
              <w:spacing w:line="292" w:lineRule="auto" w:before="168"/>
              <w:ind w:left="200" w:right="106"/>
              <w:rPr>
                <w:i/>
                <w:sz w:val="21"/>
              </w:rPr>
            </w:pPr>
            <w:r>
              <w:rPr>
                <w:i/>
                <w:spacing w:val="-3"/>
                <w:sz w:val="21"/>
              </w:rPr>
              <w:t>（</w:t>
            </w:r>
            <w:r>
              <w:rPr>
                <w:i/>
                <w:sz w:val="21"/>
              </w:rPr>
              <w:t>五）</w:t>
            </w:r>
            <w:r>
              <w:rPr>
                <w:i/>
                <w:spacing w:val="-14"/>
                <w:sz w:val="21"/>
              </w:rPr>
              <w:t> 冠状动脉搭桥术</w:t>
            </w:r>
            <w:r>
              <w:rPr>
                <w:i/>
                <w:spacing w:val="-3"/>
                <w:sz w:val="21"/>
              </w:rPr>
              <w:t>（或称冠状动脉旁路移植术</w:t>
            </w:r>
            <w:r>
              <w:rPr>
                <w:i/>
                <w:sz w:val="21"/>
              </w:rPr>
              <w:t>）</w:t>
            </w:r>
          </w:p>
        </w:tc>
        <w:tc>
          <w:tcPr>
            <w:tcW w:w="6824" w:type="dxa"/>
          </w:tcPr>
          <w:p>
            <w:pPr>
              <w:pStyle w:val="TableParagraph"/>
              <w:spacing w:line="292" w:lineRule="auto" w:before="168"/>
              <w:ind w:left="106" w:right="306"/>
              <w:rPr>
                <w:i/>
                <w:sz w:val="21"/>
              </w:rPr>
            </w:pPr>
            <w:r>
              <w:rPr>
                <w:i/>
                <w:spacing w:val="-12"/>
                <w:sz w:val="21"/>
              </w:rPr>
              <w:t>指为治疗严重的冠心病，实际实施了开胸进行的冠状动脉血管旁路移植</w:t>
            </w:r>
            <w:r>
              <w:rPr>
                <w:i/>
                <w:spacing w:val="-7"/>
                <w:sz w:val="21"/>
              </w:rPr>
              <w:t>的手术。</w:t>
            </w:r>
          </w:p>
          <w:p>
            <w:pPr>
              <w:pStyle w:val="TableParagraph"/>
              <w:spacing w:line="295" w:lineRule="auto" w:before="15"/>
              <w:ind w:left="106" w:right="303"/>
              <w:rPr>
                <w:i/>
                <w:sz w:val="21"/>
              </w:rPr>
            </w:pPr>
            <w:r>
              <w:rPr>
                <w:i/>
                <w:spacing w:val="-11"/>
                <w:sz w:val="21"/>
              </w:rPr>
              <w:t>冠状动脉支架植入术、心导管球囊扩张术、激光射频技术及其它非开胸</w:t>
            </w:r>
            <w:r>
              <w:rPr>
                <w:i/>
                <w:spacing w:val="-6"/>
                <w:sz w:val="21"/>
              </w:rPr>
              <w:t>的介入手术、腔镜手术不在保障范围内。</w:t>
            </w:r>
          </w:p>
        </w:tc>
      </w:tr>
      <w:tr>
        <w:trPr>
          <w:trHeight w:val="441" w:hRule="atLeast"/>
        </w:trPr>
        <w:tc>
          <w:tcPr>
            <w:tcW w:w="2841" w:type="dxa"/>
          </w:tcPr>
          <w:p>
            <w:pPr>
              <w:pStyle w:val="TableParagraph"/>
              <w:spacing w:line="255" w:lineRule="exact" w:before="166"/>
              <w:ind w:left="200"/>
              <w:rPr>
                <w:i/>
                <w:sz w:val="21"/>
              </w:rPr>
            </w:pPr>
            <w:r>
              <w:rPr>
                <w:i/>
                <w:sz w:val="21"/>
              </w:rPr>
              <w:t>（六）终末期肾病（或称慢</w:t>
            </w:r>
          </w:p>
        </w:tc>
        <w:tc>
          <w:tcPr>
            <w:tcW w:w="6824" w:type="dxa"/>
          </w:tcPr>
          <w:p>
            <w:pPr>
              <w:pStyle w:val="TableParagraph"/>
              <w:spacing w:line="255" w:lineRule="exact" w:before="166"/>
              <w:ind w:left="106"/>
              <w:rPr>
                <w:i/>
                <w:sz w:val="21"/>
              </w:rPr>
            </w:pPr>
            <w:r>
              <w:rPr>
                <w:i/>
                <w:sz w:val="21"/>
              </w:rPr>
              <w:t>指双肾功能慢性不可逆性衰竭，达到尿毒症期，经诊断后已经进行了至</w:t>
            </w:r>
          </w:p>
        </w:tc>
      </w:tr>
    </w:tbl>
    <w:p>
      <w:pPr>
        <w:spacing w:after="0" w:line="255" w:lineRule="exact"/>
        <w:rPr>
          <w:sz w:val="21"/>
        </w:rPr>
        <w:sectPr>
          <w:pgSz w:w="11910" w:h="16840"/>
          <w:pgMar w:header="0" w:footer="921" w:top="146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441" w:hRule="atLeast"/>
        </w:trPr>
        <w:tc>
          <w:tcPr>
            <w:tcW w:w="2841" w:type="dxa"/>
          </w:tcPr>
          <w:p>
            <w:pPr>
              <w:pStyle w:val="TableParagraph"/>
              <w:spacing w:line="211" w:lineRule="exact" w:before="0"/>
              <w:ind w:left="200"/>
              <w:rPr>
                <w:i/>
                <w:sz w:val="21"/>
              </w:rPr>
            </w:pPr>
            <w:r>
              <w:rPr>
                <w:i/>
                <w:sz w:val="21"/>
              </w:rPr>
              <w:t>性肾功能衰竭尿毒症期）</w:t>
            </w:r>
          </w:p>
        </w:tc>
        <w:tc>
          <w:tcPr>
            <w:tcW w:w="6823" w:type="dxa"/>
          </w:tcPr>
          <w:p>
            <w:pPr>
              <w:pStyle w:val="TableParagraph"/>
              <w:spacing w:line="211" w:lineRule="exact" w:before="0"/>
              <w:ind w:left="106"/>
              <w:rPr>
                <w:i/>
                <w:sz w:val="21"/>
              </w:rPr>
            </w:pPr>
            <w:r>
              <w:rPr>
                <w:i/>
                <w:sz w:val="21"/>
              </w:rPr>
              <w:t>少 </w:t>
            </w:r>
            <w:r>
              <w:rPr>
                <w:sz w:val="21"/>
              </w:rPr>
              <w:t>90 </w:t>
            </w:r>
            <w:r>
              <w:rPr>
                <w:i/>
                <w:sz w:val="21"/>
              </w:rPr>
              <w:t>天的规律性透析治疗或实施了肾脏移植手术。</w:t>
            </w:r>
          </w:p>
        </w:tc>
      </w:tr>
      <w:tr>
        <w:trPr>
          <w:trHeight w:val="1010" w:hRule="atLeast"/>
        </w:trPr>
        <w:tc>
          <w:tcPr>
            <w:tcW w:w="2841" w:type="dxa"/>
          </w:tcPr>
          <w:p>
            <w:pPr>
              <w:pStyle w:val="TableParagraph"/>
              <w:spacing w:before="166"/>
              <w:ind w:left="200"/>
              <w:rPr>
                <w:i/>
                <w:sz w:val="21"/>
              </w:rPr>
            </w:pPr>
            <w:r>
              <w:rPr>
                <w:i/>
                <w:sz w:val="21"/>
              </w:rPr>
              <w:t>（七）多个肢体缺失</w:t>
            </w:r>
          </w:p>
        </w:tc>
        <w:tc>
          <w:tcPr>
            <w:tcW w:w="6823" w:type="dxa"/>
          </w:tcPr>
          <w:p>
            <w:pPr>
              <w:pStyle w:val="TableParagraph"/>
              <w:spacing w:before="166"/>
              <w:rPr>
                <w:i/>
                <w:sz w:val="21"/>
              </w:rPr>
            </w:pPr>
            <w:r>
              <w:rPr>
                <w:i/>
                <w:sz w:val="21"/>
              </w:rPr>
              <w:t>指因疾病或意外伤害导致两个或两个以上肢体自腕关节或踝关节近端</w:t>
            </w:r>
          </w:p>
          <w:p>
            <w:pPr>
              <w:pStyle w:val="TableParagraph"/>
              <w:spacing w:before="63"/>
              <w:rPr>
                <w:i/>
                <w:sz w:val="21"/>
              </w:rPr>
            </w:pPr>
            <w:r>
              <w:rPr>
                <w:i/>
                <w:sz w:val="21"/>
              </w:rPr>
              <w:t>（靠近躯干端）以上完全性断离。</w:t>
            </w:r>
          </w:p>
        </w:tc>
      </w:tr>
      <w:tr>
        <w:trPr>
          <w:trHeight w:val="2356" w:hRule="atLeast"/>
        </w:trPr>
        <w:tc>
          <w:tcPr>
            <w:tcW w:w="2841" w:type="dxa"/>
          </w:tcPr>
          <w:p>
            <w:pPr>
              <w:pStyle w:val="TableParagraph"/>
              <w:spacing w:line="295" w:lineRule="auto" w:before="166"/>
              <w:ind w:left="200" w:right="104"/>
              <w:rPr>
                <w:i/>
                <w:sz w:val="21"/>
              </w:rPr>
            </w:pPr>
            <w:r>
              <w:rPr>
                <w:i/>
                <w:sz w:val="21"/>
              </w:rPr>
              <w:t>（八）急性或亚急性重症肝炎</w:t>
            </w:r>
          </w:p>
        </w:tc>
        <w:tc>
          <w:tcPr>
            <w:tcW w:w="6823" w:type="dxa"/>
          </w:tcPr>
          <w:p>
            <w:pPr>
              <w:pStyle w:val="TableParagraph"/>
              <w:spacing w:line="295" w:lineRule="auto" w:before="166"/>
              <w:ind w:right="302"/>
              <w:rPr>
                <w:i/>
                <w:sz w:val="21"/>
              </w:rPr>
            </w:pPr>
            <w:r>
              <w:rPr>
                <w:i/>
                <w:spacing w:val="-8"/>
                <w:sz w:val="21"/>
              </w:rPr>
              <w:t>指因肝炎病毒感染引起肝脏组织弥漫性坏死，导致急性肝功能衰竭，且</w:t>
            </w:r>
            <w:r>
              <w:rPr>
                <w:i/>
                <w:spacing w:val="-5"/>
                <w:sz w:val="21"/>
              </w:rPr>
              <w:t>经血清学或病毒学检查证实，并须满足下列全部条件：</w:t>
            </w:r>
          </w:p>
          <w:p>
            <w:pPr>
              <w:pStyle w:val="TableParagraph"/>
              <w:spacing w:before="12"/>
              <w:rPr>
                <w:i/>
                <w:sz w:val="21"/>
              </w:rPr>
            </w:pPr>
            <w:r>
              <w:rPr>
                <w:i/>
                <w:sz w:val="21"/>
              </w:rPr>
              <w:t>（</w:t>
            </w:r>
            <w:r>
              <w:rPr>
                <w:sz w:val="21"/>
              </w:rPr>
              <w:t>1</w:t>
            </w:r>
            <w:r>
              <w:rPr>
                <w:i/>
                <w:sz w:val="21"/>
              </w:rPr>
              <w:t>）重度黄疸或黄疸迅速加重；</w:t>
            </w:r>
          </w:p>
          <w:p>
            <w:pPr>
              <w:pStyle w:val="TableParagraph"/>
              <w:spacing w:before="61"/>
              <w:rPr>
                <w:i/>
                <w:sz w:val="21"/>
              </w:rPr>
            </w:pPr>
            <w:r>
              <w:rPr>
                <w:i/>
                <w:sz w:val="21"/>
              </w:rPr>
              <w:t>（</w:t>
            </w:r>
            <w:r>
              <w:rPr>
                <w:sz w:val="21"/>
              </w:rPr>
              <w:t>2</w:t>
            </w:r>
            <w:r>
              <w:rPr>
                <w:i/>
                <w:sz w:val="21"/>
              </w:rPr>
              <w:t>）肝性脑病；</w:t>
            </w:r>
          </w:p>
          <w:p>
            <w:pPr>
              <w:pStyle w:val="TableParagraph"/>
              <w:spacing w:before="61"/>
              <w:rPr>
                <w:i/>
                <w:sz w:val="21"/>
              </w:rPr>
            </w:pPr>
            <w:r>
              <w:rPr>
                <w:i/>
                <w:sz w:val="21"/>
              </w:rPr>
              <w:t>（</w:t>
            </w:r>
            <w:r>
              <w:rPr>
                <w:sz w:val="21"/>
              </w:rPr>
              <w:t>3</w:t>
            </w:r>
            <w:r>
              <w:rPr>
                <w:i/>
                <w:sz w:val="21"/>
              </w:rPr>
              <w:t>）</w:t>
            </w:r>
            <w:r>
              <w:rPr>
                <w:sz w:val="21"/>
              </w:rPr>
              <w:t>B</w:t>
            </w:r>
            <w:r>
              <w:rPr>
                <w:i/>
                <w:sz w:val="21"/>
              </w:rPr>
              <w:t>超或其它影像学检查显示肝脏体积急速萎缩；</w:t>
            </w:r>
          </w:p>
          <w:p>
            <w:pPr>
              <w:pStyle w:val="TableParagraph"/>
              <w:spacing w:before="63"/>
              <w:rPr>
                <w:i/>
                <w:sz w:val="21"/>
              </w:rPr>
            </w:pPr>
            <w:r>
              <w:rPr>
                <w:i/>
                <w:sz w:val="21"/>
              </w:rPr>
              <w:t>（</w:t>
            </w:r>
            <w:r>
              <w:rPr>
                <w:sz w:val="21"/>
              </w:rPr>
              <w:t>4</w:t>
            </w:r>
            <w:r>
              <w:rPr>
                <w:i/>
                <w:sz w:val="21"/>
              </w:rPr>
              <w:t>）肝功能指标进行性恶化。</w:t>
            </w:r>
          </w:p>
        </w:tc>
      </w:tr>
      <w:tr>
        <w:trPr>
          <w:trHeight w:val="2694" w:hRule="atLeast"/>
        </w:trPr>
        <w:tc>
          <w:tcPr>
            <w:tcW w:w="2841" w:type="dxa"/>
          </w:tcPr>
          <w:p>
            <w:pPr>
              <w:pStyle w:val="TableParagraph"/>
              <w:spacing w:before="166"/>
              <w:ind w:left="200"/>
              <w:rPr>
                <w:i/>
                <w:sz w:val="21"/>
              </w:rPr>
            </w:pPr>
            <w:r>
              <w:rPr>
                <w:i/>
                <w:sz w:val="21"/>
              </w:rPr>
              <w:t>（九）良性脑肿瘤</w:t>
            </w:r>
          </w:p>
        </w:tc>
        <w:tc>
          <w:tcPr>
            <w:tcW w:w="6823" w:type="dxa"/>
          </w:tcPr>
          <w:p>
            <w:pPr>
              <w:pStyle w:val="TableParagraph"/>
              <w:spacing w:line="295" w:lineRule="auto" w:before="166"/>
              <w:ind w:right="197"/>
              <w:rPr>
                <w:i/>
                <w:sz w:val="21"/>
              </w:rPr>
            </w:pPr>
            <w:r>
              <w:rPr>
                <w:i/>
                <w:sz w:val="21"/>
              </w:rPr>
              <w:t>指脑的良性肿瘤，已经引起颅内压增高，临床表现为视神经乳头水肿、精神症状、癫痫及运动感觉障碍等，并危及生命。须由头颅断层扫描</w:t>
            </w:r>
          </w:p>
          <w:p>
            <w:pPr>
              <w:pStyle w:val="TableParagraph"/>
              <w:spacing w:line="292" w:lineRule="auto" w:before="12"/>
              <w:ind w:right="308" w:hanging="1"/>
              <w:rPr>
                <w:i/>
                <w:sz w:val="21"/>
              </w:rPr>
            </w:pPr>
            <w:r>
              <w:rPr>
                <w:i/>
                <w:w w:val="100"/>
                <w:sz w:val="21"/>
              </w:rPr>
              <w:t>（</w:t>
            </w:r>
            <w:r>
              <w:rPr>
                <w:w w:val="100"/>
                <w:sz w:val="21"/>
              </w:rPr>
              <w:t>CT</w:t>
            </w:r>
            <w:r>
              <w:rPr>
                <w:i/>
                <w:spacing w:val="-108"/>
                <w:w w:val="100"/>
                <w:sz w:val="21"/>
              </w:rPr>
              <w:t>）</w:t>
            </w:r>
            <w:r>
              <w:rPr>
                <w:i/>
                <w:spacing w:val="-3"/>
                <w:w w:val="100"/>
                <w:sz w:val="21"/>
              </w:rPr>
              <w:t>、核磁共振检查</w:t>
            </w:r>
            <w:r>
              <w:rPr>
                <w:i/>
                <w:w w:val="100"/>
                <w:sz w:val="21"/>
              </w:rPr>
              <w:t>（</w:t>
            </w:r>
            <w:r>
              <w:rPr>
                <w:spacing w:val="-3"/>
                <w:w w:val="100"/>
                <w:sz w:val="21"/>
              </w:rPr>
              <w:t>MR</w:t>
            </w:r>
            <w:r>
              <w:rPr>
                <w:spacing w:val="-1"/>
                <w:w w:val="100"/>
                <w:sz w:val="21"/>
              </w:rPr>
              <w:t>I</w:t>
            </w:r>
            <w:r>
              <w:rPr>
                <w:i/>
                <w:spacing w:val="-3"/>
                <w:w w:val="100"/>
                <w:sz w:val="21"/>
              </w:rPr>
              <w:t>）或正电子发射断层扫描</w:t>
            </w:r>
            <w:r>
              <w:rPr>
                <w:i/>
                <w:spacing w:val="-1"/>
                <w:w w:val="100"/>
                <w:sz w:val="21"/>
              </w:rPr>
              <w:t>（</w:t>
            </w:r>
            <w:r>
              <w:rPr>
                <w:w w:val="100"/>
                <w:sz w:val="21"/>
              </w:rPr>
              <w:t>PE</w:t>
            </w:r>
            <w:r>
              <w:rPr>
                <w:spacing w:val="-3"/>
                <w:w w:val="100"/>
                <w:sz w:val="21"/>
              </w:rPr>
              <w:t>T</w:t>
            </w:r>
            <w:r>
              <w:rPr>
                <w:i/>
                <w:spacing w:val="-3"/>
                <w:w w:val="100"/>
                <w:sz w:val="21"/>
              </w:rPr>
              <w:t>）</w:t>
            </w:r>
            <w:r>
              <w:rPr>
                <w:i/>
                <w:spacing w:val="-2"/>
                <w:w w:val="100"/>
                <w:sz w:val="21"/>
              </w:rPr>
              <w:t>等影像学</w:t>
            </w:r>
            <w:r>
              <w:rPr>
                <w:i/>
                <w:spacing w:val="-3"/>
                <w:sz w:val="21"/>
              </w:rPr>
              <w:t>检查证实，并须满足下列至少一项条件：</w:t>
            </w:r>
          </w:p>
          <w:p>
            <w:pPr>
              <w:pStyle w:val="TableParagraph"/>
              <w:spacing w:before="14"/>
              <w:rPr>
                <w:i/>
                <w:sz w:val="21"/>
              </w:rPr>
            </w:pPr>
            <w:r>
              <w:rPr>
                <w:i/>
                <w:sz w:val="21"/>
              </w:rPr>
              <w:t>（</w:t>
            </w:r>
            <w:r>
              <w:rPr>
                <w:sz w:val="21"/>
              </w:rPr>
              <w:t>1</w:t>
            </w:r>
            <w:r>
              <w:rPr>
                <w:i/>
                <w:sz w:val="21"/>
              </w:rPr>
              <w:t>）实际实施了开颅进行的脑肿瘤完全切除或部分切除的手术；</w:t>
            </w:r>
          </w:p>
          <w:p>
            <w:pPr>
              <w:pStyle w:val="TableParagraph"/>
              <w:spacing w:before="62"/>
              <w:rPr>
                <w:i/>
                <w:sz w:val="21"/>
              </w:rPr>
            </w:pPr>
            <w:r>
              <w:rPr>
                <w:i/>
                <w:sz w:val="21"/>
              </w:rPr>
              <w:t>（</w:t>
            </w:r>
            <w:r>
              <w:rPr>
                <w:sz w:val="21"/>
              </w:rPr>
              <w:t>2</w:t>
            </w:r>
            <w:r>
              <w:rPr>
                <w:i/>
                <w:sz w:val="21"/>
              </w:rPr>
              <w:t>）实际实施了对脑肿瘤进行的放射治疗。</w:t>
            </w:r>
          </w:p>
          <w:p>
            <w:pPr>
              <w:pStyle w:val="TableParagraph"/>
              <w:spacing w:before="60"/>
              <w:rPr>
                <w:i/>
                <w:sz w:val="21"/>
              </w:rPr>
            </w:pPr>
            <w:r>
              <w:rPr>
                <w:i/>
                <w:sz w:val="21"/>
              </w:rPr>
              <w:t>脑垂体瘤、脑囊肿、脑血管性疾病不在保障范围内。</w:t>
            </w:r>
          </w:p>
        </w:tc>
      </w:tr>
      <w:tr>
        <w:trPr>
          <w:trHeight w:val="2356" w:hRule="atLeast"/>
        </w:trPr>
        <w:tc>
          <w:tcPr>
            <w:tcW w:w="2841" w:type="dxa"/>
          </w:tcPr>
          <w:p>
            <w:pPr>
              <w:pStyle w:val="TableParagraph"/>
              <w:spacing w:line="292" w:lineRule="auto" w:before="168"/>
              <w:ind w:left="200" w:right="104" w:hanging="1"/>
              <w:rPr>
                <w:i/>
                <w:sz w:val="21"/>
              </w:rPr>
            </w:pPr>
            <w:r>
              <w:rPr>
                <w:i/>
                <w:sz w:val="21"/>
              </w:rPr>
              <w:t>（十）慢性肝功能衰竭失代偿期</w:t>
            </w:r>
          </w:p>
        </w:tc>
        <w:tc>
          <w:tcPr>
            <w:tcW w:w="6823" w:type="dxa"/>
          </w:tcPr>
          <w:p>
            <w:pPr>
              <w:pStyle w:val="TableParagraph"/>
              <w:spacing w:before="168"/>
              <w:rPr>
                <w:i/>
                <w:sz w:val="21"/>
              </w:rPr>
            </w:pPr>
            <w:r>
              <w:rPr>
                <w:i/>
                <w:sz w:val="21"/>
              </w:rPr>
              <w:t>指因慢性肝脏疾病导致肝功能衰竭。须满足下列全部条件：</w:t>
            </w:r>
          </w:p>
          <w:p>
            <w:pPr>
              <w:pStyle w:val="TableParagraph"/>
              <w:spacing w:before="61"/>
              <w:rPr>
                <w:i/>
                <w:sz w:val="21"/>
              </w:rPr>
            </w:pPr>
            <w:r>
              <w:rPr>
                <w:i/>
                <w:sz w:val="21"/>
              </w:rPr>
              <w:t>（</w:t>
            </w:r>
            <w:r>
              <w:rPr>
                <w:sz w:val="21"/>
              </w:rPr>
              <w:t>1</w:t>
            </w:r>
            <w:r>
              <w:rPr>
                <w:i/>
                <w:sz w:val="21"/>
              </w:rPr>
              <w:t>）持续性黄疸；</w:t>
            </w:r>
          </w:p>
          <w:p>
            <w:pPr>
              <w:pStyle w:val="TableParagraph"/>
              <w:spacing w:before="61"/>
              <w:rPr>
                <w:i/>
                <w:sz w:val="21"/>
              </w:rPr>
            </w:pPr>
            <w:r>
              <w:rPr>
                <w:i/>
                <w:sz w:val="21"/>
              </w:rPr>
              <w:t>（</w:t>
            </w:r>
            <w:r>
              <w:rPr>
                <w:sz w:val="21"/>
              </w:rPr>
              <w:t>2</w:t>
            </w:r>
            <w:r>
              <w:rPr>
                <w:i/>
                <w:sz w:val="21"/>
              </w:rPr>
              <w:t>）腹水；</w:t>
            </w:r>
          </w:p>
          <w:p>
            <w:pPr>
              <w:pStyle w:val="TableParagraph"/>
              <w:spacing w:before="61"/>
              <w:rPr>
                <w:i/>
                <w:sz w:val="21"/>
              </w:rPr>
            </w:pPr>
            <w:r>
              <w:rPr>
                <w:i/>
                <w:sz w:val="21"/>
              </w:rPr>
              <w:t>（</w:t>
            </w:r>
            <w:r>
              <w:rPr>
                <w:sz w:val="21"/>
              </w:rPr>
              <w:t>3</w:t>
            </w:r>
            <w:r>
              <w:rPr>
                <w:i/>
                <w:sz w:val="21"/>
              </w:rPr>
              <w:t>）肝性脑病；</w:t>
            </w:r>
          </w:p>
          <w:p>
            <w:pPr>
              <w:pStyle w:val="TableParagraph"/>
              <w:spacing w:line="292" w:lineRule="auto" w:before="63"/>
              <w:ind w:right="1569"/>
              <w:rPr>
                <w:i/>
                <w:sz w:val="21"/>
              </w:rPr>
            </w:pPr>
            <w:r>
              <w:rPr>
                <w:i/>
                <w:sz w:val="21"/>
              </w:rPr>
              <w:t>（</w:t>
            </w:r>
            <w:r>
              <w:rPr>
                <w:sz w:val="21"/>
              </w:rPr>
              <w:t>4</w:t>
            </w:r>
            <w:r>
              <w:rPr>
                <w:i/>
                <w:sz w:val="21"/>
              </w:rPr>
              <w:t>）充血性脾肿大伴脾功能亢进或食管胃底静脉曲张。因酗酒或药物滥用导致的肝功能衰竭不在保障范围内。</w:t>
            </w:r>
          </w:p>
        </w:tc>
      </w:tr>
      <w:tr>
        <w:trPr>
          <w:trHeight w:val="2356" w:hRule="atLeast"/>
        </w:trPr>
        <w:tc>
          <w:tcPr>
            <w:tcW w:w="2841" w:type="dxa"/>
          </w:tcPr>
          <w:p>
            <w:pPr>
              <w:pStyle w:val="TableParagraph"/>
              <w:spacing w:line="292" w:lineRule="auto" w:before="168"/>
              <w:ind w:left="200" w:right="104"/>
              <w:rPr>
                <w:i/>
                <w:sz w:val="21"/>
              </w:rPr>
            </w:pPr>
            <w:r>
              <w:rPr>
                <w:i/>
                <w:sz w:val="21"/>
              </w:rPr>
              <w:t>（十一）脑炎后遗症或脑膜炎后遗症</w:t>
            </w:r>
          </w:p>
        </w:tc>
        <w:tc>
          <w:tcPr>
            <w:tcW w:w="6823" w:type="dxa"/>
          </w:tcPr>
          <w:p>
            <w:pPr>
              <w:pStyle w:val="TableParagraph"/>
              <w:spacing w:line="292" w:lineRule="auto" w:before="168"/>
              <w:ind w:right="200"/>
              <w:rPr>
                <w:i/>
                <w:sz w:val="21"/>
              </w:rPr>
            </w:pPr>
            <w:r>
              <w:rPr>
                <w:i/>
                <w:spacing w:val="-8"/>
                <w:sz w:val="21"/>
              </w:rPr>
              <w:t>指因患脑炎或脑膜炎导致的神经系统永久性的功能障碍。神经系统永久</w:t>
            </w:r>
            <w:r>
              <w:rPr>
                <w:i/>
                <w:spacing w:val="-9"/>
                <w:sz w:val="21"/>
              </w:rPr>
              <w:t>性的功能障碍，指疾病确诊</w:t>
            </w:r>
            <w:r>
              <w:rPr>
                <w:sz w:val="21"/>
              </w:rPr>
              <w:t>180</w:t>
            </w:r>
            <w:r>
              <w:rPr>
                <w:i/>
                <w:spacing w:val="-9"/>
                <w:sz w:val="21"/>
              </w:rPr>
              <w:t>天后，仍遗留下列一种或一种以上障碍：</w:t>
            </w:r>
          </w:p>
          <w:p>
            <w:pPr>
              <w:pStyle w:val="TableParagraph"/>
              <w:spacing w:before="15"/>
              <w:rPr>
                <w:i/>
                <w:sz w:val="21"/>
              </w:rPr>
            </w:pPr>
            <w:r>
              <w:rPr>
                <w:i/>
                <w:sz w:val="21"/>
              </w:rPr>
              <w:t>（</w:t>
            </w:r>
            <w:r>
              <w:rPr>
                <w:sz w:val="21"/>
              </w:rPr>
              <w:t>1</w:t>
            </w:r>
            <w:r>
              <w:rPr>
                <w:i/>
                <w:sz w:val="21"/>
              </w:rPr>
              <w:t>）一肢或一肢以上肢体机能完全丧失；</w:t>
            </w:r>
          </w:p>
          <w:p>
            <w:pPr>
              <w:pStyle w:val="TableParagraph"/>
              <w:spacing w:before="63"/>
              <w:rPr>
                <w:i/>
                <w:sz w:val="21"/>
              </w:rPr>
            </w:pPr>
            <w:r>
              <w:rPr>
                <w:i/>
                <w:sz w:val="21"/>
              </w:rPr>
              <w:t>（</w:t>
            </w:r>
            <w:r>
              <w:rPr>
                <w:sz w:val="21"/>
              </w:rPr>
              <w:t>2</w:t>
            </w:r>
            <w:r>
              <w:rPr>
                <w:i/>
                <w:sz w:val="21"/>
              </w:rPr>
              <w:t>）语言能力或咀嚼吞咽能力完全丧失；</w:t>
            </w:r>
          </w:p>
          <w:p>
            <w:pPr>
              <w:pStyle w:val="TableParagraph"/>
              <w:spacing w:line="292" w:lineRule="auto" w:before="61"/>
              <w:ind w:right="304"/>
              <w:rPr>
                <w:i/>
                <w:sz w:val="21"/>
              </w:rPr>
            </w:pPr>
            <w:r>
              <w:rPr>
                <w:i/>
                <w:sz w:val="21"/>
              </w:rPr>
              <w:t>（</w:t>
            </w:r>
            <w:r>
              <w:rPr>
                <w:sz w:val="21"/>
              </w:rPr>
              <w:t>3</w:t>
            </w:r>
            <w:r>
              <w:rPr>
                <w:i/>
                <w:sz w:val="21"/>
              </w:rPr>
              <w:t>）自主生活能力完全丧失，无法独立完成六项基本日常生活活动中的三项或三项以上。</w:t>
            </w:r>
          </w:p>
        </w:tc>
      </w:tr>
      <w:tr>
        <w:trPr>
          <w:trHeight w:val="1683" w:hRule="atLeast"/>
        </w:trPr>
        <w:tc>
          <w:tcPr>
            <w:tcW w:w="2841" w:type="dxa"/>
          </w:tcPr>
          <w:p>
            <w:pPr>
              <w:pStyle w:val="TableParagraph"/>
              <w:spacing w:before="168"/>
              <w:ind w:left="200"/>
              <w:rPr>
                <w:i/>
                <w:sz w:val="21"/>
              </w:rPr>
            </w:pPr>
            <w:r>
              <w:rPr>
                <w:i/>
                <w:sz w:val="21"/>
              </w:rPr>
              <w:t>（十二）深度昏迷</w:t>
            </w:r>
          </w:p>
        </w:tc>
        <w:tc>
          <w:tcPr>
            <w:tcW w:w="6823" w:type="dxa"/>
          </w:tcPr>
          <w:p>
            <w:pPr>
              <w:pStyle w:val="TableParagraph"/>
              <w:spacing w:line="292" w:lineRule="auto" w:before="168"/>
              <w:ind w:right="305"/>
              <w:jc w:val="both"/>
              <w:rPr>
                <w:i/>
                <w:sz w:val="21"/>
              </w:rPr>
            </w:pPr>
            <w:r>
              <w:rPr>
                <w:i/>
                <w:sz w:val="21"/>
              </w:rPr>
              <w:t>指因疾病或意外伤害导致意识丧失</w:t>
            </w:r>
            <w:r>
              <w:rPr>
                <w:sz w:val="21"/>
              </w:rPr>
              <w:t>,</w:t>
            </w:r>
            <w:r>
              <w:rPr>
                <w:i/>
                <w:sz w:val="21"/>
              </w:rPr>
              <w:t>对外界刺激和体内需求均无反应</w:t>
            </w:r>
            <w:r>
              <w:rPr>
                <w:sz w:val="21"/>
              </w:rPr>
              <w:t>, </w:t>
            </w:r>
            <w:r>
              <w:rPr>
                <w:i/>
                <w:spacing w:val="-3"/>
                <w:sz w:val="21"/>
              </w:rPr>
              <w:t>昏迷程度按照格拉斯哥昏迷分级</w:t>
            </w:r>
            <w:r>
              <w:rPr>
                <w:i/>
                <w:sz w:val="21"/>
              </w:rPr>
              <w:t>（</w:t>
            </w:r>
            <w:r>
              <w:rPr>
                <w:sz w:val="21"/>
              </w:rPr>
              <w:t>Glasgow</w:t>
            </w:r>
            <w:r>
              <w:rPr>
                <w:spacing w:val="-44"/>
                <w:sz w:val="21"/>
              </w:rPr>
              <w:t> </w:t>
            </w:r>
            <w:r>
              <w:rPr>
                <w:sz w:val="21"/>
              </w:rPr>
              <w:t>coma</w:t>
            </w:r>
            <w:r>
              <w:rPr>
                <w:spacing w:val="-44"/>
                <w:sz w:val="21"/>
              </w:rPr>
              <w:t> </w:t>
            </w:r>
            <w:r>
              <w:rPr>
                <w:sz w:val="21"/>
              </w:rPr>
              <w:t>scale</w:t>
            </w:r>
            <w:r>
              <w:rPr>
                <w:i/>
                <w:sz w:val="21"/>
              </w:rPr>
              <w:t>）</w:t>
            </w:r>
            <w:r>
              <w:rPr>
                <w:i/>
                <w:spacing w:val="-3"/>
                <w:sz w:val="21"/>
              </w:rPr>
              <w:t>结果为</w:t>
            </w:r>
            <w:r>
              <w:rPr>
                <w:sz w:val="21"/>
              </w:rPr>
              <w:t>5</w:t>
            </w:r>
            <w:r>
              <w:rPr>
                <w:i/>
                <w:spacing w:val="-2"/>
                <w:sz w:val="21"/>
              </w:rPr>
              <w:t>分或</w:t>
            </w:r>
            <w:r>
              <w:rPr>
                <w:sz w:val="21"/>
              </w:rPr>
              <w:t>5 </w:t>
            </w:r>
            <w:r>
              <w:rPr>
                <w:i/>
                <w:spacing w:val="-3"/>
                <w:sz w:val="21"/>
              </w:rPr>
              <w:t>分以下，且已经持续使用呼吸机及其它生命维持系统</w:t>
            </w:r>
            <w:r>
              <w:rPr>
                <w:sz w:val="21"/>
              </w:rPr>
              <w:t>96</w:t>
            </w:r>
            <w:r>
              <w:rPr>
                <w:i/>
                <w:spacing w:val="-3"/>
                <w:sz w:val="21"/>
              </w:rPr>
              <w:t>小时以上。</w:t>
            </w:r>
          </w:p>
          <w:p>
            <w:pPr>
              <w:pStyle w:val="TableParagraph"/>
              <w:spacing w:before="17"/>
              <w:jc w:val="both"/>
              <w:rPr>
                <w:i/>
                <w:sz w:val="21"/>
              </w:rPr>
            </w:pPr>
            <w:r>
              <w:rPr>
                <w:i/>
                <w:sz w:val="21"/>
              </w:rPr>
              <w:t>因酗酒或药物滥用导致的深度昏迷不在保障范围内。</w:t>
            </w:r>
          </w:p>
        </w:tc>
      </w:tr>
      <w:tr>
        <w:trPr>
          <w:trHeight w:val="777" w:hRule="atLeast"/>
        </w:trPr>
        <w:tc>
          <w:tcPr>
            <w:tcW w:w="2841" w:type="dxa"/>
          </w:tcPr>
          <w:p>
            <w:pPr>
              <w:pStyle w:val="TableParagraph"/>
              <w:spacing w:before="166"/>
              <w:ind w:left="200"/>
              <w:rPr>
                <w:i/>
                <w:sz w:val="21"/>
              </w:rPr>
            </w:pPr>
            <w:r>
              <w:rPr>
                <w:i/>
                <w:sz w:val="21"/>
              </w:rPr>
              <w:t>（十三）双耳失聪</w:t>
            </w:r>
          </w:p>
        </w:tc>
        <w:tc>
          <w:tcPr>
            <w:tcW w:w="6823" w:type="dxa"/>
          </w:tcPr>
          <w:p>
            <w:pPr>
              <w:pStyle w:val="TableParagraph"/>
              <w:spacing w:before="166"/>
              <w:rPr>
                <w:i/>
                <w:sz w:val="21"/>
              </w:rPr>
            </w:pPr>
            <w:r>
              <w:rPr>
                <w:i/>
                <w:sz w:val="21"/>
              </w:rPr>
              <w:t>指因疾病或意外伤害导致双耳听力</w:t>
            </w:r>
            <w:r>
              <w:rPr>
                <w:b/>
                <w:sz w:val="21"/>
              </w:rPr>
              <w:t>永久不可逆</w:t>
            </w:r>
            <w:r>
              <w:rPr>
                <w:i/>
                <w:sz w:val="21"/>
              </w:rPr>
              <w:t>（见 </w:t>
            </w:r>
            <w:r>
              <w:rPr>
                <w:sz w:val="21"/>
              </w:rPr>
              <w:t>8.18</w:t>
            </w:r>
            <w:r>
              <w:rPr>
                <w:i/>
                <w:sz w:val="21"/>
              </w:rPr>
              <w:t>）性丧失，在</w:t>
            </w:r>
          </w:p>
          <w:p>
            <w:pPr>
              <w:pStyle w:val="TableParagraph"/>
              <w:spacing w:line="255" w:lineRule="exact" w:before="60"/>
              <w:rPr>
                <w:i/>
                <w:sz w:val="21"/>
              </w:rPr>
            </w:pPr>
            <w:r>
              <w:rPr>
                <w:sz w:val="21"/>
              </w:rPr>
              <w:t>500 </w:t>
            </w:r>
            <w:r>
              <w:rPr>
                <w:i/>
                <w:spacing w:val="-2"/>
                <w:sz w:val="21"/>
              </w:rPr>
              <w:t>赫兹、</w:t>
            </w:r>
            <w:r>
              <w:rPr>
                <w:sz w:val="21"/>
              </w:rPr>
              <w:t>1000 </w:t>
            </w:r>
            <w:r>
              <w:rPr>
                <w:i/>
                <w:spacing w:val="-14"/>
                <w:sz w:val="21"/>
              </w:rPr>
              <w:t>赫兹和 </w:t>
            </w:r>
            <w:r>
              <w:rPr>
                <w:spacing w:val="-3"/>
                <w:sz w:val="21"/>
              </w:rPr>
              <w:t>2000 </w:t>
            </w:r>
            <w:r>
              <w:rPr>
                <w:i/>
                <w:spacing w:val="-6"/>
                <w:sz w:val="21"/>
              </w:rPr>
              <w:t>赫兹语音频率下，平均听阈大于 </w:t>
            </w:r>
            <w:r>
              <w:rPr>
                <w:sz w:val="21"/>
              </w:rPr>
              <w:t>90 </w:t>
            </w:r>
            <w:r>
              <w:rPr>
                <w:i/>
                <w:spacing w:val="-3"/>
                <w:sz w:val="21"/>
              </w:rPr>
              <w:t>分贝，</w:t>
            </w:r>
          </w:p>
        </w:tc>
      </w:tr>
    </w:tbl>
    <w:p>
      <w:pPr>
        <w:spacing w:after="0" w:line="255" w:lineRule="exact"/>
        <w:rPr>
          <w:sz w:val="21"/>
        </w:rPr>
        <w:sectPr>
          <w:pgSz w:w="11910" w:h="16840"/>
          <w:pgMar w:header="0" w:footer="921" w:top="146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5"/>
        <w:gridCol w:w="6827"/>
      </w:tblGrid>
      <w:tr>
        <w:trPr>
          <w:trHeight w:val="441" w:hRule="atLeast"/>
        </w:trPr>
        <w:tc>
          <w:tcPr>
            <w:tcW w:w="2835" w:type="dxa"/>
          </w:tcPr>
          <w:p>
            <w:pPr>
              <w:pStyle w:val="TableParagraph"/>
              <w:spacing w:before="0"/>
              <w:ind w:left="0"/>
              <w:rPr>
                <w:rFonts w:ascii="Times New Roman"/>
                <w:sz w:val="20"/>
              </w:rPr>
            </w:pPr>
          </w:p>
        </w:tc>
        <w:tc>
          <w:tcPr>
            <w:tcW w:w="6827" w:type="dxa"/>
          </w:tcPr>
          <w:p>
            <w:pPr>
              <w:pStyle w:val="TableParagraph"/>
              <w:spacing w:line="211" w:lineRule="exact" w:before="0"/>
              <w:ind w:left="113"/>
              <w:rPr>
                <w:i/>
                <w:sz w:val="21"/>
              </w:rPr>
            </w:pPr>
            <w:r>
              <w:rPr>
                <w:i/>
                <w:sz w:val="21"/>
              </w:rPr>
              <w:t>且经纯音听力测试、声导抗检测或听觉诱发电位检测等证实。</w:t>
            </w:r>
          </w:p>
        </w:tc>
      </w:tr>
      <w:tr>
        <w:trPr>
          <w:trHeight w:val="2340" w:hRule="atLeast"/>
        </w:trPr>
        <w:tc>
          <w:tcPr>
            <w:tcW w:w="2835" w:type="dxa"/>
          </w:tcPr>
          <w:p>
            <w:pPr>
              <w:pStyle w:val="TableParagraph"/>
              <w:spacing w:before="166"/>
              <w:ind w:left="200"/>
              <w:rPr>
                <w:i/>
                <w:sz w:val="21"/>
              </w:rPr>
            </w:pPr>
            <w:r>
              <w:rPr>
                <w:i/>
                <w:sz w:val="21"/>
              </w:rPr>
              <w:t>（十四）双目失明</w:t>
            </w:r>
          </w:p>
        </w:tc>
        <w:tc>
          <w:tcPr>
            <w:tcW w:w="6827" w:type="dxa"/>
          </w:tcPr>
          <w:p>
            <w:pPr>
              <w:pStyle w:val="TableParagraph"/>
              <w:spacing w:line="295" w:lineRule="auto" w:before="166"/>
              <w:ind w:left="113" w:right="300"/>
              <w:rPr>
                <w:i/>
                <w:sz w:val="21"/>
              </w:rPr>
            </w:pPr>
            <w:r>
              <w:rPr>
                <w:i/>
                <w:spacing w:val="-8"/>
                <w:sz w:val="21"/>
              </w:rPr>
              <w:t>指因疾病或意外伤害导致双眼视力永久不可逆性丧失，双眼中较好眼须</w:t>
            </w:r>
            <w:r>
              <w:rPr>
                <w:i/>
                <w:spacing w:val="-5"/>
                <w:sz w:val="21"/>
              </w:rPr>
              <w:t>满足下列至少一项条件：</w:t>
            </w:r>
          </w:p>
          <w:p>
            <w:pPr>
              <w:pStyle w:val="TableParagraph"/>
              <w:spacing w:before="12"/>
              <w:ind w:left="113"/>
              <w:rPr>
                <w:i/>
                <w:sz w:val="21"/>
              </w:rPr>
            </w:pPr>
            <w:r>
              <w:rPr>
                <w:i/>
                <w:sz w:val="21"/>
              </w:rPr>
              <w:t>（</w:t>
            </w:r>
            <w:r>
              <w:rPr>
                <w:sz w:val="21"/>
              </w:rPr>
              <w:t>1</w:t>
            </w:r>
            <w:r>
              <w:rPr>
                <w:i/>
                <w:sz w:val="21"/>
              </w:rPr>
              <w:t>）眼球缺失或摘除；</w:t>
            </w:r>
          </w:p>
          <w:p>
            <w:pPr>
              <w:pStyle w:val="TableParagraph"/>
              <w:spacing w:line="295" w:lineRule="auto" w:before="61"/>
              <w:ind w:left="113" w:right="303"/>
              <w:rPr>
                <w:i/>
                <w:sz w:val="21"/>
              </w:rPr>
            </w:pPr>
            <w:r>
              <w:rPr>
                <w:i/>
                <w:spacing w:val="-1"/>
                <w:sz w:val="21"/>
              </w:rPr>
              <w:t>（</w:t>
            </w:r>
            <w:r>
              <w:rPr>
                <w:spacing w:val="-1"/>
                <w:sz w:val="21"/>
              </w:rPr>
              <w:t>2</w:t>
            </w:r>
            <w:r>
              <w:rPr>
                <w:i/>
                <w:spacing w:val="-1"/>
                <w:sz w:val="21"/>
              </w:rPr>
              <w:t>）</w:t>
            </w:r>
            <w:r>
              <w:rPr>
                <w:i/>
                <w:spacing w:val="-3"/>
                <w:sz w:val="21"/>
              </w:rPr>
              <w:t>矫正视力低于</w:t>
            </w:r>
            <w:r>
              <w:rPr>
                <w:sz w:val="21"/>
              </w:rPr>
              <w:t>0.02</w:t>
            </w:r>
            <w:r>
              <w:rPr>
                <w:i/>
                <w:sz w:val="21"/>
              </w:rPr>
              <w:t>（</w:t>
            </w:r>
            <w:r>
              <w:rPr>
                <w:i/>
                <w:spacing w:val="-3"/>
                <w:sz w:val="21"/>
              </w:rPr>
              <w:t>采用国际标准视力表，如果使用其它视力表</w:t>
            </w:r>
            <w:r>
              <w:rPr>
                <w:i/>
                <w:spacing w:val="-3"/>
                <w:w w:val="100"/>
                <w:sz w:val="21"/>
              </w:rPr>
              <w:t>应进行换算</w:t>
            </w:r>
            <w:r>
              <w:rPr>
                <w:i/>
                <w:spacing w:val="-106"/>
                <w:w w:val="100"/>
                <w:sz w:val="21"/>
              </w:rPr>
              <w:t>）</w:t>
            </w:r>
            <w:r>
              <w:rPr>
                <w:i/>
                <w:w w:val="100"/>
                <w:sz w:val="21"/>
              </w:rPr>
              <w:t>；</w:t>
            </w:r>
          </w:p>
          <w:p>
            <w:pPr>
              <w:pStyle w:val="TableParagraph"/>
              <w:spacing w:before="13"/>
              <w:ind w:left="113"/>
              <w:rPr>
                <w:i/>
                <w:sz w:val="21"/>
              </w:rPr>
            </w:pPr>
            <w:r>
              <w:rPr>
                <w:i/>
                <w:sz w:val="21"/>
              </w:rPr>
              <w:t>（</w:t>
            </w:r>
            <w:r>
              <w:rPr>
                <w:sz w:val="21"/>
              </w:rPr>
              <w:t>3</w:t>
            </w:r>
            <w:r>
              <w:rPr>
                <w:i/>
                <w:sz w:val="21"/>
              </w:rPr>
              <w:t>）视野半径小于 </w:t>
            </w:r>
            <w:r>
              <w:rPr>
                <w:sz w:val="21"/>
              </w:rPr>
              <w:t>5 </w:t>
            </w:r>
            <w:r>
              <w:rPr>
                <w:i/>
                <w:sz w:val="21"/>
              </w:rPr>
              <w:t>度。</w:t>
            </w:r>
          </w:p>
        </w:tc>
      </w:tr>
      <w:tr>
        <w:trPr>
          <w:trHeight w:val="1217" w:hRule="atLeast"/>
        </w:trPr>
        <w:tc>
          <w:tcPr>
            <w:tcW w:w="2835" w:type="dxa"/>
          </w:tcPr>
          <w:p>
            <w:pPr>
              <w:pStyle w:val="TableParagraph"/>
              <w:spacing w:before="10"/>
              <w:ind w:left="0"/>
              <w:rPr>
                <w:rFonts w:ascii="Times New Roman"/>
                <w:sz w:val="15"/>
              </w:rPr>
            </w:pPr>
          </w:p>
          <w:p>
            <w:pPr>
              <w:pStyle w:val="TableParagraph"/>
              <w:spacing w:before="1"/>
              <w:ind w:left="200"/>
              <w:rPr>
                <w:i/>
                <w:sz w:val="21"/>
              </w:rPr>
            </w:pPr>
            <w:r>
              <w:rPr>
                <w:i/>
                <w:sz w:val="21"/>
              </w:rPr>
              <w:t>（十五）瘫痪</w:t>
            </w:r>
          </w:p>
        </w:tc>
        <w:tc>
          <w:tcPr>
            <w:tcW w:w="6827" w:type="dxa"/>
          </w:tcPr>
          <w:p>
            <w:pPr>
              <w:pStyle w:val="TableParagraph"/>
              <w:spacing w:line="256" w:lineRule="auto" w:before="150"/>
              <w:ind w:left="113" w:right="300"/>
              <w:jc w:val="both"/>
              <w:rPr>
                <w:i/>
                <w:sz w:val="21"/>
              </w:rPr>
            </w:pPr>
            <w:r>
              <w:rPr>
                <w:i/>
                <w:spacing w:val="-7"/>
                <w:sz w:val="21"/>
              </w:rPr>
              <w:t>指因疾病或意外伤害导致两肢或两肢以上肢体机能永久完全丧失。肢体</w:t>
            </w:r>
            <w:r>
              <w:rPr>
                <w:i/>
                <w:spacing w:val="-13"/>
                <w:sz w:val="21"/>
              </w:rPr>
              <w:t>机能永久完全丧失，指疾病确诊 </w:t>
            </w:r>
            <w:r>
              <w:rPr>
                <w:sz w:val="21"/>
              </w:rPr>
              <w:t>180 </w:t>
            </w:r>
            <w:r>
              <w:rPr>
                <w:i/>
                <w:spacing w:val="-8"/>
                <w:sz w:val="21"/>
              </w:rPr>
              <w:t>天后或意外伤害发生 </w:t>
            </w:r>
            <w:r>
              <w:rPr>
                <w:sz w:val="21"/>
              </w:rPr>
              <w:t>180 </w:t>
            </w:r>
            <w:r>
              <w:rPr>
                <w:i/>
                <w:spacing w:val="-43"/>
                <w:sz w:val="21"/>
              </w:rPr>
              <w:t>天后 ，每</w:t>
            </w:r>
            <w:r>
              <w:rPr>
                <w:i/>
                <w:spacing w:val="-3"/>
                <w:sz w:val="21"/>
              </w:rPr>
              <w:t>肢三大关节中的两大关节仍然完全僵硬，或不能随意识活动。</w:t>
            </w:r>
          </w:p>
        </w:tc>
      </w:tr>
      <w:tr>
        <w:trPr>
          <w:trHeight w:val="985" w:hRule="atLeast"/>
        </w:trPr>
        <w:tc>
          <w:tcPr>
            <w:tcW w:w="2835" w:type="dxa"/>
          </w:tcPr>
          <w:p>
            <w:pPr>
              <w:pStyle w:val="TableParagraph"/>
              <w:spacing w:before="141"/>
              <w:ind w:left="200"/>
              <w:rPr>
                <w:i/>
                <w:sz w:val="21"/>
              </w:rPr>
            </w:pPr>
            <w:r>
              <w:rPr>
                <w:i/>
                <w:sz w:val="21"/>
              </w:rPr>
              <w:t>（十六）心脏瓣膜手术</w:t>
            </w:r>
          </w:p>
        </w:tc>
        <w:tc>
          <w:tcPr>
            <w:tcW w:w="6827" w:type="dxa"/>
          </w:tcPr>
          <w:p>
            <w:pPr>
              <w:pStyle w:val="TableParagraph"/>
              <w:spacing w:line="295" w:lineRule="auto" w:before="141"/>
              <w:ind w:left="113" w:right="302"/>
              <w:rPr>
                <w:i/>
                <w:sz w:val="21"/>
              </w:rPr>
            </w:pPr>
            <w:r>
              <w:rPr>
                <w:i/>
                <w:spacing w:val="-12"/>
                <w:sz w:val="21"/>
              </w:rPr>
              <w:t>指为治疗心脏瓣膜疾病，实际实施了开胸进行的心脏瓣膜置换或修复的手术。</w:t>
            </w:r>
          </w:p>
        </w:tc>
      </w:tr>
      <w:tr>
        <w:trPr>
          <w:trHeight w:val="2356" w:hRule="atLeast"/>
        </w:trPr>
        <w:tc>
          <w:tcPr>
            <w:tcW w:w="2835" w:type="dxa"/>
          </w:tcPr>
          <w:p>
            <w:pPr>
              <w:pStyle w:val="TableParagraph"/>
              <w:spacing w:before="166"/>
              <w:ind w:left="200"/>
              <w:rPr>
                <w:i/>
                <w:sz w:val="21"/>
              </w:rPr>
            </w:pPr>
            <w:r>
              <w:rPr>
                <w:i/>
                <w:sz w:val="21"/>
              </w:rPr>
              <w:t>（十七）严重阿尔茨海默病</w:t>
            </w:r>
          </w:p>
        </w:tc>
        <w:tc>
          <w:tcPr>
            <w:tcW w:w="6827" w:type="dxa"/>
          </w:tcPr>
          <w:p>
            <w:pPr>
              <w:pStyle w:val="TableParagraph"/>
              <w:spacing w:line="292" w:lineRule="auto" w:before="166"/>
              <w:ind w:left="113" w:right="197"/>
              <w:rPr>
                <w:i/>
                <w:sz w:val="21"/>
              </w:rPr>
            </w:pPr>
            <w:r>
              <w:rPr>
                <w:i/>
                <w:spacing w:val="-11"/>
                <w:sz w:val="21"/>
              </w:rPr>
              <w:t>指因大脑进行性、不可逆性改变导致智能严重衰退或丧失，临床表现为</w:t>
            </w:r>
            <w:r>
              <w:rPr>
                <w:i/>
                <w:spacing w:val="-14"/>
                <w:sz w:val="21"/>
              </w:rPr>
              <w:t>明显的认知能力障碍、行为异常和社交能力减退，其日常生活必须持续</w:t>
            </w:r>
            <w:r>
              <w:rPr>
                <w:i/>
                <w:spacing w:val="-10"/>
                <w:w w:val="100"/>
                <w:sz w:val="21"/>
              </w:rPr>
              <w:t>受到他人监护。须由头颅断层扫描</w:t>
            </w:r>
            <w:r>
              <w:rPr>
                <w:i/>
                <w:w w:val="100"/>
                <w:sz w:val="21"/>
              </w:rPr>
              <w:t>（</w:t>
            </w:r>
            <w:r>
              <w:rPr>
                <w:spacing w:val="-3"/>
                <w:w w:val="100"/>
                <w:sz w:val="21"/>
              </w:rPr>
              <w:t>C</w:t>
            </w:r>
            <w:r>
              <w:rPr>
                <w:spacing w:val="-1"/>
                <w:w w:val="100"/>
                <w:sz w:val="21"/>
              </w:rPr>
              <w:t>T</w:t>
            </w:r>
            <w:r>
              <w:rPr>
                <w:i/>
                <w:spacing w:val="-106"/>
                <w:w w:val="100"/>
                <w:sz w:val="21"/>
              </w:rPr>
              <w:t>）</w:t>
            </w:r>
            <w:r>
              <w:rPr>
                <w:i/>
                <w:spacing w:val="-9"/>
                <w:w w:val="100"/>
                <w:sz w:val="21"/>
              </w:rPr>
              <w:t>、核磁共振检查</w:t>
            </w:r>
            <w:r>
              <w:rPr>
                <w:i/>
                <w:w w:val="100"/>
                <w:sz w:val="21"/>
              </w:rPr>
              <w:t>（</w:t>
            </w:r>
            <w:r>
              <w:rPr>
                <w:spacing w:val="-3"/>
                <w:w w:val="100"/>
                <w:sz w:val="21"/>
              </w:rPr>
              <w:t>MR</w:t>
            </w:r>
            <w:r>
              <w:rPr>
                <w:spacing w:val="1"/>
                <w:w w:val="100"/>
                <w:sz w:val="21"/>
              </w:rPr>
              <w:t>I</w:t>
            </w:r>
            <w:r>
              <w:rPr>
                <w:i/>
                <w:spacing w:val="-25"/>
                <w:w w:val="100"/>
                <w:sz w:val="21"/>
              </w:rPr>
              <w:t>）</w:t>
            </w:r>
            <w:r>
              <w:rPr>
                <w:i/>
                <w:spacing w:val="-2"/>
                <w:w w:val="100"/>
                <w:sz w:val="21"/>
              </w:rPr>
              <w:t>或正电</w:t>
            </w:r>
            <w:r>
              <w:rPr>
                <w:i/>
                <w:spacing w:val="-9"/>
                <w:sz w:val="21"/>
              </w:rPr>
              <w:t>子发射断层扫描</w:t>
            </w:r>
            <w:r>
              <w:rPr>
                <w:i/>
                <w:spacing w:val="-8"/>
                <w:sz w:val="21"/>
              </w:rPr>
              <w:t>（</w:t>
            </w:r>
            <w:r>
              <w:rPr>
                <w:spacing w:val="-8"/>
                <w:sz w:val="21"/>
              </w:rPr>
              <w:t>PET</w:t>
            </w:r>
            <w:r>
              <w:rPr>
                <w:i/>
                <w:spacing w:val="-8"/>
                <w:sz w:val="21"/>
              </w:rPr>
              <w:t>）</w:t>
            </w:r>
            <w:r>
              <w:rPr>
                <w:i/>
                <w:spacing w:val="-7"/>
                <w:sz w:val="21"/>
              </w:rPr>
              <w:t>等影像学检查证实，且自主生活能力完全丧失， </w:t>
            </w:r>
            <w:r>
              <w:rPr>
                <w:i/>
                <w:spacing w:val="-5"/>
                <w:sz w:val="21"/>
              </w:rPr>
              <w:t>无法独立完成六项基本日常生活活动中的三项或三项以上。</w:t>
            </w:r>
          </w:p>
          <w:p>
            <w:pPr>
              <w:pStyle w:val="TableParagraph"/>
              <w:spacing w:before="16"/>
              <w:ind w:left="113"/>
              <w:rPr>
                <w:i/>
                <w:sz w:val="21"/>
              </w:rPr>
            </w:pPr>
            <w:r>
              <w:rPr>
                <w:i/>
                <w:sz w:val="21"/>
              </w:rPr>
              <w:t>神经官能症和精神疾病不在保障范围内。</w:t>
            </w:r>
          </w:p>
        </w:tc>
      </w:tr>
      <w:tr>
        <w:trPr>
          <w:trHeight w:val="3030" w:hRule="atLeast"/>
        </w:trPr>
        <w:tc>
          <w:tcPr>
            <w:tcW w:w="2835" w:type="dxa"/>
          </w:tcPr>
          <w:p>
            <w:pPr>
              <w:pStyle w:val="TableParagraph"/>
              <w:spacing w:before="166"/>
              <w:ind w:left="200"/>
              <w:rPr>
                <w:i/>
                <w:sz w:val="21"/>
              </w:rPr>
            </w:pPr>
            <w:r>
              <w:rPr>
                <w:i/>
                <w:sz w:val="21"/>
              </w:rPr>
              <w:t>（十八）严重脑损伤</w:t>
            </w:r>
          </w:p>
        </w:tc>
        <w:tc>
          <w:tcPr>
            <w:tcW w:w="6827" w:type="dxa"/>
          </w:tcPr>
          <w:p>
            <w:pPr>
              <w:pStyle w:val="TableParagraph"/>
              <w:spacing w:line="295" w:lineRule="auto" w:before="166"/>
              <w:ind w:left="112" w:right="197"/>
              <w:rPr>
                <w:i/>
                <w:sz w:val="21"/>
              </w:rPr>
            </w:pPr>
            <w:r>
              <w:rPr>
                <w:i/>
                <w:spacing w:val="-11"/>
                <w:sz w:val="21"/>
              </w:rPr>
              <w:t>指因头部遭受机械性外力，引起脑重要部位损伤，导致神经系统永久性</w:t>
            </w:r>
            <w:r>
              <w:rPr>
                <w:i/>
                <w:spacing w:val="-10"/>
                <w:w w:val="100"/>
                <w:sz w:val="21"/>
              </w:rPr>
              <w:t>的功能障碍。须由头颅断层扫描</w:t>
            </w:r>
            <w:r>
              <w:rPr>
                <w:i/>
                <w:w w:val="100"/>
                <w:sz w:val="21"/>
              </w:rPr>
              <w:t>（</w:t>
            </w:r>
            <w:r>
              <w:rPr>
                <w:w w:val="100"/>
                <w:sz w:val="21"/>
              </w:rPr>
              <w:t>CT</w:t>
            </w:r>
            <w:r>
              <w:rPr>
                <w:i/>
                <w:spacing w:val="-108"/>
                <w:w w:val="100"/>
                <w:sz w:val="21"/>
              </w:rPr>
              <w:t>）</w:t>
            </w:r>
            <w:r>
              <w:rPr>
                <w:i/>
                <w:spacing w:val="-9"/>
                <w:w w:val="100"/>
                <w:sz w:val="21"/>
              </w:rPr>
              <w:t>、核磁共振检查</w:t>
            </w:r>
            <w:r>
              <w:rPr>
                <w:i/>
                <w:spacing w:val="-1"/>
                <w:w w:val="100"/>
                <w:sz w:val="21"/>
              </w:rPr>
              <w:t>（</w:t>
            </w:r>
            <w:r>
              <w:rPr>
                <w:w w:val="100"/>
                <w:sz w:val="21"/>
              </w:rPr>
              <w:t>MR</w:t>
            </w:r>
            <w:r>
              <w:rPr>
                <w:spacing w:val="-3"/>
                <w:w w:val="100"/>
                <w:sz w:val="21"/>
              </w:rPr>
              <w:t>I</w:t>
            </w:r>
            <w:r>
              <w:rPr>
                <w:i/>
                <w:spacing w:val="-22"/>
                <w:w w:val="100"/>
                <w:sz w:val="21"/>
              </w:rPr>
              <w:t>）</w:t>
            </w:r>
            <w:r>
              <w:rPr>
                <w:i/>
                <w:spacing w:val="-2"/>
                <w:w w:val="100"/>
                <w:sz w:val="21"/>
              </w:rPr>
              <w:t>或正电子</w:t>
            </w:r>
            <w:r>
              <w:rPr>
                <w:i/>
                <w:spacing w:val="-9"/>
                <w:sz w:val="21"/>
              </w:rPr>
              <w:t>发射断层扫描（</w:t>
            </w:r>
            <w:r>
              <w:rPr>
                <w:spacing w:val="-9"/>
                <w:sz w:val="21"/>
              </w:rPr>
              <w:t>PET</w:t>
            </w:r>
            <w:r>
              <w:rPr>
                <w:i/>
                <w:spacing w:val="-9"/>
                <w:sz w:val="21"/>
              </w:rPr>
              <w:t>）</w:t>
            </w:r>
            <w:r>
              <w:rPr>
                <w:i/>
                <w:spacing w:val="-7"/>
                <w:sz w:val="21"/>
              </w:rPr>
              <w:t>等影像学检查证实。神经系统永久性的功能障碍， </w:t>
            </w:r>
            <w:r>
              <w:rPr>
                <w:i/>
                <w:spacing w:val="-2"/>
                <w:sz w:val="21"/>
              </w:rPr>
              <w:t>指脑损伤</w:t>
            </w:r>
            <w:r>
              <w:rPr>
                <w:sz w:val="21"/>
              </w:rPr>
              <w:t>180</w:t>
            </w:r>
            <w:r>
              <w:rPr>
                <w:i/>
                <w:spacing w:val="-3"/>
                <w:sz w:val="21"/>
              </w:rPr>
              <w:t>天后，仍遗留下列一种或一种以上障碍：</w:t>
            </w:r>
          </w:p>
          <w:p>
            <w:pPr>
              <w:pStyle w:val="TableParagraph"/>
              <w:spacing w:before="12"/>
              <w:ind w:left="113"/>
              <w:rPr>
                <w:i/>
                <w:sz w:val="21"/>
              </w:rPr>
            </w:pPr>
            <w:r>
              <w:rPr>
                <w:i/>
                <w:sz w:val="21"/>
              </w:rPr>
              <w:t>（</w:t>
            </w:r>
            <w:r>
              <w:rPr>
                <w:sz w:val="21"/>
              </w:rPr>
              <w:t>1</w:t>
            </w:r>
            <w:r>
              <w:rPr>
                <w:i/>
                <w:sz w:val="21"/>
              </w:rPr>
              <w:t>）一肢或一肢以上肢体机能完全丧失；</w:t>
            </w:r>
          </w:p>
          <w:p>
            <w:pPr>
              <w:pStyle w:val="TableParagraph"/>
              <w:spacing w:before="63"/>
              <w:ind w:left="113"/>
              <w:rPr>
                <w:i/>
                <w:sz w:val="21"/>
              </w:rPr>
            </w:pPr>
            <w:r>
              <w:rPr>
                <w:i/>
                <w:sz w:val="21"/>
              </w:rPr>
              <w:t>（</w:t>
            </w:r>
            <w:r>
              <w:rPr>
                <w:sz w:val="21"/>
              </w:rPr>
              <w:t>2</w:t>
            </w:r>
            <w:r>
              <w:rPr>
                <w:i/>
                <w:sz w:val="21"/>
              </w:rPr>
              <w:t>）语言能力或咀嚼吞咽能力完全丧失；</w:t>
            </w:r>
          </w:p>
          <w:p>
            <w:pPr>
              <w:pStyle w:val="TableParagraph"/>
              <w:spacing w:line="292" w:lineRule="auto" w:before="61"/>
              <w:ind w:left="113" w:right="302"/>
              <w:rPr>
                <w:i/>
                <w:sz w:val="21"/>
              </w:rPr>
            </w:pPr>
            <w:r>
              <w:rPr>
                <w:i/>
                <w:sz w:val="21"/>
              </w:rPr>
              <w:t>（</w:t>
            </w:r>
            <w:r>
              <w:rPr>
                <w:sz w:val="21"/>
              </w:rPr>
              <w:t>3</w:t>
            </w:r>
            <w:r>
              <w:rPr>
                <w:i/>
                <w:sz w:val="21"/>
              </w:rPr>
              <w:t>）自主生活能力完全丧失，无法独立完成六项基本日常生活活动中的三项或三项以上。</w:t>
            </w:r>
          </w:p>
        </w:tc>
      </w:tr>
      <w:tr>
        <w:trPr>
          <w:trHeight w:val="2356" w:hRule="atLeast"/>
        </w:trPr>
        <w:tc>
          <w:tcPr>
            <w:tcW w:w="2835" w:type="dxa"/>
          </w:tcPr>
          <w:p>
            <w:pPr>
              <w:pStyle w:val="TableParagraph"/>
              <w:spacing w:before="168"/>
              <w:ind w:left="200"/>
              <w:rPr>
                <w:i/>
                <w:sz w:val="21"/>
              </w:rPr>
            </w:pPr>
            <w:r>
              <w:rPr>
                <w:i/>
                <w:sz w:val="21"/>
              </w:rPr>
              <w:t>（十九）严重帕金森病</w:t>
            </w:r>
          </w:p>
        </w:tc>
        <w:tc>
          <w:tcPr>
            <w:tcW w:w="6827" w:type="dxa"/>
          </w:tcPr>
          <w:p>
            <w:pPr>
              <w:pStyle w:val="TableParagraph"/>
              <w:spacing w:line="292" w:lineRule="auto" w:before="168"/>
              <w:ind w:left="113" w:right="197"/>
              <w:rPr>
                <w:i/>
                <w:sz w:val="21"/>
              </w:rPr>
            </w:pPr>
            <w:r>
              <w:rPr>
                <w:i/>
                <w:spacing w:val="-14"/>
                <w:sz w:val="21"/>
              </w:rPr>
              <w:t>是一种中枢神经系统的退行性疾病，临床表现为震颤麻痹、共济失调等。</w:t>
            </w:r>
            <w:r>
              <w:rPr>
                <w:i/>
                <w:spacing w:val="-7"/>
                <w:sz w:val="21"/>
              </w:rPr>
              <w:t>须满足下列全部条件：</w:t>
            </w:r>
          </w:p>
          <w:p>
            <w:pPr>
              <w:pStyle w:val="TableParagraph"/>
              <w:spacing w:before="15"/>
              <w:ind w:left="113"/>
              <w:rPr>
                <w:i/>
                <w:sz w:val="21"/>
              </w:rPr>
            </w:pPr>
            <w:r>
              <w:rPr>
                <w:i/>
                <w:sz w:val="21"/>
              </w:rPr>
              <w:t>（</w:t>
            </w:r>
            <w:r>
              <w:rPr>
                <w:sz w:val="21"/>
              </w:rPr>
              <w:t>1</w:t>
            </w:r>
            <w:r>
              <w:rPr>
                <w:i/>
                <w:sz w:val="21"/>
              </w:rPr>
              <w:t>）药物治疗无法控制病情；</w:t>
            </w:r>
          </w:p>
          <w:p>
            <w:pPr>
              <w:pStyle w:val="TableParagraph"/>
              <w:spacing w:line="292" w:lineRule="auto" w:before="63"/>
              <w:ind w:left="113" w:right="302"/>
              <w:rPr>
                <w:i/>
                <w:sz w:val="21"/>
              </w:rPr>
            </w:pPr>
            <w:r>
              <w:rPr>
                <w:i/>
                <w:sz w:val="21"/>
              </w:rPr>
              <w:t>（</w:t>
            </w:r>
            <w:r>
              <w:rPr>
                <w:sz w:val="21"/>
              </w:rPr>
              <w:t>2</w:t>
            </w:r>
            <w:r>
              <w:rPr>
                <w:i/>
                <w:sz w:val="21"/>
              </w:rPr>
              <w:t>）自主生活能力完全丧失，无法独立完成六项基本日常生活活动中的三项或三项以上。</w:t>
            </w:r>
          </w:p>
          <w:p>
            <w:pPr>
              <w:pStyle w:val="TableParagraph"/>
              <w:spacing w:before="14"/>
              <w:ind w:left="113"/>
              <w:rPr>
                <w:i/>
                <w:sz w:val="21"/>
              </w:rPr>
            </w:pPr>
            <w:r>
              <w:rPr>
                <w:i/>
                <w:sz w:val="21"/>
              </w:rPr>
              <w:t>继发性帕金森综合征不在保障范围内。</w:t>
            </w:r>
          </w:p>
        </w:tc>
      </w:tr>
      <w:tr>
        <w:trPr>
          <w:trHeight w:val="778" w:hRule="atLeast"/>
        </w:trPr>
        <w:tc>
          <w:tcPr>
            <w:tcW w:w="2835" w:type="dxa"/>
          </w:tcPr>
          <w:p>
            <w:pPr>
              <w:pStyle w:val="TableParagraph"/>
              <w:spacing w:before="168"/>
              <w:ind w:left="200"/>
              <w:rPr>
                <w:i/>
                <w:sz w:val="21"/>
              </w:rPr>
            </w:pPr>
            <w:r>
              <w:rPr>
                <w:i/>
                <w:sz w:val="21"/>
              </w:rPr>
              <w:t>（二十）严重Ⅲ度烧伤</w:t>
            </w:r>
          </w:p>
        </w:tc>
        <w:tc>
          <w:tcPr>
            <w:tcW w:w="6827" w:type="dxa"/>
          </w:tcPr>
          <w:p>
            <w:pPr>
              <w:pStyle w:val="TableParagraph"/>
              <w:spacing w:before="168"/>
              <w:ind w:left="112"/>
              <w:rPr>
                <w:sz w:val="21"/>
              </w:rPr>
            </w:pPr>
            <w:r>
              <w:rPr>
                <w:i/>
                <w:sz w:val="21"/>
              </w:rPr>
              <w:t>指烧伤程度为Ⅲ度，且Ⅲ度烧伤的面积达到全身体表面积的 </w:t>
            </w:r>
            <w:r>
              <w:rPr>
                <w:sz w:val="21"/>
              </w:rPr>
              <w:t>20</w:t>
            </w:r>
            <w:r>
              <w:rPr>
                <w:i/>
                <w:sz w:val="21"/>
              </w:rPr>
              <w:t>％或 </w:t>
            </w:r>
            <w:r>
              <w:rPr>
                <w:sz w:val="21"/>
              </w:rPr>
              <w:t>20%</w:t>
            </w:r>
          </w:p>
          <w:p>
            <w:pPr>
              <w:pStyle w:val="TableParagraph"/>
              <w:spacing w:line="255" w:lineRule="exact" w:before="61"/>
              <w:ind w:left="113"/>
              <w:rPr>
                <w:i/>
                <w:sz w:val="21"/>
              </w:rPr>
            </w:pPr>
            <w:r>
              <w:rPr>
                <w:i/>
                <w:sz w:val="21"/>
              </w:rPr>
              <w:t>以上。体表面积根据《中国新九分法》计算。</w:t>
            </w:r>
          </w:p>
        </w:tc>
      </w:tr>
    </w:tbl>
    <w:p>
      <w:pPr>
        <w:spacing w:after="0" w:line="255" w:lineRule="exact"/>
        <w:rPr>
          <w:sz w:val="21"/>
        </w:rPr>
        <w:sectPr>
          <w:pgSz w:w="11910" w:h="16840"/>
          <w:pgMar w:header="0" w:footer="921" w:top="1460" w:bottom="1120" w:left="106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4"/>
      </w:tblGrid>
      <w:tr>
        <w:trPr>
          <w:trHeight w:val="1114" w:hRule="atLeast"/>
        </w:trPr>
        <w:tc>
          <w:tcPr>
            <w:tcW w:w="2841" w:type="dxa"/>
          </w:tcPr>
          <w:p>
            <w:pPr>
              <w:pStyle w:val="TableParagraph"/>
              <w:spacing w:line="211" w:lineRule="exact" w:before="0"/>
              <w:ind w:left="200"/>
              <w:rPr>
                <w:i/>
                <w:sz w:val="21"/>
              </w:rPr>
            </w:pPr>
            <w:r>
              <w:rPr>
                <w:i/>
                <w:sz w:val="21"/>
              </w:rPr>
              <w:t>（二十一）严重原发性肺动</w:t>
            </w:r>
          </w:p>
          <w:p>
            <w:pPr>
              <w:pStyle w:val="TableParagraph"/>
              <w:spacing w:before="61"/>
              <w:ind w:left="200"/>
              <w:rPr>
                <w:i/>
                <w:sz w:val="21"/>
              </w:rPr>
            </w:pPr>
            <w:r>
              <w:rPr>
                <w:i/>
                <w:sz w:val="21"/>
              </w:rPr>
              <w:t>脉高压</w:t>
            </w:r>
          </w:p>
        </w:tc>
        <w:tc>
          <w:tcPr>
            <w:tcW w:w="6824" w:type="dxa"/>
          </w:tcPr>
          <w:p>
            <w:pPr>
              <w:pStyle w:val="TableParagraph"/>
              <w:spacing w:line="211" w:lineRule="exact" w:before="0"/>
              <w:ind w:left="106"/>
              <w:rPr>
                <w:i/>
                <w:sz w:val="21"/>
              </w:rPr>
            </w:pPr>
            <w:r>
              <w:rPr>
                <w:i/>
                <w:sz w:val="21"/>
              </w:rPr>
              <w:t>指不明原因的肺动脉压力持续性增高，进行性发展而导致的慢性疾病，</w:t>
            </w:r>
          </w:p>
          <w:p>
            <w:pPr>
              <w:pStyle w:val="TableParagraph"/>
              <w:spacing w:line="292" w:lineRule="auto" w:before="61"/>
              <w:ind w:left="106" w:right="306"/>
              <w:rPr>
                <w:i/>
                <w:sz w:val="21"/>
              </w:rPr>
            </w:pPr>
            <w:r>
              <w:rPr>
                <w:i/>
                <w:spacing w:val="-9"/>
                <w:sz w:val="21"/>
              </w:rPr>
              <w:t>已经造成永久不可逆性的体力活动能力受限，达到美国纽约心脏病学会</w:t>
            </w:r>
            <w:r>
              <w:rPr>
                <w:i/>
                <w:spacing w:val="-3"/>
                <w:sz w:val="21"/>
              </w:rPr>
              <w:t>心功能状态分级</w:t>
            </w:r>
            <w:r>
              <w:rPr>
                <w:spacing w:val="-1"/>
                <w:sz w:val="21"/>
              </w:rPr>
              <w:t>IV</w:t>
            </w:r>
            <w:r>
              <w:rPr>
                <w:i/>
                <w:spacing w:val="-3"/>
                <w:sz w:val="21"/>
              </w:rPr>
              <w:t>级，且静息状态下肺动脉平均压超过</w:t>
            </w:r>
            <w:r>
              <w:rPr>
                <w:sz w:val="21"/>
              </w:rPr>
              <w:t>30mmHg</w:t>
            </w:r>
            <w:r>
              <w:rPr>
                <w:i/>
                <w:sz w:val="21"/>
              </w:rPr>
              <w:t>。</w:t>
            </w:r>
          </w:p>
        </w:tc>
      </w:tr>
      <w:tr>
        <w:trPr>
          <w:trHeight w:val="1683" w:hRule="atLeast"/>
        </w:trPr>
        <w:tc>
          <w:tcPr>
            <w:tcW w:w="2841" w:type="dxa"/>
          </w:tcPr>
          <w:p>
            <w:pPr>
              <w:pStyle w:val="TableParagraph"/>
              <w:spacing w:line="292" w:lineRule="auto" w:before="168"/>
              <w:ind w:left="200" w:right="104"/>
              <w:rPr>
                <w:i/>
                <w:sz w:val="21"/>
              </w:rPr>
            </w:pPr>
            <w:r>
              <w:rPr>
                <w:i/>
                <w:sz w:val="21"/>
              </w:rPr>
              <w:t>（二十二）严重运动神经元病</w:t>
            </w:r>
          </w:p>
        </w:tc>
        <w:tc>
          <w:tcPr>
            <w:tcW w:w="6824" w:type="dxa"/>
          </w:tcPr>
          <w:p>
            <w:pPr>
              <w:pStyle w:val="TableParagraph"/>
              <w:spacing w:line="295" w:lineRule="auto" w:before="168"/>
              <w:ind w:left="106" w:right="198"/>
              <w:rPr>
                <w:i/>
                <w:sz w:val="21"/>
              </w:rPr>
            </w:pPr>
            <w:r>
              <w:rPr>
                <w:i/>
                <w:spacing w:val="-8"/>
                <w:sz w:val="21"/>
              </w:rPr>
              <w:t>是一组中枢神经系统运动神经元的进行性变性疾病，包括进行性脊肌萎</w:t>
            </w:r>
            <w:r>
              <w:rPr>
                <w:i/>
                <w:spacing w:val="-5"/>
                <w:sz w:val="21"/>
              </w:rPr>
              <w:t>缩症、进行性延髓麻痹症、原发性侧索硬化症、肌萎缩性侧索硬化症。</w:t>
            </w:r>
            <w:r>
              <w:rPr>
                <w:i/>
                <w:spacing w:val="-12"/>
                <w:sz w:val="21"/>
              </w:rPr>
              <w:t>须满足自主生活能力完全丧失，无法独立完成六项基本日常生活活动中</w:t>
            </w:r>
            <w:r>
              <w:rPr>
                <w:i/>
                <w:spacing w:val="-6"/>
                <w:sz w:val="21"/>
              </w:rPr>
              <w:t>的三项或三项以上的条件。</w:t>
            </w:r>
          </w:p>
        </w:tc>
      </w:tr>
      <w:tr>
        <w:trPr>
          <w:trHeight w:val="1347" w:hRule="atLeast"/>
        </w:trPr>
        <w:tc>
          <w:tcPr>
            <w:tcW w:w="2841" w:type="dxa"/>
          </w:tcPr>
          <w:p>
            <w:pPr>
              <w:pStyle w:val="TableParagraph"/>
              <w:spacing w:before="166"/>
              <w:ind w:left="200"/>
              <w:rPr>
                <w:i/>
                <w:sz w:val="21"/>
              </w:rPr>
            </w:pPr>
            <w:r>
              <w:rPr>
                <w:i/>
                <w:sz w:val="21"/>
              </w:rPr>
              <w:t>（二十三）语言能力丧失</w:t>
            </w:r>
          </w:p>
        </w:tc>
        <w:tc>
          <w:tcPr>
            <w:tcW w:w="6824" w:type="dxa"/>
          </w:tcPr>
          <w:p>
            <w:pPr>
              <w:pStyle w:val="TableParagraph"/>
              <w:spacing w:before="166"/>
              <w:ind w:left="106"/>
              <w:rPr>
                <w:i/>
                <w:sz w:val="21"/>
              </w:rPr>
            </w:pPr>
            <w:r>
              <w:rPr>
                <w:i/>
                <w:sz w:val="21"/>
              </w:rPr>
              <w:t>指因疾病或意外伤害导致完全丧失语言能力，经过积极治疗至少</w:t>
            </w:r>
            <w:r>
              <w:rPr>
                <w:sz w:val="21"/>
              </w:rPr>
              <w:t>12</w:t>
            </w:r>
            <w:r>
              <w:rPr>
                <w:i/>
                <w:sz w:val="21"/>
              </w:rPr>
              <w:t>个月</w:t>
            </w:r>
          </w:p>
          <w:p>
            <w:pPr>
              <w:pStyle w:val="TableParagraph"/>
              <w:spacing w:line="292" w:lineRule="auto" w:before="63"/>
              <w:ind w:left="106" w:right="514"/>
              <w:rPr>
                <w:i/>
                <w:sz w:val="21"/>
              </w:rPr>
            </w:pPr>
            <w:r>
              <w:rPr>
                <w:i/>
                <w:w w:val="100"/>
                <w:sz w:val="21"/>
              </w:rPr>
              <w:t>（</w:t>
            </w:r>
            <w:r>
              <w:rPr>
                <w:i/>
                <w:spacing w:val="-3"/>
                <w:w w:val="100"/>
                <w:sz w:val="21"/>
              </w:rPr>
              <w:t>声带完全切除不受此时间限制</w:t>
            </w:r>
            <w:r>
              <w:rPr>
                <w:i/>
                <w:spacing w:val="-106"/>
                <w:w w:val="100"/>
                <w:sz w:val="21"/>
              </w:rPr>
              <w:t>）</w:t>
            </w:r>
            <w:r>
              <w:rPr>
                <w:i/>
                <w:spacing w:val="-3"/>
                <w:w w:val="100"/>
                <w:sz w:val="21"/>
              </w:rPr>
              <w:t>，仍无法通过现有医疗手段恢复。</w:t>
            </w:r>
            <w:r>
              <w:rPr>
                <w:i/>
                <w:spacing w:val="-3"/>
                <w:sz w:val="21"/>
              </w:rPr>
              <w:t>精神心理因素所致的语言能力丧失不在保障范围内。</w:t>
            </w:r>
          </w:p>
        </w:tc>
      </w:tr>
      <w:tr>
        <w:trPr>
          <w:trHeight w:val="2644" w:hRule="atLeast"/>
        </w:trPr>
        <w:tc>
          <w:tcPr>
            <w:tcW w:w="2841" w:type="dxa"/>
          </w:tcPr>
          <w:p>
            <w:pPr>
              <w:pStyle w:val="TableParagraph"/>
              <w:spacing w:line="292" w:lineRule="auto" w:before="168"/>
              <w:ind w:left="200" w:right="104"/>
              <w:rPr>
                <w:i/>
                <w:sz w:val="21"/>
              </w:rPr>
            </w:pPr>
            <w:r>
              <w:rPr>
                <w:i/>
                <w:sz w:val="21"/>
              </w:rPr>
              <w:t>（二十四）重型再生障碍性贫血</w:t>
            </w:r>
          </w:p>
        </w:tc>
        <w:tc>
          <w:tcPr>
            <w:tcW w:w="6824" w:type="dxa"/>
          </w:tcPr>
          <w:p>
            <w:pPr>
              <w:pStyle w:val="TableParagraph"/>
              <w:spacing w:line="292" w:lineRule="auto" w:before="168"/>
              <w:ind w:left="106" w:right="305"/>
              <w:rPr>
                <w:i/>
                <w:sz w:val="21"/>
              </w:rPr>
            </w:pPr>
            <w:r>
              <w:rPr>
                <w:i/>
                <w:spacing w:val="-8"/>
                <w:sz w:val="21"/>
              </w:rPr>
              <w:t>指因骨髓造血功能慢性持续性衰竭导致的贫血、中性粒细胞减少及血小</w:t>
            </w:r>
            <w:r>
              <w:rPr>
                <w:i/>
                <w:spacing w:val="-5"/>
                <w:sz w:val="21"/>
              </w:rPr>
              <w:t>板减少。须满足下列全部条件：</w:t>
            </w:r>
          </w:p>
          <w:p>
            <w:pPr>
              <w:pStyle w:val="TableParagraph"/>
              <w:spacing w:before="15"/>
              <w:rPr>
                <w:i/>
                <w:sz w:val="21"/>
              </w:rPr>
            </w:pPr>
            <w:r>
              <w:rPr>
                <w:i/>
                <w:sz w:val="21"/>
              </w:rPr>
              <w:t>（</w:t>
            </w:r>
            <w:r>
              <w:rPr>
                <w:sz w:val="21"/>
              </w:rPr>
              <w:t>1</w:t>
            </w:r>
            <w:r>
              <w:rPr>
                <w:i/>
                <w:sz w:val="21"/>
              </w:rPr>
              <w:t>）骨髓穿刺检查或骨髓活检结果支持诊断；</w:t>
            </w:r>
          </w:p>
          <w:p>
            <w:pPr>
              <w:pStyle w:val="TableParagraph"/>
              <w:spacing w:before="61"/>
              <w:rPr>
                <w:i/>
                <w:sz w:val="21"/>
              </w:rPr>
            </w:pPr>
            <w:r>
              <w:rPr>
                <w:i/>
                <w:sz w:val="21"/>
              </w:rPr>
              <w:t>（</w:t>
            </w:r>
            <w:r>
              <w:rPr>
                <w:sz w:val="21"/>
              </w:rPr>
              <w:t>2</w:t>
            </w:r>
            <w:r>
              <w:rPr>
                <w:i/>
                <w:sz w:val="21"/>
              </w:rPr>
              <w:t>）外周血象须具备以下三项条件：</w:t>
            </w:r>
          </w:p>
          <w:p>
            <w:pPr>
              <w:pStyle w:val="TableParagraph"/>
              <w:spacing w:line="294" w:lineRule="exact" w:before="79"/>
              <w:ind w:left="527"/>
              <w:rPr>
                <w:i/>
                <w:sz w:val="21"/>
              </w:rPr>
            </w:pPr>
            <w:r>
              <w:rPr>
                <w:i/>
                <w:sz w:val="21"/>
              </w:rPr>
              <w:t>① 中性粒细胞绝对值≤</w:t>
            </w:r>
            <w:r>
              <w:rPr>
                <w:sz w:val="21"/>
              </w:rPr>
              <w:t>0.5×</w:t>
            </w:r>
            <w:r>
              <w:rPr>
                <w:rFonts w:ascii="Times New Roman" w:hAnsi="Times New Roman" w:eastAsia="Times New Roman"/>
                <w:sz w:val="24"/>
              </w:rPr>
              <w:t>10</w:t>
            </w:r>
            <w:r>
              <w:rPr>
                <w:rFonts w:ascii="Times New Roman" w:hAnsi="Times New Roman" w:eastAsia="Times New Roman"/>
                <w:position w:val="11"/>
                <w:sz w:val="14"/>
              </w:rPr>
              <w:t>9 </w:t>
            </w:r>
            <w:r>
              <w:rPr>
                <w:sz w:val="21"/>
              </w:rPr>
              <w:t>/L</w:t>
            </w:r>
            <w:r>
              <w:rPr>
                <w:i/>
                <w:sz w:val="21"/>
              </w:rPr>
              <w:t>；</w:t>
            </w:r>
          </w:p>
          <w:p>
            <w:pPr>
              <w:pStyle w:val="TableParagraph"/>
              <w:spacing w:line="272" w:lineRule="exact" w:before="0"/>
              <w:ind w:left="526"/>
              <w:rPr>
                <w:i/>
                <w:sz w:val="21"/>
              </w:rPr>
            </w:pPr>
            <w:r>
              <w:rPr>
                <w:i/>
                <w:sz w:val="21"/>
              </w:rPr>
              <w:t>② 网织红细胞＜</w:t>
            </w:r>
            <w:r>
              <w:rPr>
                <w:sz w:val="21"/>
              </w:rPr>
              <w:t>1%</w:t>
            </w:r>
            <w:r>
              <w:rPr>
                <w:i/>
                <w:sz w:val="21"/>
              </w:rPr>
              <w:t>；</w:t>
            </w:r>
          </w:p>
          <w:p>
            <w:pPr>
              <w:pStyle w:val="TableParagraph"/>
              <w:spacing w:before="70"/>
              <w:ind w:left="527"/>
              <w:rPr>
                <w:i/>
                <w:sz w:val="21"/>
              </w:rPr>
            </w:pPr>
            <w:r>
              <w:rPr>
                <w:i/>
                <w:sz w:val="21"/>
              </w:rPr>
              <w:t>③ 血小板绝对值≤</w:t>
            </w:r>
            <w:r>
              <w:rPr>
                <w:sz w:val="21"/>
              </w:rPr>
              <w:t>20×</w:t>
            </w:r>
            <w:r>
              <w:rPr>
                <w:rFonts w:ascii="Times New Roman" w:hAnsi="Times New Roman" w:eastAsia="Times New Roman"/>
                <w:sz w:val="24"/>
              </w:rPr>
              <w:t>10</w:t>
            </w:r>
            <w:r>
              <w:rPr>
                <w:rFonts w:ascii="Times New Roman" w:hAnsi="Times New Roman" w:eastAsia="Times New Roman"/>
                <w:position w:val="11"/>
                <w:sz w:val="14"/>
              </w:rPr>
              <w:t>9 </w:t>
            </w:r>
            <w:r>
              <w:rPr>
                <w:sz w:val="21"/>
              </w:rPr>
              <w:t>/L</w:t>
            </w:r>
            <w:r>
              <w:rPr>
                <w:i/>
                <w:sz w:val="21"/>
              </w:rPr>
              <w:t>。</w:t>
            </w:r>
          </w:p>
        </w:tc>
      </w:tr>
      <w:tr>
        <w:trPr>
          <w:trHeight w:val="1657" w:hRule="atLeast"/>
        </w:trPr>
        <w:tc>
          <w:tcPr>
            <w:tcW w:w="2841" w:type="dxa"/>
          </w:tcPr>
          <w:p>
            <w:pPr>
              <w:pStyle w:val="TableParagraph"/>
              <w:spacing w:before="141"/>
              <w:ind w:left="200"/>
              <w:rPr>
                <w:i/>
                <w:sz w:val="21"/>
              </w:rPr>
            </w:pPr>
            <w:r>
              <w:rPr>
                <w:i/>
                <w:sz w:val="21"/>
              </w:rPr>
              <w:t>（二十五）主动脉手术</w:t>
            </w:r>
          </w:p>
        </w:tc>
        <w:tc>
          <w:tcPr>
            <w:tcW w:w="6824" w:type="dxa"/>
          </w:tcPr>
          <w:p>
            <w:pPr>
              <w:pStyle w:val="TableParagraph"/>
              <w:spacing w:line="292" w:lineRule="auto" w:before="141"/>
              <w:ind w:left="106" w:right="303"/>
              <w:jc w:val="both"/>
              <w:rPr>
                <w:i/>
                <w:sz w:val="21"/>
              </w:rPr>
            </w:pPr>
            <w:r>
              <w:rPr>
                <w:i/>
                <w:spacing w:val="-10"/>
                <w:sz w:val="21"/>
              </w:rPr>
              <w:t>指为治疗主动脉疾病，实际实施了开胸或开腹进行的切除、置换、修补病损主动脉血管的手术。主动脉指胸主动脉和腹主动脉，不包括胸主动</w:t>
            </w:r>
            <w:r>
              <w:rPr>
                <w:i/>
                <w:spacing w:val="-5"/>
                <w:sz w:val="21"/>
              </w:rPr>
              <w:t>脉和腹主动脉的分支血管。</w:t>
            </w:r>
          </w:p>
          <w:p>
            <w:pPr>
              <w:pStyle w:val="TableParagraph"/>
              <w:spacing w:before="17"/>
              <w:ind w:left="106"/>
              <w:jc w:val="both"/>
              <w:rPr>
                <w:i/>
                <w:sz w:val="21"/>
              </w:rPr>
            </w:pPr>
            <w:r>
              <w:rPr>
                <w:i/>
                <w:sz w:val="21"/>
              </w:rPr>
              <w:t>动脉内血管成形术不在保障范围内。</w:t>
            </w:r>
          </w:p>
        </w:tc>
      </w:tr>
      <w:tr>
        <w:trPr>
          <w:trHeight w:val="1346" w:hRule="atLeast"/>
        </w:trPr>
        <w:tc>
          <w:tcPr>
            <w:tcW w:w="2841" w:type="dxa"/>
          </w:tcPr>
          <w:p>
            <w:pPr>
              <w:pStyle w:val="TableParagraph"/>
              <w:spacing w:before="166"/>
              <w:ind w:left="200"/>
              <w:rPr>
                <w:i/>
                <w:sz w:val="21"/>
              </w:rPr>
            </w:pPr>
            <w:r>
              <w:rPr>
                <w:i/>
                <w:sz w:val="21"/>
              </w:rPr>
              <w:t>（二十六）多发性硬化症</w:t>
            </w:r>
          </w:p>
        </w:tc>
        <w:tc>
          <w:tcPr>
            <w:tcW w:w="6824" w:type="dxa"/>
          </w:tcPr>
          <w:p>
            <w:pPr>
              <w:pStyle w:val="TableParagraph"/>
              <w:spacing w:line="295" w:lineRule="auto" w:before="166"/>
              <w:ind w:left="106" w:right="303"/>
              <w:jc w:val="both"/>
              <w:rPr>
                <w:i/>
                <w:sz w:val="21"/>
              </w:rPr>
            </w:pPr>
            <w:r>
              <w:rPr>
                <w:i/>
                <w:spacing w:val="-7"/>
                <w:sz w:val="21"/>
              </w:rPr>
              <w:t>指因中枢神经系统脱髓鞘所致的不可逆的神经系统功能障碍，已经造成</w:t>
            </w:r>
            <w:r>
              <w:rPr>
                <w:i/>
                <w:spacing w:val="-13"/>
                <w:sz w:val="21"/>
              </w:rPr>
              <w:t>自主生活能力完全丧失，无法独立完成六项基本日常生活活动中的三项</w:t>
            </w:r>
            <w:r>
              <w:rPr>
                <w:i/>
                <w:spacing w:val="-7"/>
                <w:sz w:val="21"/>
              </w:rPr>
              <w:t>或三项以上，且持续至少 </w:t>
            </w:r>
            <w:r>
              <w:rPr>
                <w:sz w:val="21"/>
              </w:rPr>
              <w:t>180 </w:t>
            </w:r>
            <w:r>
              <w:rPr>
                <w:i/>
                <w:spacing w:val="-3"/>
                <w:sz w:val="21"/>
              </w:rPr>
              <w:t>天。</w:t>
            </w:r>
          </w:p>
        </w:tc>
      </w:tr>
      <w:tr>
        <w:trPr>
          <w:trHeight w:val="3808" w:hRule="atLeast"/>
        </w:trPr>
        <w:tc>
          <w:tcPr>
            <w:tcW w:w="2841" w:type="dxa"/>
          </w:tcPr>
          <w:p>
            <w:pPr>
              <w:pStyle w:val="TableParagraph"/>
              <w:spacing w:line="295" w:lineRule="auto" w:before="166"/>
              <w:ind w:left="200" w:right="104"/>
              <w:rPr>
                <w:i/>
                <w:sz w:val="21"/>
              </w:rPr>
            </w:pPr>
            <w:r>
              <w:rPr>
                <w:i/>
                <w:sz w:val="21"/>
              </w:rPr>
              <w:t>（二十七）经输血导致的人类免疫缺陷病毒感染</w:t>
            </w:r>
          </w:p>
        </w:tc>
        <w:tc>
          <w:tcPr>
            <w:tcW w:w="6824" w:type="dxa"/>
          </w:tcPr>
          <w:p>
            <w:pPr>
              <w:pStyle w:val="TableParagraph"/>
              <w:spacing w:before="166"/>
              <w:ind w:left="106"/>
              <w:rPr>
                <w:i/>
                <w:sz w:val="21"/>
              </w:rPr>
            </w:pPr>
            <w:r>
              <w:rPr>
                <w:i/>
                <w:sz w:val="21"/>
              </w:rPr>
              <w:t>是指被保险人感染上人类免疫缺陷病毒并且符合下列所有条件：</w:t>
            </w:r>
          </w:p>
          <w:p>
            <w:pPr>
              <w:pStyle w:val="TableParagraph"/>
              <w:spacing w:line="292" w:lineRule="auto" w:before="63"/>
              <w:ind w:left="106" w:right="305"/>
              <w:rPr>
                <w:i/>
                <w:sz w:val="21"/>
              </w:rPr>
            </w:pPr>
            <w:r>
              <w:rPr>
                <w:i/>
                <w:sz w:val="21"/>
              </w:rPr>
              <w:t>（</w:t>
            </w:r>
            <w:r>
              <w:rPr>
                <w:sz w:val="21"/>
              </w:rPr>
              <w:t>1</w:t>
            </w:r>
            <w:r>
              <w:rPr>
                <w:i/>
                <w:sz w:val="21"/>
              </w:rPr>
              <w:t>）在保障起始日或复效日之后，被保险人因治疗必需而接受输血， 并且因输血而感染人类免疫缺陷病毒；</w:t>
            </w:r>
          </w:p>
          <w:p>
            <w:pPr>
              <w:pStyle w:val="TableParagraph"/>
              <w:spacing w:line="295" w:lineRule="auto" w:before="15"/>
              <w:ind w:left="106" w:right="305"/>
              <w:rPr>
                <w:i/>
                <w:sz w:val="21"/>
              </w:rPr>
            </w:pPr>
            <w:r>
              <w:rPr>
                <w:i/>
                <w:sz w:val="21"/>
              </w:rPr>
              <w:t>（</w:t>
            </w:r>
            <w:r>
              <w:rPr>
                <w:sz w:val="21"/>
              </w:rPr>
              <w:t>2</w:t>
            </w:r>
            <w:r>
              <w:rPr>
                <w:i/>
                <w:sz w:val="21"/>
              </w:rPr>
              <w:t>）提供输血治疗的输血中心或医院出具该项输血感染属医疗责任事故的报告，或者法院终审裁定为医疗责任并且不准上诉；</w:t>
            </w:r>
          </w:p>
          <w:p>
            <w:pPr>
              <w:pStyle w:val="TableParagraph"/>
              <w:spacing w:before="13"/>
              <w:ind w:left="106"/>
              <w:rPr>
                <w:i/>
                <w:sz w:val="21"/>
              </w:rPr>
            </w:pPr>
            <w:r>
              <w:rPr>
                <w:i/>
                <w:sz w:val="21"/>
              </w:rPr>
              <w:t>（</w:t>
            </w:r>
            <w:r>
              <w:rPr>
                <w:sz w:val="21"/>
              </w:rPr>
              <w:t>3</w:t>
            </w:r>
            <w:r>
              <w:rPr>
                <w:i/>
                <w:sz w:val="21"/>
              </w:rPr>
              <w:t>）提供输血治疗的输血中心或医院必须拥有合法经营执照；</w:t>
            </w:r>
          </w:p>
          <w:p>
            <w:pPr>
              <w:pStyle w:val="TableParagraph"/>
              <w:spacing w:before="61"/>
              <w:ind w:left="106"/>
              <w:rPr>
                <w:i/>
                <w:sz w:val="21"/>
              </w:rPr>
            </w:pPr>
            <w:r>
              <w:rPr>
                <w:i/>
                <w:sz w:val="21"/>
              </w:rPr>
              <w:t>（</w:t>
            </w:r>
            <w:r>
              <w:rPr>
                <w:sz w:val="21"/>
              </w:rPr>
              <w:t>4</w:t>
            </w:r>
            <w:r>
              <w:rPr>
                <w:i/>
                <w:sz w:val="21"/>
              </w:rPr>
              <w:t>）受感染的被保险人不是血友病患者；</w:t>
            </w:r>
          </w:p>
          <w:p>
            <w:pPr>
              <w:pStyle w:val="TableParagraph"/>
              <w:spacing w:line="292" w:lineRule="auto" w:before="63"/>
              <w:ind w:left="106" w:right="303"/>
              <w:jc w:val="both"/>
              <w:rPr>
                <w:i/>
                <w:sz w:val="21"/>
              </w:rPr>
            </w:pPr>
            <w:r>
              <w:rPr>
                <w:i/>
                <w:sz w:val="21"/>
              </w:rPr>
              <w:t>在任何治愈艾滋病或阻止人类免疫缺陷病毒病毒作用的疗法被发现以</w:t>
            </w:r>
            <w:r>
              <w:rPr>
                <w:i/>
                <w:spacing w:val="-11"/>
                <w:sz w:val="21"/>
              </w:rPr>
              <w:t>后，或能防止艾滋病发生的医疗方法被研究出来以后，本保障将不再予</w:t>
            </w:r>
            <w:r>
              <w:rPr>
                <w:i/>
                <w:spacing w:val="-7"/>
                <w:sz w:val="21"/>
              </w:rPr>
              <w:t>以赔付。</w:t>
            </w:r>
          </w:p>
          <w:p>
            <w:pPr>
              <w:pStyle w:val="TableParagraph"/>
              <w:spacing w:line="255" w:lineRule="exact" w:before="15"/>
              <w:ind w:left="106"/>
              <w:rPr>
                <w:i/>
                <w:sz w:val="21"/>
              </w:rPr>
            </w:pPr>
            <w:r>
              <w:rPr>
                <w:i/>
                <w:sz w:val="21"/>
              </w:rPr>
              <w:t>任何因其他传播方式（包括：性传播或静脉注射毒品）导致的人类免疫</w:t>
            </w:r>
          </w:p>
        </w:tc>
      </w:tr>
    </w:tbl>
    <w:p>
      <w:pPr>
        <w:spacing w:after="0" w:line="255" w:lineRule="exact"/>
        <w:rPr>
          <w:sz w:val="21"/>
        </w:rPr>
        <w:sectPr>
          <w:pgSz w:w="11910" w:h="16840"/>
          <w:pgMar w:header="0" w:footer="921" w:top="1460" w:bottom="1120" w:left="1060" w:right="9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717"/>
      </w:tblGrid>
      <w:tr>
        <w:trPr>
          <w:trHeight w:val="1114" w:hRule="atLeast"/>
        </w:trPr>
        <w:tc>
          <w:tcPr>
            <w:tcW w:w="2841" w:type="dxa"/>
          </w:tcPr>
          <w:p>
            <w:pPr>
              <w:pStyle w:val="TableParagraph"/>
              <w:spacing w:before="0"/>
              <w:ind w:left="0"/>
              <w:rPr>
                <w:rFonts w:ascii="Times New Roman"/>
                <w:sz w:val="20"/>
              </w:rPr>
            </w:pPr>
          </w:p>
        </w:tc>
        <w:tc>
          <w:tcPr>
            <w:tcW w:w="6717" w:type="dxa"/>
          </w:tcPr>
          <w:p>
            <w:pPr>
              <w:pStyle w:val="TableParagraph"/>
              <w:spacing w:line="211" w:lineRule="exact" w:before="0"/>
              <w:ind w:left="106"/>
              <w:rPr>
                <w:i/>
                <w:sz w:val="21"/>
              </w:rPr>
            </w:pPr>
            <w:r>
              <w:rPr>
                <w:i/>
                <w:sz w:val="21"/>
              </w:rPr>
              <w:t>缺陷病毒感染不在本附加合同保障范围内。</w:t>
            </w:r>
          </w:p>
          <w:p>
            <w:pPr>
              <w:pStyle w:val="TableParagraph"/>
              <w:spacing w:line="292" w:lineRule="auto" w:before="61"/>
              <w:ind w:left="106" w:right="202"/>
              <w:rPr>
                <w:i/>
                <w:sz w:val="21"/>
              </w:rPr>
            </w:pPr>
            <w:r>
              <w:rPr>
                <w:i/>
                <w:sz w:val="21"/>
              </w:rPr>
              <w:t>我们拥有获得使用被保险人的血液样本的权利和能够对这些样本进行独立检验的权利。</w:t>
            </w:r>
          </w:p>
        </w:tc>
      </w:tr>
      <w:tr>
        <w:trPr>
          <w:trHeight w:val="2020" w:hRule="atLeast"/>
        </w:trPr>
        <w:tc>
          <w:tcPr>
            <w:tcW w:w="2841" w:type="dxa"/>
          </w:tcPr>
          <w:p>
            <w:pPr>
              <w:pStyle w:val="TableParagraph"/>
              <w:spacing w:before="168"/>
              <w:ind w:left="200"/>
              <w:rPr>
                <w:i/>
                <w:sz w:val="21"/>
              </w:rPr>
            </w:pPr>
            <w:r>
              <w:rPr>
                <w:i/>
                <w:sz w:val="21"/>
              </w:rPr>
              <w:t>（二十八）植物人</w:t>
            </w:r>
          </w:p>
        </w:tc>
        <w:tc>
          <w:tcPr>
            <w:tcW w:w="6717" w:type="dxa"/>
          </w:tcPr>
          <w:p>
            <w:pPr>
              <w:pStyle w:val="TableParagraph"/>
              <w:spacing w:line="292" w:lineRule="auto" w:before="168"/>
              <w:ind w:left="106" w:right="199"/>
              <w:jc w:val="both"/>
              <w:rPr>
                <w:i/>
                <w:sz w:val="21"/>
              </w:rPr>
            </w:pPr>
            <w:r>
              <w:rPr>
                <w:i/>
                <w:sz w:val="21"/>
              </w:rPr>
              <w:t>指脑皮质广泛性坏死而导致对自身及周边的认知能力完全丧失</w:t>
            </w:r>
            <w:r>
              <w:rPr>
                <w:sz w:val="21"/>
              </w:rPr>
              <w:t>,</w:t>
            </w:r>
            <w:r>
              <w:rPr>
                <w:i/>
                <w:sz w:val="21"/>
              </w:rPr>
              <w:t>但脑干功能依然存在。诊断必须由神经专科医生明确诊断</w:t>
            </w:r>
            <w:r>
              <w:rPr>
                <w:sz w:val="21"/>
              </w:rPr>
              <w:t>,</w:t>
            </w:r>
            <w:r>
              <w:rPr>
                <w:i/>
                <w:sz w:val="21"/>
              </w:rPr>
              <w:t>并有头颅断层扫描</w:t>
            </w:r>
          </w:p>
          <w:p>
            <w:pPr>
              <w:pStyle w:val="TableParagraph"/>
              <w:spacing w:line="292" w:lineRule="auto" w:before="17"/>
              <w:ind w:left="106" w:right="196"/>
              <w:jc w:val="both"/>
              <w:rPr>
                <w:i/>
                <w:sz w:val="21"/>
              </w:rPr>
            </w:pPr>
            <w:r>
              <w:rPr>
                <w:i/>
                <w:w w:val="100"/>
                <w:sz w:val="21"/>
              </w:rPr>
              <w:t>（</w:t>
            </w:r>
            <w:r>
              <w:rPr>
                <w:w w:val="100"/>
                <w:sz w:val="21"/>
              </w:rPr>
              <w:t>CT</w:t>
            </w:r>
            <w:r>
              <w:rPr>
                <w:i/>
                <w:spacing w:val="-108"/>
                <w:w w:val="100"/>
                <w:sz w:val="21"/>
              </w:rPr>
              <w:t>）</w:t>
            </w:r>
            <w:r>
              <w:rPr>
                <w:i/>
                <w:spacing w:val="-3"/>
                <w:w w:val="100"/>
                <w:sz w:val="21"/>
              </w:rPr>
              <w:t>，核磁共振检查</w:t>
            </w:r>
            <w:r>
              <w:rPr>
                <w:i/>
                <w:w w:val="100"/>
                <w:sz w:val="21"/>
              </w:rPr>
              <w:t>（</w:t>
            </w:r>
            <w:r>
              <w:rPr>
                <w:spacing w:val="-3"/>
                <w:w w:val="100"/>
                <w:sz w:val="21"/>
              </w:rPr>
              <w:t>MR</w:t>
            </w:r>
            <w:r>
              <w:rPr>
                <w:spacing w:val="-1"/>
                <w:w w:val="100"/>
                <w:sz w:val="21"/>
              </w:rPr>
              <w:t>I</w:t>
            </w:r>
            <w:r>
              <w:rPr>
                <w:i/>
                <w:spacing w:val="-3"/>
                <w:w w:val="100"/>
                <w:sz w:val="21"/>
              </w:rPr>
              <w:t>）或正电子发射断层扫描</w:t>
            </w:r>
            <w:r>
              <w:rPr>
                <w:i/>
                <w:spacing w:val="-1"/>
                <w:w w:val="100"/>
                <w:sz w:val="21"/>
              </w:rPr>
              <w:t>（</w:t>
            </w:r>
            <w:r>
              <w:rPr>
                <w:w w:val="100"/>
                <w:sz w:val="21"/>
              </w:rPr>
              <w:t>PE</w:t>
            </w:r>
            <w:r>
              <w:rPr>
                <w:spacing w:val="-3"/>
                <w:w w:val="100"/>
                <w:sz w:val="21"/>
              </w:rPr>
              <w:t>T</w:t>
            </w:r>
            <w:r>
              <w:rPr>
                <w:i/>
                <w:spacing w:val="-3"/>
                <w:w w:val="100"/>
                <w:sz w:val="21"/>
              </w:rPr>
              <w:t>）</w:t>
            </w:r>
            <w:r>
              <w:rPr>
                <w:i/>
                <w:spacing w:val="-2"/>
                <w:w w:val="100"/>
                <w:sz w:val="21"/>
              </w:rPr>
              <w:t>等影像学</w:t>
            </w:r>
            <w:r>
              <w:rPr>
                <w:i/>
                <w:spacing w:val="-11"/>
                <w:sz w:val="21"/>
              </w:rPr>
              <w:t>检查证实。上述情况必须有至少一个月的病历记录加以证实。由于酗酒</w:t>
            </w:r>
            <w:r>
              <w:rPr>
                <w:i/>
                <w:spacing w:val="-6"/>
                <w:sz w:val="21"/>
              </w:rPr>
              <w:t>或滥用药物所致的植物人状态不在保障范围内。</w:t>
            </w:r>
          </w:p>
        </w:tc>
      </w:tr>
      <w:tr>
        <w:trPr>
          <w:trHeight w:val="5819" w:hRule="atLeast"/>
        </w:trPr>
        <w:tc>
          <w:tcPr>
            <w:tcW w:w="2841" w:type="dxa"/>
          </w:tcPr>
          <w:p>
            <w:pPr>
              <w:pStyle w:val="TableParagraph"/>
              <w:spacing w:before="168"/>
              <w:ind w:left="200"/>
              <w:rPr>
                <w:i/>
                <w:sz w:val="21"/>
              </w:rPr>
            </w:pPr>
            <w:r>
              <w:rPr>
                <w:i/>
                <w:sz w:val="21"/>
              </w:rPr>
              <w:t>（二十九）系统性红斑狼疮</w:t>
            </w:r>
          </w:p>
        </w:tc>
        <w:tc>
          <w:tcPr>
            <w:tcW w:w="6717" w:type="dxa"/>
          </w:tcPr>
          <w:p>
            <w:pPr>
              <w:pStyle w:val="TableParagraph"/>
              <w:spacing w:line="292" w:lineRule="auto" w:before="168"/>
              <w:ind w:left="106" w:right="198"/>
              <w:rPr>
                <w:i/>
                <w:sz w:val="21"/>
              </w:rPr>
            </w:pPr>
            <w:r>
              <w:rPr>
                <w:i/>
                <w:spacing w:val="-11"/>
                <w:sz w:val="21"/>
              </w:rPr>
              <w:t>是一种自身免疫性结缔组织病，于体内有大量致病性自身抗体和免疫复</w:t>
            </w:r>
            <w:r>
              <w:rPr>
                <w:i/>
                <w:spacing w:val="-13"/>
                <w:sz w:val="21"/>
              </w:rPr>
              <w:t>合物，造成组织损伤。理赔须经专科医生确认并同时具备下列情况：</w:t>
            </w:r>
          </w:p>
          <w:p>
            <w:pPr>
              <w:pStyle w:val="TableParagraph"/>
              <w:spacing w:before="15"/>
              <w:ind w:left="106"/>
              <w:rPr>
                <w:i/>
                <w:sz w:val="21"/>
              </w:rPr>
            </w:pPr>
            <w:r>
              <w:rPr>
                <w:i/>
                <w:sz w:val="21"/>
              </w:rPr>
              <w:t>（</w:t>
            </w:r>
            <w:r>
              <w:rPr>
                <w:sz w:val="21"/>
              </w:rPr>
              <w:t>1</w:t>
            </w:r>
            <w:r>
              <w:rPr>
                <w:i/>
                <w:sz w:val="21"/>
              </w:rPr>
              <w:t>）临床表现至少具备如下条件的四个：</w:t>
            </w:r>
          </w:p>
          <w:p>
            <w:pPr>
              <w:pStyle w:val="TableParagraph"/>
              <w:spacing w:before="29"/>
              <w:ind w:left="526"/>
              <w:rPr>
                <w:i/>
                <w:sz w:val="21"/>
              </w:rPr>
            </w:pPr>
            <w:r>
              <w:rPr>
                <w:i/>
                <w:sz w:val="21"/>
              </w:rPr>
              <w:t>① 蝶形红斑或盘形红斑；</w:t>
            </w:r>
          </w:p>
          <w:p>
            <w:pPr>
              <w:pStyle w:val="TableParagraph"/>
              <w:spacing w:before="17"/>
              <w:ind w:left="526"/>
              <w:rPr>
                <w:i/>
                <w:sz w:val="21"/>
              </w:rPr>
            </w:pPr>
            <w:r>
              <w:rPr>
                <w:i/>
                <w:sz w:val="21"/>
              </w:rPr>
              <w:t>② 光敏感；</w:t>
            </w:r>
          </w:p>
          <w:p>
            <w:pPr>
              <w:pStyle w:val="TableParagraph"/>
              <w:spacing w:before="20"/>
              <w:ind w:left="526"/>
              <w:rPr>
                <w:i/>
                <w:sz w:val="21"/>
              </w:rPr>
            </w:pPr>
            <w:r>
              <w:rPr>
                <w:i/>
                <w:sz w:val="21"/>
              </w:rPr>
              <w:t>③ 口腔溃疡；</w:t>
            </w:r>
          </w:p>
          <w:p>
            <w:pPr>
              <w:pStyle w:val="TableParagraph"/>
              <w:spacing w:before="17"/>
              <w:ind w:left="526"/>
              <w:rPr>
                <w:i/>
                <w:sz w:val="21"/>
              </w:rPr>
            </w:pPr>
            <w:r>
              <w:rPr>
                <w:i/>
                <w:sz w:val="21"/>
              </w:rPr>
              <w:t>④ 非畸形关节炎或关节痛；</w:t>
            </w:r>
          </w:p>
          <w:p>
            <w:pPr>
              <w:pStyle w:val="TableParagraph"/>
              <w:spacing w:before="17"/>
              <w:ind w:left="526"/>
              <w:rPr>
                <w:i/>
                <w:sz w:val="21"/>
              </w:rPr>
            </w:pPr>
            <w:r>
              <w:rPr>
                <w:i/>
                <w:sz w:val="21"/>
              </w:rPr>
              <w:t>⑤ 浆膜炎、胸膜炎或心包炎；</w:t>
            </w:r>
          </w:p>
          <w:p>
            <w:pPr>
              <w:pStyle w:val="TableParagraph"/>
              <w:spacing w:before="20"/>
              <w:ind w:left="526"/>
              <w:rPr>
                <w:i/>
                <w:sz w:val="21"/>
              </w:rPr>
            </w:pPr>
            <w:r>
              <w:rPr>
                <w:i/>
                <w:w w:val="100"/>
                <w:sz w:val="21"/>
              </w:rPr>
              <w:t>⑥</w:t>
            </w:r>
            <w:r>
              <w:rPr>
                <w:i/>
                <w:spacing w:val="42"/>
                <w:sz w:val="21"/>
              </w:rPr>
              <w:t> </w:t>
            </w:r>
            <w:r>
              <w:rPr>
                <w:i/>
                <w:spacing w:val="-2"/>
                <w:w w:val="100"/>
                <w:sz w:val="21"/>
              </w:rPr>
              <w:t>神经系统损伤</w:t>
            </w:r>
            <w:r>
              <w:rPr>
                <w:i/>
                <w:spacing w:val="-3"/>
                <w:w w:val="100"/>
                <w:sz w:val="21"/>
              </w:rPr>
              <w:t>（抽搐或精神症状</w:t>
            </w:r>
            <w:r>
              <w:rPr>
                <w:i/>
                <w:spacing w:val="-106"/>
                <w:w w:val="100"/>
                <w:sz w:val="21"/>
              </w:rPr>
              <w:t>）</w:t>
            </w:r>
            <w:r>
              <w:rPr>
                <w:i/>
                <w:w w:val="100"/>
                <w:sz w:val="21"/>
              </w:rPr>
              <w:t>；</w:t>
            </w:r>
          </w:p>
          <w:p>
            <w:pPr>
              <w:pStyle w:val="TableParagraph"/>
              <w:spacing w:line="256" w:lineRule="auto" w:before="17"/>
              <w:ind w:left="884" w:right="198" w:hanging="358"/>
              <w:rPr>
                <w:i/>
                <w:sz w:val="21"/>
              </w:rPr>
            </w:pPr>
            <w:r>
              <w:rPr>
                <w:i/>
                <w:spacing w:val="8"/>
                <w:sz w:val="21"/>
              </w:rPr>
              <w:t>⑦ 血象异常</w:t>
            </w:r>
            <w:r>
              <w:rPr>
                <w:i/>
                <w:sz w:val="21"/>
              </w:rPr>
              <w:t>（</w:t>
            </w:r>
            <w:r>
              <w:rPr>
                <w:sz w:val="21"/>
              </w:rPr>
              <w:t>WBC&lt;4000/</w:t>
            </w:r>
            <w:r>
              <w:rPr>
                <w:i/>
                <w:sz w:val="21"/>
              </w:rPr>
              <w:t>μ</w:t>
            </w:r>
            <w:r>
              <w:rPr>
                <w:sz w:val="21"/>
              </w:rPr>
              <w:t>l </w:t>
            </w:r>
            <w:r>
              <w:rPr>
                <w:i/>
                <w:sz w:val="21"/>
              </w:rPr>
              <w:t>或血小板</w:t>
            </w:r>
            <w:r>
              <w:rPr>
                <w:sz w:val="21"/>
              </w:rPr>
              <w:t>&lt;100000/</w:t>
            </w:r>
            <w:r>
              <w:rPr>
                <w:i/>
                <w:sz w:val="21"/>
              </w:rPr>
              <w:t>μ</w:t>
            </w:r>
            <w:r>
              <w:rPr>
                <w:sz w:val="21"/>
              </w:rPr>
              <w:t>l </w:t>
            </w:r>
            <w:r>
              <w:rPr>
                <w:i/>
                <w:sz w:val="21"/>
              </w:rPr>
              <w:t>或溶血性贫</w:t>
            </w:r>
            <w:r>
              <w:rPr>
                <w:i/>
                <w:spacing w:val="-106"/>
                <w:sz w:val="21"/>
              </w:rPr>
              <w:t>血</w:t>
            </w:r>
            <w:r>
              <w:rPr>
                <w:i/>
                <w:sz w:val="21"/>
              </w:rPr>
              <w:t>）。</w:t>
            </w:r>
          </w:p>
          <w:p>
            <w:pPr>
              <w:pStyle w:val="TableParagraph"/>
              <w:spacing w:before="36"/>
              <w:ind w:left="106"/>
              <w:rPr>
                <w:i/>
                <w:sz w:val="21"/>
              </w:rPr>
            </w:pPr>
            <w:r>
              <w:rPr>
                <w:i/>
                <w:sz w:val="21"/>
              </w:rPr>
              <w:t>（</w:t>
            </w:r>
            <w:r>
              <w:rPr>
                <w:sz w:val="21"/>
              </w:rPr>
              <w:t>2</w:t>
            </w:r>
            <w:r>
              <w:rPr>
                <w:i/>
                <w:sz w:val="21"/>
              </w:rPr>
              <w:t>）检测结果至少具备如下条件的两个：</w:t>
            </w:r>
          </w:p>
          <w:p>
            <w:pPr>
              <w:pStyle w:val="TableParagraph"/>
              <w:spacing w:before="30"/>
              <w:ind w:left="526"/>
              <w:rPr>
                <w:i/>
                <w:sz w:val="21"/>
              </w:rPr>
            </w:pPr>
            <w:r>
              <w:rPr>
                <w:i/>
                <w:sz w:val="21"/>
              </w:rPr>
              <w:t>⑧ 狼疮细胞或抗双链 </w:t>
            </w:r>
            <w:r>
              <w:rPr>
                <w:sz w:val="21"/>
              </w:rPr>
              <w:t>DNA </w:t>
            </w:r>
            <w:r>
              <w:rPr>
                <w:i/>
                <w:sz w:val="21"/>
              </w:rPr>
              <w:t>抗体阳性；</w:t>
            </w:r>
          </w:p>
          <w:p>
            <w:pPr>
              <w:pStyle w:val="TableParagraph"/>
              <w:spacing w:before="18"/>
              <w:ind w:left="526"/>
              <w:rPr>
                <w:i/>
                <w:sz w:val="21"/>
              </w:rPr>
            </w:pPr>
            <w:r>
              <w:rPr>
                <w:i/>
                <w:spacing w:val="-2"/>
                <w:sz w:val="21"/>
              </w:rPr>
              <w:t>⑨ 抗 </w:t>
            </w:r>
            <w:r>
              <w:rPr>
                <w:sz w:val="21"/>
              </w:rPr>
              <w:t>Sm</w:t>
            </w:r>
            <w:r>
              <w:rPr>
                <w:spacing w:val="-54"/>
                <w:sz w:val="21"/>
              </w:rPr>
              <w:t> </w:t>
            </w:r>
            <w:r>
              <w:rPr>
                <w:i/>
                <w:spacing w:val="-3"/>
                <w:sz w:val="21"/>
              </w:rPr>
              <w:t>抗体阳性；</w:t>
            </w:r>
          </w:p>
          <w:p>
            <w:pPr>
              <w:pStyle w:val="TableParagraph"/>
              <w:spacing w:before="18"/>
              <w:ind w:left="527"/>
              <w:rPr>
                <w:i/>
                <w:sz w:val="21"/>
              </w:rPr>
            </w:pPr>
            <w:r>
              <w:rPr>
                <w:i/>
                <w:sz w:val="21"/>
              </w:rPr>
              <w:t>⑩ 抗核抗体阳性；</w:t>
            </w:r>
          </w:p>
          <w:p>
            <w:pPr>
              <w:pStyle w:val="TableParagraph"/>
              <w:spacing w:before="20"/>
              <w:ind w:left="527"/>
              <w:rPr>
                <w:i/>
                <w:sz w:val="21"/>
              </w:rPr>
            </w:pPr>
            <w:r>
              <w:rPr>
                <w:rFonts w:ascii="MS PGothic" w:hAnsi="MS PGothic" w:eastAsia="MS PGothic" w:hint="eastAsia"/>
                <w:sz w:val="21"/>
              </w:rPr>
              <w:t>⑪  </w:t>
            </w:r>
            <w:r>
              <w:rPr>
                <w:i/>
                <w:sz w:val="21"/>
              </w:rPr>
              <w:t>狼疮带试验阳性；</w:t>
            </w:r>
          </w:p>
          <w:p>
            <w:pPr>
              <w:pStyle w:val="TableParagraph"/>
              <w:spacing w:before="17"/>
              <w:ind w:left="527"/>
              <w:rPr>
                <w:i/>
                <w:sz w:val="21"/>
              </w:rPr>
            </w:pPr>
            <w:r>
              <w:rPr>
                <w:rFonts w:ascii="MS PGothic" w:hAnsi="MS PGothic" w:eastAsia="MS PGothic" w:hint="eastAsia"/>
                <w:spacing w:val="8"/>
                <w:sz w:val="21"/>
              </w:rPr>
              <w:t>⑫  </w:t>
            </w:r>
            <w:r>
              <w:rPr>
                <w:sz w:val="21"/>
              </w:rPr>
              <w:t>C3</w:t>
            </w:r>
            <w:r>
              <w:rPr>
                <w:spacing w:val="-51"/>
                <w:sz w:val="21"/>
              </w:rPr>
              <w:t> </w:t>
            </w:r>
            <w:r>
              <w:rPr>
                <w:i/>
                <w:spacing w:val="-3"/>
                <w:sz w:val="21"/>
              </w:rPr>
              <w:t>补体低于正常。</w:t>
            </w:r>
          </w:p>
          <w:p>
            <w:pPr>
              <w:pStyle w:val="TableParagraph"/>
              <w:spacing w:before="53"/>
              <w:rPr>
                <w:i/>
                <w:sz w:val="21"/>
              </w:rPr>
            </w:pPr>
            <w:r>
              <w:rPr>
                <w:i/>
                <w:sz w:val="21"/>
              </w:rPr>
              <w:t>狼疮肾炎致使肾功能减弱，血肌酐的清除率低于每分钟 </w:t>
            </w:r>
            <w:r>
              <w:rPr>
                <w:sz w:val="21"/>
              </w:rPr>
              <w:t>30ml</w:t>
            </w:r>
            <w:r>
              <w:rPr>
                <w:i/>
                <w:sz w:val="21"/>
              </w:rPr>
              <w:t>。</w:t>
            </w:r>
          </w:p>
        </w:tc>
      </w:tr>
      <w:tr>
        <w:trPr>
          <w:trHeight w:val="2527" w:hRule="atLeast"/>
        </w:trPr>
        <w:tc>
          <w:tcPr>
            <w:tcW w:w="2841" w:type="dxa"/>
          </w:tcPr>
          <w:p>
            <w:pPr>
              <w:pStyle w:val="TableParagraph"/>
              <w:spacing w:line="292" w:lineRule="auto" w:before="146"/>
              <w:ind w:left="200" w:right="103"/>
              <w:rPr>
                <w:i/>
                <w:sz w:val="21"/>
              </w:rPr>
            </w:pPr>
            <w:r>
              <w:rPr>
                <w:i/>
                <w:sz w:val="21"/>
              </w:rPr>
              <w:t>（三十）胰岛素依赖型糖尿病（Ｉ型糖尿病）</w:t>
            </w:r>
          </w:p>
        </w:tc>
        <w:tc>
          <w:tcPr>
            <w:tcW w:w="6717" w:type="dxa"/>
          </w:tcPr>
          <w:p>
            <w:pPr>
              <w:pStyle w:val="TableParagraph"/>
              <w:spacing w:before="146"/>
              <w:rPr>
                <w:i/>
                <w:sz w:val="21"/>
              </w:rPr>
            </w:pPr>
            <w:r>
              <w:rPr>
                <w:i/>
                <w:sz w:val="21"/>
              </w:rPr>
              <w:t>经内分泌专科医生明确诊断为Ｉ型糖尿病，且须同时满足下列条件：</w:t>
            </w:r>
          </w:p>
          <w:p>
            <w:pPr>
              <w:pStyle w:val="TableParagraph"/>
              <w:numPr>
                <w:ilvl w:val="0"/>
                <w:numId w:val="6"/>
              </w:numPr>
              <w:tabs>
                <w:tab w:pos="740" w:val="left" w:leader="none"/>
              </w:tabs>
              <w:spacing w:line="240" w:lineRule="auto" w:before="61" w:after="0"/>
              <w:ind w:left="739" w:right="0" w:hanging="632"/>
              <w:jc w:val="left"/>
              <w:rPr>
                <w:i/>
                <w:sz w:val="21"/>
              </w:rPr>
            </w:pPr>
            <w:r>
              <w:rPr>
                <w:i/>
                <w:spacing w:val="-5"/>
                <w:sz w:val="21"/>
              </w:rPr>
              <w:t>必须持续性地依赖外源性胰岛素维持生命至少 </w:t>
            </w:r>
            <w:r>
              <w:rPr>
                <w:sz w:val="21"/>
              </w:rPr>
              <w:t>180</w:t>
            </w:r>
            <w:r>
              <w:rPr>
                <w:spacing w:val="-40"/>
                <w:sz w:val="21"/>
              </w:rPr>
              <w:t> </w:t>
            </w:r>
            <w:r>
              <w:rPr>
                <w:i/>
                <w:spacing w:val="-2"/>
                <w:sz w:val="21"/>
              </w:rPr>
              <w:t>天以上。</w:t>
            </w:r>
          </w:p>
          <w:p>
            <w:pPr>
              <w:pStyle w:val="TableParagraph"/>
              <w:numPr>
                <w:ilvl w:val="0"/>
                <w:numId w:val="6"/>
              </w:numPr>
              <w:tabs>
                <w:tab w:pos="740" w:val="left" w:leader="none"/>
              </w:tabs>
              <w:spacing w:line="240" w:lineRule="auto" w:before="61" w:after="0"/>
              <w:ind w:left="739" w:right="0" w:hanging="631"/>
              <w:jc w:val="left"/>
              <w:rPr>
                <w:i/>
                <w:sz w:val="21"/>
              </w:rPr>
            </w:pPr>
            <w:r>
              <w:rPr>
                <w:i/>
                <w:spacing w:val="-9"/>
                <w:sz w:val="21"/>
              </w:rPr>
              <w:t>血胰岛素测定、血 </w:t>
            </w:r>
            <w:r>
              <w:rPr>
                <w:sz w:val="21"/>
              </w:rPr>
              <w:t>C</w:t>
            </w:r>
            <w:r>
              <w:rPr>
                <w:spacing w:val="-47"/>
                <w:sz w:val="21"/>
              </w:rPr>
              <w:t> </w:t>
            </w:r>
            <w:r>
              <w:rPr>
                <w:i/>
                <w:spacing w:val="-11"/>
                <w:sz w:val="21"/>
              </w:rPr>
              <w:t>肽测定或尿 </w:t>
            </w:r>
            <w:r>
              <w:rPr>
                <w:sz w:val="21"/>
              </w:rPr>
              <w:t>C</w:t>
            </w:r>
            <w:r>
              <w:rPr>
                <w:spacing w:val="-49"/>
                <w:sz w:val="21"/>
              </w:rPr>
              <w:t> </w:t>
            </w:r>
            <w:r>
              <w:rPr>
                <w:i/>
                <w:spacing w:val="-3"/>
                <w:sz w:val="21"/>
              </w:rPr>
              <w:t>肽测定结果异常。</w:t>
            </w:r>
          </w:p>
          <w:p>
            <w:pPr>
              <w:pStyle w:val="TableParagraph"/>
              <w:numPr>
                <w:ilvl w:val="0"/>
                <w:numId w:val="6"/>
              </w:numPr>
              <w:tabs>
                <w:tab w:pos="740" w:val="left" w:leader="none"/>
              </w:tabs>
              <w:spacing w:line="240" w:lineRule="auto" w:before="61" w:after="0"/>
              <w:ind w:left="739" w:right="0" w:hanging="631"/>
              <w:jc w:val="left"/>
              <w:rPr>
                <w:i/>
                <w:sz w:val="21"/>
              </w:rPr>
            </w:pPr>
            <w:r>
              <w:rPr>
                <w:i/>
                <w:spacing w:val="-3"/>
                <w:sz w:val="21"/>
              </w:rPr>
              <w:t>出现下述三种并发症之一或一种以上：</w:t>
            </w:r>
          </w:p>
          <w:p>
            <w:pPr>
              <w:pStyle w:val="TableParagraph"/>
              <w:spacing w:before="30"/>
              <w:ind w:left="528"/>
              <w:rPr>
                <w:i/>
                <w:sz w:val="21"/>
              </w:rPr>
            </w:pPr>
            <w:r>
              <w:rPr>
                <w:i/>
                <w:sz w:val="21"/>
              </w:rPr>
              <w:t>① 并发增殖性视网膜病变；</w:t>
            </w:r>
          </w:p>
          <w:p>
            <w:pPr>
              <w:pStyle w:val="TableParagraph"/>
              <w:spacing w:before="18"/>
              <w:ind w:left="528"/>
              <w:rPr>
                <w:i/>
                <w:sz w:val="21"/>
              </w:rPr>
            </w:pPr>
            <w:r>
              <w:rPr>
                <w:i/>
                <w:sz w:val="21"/>
              </w:rPr>
              <w:t>② 并发心脏病变，并须植入心脏起搏器进行治疗；</w:t>
            </w:r>
          </w:p>
          <w:p>
            <w:pPr>
              <w:pStyle w:val="TableParagraph"/>
              <w:spacing w:before="20"/>
              <w:ind w:left="528"/>
              <w:rPr>
                <w:i/>
                <w:sz w:val="21"/>
              </w:rPr>
            </w:pPr>
            <w:r>
              <w:rPr>
                <w:i/>
                <w:sz w:val="21"/>
              </w:rPr>
              <w:t>③ 至少一个脚趾发生坏疽并已达到手术切除指征。</w:t>
            </w:r>
          </w:p>
        </w:tc>
      </w:tr>
      <w:tr>
        <w:trPr>
          <w:trHeight w:val="2099" w:hRule="atLeast"/>
        </w:trPr>
        <w:tc>
          <w:tcPr>
            <w:tcW w:w="2841" w:type="dxa"/>
          </w:tcPr>
          <w:p>
            <w:pPr>
              <w:pStyle w:val="TableParagraph"/>
              <w:spacing w:before="141"/>
              <w:ind w:left="201"/>
              <w:rPr>
                <w:i/>
                <w:sz w:val="21"/>
              </w:rPr>
            </w:pPr>
            <w:r>
              <w:rPr>
                <w:i/>
                <w:sz w:val="21"/>
              </w:rPr>
              <w:t>（三十一）原发性心肌病</w:t>
            </w:r>
          </w:p>
        </w:tc>
        <w:tc>
          <w:tcPr>
            <w:tcW w:w="6717" w:type="dxa"/>
          </w:tcPr>
          <w:p>
            <w:pPr>
              <w:pStyle w:val="TableParagraph"/>
              <w:spacing w:line="292" w:lineRule="auto" w:before="141"/>
              <w:ind w:left="106" w:right="196"/>
              <w:jc w:val="both"/>
              <w:rPr>
                <w:i/>
                <w:sz w:val="21"/>
              </w:rPr>
            </w:pPr>
            <w:r>
              <w:rPr>
                <w:i/>
                <w:spacing w:val="-9"/>
                <w:sz w:val="21"/>
              </w:rPr>
              <w:t>指不明原因引起的一类心肌病变，包括原发性扩张型心肌病、原发性肥</w:t>
            </w:r>
            <w:r>
              <w:rPr>
                <w:i/>
                <w:spacing w:val="-11"/>
                <w:sz w:val="21"/>
              </w:rPr>
              <w:t>厚型心肌病及原发性限制型心肌病三种，病变必须已造成事实上心室功</w:t>
            </w:r>
            <w:r>
              <w:rPr>
                <w:i/>
                <w:spacing w:val="-14"/>
                <w:sz w:val="21"/>
              </w:rPr>
              <w:t>能障碍而出现明显的心功能衰竭</w:t>
            </w:r>
            <w:r>
              <w:rPr>
                <w:i/>
                <w:sz w:val="21"/>
              </w:rPr>
              <w:t>（</w:t>
            </w:r>
            <w:r>
              <w:rPr>
                <w:i/>
                <w:spacing w:val="-3"/>
                <w:sz w:val="21"/>
              </w:rPr>
              <w:t>美国纽约心脏协会心功能分类标准心</w:t>
            </w:r>
            <w:r>
              <w:rPr>
                <w:i/>
                <w:spacing w:val="-3"/>
                <w:w w:val="100"/>
                <w:sz w:val="21"/>
              </w:rPr>
              <w:t>功能达四级</w:t>
            </w:r>
            <w:r>
              <w:rPr>
                <w:i/>
                <w:spacing w:val="-106"/>
                <w:w w:val="100"/>
                <w:sz w:val="21"/>
              </w:rPr>
              <w:t>）</w:t>
            </w:r>
            <w:r>
              <w:rPr>
                <w:i/>
                <w:spacing w:val="-3"/>
                <w:w w:val="100"/>
                <w:sz w:val="21"/>
              </w:rPr>
              <w:t>，且有相关住院医疗记录显示四级心功能衰竭状态持续至</w:t>
            </w:r>
            <w:r>
              <w:rPr>
                <w:i/>
                <w:spacing w:val="-3"/>
                <w:sz w:val="21"/>
              </w:rPr>
              <w:t>少一百八十天。</w:t>
            </w:r>
          </w:p>
          <w:p>
            <w:pPr>
              <w:pStyle w:val="TableParagraph"/>
              <w:spacing w:line="255" w:lineRule="exact" w:before="14"/>
              <w:ind w:left="106"/>
              <w:jc w:val="both"/>
              <w:rPr>
                <w:i/>
                <w:sz w:val="21"/>
              </w:rPr>
            </w:pPr>
            <w:r>
              <w:rPr>
                <w:i/>
                <w:sz w:val="21"/>
              </w:rPr>
              <w:t>本病须经专科医生明确诊断。继发于全身性疾病或其它器官系统疾病造</w:t>
            </w:r>
          </w:p>
        </w:tc>
      </w:tr>
    </w:tbl>
    <w:p>
      <w:pPr>
        <w:spacing w:after="0" w:line="255" w:lineRule="exact"/>
        <w:jc w:val="both"/>
        <w:rPr>
          <w:sz w:val="21"/>
        </w:rPr>
        <w:sectPr>
          <w:pgSz w:w="11910" w:h="16840"/>
          <w:pgMar w:header="0" w:footer="921" w:top="1460" w:bottom="1120" w:left="1060" w:right="10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1"/>
        <w:gridCol w:w="6823"/>
      </w:tblGrid>
      <w:tr>
        <w:trPr>
          <w:trHeight w:val="1114" w:hRule="atLeast"/>
        </w:trPr>
        <w:tc>
          <w:tcPr>
            <w:tcW w:w="2841" w:type="dxa"/>
          </w:tcPr>
          <w:p>
            <w:pPr>
              <w:pStyle w:val="TableParagraph"/>
              <w:spacing w:before="0"/>
              <w:ind w:left="0"/>
              <w:rPr>
                <w:rFonts w:ascii="Times New Roman"/>
                <w:sz w:val="20"/>
              </w:rPr>
            </w:pPr>
          </w:p>
        </w:tc>
        <w:tc>
          <w:tcPr>
            <w:tcW w:w="6823" w:type="dxa"/>
          </w:tcPr>
          <w:p>
            <w:pPr>
              <w:pStyle w:val="TableParagraph"/>
              <w:spacing w:line="211" w:lineRule="exact" w:before="0"/>
              <w:ind w:left="106"/>
              <w:rPr>
                <w:i/>
                <w:sz w:val="21"/>
              </w:rPr>
            </w:pPr>
            <w:r>
              <w:rPr>
                <w:i/>
                <w:sz w:val="21"/>
              </w:rPr>
              <w:t>成的心肌病变除外。</w:t>
            </w:r>
          </w:p>
          <w:p>
            <w:pPr>
              <w:pStyle w:val="TableParagraph"/>
              <w:spacing w:line="292" w:lineRule="auto" w:before="61"/>
              <w:ind w:left="106" w:right="308"/>
              <w:rPr>
                <w:i/>
                <w:sz w:val="21"/>
              </w:rPr>
            </w:pPr>
            <w:r>
              <w:rPr>
                <w:i/>
                <w:sz w:val="21"/>
              </w:rPr>
              <w:t>美国纽约心脏协会分类标准心功能四级是指有医院的医疗记录显示病人不能进行任何活动，休息时仍有心悸、呼吸困难等心力衰竭表现。</w:t>
            </w:r>
          </w:p>
        </w:tc>
      </w:tr>
      <w:tr>
        <w:trPr>
          <w:trHeight w:val="3704" w:hRule="atLeast"/>
        </w:trPr>
        <w:tc>
          <w:tcPr>
            <w:tcW w:w="2841" w:type="dxa"/>
          </w:tcPr>
          <w:p>
            <w:pPr>
              <w:pStyle w:val="TableParagraph"/>
              <w:spacing w:before="168"/>
              <w:ind w:left="200"/>
              <w:rPr>
                <w:i/>
                <w:sz w:val="21"/>
              </w:rPr>
            </w:pPr>
            <w:r>
              <w:rPr>
                <w:i/>
                <w:sz w:val="21"/>
              </w:rPr>
              <w:t>（三十二）重症肌无力</w:t>
            </w:r>
          </w:p>
        </w:tc>
        <w:tc>
          <w:tcPr>
            <w:tcW w:w="6823" w:type="dxa"/>
          </w:tcPr>
          <w:p>
            <w:pPr>
              <w:pStyle w:val="TableParagraph"/>
              <w:spacing w:line="295" w:lineRule="auto" w:before="168"/>
              <w:ind w:left="106" w:right="197"/>
              <w:rPr>
                <w:i/>
                <w:sz w:val="21"/>
              </w:rPr>
            </w:pPr>
            <w:r>
              <w:rPr>
                <w:i/>
                <w:spacing w:val="-7"/>
                <w:sz w:val="21"/>
              </w:rPr>
              <w:t>是指一种神经与肌肉接头部位传递障碍的自身免疫性疾病，临床特征是</w:t>
            </w:r>
            <w:r>
              <w:rPr>
                <w:i/>
                <w:spacing w:val="-10"/>
                <w:sz w:val="21"/>
              </w:rPr>
              <w:t>局部或全身横纹肌于活动时易于疲劳无力，颅神经眼外肌最易累及，也</w:t>
            </w:r>
            <w:r>
              <w:rPr>
                <w:i/>
                <w:spacing w:val="-5"/>
                <w:sz w:val="21"/>
              </w:rPr>
              <w:t>可涉及呼吸肌、下肢近端肌群乃至全身肌肉，须经神经专科医生确诊。</w:t>
            </w:r>
            <w:r>
              <w:rPr>
                <w:i/>
                <w:spacing w:val="-4"/>
                <w:sz w:val="21"/>
              </w:rPr>
              <w:t>其诊断必须同时具有下列情况：</w:t>
            </w:r>
          </w:p>
          <w:p>
            <w:pPr>
              <w:pStyle w:val="TableParagraph"/>
              <w:spacing w:line="295" w:lineRule="auto" w:before="13"/>
              <w:ind w:left="106" w:right="304"/>
              <w:rPr>
                <w:i/>
                <w:sz w:val="21"/>
              </w:rPr>
            </w:pPr>
            <w:r>
              <w:rPr>
                <w:i/>
                <w:spacing w:val="-3"/>
                <w:sz w:val="21"/>
              </w:rPr>
              <w:t>经药物、胸腺手术治疗一年以上无法控制病情，丧失正常工作能力； </w:t>
            </w:r>
            <w:r>
              <w:rPr>
                <w:i/>
                <w:spacing w:val="-12"/>
                <w:sz w:val="21"/>
              </w:rPr>
              <w:t>出现眼睑下垂，或延髓肌受累引起的构音困难、进食呛咳，或由于肌无</w:t>
            </w:r>
            <w:r>
              <w:rPr>
                <w:i/>
                <w:spacing w:val="-13"/>
                <w:sz w:val="21"/>
              </w:rPr>
              <w:t>力累及延髓肌、呼吸肌而致机体呼吸功能不正常的危急状态即肌无力危象；</w:t>
            </w:r>
          </w:p>
          <w:p>
            <w:pPr>
              <w:pStyle w:val="TableParagraph"/>
              <w:spacing w:line="295" w:lineRule="auto" w:before="12"/>
              <w:ind w:left="106" w:right="302"/>
              <w:rPr>
                <w:i/>
                <w:sz w:val="21"/>
              </w:rPr>
            </w:pPr>
            <w:r>
              <w:rPr>
                <w:i/>
                <w:spacing w:val="-11"/>
                <w:sz w:val="21"/>
              </w:rPr>
              <w:t>症状缓解、复发及恶化交替出现，临床接受新斯的明等抗胆碱酯酶药物</w:t>
            </w:r>
            <w:r>
              <w:rPr>
                <w:i/>
                <w:spacing w:val="-6"/>
                <w:sz w:val="21"/>
              </w:rPr>
              <w:t>治疗的病史。</w:t>
            </w:r>
          </w:p>
        </w:tc>
      </w:tr>
      <w:tr>
        <w:trPr>
          <w:trHeight w:val="1346" w:hRule="atLeast"/>
        </w:trPr>
        <w:tc>
          <w:tcPr>
            <w:tcW w:w="2841" w:type="dxa"/>
          </w:tcPr>
          <w:p>
            <w:pPr>
              <w:pStyle w:val="TableParagraph"/>
              <w:spacing w:line="292" w:lineRule="auto" w:before="166"/>
              <w:ind w:left="200" w:right="104"/>
              <w:rPr>
                <w:i/>
                <w:sz w:val="21"/>
              </w:rPr>
            </w:pPr>
            <w:r>
              <w:rPr>
                <w:i/>
                <w:sz w:val="21"/>
              </w:rPr>
              <w:t>（三十三）急性坏死性胰腺炎</w:t>
            </w:r>
          </w:p>
        </w:tc>
        <w:tc>
          <w:tcPr>
            <w:tcW w:w="6823" w:type="dxa"/>
          </w:tcPr>
          <w:p>
            <w:pPr>
              <w:pStyle w:val="TableParagraph"/>
              <w:spacing w:line="295" w:lineRule="auto" w:before="166"/>
              <w:ind w:left="106" w:right="302"/>
              <w:jc w:val="both"/>
              <w:rPr>
                <w:i/>
                <w:sz w:val="21"/>
              </w:rPr>
            </w:pPr>
            <w:r>
              <w:rPr>
                <w:i/>
                <w:spacing w:val="-8"/>
                <w:sz w:val="21"/>
              </w:rPr>
              <w:t>由专科医生确诊为急性坏死性胰腺炎，并需进行手术治疗，以进行组织</w:t>
            </w:r>
            <w:r>
              <w:rPr>
                <w:i/>
                <w:spacing w:val="-13"/>
                <w:sz w:val="21"/>
              </w:rPr>
              <w:t>清除、病灶切除或胰腺部分切除。但因酒精中毒所致的急性坏死性胰腺</w:t>
            </w:r>
            <w:r>
              <w:rPr>
                <w:i/>
                <w:spacing w:val="-8"/>
                <w:sz w:val="21"/>
              </w:rPr>
              <w:t>炎除外。</w:t>
            </w:r>
          </w:p>
        </w:tc>
      </w:tr>
      <w:tr>
        <w:trPr>
          <w:trHeight w:val="2356" w:hRule="atLeast"/>
        </w:trPr>
        <w:tc>
          <w:tcPr>
            <w:tcW w:w="2841" w:type="dxa"/>
          </w:tcPr>
          <w:p>
            <w:pPr>
              <w:pStyle w:val="TableParagraph"/>
              <w:spacing w:before="166"/>
              <w:ind w:left="200"/>
              <w:rPr>
                <w:i/>
                <w:sz w:val="21"/>
              </w:rPr>
            </w:pPr>
            <w:r>
              <w:rPr>
                <w:i/>
                <w:sz w:val="21"/>
              </w:rPr>
              <w:t>（三十四）坏死性筋膜炎</w:t>
            </w:r>
          </w:p>
        </w:tc>
        <w:tc>
          <w:tcPr>
            <w:tcW w:w="6823" w:type="dxa"/>
          </w:tcPr>
          <w:p>
            <w:pPr>
              <w:pStyle w:val="TableParagraph"/>
              <w:spacing w:before="166"/>
              <w:ind w:left="106"/>
              <w:rPr>
                <w:i/>
                <w:sz w:val="21"/>
              </w:rPr>
            </w:pPr>
            <w:r>
              <w:rPr>
                <w:i/>
                <w:sz w:val="21"/>
              </w:rPr>
              <w:t>坏死性筋膜炎的诊断须同时符合下列要求：</w:t>
            </w:r>
          </w:p>
          <w:p>
            <w:pPr>
              <w:pStyle w:val="TableParagraph"/>
              <w:spacing w:before="63"/>
              <w:ind w:left="106"/>
              <w:rPr>
                <w:i/>
                <w:sz w:val="21"/>
              </w:rPr>
            </w:pPr>
            <w:r>
              <w:rPr>
                <w:i/>
                <w:sz w:val="21"/>
              </w:rPr>
              <w:t>（</w:t>
            </w:r>
            <w:r>
              <w:rPr>
                <w:sz w:val="21"/>
              </w:rPr>
              <w:t>1</w:t>
            </w:r>
            <w:r>
              <w:rPr>
                <w:i/>
                <w:sz w:val="21"/>
              </w:rPr>
              <w:t>）符合坏死性筋膜炎的一般临床表现；</w:t>
            </w:r>
          </w:p>
          <w:p>
            <w:pPr>
              <w:pStyle w:val="TableParagraph"/>
              <w:spacing w:before="61"/>
              <w:rPr>
                <w:i/>
                <w:sz w:val="21"/>
              </w:rPr>
            </w:pPr>
            <w:r>
              <w:rPr>
                <w:i/>
                <w:sz w:val="21"/>
              </w:rPr>
              <w:t>（</w:t>
            </w:r>
            <w:r>
              <w:rPr>
                <w:sz w:val="21"/>
              </w:rPr>
              <w:t>2</w:t>
            </w:r>
            <w:r>
              <w:rPr>
                <w:i/>
                <w:sz w:val="21"/>
              </w:rPr>
              <w:t>）细菌培养检出致病菌；</w:t>
            </w:r>
          </w:p>
          <w:p>
            <w:pPr>
              <w:pStyle w:val="TableParagraph"/>
              <w:spacing w:line="295" w:lineRule="auto" w:before="61"/>
              <w:ind w:left="106" w:right="304"/>
              <w:jc w:val="both"/>
              <w:rPr>
                <w:i/>
                <w:sz w:val="21"/>
              </w:rPr>
            </w:pPr>
            <w:r>
              <w:rPr>
                <w:i/>
                <w:sz w:val="21"/>
              </w:rPr>
              <w:t>（</w:t>
            </w:r>
            <w:r>
              <w:rPr>
                <w:sz w:val="21"/>
              </w:rPr>
              <w:t>3</w:t>
            </w:r>
            <w:r>
              <w:rPr>
                <w:i/>
                <w:sz w:val="21"/>
              </w:rPr>
              <w:t>）</w:t>
            </w:r>
            <w:r>
              <w:rPr>
                <w:i/>
                <w:spacing w:val="-3"/>
                <w:sz w:val="21"/>
              </w:rPr>
              <w:t>出现广泛性肌肉及软组织坏死，并导致身体受影响部位永久完全</w:t>
            </w:r>
            <w:r>
              <w:rPr>
                <w:i/>
                <w:spacing w:val="-12"/>
                <w:sz w:val="21"/>
              </w:rPr>
              <w:t>失去功能。所谓永久完全失去功能是指受影响部位的功能丧失超过六个月者。</w:t>
            </w:r>
          </w:p>
        </w:tc>
      </w:tr>
      <w:tr>
        <w:trPr>
          <w:trHeight w:val="2020" w:hRule="atLeast"/>
        </w:trPr>
        <w:tc>
          <w:tcPr>
            <w:tcW w:w="2841" w:type="dxa"/>
          </w:tcPr>
          <w:p>
            <w:pPr>
              <w:pStyle w:val="TableParagraph"/>
              <w:spacing w:before="166"/>
              <w:ind w:left="200"/>
              <w:rPr>
                <w:i/>
                <w:sz w:val="21"/>
              </w:rPr>
            </w:pPr>
            <w:r>
              <w:rPr>
                <w:i/>
                <w:sz w:val="21"/>
              </w:rPr>
              <w:t>（三十五）终末期肺病</w:t>
            </w:r>
          </w:p>
        </w:tc>
        <w:tc>
          <w:tcPr>
            <w:tcW w:w="6823" w:type="dxa"/>
          </w:tcPr>
          <w:p>
            <w:pPr>
              <w:pStyle w:val="TableParagraph"/>
              <w:spacing w:line="295" w:lineRule="auto" w:before="166"/>
              <w:ind w:left="106" w:right="308"/>
              <w:rPr>
                <w:i/>
                <w:sz w:val="21"/>
              </w:rPr>
            </w:pPr>
            <w:r>
              <w:rPr>
                <w:i/>
                <w:sz w:val="21"/>
              </w:rPr>
              <w:t>由呼吸专科医生确诊被保险人患有终末期肺病而出现慢性呼吸功能衰竭，其诊断标准包括以下各项：</w:t>
            </w:r>
          </w:p>
          <w:p>
            <w:pPr>
              <w:pStyle w:val="TableParagraph"/>
              <w:spacing w:before="12"/>
              <w:ind w:left="106"/>
              <w:rPr>
                <w:i/>
                <w:sz w:val="21"/>
              </w:rPr>
            </w:pPr>
            <w:r>
              <w:rPr>
                <w:i/>
                <w:sz w:val="21"/>
              </w:rPr>
              <w:t>（</w:t>
            </w:r>
            <w:r>
              <w:rPr>
                <w:sz w:val="21"/>
              </w:rPr>
              <w:t>1</w:t>
            </w:r>
            <w:r>
              <w:rPr>
                <w:i/>
                <w:sz w:val="21"/>
              </w:rPr>
              <w:t>）</w:t>
            </w:r>
            <w:r>
              <w:rPr>
                <w:i/>
                <w:spacing w:val="-10"/>
                <w:sz w:val="21"/>
              </w:rPr>
              <w:t>肺功能测试其 </w:t>
            </w:r>
            <w:r>
              <w:rPr>
                <w:sz w:val="21"/>
              </w:rPr>
              <w:t>FEVl</w:t>
            </w:r>
            <w:r>
              <w:rPr>
                <w:spacing w:val="-52"/>
                <w:sz w:val="21"/>
              </w:rPr>
              <w:t> </w:t>
            </w:r>
            <w:r>
              <w:rPr>
                <w:i/>
                <w:spacing w:val="-11"/>
                <w:sz w:val="21"/>
              </w:rPr>
              <w:t>持续低于 </w:t>
            </w:r>
            <w:r>
              <w:rPr>
                <w:sz w:val="21"/>
              </w:rPr>
              <w:t>0.75</w:t>
            </w:r>
            <w:r>
              <w:rPr>
                <w:spacing w:val="-52"/>
                <w:sz w:val="21"/>
              </w:rPr>
              <w:t> </w:t>
            </w:r>
            <w:r>
              <w:rPr>
                <w:i/>
                <w:sz w:val="21"/>
              </w:rPr>
              <w:t>升；</w:t>
            </w:r>
          </w:p>
          <w:p>
            <w:pPr>
              <w:pStyle w:val="TableParagraph"/>
              <w:spacing w:before="61"/>
              <w:rPr>
                <w:i/>
                <w:sz w:val="21"/>
              </w:rPr>
            </w:pPr>
            <w:r>
              <w:rPr>
                <w:i/>
                <w:sz w:val="21"/>
              </w:rPr>
              <w:t>（</w:t>
            </w:r>
            <w:r>
              <w:rPr>
                <w:sz w:val="21"/>
              </w:rPr>
              <w:t>2</w:t>
            </w:r>
            <w:r>
              <w:rPr>
                <w:i/>
                <w:sz w:val="21"/>
              </w:rPr>
              <w:t>）病人缺氧必须广泛而持续地进行输氧治疗；</w:t>
            </w:r>
          </w:p>
          <w:p>
            <w:pPr>
              <w:pStyle w:val="TableParagraph"/>
              <w:spacing w:before="63"/>
              <w:rPr>
                <w:i/>
                <w:sz w:val="21"/>
              </w:rPr>
            </w:pPr>
            <w:r>
              <w:rPr>
                <w:i/>
                <w:sz w:val="21"/>
              </w:rPr>
              <w:t>（</w:t>
            </w:r>
            <w:r>
              <w:rPr>
                <w:sz w:val="21"/>
              </w:rPr>
              <w:t>3</w:t>
            </w:r>
            <w:r>
              <w:rPr>
                <w:i/>
                <w:sz w:val="21"/>
              </w:rPr>
              <w:t>）动脉血气分析氧分压低于 </w:t>
            </w:r>
            <w:r>
              <w:rPr>
                <w:sz w:val="21"/>
              </w:rPr>
              <w:t>55mmHg</w:t>
            </w:r>
            <w:r>
              <w:rPr>
                <w:i/>
                <w:sz w:val="21"/>
              </w:rPr>
              <w:t>。</w:t>
            </w:r>
          </w:p>
        </w:tc>
      </w:tr>
      <w:tr>
        <w:trPr>
          <w:trHeight w:val="3134" w:hRule="atLeast"/>
        </w:trPr>
        <w:tc>
          <w:tcPr>
            <w:tcW w:w="2841" w:type="dxa"/>
          </w:tcPr>
          <w:p>
            <w:pPr>
              <w:pStyle w:val="TableParagraph"/>
              <w:spacing w:line="292" w:lineRule="auto" w:before="166"/>
              <w:ind w:left="200" w:right="104"/>
              <w:rPr>
                <w:i/>
                <w:sz w:val="21"/>
              </w:rPr>
            </w:pPr>
            <w:r>
              <w:rPr>
                <w:i/>
                <w:sz w:val="21"/>
              </w:rPr>
              <w:t>（三十六）严重类风湿性关节炎</w:t>
            </w:r>
          </w:p>
        </w:tc>
        <w:tc>
          <w:tcPr>
            <w:tcW w:w="6823" w:type="dxa"/>
          </w:tcPr>
          <w:p>
            <w:pPr>
              <w:pStyle w:val="TableParagraph"/>
              <w:spacing w:before="166"/>
              <w:ind w:left="106"/>
              <w:rPr>
                <w:i/>
                <w:sz w:val="21"/>
              </w:rPr>
            </w:pPr>
            <w:r>
              <w:rPr>
                <w:i/>
                <w:sz w:val="21"/>
              </w:rPr>
              <w:t>是指类风湿性关节炎患者符合以下三项标准的：</w:t>
            </w:r>
          </w:p>
          <w:p>
            <w:pPr>
              <w:pStyle w:val="TableParagraph"/>
              <w:spacing w:line="295" w:lineRule="auto" w:before="60"/>
              <w:ind w:left="106" w:right="308"/>
              <w:rPr>
                <w:i/>
                <w:sz w:val="21"/>
              </w:rPr>
            </w:pPr>
            <w:r>
              <w:rPr>
                <w:i/>
                <w:sz w:val="21"/>
              </w:rPr>
              <w:t>至少包括下列关节中的三组或以上有广泛受损和畸形改变</w:t>
            </w:r>
            <w:r>
              <w:rPr>
                <w:sz w:val="21"/>
              </w:rPr>
              <w:t>:</w:t>
            </w:r>
            <w:r>
              <w:rPr>
                <w:i/>
                <w:sz w:val="21"/>
              </w:rPr>
              <w:t>手指关节、腕关节、肘关节、膝关节、髋关节、踝关节、脊椎或脚趾关节；</w:t>
            </w:r>
          </w:p>
          <w:p>
            <w:pPr>
              <w:pStyle w:val="TableParagraph"/>
              <w:spacing w:line="292" w:lineRule="auto" w:before="12"/>
              <w:ind w:left="106" w:right="302"/>
              <w:rPr>
                <w:i/>
                <w:sz w:val="21"/>
              </w:rPr>
            </w:pPr>
            <w:r>
              <w:rPr>
                <w:i/>
                <w:spacing w:val="-8"/>
                <w:sz w:val="21"/>
              </w:rPr>
              <w:t>手和腕的后前位 </w:t>
            </w:r>
            <w:r>
              <w:rPr>
                <w:sz w:val="21"/>
              </w:rPr>
              <w:t>X </w:t>
            </w:r>
            <w:r>
              <w:rPr>
                <w:i/>
                <w:spacing w:val="-9"/>
                <w:sz w:val="21"/>
              </w:rPr>
              <w:t>线拍片检查可见类风湿性关节炎的典型变化，包括骨</w:t>
            </w:r>
            <w:r>
              <w:rPr>
                <w:i/>
                <w:spacing w:val="-5"/>
                <w:sz w:val="21"/>
              </w:rPr>
              <w:t>质侵蚀或钙流失，位于受累关节及其邻近部位尤其明显；</w:t>
            </w:r>
          </w:p>
          <w:p>
            <w:pPr>
              <w:pStyle w:val="TableParagraph"/>
              <w:spacing w:before="17"/>
              <w:ind w:left="106"/>
              <w:rPr>
                <w:i/>
                <w:sz w:val="21"/>
              </w:rPr>
            </w:pPr>
            <w:r>
              <w:rPr>
                <w:i/>
                <w:sz w:val="21"/>
              </w:rPr>
              <w:t>关节的畸形改变至少持续 </w:t>
            </w:r>
            <w:r>
              <w:rPr>
                <w:sz w:val="21"/>
              </w:rPr>
              <w:t>6 </w:t>
            </w:r>
            <w:r>
              <w:rPr>
                <w:i/>
                <w:sz w:val="21"/>
              </w:rPr>
              <w:t>个月。</w:t>
            </w:r>
          </w:p>
          <w:p>
            <w:pPr>
              <w:pStyle w:val="TableParagraph"/>
              <w:spacing w:line="292" w:lineRule="auto" w:before="61"/>
              <w:ind w:right="307"/>
              <w:rPr>
                <w:i/>
                <w:sz w:val="21"/>
              </w:rPr>
            </w:pPr>
            <w:r>
              <w:rPr>
                <w:i/>
                <w:sz w:val="21"/>
              </w:rPr>
              <w:t>类风湿性关节炎系指以关节滑膜炎为特征的慢性全身性自身免疫性疾病，诊断必须符合国际认可的该疾病的诊断标准。</w:t>
            </w:r>
          </w:p>
          <w:p>
            <w:pPr>
              <w:pStyle w:val="TableParagraph"/>
              <w:spacing w:line="255" w:lineRule="exact" w:before="14"/>
              <w:ind w:left="106"/>
              <w:rPr>
                <w:i/>
                <w:sz w:val="21"/>
              </w:rPr>
            </w:pPr>
            <w:r>
              <w:rPr>
                <w:i/>
                <w:sz w:val="21"/>
              </w:rPr>
              <w:t>只有被保险人已接受膝关节或髋关节置换手术，我们才承担赔偿责任。</w:t>
            </w:r>
          </w:p>
        </w:tc>
      </w:tr>
    </w:tbl>
    <w:p>
      <w:pPr>
        <w:spacing w:after="0" w:line="255" w:lineRule="exact"/>
        <w:rPr>
          <w:sz w:val="21"/>
        </w:rPr>
        <w:sectPr>
          <w:pgSz w:w="11910" w:h="16840"/>
          <w:pgMar w:header="0" w:footer="921" w:top="1460" w:bottom="1120" w:left="1060" w:right="960"/>
        </w:sectPr>
      </w:pPr>
    </w:p>
    <w:p>
      <w:pPr>
        <w:pStyle w:val="BodyText"/>
        <w:rPr>
          <w:rFonts w:ascii="Times New Roman"/>
          <w:i w:val="0"/>
          <w:sz w:val="2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6"/>
        <w:gridCol w:w="1795"/>
        <w:gridCol w:w="6847"/>
      </w:tblGrid>
      <w:tr>
        <w:trPr>
          <w:trHeight w:val="1329" w:hRule="atLeast"/>
        </w:trPr>
        <w:tc>
          <w:tcPr>
            <w:tcW w:w="1046" w:type="dxa"/>
          </w:tcPr>
          <w:p>
            <w:pPr>
              <w:pStyle w:val="TableParagraph"/>
              <w:spacing w:line="211" w:lineRule="exact" w:before="0"/>
              <w:ind w:left="200"/>
              <w:rPr>
                <w:sz w:val="21"/>
              </w:rPr>
            </w:pPr>
            <w:r>
              <w:rPr>
                <w:sz w:val="21"/>
              </w:rPr>
              <w:t>8.5</w:t>
            </w:r>
          </w:p>
        </w:tc>
        <w:tc>
          <w:tcPr>
            <w:tcW w:w="1795" w:type="dxa"/>
          </w:tcPr>
          <w:p>
            <w:pPr>
              <w:pStyle w:val="TableParagraph"/>
              <w:spacing w:line="211" w:lineRule="exact" w:before="0"/>
              <w:ind w:left="423"/>
              <w:rPr>
                <w:i/>
                <w:sz w:val="21"/>
              </w:rPr>
            </w:pPr>
            <w:r>
              <w:rPr>
                <w:i/>
                <w:sz w:val="21"/>
              </w:rPr>
              <w:t>毒品</w:t>
            </w:r>
          </w:p>
        </w:tc>
        <w:tc>
          <w:tcPr>
            <w:tcW w:w="6847" w:type="dxa"/>
          </w:tcPr>
          <w:p>
            <w:pPr>
              <w:pStyle w:val="TableParagraph"/>
              <w:spacing w:line="211" w:lineRule="exact" w:before="0"/>
              <w:rPr>
                <w:i/>
                <w:sz w:val="21"/>
              </w:rPr>
            </w:pPr>
            <w:r>
              <w:rPr>
                <w:i/>
                <w:spacing w:val="-2"/>
                <w:sz w:val="21"/>
              </w:rPr>
              <w:t>指中华人民共和国刑法规定的鸦片、海洛因、甲基苯丙胺</w:t>
            </w:r>
            <w:r>
              <w:rPr>
                <w:i/>
                <w:sz w:val="21"/>
              </w:rPr>
              <w:t>（</w:t>
            </w:r>
            <w:r>
              <w:rPr>
                <w:i/>
                <w:spacing w:val="-2"/>
                <w:sz w:val="21"/>
              </w:rPr>
              <w:t>冰毒</w:t>
            </w:r>
            <w:r>
              <w:rPr>
                <w:i/>
                <w:spacing w:val="-104"/>
                <w:sz w:val="21"/>
              </w:rPr>
              <w:t>）</w:t>
            </w:r>
            <w:r>
              <w:rPr>
                <w:i/>
                <w:sz w:val="21"/>
              </w:rPr>
              <w:t>、吗</w:t>
            </w:r>
          </w:p>
          <w:p>
            <w:pPr>
              <w:pStyle w:val="TableParagraph"/>
              <w:spacing w:line="295" w:lineRule="auto" w:before="61"/>
              <w:ind w:right="302"/>
              <w:jc w:val="both"/>
              <w:rPr>
                <w:i/>
                <w:sz w:val="21"/>
              </w:rPr>
            </w:pPr>
            <w:r>
              <w:rPr>
                <w:i/>
                <w:spacing w:val="-11"/>
                <w:sz w:val="21"/>
              </w:rPr>
              <w:t>啡、大麻、可卡因以及国家规定管制的其他能够使人形成瘾癖的麻醉药</w:t>
            </w:r>
            <w:r>
              <w:rPr>
                <w:i/>
                <w:spacing w:val="-12"/>
                <w:sz w:val="21"/>
              </w:rPr>
              <w:t>品和精神药品，但不包括由医生开具并遵医嘱使用的用于治疗疾病但含</w:t>
            </w:r>
            <w:r>
              <w:rPr>
                <w:i/>
                <w:spacing w:val="-6"/>
                <w:sz w:val="21"/>
              </w:rPr>
              <w:t>有毒品成分的处方药品。</w:t>
            </w:r>
          </w:p>
        </w:tc>
      </w:tr>
      <w:tr>
        <w:trPr>
          <w:trHeight w:val="1099" w:hRule="atLeast"/>
        </w:trPr>
        <w:tc>
          <w:tcPr>
            <w:tcW w:w="1046" w:type="dxa"/>
          </w:tcPr>
          <w:p>
            <w:pPr>
              <w:pStyle w:val="TableParagraph"/>
              <w:spacing w:before="44"/>
              <w:ind w:left="200"/>
              <w:rPr>
                <w:sz w:val="21"/>
              </w:rPr>
            </w:pPr>
            <w:r>
              <w:rPr>
                <w:sz w:val="21"/>
              </w:rPr>
              <w:t>8.6</w:t>
            </w:r>
          </w:p>
        </w:tc>
        <w:tc>
          <w:tcPr>
            <w:tcW w:w="1795" w:type="dxa"/>
          </w:tcPr>
          <w:p>
            <w:pPr>
              <w:pStyle w:val="TableParagraph"/>
              <w:spacing w:before="44"/>
              <w:ind w:left="423"/>
              <w:rPr>
                <w:i/>
                <w:sz w:val="21"/>
              </w:rPr>
            </w:pPr>
            <w:r>
              <w:rPr>
                <w:i/>
                <w:sz w:val="21"/>
              </w:rPr>
              <w:t>酒后驾驶</w:t>
            </w:r>
          </w:p>
        </w:tc>
        <w:tc>
          <w:tcPr>
            <w:tcW w:w="6847" w:type="dxa"/>
          </w:tcPr>
          <w:p>
            <w:pPr>
              <w:pStyle w:val="TableParagraph"/>
              <w:spacing w:line="292" w:lineRule="auto" w:before="44"/>
              <w:ind w:right="196"/>
              <w:rPr>
                <w:i/>
                <w:sz w:val="21"/>
              </w:rPr>
            </w:pPr>
            <w:r>
              <w:rPr>
                <w:i/>
                <w:spacing w:val="-11"/>
                <w:sz w:val="21"/>
              </w:rPr>
              <w:t>指经检测或鉴定，发生事故时车辆驾驶人员每百毫升血液中的酒精含量</w:t>
            </w:r>
            <w:r>
              <w:rPr>
                <w:i/>
                <w:spacing w:val="-17"/>
                <w:sz w:val="21"/>
              </w:rPr>
              <w:t>达到或超过一定的标准，公安机关交通管理部门依据《道路交通安全法》</w:t>
            </w:r>
            <w:r>
              <w:rPr>
                <w:i/>
                <w:spacing w:val="-7"/>
                <w:sz w:val="21"/>
              </w:rPr>
              <w:t>的规定认定为饮酒后驾驶或醉酒后驾驶。</w:t>
            </w:r>
          </w:p>
        </w:tc>
      </w:tr>
      <w:tr>
        <w:trPr>
          <w:trHeight w:val="2784" w:hRule="atLeast"/>
        </w:trPr>
        <w:tc>
          <w:tcPr>
            <w:tcW w:w="1046" w:type="dxa"/>
          </w:tcPr>
          <w:p>
            <w:pPr>
              <w:pStyle w:val="TableParagraph"/>
              <w:spacing w:before="44"/>
              <w:ind w:left="200"/>
              <w:rPr>
                <w:sz w:val="21"/>
              </w:rPr>
            </w:pPr>
            <w:r>
              <w:rPr>
                <w:sz w:val="21"/>
              </w:rPr>
              <w:t>8.7</w:t>
            </w:r>
          </w:p>
        </w:tc>
        <w:tc>
          <w:tcPr>
            <w:tcW w:w="1795" w:type="dxa"/>
          </w:tcPr>
          <w:p>
            <w:pPr>
              <w:pStyle w:val="TableParagraph"/>
              <w:spacing w:line="292" w:lineRule="auto" w:before="44"/>
              <w:ind w:left="423" w:right="104"/>
              <w:rPr>
                <w:i/>
                <w:sz w:val="21"/>
              </w:rPr>
            </w:pPr>
            <w:r>
              <w:rPr>
                <w:i/>
                <w:sz w:val="21"/>
              </w:rPr>
              <w:t>无合法有效驾驶证驾驶</w:t>
            </w:r>
          </w:p>
        </w:tc>
        <w:tc>
          <w:tcPr>
            <w:tcW w:w="6847" w:type="dxa"/>
          </w:tcPr>
          <w:p>
            <w:pPr>
              <w:pStyle w:val="TableParagraph"/>
              <w:spacing w:line="292" w:lineRule="auto" w:before="44"/>
              <w:ind w:right="2952"/>
              <w:rPr>
                <w:i/>
                <w:sz w:val="21"/>
              </w:rPr>
            </w:pPr>
            <w:r>
              <w:rPr>
                <w:i/>
                <w:sz w:val="21"/>
              </w:rPr>
              <w:t>指发生保险事故时符合下列情形之一的： 一、没有驾驶证驾驶；</w:t>
            </w:r>
          </w:p>
          <w:p>
            <w:pPr>
              <w:pStyle w:val="TableParagraph"/>
              <w:spacing w:line="295" w:lineRule="auto" w:before="14"/>
              <w:ind w:right="2532"/>
              <w:rPr>
                <w:i/>
                <w:sz w:val="21"/>
              </w:rPr>
            </w:pPr>
            <w:r>
              <w:rPr>
                <w:i/>
                <w:sz w:val="21"/>
              </w:rPr>
              <w:t>二、驾驶与驾驶证准驾车型不相符合的车辆； 三、持审验不合格的驾驶证驾驶；</w:t>
            </w:r>
          </w:p>
          <w:p>
            <w:pPr>
              <w:pStyle w:val="TableParagraph"/>
              <w:spacing w:before="12"/>
              <w:rPr>
                <w:i/>
                <w:sz w:val="21"/>
              </w:rPr>
            </w:pPr>
            <w:r>
              <w:rPr>
                <w:i/>
                <w:sz w:val="21"/>
              </w:rPr>
              <w:t>四、未经公安机关交通管理部门同意，持未审验的驾驶证驾驶；</w:t>
            </w:r>
          </w:p>
          <w:p>
            <w:pPr>
              <w:pStyle w:val="TableParagraph"/>
              <w:spacing w:line="295" w:lineRule="auto" w:before="61"/>
              <w:ind w:right="220"/>
              <w:rPr>
                <w:i/>
                <w:sz w:val="21"/>
              </w:rPr>
            </w:pPr>
            <w:r>
              <w:rPr>
                <w:i/>
                <w:sz w:val="21"/>
              </w:rPr>
              <w:t>五、持学习驾驶证学习驾车时，无教练员随车指导，或不按指定时间、路线学习驾车；</w:t>
            </w:r>
          </w:p>
          <w:p>
            <w:pPr>
              <w:pStyle w:val="TableParagraph"/>
              <w:spacing w:before="13"/>
              <w:rPr>
                <w:i/>
                <w:sz w:val="21"/>
              </w:rPr>
            </w:pPr>
            <w:r>
              <w:rPr>
                <w:i/>
                <w:sz w:val="21"/>
              </w:rPr>
              <w:t>六、公安机关交通管理部门规定的其他无有效驾驶证驾驶的情况。</w:t>
            </w:r>
          </w:p>
        </w:tc>
      </w:tr>
      <w:tr>
        <w:trPr>
          <w:trHeight w:val="3120" w:hRule="atLeast"/>
        </w:trPr>
        <w:tc>
          <w:tcPr>
            <w:tcW w:w="1046" w:type="dxa"/>
          </w:tcPr>
          <w:p>
            <w:pPr>
              <w:pStyle w:val="TableParagraph"/>
              <w:spacing w:before="44"/>
              <w:ind w:left="200"/>
              <w:rPr>
                <w:sz w:val="21"/>
              </w:rPr>
            </w:pPr>
            <w:r>
              <w:rPr>
                <w:sz w:val="21"/>
              </w:rPr>
              <w:t>8.8</w:t>
            </w:r>
          </w:p>
        </w:tc>
        <w:tc>
          <w:tcPr>
            <w:tcW w:w="1795" w:type="dxa"/>
          </w:tcPr>
          <w:p>
            <w:pPr>
              <w:pStyle w:val="TableParagraph"/>
              <w:spacing w:before="44"/>
              <w:ind w:left="423"/>
              <w:rPr>
                <w:i/>
                <w:sz w:val="21"/>
              </w:rPr>
            </w:pPr>
            <w:r>
              <w:rPr>
                <w:i/>
                <w:sz w:val="21"/>
              </w:rPr>
              <w:t>无有效行驶证</w:t>
            </w:r>
          </w:p>
        </w:tc>
        <w:tc>
          <w:tcPr>
            <w:tcW w:w="6847" w:type="dxa"/>
          </w:tcPr>
          <w:p>
            <w:pPr>
              <w:pStyle w:val="TableParagraph"/>
              <w:spacing w:before="44"/>
              <w:rPr>
                <w:i/>
                <w:sz w:val="21"/>
              </w:rPr>
            </w:pPr>
            <w:r>
              <w:rPr>
                <w:i/>
                <w:sz w:val="21"/>
              </w:rPr>
              <w:t>指发生保险事故时机动车符合下列情形之一的：</w:t>
            </w:r>
          </w:p>
          <w:p>
            <w:pPr>
              <w:pStyle w:val="TableParagraph"/>
              <w:spacing w:line="292" w:lineRule="auto" w:before="61"/>
              <w:ind w:right="303" w:hanging="1"/>
              <w:rPr>
                <w:i/>
                <w:sz w:val="21"/>
              </w:rPr>
            </w:pPr>
            <w:r>
              <w:rPr>
                <w:i/>
                <w:spacing w:val="-10"/>
                <w:sz w:val="21"/>
              </w:rPr>
              <w:t>一、没有公安机关交通管理部门核发的行驶证、机动车号牌或检验合格标志；</w:t>
            </w:r>
          </w:p>
          <w:p>
            <w:pPr>
              <w:pStyle w:val="TableParagraph"/>
              <w:spacing w:line="292" w:lineRule="auto" w:before="17"/>
              <w:ind w:right="640"/>
              <w:rPr>
                <w:i/>
                <w:sz w:val="21"/>
              </w:rPr>
            </w:pPr>
            <w:r>
              <w:rPr>
                <w:i/>
                <w:sz w:val="21"/>
              </w:rPr>
              <w:t>二、安全技术检验不合格、未按期或未按规定进行安全技术检验； 三、在停驶期间行驶；</w:t>
            </w:r>
          </w:p>
          <w:p>
            <w:pPr>
              <w:pStyle w:val="TableParagraph"/>
              <w:spacing w:line="295" w:lineRule="auto" w:before="14"/>
              <w:ind w:right="201"/>
              <w:rPr>
                <w:i/>
                <w:sz w:val="21"/>
              </w:rPr>
            </w:pPr>
            <w:r>
              <w:rPr>
                <w:i/>
                <w:spacing w:val="-16"/>
                <w:sz w:val="21"/>
              </w:rPr>
              <w:t>四、使用伪造的、变造的或其他机动车的行驶证、号牌或检验合格标志； </w:t>
            </w:r>
            <w:r>
              <w:rPr>
                <w:i/>
                <w:spacing w:val="-10"/>
                <w:sz w:val="21"/>
              </w:rPr>
              <w:t>五、未经公安机关交通管理部门同意，拼装机动车或改变机动车已登记</w:t>
            </w:r>
            <w:r>
              <w:rPr>
                <w:i/>
                <w:spacing w:val="-5"/>
                <w:sz w:val="21"/>
              </w:rPr>
              <w:t>的结构、构造或特征；</w:t>
            </w:r>
          </w:p>
          <w:p>
            <w:pPr>
              <w:pStyle w:val="TableParagraph"/>
              <w:spacing w:before="12"/>
              <w:rPr>
                <w:i/>
                <w:sz w:val="21"/>
              </w:rPr>
            </w:pPr>
            <w:r>
              <w:rPr>
                <w:i/>
                <w:sz w:val="21"/>
              </w:rPr>
              <w:t>六、公安机关交通管理部门规定的其他无有效行驶证件的情况。</w:t>
            </w:r>
          </w:p>
        </w:tc>
      </w:tr>
      <w:tr>
        <w:trPr>
          <w:trHeight w:val="1773" w:hRule="atLeast"/>
        </w:trPr>
        <w:tc>
          <w:tcPr>
            <w:tcW w:w="1046" w:type="dxa"/>
          </w:tcPr>
          <w:p>
            <w:pPr>
              <w:pStyle w:val="TableParagraph"/>
              <w:spacing w:before="44"/>
              <w:ind w:left="200"/>
              <w:rPr>
                <w:sz w:val="21"/>
              </w:rPr>
            </w:pPr>
            <w:r>
              <w:rPr>
                <w:sz w:val="21"/>
              </w:rPr>
              <w:t>8.9</w:t>
            </w:r>
          </w:p>
        </w:tc>
        <w:tc>
          <w:tcPr>
            <w:tcW w:w="1795" w:type="dxa"/>
          </w:tcPr>
          <w:p>
            <w:pPr>
              <w:pStyle w:val="TableParagraph"/>
              <w:spacing w:line="292" w:lineRule="auto" w:before="44"/>
              <w:ind w:left="424" w:right="103"/>
              <w:rPr>
                <w:i/>
                <w:sz w:val="21"/>
              </w:rPr>
            </w:pPr>
            <w:r>
              <w:rPr>
                <w:i/>
                <w:sz w:val="21"/>
              </w:rPr>
              <w:t>感染艾滋病病毒或患艾滋病</w:t>
            </w:r>
          </w:p>
        </w:tc>
        <w:tc>
          <w:tcPr>
            <w:tcW w:w="6847" w:type="dxa"/>
          </w:tcPr>
          <w:p>
            <w:pPr>
              <w:pStyle w:val="TableParagraph"/>
              <w:spacing w:line="292" w:lineRule="auto" w:before="44"/>
              <w:ind w:right="302"/>
              <w:jc w:val="both"/>
              <w:rPr>
                <w:i/>
                <w:sz w:val="21"/>
              </w:rPr>
            </w:pPr>
            <w:r>
              <w:rPr>
                <w:i/>
                <w:spacing w:val="-6"/>
                <w:sz w:val="21"/>
              </w:rPr>
              <w:t>艾滋病病毒指人类免疫缺陷病毒，英文缩写为 </w:t>
            </w:r>
            <w:r>
              <w:rPr>
                <w:sz w:val="21"/>
              </w:rPr>
              <w:t>HIV</w:t>
            </w:r>
            <w:r>
              <w:rPr>
                <w:i/>
                <w:spacing w:val="-5"/>
                <w:sz w:val="21"/>
              </w:rPr>
              <w:t>。艾滋病指人类免疫缺陷病毒引起的获得性免疫缺陷综合征，英文缩写为 </w:t>
            </w:r>
            <w:r>
              <w:rPr>
                <w:sz w:val="21"/>
              </w:rPr>
              <w:t>AIDS</w:t>
            </w:r>
            <w:r>
              <w:rPr>
                <w:i/>
                <w:sz w:val="21"/>
              </w:rPr>
              <w:t>。</w:t>
            </w:r>
          </w:p>
          <w:p>
            <w:pPr>
              <w:pStyle w:val="TableParagraph"/>
              <w:spacing w:line="295" w:lineRule="auto" w:before="14"/>
              <w:ind w:right="299"/>
              <w:jc w:val="both"/>
              <w:rPr>
                <w:i/>
                <w:sz w:val="21"/>
              </w:rPr>
            </w:pPr>
            <w:r>
              <w:rPr>
                <w:i/>
                <w:spacing w:val="-6"/>
                <w:sz w:val="21"/>
              </w:rPr>
              <w:t>在人体血液或其它样本中检测到艾滋病病毒或其抗体呈阳性，没有出现</w:t>
            </w:r>
            <w:r>
              <w:rPr>
                <w:i/>
                <w:spacing w:val="-9"/>
                <w:sz w:val="21"/>
              </w:rPr>
              <w:t>临床症状或体征的，为感染艾滋病病毒；如果同时出现了明显临床症状</w:t>
            </w:r>
            <w:r>
              <w:rPr>
                <w:i/>
                <w:spacing w:val="-3"/>
                <w:sz w:val="21"/>
              </w:rPr>
              <w:t>或体征的，为患艾滋病。</w:t>
            </w:r>
          </w:p>
        </w:tc>
      </w:tr>
      <w:tr>
        <w:trPr>
          <w:trHeight w:val="763" w:hRule="atLeast"/>
        </w:trPr>
        <w:tc>
          <w:tcPr>
            <w:tcW w:w="1046" w:type="dxa"/>
          </w:tcPr>
          <w:p>
            <w:pPr>
              <w:pStyle w:val="TableParagraph"/>
              <w:spacing w:before="44"/>
              <w:ind w:left="200"/>
              <w:rPr>
                <w:sz w:val="21"/>
              </w:rPr>
            </w:pPr>
            <w:r>
              <w:rPr>
                <w:sz w:val="21"/>
              </w:rPr>
              <w:t>8.10</w:t>
            </w:r>
          </w:p>
        </w:tc>
        <w:tc>
          <w:tcPr>
            <w:tcW w:w="1795" w:type="dxa"/>
          </w:tcPr>
          <w:p>
            <w:pPr>
              <w:pStyle w:val="TableParagraph"/>
              <w:spacing w:before="44"/>
              <w:ind w:left="423"/>
              <w:rPr>
                <w:i/>
                <w:sz w:val="21"/>
              </w:rPr>
            </w:pPr>
            <w:r>
              <w:rPr>
                <w:i/>
                <w:sz w:val="21"/>
              </w:rPr>
              <w:t>遗传性疾病</w:t>
            </w:r>
          </w:p>
        </w:tc>
        <w:tc>
          <w:tcPr>
            <w:tcW w:w="6847" w:type="dxa"/>
          </w:tcPr>
          <w:p>
            <w:pPr>
              <w:pStyle w:val="TableParagraph"/>
              <w:spacing w:line="292" w:lineRule="auto" w:before="44"/>
              <w:ind w:right="225"/>
              <w:rPr>
                <w:i/>
                <w:sz w:val="21"/>
              </w:rPr>
            </w:pPr>
            <w:r>
              <w:rPr>
                <w:i/>
                <w:sz w:val="21"/>
              </w:rPr>
              <w:t>指生殖细胞或受精卵的遗传物质（染色体和基因）发生突变或畸变所引起的疾病，通常具有由亲代传至后代的垂直传递的特征。</w:t>
            </w:r>
          </w:p>
        </w:tc>
      </w:tr>
      <w:tr>
        <w:trPr>
          <w:trHeight w:val="991" w:hRule="atLeast"/>
        </w:trPr>
        <w:tc>
          <w:tcPr>
            <w:tcW w:w="1046" w:type="dxa"/>
          </w:tcPr>
          <w:p>
            <w:pPr>
              <w:pStyle w:val="TableParagraph"/>
              <w:spacing w:before="44"/>
              <w:ind w:left="200"/>
              <w:rPr>
                <w:sz w:val="21"/>
              </w:rPr>
            </w:pPr>
            <w:r>
              <w:rPr>
                <w:sz w:val="21"/>
              </w:rPr>
              <w:t>8.11</w:t>
            </w:r>
          </w:p>
        </w:tc>
        <w:tc>
          <w:tcPr>
            <w:tcW w:w="1795" w:type="dxa"/>
          </w:tcPr>
          <w:p>
            <w:pPr>
              <w:pStyle w:val="TableParagraph"/>
              <w:spacing w:line="336" w:lineRule="exact" w:before="20"/>
              <w:ind w:left="423" w:right="104"/>
              <w:jc w:val="both"/>
              <w:rPr>
                <w:i/>
                <w:sz w:val="21"/>
              </w:rPr>
            </w:pPr>
            <w:r>
              <w:rPr>
                <w:i/>
                <w:sz w:val="21"/>
              </w:rPr>
              <w:t>先天性畸形、变形及染色体异常</w:t>
            </w:r>
          </w:p>
        </w:tc>
        <w:tc>
          <w:tcPr>
            <w:tcW w:w="6847" w:type="dxa"/>
          </w:tcPr>
          <w:p>
            <w:pPr>
              <w:pStyle w:val="TableParagraph"/>
              <w:spacing w:line="336" w:lineRule="exact" w:before="20"/>
              <w:ind w:right="299"/>
              <w:jc w:val="both"/>
              <w:rPr>
                <w:i/>
                <w:sz w:val="21"/>
              </w:rPr>
            </w:pPr>
            <w:r>
              <w:rPr>
                <w:i/>
                <w:spacing w:val="-7"/>
                <w:sz w:val="21"/>
              </w:rPr>
              <w:t>指被保险人出生时就具有的畸形、变形或染色体异常。先天性畸形、变</w:t>
            </w:r>
            <w:r>
              <w:rPr>
                <w:i/>
                <w:spacing w:val="-10"/>
                <w:sz w:val="21"/>
              </w:rPr>
              <w:t>形和染色体异常依照世界卫生组织《疾病和有关健康问题的国际统计分</w:t>
            </w:r>
            <w:r>
              <w:rPr>
                <w:i/>
                <w:spacing w:val="-54"/>
                <w:sz w:val="21"/>
              </w:rPr>
              <w:t>类》</w:t>
            </w:r>
            <w:r>
              <w:rPr>
                <w:i/>
                <w:spacing w:val="-1"/>
                <w:sz w:val="21"/>
              </w:rPr>
              <w:t>（</w:t>
            </w:r>
            <w:r>
              <w:rPr>
                <w:spacing w:val="-1"/>
                <w:sz w:val="21"/>
              </w:rPr>
              <w:t>ICD-10</w:t>
            </w:r>
            <w:r>
              <w:rPr>
                <w:i/>
                <w:spacing w:val="-1"/>
                <w:sz w:val="21"/>
              </w:rPr>
              <w:t>）</w:t>
            </w:r>
            <w:r>
              <w:rPr>
                <w:i/>
                <w:spacing w:val="-2"/>
                <w:sz w:val="21"/>
              </w:rPr>
              <w:t>确定。</w:t>
            </w:r>
          </w:p>
        </w:tc>
      </w:tr>
    </w:tbl>
    <w:p>
      <w:pPr>
        <w:spacing w:after="0" w:line="336" w:lineRule="exact"/>
        <w:jc w:val="both"/>
        <w:rPr>
          <w:sz w:val="21"/>
        </w:rPr>
        <w:sectPr>
          <w:pgSz w:w="11910" w:h="16840"/>
          <w:pgMar w:header="0" w:footer="921" w:top="1580" w:bottom="1120" w:left="106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7"/>
        <w:gridCol w:w="1795"/>
        <w:gridCol w:w="6823"/>
      </w:tblGrid>
      <w:tr>
        <w:trPr>
          <w:trHeight w:val="1559" w:hRule="atLeast"/>
        </w:trPr>
        <w:tc>
          <w:tcPr>
            <w:tcW w:w="1047" w:type="dxa"/>
          </w:tcPr>
          <w:p>
            <w:pPr>
              <w:pStyle w:val="TableParagraph"/>
              <w:spacing w:line="220" w:lineRule="exact" w:before="0"/>
              <w:ind w:left="200"/>
              <w:rPr>
                <w:sz w:val="21"/>
              </w:rPr>
            </w:pPr>
            <w:r>
              <w:rPr>
                <w:sz w:val="21"/>
              </w:rPr>
              <w:t>8.12</w:t>
            </w:r>
          </w:p>
        </w:tc>
        <w:tc>
          <w:tcPr>
            <w:tcW w:w="1795" w:type="dxa"/>
          </w:tcPr>
          <w:p>
            <w:pPr>
              <w:pStyle w:val="TableParagraph"/>
              <w:spacing w:line="220" w:lineRule="exact" w:before="0"/>
              <w:ind w:left="422"/>
              <w:rPr>
                <w:i/>
                <w:sz w:val="21"/>
              </w:rPr>
            </w:pPr>
            <w:r>
              <w:rPr>
                <w:i/>
                <w:sz w:val="21"/>
              </w:rPr>
              <w:t>医院</w:t>
            </w:r>
          </w:p>
        </w:tc>
        <w:tc>
          <w:tcPr>
            <w:tcW w:w="6823" w:type="dxa"/>
          </w:tcPr>
          <w:p>
            <w:pPr>
              <w:pStyle w:val="TableParagraph"/>
              <w:spacing w:line="208" w:lineRule="exact" w:before="0"/>
              <w:ind w:left="106"/>
              <w:rPr>
                <w:i/>
                <w:sz w:val="21"/>
              </w:rPr>
            </w:pPr>
            <w:r>
              <w:rPr>
                <w:i/>
                <w:sz w:val="21"/>
              </w:rPr>
              <w:t>指经中华人民共和国卫生部门评审确定的二级或二级以上的公立医院，</w:t>
            </w:r>
          </w:p>
          <w:p>
            <w:pPr>
              <w:pStyle w:val="TableParagraph"/>
              <w:spacing w:line="273" w:lineRule="auto" w:before="37"/>
              <w:ind w:left="106" w:right="279"/>
              <w:jc w:val="both"/>
              <w:rPr>
                <w:i/>
                <w:sz w:val="21"/>
              </w:rPr>
            </w:pPr>
            <w:r>
              <w:rPr>
                <w:i/>
                <w:spacing w:val="-9"/>
                <w:sz w:val="21"/>
              </w:rPr>
              <w:t>但不包括精神病院及专供康复、休养、戒毒、戒酒、护理、养老等非以</w:t>
            </w:r>
            <w:r>
              <w:rPr>
                <w:i/>
                <w:spacing w:val="-10"/>
                <w:sz w:val="21"/>
              </w:rPr>
              <w:t>直接诊治病人为目的的医疗机构。该医院必须具有符合国家有关医院管</w:t>
            </w:r>
            <w:r>
              <w:rPr>
                <w:i/>
                <w:spacing w:val="-12"/>
                <w:sz w:val="21"/>
              </w:rPr>
              <w:t>理规则设置标准的医疗设备，且全天二十四小时有合格医师及护士驻院</w:t>
            </w:r>
            <w:r>
              <w:rPr>
                <w:i/>
                <w:spacing w:val="-6"/>
                <w:sz w:val="21"/>
              </w:rPr>
              <w:t>提供医疗及护理服务。</w:t>
            </w:r>
          </w:p>
        </w:tc>
      </w:tr>
      <w:tr>
        <w:trPr>
          <w:trHeight w:val="1430" w:hRule="atLeast"/>
        </w:trPr>
        <w:tc>
          <w:tcPr>
            <w:tcW w:w="1047" w:type="dxa"/>
          </w:tcPr>
          <w:p>
            <w:pPr>
              <w:pStyle w:val="TableParagraph"/>
              <w:spacing w:before="34"/>
              <w:ind w:left="200"/>
              <w:rPr>
                <w:sz w:val="21"/>
              </w:rPr>
            </w:pPr>
            <w:r>
              <w:rPr>
                <w:sz w:val="21"/>
              </w:rPr>
              <w:t>8.13</w:t>
            </w:r>
          </w:p>
        </w:tc>
        <w:tc>
          <w:tcPr>
            <w:tcW w:w="1795" w:type="dxa"/>
          </w:tcPr>
          <w:p>
            <w:pPr>
              <w:pStyle w:val="TableParagraph"/>
              <w:spacing w:before="34"/>
              <w:ind w:left="422"/>
              <w:rPr>
                <w:i/>
                <w:sz w:val="21"/>
              </w:rPr>
            </w:pPr>
            <w:r>
              <w:rPr>
                <w:i/>
                <w:sz w:val="21"/>
              </w:rPr>
              <w:t>周岁</w:t>
            </w:r>
          </w:p>
        </w:tc>
        <w:tc>
          <w:tcPr>
            <w:tcW w:w="6823" w:type="dxa"/>
          </w:tcPr>
          <w:p>
            <w:pPr>
              <w:pStyle w:val="TableParagraph"/>
              <w:spacing w:line="292" w:lineRule="auto" w:before="34"/>
              <w:ind w:left="106" w:right="279"/>
              <w:rPr>
                <w:sz w:val="21"/>
              </w:rPr>
            </w:pPr>
            <w:r>
              <w:rPr>
                <w:i/>
                <w:spacing w:val="-7"/>
                <w:sz w:val="21"/>
              </w:rPr>
              <w:t>以法定身份证明文件中记载的出生日期为计算基础，按出生后所经过的</w:t>
            </w:r>
            <w:r>
              <w:rPr>
                <w:i/>
                <w:spacing w:val="-10"/>
                <w:sz w:val="21"/>
              </w:rPr>
              <w:t>整年计算，不满一整年的部分不计。例如，出生日期为 </w:t>
            </w:r>
            <w:r>
              <w:rPr>
                <w:sz w:val="21"/>
              </w:rPr>
              <w:t>2007 </w:t>
            </w:r>
            <w:r>
              <w:rPr>
                <w:i/>
                <w:spacing w:val="-24"/>
                <w:sz w:val="21"/>
              </w:rPr>
              <w:t>年 </w:t>
            </w:r>
            <w:r>
              <w:rPr>
                <w:sz w:val="21"/>
              </w:rPr>
              <w:t>11 </w:t>
            </w:r>
            <w:r>
              <w:rPr>
                <w:i/>
                <w:spacing w:val="-24"/>
                <w:sz w:val="21"/>
              </w:rPr>
              <w:t>月 </w:t>
            </w:r>
            <w:r>
              <w:rPr>
                <w:sz w:val="21"/>
              </w:rPr>
              <w:t>1</w:t>
            </w:r>
          </w:p>
          <w:p>
            <w:pPr>
              <w:pStyle w:val="TableParagraph"/>
              <w:spacing w:before="17"/>
              <w:ind w:left="106"/>
              <w:rPr>
                <w:sz w:val="21"/>
              </w:rPr>
            </w:pPr>
            <w:r>
              <w:rPr>
                <w:i/>
                <w:spacing w:val="-2"/>
                <w:sz w:val="21"/>
              </w:rPr>
              <w:t>日，</w:t>
            </w:r>
            <w:r>
              <w:rPr>
                <w:spacing w:val="-4"/>
                <w:sz w:val="21"/>
              </w:rPr>
              <w:t>2007 </w:t>
            </w:r>
            <w:r>
              <w:rPr>
                <w:i/>
                <w:spacing w:val="-26"/>
                <w:sz w:val="21"/>
              </w:rPr>
              <w:t>年 </w:t>
            </w:r>
            <w:r>
              <w:rPr>
                <w:sz w:val="21"/>
              </w:rPr>
              <w:t>11</w:t>
            </w:r>
            <w:r>
              <w:rPr>
                <w:spacing w:val="-51"/>
                <w:sz w:val="21"/>
              </w:rPr>
              <w:t> </w:t>
            </w:r>
            <w:r>
              <w:rPr>
                <w:i/>
                <w:spacing w:val="-27"/>
                <w:sz w:val="21"/>
              </w:rPr>
              <w:t>月 </w:t>
            </w:r>
            <w:r>
              <w:rPr>
                <w:sz w:val="21"/>
              </w:rPr>
              <w:t>1</w:t>
            </w:r>
            <w:r>
              <w:rPr>
                <w:spacing w:val="-51"/>
                <w:sz w:val="21"/>
              </w:rPr>
              <w:t> </w:t>
            </w:r>
            <w:r>
              <w:rPr>
                <w:i/>
                <w:spacing w:val="-19"/>
                <w:sz w:val="21"/>
              </w:rPr>
              <w:t>日至 </w:t>
            </w:r>
            <w:r>
              <w:rPr>
                <w:sz w:val="21"/>
              </w:rPr>
              <w:t>2008</w:t>
            </w:r>
            <w:r>
              <w:rPr>
                <w:spacing w:val="-51"/>
                <w:sz w:val="21"/>
              </w:rPr>
              <w:t> </w:t>
            </w:r>
            <w:r>
              <w:rPr>
                <w:i/>
                <w:spacing w:val="-27"/>
                <w:sz w:val="21"/>
              </w:rPr>
              <w:t>年 </w:t>
            </w:r>
            <w:r>
              <w:rPr>
                <w:sz w:val="21"/>
              </w:rPr>
              <w:t>10</w:t>
            </w:r>
            <w:r>
              <w:rPr>
                <w:spacing w:val="-54"/>
                <w:sz w:val="21"/>
              </w:rPr>
              <w:t> </w:t>
            </w:r>
            <w:r>
              <w:rPr>
                <w:i/>
                <w:spacing w:val="-26"/>
                <w:sz w:val="21"/>
              </w:rPr>
              <w:t>月 </w:t>
            </w:r>
            <w:r>
              <w:rPr>
                <w:sz w:val="21"/>
              </w:rPr>
              <w:t>31</w:t>
            </w:r>
            <w:r>
              <w:rPr>
                <w:spacing w:val="-54"/>
                <w:sz w:val="21"/>
              </w:rPr>
              <w:t> </w:t>
            </w:r>
            <w:r>
              <w:rPr>
                <w:i/>
                <w:spacing w:val="-13"/>
                <w:sz w:val="21"/>
              </w:rPr>
              <w:t>日期间为 </w:t>
            </w:r>
            <w:r>
              <w:rPr>
                <w:sz w:val="21"/>
              </w:rPr>
              <w:t>0</w:t>
            </w:r>
            <w:r>
              <w:rPr>
                <w:spacing w:val="-51"/>
                <w:sz w:val="21"/>
              </w:rPr>
              <w:t> </w:t>
            </w:r>
            <w:r>
              <w:rPr>
                <w:i/>
                <w:spacing w:val="-2"/>
                <w:sz w:val="21"/>
              </w:rPr>
              <w:t>周岁，</w:t>
            </w:r>
            <w:r>
              <w:rPr>
                <w:spacing w:val="-4"/>
                <w:sz w:val="21"/>
              </w:rPr>
              <w:t>2008 </w:t>
            </w:r>
            <w:r>
              <w:rPr>
                <w:i/>
                <w:spacing w:val="-26"/>
                <w:sz w:val="21"/>
              </w:rPr>
              <w:t>年 </w:t>
            </w:r>
            <w:r>
              <w:rPr>
                <w:spacing w:val="-3"/>
                <w:sz w:val="21"/>
              </w:rPr>
              <w:t>11</w:t>
            </w:r>
          </w:p>
          <w:p>
            <w:pPr>
              <w:pStyle w:val="TableParagraph"/>
              <w:spacing w:before="61"/>
              <w:ind w:left="106"/>
              <w:rPr>
                <w:i/>
                <w:sz w:val="21"/>
              </w:rPr>
            </w:pPr>
            <w:r>
              <w:rPr>
                <w:i/>
                <w:spacing w:val="-26"/>
                <w:sz w:val="21"/>
              </w:rPr>
              <w:t>月 </w:t>
            </w:r>
            <w:r>
              <w:rPr>
                <w:sz w:val="21"/>
              </w:rPr>
              <w:t>1</w:t>
            </w:r>
            <w:r>
              <w:rPr>
                <w:spacing w:val="-52"/>
                <w:sz w:val="21"/>
              </w:rPr>
              <w:t> </w:t>
            </w:r>
            <w:r>
              <w:rPr>
                <w:i/>
                <w:spacing w:val="-19"/>
                <w:sz w:val="21"/>
              </w:rPr>
              <w:t>日至 </w:t>
            </w:r>
            <w:r>
              <w:rPr>
                <w:sz w:val="21"/>
              </w:rPr>
              <w:t>2009</w:t>
            </w:r>
            <w:r>
              <w:rPr>
                <w:spacing w:val="-54"/>
                <w:sz w:val="21"/>
              </w:rPr>
              <w:t> </w:t>
            </w:r>
            <w:r>
              <w:rPr>
                <w:i/>
                <w:spacing w:val="-26"/>
                <w:sz w:val="21"/>
              </w:rPr>
              <w:t>年 </w:t>
            </w:r>
            <w:r>
              <w:rPr>
                <w:sz w:val="21"/>
              </w:rPr>
              <w:t>10</w:t>
            </w:r>
            <w:r>
              <w:rPr>
                <w:spacing w:val="-54"/>
                <w:sz w:val="21"/>
              </w:rPr>
              <w:t> </w:t>
            </w:r>
            <w:r>
              <w:rPr>
                <w:i/>
                <w:spacing w:val="-26"/>
                <w:sz w:val="21"/>
              </w:rPr>
              <w:t>月 </w:t>
            </w:r>
            <w:r>
              <w:rPr>
                <w:sz w:val="21"/>
              </w:rPr>
              <w:t>31</w:t>
            </w:r>
            <w:r>
              <w:rPr>
                <w:spacing w:val="-54"/>
                <w:sz w:val="21"/>
              </w:rPr>
              <w:t> </w:t>
            </w:r>
            <w:r>
              <w:rPr>
                <w:i/>
                <w:spacing w:val="-12"/>
                <w:sz w:val="21"/>
              </w:rPr>
              <w:t>日期间为 </w:t>
            </w:r>
            <w:r>
              <w:rPr>
                <w:sz w:val="21"/>
              </w:rPr>
              <w:t>1</w:t>
            </w:r>
            <w:r>
              <w:rPr>
                <w:spacing w:val="-54"/>
                <w:sz w:val="21"/>
              </w:rPr>
              <w:t> </w:t>
            </w:r>
            <w:r>
              <w:rPr>
                <w:i/>
                <w:spacing w:val="-3"/>
                <w:sz w:val="21"/>
              </w:rPr>
              <w:t>周岁，依此类推。</w:t>
            </w:r>
          </w:p>
        </w:tc>
      </w:tr>
      <w:tr>
        <w:trPr>
          <w:trHeight w:val="2445" w:hRule="atLeast"/>
        </w:trPr>
        <w:tc>
          <w:tcPr>
            <w:tcW w:w="1047" w:type="dxa"/>
          </w:tcPr>
          <w:p>
            <w:pPr>
              <w:pStyle w:val="TableParagraph"/>
              <w:spacing w:before="41"/>
              <w:ind w:left="201"/>
              <w:rPr>
                <w:sz w:val="21"/>
              </w:rPr>
            </w:pPr>
            <w:r>
              <w:rPr>
                <w:sz w:val="21"/>
              </w:rPr>
              <w:t>8.14</w:t>
            </w:r>
          </w:p>
        </w:tc>
        <w:tc>
          <w:tcPr>
            <w:tcW w:w="1795" w:type="dxa"/>
          </w:tcPr>
          <w:p>
            <w:pPr>
              <w:pStyle w:val="TableParagraph"/>
              <w:spacing w:before="41"/>
              <w:ind w:left="424"/>
              <w:rPr>
                <w:i/>
                <w:sz w:val="21"/>
              </w:rPr>
            </w:pPr>
            <w:r>
              <w:rPr>
                <w:i/>
                <w:sz w:val="21"/>
              </w:rPr>
              <w:t>专科医生</w:t>
            </w:r>
          </w:p>
        </w:tc>
        <w:tc>
          <w:tcPr>
            <w:tcW w:w="6823" w:type="dxa"/>
          </w:tcPr>
          <w:p>
            <w:pPr>
              <w:pStyle w:val="TableParagraph"/>
              <w:spacing w:before="41"/>
              <w:rPr>
                <w:i/>
                <w:sz w:val="21"/>
              </w:rPr>
            </w:pPr>
            <w:r>
              <w:rPr>
                <w:i/>
                <w:sz w:val="21"/>
              </w:rPr>
              <w:t>指同时满足下列四项资格条件的医生或医师：</w:t>
            </w:r>
          </w:p>
          <w:p>
            <w:pPr>
              <w:pStyle w:val="TableParagraph"/>
              <w:spacing w:before="61"/>
              <w:rPr>
                <w:i/>
                <w:sz w:val="21"/>
              </w:rPr>
            </w:pPr>
            <w:r>
              <w:rPr>
                <w:i/>
                <w:sz w:val="21"/>
              </w:rPr>
              <w:t>一、 具有有效的中华人民共和国《医师资格证书》；</w:t>
            </w:r>
          </w:p>
          <w:p>
            <w:pPr>
              <w:pStyle w:val="TableParagraph"/>
              <w:spacing w:line="295" w:lineRule="auto" w:before="61"/>
              <w:ind w:right="276"/>
              <w:rPr>
                <w:i/>
                <w:sz w:val="21"/>
              </w:rPr>
            </w:pPr>
            <w:r>
              <w:rPr>
                <w:i/>
                <w:sz w:val="21"/>
              </w:rPr>
              <w:t>二、 具有有效的中华人民共和国《医师执业证书》，并按期到相关部门登记注册；</w:t>
            </w:r>
          </w:p>
          <w:p>
            <w:pPr>
              <w:pStyle w:val="TableParagraph"/>
              <w:spacing w:line="292" w:lineRule="auto" w:before="12"/>
              <w:ind w:right="277"/>
              <w:rPr>
                <w:i/>
                <w:sz w:val="21"/>
              </w:rPr>
            </w:pPr>
            <w:r>
              <w:rPr>
                <w:i/>
                <w:spacing w:val="-10"/>
                <w:sz w:val="21"/>
              </w:rPr>
              <w:t>三、具有有效的中华人民共和国主治医师或主治医师以上职称的《医师</w:t>
            </w:r>
            <w:r>
              <w:rPr>
                <w:i/>
                <w:spacing w:val="-5"/>
                <w:sz w:val="21"/>
              </w:rPr>
              <w:t>职称证书》；</w:t>
            </w:r>
          </w:p>
          <w:p>
            <w:pPr>
              <w:pStyle w:val="TableParagraph"/>
              <w:spacing w:before="14"/>
              <w:rPr>
                <w:i/>
                <w:sz w:val="21"/>
              </w:rPr>
            </w:pPr>
            <w:r>
              <w:rPr>
                <w:i/>
                <w:sz w:val="21"/>
              </w:rPr>
              <w:t>四、在二级或二级以上医院的相应科室从事临床工作三年以上。</w:t>
            </w:r>
          </w:p>
        </w:tc>
      </w:tr>
      <w:tr>
        <w:trPr>
          <w:trHeight w:val="764" w:hRule="atLeast"/>
        </w:trPr>
        <w:tc>
          <w:tcPr>
            <w:tcW w:w="1047" w:type="dxa"/>
          </w:tcPr>
          <w:p>
            <w:pPr>
              <w:pStyle w:val="TableParagraph"/>
              <w:spacing w:before="41"/>
              <w:ind w:left="201"/>
              <w:rPr>
                <w:sz w:val="21"/>
              </w:rPr>
            </w:pPr>
            <w:r>
              <w:rPr>
                <w:sz w:val="21"/>
              </w:rPr>
              <w:t>8.15</w:t>
            </w:r>
          </w:p>
        </w:tc>
        <w:tc>
          <w:tcPr>
            <w:tcW w:w="1795" w:type="dxa"/>
          </w:tcPr>
          <w:p>
            <w:pPr>
              <w:pStyle w:val="TableParagraph"/>
              <w:spacing w:line="295" w:lineRule="auto" w:before="41"/>
              <w:ind w:left="424" w:right="103"/>
              <w:rPr>
                <w:i/>
                <w:sz w:val="21"/>
              </w:rPr>
            </w:pPr>
            <w:r>
              <w:rPr>
                <w:i/>
                <w:sz w:val="21"/>
              </w:rPr>
              <w:t>肢体机能完全丧失</w:t>
            </w:r>
          </w:p>
        </w:tc>
        <w:tc>
          <w:tcPr>
            <w:tcW w:w="6823" w:type="dxa"/>
          </w:tcPr>
          <w:p>
            <w:pPr>
              <w:pStyle w:val="TableParagraph"/>
              <w:spacing w:line="295" w:lineRule="auto" w:before="41"/>
              <w:ind w:right="277"/>
              <w:rPr>
                <w:i/>
                <w:sz w:val="21"/>
              </w:rPr>
            </w:pPr>
            <w:r>
              <w:rPr>
                <w:i/>
                <w:spacing w:val="-8"/>
                <w:sz w:val="21"/>
              </w:rPr>
              <w:t>指肢体的三大关节中的两大关节僵硬，或不能随意识活动。肢体是指包</w:t>
            </w:r>
            <w:r>
              <w:rPr>
                <w:i/>
                <w:spacing w:val="-5"/>
                <w:sz w:val="21"/>
              </w:rPr>
              <w:t>括肩关节的整个上肢或包括髋关节的整个下肢。</w:t>
            </w:r>
          </w:p>
        </w:tc>
      </w:tr>
      <w:tr>
        <w:trPr>
          <w:trHeight w:val="1772" w:hRule="atLeast"/>
        </w:trPr>
        <w:tc>
          <w:tcPr>
            <w:tcW w:w="1047" w:type="dxa"/>
          </w:tcPr>
          <w:p>
            <w:pPr>
              <w:pStyle w:val="TableParagraph"/>
              <w:spacing w:before="40"/>
              <w:ind w:left="201"/>
              <w:rPr>
                <w:sz w:val="21"/>
              </w:rPr>
            </w:pPr>
            <w:r>
              <w:rPr>
                <w:sz w:val="21"/>
              </w:rPr>
              <w:t>8.16</w:t>
            </w:r>
          </w:p>
        </w:tc>
        <w:tc>
          <w:tcPr>
            <w:tcW w:w="1795" w:type="dxa"/>
          </w:tcPr>
          <w:p>
            <w:pPr>
              <w:pStyle w:val="TableParagraph"/>
              <w:spacing w:line="295" w:lineRule="auto" w:before="40"/>
              <w:ind w:left="424" w:right="103"/>
              <w:jc w:val="both"/>
              <w:rPr>
                <w:i/>
                <w:sz w:val="21"/>
              </w:rPr>
            </w:pPr>
            <w:r>
              <w:rPr>
                <w:i/>
                <w:sz w:val="21"/>
              </w:rPr>
              <w:t>语言能力或咀嚼吞咽能力完全丧失</w:t>
            </w:r>
          </w:p>
        </w:tc>
        <w:tc>
          <w:tcPr>
            <w:tcW w:w="6823" w:type="dxa"/>
          </w:tcPr>
          <w:p>
            <w:pPr>
              <w:pStyle w:val="TableParagraph"/>
              <w:spacing w:line="295" w:lineRule="auto" w:before="40"/>
              <w:ind w:right="275"/>
              <w:jc w:val="both"/>
              <w:rPr>
                <w:i/>
                <w:sz w:val="21"/>
              </w:rPr>
            </w:pPr>
            <w:r>
              <w:rPr>
                <w:i/>
                <w:spacing w:val="-6"/>
                <w:sz w:val="21"/>
              </w:rPr>
              <w:t>语言能力完全丧失，指无法发出四种语音</w:t>
            </w:r>
            <w:r>
              <w:rPr>
                <w:i/>
                <w:spacing w:val="-3"/>
                <w:sz w:val="21"/>
              </w:rPr>
              <w:t>（</w:t>
            </w:r>
            <w:r>
              <w:rPr>
                <w:i/>
                <w:spacing w:val="-8"/>
                <w:sz w:val="21"/>
              </w:rPr>
              <w:t>包括口唇音、齿舌音、口盖</w:t>
            </w:r>
            <w:r>
              <w:rPr>
                <w:i/>
                <w:spacing w:val="-2"/>
                <w:sz w:val="21"/>
              </w:rPr>
              <w:t>音和喉头音</w:t>
            </w:r>
            <w:r>
              <w:rPr>
                <w:i/>
                <w:spacing w:val="-27"/>
                <w:sz w:val="21"/>
              </w:rPr>
              <w:t>）</w:t>
            </w:r>
            <w:r>
              <w:rPr>
                <w:i/>
                <w:spacing w:val="-9"/>
                <w:sz w:val="21"/>
              </w:rPr>
              <w:t>中的任何三种、或声带全部切除，或因大脑语言中枢受伤</w:t>
            </w:r>
            <w:r>
              <w:rPr>
                <w:i/>
                <w:spacing w:val="-5"/>
                <w:sz w:val="21"/>
              </w:rPr>
              <w:t>害而患失语症。</w:t>
            </w:r>
          </w:p>
          <w:p>
            <w:pPr>
              <w:pStyle w:val="TableParagraph"/>
              <w:spacing w:line="292" w:lineRule="auto" w:before="13"/>
              <w:ind w:right="198"/>
              <w:jc w:val="both"/>
              <w:rPr>
                <w:i/>
                <w:sz w:val="21"/>
              </w:rPr>
            </w:pPr>
            <w:r>
              <w:rPr>
                <w:i/>
                <w:sz w:val="21"/>
              </w:rPr>
              <w:t>咀嚼吞咽能力完全丧失，指因牙齿以外的原因导致器质障碍或机能障碍，以致不能作咀嚼吞咽运动，除流质食物外不能摄取或吞咽的状态。</w:t>
            </w:r>
          </w:p>
        </w:tc>
      </w:tr>
      <w:tr>
        <w:trPr>
          <w:trHeight w:val="2111" w:hRule="atLeast"/>
        </w:trPr>
        <w:tc>
          <w:tcPr>
            <w:tcW w:w="1047" w:type="dxa"/>
          </w:tcPr>
          <w:p>
            <w:pPr>
              <w:pStyle w:val="TableParagraph"/>
              <w:spacing w:before="41"/>
              <w:ind w:left="201"/>
              <w:rPr>
                <w:sz w:val="21"/>
              </w:rPr>
            </w:pPr>
            <w:r>
              <w:rPr>
                <w:sz w:val="21"/>
              </w:rPr>
              <w:t>8.17</w:t>
            </w:r>
          </w:p>
        </w:tc>
        <w:tc>
          <w:tcPr>
            <w:tcW w:w="1795" w:type="dxa"/>
          </w:tcPr>
          <w:p>
            <w:pPr>
              <w:pStyle w:val="TableParagraph"/>
              <w:spacing w:line="295" w:lineRule="auto" w:before="41"/>
              <w:ind w:left="424" w:right="103"/>
              <w:rPr>
                <w:i/>
                <w:sz w:val="21"/>
              </w:rPr>
            </w:pPr>
            <w:r>
              <w:rPr>
                <w:i/>
                <w:sz w:val="21"/>
              </w:rPr>
              <w:t>六项基本日常生活活动</w:t>
            </w:r>
          </w:p>
        </w:tc>
        <w:tc>
          <w:tcPr>
            <w:tcW w:w="6823" w:type="dxa"/>
          </w:tcPr>
          <w:p>
            <w:pPr>
              <w:pStyle w:val="TableParagraph"/>
              <w:spacing w:before="41"/>
              <w:rPr>
                <w:i/>
                <w:sz w:val="21"/>
              </w:rPr>
            </w:pPr>
            <w:r>
              <w:rPr>
                <w:i/>
                <w:sz w:val="21"/>
              </w:rPr>
              <w:t>一、穿衣：自己能够穿衣及脱衣；</w:t>
            </w:r>
          </w:p>
          <w:p>
            <w:pPr>
              <w:pStyle w:val="TableParagraph"/>
              <w:spacing w:line="292" w:lineRule="auto" w:before="63"/>
              <w:ind w:right="2718"/>
              <w:rPr>
                <w:i/>
                <w:sz w:val="21"/>
              </w:rPr>
            </w:pPr>
            <w:r>
              <w:rPr>
                <w:i/>
                <w:sz w:val="21"/>
              </w:rPr>
              <w:t>二、移动：自己从一个房间到另一个房间； 三、行动：自己上下床或上下轮椅；</w:t>
            </w:r>
          </w:p>
          <w:p>
            <w:pPr>
              <w:pStyle w:val="TableParagraph"/>
              <w:spacing w:before="14"/>
              <w:rPr>
                <w:i/>
                <w:sz w:val="21"/>
              </w:rPr>
            </w:pPr>
            <w:r>
              <w:rPr>
                <w:i/>
                <w:sz w:val="21"/>
              </w:rPr>
              <w:t>四、如厕：自己控制进行大小便；</w:t>
            </w:r>
          </w:p>
          <w:p>
            <w:pPr>
              <w:pStyle w:val="TableParagraph"/>
              <w:spacing w:line="295" w:lineRule="auto" w:before="60"/>
              <w:ind w:right="1456"/>
              <w:rPr>
                <w:i/>
                <w:sz w:val="21"/>
              </w:rPr>
            </w:pPr>
            <w:r>
              <w:rPr>
                <w:i/>
                <w:sz w:val="21"/>
              </w:rPr>
              <w:t>五、进食：自己从已准备好的碗或碟中取食物放入口中； 六、洗澡：自己进行淋浴或盆浴。</w:t>
            </w:r>
          </w:p>
        </w:tc>
      </w:tr>
      <w:tr>
        <w:trPr>
          <w:trHeight w:val="655" w:hRule="atLeast"/>
        </w:trPr>
        <w:tc>
          <w:tcPr>
            <w:tcW w:w="1047" w:type="dxa"/>
          </w:tcPr>
          <w:p>
            <w:pPr>
              <w:pStyle w:val="TableParagraph"/>
              <w:spacing w:before="41"/>
              <w:ind w:left="201"/>
              <w:rPr>
                <w:sz w:val="21"/>
              </w:rPr>
            </w:pPr>
            <w:r>
              <w:rPr>
                <w:sz w:val="21"/>
              </w:rPr>
              <w:t>8.18</w:t>
            </w:r>
          </w:p>
        </w:tc>
        <w:tc>
          <w:tcPr>
            <w:tcW w:w="1795" w:type="dxa"/>
          </w:tcPr>
          <w:p>
            <w:pPr>
              <w:pStyle w:val="TableParagraph"/>
              <w:spacing w:before="41"/>
              <w:ind w:left="424"/>
              <w:rPr>
                <w:i/>
                <w:sz w:val="21"/>
              </w:rPr>
            </w:pPr>
            <w:r>
              <w:rPr>
                <w:i/>
                <w:sz w:val="21"/>
              </w:rPr>
              <w:t>永久不可逆</w:t>
            </w:r>
          </w:p>
        </w:tc>
        <w:tc>
          <w:tcPr>
            <w:tcW w:w="6823" w:type="dxa"/>
          </w:tcPr>
          <w:p>
            <w:pPr>
              <w:pStyle w:val="TableParagraph"/>
              <w:spacing w:line="336" w:lineRule="exact" w:before="17"/>
              <w:ind w:left="108" w:right="278"/>
              <w:rPr>
                <w:i/>
                <w:sz w:val="21"/>
              </w:rPr>
            </w:pPr>
            <w:r>
              <w:rPr>
                <w:i/>
                <w:sz w:val="21"/>
              </w:rPr>
              <w:t>指自疾病确诊或意外伤害发生之日起，经过积极治疗</w:t>
            </w:r>
            <w:r>
              <w:rPr>
                <w:sz w:val="21"/>
              </w:rPr>
              <w:t>180</w:t>
            </w:r>
            <w:r>
              <w:rPr>
                <w:i/>
                <w:sz w:val="21"/>
              </w:rPr>
              <w:t>天后，仍无法通过现有医疗手段恢复。</w:t>
            </w:r>
          </w:p>
        </w:tc>
      </w:tr>
    </w:tbl>
    <w:p>
      <w:pPr>
        <w:spacing w:after="0" w:line="336" w:lineRule="exact"/>
        <w:rPr>
          <w:sz w:val="21"/>
        </w:rPr>
        <w:sectPr>
          <w:pgSz w:w="11910" w:h="16840"/>
          <w:pgMar w:header="0" w:footer="921" w:top="1500" w:bottom="1120" w:left="1060" w:right="960"/>
        </w:sectPr>
      </w:pPr>
    </w:p>
    <w:p>
      <w:pPr>
        <w:pStyle w:val="Heading1"/>
        <w:tabs>
          <w:tab w:pos="3991" w:val="left" w:leader="none"/>
        </w:tabs>
      </w:pPr>
      <w:r>
        <w:rPr/>
        <w:t>附表</w:t>
        <w:tab/>
        <w:t>年风险</w:t>
      </w:r>
      <w:r>
        <w:rPr>
          <w:spacing w:val="-3"/>
        </w:rPr>
        <w:t>保</w:t>
      </w:r>
      <w:r>
        <w:rPr/>
        <w:t>障费用表</w:t>
      </w:r>
    </w:p>
    <w:p>
      <w:pPr>
        <w:pStyle w:val="BodyText"/>
        <w:spacing w:before="36"/>
        <w:ind w:left="3760" w:right="3800"/>
        <w:jc w:val="center"/>
      </w:pPr>
      <w:r>
        <w:rPr/>
        <w:t>（每千元保险金额）</w:t>
      </w:r>
    </w:p>
    <w:p>
      <w:pPr>
        <w:pStyle w:val="BodyText"/>
        <w:spacing w:before="36" w:after="49"/>
        <w:ind w:right="1086"/>
        <w:jc w:val="right"/>
      </w:pPr>
      <w:r>
        <w:rPr/>
        <w:t>单位：人民币元</w:t>
      </w:r>
    </w:p>
    <w:tbl>
      <w:tblPr>
        <w:tblW w:w="0" w:type="auto"/>
        <w:jc w:val="left"/>
        <w:tblInd w:w="1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1200"/>
        <w:gridCol w:w="1200"/>
        <w:gridCol w:w="221"/>
        <w:gridCol w:w="1200"/>
        <w:gridCol w:w="1200"/>
        <w:gridCol w:w="1200"/>
      </w:tblGrid>
      <w:tr>
        <w:trPr>
          <w:trHeight w:val="623" w:hRule="atLeast"/>
        </w:trPr>
        <w:tc>
          <w:tcPr>
            <w:tcW w:w="1200" w:type="dxa"/>
          </w:tcPr>
          <w:p>
            <w:pPr>
              <w:pStyle w:val="TableParagraph"/>
              <w:spacing w:line="285" w:lineRule="auto" w:before="0"/>
              <w:ind w:left="196" w:right="185"/>
              <w:rPr>
                <w:b/>
                <w:sz w:val="20"/>
              </w:rPr>
            </w:pPr>
            <w:r>
              <w:rPr>
                <w:b/>
                <w:sz w:val="20"/>
              </w:rPr>
              <w:t>保险单年度初年龄</w:t>
            </w:r>
          </w:p>
        </w:tc>
        <w:tc>
          <w:tcPr>
            <w:tcW w:w="1200" w:type="dxa"/>
          </w:tcPr>
          <w:p>
            <w:pPr>
              <w:pStyle w:val="TableParagraph"/>
              <w:spacing w:before="148"/>
              <w:ind w:left="7"/>
              <w:jc w:val="center"/>
              <w:rPr>
                <w:b/>
                <w:sz w:val="20"/>
              </w:rPr>
            </w:pPr>
            <w:r>
              <w:rPr>
                <w:b/>
                <w:w w:val="99"/>
                <w:sz w:val="20"/>
              </w:rPr>
              <w:t>男</w:t>
            </w:r>
          </w:p>
        </w:tc>
        <w:tc>
          <w:tcPr>
            <w:tcW w:w="1200" w:type="dxa"/>
          </w:tcPr>
          <w:p>
            <w:pPr>
              <w:pStyle w:val="TableParagraph"/>
              <w:spacing w:before="148"/>
              <w:ind w:left="7"/>
              <w:jc w:val="center"/>
              <w:rPr>
                <w:b/>
                <w:sz w:val="20"/>
              </w:rPr>
            </w:pPr>
            <w:r>
              <w:rPr>
                <w:b/>
                <w:w w:val="99"/>
                <w:sz w:val="20"/>
              </w:rPr>
              <w:t>女</w:t>
            </w:r>
          </w:p>
        </w:tc>
        <w:tc>
          <w:tcPr>
            <w:tcW w:w="221" w:type="dxa"/>
            <w:vMerge w:val="restart"/>
            <w:tcBorders>
              <w:bottom w:val="nil"/>
            </w:tcBorders>
          </w:tcPr>
          <w:p>
            <w:pPr>
              <w:pStyle w:val="TableParagraph"/>
              <w:spacing w:before="0"/>
              <w:ind w:left="0"/>
              <w:rPr>
                <w:rFonts w:ascii="Times New Roman"/>
                <w:sz w:val="18"/>
              </w:rPr>
            </w:pPr>
          </w:p>
        </w:tc>
        <w:tc>
          <w:tcPr>
            <w:tcW w:w="1200" w:type="dxa"/>
          </w:tcPr>
          <w:p>
            <w:pPr>
              <w:pStyle w:val="TableParagraph"/>
              <w:spacing w:line="285" w:lineRule="auto" w:before="0"/>
              <w:ind w:left="198" w:right="182"/>
              <w:rPr>
                <w:b/>
                <w:sz w:val="20"/>
              </w:rPr>
            </w:pPr>
            <w:r>
              <w:rPr>
                <w:b/>
                <w:sz w:val="20"/>
              </w:rPr>
              <w:t>保险单年度初年龄</w:t>
            </w:r>
          </w:p>
        </w:tc>
        <w:tc>
          <w:tcPr>
            <w:tcW w:w="1200" w:type="dxa"/>
          </w:tcPr>
          <w:p>
            <w:pPr>
              <w:pStyle w:val="TableParagraph"/>
              <w:spacing w:before="148"/>
              <w:ind w:left="11"/>
              <w:jc w:val="center"/>
              <w:rPr>
                <w:b/>
                <w:sz w:val="20"/>
              </w:rPr>
            </w:pPr>
            <w:r>
              <w:rPr>
                <w:b/>
                <w:w w:val="99"/>
                <w:sz w:val="20"/>
              </w:rPr>
              <w:t>男</w:t>
            </w:r>
          </w:p>
        </w:tc>
        <w:tc>
          <w:tcPr>
            <w:tcW w:w="1200" w:type="dxa"/>
          </w:tcPr>
          <w:p>
            <w:pPr>
              <w:pStyle w:val="TableParagraph"/>
              <w:spacing w:before="148"/>
              <w:ind w:left="11"/>
              <w:jc w:val="center"/>
              <w:rPr>
                <w:b/>
                <w:sz w:val="20"/>
              </w:rPr>
            </w:pPr>
            <w:r>
              <w:rPr>
                <w:b/>
                <w:w w:val="99"/>
                <w:sz w:val="20"/>
              </w:rPr>
              <w:t>女</w:t>
            </w:r>
          </w:p>
        </w:tc>
      </w:tr>
      <w:tr>
        <w:trPr>
          <w:trHeight w:val="313" w:hRule="atLeast"/>
        </w:trPr>
        <w:tc>
          <w:tcPr>
            <w:tcW w:w="1200" w:type="dxa"/>
          </w:tcPr>
          <w:p>
            <w:pPr>
              <w:pStyle w:val="TableParagraph"/>
              <w:spacing w:line="256" w:lineRule="exact" w:before="0"/>
              <w:ind w:left="549"/>
              <w:rPr>
                <w:sz w:val="20"/>
              </w:rPr>
            </w:pPr>
            <w:r>
              <w:rPr>
                <w:w w:val="99"/>
                <w:sz w:val="20"/>
              </w:rPr>
              <w:t>0</w:t>
            </w:r>
          </w:p>
        </w:tc>
        <w:tc>
          <w:tcPr>
            <w:tcW w:w="1200" w:type="dxa"/>
          </w:tcPr>
          <w:p>
            <w:pPr>
              <w:pStyle w:val="TableParagraph"/>
              <w:spacing w:line="256" w:lineRule="exact" w:before="0"/>
              <w:ind w:left="276" w:right="267"/>
              <w:jc w:val="center"/>
              <w:rPr>
                <w:sz w:val="20"/>
              </w:rPr>
            </w:pPr>
            <w:r>
              <w:rPr>
                <w:sz w:val="20"/>
              </w:rPr>
              <w:t>1.59</w:t>
            </w:r>
          </w:p>
        </w:tc>
        <w:tc>
          <w:tcPr>
            <w:tcW w:w="1200" w:type="dxa"/>
          </w:tcPr>
          <w:p>
            <w:pPr>
              <w:pStyle w:val="TableParagraph"/>
              <w:spacing w:line="256" w:lineRule="exact" w:before="0"/>
              <w:ind w:left="276" w:right="267"/>
              <w:jc w:val="center"/>
              <w:rPr>
                <w:sz w:val="20"/>
              </w:rPr>
            </w:pPr>
            <w:r>
              <w:rPr>
                <w:sz w:val="20"/>
              </w:rPr>
              <w:t>1.23</w:t>
            </w:r>
          </w:p>
        </w:tc>
        <w:tc>
          <w:tcPr>
            <w:tcW w:w="221" w:type="dxa"/>
            <w:vMerge/>
            <w:tcBorders>
              <w:top w:val="nil"/>
              <w:bottom w:val="nil"/>
            </w:tcBorders>
          </w:tcPr>
          <w:p>
            <w:pPr>
              <w:rPr>
                <w:sz w:val="2"/>
                <w:szCs w:val="2"/>
              </w:rPr>
            </w:pPr>
          </w:p>
        </w:tc>
        <w:tc>
          <w:tcPr>
            <w:tcW w:w="1200" w:type="dxa"/>
          </w:tcPr>
          <w:p>
            <w:pPr>
              <w:pStyle w:val="TableParagraph"/>
              <w:spacing w:line="256" w:lineRule="exact" w:before="0"/>
              <w:ind w:left="281" w:right="267"/>
              <w:jc w:val="center"/>
              <w:rPr>
                <w:sz w:val="20"/>
              </w:rPr>
            </w:pPr>
            <w:r>
              <w:rPr>
                <w:sz w:val="20"/>
              </w:rPr>
              <w:t>53</w:t>
            </w:r>
          </w:p>
        </w:tc>
        <w:tc>
          <w:tcPr>
            <w:tcW w:w="1200" w:type="dxa"/>
          </w:tcPr>
          <w:p>
            <w:pPr>
              <w:pStyle w:val="TableParagraph"/>
              <w:spacing w:line="256" w:lineRule="exact" w:before="0"/>
              <w:ind w:left="282" w:right="267"/>
              <w:jc w:val="center"/>
              <w:rPr>
                <w:sz w:val="20"/>
              </w:rPr>
            </w:pPr>
            <w:r>
              <w:rPr>
                <w:sz w:val="20"/>
              </w:rPr>
              <w:t>16.05</w:t>
            </w:r>
          </w:p>
        </w:tc>
        <w:tc>
          <w:tcPr>
            <w:tcW w:w="1200" w:type="dxa"/>
          </w:tcPr>
          <w:p>
            <w:pPr>
              <w:pStyle w:val="TableParagraph"/>
              <w:spacing w:line="256" w:lineRule="exact" w:before="0"/>
              <w:ind w:left="282" w:right="267"/>
              <w:jc w:val="center"/>
              <w:rPr>
                <w:sz w:val="20"/>
              </w:rPr>
            </w:pPr>
            <w:r>
              <w:rPr>
                <w:sz w:val="20"/>
              </w:rPr>
              <w:t>10.65</w:t>
            </w:r>
          </w:p>
        </w:tc>
      </w:tr>
      <w:tr>
        <w:trPr>
          <w:trHeight w:val="345" w:hRule="atLeast"/>
        </w:trPr>
        <w:tc>
          <w:tcPr>
            <w:tcW w:w="1200" w:type="dxa"/>
          </w:tcPr>
          <w:p>
            <w:pPr>
              <w:pStyle w:val="TableParagraph"/>
              <w:ind w:left="549"/>
              <w:rPr>
                <w:sz w:val="20"/>
              </w:rPr>
            </w:pPr>
            <w:r>
              <w:rPr>
                <w:w w:val="99"/>
                <w:sz w:val="20"/>
              </w:rPr>
              <w:t>1</w:t>
            </w:r>
          </w:p>
        </w:tc>
        <w:tc>
          <w:tcPr>
            <w:tcW w:w="1200" w:type="dxa"/>
          </w:tcPr>
          <w:p>
            <w:pPr>
              <w:pStyle w:val="TableParagraph"/>
              <w:ind w:left="276" w:right="267"/>
              <w:jc w:val="center"/>
              <w:rPr>
                <w:sz w:val="20"/>
              </w:rPr>
            </w:pPr>
            <w:r>
              <w:rPr>
                <w:sz w:val="20"/>
              </w:rPr>
              <w:t>1.48</w:t>
            </w:r>
          </w:p>
        </w:tc>
        <w:tc>
          <w:tcPr>
            <w:tcW w:w="1200" w:type="dxa"/>
          </w:tcPr>
          <w:p>
            <w:pPr>
              <w:pStyle w:val="TableParagraph"/>
              <w:ind w:left="276" w:right="267"/>
              <w:jc w:val="center"/>
              <w:rPr>
                <w:sz w:val="20"/>
              </w:rPr>
            </w:pPr>
            <w:r>
              <w:rPr>
                <w:sz w:val="20"/>
              </w:rPr>
              <w:t>1.07</w:t>
            </w:r>
          </w:p>
        </w:tc>
        <w:tc>
          <w:tcPr>
            <w:tcW w:w="221" w:type="dxa"/>
            <w:vMerge/>
            <w:tcBorders>
              <w:top w:val="nil"/>
              <w:bottom w:val="nil"/>
            </w:tcBorders>
          </w:tcPr>
          <w:p>
            <w:pPr>
              <w:rPr>
                <w:sz w:val="2"/>
                <w:szCs w:val="2"/>
              </w:rPr>
            </w:pPr>
          </w:p>
        </w:tc>
        <w:tc>
          <w:tcPr>
            <w:tcW w:w="1200" w:type="dxa"/>
          </w:tcPr>
          <w:p>
            <w:pPr>
              <w:pStyle w:val="TableParagraph"/>
              <w:ind w:left="281" w:right="267"/>
              <w:jc w:val="center"/>
              <w:rPr>
                <w:sz w:val="20"/>
              </w:rPr>
            </w:pPr>
            <w:r>
              <w:rPr>
                <w:sz w:val="20"/>
              </w:rPr>
              <w:t>54</w:t>
            </w:r>
          </w:p>
        </w:tc>
        <w:tc>
          <w:tcPr>
            <w:tcW w:w="1200" w:type="dxa"/>
          </w:tcPr>
          <w:p>
            <w:pPr>
              <w:pStyle w:val="TableParagraph"/>
              <w:ind w:left="282" w:right="267"/>
              <w:jc w:val="center"/>
              <w:rPr>
                <w:sz w:val="20"/>
              </w:rPr>
            </w:pPr>
            <w:r>
              <w:rPr>
                <w:sz w:val="20"/>
              </w:rPr>
              <w:t>17.32</w:t>
            </w:r>
          </w:p>
        </w:tc>
        <w:tc>
          <w:tcPr>
            <w:tcW w:w="1200" w:type="dxa"/>
          </w:tcPr>
          <w:p>
            <w:pPr>
              <w:pStyle w:val="TableParagraph"/>
              <w:ind w:left="282" w:right="267"/>
              <w:jc w:val="center"/>
              <w:rPr>
                <w:sz w:val="20"/>
              </w:rPr>
            </w:pPr>
            <w:r>
              <w:rPr>
                <w:sz w:val="20"/>
              </w:rPr>
              <w:t>11.14</w:t>
            </w:r>
          </w:p>
        </w:tc>
      </w:tr>
      <w:tr>
        <w:trPr>
          <w:trHeight w:val="345" w:hRule="atLeast"/>
        </w:trPr>
        <w:tc>
          <w:tcPr>
            <w:tcW w:w="1200" w:type="dxa"/>
          </w:tcPr>
          <w:p>
            <w:pPr>
              <w:pStyle w:val="TableParagraph"/>
              <w:ind w:left="549"/>
              <w:rPr>
                <w:sz w:val="20"/>
              </w:rPr>
            </w:pPr>
            <w:r>
              <w:rPr>
                <w:w w:val="99"/>
                <w:sz w:val="20"/>
              </w:rPr>
              <w:t>2</w:t>
            </w:r>
          </w:p>
        </w:tc>
        <w:tc>
          <w:tcPr>
            <w:tcW w:w="1200" w:type="dxa"/>
          </w:tcPr>
          <w:p>
            <w:pPr>
              <w:pStyle w:val="TableParagraph"/>
              <w:ind w:left="276" w:right="267"/>
              <w:jc w:val="center"/>
              <w:rPr>
                <w:sz w:val="20"/>
              </w:rPr>
            </w:pPr>
            <w:r>
              <w:rPr>
                <w:sz w:val="20"/>
              </w:rPr>
              <w:t>1.36</w:t>
            </w:r>
          </w:p>
        </w:tc>
        <w:tc>
          <w:tcPr>
            <w:tcW w:w="1200" w:type="dxa"/>
          </w:tcPr>
          <w:p>
            <w:pPr>
              <w:pStyle w:val="TableParagraph"/>
              <w:ind w:left="276" w:right="267"/>
              <w:jc w:val="center"/>
              <w:rPr>
                <w:sz w:val="20"/>
              </w:rPr>
            </w:pPr>
            <w:r>
              <w:rPr>
                <w:sz w:val="20"/>
              </w:rPr>
              <w:t>0.95</w:t>
            </w:r>
          </w:p>
        </w:tc>
        <w:tc>
          <w:tcPr>
            <w:tcW w:w="221" w:type="dxa"/>
            <w:vMerge/>
            <w:tcBorders>
              <w:top w:val="nil"/>
              <w:bottom w:val="nil"/>
            </w:tcBorders>
          </w:tcPr>
          <w:p>
            <w:pPr>
              <w:rPr>
                <w:sz w:val="2"/>
                <w:szCs w:val="2"/>
              </w:rPr>
            </w:pPr>
          </w:p>
        </w:tc>
        <w:tc>
          <w:tcPr>
            <w:tcW w:w="1200" w:type="dxa"/>
          </w:tcPr>
          <w:p>
            <w:pPr>
              <w:pStyle w:val="TableParagraph"/>
              <w:ind w:left="281" w:right="267"/>
              <w:jc w:val="center"/>
              <w:rPr>
                <w:sz w:val="20"/>
              </w:rPr>
            </w:pPr>
            <w:r>
              <w:rPr>
                <w:sz w:val="20"/>
              </w:rPr>
              <w:t>55</w:t>
            </w:r>
          </w:p>
        </w:tc>
        <w:tc>
          <w:tcPr>
            <w:tcW w:w="1200" w:type="dxa"/>
          </w:tcPr>
          <w:p>
            <w:pPr>
              <w:pStyle w:val="TableParagraph"/>
              <w:ind w:left="282" w:right="267"/>
              <w:jc w:val="center"/>
              <w:rPr>
                <w:sz w:val="20"/>
              </w:rPr>
            </w:pPr>
            <w:r>
              <w:rPr>
                <w:sz w:val="20"/>
              </w:rPr>
              <w:t>18.61</w:t>
            </w:r>
          </w:p>
        </w:tc>
        <w:tc>
          <w:tcPr>
            <w:tcW w:w="1200" w:type="dxa"/>
          </w:tcPr>
          <w:p>
            <w:pPr>
              <w:pStyle w:val="TableParagraph"/>
              <w:ind w:left="282" w:right="267"/>
              <w:jc w:val="center"/>
              <w:rPr>
                <w:sz w:val="20"/>
              </w:rPr>
            </w:pPr>
            <w:r>
              <w:rPr>
                <w:sz w:val="20"/>
              </w:rPr>
              <w:t>11.63</w:t>
            </w:r>
          </w:p>
        </w:tc>
      </w:tr>
      <w:tr>
        <w:trPr>
          <w:trHeight w:val="345" w:hRule="atLeast"/>
        </w:trPr>
        <w:tc>
          <w:tcPr>
            <w:tcW w:w="1200" w:type="dxa"/>
          </w:tcPr>
          <w:p>
            <w:pPr>
              <w:pStyle w:val="TableParagraph"/>
              <w:ind w:left="549"/>
              <w:rPr>
                <w:sz w:val="20"/>
              </w:rPr>
            </w:pPr>
            <w:r>
              <w:rPr>
                <w:w w:val="99"/>
                <w:sz w:val="20"/>
              </w:rPr>
              <w:t>3</w:t>
            </w:r>
          </w:p>
        </w:tc>
        <w:tc>
          <w:tcPr>
            <w:tcW w:w="1200" w:type="dxa"/>
          </w:tcPr>
          <w:p>
            <w:pPr>
              <w:pStyle w:val="TableParagraph"/>
              <w:ind w:left="276" w:right="267"/>
              <w:jc w:val="center"/>
              <w:rPr>
                <w:sz w:val="20"/>
              </w:rPr>
            </w:pPr>
            <w:r>
              <w:rPr>
                <w:sz w:val="20"/>
              </w:rPr>
              <w:t>1.25</w:t>
            </w:r>
          </w:p>
        </w:tc>
        <w:tc>
          <w:tcPr>
            <w:tcW w:w="1200" w:type="dxa"/>
          </w:tcPr>
          <w:p>
            <w:pPr>
              <w:pStyle w:val="TableParagraph"/>
              <w:ind w:left="276" w:right="267"/>
              <w:jc w:val="center"/>
              <w:rPr>
                <w:sz w:val="20"/>
              </w:rPr>
            </w:pPr>
            <w:r>
              <w:rPr>
                <w:sz w:val="20"/>
              </w:rPr>
              <w:t>0.83</w:t>
            </w:r>
          </w:p>
        </w:tc>
        <w:tc>
          <w:tcPr>
            <w:tcW w:w="221" w:type="dxa"/>
            <w:vMerge/>
            <w:tcBorders>
              <w:top w:val="nil"/>
              <w:bottom w:val="nil"/>
            </w:tcBorders>
          </w:tcPr>
          <w:p>
            <w:pPr>
              <w:rPr>
                <w:sz w:val="2"/>
                <w:szCs w:val="2"/>
              </w:rPr>
            </w:pPr>
          </w:p>
        </w:tc>
        <w:tc>
          <w:tcPr>
            <w:tcW w:w="1200" w:type="dxa"/>
          </w:tcPr>
          <w:p>
            <w:pPr>
              <w:pStyle w:val="TableParagraph"/>
              <w:ind w:left="281" w:right="267"/>
              <w:jc w:val="center"/>
              <w:rPr>
                <w:sz w:val="20"/>
              </w:rPr>
            </w:pPr>
            <w:r>
              <w:rPr>
                <w:sz w:val="20"/>
              </w:rPr>
              <w:t>56</w:t>
            </w:r>
          </w:p>
        </w:tc>
        <w:tc>
          <w:tcPr>
            <w:tcW w:w="1200" w:type="dxa"/>
          </w:tcPr>
          <w:p>
            <w:pPr>
              <w:pStyle w:val="TableParagraph"/>
              <w:ind w:left="282" w:right="267"/>
              <w:jc w:val="center"/>
              <w:rPr>
                <w:sz w:val="20"/>
              </w:rPr>
            </w:pPr>
            <w:r>
              <w:rPr>
                <w:sz w:val="20"/>
              </w:rPr>
              <w:t>19.86</w:t>
            </w:r>
          </w:p>
        </w:tc>
        <w:tc>
          <w:tcPr>
            <w:tcW w:w="1200" w:type="dxa"/>
          </w:tcPr>
          <w:p>
            <w:pPr>
              <w:pStyle w:val="TableParagraph"/>
              <w:ind w:left="282" w:right="267"/>
              <w:jc w:val="center"/>
              <w:rPr>
                <w:sz w:val="20"/>
              </w:rPr>
            </w:pPr>
            <w:r>
              <w:rPr>
                <w:sz w:val="20"/>
              </w:rPr>
              <w:t>12.10</w:t>
            </w:r>
          </w:p>
        </w:tc>
      </w:tr>
      <w:tr>
        <w:trPr>
          <w:trHeight w:val="345" w:hRule="atLeast"/>
        </w:trPr>
        <w:tc>
          <w:tcPr>
            <w:tcW w:w="1200" w:type="dxa"/>
          </w:tcPr>
          <w:p>
            <w:pPr>
              <w:pStyle w:val="TableParagraph"/>
              <w:ind w:left="549"/>
              <w:rPr>
                <w:sz w:val="20"/>
              </w:rPr>
            </w:pPr>
            <w:r>
              <w:rPr>
                <w:w w:val="99"/>
                <w:sz w:val="20"/>
              </w:rPr>
              <w:t>4</w:t>
            </w:r>
          </w:p>
        </w:tc>
        <w:tc>
          <w:tcPr>
            <w:tcW w:w="1200" w:type="dxa"/>
          </w:tcPr>
          <w:p>
            <w:pPr>
              <w:pStyle w:val="TableParagraph"/>
              <w:ind w:left="276" w:right="267"/>
              <w:jc w:val="center"/>
              <w:rPr>
                <w:sz w:val="20"/>
              </w:rPr>
            </w:pPr>
            <w:r>
              <w:rPr>
                <w:sz w:val="20"/>
              </w:rPr>
              <w:t>1.10</w:t>
            </w:r>
          </w:p>
        </w:tc>
        <w:tc>
          <w:tcPr>
            <w:tcW w:w="1200" w:type="dxa"/>
          </w:tcPr>
          <w:p>
            <w:pPr>
              <w:pStyle w:val="TableParagraph"/>
              <w:ind w:left="276" w:right="267"/>
              <w:jc w:val="center"/>
              <w:rPr>
                <w:sz w:val="20"/>
              </w:rPr>
            </w:pPr>
            <w:r>
              <w:rPr>
                <w:sz w:val="20"/>
              </w:rPr>
              <w:t>0.73</w:t>
            </w:r>
          </w:p>
        </w:tc>
        <w:tc>
          <w:tcPr>
            <w:tcW w:w="221" w:type="dxa"/>
            <w:vMerge/>
            <w:tcBorders>
              <w:top w:val="nil"/>
              <w:bottom w:val="nil"/>
            </w:tcBorders>
          </w:tcPr>
          <w:p>
            <w:pPr>
              <w:rPr>
                <w:sz w:val="2"/>
                <w:szCs w:val="2"/>
              </w:rPr>
            </w:pPr>
          </w:p>
        </w:tc>
        <w:tc>
          <w:tcPr>
            <w:tcW w:w="1200" w:type="dxa"/>
          </w:tcPr>
          <w:p>
            <w:pPr>
              <w:pStyle w:val="TableParagraph"/>
              <w:ind w:left="281" w:right="267"/>
              <w:jc w:val="center"/>
              <w:rPr>
                <w:sz w:val="20"/>
              </w:rPr>
            </w:pPr>
            <w:r>
              <w:rPr>
                <w:sz w:val="20"/>
              </w:rPr>
              <w:t>57</w:t>
            </w:r>
          </w:p>
        </w:tc>
        <w:tc>
          <w:tcPr>
            <w:tcW w:w="1200" w:type="dxa"/>
          </w:tcPr>
          <w:p>
            <w:pPr>
              <w:pStyle w:val="TableParagraph"/>
              <w:ind w:left="282" w:right="267"/>
              <w:jc w:val="center"/>
              <w:rPr>
                <w:sz w:val="20"/>
              </w:rPr>
            </w:pPr>
            <w:r>
              <w:rPr>
                <w:sz w:val="20"/>
              </w:rPr>
              <w:t>21.04</w:t>
            </w:r>
          </w:p>
        </w:tc>
        <w:tc>
          <w:tcPr>
            <w:tcW w:w="1200" w:type="dxa"/>
          </w:tcPr>
          <w:p>
            <w:pPr>
              <w:pStyle w:val="TableParagraph"/>
              <w:ind w:left="282" w:right="267"/>
              <w:jc w:val="center"/>
              <w:rPr>
                <w:sz w:val="20"/>
              </w:rPr>
            </w:pPr>
            <w:r>
              <w:rPr>
                <w:sz w:val="20"/>
              </w:rPr>
              <w:t>12.61</w:t>
            </w:r>
          </w:p>
        </w:tc>
      </w:tr>
      <w:tr>
        <w:trPr>
          <w:trHeight w:val="345" w:hRule="atLeast"/>
        </w:trPr>
        <w:tc>
          <w:tcPr>
            <w:tcW w:w="1200" w:type="dxa"/>
          </w:tcPr>
          <w:p>
            <w:pPr>
              <w:pStyle w:val="TableParagraph"/>
              <w:ind w:left="549"/>
              <w:rPr>
                <w:sz w:val="20"/>
              </w:rPr>
            </w:pPr>
            <w:r>
              <w:rPr>
                <w:w w:val="99"/>
                <w:sz w:val="20"/>
              </w:rPr>
              <w:t>5</w:t>
            </w:r>
          </w:p>
        </w:tc>
        <w:tc>
          <w:tcPr>
            <w:tcW w:w="1200" w:type="dxa"/>
          </w:tcPr>
          <w:p>
            <w:pPr>
              <w:pStyle w:val="TableParagraph"/>
              <w:ind w:left="276" w:right="267"/>
              <w:jc w:val="center"/>
              <w:rPr>
                <w:sz w:val="20"/>
              </w:rPr>
            </w:pPr>
            <w:r>
              <w:rPr>
                <w:sz w:val="20"/>
              </w:rPr>
              <w:t>0.90</w:t>
            </w:r>
          </w:p>
        </w:tc>
        <w:tc>
          <w:tcPr>
            <w:tcW w:w="1200" w:type="dxa"/>
          </w:tcPr>
          <w:p>
            <w:pPr>
              <w:pStyle w:val="TableParagraph"/>
              <w:ind w:left="276" w:right="267"/>
              <w:jc w:val="center"/>
              <w:rPr>
                <w:sz w:val="20"/>
              </w:rPr>
            </w:pPr>
            <w:r>
              <w:rPr>
                <w:sz w:val="20"/>
              </w:rPr>
              <w:t>0.62</w:t>
            </w:r>
          </w:p>
        </w:tc>
        <w:tc>
          <w:tcPr>
            <w:tcW w:w="221" w:type="dxa"/>
            <w:vMerge/>
            <w:tcBorders>
              <w:top w:val="nil"/>
              <w:bottom w:val="nil"/>
            </w:tcBorders>
          </w:tcPr>
          <w:p>
            <w:pPr>
              <w:rPr>
                <w:sz w:val="2"/>
                <w:szCs w:val="2"/>
              </w:rPr>
            </w:pPr>
          </w:p>
        </w:tc>
        <w:tc>
          <w:tcPr>
            <w:tcW w:w="1200" w:type="dxa"/>
          </w:tcPr>
          <w:p>
            <w:pPr>
              <w:pStyle w:val="TableParagraph"/>
              <w:ind w:left="281" w:right="267"/>
              <w:jc w:val="center"/>
              <w:rPr>
                <w:sz w:val="20"/>
              </w:rPr>
            </w:pPr>
            <w:r>
              <w:rPr>
                <w:sz w:val="20"/>
              </w:rPr>
              <w:t>58</w:t>
            </w:r>
          </w:p>
        </w:tc>
        <w:tc>
          <w:tcPr>
            <w:tcW w:w="1200" w:type="dxa"/>
          </w:tcPr>
          <w:p>
            <w:pPr>
              <w:pStyle w:val="TableParagraph"/>
              <w:ind w:left="282" w:right="267"/>
              <w:jc w:val="center"/>
              <w:rPr>
                <w:sz w:val="20"/>
              </w:rPr>
            </w:pPr>
            <w:r>
              <w:rPr>
                <w:sz w:val="20"/>
              </w:rPr>
              <w:t>22.07</w:t>
            </w:r>
          </w:p>
        </w:tc>
        <w:tc>
          <w:tcPr>
            <w:tcW w:w="1200" w:type="dxa"/>
          </w:tcPr>
          <w:p>
            <w:pPr>
              <w:pStyle w:val="TableParagraph"/>
              <w:ind w:left="282" w:right="267"/>
              <w:jc w:val="center"/>
              <w:rPr>
                <w:sz w:val="20"/>
              </w:rPr>
            </w:pPr>
            <w:r>
              <w:rPr>
                <w:sz w:val="20"/>
              </w:rPr>
              <w:t>13.05</w:t>
            </w:r>
          </w:p>
        </w:tc>
      </w:tr>
      <w:tr>
        <w:trPr>
          <w:trHeight w:val="359" w:hRule="atLeast"/>
        </w:trPr>
        <w:tc>
          <w:tcPr>
            <w:tcW w:w="1200" w:type="dxa"/>
          </w:tcPr>
          <w:p>
            <w:pPr>
              <w:pStyle w:val="TableParagraph"/>
              <w:spacing w:before="16"/>
              <w:ind w:left="549"/>
              <w:rPr>
                <w:sz w:val="20"/>
              </w:rPr>
            </w:pPr>
            <w:r>
              <w:rPr>
                <w:w w:val="99"/>
                <w:sz w:val="20"/>
              </w:rPr>
              <w:t>6</w:t>
            </w:r>
          </w:p>
        </w:tc>
        <w:tc>
          <w:tcPr>
            <w:tcW w:w="1200" w:type="dxa"/>
          </w:tcPr>
          <w:p>
            <w:pPr>
              <w:pStyle w:val="TableParagraph"/>
              <w:spacing w:before="16"/>
              <w:ind w:left="276" w:right="267"/>
              <w:jc w:val="center"/>
              <w:rPr>
                <w:sz w:val="20"/>
              </w:rPr>
            </w:pPr>
            <w:r>
              <w:rPr>
                <w:sz w:val="20"/>
              </w:rPr>
              <w:t>0.71</w:t>
            </w:r>
          </w:p>
        </w:tc>
        <w:tc>
          <w:tcPr>
            <w:tcW w:w="1200" w:type="dxa"/>
          </w:tcPr>
          <w:p>
            <w:pPr>
              <w:pStyle w:val="TableParagraph"/>
              <w:spacing w:before="16"/>
              <w:ind w:left="276" w:right="267"/>
              <w:jc w:val="center"/>
              <w:rPr>
                <w:sz w:val="20"/>
              </w:rPr>
            </w:pPr>
            <w:r>
              <w:rPr>
                <w:sz w:val="20"/>
              </w:rPr>
              <w:t>0.51</w:t>
            </w:r>
          </w:p>
        </w:tc>
        <w:tc>
          <w:tcPr>
            <w:tcW w:w="221" w:type="dxa"/>
            <w:vMerge/>
            <w:tcBorders>
              <w:top w:val="nil"/>
              <w:bottom w:val="nil"/>
            </w:tcBorders>
          </w:tcPr>
          <w:p>
            <w:pPr>
              <w:rPr>
                <w:sz w:val="2"/>
                <w:szCs w:val="2"/>
              </w:rPr>
            </w:pPr>
          </w:p>
        </w:tc>
        <w:tc>
          <w:tcPr>
            <w:tcW w:w="1200" w:type="dxa"/>
          </w:tcPr>
          <w:p>
            <w:pPr>
              <w:pStyle w:val="TableParagraph"/>
              <w:spacing w:before="16"/>
              <w:ind w:left="281" w:right="267"/>
              <w:jc w:val="center"/>
              <w:rPr>
                <w:sz w:val="20"/>
              </w:rPr>
            </w:pPr>
            <w:r>
              <w:rPr>
                <w:sz w:val="20"/>
              </w:rPr>
              <w:t>59</w:t>
            </w:r>
          </w:p>
        </w:tc>
        <w:tc>
          <w:tcPr>
            <w:tcW w:w="1200" w:type="dxa"/>
          </w:tcPr>
          <w:p>
            <w:pPr>
              <w:pStyle w:val="TableParagraph"/>
              <w:spacing w:before="16"/>
              <w:ind w:left="282" w:right="267"/>
              <w:jc w:val="center"/>
              <w:rPr>
                <w:sz w:val="20"/>
              </w:rPr>
            </w:pPr>
            <w:r>
              <w:rPr>
                <w:sz w:val="20"/>
              </w:rPr>
              <w:t>23.05</w:t>
            </w:r>
          </w:p>
        </w:tc>
        <w:tc>
          <w:tcPr>
            <w:tcW w:w="1200" w:type="dxa"/>
          </w:tcPr>
          <w:p>
            <w:pPr>
              <w:pStyle w:val="TableParagraph"/>
              <w:spacing w:before="16"/>
              <w:ind w:left="282" w:right="267"/>
              <w:jc w:val="center"/>
              <w:rPr>
                <w:sz w:val="20"/>
              </w:rPr>
            </w:pPr>
            <w:r>
              <w:rPr>
                <w:sz w:val="20"/>
              </w:rPr>
              <w:t>13.48</w:t>
            </w:r>
          </w:p>
        </w:tc>
      </w:tr>
      <w:tr>
        <w:trPr>
          <w:trHeight w:val="345" w:hRule="atLeast"/>
        </w:trPr>
        <w:tc>
          <w:tcPr>
            <w:tcW w:w="1200" w:type="dxa"/>
          </w:tcPr>
          <w:p>
            <w:pPr>
              <w:pStyle w:val="TableParagraph"/>
              <w:ind w:left="549"/>
              <w:rPr>
                <w:sz w:val="20"/>
              </w:rPr>
            </w:pPr>
            <w:r>
              <w:rPr>
                <w:w w:val="99"/>
                <w:sz w:val="20"/>
              </w:rPr>
              <w:t>7</w:t>
            </w:r>
          </w:p>
        </w:tc>
        <w:tc>
          <w:tcPr>
            <w:tcW w:w="1200" w:type="dxa"/>
          </w:tcPr>
          <w:p>
            <w:pPr>
              <w:pStyle w:val="TableParagraph"/>
              <w:ind w:left="276" w:right="267"/>
              <w:jc w:val="center"/>
              <w:rPr>
                <w:sz w:val="20"/>
              </w:rPr>
            </w:pPr>
            <w:r>
              <w:rPr>
                <w:sz w:val="20"/>
              </w:rPr>
              <w:t>0.56</w:t>
            </w:r>
          </w:p>
        </w:tc>
        <w:tc>
          <w:tcPr>
            <w:tcW w:w="1200" w:type="dxa"/>
          </w:tcPr>
          <w:p>
            <w:pPr>
              <w:pStyle w:val="TableParagraph"/>
              <w:ind w:left="276" w:right="267"/>
              <w:jc w:val="center"/>
              <w:rPr>
                <w:sz w:val="20"/>
              </w:rPr>
            </w:pPr>
            <w:r>
              <w:rPr>
                <w:sz w:val="20"/>
              </w:rPr>
              <w:t>0.44</w:t>
            </w:r>
          </w:p>
        </w:tc>
        <w:tc>
          <w:tcPr>
            <w:tcW w:w="221" w:type="dxa"/>
            <w:vMerge/>
            <w:tcBorders>
              <w:top w:val="nil"/>
              <w:bottom w:val="nil"/>
            </w:tcBorders>
          </w:tcPr>
          <w:p>
            <w:pPr>
              <w:rPr>
                <w:sz w:val="2"/>
                <w:szCs w:val="2"/>
              </w:rPr>
            </w:pPr>
          </w:p>
        </w:tc>
        <w:tc>
          <w:tcPr>
            <w:tcW w:w="1200" w:type="dxa"/>
          </w:tcPr>
          <w:p>
            <w:pPr>
              <w:pStyle w:val="TableParagraph"/>
              <w:ind w:left="281" w:right="267"/>
              <w:jc w:val="center"/>
              <w:rPr>
                <w:sz w:val="20"/>
              </w:rPr>
            </w:pPr>
            <w:r>
              <w:rPr>
                <w:sz w:val="20"/>
              </w:rPr>
              <w:t>60</w:t>
            </w:r>
          </w:p>
        </w:tc>
        <w:tc>
          <w:tcPr>
            <w:tcW w:w="1200" w:type="dxa"/>
          </w:tcPr>
          <w:p>
            <w:pPr>
              <w:pStyle w:val="TableParagraph"/>
              <w:ind w:left="282" w:right="267"/>
              <w:jc w:val="center"/>
              <w:rPr>
                <w:sz w:val="20"/>
              </w:rPr>
            </w:pPr>
            <w:r>
              <w:rPr>
                <w:sz w:val="20"/>
              </w:rPr>
              <w:t>23.97</w:t>
            </w:r>
          </w:p>
        </w:tc>
        <w:tc>
          <w:tcPr>
            <w:tcW w:w="1200" w:type="dxa"/>
          </w:tcPr>
          <w:p>
            <w:pPr>
              <w:pStyle w:val="TableParagraph"/>
              <w:ind w:left="282" w:right="267"/>
              <w:jc w:val="center"/>
              <w:rPr>
                <w:sz w:val="20"/>
              </w:rPr>
            </w:pPr>
            <w:r>
              <w:rPr>
                <w:sz w:val="20"/>
              </w:rPr>
              <w:t>14.05</w:t>
            </w:r>
          </w:p>
        </w:tc>
      </w:tr>
      <w:tr>
        <w:trPr>
          <w:trHeight w:val="345" w:hRule="atLeast"/>
        </w:trPr>
        <w:tc>
          <w:tcPr>
            <w:tcW w:w="1200" w:type="dxa"/>
          </w:tcPr>
          <w:p>
            <w:pPr>
              <w:pStyle w:val="TableParagraph"/>
              <w:ind w:left="549"/>
              <w:rPr>
                <w:sz w:val="20"/>
              </w:rPr>
            </w:pPr>
            <w:r>
              <w:rPr>
                <w:w w:val="99"/>
                <w:sz w:val="20"/>
              </w:rPr>
              <w:t>8</w:t>
            </w:r>
          </w:p>
        </w:tc>
        <w:tc>
          <w:tcPr>
            <w:tcW w:w="1200" w:type="dxa"/>
          </w:tcPr>
          <w:p>
            <w:pPr>
              <w:pStyle w:val="TableParagraph"/>
              <w:ind w:left="276" w:right="267"/>
              <w:jc w:val="center"/>
              <w:rPr>
                <w:sz w:val="20"/>
              </w:rPr>
            </w:pPr>
            <w:r>
              <w:rPr>
                <w:sz w:val="20"/>
              </w:rPr>
              <w:t>0.47</w:t>
            </w:r>
          </w:p>
        </w:tc>
        <w:tc>
          <w:tcPr>
            <w:tcW w:w="1200" w:type="dxa"/>
          </w:tcPr>
          <w:p>
            <w:pPr>
              <w:pStyle w:val="TableParagraph"/>
              <w:ind w:left="276" w:right="267"/>
              <w:jc w:val="center"/>
              <w:rPr>
                <w:sz w:val="20"/>
              </w:rPr>
            </w:pPr>
            <w:r>
              <w:rPr>
                <w:sz w:val="20"/>
              </w:rPr>
              <w:t>0.43</w:t>
            </w:r>
          </w:p>
        </w:tc>
        <w:tc>
          <w:tcPr>
            <w:tcW w:w="221" w:type="dxa"/>
            <w:vMerge/>
            <w:tcBorders>
              <w:top w:val="nil"/>
              <w:bottom w:val="nil"/>
            </w:tcBorders>
          </w:tcPr>
          <w:p>
            <w:pPr>
              <w:rPr>
                <w:sz w:val="2"/>
                <w:szCs w:val="2"/>
              </w:rPr>
            </w:pPr>
          </w:p>
        </w:tc>
        <w:tc>
          <w:tcPr>
            <w:tcW w:w="1200" w:type="dxa"/>
          </w:tcPr>
          <w:p>
            <w:pPr>
              <w:pStyle w:val="TableParagraph"/>
              <w:ind w:left="281" w:right="267"/>
              <w:jc w:val="center"/>
              <w:rPr>
                <w:sz w:val="20"/>
              </w:rPr>
            </w:pPr>
            <w:r>
              <w:rPr>
                <w:sz w:val="20"/>
              </w:rPr>
              <w:t>61</w:t>
            </w:r>
          </w:p>
        </w:tc>
        <w:tc>
          <w:tcPr>
            <w:tcW w:w="1200" w:type="dxa"/>
          </w:tcPr>
          <w:p>
            <w:pPr>
              <w:pStyle w:val="TableParagraph"/>
              <w:ind w:left="282" w:right="267"/>
              <w:jc w:val="center"/>
              <w:rPr>
                <w:sz w:val="20"/>
              </w:rPr>
            </w:pPr>
            <w:r>
              <w:rPr>
                <w:sz w:val="20"/>
              </w:rPr>
              <w:t>24.90</w:t>
            </w:r>
          </w:p>
        </w:tc>
        <w:tc>
          <w:tcPr>
            <w:tcW w:w="1200" w:type="dxa"/>
          </w:tcPr>
          <w:p>
            <w:pPr>
              <w:pStyle w:val="TableParagraph"/>
              <w:ind w:left="282" w:right="267"/>
              <w:jc w:val="center"/>
              <w:rPr>
                <w:sz w:val="20"/>
              </w:rPr>
            </w:pPr>
            <w:r>
              <w:rPr>
                <w:sz w:val="20"/>
              </w:rPr>
              <w:t>14.88</w:t>
            </w:r>
          </w:p>
        </w:tc>
      </w:tr>
      <w:tr>
        <w:trPr>
          <w:trHeight w:val="345" w:hRule="atLeast"/>
        </w:trPr>
        <w:tc>
          <w:tcPr>
            <w:tcW w:w="1200" w:type="dxa"/>
          </w:tcPr>
          <w:p>
            <w:pPr>
              <w:pStyle w:val="TableParagraph"/>
              <w:ind w:left="549"/>
              <w:rPr>
                <w:sz w:val="20"/>
              </w:rPr>
            </w:pPr>
            <w:r>
              <w:rPr>
                <w:w w:val="99"/>
                <w:sz w:val="20"/>
              </w:rPr>
              <w:t>9</w:t>
            </w:r>
          </w:p>
        </w:tc>
        <w:tc>
          <w:tcPr>
            <w:tcW w:w="1200" w:type="dxa"/>
          </w:tcPr>
          <w:p>
            <w:pPr>
              <w:pStyle w:val="TableParagraph"/>
              <w:ind w:left="276" w:right="267"/>
              <w:jc w:val="center"/>
              <w:rPr>
                <w:sz w:val="20"/>
              </w:rPr>
            </w:pPr>
            <w:r>
              <w:rPr>
                <w:sz w:val="20"/>
              </w:rPr>
              <w:t>0.43</w:t>
            </w:r>
          </w:p>
        </w:tc>
        <w:tc>
          <w:tcPr>
            <w:tcW w:w="1200" w:type="dxa"/>
          </w:tcPr>
          <w:p>
            <w:pPr>
              <w:pStyle w:val="TableParagraph"/>
              <w:ind w:left="276" w:right="267"/>
              <w:jc w:val="center"/>
              <w:rPr>
                <w:sz w:val="20"/>
              </w:rPr>
            </w:pPr>
            <w:r>
              <w:rPr>
                <w:sz w:val="20"/>
              </w:rPr>
              <w:t>0.41</w:t>
            </w:r>
          </w:p>
        </w:tc>
        <w:tc>
          <w:tcPr>
            <w:tcW w:w="221" w:type="dxa"/>
            <w:vMerge/>
            <w:tcBorders>
              <w:top w:val="nil"/>
              <w:bottom w:val="nil"/>
            </w:tcBorders>
          </w:tcPr>
          <w:p>
            <w:pPr>
              <w:rPr>
                <w:sz w:val="2"/>
                <w:szCs w:val="2"/>
              </w:rPr>
            </w:pPr>
          </w:p>
        </w:tc>
        <w:tc>
          <w:tcPr>
            <w:tcW w:w="1200" w:type="dxa"/>
          </w:tcPr>
          <w:p>
            <w:pPr>
              <w:pStyle w:val="TableParagraph"/>
              <w:ind w:left="281" w:right="267"/>
              <w:jc w:val="center"/>
              <w:rPr>
                <w:sz w:val="20"/>
              </w:rPr>
            </w:pPr>
            <w:r>
              <w:rPr>
                <w:sz w:val="20"/>
              </w:rPr>
              <w:t>62</w:t>
            </w:r>
          </w:p>
        </w:tc>
        <w:tc>
          <w:tcPr>
            <w:tcW w:w="1200" w:type="dxa"/>
          </w:tcPr>
          <w:p>
            <w:pPr>
              <w:pStyle w:val="TableParagraph"/>
              <w:ind w:left="282" w:right="267"/>
              <w:jc w:val="center"/>
              <w:rPr>
                <w:sz w:val="20"/>
              </w:rPr>
            </w:pPr>
            <w:r>
              <w:rPr>
                <w:sz w:val="20"/>
              </w:rPr>
              <w:t>25.67</w:t>
            </w:r>
          </w:p>
        </w:tc>
        <w:tc>
          <w:tcPr>
            <w:tcW w:w="1200" w:type="dxa"/>
          </w:tcPr>
          <w:p>
            <w:pPr>
              <w:pStyle w:val="TableParagraph"/>
              <w:ind w:left="282" w:right="267"/>
              <w:jc w:val="center"/>
              <w:rPr>
                <w:sz w:val="20"/>
              </w:rPr>
            </w:pPr>
            <w:r>
              <w:rPr>
                <w:sz w:val="20"/>
              </w:rPr>
              <w:t>15.71</w:t>
            </w:r>
          </w:p>
        </w:tc>
      </w:tr>
      <w:tr>
        <w:trPr>
          <w:trHeight w:val="345" w:hRule="atLeast"/>
        </w:trPr>
        <w:tc>
          <w:tcPr>
            <w:tcW w:w="1200" w:type="dxa"/>
          </w:tcPr>
          <w:p>
            <w:pPr>
              <w:pStyle w:val="TableParagraph"/>
              <w:ind w:left="498"/>
              <w:rPr>
                <w:sz w:val="20"/>
              </w:rPr>
            </w:pPr>
            <w:r>
              <w:rPr>
                <w:sz w:val="20"/>
              </w:rPr>
              <w:t>10</w:t>
            </w:r>
          </w:p>
        </w:tc>
        <w:tc>
          <w:tcPr>
            <w:tcW w:w="1200" w:type="dxa"/>
          </w:tcPr>
          <w:p>
            <w:pPr>
              <w:pStyle w:val="TableParagraph"/>
              <w:ind w:left="276" w:right="267"/>
              <w:jc w:val="center"/>
              <w:rPr>
                <w:sz w:val="20"/>
              </w:rPr>
            </w:pPr>
            <w:r>
              <w:rPr>
                <w:sz w:val="20"/>
              </w:rPr>
              <w:t>0.42</w:t>
            </w:r>
          </w:p>
        </w:tc>
        <w:tc>
          <w:tcPr>
            <w:tcW w:w="1200" w:type="dxa"/>
          </w:tcPr>
          <w:p>
            <w:pPr>
              <w:pStyle w:val="TableParagraph"/>
              <w:ind w:left="276" w:right="267"/>
              <w:jc w:val="center"/>
              <w:rPr>
                <w:sz w:val="20"/>
              </w:rPr>
            </w:pPr>
            <w:r>
              <w:rPr>
                <w:sz w:val="20"/>
              </w:rPr>
              <w:t>0.41</w:t>
            </w:r>
          </w:p>
        </w:tc>
        <w:tc>
          <w:tcPr>
            <w:tcW w:w="221" w:type="dxa"/>
            <w:vMerge/>
            <w:tcBorders>
              <w:top w:val="nil"/>
              <w:bottom w:val="nil"/>
            </w:tcBorders>
          </w:tcPr>
          <w:p>
            <w:pPr>
              <w:rPr>
                <w:sz w:val="2"/>
                <w:szCs w:val="2"/>
              </w:rPr>
            </w:pPr>
          </w:p>
        </w:tc>
        <w:tc>
          <w:tcPr>
            <w:tcW w:w="1200" w:type="dxa"/>
          </w:tcPr>
          <w:p>
            <w:pPr>
              <w:pStyle w:val="TableParagraph"/>
              <w:ind w:left="281" w:right="267"/>
              <w:jc w:val="center"/>
              <w:rPr>
                <w:sz w:val="20"/>
              </w:rPr>
            </w:pPr>
            <w:r>
              <w:rPr>
                <w:sz w:val="20"/>
              </w:rPr>
              <w:t>63</w:t>
            </w:r>
          </w:p>
        </w:tc>
        <w:tc>
          <w:tcPr>
            <w:tcW w:w="1200" w:type="dxa"/>
          </w:tcPr>
          <w:p>
            <w:pPr>
              <w:pStyle w:val="TableParagraph"/>
              <w:ind w:left="282" w:right="267"/>
              <w:jc w:val="center"/>
              <w:rPr>
                <w:sz w:val="20"/>
              </w:rPr>
            </w:pPr>
            <w:r>
              <w:rPr>
                <w:sz w:val="20"/>
              </w:rPr>
              <w:t>26.88</w:t>
            </w:r>
          </w:p>
        </w:tc>
        <w:tc>
          <w:tcPr>
            <w:tcW w:w="1200" w:type="dxa"/>
          </w:tcPr>
          <w:p>
            <w:pPr>
              <w:pStyle w:val="TableParagraph"/>
              <w:ind w:left="282" w:right="267"/>
              <w:jc w:val="center"/>
              <w:rPr>
                <w:sz w:val="20"/>
              </w:rPr>
            </w:pPr>
            <w:r>
              <w:rPr>
                <w:sz w:val="20"/>
              </w:rPr>
              <w:t>16.55</w:t>
            </w:r>
          </w:p>
        </w:tc>
      </w:tr>
      <w:tr>
        <w:trPr>
          <w:trHeight w:val="359" w:hRule="atLeast"/>
        </w:trPr>
        <w:tc>
          <w:tcPr>
            <w:tcW w:w="1200" w:type="dxa"/>
          </w:tcPr>
          <w:p>
            <w:pPr>
              <w:pStyle w:val="TableParagraph"/>
              <w:spacing w:before="16"/>
              <w:ind w:left="498"/>
              <w:rPr>
                <w:sz w:val="20"/>
              </w:rPr>
            </w:pPr>
            <w:r>
              <w:rPr>
                <w:sz w:val="20"/>
              </w:rPr>
              <w:t>11</w:t>
            </w:r>
          </w:p>
        </w:tc>
        <w:tc>
          <w:tcPr>
            <w:tcW w:w="1200" w:type="dxa"/>
          </w:tcPr>
          <w:p>
            <w:pPr>
              <w:pStyle w:val="TableParagraph"/>
              <w:spacing w:before="16"/>
              <w:ind w:left="276" w:right="267"/>
              <w:jc w:val="center"/>
              <w:rPr>
                <w:sz w:val="20"/>
              </w:rPr>
            </w:pPr>
            <w:r>
              <w:rPr>
                <w:sz w:val="20"/>
              </w:rPr>
              <w:t>0.44</w:t>
            </w:r>
          </w:p>
        </w:tc>
        <w:tc>
          <w:tcPr>
            <w:tcW w:w="1200" w:type="dxa"/>
          </w:tcPr>
          <w:p>
            <w:pPr>
              <w:pStyle w:val="TableParagraph"/>
              <w:spacing w:before="16"/>
              <w:ind w:left="276" w:right="267"/>
              <w:jc w:val="center"/>
              <w:rPr>
                <w:sz w:val="20"/>
              </w:rPr>
            </w:pPr>
            <w:r>
              <w:rPr>
                <w:sz w:val="20"/>
              </w:rPr>
              <w:t>0.43</w:t>
            </w:r>
          </w:p>
        </w:tc>
        <w:tc>
          <w:tcPr>
            <w:tcW w:w="221" w:type="dxa"/>
            <w:vMerge/>
            <w:tcBorders>
              <w:top w:val="nil"/>
              <w:bottom w:val="nil"/>
            </w:tcBorders>
          </w:tcPr>
          <w:p>
            <w:pPr>
              <w:rPr>
                <w:sz w:val="2"/>
                <w:szCs w:val="2"/>
              </w:rPr>
            </w:pPr>
          </w:p>
        </w:tc>
        <w:tc>
          <w:tcPr>
            <w:tcW w:w="1200" w:type="dxa"/>
          </w:tcPr>
          <w:p>
            <w:pPr>
              <w:pStyle w:val="TableParagraph"/>
              <w:spacing w:before="16"/>
              <w:ind w:left="281" w:right="267"/>
              <w:jc w:val="center"/>
              <w:rPr>
                <w:sz w:val="20"/>
              </w:rPr>
            </w:pPr>
            <w:r>
              <w:rPr>
                <w:sz w:val="20"/>
              </w:rPr>
              <w:t>64</w:t>
            </w:r>
          </w:p>
        </w:tc>
        <w:tc>
          <w:tcPr>
            <w:tcW w:w="1200" w:type="dxa"/>
          </w:tcPr>
          <w:p>
            <w:pPr>
              <w:pStyle w:val="TableParagraph"/>
              <w:spacing w:before="16"/>
              <w:ind w:left="282" w:right="267"/>
              <w:jc w:val="center"/>
              <w:rPr>
                <w:sz w:val="20"/>
              </w:rPr>
            </w:pPr>
            <w:r>
              <w:rPr>
                <w:sz w:val="20"/>
              </w:rPr>
              <w:t>28.27</w:t>
            </w:r>
          </w:p>
        </w:tc>
        <w:tc>
          <w:tcPr>
            <w:tcW w:w="1200" w:type="dxa"/>
          </w:tcPr>
          <w:p>
            <w:pPr>
              <w:pStyle w:val="TableParagraph"/>
              <w:spacing w:before="16"/>
              <w:ind w:left="282" w:right="267"/>
              <w:jc w:val="center"/>
              <w:rPr>
                <w:sz w:val="20"/>
              </w:rPr>
            </w:pPr>
            <w:r>
              <w:rPr>
                <w:sz w:val="20"/>
              </w:rPr>
              <w:t>17.31</w:t>
            </w:r>
          </w:p>
        </w:tc>
      </w:tr>
      <w:tr>
        <w:trPr>
          <w:trHeight w:val="345" w:hRule="atLeast"/>
        </w:trPr>
        <w:tc>
          <w:tcPr>
            <w:tcW w:w="1200" w:type="dxa"/>
          </w:tcPr>
          <w:p>
            <w:pPr>
              <w:pStyle w:val="TableParagraph"/>
              <w:ind w:left="498"/>
              <w:rPr>
                <w:sz w:val="20"/>
              </w:rPr>
            </w:pPr>
            <w:r>
              <w:rPr>
                <w:sz w:val="20"/>
              </w:rPr>
              <w:t>12</w:t>
            </w:r>
          </w:p>
        </w:tc>
        <w:tc>
          <w:tcPr>
            <w:tcW w:w="1200" w:type="dxa"/>
          </w:tcPr>
          <w:p>
            <w:pPr>
              <w:pStyle w:val="TableParagraph"/>
              <w:ind w:left="276" w:right="267"/>
              <w:jc w:val="center"/>
              <w:rPr>
                <w:sz w:val="20"/>
              </w:rPr>
            </w:pPr>
            <w:r>
              <w:rPr>
                <w:sz w:val="20"/>
              </w:rPr>
              <w:t>0.47</w:t>
            </w:r>
          </w:p>
        </w:tc>
        <w:tc>
          <w:tcPr>
            <w:tcW w:w="1200" w:type="dxa"/>
          </w:tcPr>
          <w:p>
            <w:pPr>
              <w:pStyle w:val="TableParagraph"/>
              <w:ind w:left="276" w:right="267"/>
              <w:jc w:val="center"/>
              <w:rPr>
                <w:sz w:val="20"/>
              </w:rPr>
            </w:pPr>
            <w:r>
              <w:rPr>
                <w:sz w:val="20"/>
              </w:rPr>
              <w:t>0.48</w:t>
            </w:r>
          </w:p>
        </w:tc>
        <w:tc>
          <w:tcPr>
            <w:tcW w:w="221" w:type="dxa"/>
            <w:vMerge/>
            <w:tcBorders>
              <w:top w:val="nil"/>
              <w:bottom w:val="nil"/>
            </w:tcBorders>
          </w:tcPr>
          <w:p>
            <w:pPr>
              <w:rPr>
                <w:sz w:val="2"/>
                <w:szCs w:val="2"/>
              </w:rPr>
            </w:pPr>
          </w:p>
        </w:tc>
        <w:tc>
          <w:tcPr>
            <w:tcW w:w="1200" w:type="dxa"/>
          </w:tcPr>
          <w:p>
            <w:pPr>
              <w:pStyle w:val="TableParagraph"/>
              <w:ind w:left="281" w:right="267"/>
              <w:jc w:val="center"/>
              <w:rPr>
                <w:sz w:val="20"/>
              </w:rPr>
            </w:pPr>
            <w:r>
              <w:rPr>
                <w:sz w:val="20"/>
              </w:rPr>
              <w:t>65</w:t>
            </w:r>
          </w:p>
        </w:tc>
        <w:tc>
          <w:tcPr>
            <w:tcW w:w="1200" w:type="dxa"/>
          </w:tcPr>
          <w:p>
            <w:pPr>
              <w:pStyle w:val="TableParagraph"/>
              <w:ind w:left="282" w:right="267"/>
              <w:jc w:val="center"/>
              <w:rPr>
                <w:sz w:val="20"/>
              </w:rPr>
            </w:pPr>
            <w:r>
              <w:rPr>
                <w:sz w:val="20"/>
              </w:rPr>
              <w:t>29.74</w:t>
            </w:r>
          </w:p>
        </w:tc>
        <w:tc>
          <w:tcPr>
            <w:tcW w:w="1200" w:type="dxa"/>
          </w:tcPr>
          <w:p>
            <w:pPr>
              <w:pStyle w:val="TableParagraph"/>
              <w:ind w:left="282" w:right="267"/>
              <w:jc w:val="center"/>
              <w:rPr>
                <w:sz w:val="20"/>
              </w:rPr>
            </w:pPr>
            <w:r>
              <w:rPr>
                <w:sz w:val="20"/>
              </w:rPr>
              <w:t>18.17</w:t>
            </w:r>
          </w:p>
        </w:tc>
      </w:tr>
      <w:tr>
        <w:trPr>
          <w:trHeight w:val="345" w:hRule="atLeast"/>
        </w:trPr>
        <w:tc>
          <w:tcPr>
            <w:tcW w:w="1200" w:type="dxa"/>
          </w:tcPr>
          <w:p>
            <w:pPr>
              <w:pStyle w:val="TableParagraph"/>
              <w:ind w:left="498"/>
              <w:rPr>
                <w:sz w:val="20"/>
              </w:rPr>
            </w:pPr>
            <w:r>
              <w:rPr>
                <w:sz w:val="20"/>
              </w:rPr>
              <w:t>13</w:t>
            </w:r>
          </w:p>
        </w:tc>
        <w:tc>
          <w:tcPr>
            <w:tcW w:w="1200" w:type="dxa"/>
          </w:tcPr>
          <w:p>
            <w:pPr>
              <w:pStyle w:val="TableParagraph"/>
              <w:ind w:left="276" w:right="267"/>
              <w:jc w:val="center"/>
              <w:rPr>
                <w:sz w:val="20"/>
              </w:rPr>
            </w:pPr>
            <w:r>
              <w:rPr>
                <w:sz w:val="20"/>
              </w:rPr>
              <w:t>0.50</w:t>
            </w:r>
          </w:p>
        </w:tc>
        <w:tc>
          <w:tcPr>
            <w:tcW w:w="1200" w:type="dxa"/>
          </w:tcPr>
          <w:p>
            <w:pPr>
              <w:pStyle w:val="TableParagraph"/>
              <w:ind w:left="276" w:right="267"/>
              <w:jc w:val="center"/>
              <w:rPr>
                <w:sz w:val="20"/>
              </w:rPr>
            </w:pPr>
            <w:r>
              <w:rPr>
                <w:sz w:val="20"/>
              </w:rPr>
              <w:t>0.52</w:t>
            </w:r>
          </w:p>
        </w:tc>
        <w:tc>
          <w:tcPr>
            <w:tcW w:w="221" w:type="dxa"/>
            <w:vMerge/>
            <w:tcBorders>
              <w:top w:val="nil"/>
              <w:bottom w:val="nil"/>
            </w:tcBorders>
          </w:tcPr>
          <w:p>
            <w:pPr>
              <w:rPr>
                <w:sz w:val="2"/>
                <w:szCs w:val="2"/>
              </w:rPr>
            </w:pPr>
          </w:p>
        </w:tc>
        <w:tc>
          <w:tcPr>
            <w:tcW w:w="1200" w:type="dxa"/>
          </w:tcPr>
          <w:p>
            <w:pPr>
              <w:pStyle w:val="TableParagraph"/>
              <w:ind w:left="281" w:right="267"/>
              <w:jc w:val="center"/>
              <w:rPr>
                <w:sz w:val="20"/>
              </w:rPr>
            </w:pPr>
            <w:r>
              <w:rPr>
                <w:sz w:val="20"/>
              </w:rPr>
              <w:t>66</w:t>
            </w:r>
          </w:p>
        </w:tc>
        <w:tc>
          <w:tcPr>
            <w:tcW w:w="1200" w:type="dxa"/>
          </w:tcPr>
          <w:p>
            <w:pPr>
              <w:pStyle w:val="TableParagraph"/>
              <w:ind w:left="282" w:right="267"/>
              <w:jc w:val="center"/>
              <w:rPr>
                <w:sz w:val="20"/>
              </w:rPr>
            </w:pPr>
            <w:r>
              <w:rPr>
                <w:sz w:val="20"/>
              </w:rPr>
              <w:t>31.42</w:t>
            </w:r>
          </w:p>
        </w:tc>
        <w:tc>
          <w:tcPr>
            <w:tcW w:w="1200" w:type="dxa"/>
          </w:tcPr>
          <w:p>
            <w:pPr>
              <w:pStyle w:val="TableParagraph"/>
              <w:ind w:left="282" w:right="267"/>
              <w:jc w:val="center"/>
              <w:rPr>
                <w:sz w:val="20"/>
              </w:rPr>
            </w:pPr>
            <w:r>
              <w:rPr>
                <w:sz w:val="20"/>
              </w:rPr>
              <w:t>19.35</w:t>
            </w:r>
          </w:p>
        </w:tc>
      </w:tr>
      <w:tr>
        <w:trPr>
          <w:trHeight w:val="345" w:hRule="atLeast"/>
        </w:trPr>
        <w:tc>
          <w:tcPr>
            <w:tcW w:w="1200" w:type="dxa"/>
          </w:tcPr>
          <w:p>
            <w:pPr>
              <w:pStyle w:val="TableParagraph"/>
              <w:ind w:left="498"/>
              <w:rPr>
                <w:sz w:val="20"/>
              </w:rPr>
            </w:pPr>
            <w:r>
              <w:rPr>
                <w:sz w:val="20"/>
              </w:rPr>
              <w:t>14</w:t>
            </w:r>
          </w:p>
        </w:tc>
        <w:tc>
          <w:tcPr>
            <w:tcW w:w="1200" w:type="dxa"/>
          </w:tcPr>
          <w:p>
            <w:pPr>
              <w:pStyle w:val="TableParagraph"/>
              <w:ind w:left="276" w:right="267"/>
              <w:jc w:val="center"/>
              <w:rPr>
                <w:sz w:val="20"/>
              </w:rPr>
            </w:pPr>
            <w:r>
              <w:rPr>
                <w:sz w:val="20"/>
              </w:rPr>
              <w:t>0.55</w:t>
            </w:r>
          </w:p>
        </w:tc>
        <w:tc>
          <w:tcPr>
            <w:tcW w:w="1200" w:type="dxa"/>
          </w:tcPr>
          <w:p>
            <w:pPr>
              <w:pStyle w:val="TableParagraph"/>
              <w:ind w:left="276" w:right="267"/>
              <w:jc w:val="center"/>
              <w:rPr>
                <w:sz w:val="20"/>
              </w:rPr>
            </w:pPr>
            <w:r>
              <w:rPr>
                <w:sz w:val="20"/>
              </w:rPr>
              <w:t>0.55</w:t>
            </w:r>
          </w:p>
        </w:tc>
        <w:tc>
          <w:tcPr>
            <w:tcW w:w="221" w:type="dxa"/>
            <w:vMerge/>
            <w:tcBorders>
              <w:top w:val="nil"/>
              <w:bottom w:val="nil"/>
            </w:tcBorders>
          </w:tcPr>
          <w:p>
            <w:pPr>
              <w:rPr>
                <w:sz w:val="2"/>
                <w:szCs w:val="2"/>
              </w:rPr>
            </w:pPr>
          </w:p>
        </w:tc>
        <w:tc>
          <w:tcPr>
            <w:tcW w:w="1200" w:type="dxa"/>
          </w:tcPr>
          <w:p>
            <w:pPr>
              <w:pStyle w:val="TableParagraph"/>
              <w:ind w:left="281" w:right="267"/>
              <w:jc w:val="center"/>
              <w:rPr>
                <w:sz w:val="20"/>
              </w:rPr>
            </w:pPr>
            <w:r>
              <w:rPr>
                <w:sz w:val="20"/>
              </w:rPr>
              <w:t>67</w:t>
            </w:r>
          </w:p>
        </w:tc>
        <w:tc>
          <w:tcPr>
            <w:tcW w:w="1200" w:type="dxa"/>
          </w:tcPr>
          <w:p>
            <w:pPr>
              <w:pStyle w:val="TableParagraph"/>
              <w:ind w:left="282" w:right="267"/>
              <w:jc w:val="center"/>
              <w:rPr>
                <w:sz w:val="20"/>
              </w:rPr>
            </w:pPr>
            <w:r>
              <w:rPr>
                <w:sz w:val="20"/>
              </w:rPr>
              <w:t>33.29</w:t>
            </w:r>
          </w:p>
        </w:tc>
        <w:tc>
          <w:tcPr>
            <w:tcW w:w="1200" w:type="dxa"/>
          </w:tcPr>
          <w:p>
            <w:pPr>
              <w:pStyle w:val="TableParagraph"/>
              <w:ind w:left="282" w:right="267"/>
              <w:jc w:val="center"/>
              <w:rPr>
                <w:sz w:val="20"/>
              </w:rPr>
            </w:pPr>
            <w:r>
              <w:rPr>
                <w:sz w:val="20"/>
              </w:rPr>
              <w:t>20.48</w:t>
            </w:r>
          </w:p>
        </w:tc>
      </w:tr>
      <w:tr>
        <w:trPr>
          <w:trHeight w:val="345" w:hRule="atLeast"/>
        </w:trPr>
        <w:tc>
          <w:tcPr>
            <w:tcW w:w="1200" w:type="dxa"/>
          </w:tcPr>
          <w:p>
            <w:pPr>
              <w:pStyle w:val="TableParagraph"/>
              <w:ind w:left="498"/>
              <w:rPr>
                <w:sz w:val="20"/>
              </w:rPr>
            </w:pPr>
            <w:r>
              <w:rPr>
                <w:sz w:val="20"/>
              </w:rPr>
              <w:t>15</w:t>
            </w:r>
          </w:p>
        </w:tc>
        <w:tc>
          <w:tcPr>
            <w:tcW w:w="1200" w:type="dxa"/>
          </w:tcPr>
          <w:p>
            <w:pPr>
              <w:pStyle w:val="TableParagraph"/>
              <w:ind w:left="276" w:right="267"/>
              <w:jc w:val="center"/>
              <w:rPr>
                <w:sz w:val="20"/>
              </w:rPr>
            </w:pPr>
            <w:r>
              <w:rPr>
                <w:sz w:val="20"/>
              </w:rPr>
              <w:t>0.59</w:t>
            </w:r>
          </w:p>
        </w:tc>
        <w:tc>
          <w:tcPr>
            <w:tcW w:w="1200" w:type="dxa"/>
          </w:tcPr>
          <w:p>
            <w:pPr>
              <w:pStyle w:val="TableParagraph"/>
              <w:ind w:left="276" w:right="267"/>
              <w:jc w:val="center"/>
              <w:rPr>
                <w:sz w:val="20"/>
              </w:rPr>
            </w:pPr>
            <w:r>
              <w:rPr>
                <w:sz w:val="20"/>
              </w:rPr>
              <w:t>0.57</w:t>
            </w:r>
          </w:p>
        </w:tc>
        <w:tc>
          <w:tcPr>
            <w:tcW w:w="221" w:type="dxa"/>
            <w:vMerge/>
            <w:tcBorders>
              <w:top w:val="nil"/>
              <w:bottom w:val="nil"/>
            </w:tcBorders>
          </w:tcPr>
          <w:p>
            <w:pPr>
              <w:rPr>
                <w:sz w:val="2"/>
                <w:szCs w:val="2"/>
              </w:rPr>
            </w:pPr>
          </w:p>
        </w:tc>
        <w:tc>
          <w:tcPr>
            <w:tcW w:w="1200" w:type="dxa"/>
          </w:tcPr>
          <w:p>
            <w:pPr>
              <w:pStyle w:val="TableParagraph"/>
              <w:ind w:left="281" w:right="267"/>
              <w:jc w:val="center"/>
              <w:rPr>
                <w:sz w:val="20"/>
              </w:rPr>
            </w:pPr>
            <w:r>
              <w:rPr>
                <w:sz w:val="20"/>
              </w:rPr>
              <w:t>68</w:t>
            </w:r>
          </w:p>
        </w:tc>
        <w:tc>
          <w:tcPr>
            <w:tcW w:w="1200" w:type="dxa"/>
          </w:tcPr>
          <w:p>
            <w:pPr>
              <w:pStyle w:val="TableParagraph"/>
              <w:ind w:left="282" w:right="267"/>
              <w:jc w:val="center"/>
              <w:rPr>
                <w:sz w:val="20"/>
              </w:rPr>
            </w:pPr>
            <w:r>
              <w:rPr>
                <w:sz w:val="20"/>
              </w:rPr>
              <w:t>35.52</w:t>
            </w:r>
          </w:p>
        </w:tc>
        <w:tc>
          <w:tcPr>
            <w:tcW w:w="1200" w:type="dxa"/>
          </w:tcPr>
          <w:p>
            <w:pPr>
              <w:pStyle w:val="TableParagraph"/>
              <w:ind w:left="282" w:right="267"/>
              <w:jc w:val="center"/>
              <w:rPr>
                <w:sz w:val="20"/>
              </w:rPr>
            </w:pPr>
            <w:r>
              <w:rPr>
                <w:sz w:val="20"/>
              </w:rPr>
              <w:t>21.83</w:t>
            </w:r>
          </w:p>
        </w:tc>
      </w:tr>
      <w:tr>
        <w:trPr>
          <w:trHeight w:val="359" w:hRule="atLeast"/>
        </w:trPr>
        <w:tc>
          <w:tcPr>
            <w:tcW w:w="1200" w:type="dxa"/>
          </w:tcPr>
          <w:p>
            <w:pPr>
              <w:pStyle w:val="TableParagraph"/>
              <w:spacing w:before="16"/>
              <w:ind w:left="498"/>
              <w:rPr>
                <w:sz w:val="20"/>
              </w:rPr>
            </w:pPr>
            <w:r>
              <w:rPr>
                <w:sz w:val="20"/>
              </w:rPr>
              <w:t>16</w:t>
            </w:r>
          </w:p>
        </w:tc>
        <w:tc>
          <w:tcPr>
            <w:tcW w:w="1200" w:type="dxa"/>
          </w:tcPr>
          <w:p>
            <w:pPr>
              <w:pStyle w:val="TableParagraph"/>
              <w:spacing w:before="16"/>
              <w:ind w:left="276" w:right="267"/>
              <w:jc w:val="center"/>
              <w:rPr>
                <w:sz w:val="20"/>
              </w:rPr>
            </w:pPr>
            <w:r>
              <w:rPr>
                <w:sz w:val="20"/>
              </w:rPr>
              <w:t>0.65</w:t>
            </w:r>
          </w:p>
        </w:tc>
        <w:tc>
          <w:tcPr>
            <w:tcW w:w="1200" w:type="dxa"/>
          </w:tcPr>
          <w:p>
            <w:pPr>
              <w:pStyle w:val="TableParagraph"/>
              <w:spacing w:before="16"/>
              <w:ind w:left="276" w:right="267"/>
              <w:jc w:val="center"/>
              <w:rPr>
                <w:sz w:val="20"/>
              </w:rPr>
            </w:pPr>
            <w:r>
              <w:rPr>
                <w:sz w:val="20"/>
              </w:rPr>
              <w:t>0.61</w:t>
            </w:r>
          </w:p>
        </w:tc>
        <w:tc>
          <w:tcPr>
            <w:tcW w:w="221" w:type="dxa"/>
            <w:vMerge/>
            <w:tcBorders>
              <w:top w:val="nil"/>
              <w:bottom w:val="nil"/>
            </w:tcBorders>
          </w:tcPr>
          <w:p>
            <w:pPr>
              <w:rPr>
                <w:sz w:val="2"/>
                <w:szCs w:val="2"/>
              </w:rPr>
            </w:pPr>
          </w:p>
        </w:tc>
        <w:tc>
          <w:tcPr>
            <w:tcW w:w="1200" w:type="dxa"/>
          </w:tcPr>
          <w:p>
            <w:pPr>
              <w:pStyle w:val="TableParagraph"/>
              <w:spacing w:before="16"/>
              <w:ind w:left="281" w:right="267"/>
              <w:jc w:val="center"/>
              <w:rPr>
                <w:sz w:val="20"/>
              </w:rPr>
            </w:pPr>
            <w:r>
              <w:rPr>
                <w:sz w:val="20"/>
              </w:rPr>
              <w:t>69</w:t>
            </w:r>
          </w:p>
        </w:tc>
        <w:tc>
          <w:tcPr>
            <w:tcW w:w="1200" w:type="dxa"/>
          </w:tcPr>
          <w:p>
            <w:pPr>
              <w:pStyle w:val="TableParagraph"/>
              <w:spacing w:before="16"/>
              <w:ind w:left="282" w:right="267"/>
              <w:jc w:val="center"/>
              <w:rPr>
                <w:sz w:val="20"/>
              </w:rPr>
            </w:pPr>
            <w:r>
              <w:rPr>
                <w:sz w:val="20"/>
              </w:rPr>
              <w:t>37.56</w:t>
            </w:r>
          </w:p>
        </w:tc>
        <w:tc>
          <w:tcPr>
            <w:tcW w:w="1200" w:type="dxa"/>
          </w:tcPr>
          <w:p>
            <w:pPr>
              <w:pStyle w:val="TableParagraph"/>
              <w:spacing w:before="16"/>
              <w:ind w:left="282" w:right="267"/>
              <w:jc w:val="center"/>
              <w:rPr>
                <w:sz w:val="20"/>
              </w:rPr>
            </w:pPr>
            <w:r>
              <w:rPr>
                <w:sz w:val="20"/>
              </w:rPr>
              <w:t>23.36</w:t>
            </w:r>
          </w:p>
        </w:tc>
      </w:tr>
      <w:tr>
        <w:trPr>
          <w:trHeight w:val="345" w:hRule="atLeast"/>
        </w:trPr>
        <w:tc>
          <w:tcPr>
            <w:tcW w:w="1200" w:type="dxa"/>
          </w:tcPr>
          <w:p>
            <w:pPr>
              <w:pStyle w:val="TableParagraph"/>
              <w:ind w:left="498"/>
              <w:rPr>
                <w:sz w:val="20"/>
              </w:rPr>
            </w:pPr>
            <w:r>
              <w:rPr>
                <w:sz w:val="20"/>
              </w:rPr>
              <w:t>17</w:t>
            </w:r>
          </w:p>
        </w:tc>
        <w:tc>
          <w:tcPr>
            <w:tcW w:w="1200" w:type="dxa"/>
          </w:tcPr>
          <w:p>
            <w:pPr>
              <w:pStyle w:val="TableParagraph"/>
              <w:ind w:left="276" w:right="267"/>
              <w:jc w:val="center"/>
              <w:rPr>
                <w:sz w:val="20"/>
              </w:rPr>
            </w:pPr>
            <w:r>
              <w:rPr>
                <w:sz w:val="20"/>
              </w:rPr>
              <w:t>0.68</w:t>
            </w:r>
          </w:p>
        </w:tc>
        <w:tc>
          <w:tcPr>
            <w:tcW w:w="1200" w:type="dxa"/>
          </w:tcPr>
          <w:p>
            <w:pPr>
              <w:pStyle w:val="TableParagraph"/>
              <w:ind w:left="276" w:right="267"/>
              <w:jc w:val="center"/>
              <w:rPr>
                <w:sz w:val="20"/>
              </w:rPr>
            </w:pPr>
            <w:r>
              <w:rPr>
                <w:sz w:val="20"/>
              </w:rPr>
              <w:t>0.64</w:t>
            </w:r>
          </w:p>
        </w:tc>
        <w:tc>
          <w:tcPr>
            <w:tcW w:w="221" w:type="dxa"/>
            <w:vMerge/>
            <w:tcBorders>
              <w:top w:val="nil"/>
              <w:bottom w:val="nil"/>
            </w:tcBorders>
          </w:tcPr>
          <w:p>
            <w:pPr>
              <w:rPr>
                <w:sz w:val="2"/>
                <w:szCs w:val="2"/>
              </w:rPr>
            </w:pPr>
          </w:p>
        </w:tc>
        <w:tc>
          <w:tcPr>
            <w:tcW w:w="1200" w:type="dxa"/>
          </w:tcPr>
          <w:p>
            <w:pPr>
              <w:pStyle w:val="TableParagraph"/>
              <w:ind w:left="281" w:right="267"/>
              <w:jc w:val="center"/>
              <w:rPr>
                <w:sz w:val="20"/>
              </w:rPr>
            </w:pPr>
            <w:r>
              <w:rPr>
                <w:sz w:val="20"/>
              </w:rPr>
              <w:t>70</w:t>
            </w:r>
          </w:p>
        </w:tc>
        <w:tc>
          <w:tcPr>
            <w:tcW w:w="1200" w:type="dxa"/>
          </w:tcPr>
          <w:p>
            <w:pPr>
              <w:pStyle w:val="TableParagraph"/>
              <w:ind w:left="282" w:right="267"/>
              <w:jc w:val="center"/>
              <w:rPr>
                <w:sz w:val="20"/>
              </w:rPr>
            </w:pPr>
            <w:r>
              <w:rPr>
                <w:sz w:val="20"/>
              </w:rPr>
              <w:t>39.48</w:t>
            </w:r>
          </w:p>
        </w:tc>
        <w:tc>
          <w:tcPr>
            <w:tcW w:w="1200" w:type="dxa"/>
          </w:tcPr>
          <w:p>
            <w:pPr>
              <w:pStyle w:val="TableParagraph"/>
              <w:ind w:left="282" w:right="267"/>
              <w:jc w:val="center"/>
              <w:rPr>
                <w:sz w:val="20"/>
              </w:rPr>
            </w:pPr>
            <w:r>
              <w:rPr>
                <w:sz w:val="20"/>
              </w:rPr>
              <w:t>25.12</w:t>
            </w:r>
          </w:p>
        </w:tc>
      </w:tr>
      <w:tr>
        <w:trPr>
          <w:trHeight w:val="345" w:hRule="atLeast"/>
        </w:trPr>
        <w:tc>
          <w:tcPr>
            <w:tcW w:w="1200" w:type="dxa"/>
          </w:tcPr>
          <w:p>
            <w:pPr>
              <w:pStyle w:val="TableParagraph"/>
              <w:ind w:left="498"/>
              <w:rPr>
                <w:sz w:val="20"/>
              </w:rPr>
            </w:pPr>
            <w:r>
              <w:rPr>
                <w:sz w:val="20"/>
              </w:rPr>
              <w:t>18</w:t>
            </w:r>
          </w:p>
        </w:tc>
        <w:tc>
          <w:tcPr>
            <w:tcW w:w="1200" w:type="dxa"/>
          </w:tcPr>
          <w:p>
            <w:pPr>
              <w:pStyle w:val="TableParagraph"/>
              <w:ind w:left="276" w:right="267"/>
              <w:jc w:val="center"/>
              <w:rPr>
                <w:sz w:val="20"/>
              </w:rPr>
            </w:pPr>
            <w:r>
              <w:rPr>
                <w:sz w:val="20"/>
              </w:rPr>
              <w:t>0.72</w:t>
            </w:r>
          </w:p>
        </w:tc>
        <w:tc>
          <w:tcPr>
            <w:tcW w:w="1200" w:type="dxa"/>
          </w:tcPr>
          <w:p>
            <w:pPr>
              <w:pStyle w:val="TableParagraph"/>
              <w:ind w:left="276" w:right="267"/>
              <w:jc w:val="center"/>
              <w:rPr>
                <w:sz w:val="20"/>
              </w:rPr>
            </w:pPr>
            <w:r>
              <w:rPr>
                <w:sz w:val="20"/>
              </w:rPr>
              <w:t>0.67</w:t>
            </w:r>
          </w:p>
        </w:tc>
        <w:tc>
          <w:tcPr>
            <w:tcW w:w="221" w:type="dxa"/>
            <w:vMerge/>
            <w:tcBorders>
              <w:top w:val="nil"/>
              <w:bottom w:val="nil"/>
            </w:tcBorders>
          </w:tcPr>
          <w:p>
            <w:pPr>
              <w:rPr>
                <w:sz w:val="2"/>
                <w:szCs w:val="2"/>
              </w:rPr>
            </w:pPr>
          </w:p>
        </w:tc>
        <w:tc>
          <w:tcPr>
            <w:tcW w:w="1200" w:type="dxa"/>
          </w:tcPr>
          <w:p>
            <w:pPr>
              <w:pStyle w:val="TableParagraph"/>
              <w:spacing w:before="25"/>
              <w:ind w:left="281" w:right="267"/>
              <w:jc w:val="center"/>
              <w:rPr>
                <w:sz w:val="20"/>
              </w:rPr>
            </w:pPr>
            <w:r>
              <w:rPr>
                <w:sz w:val="20"/>
              </w:rPr>
              <w:t>71</w:t>
            </w:r>
          </w:p>
        </w:tc>
        <w:tc>
          <w:tcPr>
            <w:tcW w:w="1200" w:type="dxa"/>
          </w:tcPr>
          <w:p>
            <w:pPr>
              <w:pStyle w:val="TableParagraph"/>
              <w:ind w:left="282" w:right="267"/>
              <w:jc w:val="center"/>
              <w:rPr>
                <w:sz w:val="20"/>
              </w:rPr>
            </w:pPr>
            <w:r>
              <w:rPr>
                <w:sz w:val="20"/>
              </w:rPr>
              <w:t>41.20</w:t>
            </w:r>
          </w:p>
        </w:tc>
        <w:tc>
          <w:tcPr>
            <w:tcW w:w="1200" w:type="dxa"/>
          </w:tcPr>
          <w:p>
            <w:pPr>
              <w:pStyle w:val="TableParagraph"/>
              <w:ind w:left="282" w:right="267"/>
              <w:jc w:val="center"/>
              <w:rPr>
                <w:sz w:val="20"/>
              </w:rPr>
            </w:pPr>
            <w:r>
              <w:rPr>
                <w:sz w:val="20"/>
              </w:rPr>
              <w:t>26.65</w:t>
            </w:r>
          </w:p>
        </w:tc>
      </w:tr>
      <w:tr>
        <w:trPr>
          <w:trHeight w:val="345" w:hRule="atLeast"/>
        </w:trPr>
        <w:tc>
          <w:tcPr>
            <w:tcW w:w="1200" w:type="dxa"/>
          </w:tcPr>
          <w:p>
            <w:pPr>
              <w:pStyle w:val="TableParagraph"/>
              <w:ind w:left="498"/>
              <w:rPr>
                <w:sz w:val="20"/>
              </w:rPr>
            </w:pPr>
            <w:r>
              <w:rPr>
                <w:sz w:val="20"/>
              </w:rPr>
              <w:t>19</w:t>
            </w:r>
          </w:p>
        </w:tc>
        <w:tc>
          <w:tcPr>
            <w:tcW w:w="1200" w:type="dxa"/>
          </w:tcPr>
          <w:p>
            <w:pPr>
              <w:pStyle w:val="TableParagraph"/>
              <w:ind w:left="276" w:right="267"/>
              <w:jc w:val="center"/>
              <w:rPr>
                <w:sz w:val="20"/>
              </w:rPr>
            </w:pPr>
            <w:r>
              <w:rPr>
                <w:sz w:val="20"/>
              </w:rPr>
              <w:t>0.78</w:t>
            </w:r>
          </w:p>
        </w:tc>
        <w:tc>
          <w:tcPr>
            <w:tcW w:w="1200" w:type="dxa"/>
          </w:tcPr>
          <w:p>
            <w:pPr>
              <w:pStyle w:val="TableParagraph"/>
              <w:ind w:left="276" w:right="267"/>
              <w:jc w:val="center"/>
              <w:rPr>
                <w:sz w:val="20"/>
              </w:rPr>
            </w:pPr>
            <w:r>
              <w:rPr>
                <w:sz w:val="20"/>
              </w:rPr>
              <w:t>0.69</w:t>
            </w:r>
          </w:p>
        </w:tc>
        <w:tc>
          <w:tcPr>
            <w:tcW w:w="221" w:type="dxa"/>
            <w:vMerge/>
            <w:tcBorders>
              <w:top w:val="nil"/>
              <w:bottom w:val="nil"/>
            </w:tcBorders>
          </w:tcPr>
          <w:p>
            <w:pPr>
              <w:rPr>
                <w:sz w:val="2"/>
                <w:szCs w:val="2"/>
              </w:rPr>
            </w:pPr>
          </w:p>
        </w:tc>
        <w:tc>
          <w:tcPr>
            <w:tcW w:w="1200" w:type="dxa"/>
          </w:tcPr>
          <w:p>
            <w:pPr>
              <w:pStyle w:val="TableParagraph"/>
              <w:spacing w:before="25"/>
              <w:ind w:left="281" w:right="267"/>
              <w:jc w:val="center"/>
              <w:rPr>
                <w:sz w:val="20"/>
              </w:rPr>
            </w:pPr>
            <w:r>
              <w:rPr>
                <w:sz w:val="20"/>
              </w:rPr>
              <w:t>72</w:t>
            </w:r>
          </w:p>
        </w:tc>
        <w:tc>
          <w:tcPr>
            <w:tcW w:w="1200" w:type="dxa"/>
          </w:tcPr>
          <w:p>
            <w:pPr>
              <w:pStyle w:val="TableParagraph"/>
              <w:ind w:left="282" w:right="267"/>
              <w:jc w:val="center"/>
              <w:rPr>
                <w:sz w:val="20"/>
              </w:rPr>
            </w:pPr>
            <w:r>
              <w:rPr>
                <w:sz w:val="20"/>
              </w:rPr>
              <w:t>43.00</w:t>
            </w:r>
          </w:p>
        </w:tc>
        <w:tc>
          <w:tcPr>
            <w:tcW w:w="1200" w:type="dxa"/>
          </w:tcPr>
          <w:p>
            <w:pPr>
              <w:pStyle w:val="TableParagraph"/>
              <w:ind w:left="282" w:right="267"/>
              <w:jc w:val="center"/>
              <w:rPr>
                <w:sz w:val="20"/>
              </w:rPr>
            </w:pPr>
            <w:r>
              <w:rPr>
                <w:sz w:val="20"/>
              </w:rPr>
              <w:t>28.09</w:t>
            </w:r>
          </w:p>
        </w:tc>
      </w:tr>
      <w:tr>
        <w:trPr>
          <w:trHeight w:val="342" w:hRule="atLeast"/>
        </w:trPr>
        <w:tc>
          <w:tcPr>
            <w:tcW w:w="1200" w:type="dxa"/>
          </w:tcPr>
          <w:p>
            <w:pPr>
              <w:pStyle w:val="TableParagraph"/>
              <w:ind w:left="498"/>
              <w:rPr>
                <w:sz w:val="20"/>
              </w:rPr>
            </w:pPr>
            <w:r>
              <w:rPr>
                <w:sz w:val="20"/>
              </w:rPr>
              <w:t>20</w:t>
            </w:r>
          </w:p>
        </w:tc>
        <w:tc>
          <w:tcPr>
            <w:tcW w:w="1200" w:type="dxa"/>
          </w:tcPr>
          <w:p>
            <w:pPr>
              <w:pStyle w:val="TableParagraph"/>
              <w:ind w:left="276" w:right="267"/>
              <w:jc w:val="center"/>
              <w:rPr>
                <w:sz w:val="20"/>
              </w:rPr>
            </w:pPr>
            <w:r>
              <w:rPr>
                <w:sz w:val="20"/>
              </w:rPr>
              <w:t>0.84</w:t>
            </w:r>
          </w:p>
        </w:tc>
        <w:tc>
          <w:tcPr>
            <w:tcW w:w="1200" w:type="dxa"/>
          </w:tcPr>
          <w:p>
            <w:pPr>
              <w:pStyle w:val="TableParagraph"/>
              <w:ind w:left="276" w:right="267"/>
              <w:jc w:val="center"/>
              <w:rPr>
                <w:sz w:val="20"/>
              </w:rPr>
            </w:pPr>
            <w:r>
              <w:rPr>
                <w:sz w:val="20"/>
              </w:rPr>
              <w:t>0.71</w:t>
            </w:r>
          </w:p>
        </w:tc>
        <w:tc>
          <w:tcPr>
            <w:tcW w:w="221" w:type="dxa"/>
            <w:vMerge/>
            <w:tcBorders>
              <w:top w:val="nil"/>
              <w:bottom w:val="nil"/>
            </w:tcBorders>
          </w:tcPr>
          <w:p>
            <w:pPr>
              <w:rPr>
                <w:sz w:val="2"/>
                <w:szCs w:val="2"/>
              </w:rPr>
            </w:pPr>
          </w:p>
        </w:tc>
        <w:tc>
          <w:tcPr>
            <w:tcW w:w="1200" w:type="dxa"/>
          </w:tcPr>
          <w:p>
            <w:pPr>
              <w:pStyle w:val="TableParagraph"/>
              <w:spacing w:before="23"/>
              <w:ind w:left="281" w:right="267"/>
              <w:jc w:val="center"/>
              <w:rPr>
                <w:sz w:val="20"/>
              </w:rPr>
            </w:pPr>
            <w:r>
              <w:rPr>
                <w:sz w:val="20"/>
              </w:rPr>
              <w:t>73</w:t>
            </w:r>
          </w:p>
        </w:tc>
        <w:tc>
          <w:tcPr>
            <w:tcW w:w="1200" w:type="dxa"/>
          </w:tcPr>
          <w:p>
            <w:pPr>
              <w:pStyle w:val="TableParagraph"/>
              <w:ind w:left="282" w:right="267"/>
              <w:jc w:val="center"/>
              <w:rPr>
                <w:sz w:val="20"/>
              </w:rPr>
            </w:pPr>
            <w:r>
              <w:rPr>
                <w:sz w:val="20"/>
              </w:rPr>
              <w:t>44.31</w:t>
            </w:r>
          </w:p>
        </w:tc>
        <w:tc>
          <w:tcPr>
            <w:tcW w:w="1200" w:type="dxa"/>
          </w:tcPr>
          <w:p>
            <w:pPr>
              <w:pStyle w:val="TableParagraph"/>
              <w:ind w:left="282" w:right="267"/>
              <w:jc w:val="center"/>
              <w:rPr>
                <w:sz w:val="20"/>
              </w:rPr>
            </w:pPr>
            <w:r>
              <w:rPr>
                <w:sz w:val="20"/>
              </w:rPr>
              <w:t>29.81</w:t>
            </w:r>
          </w:p>
        </w:tc>
      </w:tr>
      <w:tr>
        <w:trPr>
          <w:trHeight w:val="362" w:hRule="atLeast"/>
        </w:trPr>
        <w:tc>
          <w:tcPr>
            <w:tcW w:w="1200" w:type="dxa"/>
          </w:tcPr>
          <w:p>
            <w:pPr>
              <w:pStyle w:val="TableParagraph"/>
              <w:spacing w:before="18"/>
              <w:ind w:left="498"/>
              <w:rPr>
                <w:sz w:val="20"/>
              </w:rPr>
            </w:pPr>
            <w:r>
              <w:rPr>
                <w:sz w:val="20"/>
              </w:rPr>
              <w:t>21</w:t>
            </w:r>
          </w:p>
        </w:tc>
        <w:tc>
          <w:tcPr>
            <w:tcW w:w="1200" w:type="dxa"/>
          </w:tcPr>
          <w:p>
            <w:pPr>
              <w:pStyle w:val="TableParagraph"/>
              <w:spacing w:before="18"/>
              <w:ind w:left="276" w:right="267"/>
              <w:jc w:val="center"/>
              <w:rPr>
                <w:sz w:val="20"/>
              </w:rPr>
            </w:pPr>
            <w:r>
              <w:rPr>
                <w:sz w:val="20"/>
              </w:rPr>
              <w:t>0.91</w:t>
            </w:r>
          </w:p>
        </w:tc>
        <w:tc>
          <w:tcPr>
            <w:tcW w:w="1200" w:type="dxa"/>
          </w:tcPr>
          <w:p>
            <w:pPr>
              <w:pStyle w:val="TableParagraph"/>
              <w:spacing w:before="18"/>
              <w:ind w:left="276" w:right="267"/>
              <w:jc w:val="center"/>
              <w:rPr>
                <w:sz w:val="20"/>
              </w:rPr>
            </w:pPr>
            <w:r>
              <w:rPr>
                <w:sz w:val="20"/>
              </w:rPr>
              <w:t>0.74</w:t>
            </w:r>
          </w:p>
        </w:tc>
        <w:tc>
          <w:tcPr>
            <w:tcW w:w="221" w:type="dxa"/>
            <w:vMerge/>
            <w:tcBorders>
              <w:top w:val="nil"/>
              <w:bottom w:val="nil"/>
            </w:tcBorders>
          </w:tcPr>
          <w:p>
            <w:pPr>
              <w:rPr>
                <w:sz w:val="2"/>
                <w:szCs w:val="2"/>
              </w:rPr>
            </w:pPr>
          </w:p>
        </w:tc>
        <w:tc>
          <w:tcPr>
            <w:tcW w:w="1200" w:type="dxa"/>
          </w:tcPr>
          <w:p>
            <w:pPr>
              <w:pStyle w:val="TableParagraph"/>
              <w:spacing w:before="42"/>
              <w:ind w:left="281" w:right="267"/>
              <w:jc w:val="center"/>
              <w:rPr>
                <w:sz w:val="20"/>
              </w:rPr>
            </w:pPr>
            <w:r>
              <w:rPr>
                <w:sz w:val="20"/>
              </w:rPr>
              <w:t>74</w:t>
            </w:r>
          </w:p>
        </w:tc>
        <w:tc>
          <w:tcPr>
            <w:tcW w:w="1200" w:type="dxa"/>
          </w:tcPr>
          <w:p>
            <w:pPr>
              <w:pStyle w:val="TableParagraph"/>
              <w:spacing w:before="18"/>
              <w:ind w:left="282" w:right="267"/>
              <w:jc w:val="center"/>
              <w:rPr>
                <w:sz w:val="20"/>
              </w:rPr>
            </w:pPr>
            <w:r>
              <w:rPr>
                <w:sz w:val="20"/>
              </w:rPr>
              <w:t>45.69</w:t>
            </w:r>
          </w:p>
        </w:tc>
        <w:tc>
          <w:tcPr>
            <w:tcW w:w="1200" w:type="dxa"/>
          </w:tcPr>
          <w:p>
            <w:pPr>
              <w:pStyle w:val="TableParagraph"/>
              <w:spacing w:before="18"/>
              <w:ind w:left="282" w:right="267"/>
              <w:jc w:val="center"/>
              <w:rPr>
                <w:sz w:val="20"/>
              </w:rPr>
            </w:pPr>
            <w:r>
              <w:rPr>
                <w:sz w:val="20"/>
              </w:rPr>
              <w:t>31.51</w:t>
            </w:r>
          </w:p>
        </w:tc>
      </w:tr>
      <w:tr>
        <w:trPr>
          <w:trHeight w:val="345" w:hRule="atLeast"/>
        </w:trPr>
        <w:tc>
          <w:tcPr>
            <w:tcW w:w="1200" w:type="dxa"/>
          </w:tcPr>
          <w:p>
            <w:pPr>
              <w:pStyle w:val="TableParagraph"/>
              <w:ind w:left="498"/>
              <w:rPr>
                <w:sz w:val="20"/>
              </w:rPr>
            </w:pPr>
            <w:r>
              <w:rPr>
                <w:sz w:val="20"/>
              </w:rPr>
              <w:t>22</w:t>
            </w:r>
          </w:p>
        </w:tc>
        <w:tc>
          <w:tcPr>
            <w:tcW w:w="1200" w:type="dxa"/>
          </w:tcPr>
          <w:p>
            <w:pPr>
              <w:pStyle w:val="TableParagraph"/>
              <w:ind w:left="276" w:right="267"/>
              <w:jc w:val="center"/>
              <w:rPr>
                <w:sz w:val="20"/>
              </w:rPr>
            </w:pPr>
            <w:r>
              <w:rPr>
                <w:sz w:val="20"/>
              </w:rPr>
              <w:t>0.97</w:t>
            </w:r>
          </w:p>
        </w:tc>
        <w:tc>
          <w:tcPr>
            <w:tcW w:w="1200" w:type="dxa"/>
          </w:tcPr>
          <w:p>
            <w:pPr>
              <w:pStyle w:val="TableParagraph"/>
              <w:ind w:left="276" w:right="267"/>
              <w:jc w:val="center"/>
              <w:rPr>
                <w:sz w:val="20"/>
              </w:rPr>
            </w:pPr>
            <w:r>
              <w:rPr>
                <w:sz w:val="20"/>
              </w:rPr>
              <w:t>0.78</w:t>
            </w:r>
          </w:p>
        </w:tc>
        <w:tc>
          <w:tcPr>
            <w:tcW w:w="221" w:type="dxa"/>
            <w:vMerge/>
            <w:tcBorders>
              <w:top w:val="nil"/>
              <w:bottom w:val="nil"/>
            </w:tcBorders>
          </w:tcPr>
          <w:p>
            <w:pPr>
              <w:rPr>
                <w:sz w:val="2"/>
                <w:szCs w:val="2"/>
              </w:rPr>
            </w:pPr>
          </w:p>
        </w:tc>
        <w:tc>
          <w:tcPr>
            <w:tcW w:w="1200" w:type="dxa"/>
          </w:tcPr>
          <w:p>
            <w:pPr>
              <w:pStyle w:val="TableParagraph"/>
              <w:spacing w:before="25"/>
              <w:ind w:left="281" w:right="267"/>
              <w:jc w:val="center"/>
              <w:rPr>
                <w:sz w:val="20"/>
              </w:rPr>
            </w:pPr>
            <w:r>
              <w:rPr>
                <w:sz w:val="20"/>
              </w:rPr>
              <w:t>75</w:t>
            </w:r>
          </w:p>
        </w:tc>
        <w:tc>
          <w:tcPr>
            <w:tcW w:w="1200" w:type="dxa"/>
          </w:tcPr>
          <w:p>
            <w:pPr>
              <w:pStyle w:val="TableParagraph"/>
              <w:ind w:left="282" w:right="267"/>
              <w:jc w:val="center"/>
              <w:rPr>
                <w:sz w:val="20"/>
              </w:rPr>
            </w:pPr>
            <w:r>
              <w:rPr>
                <w:sz w:val="20"/>
              </w:rPr>
              <w:t>47.43</w:t>
            </w:r>
          </w:p>
        </w:tc>
        <w:tc>
          <w:tcPr>
            <w:tcW w:w="1200" w:type="dxa"/>
          </w:tcPr>
          <w:p>
            <w:pPr>
              <w:pStyle w:val="TableParagraph"/>
              <w:ind w:left="282" w:right="267"/>
              <w:jc w:val="center"/>
              <w:rPr>
                <w:sz w:val="20"/>
              </w:rPr>
            </w:pPr>
            <w:r>
              <w:rPr>
                <w:sz w:val="20"/>
              </w:rPr>
              <w:t>33.26</w:t>
            </w:r>
          </w:p>
        </w:tc>
      </w:tr>
      <w:tr>
        <w:trPr>
          <w:trHeight w:val="342" w:hRule="atLeast"/>
        </w:trPr>
        <w:tc>
          <w:tcPr>
            <w:tcW w:w="1200" w:type="dxa"/>
          </w:tcPr>
          <w:p>
            <w:pPr>
              <w:pStyle w:val="TableParagraph"/>
              <w:ind w:left="498"/>
              <w:rPr>
                <w:sz w:val="20"/>
              </w:rPr>
            </w:pPr>
            <w:r>
              <w:rPr>
                <w:sz w:val="20"/>
              </w:rPr>
              <w:t>23</w:t>
            </w:r>
          </w:p>
        </w:tc>
        <w:tc>
          <w:tcPr>
            <w:tcW w:w="1200" w:type="dxa"/>
          </w:tcPr>
          <w:p>
            <w:pPr>
              <w:pStyle w:val="TableParagraph"/>
              <w:ind w:left="276" w:right="267"/>
              <w:jc w:val="center"/>
              <w:rPr>
                <w:sz w:val="20"/>
              </w:rPr>
            </w:pPr>
            <w:r>
              <w:rPr>
                <w:sz w:val="20"/>
              </w:rPr>
              <w:t>1.04</w:t>
            </w:r>
          </w:p>
        </w:tc>
        <w:tc>
          <w:tcPr>
            <w:tcW w:w="1200" w:type="dxa"/>
          </w:tcPr>
          <w:p>
            <w:pPr>
              <w:pStyle w:val="TableParagraph"/>
              <w:ind w:left="276" w:right="267"/>
              <w:jc w:val="center"/>
              <w:rPr>
                <w:sz w:val="20"/>
              </w:rPr>
            </w:pPr>
            <w:r>
              <w:rPr>
                <w:sz w:val="20"/>
              </w:rPr>
              <w:t>0.83</w:t>
            </w:r>
          </w:p>
        </w:tc>
        <w:tc>
          <w:tcPr>
            <w:tcW w:w="221" w:type="dxa"/>
            <w:vMerge/>
            <w:tcBorders>
              <w:top w:val="nil"/>
              <w:bottom w:val="nil"/>
            </w:tcBorders>
          </w:tcPr>
          <w:p>
            <w:pPr>
              <w:rPr>
                <w:sz w:val="2"/>
                <w:szCs w:val="2"/>
              </w:rPr>
            </w:pPr>
          </w:p>
        </w:tc>
        <w:tc>
          <w:tcPr>
            <w:tcW w:w="1200" w:type="dxa"/>
          </w:tcPr>
          <w:p>
            <w:pPr>
              <w:pStyle w:val="TableParagraph"/>
              <w:spacing w:before="23"/>
              <w:ind w:left="281" w:right="267"/>
              <w:jc w:val="center"/>
              <w:rPr>
                <w:sz w:val="20"/>
              </w:rPr>
            </w:pPr>
            <w:r>
              <w:rPr>
                <w:sz w:val="20"/>
              </w:rPr>
              <w:t>76</w:t>
            </w:r>
          </w:p>
        </w:tc>
        <w:tc>
          <w:tcPr>
            <w:tcW w:w="1200" w:type="dxa"/>
          </w:tcPr>
          <w:p>
            <w:pPr>
              <w:pStyle w:val="TableParagraph"/>
              <w:ind w:left="282" w:right="267"/>
              <w:jc w:val="center"/>
              <w:rPr>
                <w:sz w:val="20"/>
              </w:rPr>
            </w:pPr>
            <w:r>
              <w:rPr>
                <w:sz w:val="20"/>
              </w:rPr>
              <w:t>49.62</w:t>
            </w:r>
          </w:p>
        </w:tc>
        <w:tc>
          <w:tcPr>
            <w:tcW w:w="1200" w:type="dxa"/>
          </w:tcPr>
          <w:p>
            <w:pPr>
              <w:pStyle w:val="TableParagraph"/>
              <w:ind w:left="282" w:right="267"/>
              <w:jc w:val="center"/>
              <w:rPr>
                <w:sz w:val="20"/>
              </w:rPr>
            </w:pPr>
            <w:r>
              <w:rPr>
                <w:sz w:val="20"/>
              </w:rPr>
              <w:t>35.41</w:t>
            </w:r>
          </w:p>
        </w:tc>
      </w:tr>
      <w:tr>
        <w:trPr>
          <w:trHeight w:val="345" w:hRule="atLeast"/>
        </w:trPr>
        <w:tc>
          <w:tcPr>
            <w:tcW w:w="1200" w:type="dxa"/>
          </w:tcPr>
          <w:p>
            <w:pPr>
              <w:pStyle w:val="TableParagraph"/>
              <w:spacing w:before="11"/>
              <w:ind w:left="498"/>
              <w:rPr>
                <w:sz w:val="20"/>
              </w:rPr>
            </w:pPr>
            <w:r>
              <w:rPr>
                <w:sz w:val="20"/>
              </w:rPr>
              <w:t>24</w:t>
            </w:r>
          </w:p>
        </w:tc>
        <w:tc>
          <w:tcPr>
            <w:tcW w:w="1200" w:type="dxa"/>
          </w:tcPr>
          <w:p>
            <w:pPr>
              <w:pStyle w:val="TableParagraph"/>
              <w:spacing w:before="11"/>
              <w:ind w:left="276" w:right="267"/>
              <w:jc w:val="center"/>
              <w:rPr>
                <w:sz w:val="20"/>
              </w:rPr>
            </w:pPr>
            <w:r>
              <w:rPr>
                <w:sz w:val="20"/>
              </w:rPr>
              <w:t>1.10</w:t>
            </w:r>
          </w:p>
        </w:tc>
        <w:tc>
          <w:tcPr>
            <w:tcW w:w="1200" w:type="dxa"/>
          </w:tcPr>
          <w:p>
            <w:pPr>
              <w:pStyle w:val="TableParagraph"/>
              <w:spacing w:before="11"/>
              <w:ind w:left="276" w:right="267"/>
              <w:jc w:val="center"/>
              <w:rPr>
                <w:sz w:val="20"/>
              </w:rPr>
            </w:pPr>
            <w:r>
              <w:rPr>
                <w:sz w:val="20"/>
              </w:rPr>
              <w:t>0.90</w:t>
            </w:r>
          </w:p>
        </w:tc>
        <w:tc>
          <w:tcPr>
            <w:tcW w:w="221" w:type="dxa"/>
            <w:vMerge/>
            <w:tcBorders>
              <w:top w:val="nil"/>
              <w:bottom w:val="nil"/>
            </w:tcBorders>
          </w:tcPr>
          <w:p>
            <w:pPr>
              <w:rPr>
                <w:sz w:val="2"/>
                <w:szCs w:val="2"/>
              </w:rPr>
            </w:pPr>
          </w:p>
        </w:tc>
        <w:tc>
          <w:tcPr>
            <w:tcW w:w="1200" w:type="dxa"/>
          </w:tcPr>
          <w:p>
            <w:pPr>
              <w:pStyle w:val="TableParagraph"/>
              <w:spacing w:before="25"/>
              <w:ind w:left="281" w:right="267"/>
              <w:jc w:val="center"/>
              <w:rPr>
                <w:sz w:val="20"/>
              </w:rPr>
            </w:pPr>
            <w:r>
              <w:rPr>
                <w:sz w:val="20"/>
              </w:rPr>
              <w:t>77</w:t>
            </w:r>
          </w:p>
        </w:tc>
        <w:tc>
          <w:tcPr>
            <w:tcW w:w="1200" w:type="dxa"/>
          </w:tcPr>
          <w:p>
            <w:pPr>
              <w:pStyle w:val="TableParagraph"/>
              <w:spacing w:before="11"/>
              <w:ind w:left="282" w:right="267"/>
              <w:jc w:val="center"/>
              <w:rPr>
                <w:sz w:val="20"/>
              </w:rPr>
            </w:pPr>
            <w:r>
              <w:rPr>
                <w:sz w:val="20"/>
              </w:rPr>
              <w:t>51.61</w:t>
            </w:r>
          </w:p>
        </w:tc>
        <w:tc>
          <w:tcPr>
            <w:tcW w:w="1200" w:type="dxa"/>
          </w:tcPr>
          <w:p>
            <w:pPr>
              <w:pStyle w:val="TableParagraph"/>
              <w:spacing w:before="11"/>
              <w:ind w:left="282" w:right="267"/>
              <w:jc w:val="center"/>
              <w:rPr>
                <w:sz w:val="20"/>
              </w:rPr>
            </w:pPr>
            <w:r>
              <w:rPr>
                <w:sz w:val="20"/>
              </w:rPr>
              <w:t>37.25</w:t>
            </w:r>
          </w:p>
        </w:tc>
      </w:tr>
      <w:tr>
        <w:trPr>
          <w:trHeight w:val="345" w:hRule="atLeast"/>
        </w:trPr>
        <w:tc>
          <w:tcPr>
            <w:tcW w:w="1200" w:type="dxa"/>
          </w:tcPr>
          <w:p>
            <w:pPr>
              <w:pStyle w:val="TableParagraph"/>
              <w:ind w:left="498"/>
              <w:rPr>
                <w:sz w:val="20"/>
              </w:rPr>
            </w:pPr>
            <w:r>
              <w:rPr>
                <w:sz w:val="20"/>
              </w:rPr>
              <w:t>25</w:t>
            </w:r>
          </w:p>
        </w:tc>
        <w:tc>
          <w:tcPr>
            <w:tcW w:w="1200" w:type="dxa"/>
          </w:tcPr>
          <w:p>
            <w:pPr>
              <w:pStyle w:val="TableParagraph"/>
              <w:ind w:left="276" w:right="267"/>
              <w:jc w:val="center"/>
              <w:rPr>
                <w:sz w:val="20"/>
              </w:rPr>
            </w:pPr>
            <w:r>
              <w:rPr>
                <w:sz w:val="20"/>
              </w:rPr>
              <w:t>1.15</w:t>
            </w:r>
          </w:p>
        </w:tc>
        <w:tc>
          <w:tcPr>
            <w:tcW w:w="1200" w:type="dxa"/>
          </w:tcPr>
          <w:p>
            <w:pPr>
              <w:pStyle w:val="TableParagraph"/>
              <w:ind w:left="276" w:right="267"/>
              <w:jc w:val="center"/>
              <w:rPr>
                <w:sz w:val="20"/>
              </w:rPr>
            </w:pPr>
            <w:r>
              <w:rPr>
                <w:sz w:val="20"/>
              </w:rPr>
              <w:t>0.98</w:t>
            </w:r>
          </w:p>
        </w:tc>
        <w:tc>
          <w:tcPr>
            <w:tcW w:w="221" w:type="dxa"/>
            <w:vMerge/>
            <w:tcBorders>
              <w:top w:val="nil"/>
              <w:bottom w:val="nil"/>
            </w:tcBorders>
          </w:tcPr>
          <w:p>
            <w:pPr>
              <w:rPr>
                <w:sz w:val="2"/>
                <w:szCs w:val="2"/>
              </w:rPr>
            </w:pPr>
          </w:p>
        </w:tc>
        <w:tc>
          <w:tcPr>
            <w:tcW w:w="1200" w:type="dxa"/>
          </w:tcPr>
          <w:p>
            <w:pPr>
              <w:pStyle w:val="TableParagraph"/>
              <w:spacing w:before="25"/>
              <w:ind w:left="281" w:right="267"/>
              <w:jc w:val="center"/>
              <w:rPr>
                <w:sz w:val="20"/>
              </w:rPr>
            </w:pPr>
            <w:r>
              <w:rPr>
                <w:sz w:val="20"/>
              </w:rPr>
              <w:t>78</w:t>
            </w:r>
          </w:p>
        </w:tc>
        <w:tc>
          <w:tcPr>
            <w:tcW w:w="1200" w:type="dxa"/>
          </w:tcPr>
          <w:p>
            <w:pPr>
              <w:pStyle w:val="TableParagraph"/>
              <w:ind w:left="282" w:right="267"/>
              <w:jc w:val="center"/>
              <w:rPr>
                <w:sz w:val="20"/>
              </w:rPr>
            </w:pPr>
            <w:r>
              <w:rPr>
                <w:sz w:val="20"/>
              </w:rPr>
              <w:t>54.22</w:t>
            </w:r>
          </w:p>
        </w:tc>
        <w:tc>
          <w:tcPr>
            <w:tcW w:w="1200" w:type="dxa"/>
          </w:tcPr>
          <w:p>
            <w:pPr>
              <w:pStyle w:val="TableParagraph"/>
              <w:ind w:left="282" w:right="267"/>
              <w:jc w:val="center"/>
              <w:rPr>
                <w:sz w:val="20"/>
              </w:rPr>
            </w:pPr>
            <w:r>
              <w:rPr>
                <w:sz w:val="20"/>
              </w:rPr>
              <w:t>39.88</w:t>
            </w:r>
          </w:p>
        </w:tc>
      </w:tr>
      <w:tr>
        <w:trPr>
          <w:trHeight w:val="359" w:hRule="atLeast"/>
        </w:trPr>
        <w:tc>
          <w:tcPr>
            <w:tcW w:w="1200" w:type="dxa"/>
          </w:tcPr>
          <w:p>
            <w:pPr>
              <w:pStyle w:val="TableParagraph"/>
              <w:spacing w:before="16"/>
              <w:ind w:left="498"/>
              <w:rPr>
                <w:sz w:val="20"/>
              </w:rPr>
            </w:pPr>
            <w:r>
              <w:rPr>
                <w:sz w:val="20"/>
              </w:rPr>
              <w:t>26</w:t>
            </w:r>
          </w:p>
        </w:tc>
        <w:tc>
          <w:tcPr>
            <w:tcW w:w="1200" w:type="dxa"/>
          </w:tcPr>
          <w:p>
            <w:pPr>
              <w:pStyle w:val="TableParagraph"/>
              <w:spacing w:before="16"/>
              <w:ind w:left="276" w:right="267"/>
              <w:jc w:val="center"/>
              <w:rPr>
                <w:sz w:val="20"/>
              </w:rPr>
            </w:pPr>
            <w:r>
              <w:rPr>
                <w:sz w:val="20"/>
              </w:rPr>
              <w:t>1.20</w:t>
            </w:r>
          </w:p>
        </w:tc>
        <w:tc>
          <w:tcPr>
            <w:tcW w:w="1200" w:type="dxa"/>
          </w:tcPr>
          <w:p>
            <w:pPr>
              <w:pStyle w:val="TableParagraph"/>
              <w:spacing w:before="16"/>
              <w:ind w:left="276" w:right="267"/>
              <w:jc w:val="center"/>
              <w:rPr>
                <w:sz w:val="20"/>
              </w:rPr>
            </w:pPr>
            <w:r>
              <w:rPr>
                <w:sz w:val="20"/>
              </w:rPr>
              <w:t>1.09</w:t>
            </w:r>
          </w:p>
        </w:tc>
        <w:tc>
          <w:tcPr>
            <w:tcW w:w="221" w:type="dxa"/>
            <w:vMerge/>
            <w:tcBorders>
              <w:top w:val="nil"/>
              <w:bottom w:val="nil"/>
            </w:tcBorders>
          </w:tcPr>
          <w:p>
            <w:pPr>
              <w:rPr>
                <w:sz w:val="2"/>
                <w:szCs w:val="2"/>
              </w:rPr>
            </w:pPr>
          </w:p>
        </w:tc>
        <w:tc>
          <w:tcPr>
            <w:tcW w:w="1200" w:type="dxa"/>
          </w:tcPr>
          <w:p>
            <w:pPr>
              <w:pStyle w:val="TableParagraph"/>
              <w:spacing w:before="39"/>
              <w:ind w:left="281" w:right="267"/>
              <w:jc w:val="center"/>
              <w:rPr>
                <w:sz w:val="20"/>
              </w:rPr>
            </w:pPr>
            <w:r>
              <w:rPr>
                <w:sz w:val="20"/>
              </w:rPr>
              <w:t>79</w:t>
            </w:r>
          </w:p>
        </w:tc>
        <w:tc>
          <w:tcPr>
            <w:tcW w:w="1200" w:type="dxa"/>
          </w:tcPr>
          <w:p>
            <w:pPr>
              <w:pStyle w:val="TableParagraph"/>
              <w:spacing w:before="16"/>
              <w:ind w:left="282" w:right="267"/>
              <w:jc w:val="center"/>
              <w:rPr>
                <w:sz w:val="20"/>
              </w:rPr>
            </w:pPr>
            <w:r>
              <w:rPr>
                <w:sz w:val="20"/>
              </w:rPr>
              <w:t>57.72</w:t>
            </w:r>
          </w:p>
        </w:tc>
        <w:tc>
          <w:tcPr>
            <w:tcW w:w="1200" w:type="dxa"/>
          </w:tcPr>
          <w:p>
            <w:pPr>
              <w:pStyle w:val="TableParagraph"/>
              <w:spacing w:before="16"/>
              <w:ind w:left="282" w:right="267"/>
              <w:jc w:val="center"/>
              <w:rPr>
                <w:sz w:val="20"/>
              </w:rPr>
            </w:pPr>
            <w:r>
              <w:rPr>
                <w:sz w:val="20"/>
              </w:rPr>
              <w:t>42.08</w:t>
            </w:r>
          </w:p>
        </w:tc>
      </w:tr>
      <w:tr>
        <w:trPr>
          <w:trHeight w:val="345" w:hRule="atLeast"/>
        </w:trPr>
        <w:tc>
          <w:tcPr>
            <w:tcW w:w="1200" w:type="dxa"/>
          </w:tcPr>
          <w:p>
            <w:pPr>
              <w:pStyle w:val="TableParagraph"/>
              <w:spacing w:before="11"/>
              <w:ind w:left="498"/>
              <w:rPr>
                <w:sz w:val="20"/>
              </w:rPr>
            </w:pPr>
            <w:r>
              <w:rPr>
                <w:sz w:val="20"/>
              </w:rPr>
              <w:t>27</w:t>
            </w:r>
          </w:p>
        </w:tc>
        <w:tc>
          <w:tcPr>
            <w:tcW w:w="1200" w:type="dxa"/>
          </w:tcPr>
          <w:p>
            <w:pPr>
              <w:pStyle w:val="TableParagraph"/>
              <w:spacing w:before="11"/>
              <w:ind w:left="276" w:right="267"/>
              <w:jc w:val="center"/>
              <w:rPr>
                <w:sz w:val="20"/>
              </w:rPr>
            </w:pPr>
            <w:r>
              <w:rPr>
                <w:sz w:val="20"/>
              </w:rPr>
              <w:t>1.24</w:t>
            </w:r>
          </w:p>
        </w:tc>
        <w:tc>
          <w:tcPr>
            <w:tcW w:w="1200" w:type="dxa"/>
          </w:tcPr>
          <w:p>
            <w:pPr>
              <w:pStyle w:val="TableParagraph"/>
              <w:spacing w:before="11"/>
              <w:ind w:left="276" w:right="267"/>
              <w:jc w:val="center"/>
              <w:rPr>
                <w:sz w:val="20"/>
              </w:rPr>
            </w:pPr>
            <w:r>
              <w:rPr>
                <w:sz w:val="20"/>
              </w:rPr>
              <w:t>1.21</w:t>
            </w:r>
          </w:p>
        </w:tc>
        <w:tc>
          <w:tcPr>
            <w:tcW w:w="221" w:type="dxa"/>
            <w:vMerge/>
            <w:tcBorders>
              <w:top w:val="nil"/>
              <w:bottom w:val="nil"/>
            </w:tcBorders>
          </w:tcPr>
          <w:p>
            <w:pPr>
              <w:rPr>
                <w:sz w:val="2"/>
                <w:szCs w:val="2"/>
              </w:rPr>
            </w:pPr>
          </w:p>
        </w:tc>
        <w:tc>
          <w:tcPr>
            <w:tcW w:w="1200" w:type="dxa"/>
          </w:tcPr>
          <w:p>
            <w:pPr>
              <w:pStyle w:val="TableParagraph"/>
              <w:spacing w:before="25"/>
              <w:ind w:left="281" w:right="267"/>
              <w:jc w:val="center"/>
              <w:rPr>
                <w:sz w:val="20"/>
              </w:rPr>
            </w:pPr>
            <w:r>
              <w:rPr>
                <w:sz w:val="20"/>
              </w:rPr>
              <w:t>80</w:t>
            </w:r>
          </w:p>
        </w:tc>
        <w:tc>
          <w:tcPr>
            <w:tcW w:w="1200" w:type="dxa"/>
          </w:tcPr>
          <w:p>
            <w:pPr>
              <w:pStyle w:val="TableParagraph"/>
              <w:spacing w:before="11"/>
              <w:ind w:left="282" w:right="267"/>
              <w:jc w:val="center"/>
              <w:rPr>
                <w:sz w:val="20"/>
              </w:rPr>
            </w:pPr>
            <w:r>
              <w:rPr>
                <w:sz w:val="20"/>
              </w:rPr>
              <w:t>60.76</w:t>
            </w:r>
          </w:p>
        </w:tc>
        <w:tc>
          <w:tcPr>
            <w:tcW w:w="1200" w:type="dxa"/>
          </w:tcPr>
          <w:p>
            <w:pPr>
              <w:pStyle w:val="TableParagraph"/>
              <w:spacing w:before="11"/>
              <w:ind w:left="282" w:right="267"/>
              <w:jc w:val="center"/>
              <w:rPr>
                <w:sz w:val="20"/>
              </w:rPr>
            </w:pPr>
            <w:r>
              <w:rPr>
                <w:sz w:val="20"/>
              </w:rPr>
              <w:t>44.68</w:t>
            </w:r>
          </w:p>
        </w:tc>
      </w:tr>
      <w:tr>
        <w:trPr>
          <w:trHeight w:val="345" w:hRule="atLeast"/>
        </w:trPr>
        <w:tc>
          <w:tcPr>
            <w:tcW w:w="1200" w:type="dxa"/>
          </w:tcPr>
          <w:p>
            <w:pPr>
              <w:pStyle w:val="TableParagraph"/>
              <w:ind w:left="498"/>
              <w:rPr>
                <w:sz w:val="20"/>
              </w:rPr>
            </w:pPr>
            <w:r>
              <w:rPr>
                <w:sz w:val="20"/>
              </w:rPr>
              <w:t>28</w:t>
            </w:r>
          </w:p>
        </w:tc>
        <w:tc>
          <w:tcPr>
            <w:tcW w:w="1200" w:type="dxa"/>
          </w:tcPr>
          <w:p>
            <w:pPr>
              <w:pStyle w:val="TableParagraph"/>
              <w:ind w:left="276" w:right="267"/>
              <w:jc w:val="center"/>
              <w:rPr>
                <w:sz w:val="20"/>
              </w:rPr>
            </w:pPr>
            <w:r>
              <w:rPr>
                <w:sz w:val="20"/>
              </w:rPr>
              <w:t>1.29</w:t>
            </w:r>
          </w:p>
        </w:tc>
        <w:tc>
          <w:tcPr>
            <w:tcW w:w="1200" w:type="dxa"/>
          </w:tcPr>
          <w:p>
            <w:pPr>
              <w:pStyle w:val="TableParagraph"/>
              <w:ind w:left="276" w:right="267"/>
              <w:jc w:val="center"/>
              <w:rPr>
                <w:sz w:val="20"/>
              </w:rPr>
            </w:pPr>
            <w:r>
              <w:rPr>
                <w:sz w:val="20"/>
              </w:rPr>
              <w:t>1.34</w:t>
            </w:r>
          </w:p>
        </w:tc>
        <w:tc>
          <w:tcPr>
            <w:tcW w:w="221" w:type="dxa"/>
            <w:vMerge/>
            <w:tcBorders>
              <w:top w:val="nil"/>
              <w:bottom w:val="nil"/>
            </w:tcBorders>
          </w:tcPr>
          <w:p>
            <w:pPr>
              <w:rPr>
                <w:sz w:val="2"/>
                <w:szCs w:val="2"/>
              </w:rPr>
            </w:pPr>
          </w:p>
        </w:tc>
        <w:tc>
          <w:tcPr>
            <w:tcW w:w="1200" w:type="dxa"/>
          </w:tcPr>
          <w:p>
            <w:pPr>
              <w:pStyle w:val="TableParagraph"/>
              <w:spacing w:before="25"/>
              <w:ind w:left="281" w:right="267"/>
              <w:jc w:val="center"/>
              <w:rPr>
                <w:sz w:val="20"/>
              </w:rPr>
            </w:pPr>
            <w:r>
              <w:rPr>
                <w:sz w:val="20"/>
              </w:rPr>
              <w:t>81</w:t>
            </w:r>
          </w:p>
        </w:tc>
        <w:tc>
          <w:tcPr>
            <w:tcW w:w="1200" w:type="dxa"/>
          </w:tcPr>
          <w:p>
            <w:pPr>
              <w:pStyle w:val="TableParagraph"/>
              <w:ind w:left="282" w:right="267"/>
              <w:jc w:val="center"/>
              <w:rPr>
                <w:sz w:val="20"/>
              </w:rPr>
            </w:pPr>
            <w:r>
              <w:rPr>
                <w:sz w:val="20"/>
              </w:rPr>
              <w:t>64.41</w:t>
            </w:r>
          </w:p>
        </w:tc>
        <w:tc>
          <w:tcPr>
            <w:tcW w:w="1200" w:type="dxa"/>
          </w:tcPr>
          <w:p>
            <w:pPr>
              <w:pStyle w:val="TableParagraph"/>
              <w:ind w:left="282" w:right="267"/>
              <w:jc w:val="center"/>
              <w:rPr>
                <w:sz w:val="20"/>
              </w:rPr>
            </w:pPr>
            <w:r>
              <w:rPr>
                <w:sz w:val="20"/>
              </w:rPr>
              <w:t>47.41</w:t>
            </w:r>
          </w:p>
        </w:tc>
      </w:tr>
      <w:tr>
        <w:trPr>
          <w:trHeight w:val="345" w:hRule="atLeast"/>
        </w:trPr>
        <w:tc>
          <w:tcPr>
            <w:tcW w:w="1200" w:type="dxa"/>
          </w:tcPr>
          <w:p>
            <w:pPr>
              <w:pStyle w:val="TableParagraph"/>
              <w:ind w:left="498"/>
              <w:rPr>
                <w:sz w:val="20"/>
              </w:rPr>
            </w:pPr>
            <w:r>
              <w:rPr>
                <w:sz w:val="20"/>
              </w:rPr>
              <w:t>29</w:t>
            </w:r>
          </w:p>
        </w:tc>
        <w:tc>
          <w:tcPr>
            <w:tcW w:w="1200" w:type="dxa"/>
          </w:tcPr>
          <w:p>
            <w:pPr>
              <w:pStyle w:val="TableParagraph"/>
              <w:ind w:left="276" w:right="267"/>
              <w:jc w:val="center"/>
              <w:rPr>
                <w:sz w:val="20"/>
              </w:rPr>
            </w:pPr>
            <w:r>
              <w:rPr>
                <w:sz w:val="20"/>
              </w:rPr>
              <w:t>1.34</w:t>
            </w:r>
          </w:p>
        </w:tc>
        <w:tc>
          <w:tcPr>
            <w:tcW w:w="1200" w:type="dxa"/>
          </w:tcPr>
          <w:p>
            <w:pPr>
              <w:pStyle w:val="TableParagraph"/>
              <w:ind w:left="276" w:right="267"/>
              <w:jc w:val="center"/>
              <w:rPr>
                <w:sz w:val="20"/>
              </w:rPr>
            </w:pPr>
            <w:r>
              <w:rPr>
                <w:sz w:val="20"/>
              </w:rPr>
              <w:t>1.49</w:t>
            </w:r>
          </w:p>
        </w:tc>
        <w:tc>
          <w:tcPr>
            <w:tcW w:w="221" w:type="dxa"/>
            <w:vMerge/>
            <w:tcBorders>
              <w:top w:val="nil"/>
              <w:bottom w:val="nil"/>
            </w:tcBorders>
          </w:tcPr>
          <w:p>
            <w:pPr>
              <w:rPr>
                <w:sz w:val="2"/>
                <w:szCs w:val="2"/>
              </w:rPr>
            </w:pPr>
          </w:p>
        </w:tc>
        <w:tc>
          <w:tcPr>
            <w:tcW w:w="1200" w:type="dxa"/>
          </w:tcPr>
          <w:p>
            <w:pPr>
              <w:pStyle w:val="TableParagraph"/>
              <w:spacing w:before="25"/>
              <w:ind w:left="281" w:right="267"/>
              <w:jc w:val="center"/>
              <w:rPr>
                <w:sz w:val="20"/>
              </w:rPr>
            </w:pPr>
            <w:r>
              <w:rPr>
                <w:sz w:val="20"/>
              </w:rPr>
              <w:t>82</w:t>
            </w:r>
          </w:p>
        </w:tc>
        <w:tc>
          <w:tcPr>
            <w:tcW w:w="1200" w:type="dxa"/>
          </w:tcPr>
          <w:p>
            <w:pPr>
              <w:pStyle w:val="TableParagraph"/>
              <w:ind w:left="281" w:right="267"/>
              <w:jc w:val="center"/>
              <w:rPr>
                <w:sz w:val="20"/>
              </w:rPr>
            </w:pPr>
            <w:r>
              <w:rPr>
                <w:sz w:val="20"/>
              </w:rPr>
              <w:t>67.57</w:t>
            </w:r>
          </w:p>
        </w:tc>
        <w:tc>
          <w:tcPr>
            <w:tcW w:w="1200" w:type="dxa"/>
          </w:tcPr>
          <w:p>
            <w:pPr>
              <w:pStyle w:val="TableParagraph"/>
              <w:ind w:left="282" w:right="267"/>
              <w:jc w:val="center"/>
              <w:rPr>
                <w:sz w:val="20"/>
              </w:rPr>
            </w:pPr>
            <w:r>
              <w:rPr>
                <w:sz w:val="20"/>
              </w:rPr>
              <w:t>50.11</w:t>
            </w:r>
          </w:p>
        </w:tc>
      </w:tr>
      <w:tr>
        <w:trPr>
          <w:trHeight w:val="345" w:hRule="atLeast"/>
        </w:trPr>
        <w:tc>
          <w:tcPr>
            <w:tcW w:w="1200" w:type="dxa"/>
          </w:tcPr>
          <w:p>
            <w:pPr>
              <w:pStyle w:val="TableParagraph"/>
              <w:ind w:left="498"/>
              <w:rPr>
                <w:sz w:val="20"/>
              </w:rPr>
            </w:pPr>
            <w:r>
              <w:rPr>
                <w:sz w:val="20"/>
              </w:rPr>
              <w:t>30</w:t>
            </w:r>
          </w:p>
        </w:tc>
        <w:tc>
          <w:tcPr>
            <w:tcW w:w="1200" w:type="dxa"/>
          </w:tcPr>
          <w:p>
            <w:pPr>
              <w:pStyle w:val="TableParagraph"/>
              <w:ind w:left="276" w:right="267"/>
              <w:jc w:val="center"/>
              <w:rPr>
                <w:sz w:val="20"/>
              </w:rPr>
            </w:pPr>
            <w:r>
              <w:rPr>
                <w:sz w:val="20"/>
              </w:rPr>
              <w:t>1.40</w:t>
            </w:r>
          </w:p>
        </w:tc>
        <w:tc>
          <w:tcPr>
            <w:tcW w:w="1200" w:type="dxa"/>
          </w:tcPr>
          <w:p>
            <w:pPr>
              <w:pStyle w:val="TableParagraph"/>
              <w:ind w:left="276" w:right="267"/>
              <w:jc w:val="center"/>
              <w:rPr>
                <w:sz w:val="20"/>
              </w:rPr>
            </w:pPr>
            <w:r>
              <w:rPr>
                <w:sz w:val="20"/>
              </w:rPr>
              <w:t>1.66</w:t>
            </w:r>
          </w:p>
        </w:tc>
        <w:tc>
          <w:tcPr>
            <w:tcW w:w="221" w:type="dxa"/>
            <w:vMerge/>
            <w:tcBorders>
              <w:top w:val="nil"/>
              <w:bottom w:val="nil"/>
            </w:tcBorders>
          </w:tcPr>
          <w:p>
            <w:pPr>
              <w:rPr>
                <w:sz w:val="2"/>
                <w:szCs w:val="2"/>
              </w:rPr>
            </w:pPr>
          </w:p>
        </w:tc>
        <w:tc>
          <w:tcPr>
            <w:tcW w:w="1200" w:type="dxa"/>
          </w:tcPr>
          <w:p>
            <w:pPr>
              <w:pStyle w:val="TableParagraph"/>
              <w:spacing w:before="25"/>
              <w:ind w:left="281" w:right="267"/>
              <w:jc w:val="center"/>
              <w:rPr>
                <w:sz w:val="20"/>
              </w:rPr>
            </w:pPr>
            <w:r>
              <w:rPr>
                <w:sz w:val="20"/>
              </w:rPr>
              <w:t>83</w:t>
            </w:r>
          </w:p>
        </w:tc>
        <w:tc>
          <w:tcPr>
            <w:tcW w:w="1200" w:type="dxa"/>
          </w:tcPr>
          <w:p>
            <w:pPr>
              <w:pStyle w:val="TableParagraph"/>
              <w:ind w:left="282" w:right="267"/>
              <w:jc w:val="center"/>
              <w:rPr>
                <w:sz w:val="20"/>
              </w:rPr>
            </w:pPr>
            <w:r>
              <w:rPr>
                <w:sz w:val="20"/>
              </w:rPr>
              <w:t>71.86</w:t>
            </w:r>
          </w:p>
        </w:tc>
        <w:tc>
          <w:tcPr>
            <w:tcW w:w="1200" w:type="dxa"/>
          </w:tcPr>
          <w:p>
            <w:pPr>
              <w:pStyle w:val="TableParagraph"/>
              <w:ind w:left="282" w:right="267"/>
              <w:jc w:val="center"/>
              <w:rPr>
                <w:sz w:val="20"/>
              </w:rPr>
            </w:pPr>
            <w:r>
              <w:rPr>
                <w:sz w:val="20"/>
              </w:rPr>
              <w:t>52.69</w:t>
            </w:r>
          </w:p>
        </w:tc>
      </w:tr>
      <w:tr>
        <w:trPr>
          <w:trHeight w:val="359" w:hRule="atLeast"/>
        </w:trPr>
        <w:tc>
          <w:tcPr>
            <w:tcW w:w="1200" w:type="dxa"/>
          </w:tcPr>
          <w:p>
            <w:pPr>
              <w:pStyle w:val="TableParagraph"/>
              <w:spacing w:before="16"/>
              <w:ind w:left="498"/>
              <w:rPr>
                <w:sz w:val="20"/>
              </w:rPr>
            </w:pPr>
            <w:r>
              <w:rPr>
                <w:sz w:val="20"/>
              </w:rPr>
              <w:t>31</w:t>
            </w:r>
          </w:p>
        </w:tc>
        <w:tc>
          <w:tcPr>
            <w:tcW w:w="1200" w:type="dxa"/>
          </w:tcPr>
          <w:p>
            <w:pPr>
              <w:pStyle w:val="TableParagraph"/>
              <w:spacing w:before="16"/>
              <w:ind w:left="276" w:right="267"/>
              <w:jc w:val="center"/>
              <w:rPr>
                <w:sz w:val="20"/>
              </w:rPr>
            </w:pPr>
            <w:r>
              <w:rPr>
                <w:sz w:val="20"/>
              </w:rPr>
              <w:t>1.49</w:t>
            </w:r>
          </w:p>
        </w:tc>
        <w:tc>
          <w:tcPr>
            <w:tcW w:w="1200" w:type="dxa"/>
          </w:tcPr>
          <w:p>
            <w:pPr>
              <w:pStyle w:val="TableParagraph"/>
              <w:spacing w:before="16"/>
              <w:ind w:left="276" w:right="267"/>
              <w:jc w:val="center"/>
              <w:rPr>
                <w:sz w:val="20"/>
              </w:rPr>
            </w:pPr>
            <w:r>
              <w:rPr>
                <w:sz w:val="20"/>
              </w:rPr>
              <w:t>1.85</w:t>
            </w:r>
          </w:p>
        </w:tc>
        <w:tc>
          <w:tcPr>
            <w:tcW w:w="221" w:type="dxa"/>
            <w:vMerge/>
            <w:tcBorders>
              <w:top w:val="nil"/>
              <w:bottom w:val="nil"/>
            </w:tcBorders>
          </w:tcPr>
          <w:p>
            <w:pPr>
              <w:rPr>
                <w:sz w:val="2"/>
                <w:szCs w:val="2"/>
              </w:rPr>
            </w:pPr>
          </w:p>
        </w:tc>
        <w:tc>
          <w:tcPr>
            <w:tcW w:w="1200" w:type="dxa"/>
          </w:tcPr>
          <w:p>
            <w:pPr>
              <w:pStyle w:val="TableParagraph"/>
              <w:spacing w:before="39"/>
              <w:ind w:left="281" w:right="267"/>
              <w:jc w:val="center"/>
              <w:rPr>
                <w:sz w:val="20"/>
              </w:rPr>
            </w:pPr>
            <w:r>
              <w:rPr>
                <w:sz w:val="20"/>
              </w:rPr>
              <w:t>84</w:t>
            </w:r>
          </w:p>
        </w:tc>
        <w:tc>
          <w:tcPr>
            <w:tcW w:w="1200" w:type="dxa"/>
          </w:tcPr>
          <w:p>
            <w:pPr>
              <w:pStyle w:val="TableParagraph"/>
              <w:spacing w:before="16"/>
              <w:ind w:left="282" w:right="267"/>
              <w:jc w:val="center"/>
              <w:rPr>
                <w:sz w:val="20"/>
              </w:rPr>
            </w:pPr>
            <w:r>
              <w:rPr>
                <w:sz w:val="20"/>
              </w:rPr>
              <w:t>75.58</w:t>
            </w:r>
          </w:p>
        </w:tc>
        <w:tc>
          <w:tcPr>
            <w:tcW w:w="1200" w:type="dxa"/>
          </w:tcPr>
          <w:p>
            <w:pPr>
              <w:pStyle w:val="TableParagraph"/>
              <w:spacing w:before="16"/>
              <w:ind w:left="282" w:right="267"/>
              <w:jc w:val="center"/>
              <w:rPr>
                <w:sz w:val="20"/>
              </w:rPr>
            </w:pPr>
            <w:r>
              <w:rPr>
                <w:sz w:val="20"/>
              </w:rPr>
              <w:t>55.73</w:t>
            </w:r>
          </w:p>
        </w:tc>
      </w:tr>
      <w:tr>
        <w:trPr>
          <w:trHeight w:val="345" w:hRule="atLeast"/>
        </w:trPr>
        <w:tc>
          <w:tcPr>
            <w:tcW w:w="1200" w:type="dxa"/>
          </w:tcPr>
          <w:p>
            <w:pPr>
              <w:pStyle w:val="TableParagraph"/>
              <w:ind w:left="498"/>
              <w:rPr>
                <w:sz w:val="20"/>
              </w:rPr>
            </w:pPr>
            <w:r>
              <w:rPr>
                <w:sz w:val="20"/>
              </w:rPr>
              <w:t>32</w:t>
            </w:r>
          </w:p>
        </w:tc>
        <w:tc>
          <w:tcPr>
            <w:tcW w:w="1200" w:type="dxa"/>
          </w:tcPr>
          <w:p>
            <w:pPr>
              <w:pStyle w:val="TableParagraph"/>
              <w:ind w:left="276" w:right="267"/>
              <w:jc w:val="center"/>
              <w:rPr>
                <w:sz w:val="20"/>
              </w:rPr>
            </w:pPr>
            <w:r>
              <w:rPr>
                <w:sz w:val="20"/>
              </w:rPr>
              <w:t>1.59</w:t>
            </w:r>
          </w:p>
        </w:tc>
        <w:tc>
          <w:tcPr>
            <w:tcW w:w="1200" w:type="dxa"/>
          </w:tcPr>
          <w:p>
            <w:pPr>
              <w:pStyle w:val="TableParagraph"/>
              <w:ind w:left="276" w:right="267"/>
              <w:jc w:val="center"/>
              <w:rPr>
                <w:sz w:val="20"/>
              </w:rPr>
            </w:pPr>
            <w:r>
              <w:rPr>
                <w:sz w:val="20"/>
              </w:rPr>
              <w:t>2.05</w:t>
            </w:r>
          </w:p>
        </w:tc>
        <w:tc>
          <w:tcPr>
            <w:tcW w:w="221" w:type="dxa"/>
            <w:vMerge/>
            <w:tcBorders>
              <w:top w:val="nil"/>
              <w:bottom w:val="nil"/>
            </w:tcBorders>
          </w:tcPr>
          <w:p>
            <w:pPr>
              <w:rPr>
                <w:sz w:val="2"/>
                <w:szCs w:val="2"/>
              </w:rPr>
            </w:pPr>
          </w:p>
        </w:tc>
        <w:tc>
          <w:tcPr>
            <w:tcW w:w="1200" w:type="dxa"/>
          </w:tcPr>
          <w:p>
            <w:pPr>
              <w:pStyle w:val="TableParagraph"/>
              <w:spacing w:before="25"/>
              <w:ind w:left="281" w:right="267"/>
              <w:jc w:val="center"/>
              <w:rPr>
                <w:sz w:val="20"/>
              </w:rPr>
            </w:pPr>
            <w:r>
              <w:rPr>
                <w:sz w:val="20"/>
              </w:rPr>
              <w:t>85</w:t>
            </w:r>
          </w:p>
        </w:tc>
        <w:tc>
          <w:tcPr>
            <w:tcW w:w="1200" w:type="dxa"/>
          </w:tcPr>
          <w:p>
            <w:pPr>
              <w:pStyle w:val="TableParagraph"/>
              <w:ind w:left="282" w:right="267"/>
              <w:jc w:val="center"/>
              <w:rPr>
                <w:sz w:val="20"/>
              </w:rPr>
            </w:pPr>
            <w:r>
              <w:rPr>
                <w:sz w:val="20"/>
              </w:rPr>
              <w:t>80.08</w:t>
            </w:r>
          </w:p>
        </w:tc>
        <w:tc>
          <w:tcPr>
            <w:tcW w:w="1200" w:type="dxa"/>
          </w:tcPr>
          <w:p>
            <w:pPr>
              <w:pStyle w:val="TableParagraph"/>
              <w:ind w:left="282" w:right="267"/>
              <w:jc w:val="center"/>
              <w:rPr>
                <w:sz w:val="20"/>
              </w:rPr>
            </w:pPr>
            <w:r>
              <w:rPr>
                <w:sz w:val="20"/>
              </w:rPr>
              <w:t>58.19</w:t>
            </w:r>
          </w:p>
        </w:tc>
      </w:tr>
      <w:tr>
        <w:trPr>
          <w:trHeight w:val="345" w:hRule="atLeast"/>
        </w:trPr>
        <w:tc>
          <w:tcPr>
            <w:tcW w:w="1200" w:type="dxa"/>
          </w:tcPr>
          <w:p>
            <w:pPr>
              <w:pStyle w:val="TableParagraph"/>
              <w:ind w:left="498"/>
              <w:rPr>
                <w:sz w:val="20"/>
              </w:rPr>
            </w:pPr>
            <w:r>
              <w:rPr>
                <w:sz w:val="20"/>
              </w:rPr>
              <w:t>33</w:t>
            </w:r>
          </w:p>
        </w:tc>
        <w:tc>
          <w:tcPr>
            <w:tcW w:w="1200" w:type="dxa"/>
          </w:tcPr>
          <w:p>
            <w:pPr>
              <w:pStyle w:val="TableParagraph"/>
              <w:ind w:left="276" w:right="267"/>
              <w:jc w:val="center"/>
              <w:rPr>
                <w:sz w:val="20"/>
              </w:rPr>
            </w:pPr>
            <w:r>
              <w:rPr>
                <w:sz w:val="20"/>
              </w:rPr>
              <w:t>1.71</w:t>
            </w:r>
          </w:p>
        </w:tc>
        <w:tc>
          <w:tcPr>
            <w:tcW w:w="1200" w:type="dxa"/>
          </w:tcPr>
          <w:p>
            <w:pPr>
              <w:pStyle w:val="TableParagraph"/>
              <w:ind w:left="276" w:right="267"/>
              <w:jc w:val="center"/>
              <w:rPr>
                <w:sz w:val="20"/>
              </w:rPr>
            </w:pPr>
            <w:r>
              <w:rPr>
                <w:sz w:val="20"/>
              </w:rPr>
              <w:t>2.27</w:t>
            </w:r>
          </w:p>
        </w:tc>
        <w:tc>
          <w:tcPr>
            <w:tcW w:w="221" w:type="dxa"/>
            <w:vMerge/>
            <w:tcBorders>
              <w:top w:val="nil"/>
              <w:bottom w:val="nil"/>
            </w:tcBorders>
          </w:tcPr>
          <w:p>
            <w:pPr>
              <w:rPr>
                <w:sz w:val="2"/>
                <w:szCs w:val="2"/>
              </w:rPr>
            </w:pPr>
          </w:p>
        </w:tc>
        <w:tc>
          <w:tcPr>
            <w:tcW w:w="1200" w:type="dxa"/>
          </w:tcPr>
          <w:p>
            <w:pPr>
              <w:pStyle w:val="TableParagraph"/>
              <w:spacing w:before="25"/>
              <w:ind w:left="281" w:right="267"/>
              <w:jc w:val="center"/>
              <w:rPr>
                <w:sz w:val="20"/>
              </w:rPr>
            </w:pPr>
            <w:r>
              <w:rPr>
                <w:sz w:val="20"/>
              </w:rPr>
              <w:t>86</w:t>
            </w:r>
          </w:p>
        </w:tc>
        <w:tc>
          <w:tcPr>
            <w:tcW w:w="1200" w:type="dxa"/>
          </w:tcPr>
          <w:p>
            <w:pPr>
              <w:pStyle w:val="TableParagraph"/>
              <w:ind w:left="282" w:right="267"/>
              <w:jc w:val="center"/>
              <w:rPr>
                <w:sz w:val="20"/>
              </w:rPr>
            </w:pPr>
            <w:r>
              <w:rPr>
                <w:sz w:val="20"/>
              </w:rPr>
              <w:t>84.53</w:t>
            </w:r>
          </w:p>
        </w:tc>
        <w:tc>
          <w:tcPr>
            <w:tcW w:w="1200" w:type="dxa"/>
          </w:tcPr>
          <w:p>
            <w:pPr>
              <w:pStyle w:val="TableParagraph"/>
              <w:ind w:left="282" w:right="267"/>
              <w:jc w:val="center"/>
              <w:rPr>
                <w:sz w:val="20"/>
              </w:rPr>
            </w:pPr>
            <w:r>
              <w:rPr>
                <w:sz w:val="20"/>
              </w:rPr>
              <w:t>61.50</w:t>
            </w:r>
          </w:p>
        </w:tc>
      </w:tr>
    </w:tbl>
    <w:p>
      <w:pPr>
        <w:spacing w:after="0"/>
        <w:jc w:val="center"/>
        <w:rPr>
          <w:sz w:val="20"/>
        </w:rPr>
        <w:sectPr>
          <w:pgSz w:w="11910" w:h="16840"/>
          <w:pgMar w:header="0" w:footer="921" w:top="1380" w:bottom="1120" w:left="1200" w:right="1220"/>
        </w:sectPr>
      </w:pPr>
    </w:p>
    <w:tbl>
      <w:tblPr>
        <w:tblW w:w="0" w:type="auto"/>
        <w:jc w:val="left"/>
        <w:tblInd w:w="10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0"/>
        <w:gridCol w:w="1200"/>
        <w:gridCol w:w="1200"/>
        <w:gridCol w:w="221"/>
        <w:gridCol w:w="1200"/>
        <w:gridCol w:w="1200"/>
        <w:gridCol w:w="1200"/>
      </w:tblGrid>
      <w:tr>
        <w:trPr>
          <w:trHeight w:val="345" w:hRule="atLeast"/>
        </w:trPr>
        <w:tc>
          <w:tcPr>
            <w:tcW w:w="1200" w:type="dxa"/>
            <w:tcBorders>
              <w:top w:val="nil"/>
            </w:tcBorders>
          </w:tcPr>
          <w:p>
            <w:pPr>
              <w:pStyle w:val="TableParagraph"/>
              <w:ind w:left="276" w:right="267"/>
              <w:jc w:val="center"/>
              <w:rPr>
                <w:sz w:val="20"/>
              </w:rPr>
            </w:pPr>
            <w:r>
              <w:rPr>
                <w:sz w:val="20"/>
              </w:rPr>
              <w:t>34</w:t>
            </w:r>
          </w:p>
        </w:tc>
        <w:tc>
          <w:tcPr>
            <w:tcW w:w="1200" w:type="dxa"/>
            <w:tcBorders>
              <w:top w:val="nil"/>
            </w:tcBorders>
          </w:tcPr>
          <w:p>
            <w:pPr>
              <w:pStyle w:val="TableParagraph"/>
              <w:ind w:left="398"/>
              <w:rPr>
                <w:sz w:val="20"/>
              </w:rPr>
            </w:pPr>
            <w:r>
              <w:rPr>
                <w:sz w:val="20"/>
              </w:rPr>
              <w:t>1.87</w:t>
            </w:r>
          </w:p>
        </w:tc>
        <w:tc>
          <w:tcPr>
            <w:tcW w:w="1200" w:type="dxa"/>
            <w:tcBorders>
              <w:top w:val="nil"/>
            </w:tcBorders>
          </w:tcPr>
          <w:p>
            <w:pPr>
              <w:pStyle w:val="TableParagraph"/>
              <w:ind w:left="398"/>
              <w:rPr>
                <w:sz w:val="20"/>
              </w:rPr>
            </w:pPr>
            <w:r>
              <w:rPr>
                <w:sz w:val="20"/>
              </w:rPr>
              <w:t>2.52</w:t>
            </w:r>
          </w:p>
        </w:tc>
        <w:tc>
          <w:tcPr>
            <w:tcW w:w="221" w:type="dxa"/>
            <w:vMerge w:val="restart"/>
            <w:tcBorders>
              <w:bottom w:val="nil"/>
            </w:tcBorders>
          </w:tcPr>
          <w:p>
            <w:pPr>
              <w:pStyle w:val="TableParagraph"/>
              <w:spacing w:before="0"/>
              <w:ind w:left="0"/>
              <w:rPr>
                <w:rFonts w:ascii="Times New Roman"/>
                <w:sz w:val="18"/>
              </w:rPr>
            </w:pPr>
          </w:p>
        </w:tc>
        <w:tc>
          <w:tcPr>
            <w:tcW w:w="1200" w:type="dxa"/>
            <w:tcBorders>
              <w:top w:val="nil"/>
            </w:tcBorders>
          </w:tcPr>
          <w:p>
            <w:pPr>
              <w:pStyle w:val="TableParagraph"/>
              <w:spacing w:before="25"/>
              <w:ind w:left="0" w:right="485"/>
              <w:jc w:val="right"/>
              <w:rPr>
                <w:sz w:val="20"/>
              </w:rPr>
            </w:pPr>
            <w:r>
              <w:rPr>
                <w:sz w:val="20"/>
              </w:rPr>
              <w:t>87</w:t>
            </w:r>
          </w:p>
        </w:tc>
        <w:tc>
          <w:tcPr>
            <w:tcW w:w="1200" w:type="dxa"/>
            <w:tcBorders>
              <w:top w:val="nil"/>
            </w:tcBorders>
          </w:tcPr>
          <w:p>
            <w:pPr>
              <w:pStyle w:val="TableParagraph"/>
              <w:ind w:left="282" w:right="267"/>
              <w:jc w:val="center"/>
              <w:rPr>
                <w:sz w:val="20"/>
              </w:rPr>
            </w:pPr>
            <w:r>
              <w:rPr>
                <w:sz w:val="20"/>
              </w:rPr>
              <w:t>89.63</w:t>
            </w:r>
          </w:p>
        </w:tc>
        <w:tc>
          <w:tcPr>
            <w:tcW w:w="1200" w:type="dxa"/>
            <w:tcBorders>
              <w:top w:val="nil"/>
            </w:tcBorders>
          </w:tcPr>
          <w:p>
            <w:pPr>
              <w:pStyle w:val="TableParagraph"/>
              <w:ind w:left="282" w:right="267"/>
              <w:jc w:val="center"/>
              <w:rPr>
                <w:sz w:val="20"/>
              </w:rPr>
            </w:pPr>
            <w:r>
              <w:rPr>
                <w:sz w:val="20"/>
              </w:rPr>
              <w:t>65.14</w:t>
            </w:r>
          </w:p>
        </w:tc>
      </w:tr>
      <w:tr>
        <w:trPr>
          <w:trHeight w:val="345" w:hRule="atLeast"/>
        </w:trPr>
        <w:tc>
          <w:tcPr>
            <w:tcW w:w="1200" w:type="dxa"/>
          </w:tcPr>
          <w:p>
            <w:pPr>
              <w:pStyle w:val="TableParagraph"/>
              <w:ind w:left="276" w:right="267"/>
              <w:jc w:val="center"/>
              <w:rPr>
                <w:sz w:val="20"/>
              </w:rPr>
            </w:pPr>
            <w:r>
              <w:rPr>
                <w:sz w:val="20"/>
              </w:rPr>
              <w:t>35</w:t>
            </w:r>
          </w:p>
        </w:tc>
        <w:tc>
          <w:tcPr>
            <w:tcW w:w="1200" w:type="dxa"/>
          </w:tcPr>
          <w:p>
            <w:pPr>
              <w:pStyle w:val="TableParagraph"/>
              <w:ind w:left="398"/>
              <w:rPr>
                <w:sz w:val="20"/>
              </w:rPr>
            </w:pPr>
            <w:r>
              <w:rPr>
                <w:sz w:val="20"/>
              </w:rPr>
              <w:t>2.07</w:t>
            </w:r>
          </w:p>
        </w:tc>
        <w:tc>
          <w:tcPr>
            <w:tcW w:w="1200" w:type="dxa"/>
          </w:tcPr>
          <w:p>
            <w:pPr>
              <w:pStyle w:val="TableParagraph"/>
              <w:ind w:left="398"/>
              <w:rPr>
                <w:sz w:val="20"/>
              </w:rPr>
            </w:pPr>
            <w:r>
              <w:rPr>
                <w:sz w:val="20"/>
              </w:rPr>
              <w:t>2.78</w:t>
            </w:r>
          </w:p>
        </w:tc>
        <w:tc>
          <w:tcPr>
            <w:tcW w:w="221" w:type="dxa"/>
            <w:vMerge/>
            <w:tcBorders>
              <w:top w:val="nil"/>
              <w:bottom w:val="nil"/>
            </w:tcBorders>
          </w:tcPr>
          <w:p>
            <w:pPr>
              <w:rPr>
                <w:sz w:val="2"/>
                <w:szCs w:val="2"/>
              </w:rPr>
            </w:pPr>
          </w:p>
        </w:tc>
        <w:tc>
          <w:tcPr>
            <w:tcW w:w="1200" w:type="dxa"/>
          </w:tcPr>
          <w:p>
            <w:pPr>
              <w:pStyle w:val="TableParagraph"/>
              <w:spacing w:before="25"/>
              <w:ind w:left="0" w:right="485"/>
              <w:jc w:val="right"/>
              <w:rPr>
                <w:sz w:val="20"/>
              </w:rPr>
            </w:pPr>
            <w:r>
              <w:rPr>
                <w:sz w:val="20"/>
              </w:rPr>
              <w:t>88</w:t>
            </w:r>
          </w:p>
        </w:tc>
        <w:tc>
          <w:tcPr>
            <w:tcW w:w="1200" w:type="dxa"/>
          </w:tcPr>
          <w:p>
            <w:pPr>
              <w:pStyle w:val="TableParagraph"/>
              <w:ind w:left="282" w:right="267"/>
              <w:jc w:val="center"/>
              <w:rPr>
                <w:sz w:val="20"/>
              </w:rPr>
            </w:pPr>
            <w:r>
              <w:rPr>
                <w:sz w:val="20"/>
              </w:rPr>
              <w:t>94.63</w:t>
            </w:r>
          </w:p>
        </w:tc>
        <w:tc>
          <w:tcPr>
            <w:tcW w:w="1200" w:type="dxa"/>
          </w:tcPr>
          <w:p>
            <w:pPr>
              <w:pStyle w:val="TableParagraph"/>
              <w:ind w:left="282" w:right="267"/>
              <w:jc w:val="center"/>
              <w:rPr>
                <w:sz w:val="20"/>
              </w:rPr>
            </w:pPr>
            <w:r>
              <w:rPr>
                <w:sz w:val="20"/>
              </w:rPr>
              <w:t>69.50</w:t>
            </w:r>
          </w:p>
        </w:tc>
      </w:tr>
      <w:tr>
        <w:trPr>
          <w:trHeight w:val="359" w:hRule="atLeast"/>
        </w:trPr>
        <w:tc>
          <w:tcPr>
            <w:tcW w:w="1200" w:type="dxa"/>
          </w:tcPr>
          <w:p>
            <w:pPr>
              <w:pStyle w:val="TableParagraph"/>
              <w:spacing w:before="16"/>
              <w:ind w:left="276" w:right="267"/>
              <w:jc w:val="center"/>
              <w:rPr>
                <w:sz w:val="20"/>
              </w:rPr>
            </w:pPr>
            <w:r>
              <w:rPr>
                <w:sz w:val="20"/>
              </w:rPr>
              <w:t>36</w:t>
            </w:r>
          </w:p>
        </w:tc>
        <w:tc>
          <w:tcPr>
            <w:tcW w:w="1200" w:type="dxa"/>
          </w:tcPr>
          <w:p>
            <w:pPr>
              <w:pStyle w:val="TableParagraph"/>
              <w:spacing w:before="16"/>
              <w:ind w:left="398"/>
              <w:rPr>
                <w:sz w:val="20"/>
              </w:rPr>
            </w:pPr>
            <w:r>
              <w:rPr>
                <w:sz w:val="20"/>
              </w:rPr>
              <w:t>2.31</w:t>
            </w:r>
          </w:p>
        </w:tc>
        <w:tc>
          <w:tcPr>
            <w:tcW w:w="1200" w:type="dxa"/>
          </w:tcPr>
          <w:p>
            <w:pPr>
              <w:pStyle w:val="TableParagraph"/>
              <w:spacing w:before="16"/>
              <w:ind w:left="398"/>
              <w:rPr>
                <w:sz w:val="20"/>
              </w:rPr>
            </w:pPr>
            <w:r>
              <w:rPr>
                <w:sz w:val="20"/>
              </w:rPr>
              <w:t>3.07</w:t>
            </w:r>
          </w:p>
        </w:tc>
        <w:tc>
          <w:tcPr>
            <w:tcW w:w="221" w:type="dxa"/>
            <w:vMerge/>
            <w:tcBorders>
              <w:top w:val="nil"/>
              <w:bottom w:val="nil"/>
            </w:tcBorders>
          </w:tcPr>
          <w:p>
            <w:pPr>
              <w:rPr>
                <w:sz w:val="2"/>
                <w:szCs w:val="2"/>
              </w:rPr>
            </w:pPr>
          </w:p>
        </w:tc>
        <w:tc>
          <w:tcPr>
            <w:tcW w:w="1200" w:type="dxa"/>
          </w:tcPr>
          <w:p>
            <w:pPr>
              <w:pStyle w:val="TableParagraph"/>
              <w:spacing w:before="39"/>
              <w:ind w:left="0" w:right="485"/>
              <w:jc w:val="right"/>
              <w:rPr>
                <w:sz w:val="20"/>
              </w:rPr>
            </w:pPr>
            <w:r>
              <w:rPr>
                <w:sz w:val="20"/>
              </w:rPr>
              <w:t>89</w:t>
            </w:r>
          </w:p>
        </w:tc>
        <w:tc>
          <w:tcPr>
            <w:tcW w:w="1200" w:type="dxa"/>
          </w:tcPr>
          <w:p>
            <w:pPr>
              <w:pStyle w:val="TableParagraph"/>
              <w:spacing w:before="16"/>
              <w:ind w:left="282" w:right="267"/>
              <w:jc w:val="center"/>
              <w:rPr>
                <w:sz w:val="20"/>
              </w:rPr>
            </w:pPr>
            <w:r>
              <w:rPr>
                <w:sz w:val="20"/>
              </w:rPr>
              <w:t>99.47</w:t>
            </w:r>
          </w:p>
        </w:tc>
        <w:tc>
          <w:tcPr>
            <w:tcW w:w="1200" w:type="dxa"/>
          </w:tcPr>
          <w:p>
            <w:pPr>
              <w:pStyle w:val="TableParagraph"/>
              <w:spacing w:before="16"/>
              <w:ind w:left="282" w:right="267"/>
              <w:jc w:val="center"/>
              <w:rPr>
                <w:sz w:val="20"/>
              </w:rPr>
            </w:pPr>
            <w:r>
              <w:rPr>
                <w:sz w:val="20"/>
              </w:rPr>
              <w:t>73.67</w:t>
            </w:r>
          </w:p>
        </w:tc>
      </w:tr>
      <w:tr>
        <w:trPr>
          <w:trHeight w:val="345" w:hRule="atLeast"/>
        </w:trPr>
        <w:tc>
          <w:tcPr>
            <w:tcW w:w="1200" w:type="dxa"/>
          </w:tcPr>
          <w:p>
            <w:pPr>
              <w:pStyle w:val="TableParagraph"/>
              <w:ind w:left="276" w:right="267"/>
              <w:jc w:val="center"/>
              <w:rPr>
                <w:sz w:val="20"/>
              </w:rPr>
            </w:pPr>
            <w:r>
              <w:rPr>
                <w:sz w:val="20"/>
              </w:rPr>
              <w:t>37</w:t>
            </w:r>
          </w:p>
        </w:tc>
        <w:tc>
          <w:tcPr>
            <w:tcW w:w="1200" w:type="dxa"/>
          </w:tcPr>
          <w:p>
            <w:pPr>
              <w:pStyle w:val="TableParagraph"/>
              <w:ind w:left="398"/>
              <w:rPr>
                <w:sz w:val="20"/>
              </w:rPr>
            </w:pPr>
            <w:r>
              <w:rPr>
                <w:sz w:val="20"/>
              </w:rPr>
              <w:t>2.61</w:t>
            </w:r>
          </w:p>
        </w:tc>
        <w:tc>
          <w:tcPr>
            <w:tcW w:w="1200" w:type="dxa"/>
          </w:tcPr>
          <w:p>
            <w:pPr>
              <w:pStyle w:val="TableParagraph"/>
              <w:ind w:left="398"/>
              <w:rPr>
                <w:sz w:val="20"/>
              </w:rPr>
            </w:pPr>
            <w:r>
              <w:rPr>
                <w:sz w:val="20"/>
              </w:rPr>
              <w:t>3.38</w:t>
            </w:r>
          </w:p>
        </w:tc>
        <w:tc>
          <w:tcPr>
            <w:tcW w:w="221" w:type="dxa"/>
            <w:vMerge/>
            <w:tcBorders>
              <w:top w:val="nil"/>
              <w:bottom w:val="nil"/>
            </w:tcBorders>
          </w:tcPr>
          <w:p>
            <w:pPr>
              <w:rPr>
                <w:sz w:val="2"/>
                <w:szCs w:val="2"/>
              </w:rPr>
            </w:pPr>
          </w:p>
        </w:tc>
        <w:tc>
          <w:tcPr>
            <w:tcW w:w="1200" w:type="dxa"/>
          </w:tcPr>
          <w:p>
            <w:pPr>
              <w:pStyle w:val="TableParagraph"/>
              <w:spacing w:before="25"/>
              <w:ind w:left="0" w:right="485"/>
              <w:jc w:val="right"/>
              <w:rPr>
                <w:sz w:val="20"/>
              </w:rPr>
            </w:pPr>
            <w:r>
              <w:rPr>
                <w:sz w:val="20"/>
              </w:rPr>
              <w:t>90</w:t>
            </w:r>
          </w:p>
        </w:tc>
        <w:tc>
          <w:tcPr>
            <w:tcW w:w="1200" w:type="dxa"/>
          </w:tcPr>
          <w:p>
            <w:pPr>
              <w:pStyle w:val="TableParagraph"/>
              <w:ind w:left="283" w:right="267"/>
              <w:jc w:val="center"/>
              <w:rPr>
                <w:sz w:val="20"/>
              </w:rPr>
            </w:pPr>
            <w:r>
              <w:rPr>
                <w:sz w:val="20"/>
              </w:rPr>
              <w:t>105.43</w:t>
            </w:r>
          </w:p>
        </w:tc>
        <w:tc>
          <w:tcPr>
            <w:tcW w:w="1200" w:type="dxa"/>
          </w:tcPr>
          <w:p>
            <w:pPr>
              <w:pStyle w:val="TableParagraph"/>
              <w:ind w:left="282" w:right="267"/>
              <w:jc w:val="center"/>
              <w:rPr>
                <w:sz w:val="20"/>
              </w:rPr>
            </w:pPr>
            <w:r>
              <w:rPr>
                <w:sz w:val="20"/>
              </w:rPr>
              <w:t>78.16</w:t>
            </w:r>
          </w:p>
        </w:tc>
      </w:tr>
      <w:tr>
        <w:trPr>
          <w:trHeight w:val="345" w:hRule="atLeast"/>
        </w:trPr>
        <w:tc>
          <w:tcPr>
            <w:tcW w:w="1200" w:type="dxa"/>
          </w:tcPr>
          <w:p>
            <w:pPr>
              <w:pStyle w:val="TableParagraph"/>
              <w:ind w:left="276" w:right="267"/>
              <w:jc w:val="center"/>
              <w:rPr>
                <w:sz w:val="20"/>
              </w:rPr>
            </w:pPr>
            <w:r>
              <w:rPr>
                <w:sz w:val="20"/>
              </w:rPr>
              <w:t>38</w:t>
            </w:r>
          </w:p>
        </w:tc>
        <w:tc>
          <w:tcPr>
            <w:tcW w:w="1200" w:type="dxa"/>
          </w:tcPr>
          <w:p>
            <w:pPr>
              <w:pStyle w:val="TableParagraph"/>
              <w:ind w:left="398"/>
              <w:rPr>
                <w:sz w:val="20"/>
              </w:rPr>
            </w:pPr>
            <w:r>
              <w:rPr>
                <w:sz w:val="20"/>
              </w:rPr>
              <w:t>2.95</w:t>
            </w:r>
          </w:p>
        </w:tc>
        <w:tc>
          <w:tcPr>
            <w:tcW w:w="1200" w:type="dxa"/>
          </w:tcPr>
          <w:p>
            <w:pPr>
              <w:pStyle w:val="TableParagraph"/>
              <w:ind w:left="398"/>
              <w:rPr>
                <w:sz w:val="20"/>
              </w:rPr>
            </w:pPr>
            <w:r>
              <w:rPr>
                <w:sz w:val="20"/>
              </w:rPr>
              <w:t>3.70</w:t>
            </w:r>
          </w:p>
        </w:tc>
        <w:tc>
          <w:tcPr>
            <w:tcW w:w="221" w:type="dxa"/>
            <w:vMerge/>
            <w:tcBorders>
              <w:top w:val="nil"/>
              <w:bottom w:val="nil"/>
            </w:tcBorders>
          </w:tcPr>
          <w:p>
            <w:pPr>
              <w:rPr>
                <w:sz w:val="2"/>
                <w:szCs w:val="2"/>
              </w:rPr>
            </w:pPr>
          </w:p>
        </w:tc>
        <w:tc>
          <w:tcPr>
            <w:tcW w:w="1200" w:type="dxa"/>
          </w:tcPr>
          <w:p>
            <w:pPr>
              <w:pStyle w:val="TableParagraph"/>
              <w:spacing w:before="25"/>
              <w:ind w:left="0" w:right="485"/>
              <w:jc w:val="right"/>
              <w:rPr>
                <w:sz w:val="20"/>
              </w:rPr>
            </w:pPr>
            <w:r>
              <w:rPr>
                <w:sz w:val="20"/>
              </w:rPr>
              <w:t>91</w:t>
            </w:r>
          </w:p>
        </w:tc>
        <w:tc>
          <w:tcPr>
            <w:tcW w:w="1200" w:type="dxa"/>
          </w:tcPr>
          <w:p>
            <w:pPr>
              <w:pStyle w:val="TableParagraph"/>
              <w:ind w:left="283" w:right="267"/>
              <w:jc w:val="center"/>
              <w:rPr>
                <w:sz w:val="20"/>
              </w:rPr>
            </w:pPr>
            <w:r>
              <w:rPr>
                <w:sz w:val="20"/>
              </w:rPr>
              <w:t>111.33</w:t>
            </w:r>
          </w:p>
        </w:tc>
        <w:tc>
          <w:tcPr>
            <w:tcW w:w="1200" w:type="dxa"/>
          </w:tcPr>
          <w:p>
            <w:pPr>
              <w:pStyle w:val="TableParagraph"/>
              <w:ind w:left="282" w:right="267"/>
              <w:jc w:val="center"/>
              <w:rPr>
                <w:sz w:val="20"/>
              </w:rPr>
            </w:pPr>
            <w:r>
              <w:rPr>
                <w:sz w:val="20"/>
              </w:rPr>
              <w:t>82.94</w:t>
            </w:r>
          </w:p>
        </w:tc>
      </w:tr>
      <w:tr>
        <w:trPr>
          <w:trHeight w:val="345" w:hRule="atLeast"/>
        </w:trPr>
        <w:tc>
          <w:tcPr>
            <w:tcW w:w="1200" w:type="dxa"/>
          </w:tcPr>
          <w:p>
            <w:pPr>
              <w:pStyle w:val="TableParagraph"/>
              <w:ind w:left="276" w:right="267"/>
              <w:jc w:val="center"/>
              <w:rPr>
                <w:sz w:val="20"/>
              </w:rPr>
            </w:pPr>
            <w:r>
              <w:rPr>
                <w:sz w:val="20"/>
              </w:rPr>
              <w:t>39</w:t>
            </w:r>
          </w:p>
        </w:tc>
        <w:tc>
          <w:tcPr>
            <w:tcW w:w="1200" w:type="dxa"/>
          </w:tcPr>
          <w:p>
            <w:pPr>
              <w:pStyle w:val="TableParagraph"/>
              <w:ind w:left="398"/>
              <w:rPr>
                <w:sz w:val="20"/>
              </w:rPr>
            </w:pPr>
            <w:r>
              <w:rPr>
                <w:sz w:val="20"/>
              </w:rPr>
              <w:t>3.36</w:t>
            </w:r>
          </w:p>
        </w:tc>
        <w:tc>
          <w:tcPr>
            <w:tcW w:w="1200" w:type="dxa"/>
          </w:tcPr>
          <w:p>
            <w:pPr>
              <w:pStyle w:val="TableParagraph"/>
              <w:ind w:left="398"/>
              <w:rPr>
                <w:sz w:val="20"/>
              </w:rPr>
            </w:pPr>
            <w:r>
              <w:rPr>
                <w:sz w:val="20"/>
              </w:rPr>
              <w:t>4.03</w:t>
            </w:r>
          </w:p>
        </w:tc>
        <w:tc>
          <w:tcPr>
            <w:tcW w:w="221" w:type="dxa"/>
            <w:vMerge/>
            <w:tcBorders>
              <w:top w:val="nil"/>
              <w:bottom w:val="nil"/>
            </w:tcBorders>
          </w:tcPr>
          <w:p>
            <w:pPr>
              <w:rPr>
                <w:sz w:val="2"/>
                <w:szCs w:val="2"/>
              </w:rPr>
            </w:pPr>
          </w:p>
        </w:tc>
        <w:tc>
          <w:tcPr>
            <w:tcW w:w="1200" w:type="dxa"/>
          </w:tcPr>
          <w:p>
            <w:pPr>
              <w:pStyle w:val="TableParagraph"/>
              <w:spacing w:before="25"/>
              <w:ind w:left="0" w:right="485"/>
              <w:jc w:val="right"/>
              <w:rPr>
                <w:sz w:val="20"/>
              </w:rPr>
            </w:pPr>
            <w:r>
              <w:rPr>
                <w:sz w:val="20"/>
              </w:rPr>
              <w:t>92</w:t>
            </w:r>
          </w:p>
        </w:tc>
        <w:tc>
          <w:tcPr>
            <w:tcW w:w="1200" w:type="dxa"/>
          </w:tcPr>
          <w:p>
            <w:pPr>
              <w:pStyle w:val="TableParagraph"/>
              <w:ind w:left="283" w:right="267"/>
              <w:jc w:val="center"/>
              <w:rPr>
                <w:sz w:val="20"/>
              </w:rPr>
            </w:pPr>
            <w:r>
              <w:rPr>
                <w:sz w:val="20"/>
              </w:rPr>
              <w:t>115.95</w:t>
            </w:r>
          </w:p>
        </w:tc>
        <w:tc>
          <w:tcPr>
            <w:tcW w:w="1200" w:type="dxa"/>
          </w:tcPr>
          <w:p>
            <w:pPr>
              <w:pStyle w:val="TableParagraph"/>
              <w:ind w:left="282" w:right="267"/>
              <w:jc w:val="center"/>
              <w:rPr>
                <w:sz w:val="20"/>
              </w:rPr>
            </w:pPr>
            <w:r>
              <w:rPr>
                <w:sz w:val="20"/>
              </w:rPr>
              <w:t>87.52</w:t>
            </w:r>
          </w:p>
        </w:tc>
      </w:tr>
      <w:tr>
        <w:trPr>
          <w:trHeight w:val="342" w:hRule="atLeast"/>
        </w:trPr>
        <w:tc>
          <w:tcPr>
            <w:tcW w:w="1200" w:type="dxa"/>
          </w:tcPr>
          <w:p>
            <w:pPr>
              <w:pStyle w:val="TableParagraph"/>
              <w:ind w:left="276" w:right="267"/>
              <w:jc w:val="center"/>
              <w:rPr>
                <w:sz w:val="20"/>
              </w:rPr>
            </w:pPr>
            <w:r>
              <w:rPr>
                <w:sz w:val="20"/>
              </w:rPr>
              <w:t>40</w:t>
            </w:r>
          </w:p>
        </w:tc>
        <w:tc>
          <w:tcPr>
            <w:tcW w:w="1200" w:type="dxa"/>
          </w:tcPr>
          <w:p>
            <w:pPr>
              <w:pStyle w:val="TableParagraph"/>
              <w:ind w:left="398"/>
              <w:rPr>
                <w:sz w:val="20"/>
              </w:rPr>
            </w:pPr>
            <w:r>
              <w:rPr>
                <w:sz w:val="20"/>
              </w:rPr>
              <w:t>3.84</w:t>
            </w:r>
          </w:p>
        </w:tc>
        <w:tc>
          <w:tcPr>
            <w:tcW w:w="1200" w:type="dxa"/>
          </w:tcPr>
          <w:p>
            <w:pPr>
              <w:pStyle w:val="TableParagraph"/>
              <w:ind w:left="398"/>
              <w:rPr>
                <w:sz w:val="20"/>
              </w:rPr>
            </w:pPr>
            <w:r>
              <w:rPr>
                <w:sz w:val="20"/>
              </w:rPr>
              <w:t>4.40</w:t>
            </w:r>
          </w:p>
        </w:tc>
        <w:tc>
          <w:tcPr>
            <w:tcW w:w="221" w:type="dxa"/>
            <w:vMerge/>
            <w:tcBorders>
              <w:top w:val="nil"/>
              <w:bottom w:val="nil"/>
            </w:tcBorders>
          </w:tcPr>
          <w:p>
            <w:pPr>
              <w:rPr>
                <w:sz w:val="2"/>
                <w:szCs w:val="2"/>
              </w:rPr>
            </w:pPr>
          </w:p>
        </w:tc>
        <w:tc>
          <w:tcPr>
            <w:tcW w:w="1200" w:type="dxa"/>
          </w:tcPr>
          <w:p>
            <w:pPr>
              <w:pStyle w:val="TableParagraph"/>
              <w:spacing w:before="25"/>
              <w:ind w:left="0" w:right="485"/>
              <w:jc w:val="right"/>
              <w:rPr>
                <w:sz w:val="20"/>
              </w:rPr>
            </w:pPr>
            <w:r>
              <w:rPr>
                <w:sz w:val="20"/>
              </w:rPr>
              <w:t>93</w:t>
            </w:r>
          </w:p>
        </w:tc>
        <w:tc>
          <w:tcPr>
            <w:tcW w:w="1200" w:type="dxa"/>
          </w:tcPr>
          <w:p>
            <w:pPr>
              <w:pStyle w:val="TableParagraph"/>
              <w:ind w:left="283" w:right="267"/>
              <w:jc w:val="center"/>
              <w:rPr>
                <w:sz w:val="20"/>
              </w:rPr>
            </w:pPr>
            <w:r>
              <w:rPr>
                <w:sz w:val="20"/>
              </w:rPr>
              <w:t>122.06</w:t>
            </w:r>
          </w:p>
        </w:tc>
        <w:tc>
          <w:tcPr>
            <w:tcW w:w="1200" w:type="dxa"/>
          </w:tcPr>
          <w:p>
            <w:pPr>
              <w:pStyle w:val="TableParagraph"/>
              <w:ind w:left="282" w:right="267"/>
              <w:jc w:val="center"/>
              <w:rPr>
                <w:sz w:val="20"/>
              </w:rPr>
            </w:pPr>
            <w:r>
              <w:rPr>
                <w:sz w:val="20"/>
              </w:rPr>
              <w:t>92.62</w:t>
            </w:r>
          </w:p>
        </w:tc>
      </w:tr>
      <w:tr>
        <w:trPr>
          <w:trHeight w:val="362" w:hRule="atLeast"/>
        </w:trPr>
        <w:tc>
          <w:tcPr>
            <w:tcW w:w="1200" w:type="dxa"/>
          </w:tcPr>
          <w:p>
            <w:pPr>
              <w:pStyle w:val="TableParagraph"/>
              <w:spacing w:before="18"/>
              <w:ind w:left="276" w:right="267"/>
              <w:jc w:val="center"/>
              <w:rPr>
                <w:sz w:val="20"/>
              </w:rPr>
            </w:pPr>
            <w:r>
              <w:rPr>
                <w:sz w:val="20"/>
              </w:rPr>
              <w:t>41</w:t>
            </w:r>
          </w:p>
        </w:tc>
        <w:tc>
          <w:tcPr>
            <w:tcW w:w="1200" w:type="dxa"/>
          </w:tcPr>
          <w:p>
            <w:pPr>
              <w:pStyle w:val="TableParagraph"/>
              <w:spacing w:before="18"/>
              <w:ind w:left="398"/>
              <w:rPr>
                <w:sz w:val="20"/>
              </w:rPr>
            </w:pPr>
            <w:r>
              <w:rPr>
                <w:sz w:val="20"/>
              </w:rPr>
              <w:t>4.39</w:t>
            </w:r>
          </w:p>
        </w:tc>
        <w:tc>
          <w:tcPr>
            <w:tcW w:w="1200" w:type="dxa"/>
          </w:tcPr>
          <w:p>
            <w:pPr>
              <w:pStyle w:val="TableParagraph"/>
              <w:spacing w:before="18"/>
              <w:ind w:left="398"/>
              <w:rPr>
                <w:sz w:val="20"/>
              </w:rPr>
            </w:pPr>
            <w:r>
              <w:rPr>
                <w:sz w:val="20"/>
              </w:rPr>
              <w:t>4.79</w:t>
            </w:r>
          </w:p>
        </w:tc>
        <w:tc>
          <w:tcPr>
            <w:tcW w:w="221" w:type="dxa"/>
            <w:vMerge/>
            <w:tcBorders>
              <w:top w:val="nil"/>
              <w:bottom w:val="nil"/>
            </w:tcBorders>
          </w:tcPr>
          <w:p>
            <w:pPr>
              <w:rPr>
                <w:sz w:val="2"/>
                <w:szCs w:val="2"/>
              </w:rPr>
            </w:pPr>
          </w:p>
        </w:tc>
        <w:tc>
          <w:tcPr>
            <w:tcW w:w="1200" w:type="dxa"/>
          </w:tcPr>
          <w:p>
            <w:pPr>
              <w:pStyle w:val="TableParagraph"/>
              <w:spacing w:before="42"/>
              <w:ind w:left="0" w:right="485"/>
              <w:jc w:val="right"/>
              <w:rPr>
                <w:sz w:val="20"/>
              </w:rPr>
            </w:pPr>
            <w:r>
              <w:rPr>
                <w:sz w:val="20"/>
              </w:rPr>
              <w:t>94</w:t>
            </w:r>
          </w:p>
        </w:tc>
        <w:tc>
          <w:tcPr>
            <w:tcW w:w="1200" w:type="dxa"/>
          </w:tcPr>
          <w:p>
            <w:pPr>
              <w:pStyle w:val="TableParagraph"/>
              <w:spacing w:before="18"/>
              <w:ind w:left="283" w:right="267"/>
              <w:jc w:val="center"/>
              <w:rPr>
                <w:sz w:val="20"/>
              </w:rPr>
            </w:pPr>
            <w:r>
              <w:rPr>
                <w:sz w:val="20"/>
              </w:rPr>
              <w:t>128.13</w:t>
            </w:r>
          </w:p>
        </w:tc>
        <w:tc>
          <w:tcPr>
            <w:tcW w:w="1200" w:type="dxa"/>
          </w:tcPr>
          <w:p>
            <w:pPr>
              <w:pStyle w:val="TableParagraph"/>
              <w:spacing w:before="18"/>
              <w:ind w:left="282" w:right="267"/>
              <w:jc w:val="center"/>
              <w:rPr>
                <w:sz w:val="20"/>
              </w:rPr>
            </w:pPr>
            <w:r>
              <w:rPr>
                <w:sz w:val="20"/>
              </w:rPr>
              <w:t>97.34</w:t>
            </w:r>
          </w:p>
        </w:tc>
      </w:tr>
      <w:tr>
        <w:trPr>
          <w:trHeight w:val="345" w:hRule="atLeast"/>
        </w:trPr>
        <w:tc>
          <w:tcPr>
            <w:tcW w:w="1200" w:type="dxa"/>
          </w:tcPr>
          <w:p>
            <w:pPr>
              <w:pStyle w:val="TableParagraph"/>
              <w:ind w:left="276" w:right="267"/>
              <w:jc w:val="center"/>
              <w:rPr>
                <w:sz w:val="20"/>
              </w:rPr>
            </w:pPr>
            <w:r>
              <w:rPr>
                <w:sz w:val="20"/>
              </w:rPr>
              <w:t>42</w:t>
            </w:r>
          </w:p>
        </w:tc>
        <w:tc>
          <w:tcPr>
            <w:tcW w:w="1200" w:type="dxa"/>
          </w:tcPr>
          <w:p>
            <w:pPr>
              <w:pStyle w:val="TableParagraph"/>
              <w:ind w:left="398"/>
              <w:rPr>
                <w:sz w:val="20"/>
              </w:rPr>
            </w:pPr>
            <w:r>
              <w:rPr>
                <w:sz w:val="20"/>
              </w:rPr>
              <w:t>5.03</w:t>
            </w:r>
          </w:p>
        </w:tc>
        <w:tc>
          <w:tcPr>
            <w:tcW w:w="1200" w:type="dxa"/>
          </w:tcPr>
          <w:p>
            <w:pPr>
              <w:pStyle w:val="TableParagraph"/>
              <w:ind w:left="398"/>
              <w:rPr>
                <w:sz w:val="20"/>
              </w:rPr>
            </w:pPr>
            <w:r>
              <w:rPr>
                <w:sz w:val="20"/>
              </w:rPr>
              <w:t>5.21</w:t>
            </w:r>
          </w:p>
        </w:tc>
        <w:tc>
          <w:tcPr>
            <w:tcW w:w="221" w:type="dxa"/>
            <w:vMerge/>
            <w:tcBorders>
              <w:top w:val="nil"/>
              <w:bottom w:val="nil"/>
            </w:tcBorders>
          </w:tcPr>
          <w:p>
            <w:pPr>
              <w:rPr>
                <w:sz w:val="2"/>
                <w:szCs w:val="2"/>
              </w:rPr>
            </w:pPr>
          </w:p>
        </w:tc>
        <w:tc>
          <w:tcPr>
            <w:tcW w:w="1200" w:type="dxa"/>
          </w:tcPr>
          <w:p>
            <w:pPr>
              <w:pStyle w:val="TableParagraph"/>
              <w:spacing w:before="25"/>
              <w:ind w:left="0" w:right="485"/>
              <w:jc w:val="right"/>
              <w:rPr>
                <w:sz w:val="20"/>
              </w:rPr>
            </w:pPr>
            <w:r>
              <w:rPr>
                <w:sz w:val="20"/>
              </w:rPr>
              <w:t>95</w:t>
            </w:r>
          </w:p>
        </w:tc>
        <w:tc>
          <w:tcPr>
            <w:tcW w:w="1200" w:type="dxa"/>
          </w:tcPr>
          <w:p>
            <w:pPr>
              <w:pStyle w:val="TableParagraph"/>
              <w:ind w:left="283" w:right="267"/>
              <w:jc w:val="center"/>
              <w:rPr>
                <w:sz w:val="20"/>
              </w:rPr>
            </w:pPr>
            <w:r>
              <w:rPr>
                <w:sz w:val="20"/>
              </w:rPr>
              <w:t>136.19</w:t>
            </w:r>
          </w:p>
        </w:tc>
        <w:tc>
          <w:tcPr>
            <w:tcW w:w="1200" w:type="dxa"/>
          </w:tcPr>
          <w:p>
            <w:pPr>
              <w:pStyle w:val="TableParagraph"/>
              <w:ind w:left="283" w:right="267"/>
              <w:jc w:val="center"/>
              <w:rPr>
                <w:sz w:val="20"/>
              </w:rPr>
            </w:pPr>
            <w:r>
              <w:rPr>
                <w:sz w:val="20"/>
              </w:rPr>
              <w:t>103.47</w:t>
            </w:r>
          </w:p>
        </w:tc>
      </w:tr>
      <w:tr>
        <w:trPr>
          <w:trHeight w:val="342" w:hRule="atLeast"/>
        </w:trPr>
        <w:tc>
          <w:tcPr>
            <w:tcW w:w="1200" w:type="dxa"/>
          </w:tcPr>
          <w:p>
            <w:pPr>
              <w:pStyle w:val="TableParagraph"/>
              <w:ind w:left="276" w:right="267"/>
              <w:jc w:val="center"/>
              <w:rPr>
                <w:sz w:val="20"/>
              </w:rPr>
            </w:pPr>
            <w:r>
              <w:rPr>
                <w:sz w:val="20"/>
              </w:rPr>
              <w:t>43</w:t>
            </w:r>
          </w:p>
        </w:tc>
        <w:tc>
          <w:tcPr>
            <w:tcW w:w="1200" w:type="dxa"/>
          </w:tcPr>
          <w:p>
            <w:pPr>
              <w:pStyle w:val="TableParagraph"/>
              <w:ind w:left="398"/>
              <w:rPr>
                <w:sz w:val="20"/>
              </w:rPr>
            </w:pPr>
            <w:r>
              <w:rPr>
                <w:sz w:val="20"/>
              </w:rPr>
              <w:t>5.74</w:t>
            </w:r>
          </w:p>
        </w:tc>
        <w:tc>
          <w:tcPr>
            <w:tcW w:w="1200" w:type="dxa"/>
          </w:tcPr>
          <w:p>
            <w:pPr>
              <w:pStyle w:val="TableParagraph"/>
              <w:ind w:left="398"/>
              <w:rPr>
                <w:sz w:val="20"/>
              </w:rPr>
            </w:pPr>
            <w:r>
              <w:rPr>
                <w:sz w:val="20"/>
              </w:rPr>
              <w:t>5.65</w:t>
            </w:r>
          </w:p>
        </w:tc>
        <w:tc>
          <w:tcPr>
            <w:tcW w:w="221" w:type="dxa"/>
            <w:vMerge/>
            <w:tcBorders>
              <w:top w:val="nil"/>
              <w:bottom w:val="nil"/>
            </w:tcBorders>
          </w:tcPr>
          <w:p>
            <w:pPr>
              <w:rPr>
                <w:sz w:val="2"/>
                <w:szCs w:val="2"/>
              </w:rPr>
            </w:pPr>
          </w:p>
        </w:tc>
        <w:tc>
          <w:tcPr>
            <w:tcW w:w="1200" w:type="dxa"/>
          </w:tcPr>
          <w:p>
            <w:pPr>
              <w:pStyle w:val="TableParagraph"/>
              <w:spacing w:line="254" w:lineRule="exact" w:before="0"/>
              <w:ind w:left="0" w:right="485"/>
              <w:jc w:val="right"/>
              <w:rPr>
                <w:sz w:val="20"/>
              </w:rPr>
            </w:pPr>
            <w:r>
              <w:rPr>
                <w:sz w:val="20"/>
              </w:rPr>
              <w:t>96</w:t>
            </w:r>
          </w:p>
        </w:tc>
        <w:tc>
          <w:tcPr>
            <w:tcW w:w="1200" w:type="dxa"/>
          </w:tcPr>
          <w:p>
            <w:pPr>
              <w:pStyle w:val="TableParagraph"/>
              <w:ind w:left="283" w:right="267"/>
              <w:jc w:val="center"/>
              <w:rPr>
                <w:sz w:val="20"/>
              </w:rPr>
            </w:pPr>
            <w:r>
              <w:rPr>
                <w:sz w:val="20"/>
              </w:rPr>
              <w:t>144.46</w:t>
            </w:r>
          </w:p>
        </w:tc>
        <w:tc>
          <w:tcPr>
            <w:tcW w:w="1200" w:type="dxa"/>
          </w:tcPr>
          <w:p>
            <w:pPr>
              <w:pStyle w:val="TableParagraph"/>
              <w:ind w:left="283" w:right="267"/>
              <w:jc w:val="center"/>
              <w:rPr>
                <w:sz w:val="20"/>
              </w:rPr>
            </w:pPr>
            <w:r>
              <w:rPr>
                <w:sz w:val="20"/>
              </w:rPr>
              <w:t>109.28</w:t>
            </w:r>
          </w:p>
        </w:tc>
      </w:tr>
      <w:tr>
        <w:trPr>
          <w:trHeight w:val="345" w:hRule="atLeast"/>
        </w:trPr>
        <w:tc>
          <w:tcPr>
            <w:tcW w:w="1200" w:type="dxa"/>
          </w:tcPr>
          <w:p>
            <w:pPr>
              <w:pStyle w:val="TableParagraph"/>
              <w:spacing w:before="11"/>
              <w:ind w:left="276" w:right="267"/>
              <w:jc w:val="center"/>
              <w:rPr>
                <w:sz w:val="20"/>
              </w:rPr>
            </w:pPr>
            <w:r>
              <w:rPr>
                <w:sz w:val="20"/>
              </w:rPr>
              <w:t>44</w:t>
            </w:r>
          </w:p>
        </w:tc>
        <w:tc>
          <w:tcPr>
            <w:tcW w:w="1200" w:type="dxa"/>
          </w:tcPr>
          <w:p>
            <w:pPr>
              <w:pStyle w:val="TableParagraph"/>
              <w:spacing w:before="11"/>
              <w:ind w:left="398"/>
              <w:rPr>
                <w:sz w:val="20"/>
              </w:rPr>
            </w:pPr>
            <w:r>
              <w:rPr>
                <w:sz w:val="20"/>
              </w:rPr>
              <w:t>6.53</w:t>
            </w:r>
          </w:p>
        </w:tc>
        <w:tc>
          <w:tcPr>
            <w:tcW w:w="1200" w:type="dxa"/>
          </w:tcPr>
          <w:p>
            <w:pPr>
              <w:pStyle w:val="TableParagraph"/>
              <w:spacing w:before="11"/>
              <w:ind w:left="398"/>
              <w:rPr>
                <w:sz w:val="20"/>
              </w:rPr>
            </w:pPr>
            <w:r>
              <w:rPr>
                <w:sz w:val="20"/>
              </w:rPr>
              <w:t>6.11</w:t>
            </w:r>
          </w:p>
        </w:tc>
        <w:tc>
          <w:tcPr>
            <w:tcW w:w="221" w:type="dxa"/>
            <w:vMerge/>
            <w:tcBorders>
              <w:top w:val="nil"/>
              <w:bottom w:val="nil"/>
            </w:tcBorders>
          </w:tcPr>
          <w:p>
            <w:pPr>
              <w:rPr>
                <w:sz w:val="2"/>
                <w:szCs w:val="2"/>
              </w:rPr>
            </w:pPr>
          </w:p>
        </w:tc>
        <w:tc>
          <w:tcPr>
            <w:tcW w:w="1200" w:type="dxa"/>
          </w:tcPr>
          <w:p>
            <w:pPr>
              <w:pStyle w:val="TableParagraph"/>
              <w:spacing w:line="256" w:lineRule="exact" w:before="0"/>
              <w:ind w:left="0" w:right="485"/>
              <w:jc w:val="right"/>
              <w:rPr>
                <w:sz w:val="20"/>
              </w:rPr>
            </w:pPr>
            <w:r>
              <w:rPr>
                <w:sz w:val="20"/>
              </w:rPr>
              <w:t>97</w:t>
            </w:r>
          </w:p>
        </w:tc>
        <w:tc>
          <w:tcPr>
            <w:tcW w:w="1200" w:type="dxa"/>
          </w:tcPr>
          <w:p>
            <w:pPr>
              <w:pStyle w:val="TableParagraph"/>
              <w:spacing w:before="11"/>
              <w:ind w:left="283" w:right="267"/>
              <w:jc w:val="center"/>
              <w:rPr>
                <w:sz w:val="20"/>
              </w:rPr>
            </w:pPr>
            <w:r>
              <w:rPr>
                <w:sz w:val="20"/>
              </w:rPr>
              <w:t>150.26</w:t>
            </w:r>
          </w:p>
        </w:tc>
        <w:tc>
          <w:tcPr>
            <w:tcW w:w="1200" w:type="dxa"/>
          </w:tcPr>
          <w:p>
            <w:pPr>
              <w:pStyle w:val="TableParagraph"/>
              <w:spacing w:before="11"/>
              <w:ind w:left="283" w:right="267"/>
              <w:jc w:val="center"/>
              <w:rPr>
                <w:sz w:val="20"/>
              </w:rPr>
            </w:pPr>
            <w:r>
              <w:rPr>
                <w:sz w:val="20"/>
              </w:rPr>
              <w:t>114.21</w:t>
            </w:r>
          </w:p>
        </w:tc>
      </w:tr>
      <w:tr>
        <w:trPr>
          <w:trHeight w:val="314" w:hRule="atLeast"/>
        </w:trPr>
        <w:tc>
          <w:tcPr>
            <w:tcW w:w="1200" w:type="dxa"/>
          </w:tcPr>
          <w:p>
            <w:pPr>
              <w:pStyle w:val="TableParagraph"/>
              <w:spacing w:line="256" w:lineRule="exact" w:before="0"/>
              <w:ind w:left="276" w:right="267"/>
              <w:jc w:val="center"/>
              <w:rPr>
                <w:sz w:val="20"/>
              </w:rPr>
            </w:pPr>
            <w:r>
              <w:rPr>
                <w:sz w:val="20"/>
              </w:rPr>
              <w:t>45</w:t>
            </w:r>
          </w:p>
        </w:tc>
        <w:tc>
          <w:tcPr>
            <w:tcW w:w="1200" w:type="dxa"/>
          </w:tcPr>
          <w:p>
            <w:pPr>
              <w:pStyle w:val="TableParagraph"/>
              <w:spacing w:line="256" w:lineRule="exact" w:before="0"/>
              <w:ind w:left="398"/>
              <w:rPr>
                <w:sz w:val="20"/>
              </w:rPr>
            </w:pPr>
            <w:r>
              <w:rPr>
                <w:sz w:val="20"/>
              </w:rPr>
              <w:t>7.38</w:t>
            </w:r>
          </w:p>
        </w:tc>
        <w:tc>
          <w:tcPr>
            <w:tcW w:w="1200" w:type="dxa"/>
          </w:tcPr>
          <w:p>
            <w:pPr>
              <w:pStyle w:val="TableParagraph"/>
              <w:spacing w:line="256" w:lineRule="exact" w:before="0"/>
              <w:ind w:left="398"/>
              <w:rPr>
                <w:sz w:val="20"/>
              </w:rPr>
            </w:pPr>
            <w:r>
              <w:rPr>
                <w:sz w:val="20"/>
              </w:rPr>
              <w:t>6.59</w:t>
            </w:r>
          </w:p>
        </w:tc>
        <w:tc>
          <w:tcPr>
            <w:tcW w:w="221" w:type="dxa"/>
            <w:vMerge/>
            <w:tcBorders>
              <w:top w:val="nil"/>
              <w:bottom w:val="nil"/>
            </w:tcBorders>
          </w:tcPr>
          <w:p>
            <w:pPr>
              <w:rPr>
                <w:sz w:val="2"/>
                <w:szCs w:val="2"/>
              </w:rPr>
            </w:pPr>
          </w:p>
        </w:tc>
        <w:tc>
          <w:tcPr>
            <w:tcW w:w="1200" w:type="dxa"/>
          </w:tcPr>
          <w:p>
            <w:pPr>
              <w:pStyle w:val="TableParagraph"/>
              <w:spacing w:line="256" w:lineRule="exact" w:before="0"/>
              <w:ind w:left="0" w:right="485"/>
              <w:jc w:val="right"/>
              <w:rPr>
                <w:sz w:val="20"/>
              </w:rPr>
            </w:pPr>
            <w:r>
              <w:rPr>
                <w:sz w:val="20"/>
              </w:rPr>
              <w:t>98</w:t>
            </w:r>
          </w:p>
        </w:tc>
        <w:tc>
          <w:tcPr>
            <w:tcW w:w="1200" w:type="dxa"/>
          </w:tcPr>
          <w:p>
            <w:pPr>
              <w:pStyle w:val="TableParagraph"/>
              <w:spacing w:line="256" w:lineRule="exact" w:before="0"/>
              <w:ind w:left="283" w:right="267"/>
              <w:jc w:val="center"/>
              <w:rPr>
                <w:sz w:val="20"/>
              </w:rPr>
            </w:pPr>
            <w:r>
              <w:rPr>
                <w:sz w:val="20"/>
              </w:rPr>
              <w:t>158.51</w:t>
            </w:r>
          </w:p>
        </w:tc>
        <w:tc>
          <w:tcPr>
            <w:tcW w:w="1200" w:type="dxa"/>
          </w:tcPr>
          <w:p>
            <w:pPr>
              <w:pStyle w:val="TableParagraph"/>
              <w:spacing w:line="256" w:lineRule="exact" w:before="0"/>
              <w:ind w:left="283" w:right="267"/>
              <w:jc w:val="center"/>
              <w:rPr>
                <w:sz w:val="20"/>
              </w:rPr>
            </w:pPr>
            <w:r>
              <w:rPr>
                <w:sz w:val="20"/>
              </w:rPr>
              <w:t>120.15</w:t>
            </w:r>
          </w:p>
        </w:tc>
      </w:tr>
      <w:tr>
        <w:trPr>
          <w:trHeight w:val="359" w:hRule="atLeast"/>
        </w:trPr>
        <w:tc>
          <w:tcPr>
            <w:tcW w:w="1200" w:type="dxa"/>
          </w:tcPr>
          <w:p>
            <w:pPr>
              <w:pStyle w:val="TableParagraph"/>
              <w:spacing w:before="16"/>
              <w:ind w:left="276" w:right="267"/>
              <w:jc w:val="center"/>
              <w:rPr>
                <w:sz w:val="20"/>
              </w:rPr>
            </w:pPr>
            <w:r>
              <w:rPr>
                <w:sz w:val="20"/>
              </w:rPr>
              <w:t>46</w:t>
            </w:r>
          </w:p>
        </w:tc>
        <w:tc>
          <w:tcPr>
            <w:tcW w:w="1200" w:type="dxa"/>
          </w:tcPr>
          <w:p>
            <w:pPr>
              <w:pStyle w:val="TableParagraph"/>
              <w:spacing w:before="16"/>
              <w:ind w:left="398"/>
              <w:rPr>
                <w:sz w:val="20"/>
              </w:rPr>
            </w:pPr>
            <w:r>
              <w:rPr>
                <w:sz w:val="20"/>
              </w:rPr>
              <w:t>8.29</w:t>
            </w:r>
          </w:p>
        </w:tc>
        <w:tc>
          <w:tcPr>
            <w:tcW w:w="1200" w:type="dxa"/>
          </w:tcPr>
          <w:p>
            <w:pPr>
              <w:pStyle w:val="TableParagraph"/>
              <w:spacing w:before="16"/>
              <w:ind w:left="398"/>
              <w:rPr>
                <w:sz w:val="20"/>
              </w:rPr>
            </w:pPr>
            <w:r>
              <w:rPr>
                <w:sz w:val="20"/>
              </w:rPr>
              <w:t>7.08</w:t>
            </w:r>
          </w:p>
        </w:tc>
        <w:tc>
          <w:tcPr>
            <w:tcW w:w="221" w:type="dxa"/>
            <w:vMerge/>
            <w:tcBorders>
              <w:top w:val="nil"/>
              <w:bottom w:val="nil"/>
            </w:tcBorders>
          </w:tcPr>
          <w:p>
            <w:pPr>
              <w:rPr>
                <w:sz w:val="2"/>
                <w:szCs w:val="2"/>
              </w:rPr>
            </w:pPr>
          </w:p>
        </w:tc>
        <w:tc>
          <w:tcPr>
            <w:tcW w:w="1200" w:type="dxa"/>
          </w:tcPr>
          <w:p>
            <w:pPr>
              <w:pStyle w:val="TableParagraph"/>
              <w:spacing w:line="254" w:lineRule="exact" w:before="0"/>
              <w:ind w:left="0" w:right="485"/>
              <w:jc w:val="right"/>
              <w:rPr>
                <w:sz w:val="20"/>
              </w:rPr>
            </w:pPr>
            <w:r>
              <w:rPr>
                <w:sz w:val="20"/>
              </w:rPr>
              <w:t>99</w:t>
            </w:r>
          </w:p>
        </w:tc>
        <w:tc>
          <w:tcPr>
            <w:tcW w:w="1200" w:type="dxa"/>
          </w:tcPr>
          <w:p>
            <w:pPr>
              <w:pStyle w:val="TableParagraph"/>
              <w:spacing w:before="16"/>
              <w:ind w:left="283" w:right="267"/>
              <w:jc w:val="center"/>
              <w:rPr>
                <w:sz w:val="20"/>
              </w:rPr>
            </w:pPr>
            <w:r>
              <w:rPr>
                <w:sz w:val="20"/>
              </w:rPr>
              <w:t>166.95</w:t>
            </w:r>
          </w:p>
        </w:tc>
        <w:tc>
          <w:tcPr>
            <w:tcW w:w="1200" w:type="dxa"/>
          </w:tcPr>
          <w:p>
            <w:pPr>
              <w:pStyle w:val="TableParagraph"/>
              <w:spacing w:before="16"/>
              <w:ind w:left="283" w:right="267"/>
              <w:jc w:val="center"/>
              <w:rPr>
                <w:sz w:val="20"/>
              </w:rPr>
            </w:pPr>
            <w:r>
              <w:rPr>
                <w:sz w:val="20"/>
              </w:rPr>
              <w:t>126.54</w:t>
            </w:r>
          </w:p>
        </w:tc>
      </w:tr>
      <w:tr>
        <w:trPr>
          <w:trHeight w:val="345" w:hRule="atLeast"/>
        </w:trPr>
        <w:tc>
          <w:tcPr>
            <w:tcW w:w="1200" w:type="dxa"/>
          </w:tcPr>
          <w:p>
            <w:pPr>
              <w:pStyle w:val="TableParagraph"/>
              <w:ind w:left="276" w:right="267"/>
              <w:jc w:val="center"/>
              <w:rPr>
                <w:sz w:val="20"/>
              </w:rPr>
            </w:pPr>
            <w:r>
              <w:rPr>
                <w:sz w:val="20"/>
              </w:rPr>
              <w:t>47</w:t>
            </w:r>
          </w:p>
        </w:tc>
        <w:tc>
          <w:tcPr>
            <w:tcW w:w="1200" w:type="dxa"/>
          </w:tcPr>
          <w:p>
            <w:pPr>
              <w:pStyle w:val="TableParagraph"/>
              <w:ind w:left="398"/>
              <w:rPr>
                <w:sz w:val="20"/>
              </w:rPr>
            </w:pPr>
            <w:r>
              <w:rPr>
                <w:sz w:val="20"/>
              </w:rPr>
              <w:t>9.24</w:t>
            </w:r>
          </w:p>
        </w:tc>
        <w:tc>
          <w:tcPr>
            <w:tcW w:w="1200" w:type="dxa"/>
          </w:tcPr>
          <w:p>
            <w:pPr>
              <w:pStyle w:val="TableParagraph"/>
              <w:ind w:left="398"/>
              <w:rPr>
                <w:sz w:val="20"/>
              </w:rPr>
            </w:pPr>
            <w:r>
              <w:rPr>
                <w:sz w:val="20"/>
              </w:rPr>
              <w:t>7.58</w:t>
            </w:r>
          </w:p>
        </w:tc>
        <w:tc>
          <w:tcPr>
            <w:tcW w:w="221" w:type="dxa"/>
            <w:vMerge/>
            <w:tcBorders>
              <w:top w:val="nil"/>
              <w:bottom w:val="nil"/>
            </w:tcBorders>
          </w:tcPr>
          <w:p>
            <w:pPr>
              <w:rPr>
                <w:sz w:val="2"/>
                <w:szCs w:val="2"/>
              </w:rPr>
            </w:pPr>
          </w:p>
        </w:tc>
        <w:tc>
          <w:tcPr>
            <w:tcW w:w="1200" w:type="dxa"/>
          </w:tcPr>
          <w:p>
            <w:pPr>
              <w:pStyle w:val="TableParagraph"/>
              <w:spacing w:line="254" w:lineRule="exact" w:before="0"/>
              <w:ind w:left="0" w:right="434"/>
              <w:jc w:val="right"/>
              <w:rPr>
                <w:sz w:val="20"/>
              </w:rPr>
            </w:pPr>
            <w:r>
              <w:rPr>
                <w:sz w:val="20"/>
              </w:rPr>
              <w:t>100</w:t>
            </w:r>
          </w:p>
        </w:tc>
        <w:tc>
          <w:tcPr>
            <w:tcW w:w="1200" w:type="dxa"/>
          </w:tcPr>
          <w:p>
            <w:pPr>
              <w:pStyle w:val="TableParagraph"/>
              <w:ind w:left="283" w:right="267"/>
              <w:jc w:val="center"/>
              <w:rPr>
                <w:sz w:val="20"/>
              </w:rPr>
            </w:pPr>
            <w:r>
              <w:rPr>
                <w:sz w:val="20"/>
              </w:rPr>
              <w:t>175.58</w:t>
            </w:r>
          </w:p>
        </w:tc>
        <w:tc>
          <w:tcPr>
            <w:tcW w:w="1200" w:type="dxa"/>
          </w:tcPr>
          <w:p>
            <w:pPr>
              <w:pStyle w:val="TableParagraph"/>
              <w:ind w:left="283" w:right="267"/>
              <w:jc w:val="center"/>
              <w:rPr>
                <w:sz w:val="20"/>
              </w:rPr>
            </w:pPr>
            <w:r>
              <w:rPr>
                <w:sz w:val="20"/>
              </w:rPr>
              <w:t>133.35</w:t>
            </w:r>
          </w:p>
        </w:tc>
      </w:tr>
      <w:tr>
        <w:trPr>
          <w:trHeight w:val="345" w:hRule="atLeast"/>
        </w:trPr>
        <w:tc>
          <w:tcPr>
            <w:tcW w:w="1200" w:type="dxa"/>
          </w:tcPr>
          <w:p>
            <w:pPr>
              <w:pStyle w:val="TableParagraph"/>
              <w:ind w:left="276" w:right="267"/>
              <w:jc w:val="center"/>
              <w:rPr>
                <w:sz w:val="20"/>
              </w:rPr>
            </w:pPr>
            <w:r>
              <w:rPr>
                <w:sz w:val="20"/>
              </w:rPr>
              <w:t>48</w:t>
            </w:r>
          </w:p>
        </w:tc>
        <w:tc>
          <w:tcPr>
            <w:tcW w:w="1200" w:type="dxa"/>
          </w:tcPr>
          <w:p>
            <w:pPr>
              <w:pStyle w:val="TableParagraph"/>
              <w:ind w:left="350"/>
              <w:rPr>
                <w:sz w:val="20"/>
              </w:rPr>
            </w:pPr>
            <w:r>
              <w:rPr>
                <w:sz w:val="20"/>
              </w:rPr>
              <w:t>10.24</w:t>
            </w:r>
          </w:p>
        </w:tc>
        <w:tc>
          <w:tcPr>
            <w:tcW w:w="1200" w:type="dxa"/>
          </w:tcPr>
          <w:p>
            <w:pPr>
              <w:pStyle w:val="TableParagraph"/>
              <w:ind w:left="398"/>
              <w:rPr>
                <w:sz w:val="20"/>
              </w:rPr>
            </w:pPr>
            <w:r>
              <w:rPr>
                <w:sz w:val="20"/>
              </w:rPr>
              <w:t>8.09</w:t>
            </w:r>
          </w:p>
        </w:tc>
        <w:tc>
          <w:tcPr>
            <w:tcW w:w="221" w:type="dxa"/>
            <w:vMerge/>
            <w:tcBorders>
              <w:top w:val="nil"/>
              <w:bottom w:val="nil"/>
            </w:tcBorders>
          </w:tcPr>
          <w:p>
            <w:pPr>
              <w:rPr>
                <w:sz w:val="2"/>
                <w:szCs w:val="2"/>
              </w:rPr>
            </w:pPr>
          </w:p>
        </w:tc>
        <w:tc>
          <w:tcPr>
            <w:tcW w:w="1200" w:type="dxa"/>
          </w:tcPr>
          <w:p>
            <w:pPr>
              <w:pStyle w:val="TableParagraph"/>
              <w:spacing w:line="254" w:lineRule="exact" w:before="0"/>
              <w:ind w:left="0" w:right="434"/>
              <w:jc w:val="right"/>
              <w:rPr>
                <w:sz w:val="20"/>
              </w:rPr>
            </w:pPr>
            <w:r>
              <w:rPr>
                <w:sz w:val="20"/>
              </w:rPr>
              <w:t>101</w:t>
            </w:r>
          </w:p>
        </w:tc>
        <w:tc>
          <w:tcPr>
            <w:tcW w:w="1200" w:type="dxa"/>
          </w:tcPr>
          <w:p>
            <w:pPr>
              <w:pStyle w:val="TableParagraph"/>
              <w:ind w:left="283" w:right="267"/>
              <w:jc w:val="center"/>
              <w:rPr>
                <w:sz w:val="20"/>
              </w:rPr>
            </w:pPr>
            <w:r>
              <w:rPr>
                <w:sz w:val="20"/>
              </w:rPr>
              <w:t>184.39</w:t>
            </w:r>
          </w:p>
        </w:tc>
        <w:tc>
          <w:tcPr>
            <w:tcW w:w="1200" w:type="dxa"/>
          </w:tcPr>
          <w:p>
            <w:pPr>
              <w:pStyle w:val="TableParagraph"/>
              <w:ind w:left="283" w:right="267"/>
              <w:jc w:val="center"/>
              <w:rPr>
                <w:sz w:val="20"/>
              </w:rPr>
            </w:pPr>
            <w:r>
              <w:rPr>
                <w:sz w:val="20"/>
              </w:rPr>
              <w:t>140.26</w:t>
            </w:r>
          </w:p>
        </w:tc>
      </w:tr>
      <w:tr>
        <w:trPr>
          <w:trHeight w:val="342" w:hRule="atLeast"/>
        </w:trPr>
        <w:tc>
          <w:tcPr>
            <w:tcW w:w="1200" w:type="dxa"/>
          </w:tcPr>
          <w:p>
            <w:pPr>
              <w:pStyle w:val="TableParagraph"/>
              <w:ind w:left="276" w:right="267"/>
              <w:jc w:val="center"/>
              <w:rPr>
                <w:sz w:val="20"/>
              </w:rPr>
            </w:pPr>
            <w:r>
              <w:rPr>
                <w:sz w:val="20"/>
              </w:rPr>
              <w:t>49</w:t>
            </w:r>
          </w:p>
        </w:tc>
        <w:tc>
          <w:tcPr>
            <w:tcW w:w="1200" w:type="dxa"/>
          </w:tcPr>
          <w:p>
            <w:pPr>
              <w:pStyle w:val="TableParagraph"/>
              <w:ind w:left="350"/>
              <w:rPr>
                <w:sz w:val="20"/>
              </w:rPr>
            </w:pPr>
            <w:r>
              <w:rPr>
                <w:sz w:val="20"/>
              </w:rPr>
              <w:t>11.29</w:t>
            </w:r>
          </w:p>
        </w:tc>
        <w:tc>
          <w:tcPr>
            <w:tcW w:w="1200" w:type="dxa"/>
          </w:tcPr>
          <w:p>
            <w:pPr>
              <w:pStyle w:val="TableParagraph"/>
              <w:ind w:left="398"/>
              <w:rPr>
                <w:sz w:val="20"/>
              </w:rPr>
            </w:pPr>
            <w:r>
              <w:rPr>
                <w:sz w:val="20"/>
              </w:rPr>
              <w:t>8.59</w:t>
            </w:r>
          </w:p>
        </w:tc>
        <w:tc>
          <w:tcPr>
            <w:tcW w:w="221" w:type="dxa"/>
            <w:vMerge/>
            <w:tcBorders>
              <w:top w:val="nil"/>
              <w:bottom w:val="nil"/>
            </w:tcBorders>
          </w:tcPr>
          <w:p>
            <w:pPr>
              <w:rPr>
                <w:sz w:val="2"/>
                <w:szCs w:val="2"/>
              </w:rPr>
            </w:pPr>
          </w:p>
        </w:tc>
        <w:tc>
          <w:tcPr>
            <w:tcW w:w="1200" w:type="dxa"/>
          </w:tcPr>
          <w:p>
            <w:pPr>
              <w:pStyle w:val="TableParagraph"/>
              <w:spacing w:line="254" w:lineRule="exact" w:before="0"/>
              <w:ind w:left="0" w:right="434"/>
              <w:jc w:val="right"/>
              <w:rPr>
                <w:sz w:val="20"/>
              </w:rPr>
            </w:pPr>
            <w:r>
              <w:rPr>
                <w:sz w:val="20"/>
              </w:rPr>
              <w:t>102</w:t>
            </w:r>
          </w:p>
        </w:tc>
        <w:tc>
          <w:tcPr>
            <w:tcW w:w="1200" w:type="dxa"/>
          </w:tcPr>
          <w:p>
            <w:pPr>
              <w:pStyle w:val="TableParagraph"/>
              <w:ind w:left="283" w:right="267"/>
              <w:jc w:val="center"/>
              <w:rPr>
                <w:sz w:val="20"/>
              </w:rPr>
            </w:pPr>
            <w:r>
              <w:rPr>
                <w:sz w:val="20"/>
              </w:rPr>
              <w:t>193.37</w:t>
            </w:r>
          </w:p>
        </w:tc>
        <w:tc>
          <w:tcPr>
            <w:tcW w:w="1200" w:type="dxa"/>
          </w:tcPr>
          <w:p>
            <w:pPr>
              <w:pStyle w:val="TableParagraph"/>
              <w:ind w:left="283" w:right="267"/>
              <w:jc w:val="center"/>
              <w:rPr>
                <w:sz w:val="20"/>
              </w:rPr>
            </w:pPr>
            <w:r>
              <w:rPr>
                <w:sz w:val="20"/>
              </w:rPr>
              <w:t>147.56</w:t>
            </w:r>
          </w:p>
        </w:tc>
      </w:tr>
      <w:tr>
        <w:trPr>
          <w:trHeight w:val="345" w:hRule="atLeast"/>
        </w:trPr>
        <w:tc>
          <w:tcPr>
            <w:tcW w:w="1200" w:type="dxa"/>
          </w:tcPr>
          <w:p>
            <w:pPr>
              <w:pStyle w:val="TableParagraph"/>
              <w:spacing w:before="11"/>
              <w:ind w:left="276" w:right="267"/>
              <w:jc w:val="center"/>
              <w:rPr>
                <w:sz w:val="20"/>
              </w:rPr>
            </w:pPr>
            <w:r>
              <w:rPr>
                <w:sz w:val="20"/>
              </w:rPr>
              <w:t>50</w:t>
            </w:r>
          </w:p>
        </w:tc>
        <w:tc>
          <w:tcPr>
            <w:tcW w:w="1200" w:type="dxa"/>
          </w:tcPr>
          <w:p>
            <w:pPr>
              <w:pStyle w:val="TableParagraph"/>
              <w:spacing w:before="11"/>
              <w:ind w:left="350"/>
              <w:rPr>
                <w:sz w:val="20"/>
              </w:rPr>
            </w:pPr>
            <w:r>
              <w:rPr>
                <w:sz w:val="20"/>
              </w:rPr>
              <w:t>12.40</w:t>
            </w:r>
          </w:p>
        </w:tc>
        <w:tc>
          <w:tcPr>
            <w:tcW w:w="1200" w:type="dxa"/>
          </w:tcPr>
          <w:p>
            <w:pPr>
              <w:pStyle w:val="TableParagraph"/>
              <w:spacing w:before="11"/>
              <w:ind w:left="398"/>
              <w:rPr>
                <w:sz w:val="20"/>
              </w:rPr>
            </w:pPr>
            <w:r>
              <w:rPr>
                <w:sz w:val="20"/>
              </w:rPr>
              <w:t>9.10</w:t>
            </w:r>
          </w:p>
        </w:tc>
        <w:tc>
          <w:tcPr>
            <w:tcW w:w="221" w:type="dxa"/>
            <w:vMerge/>
            <w:tcBorders>
              <w:top w:val="nil"/>
              <w:bottom w:val="nil"/>
            </w:tcBorders>
          </w:tcPr>
          <w:p>
            <w:pPr>
              <w:rPr>
                <w:sz w:val="2"/>
                <w:szCs w:val="2"/>
              </w:rPr>
            </w:pPr>
          </w:p>
        </w:tc>
        <w:tc>
          <w:tcPr>
            <w:tcW w:w="1200" w:type="dxa"/>
          </w:tcPr>
          <w:p>
            <w:pPr>
              <w:pStyle w:val="TableParagraph"/>
              <w:spacing w:line="256" w:lineRule="exact" w:before="0"/>
              <w:ind w:left="0" w:right="434"/>
              <w:jc w:val="right"/>
              <w:rPr>
                <w:sz w:val="20"/>
              </w:rPr>
            </w:pPr>
            <w:r>
              <w:rPr>
                <w:sz w:val="20"/>
              </w:rPr>
              <w:t>103</w:t>
            </w:r>
          </w:p>
        </w:tc>
        <w:tc>
          <w:tcPr>
            <w:tcW w:w="1200" w:type="dxa"/>
          </w:tcPr>
          <w:p>
            <w:pPr>
              <w:pStyle w:val="TableParagraph"/>
              <w:spacing w:before="11"/>
              <w:ind w:left="283" w:right="267"/>
              <w:jc w:val="center"/>
              <w:rPr>
                <w:sz w:val="20"/>
              </w:rPr>
            </w:pPr>
            <w:r>
              <w:rPr>
                <w:sz w:val="20"/>
              </w:rPr>
              <w:t>202.51</w:t>
            </w:r>
          </w:p>
        </w:tc>
        <w:tc>
          <w:tcPr>
            <w:tcW w:w="1200" w:type="dxa"/>
          </w:tcPr>
          <w:p>
            <w:pPr>
              <w:pStyle w:val="TableParagraph"/>
              <w:spacing w:before="11"/>
              <w:ind w:left="283" w:right="267"/>
              <w:jc w:val="center"/>
              <w:rPr>
                <w:sz w:val="20"/>
              </w:rPr>
            </w:pPr>
            <w:r>
              <w:rPr>
                <w:sz w:val="20"/>
              </w:rPr>
              <w:t>155.26</w:t>
            </w:r>
          </w:p>
        </w:tc>
      </w:tr>
      <w:tr>
        <w:trPr>
          <w:trHeight w:val="362" w:hRule="atLeast"/>
        </w:trPr>
        <w:tc>
          <w:tcPr>
            <w:tcW w:w="1200" w:type="dxa"/>
          </w:tcPr>
          <w:p>
            <w:pPr>
              <w:pStyle w:val="TableParagraph"/>
              <w:spacing w:before="18"/>
              <w:ind w:left="276" w:right="267"/>
              <w:jc w:val="center"/>
              <w:rPr>
                <w:sz w:val="20"/>
              </w:rPr>
            </w:pPr>
            <w:r>
              <w:rPr>
                <w:sz w:val="20"/>
              </w:rPr>
              <w:t>51</w:t>
            </w:r>
          </w:p>
        </w:tc>
        <w:tc>
          <w:tcPr>
            <w:tcW w:w="1200" w:type="dxa"/>
          </w:tcPr>
          <w:p>
            <w:pPr>
              <w:pStyle w:val="TableParagraph"/>
              <w:spacing w:before="18"/>
              <w:ind w:left="350"/>
              <w:rPr>
                <w:sz w:val="20"/>
              </w:rPr>
            </w:pPr>
            <w:r>
              <w:rPr>
                <w:sz w:val="20"/>
              </w:rPr>
              <w:t>13.57</w:t>
            </w:r>
          </w:p>
        </w:tc>
        <w:tc>
          <w:tcPr>
            <w:tcW w:w="1200" w:type="dxa"/>
          </w:tcPr>
          <w:p>
            <w:pPr>
              <w:pStyle w:val="TableParagraph"/>
              <w:spacing w:before="18"/>
              <w:ind w:left="398"/>
              <w:rPr>
                <w:sz w:val="20"/>
              </w:rPr>
            </w:pPr>
            <w:r>
              <w:rPr>
                <w:sz w:val="20"/>
              </w:rPr>
              <w:t>9.62</w:t>
            </w:r>
          </w:p>
        </w:tc>
        <w:tc>
          <w:tcPr>
            <w:tcW w:w="221" w:type="dxa"/>
            <w:vMerge/>
            <w:tcBorders>
              <w:top w:val="nil"/>
              <w:bottom w:val="nil"/>
            </w:tcBorders>
          </w:tcPr>
          <w:p>
            <w:pPr>
              <w:rPr>
                <w:sz w:val="2"/>
                <w:szCs w:val="2"/>
              </w:rPr>
            </w:pPr>
          </w:p>
        </w:tc>
        <w:tc>
          <w:tcPr>
            <w:tcW w:w="1200" w:type="dxa"/>
          </w:tcPr>
          <w:p>
            <w:pPr>
              <w:pStyle w:val="TableParagraph"/>
              <w:spacing w:line="256" w:lineRule="exact" w:before="0"/>
              <w:ind w:left="0" w:right="434"/>
              <w:jc w:val="right"/>
              <w:rPr>
                <w:sz w:val="20"/>
              </w:rPr>
            </w:pPr>
            <w:r>
              <w:rPr>
                <w:sz w:val="20"/>
              </w:rPr>
              <w:t>104</w:t>
            </w:r>
          </w:p>
        </w:tc>
        <w:tc>
          <w:tcPr>
            <w:tcW w:w="1200" w:type="dxa"/>
          </w:tcPr>
          <w:p>
            <w:pPr>
              <w:pStyle w:val="TableParagraph"/>
              <w:spacing w:before="18"/>
              <w:ind w:left="283" w:right="267"/>
              <w:jc w:val="center"/>
              <w:rPr>
                <w:sz w:val="20"/>
              </w:rPr>
            </w:pPr>
            <w:r>
              <w:rPr>
                <w:sz w:val="20"/>
              </w:rPr>
              <w:t>214.11</w:t>
            </w:r>
          </w:p>
        </w:tc>
        <w:tc>
          <w:tcPr>
            <w:tcW w:w="1200" w:type="dxa"/>
          </w:tcPr>
          <w:p>
            <w:pPr>
              <w:pStyle w:val="TableParagraph"/>
              <w:spacing w:before="18"/>
              <w:ind w:left="283" w:right="267"/>
              <w:jc w:val="center"/>
              <w:rPr>
                <w:sz w:val="20"/>
              </w:rPr>
            </w:pPr>
            <w:r>
              <w:rPr>
                <w:sz w:val="20"/>
              </w:rPr>
              <w:t>163.40</w:t>
            </w:r>
          </w:p>
        </w:tc>
      </w:tr>
      <w:tr>
        <w:trPr>
          <w:trHeight w:val="345" w:hRule="atLeast"/>
        </w:trPr>
        <w:tc>
          <w:tcPr>
            <w:tcW w:w="1200" w:type="dxa"/>
          </w:tcPr>
          <w:p>
            <w:pPr>
              <w:pStyle w:val="TableParagraph"/>
              <w:ind w:left="276" w:right="267"/>
              <w:jc w:val="center"/>
              <w:rPr>
                <w:sz w:val="20"/>
              </w:rPr>
            </w:pPr>
            <w:r>
              <w:rPr>
                <w:sz w:val="20"/>
              </w:rPr>
              <w:t>52</w:t>
            </w:r>
          </w:p>
        </w:tc>
        <w:tc>
          <w:tcPr>
            <w:tcW w:w="1200" w:type="dxa"/>
          </w:tcPr>
          <w:p>
            <w:pPr>
              <w:pStyle w:val="TableParagraph"/>
              <w:ind w:left="350"/>
              <w:rPr>
                <w:sz w:val="20"/>
              </w:rPr>
            </w:pPr>
            <w:r>
              <w:rPr>
                <w:sz w:val="20"/>
              </w:rPr>
              <w:t>14.79</w:t>
            </w:r>
          </w:p>
        </w:tc>
        <w:tc>
          <w:tcPr>
            <w:tcW w:w="1200" w:type="dxa"/>
          </w:tcPr>
          <w:p>
            <w:pPr>
              <w:pStyle w:val="TableParagraph"/>
              <w:ind w:left="350"/>
              <w:rPr>
                <w:sz w:val="20"/>
              </w:rPr>
            </w:pPr>
            <w:r>
              <w:rPr>
                <w:sz w:val="20"/>
              </w:rPr>
              <w:t>10.15</w:t>
            </w:r>
          </w:p>
        </w:tc>
        <w:tc>
          <w:tcPr>
            <w:tcW w:w="221" w:type="dxa"/>
            <w:vMerge/>
            <w:tcBorders>
              <w:top w:val="nil"/>
              <w:bottom w:val="nil"/>
            </w:tcBorders>
          </w:tcPr>
          <w:p>
            <w:pPr>
              <w:rPr>
                <w:sz w:val="2"/>
                <w:szCs w:val="2"/>
              </w:rPr>
            </w:pPr>
          </w:p>
        </w:tc>
        <w:tc>
          <w:tcPr>
            <w:tcW w:w="1200" w:type="dxa"/>
          </w:tcPr>
          <w:p>
            <w:pPr>
              <w:pStyle w:val="TableParagraph"/>
              <w:spacing w:line="254" w:lineRule="exact" w:before="0"/>
              <w:ind w:left="0" w:right="434"/>
              <w:jc w:val="right"/>
              <w:rPr>
                <w:sz w:val="20"/>
              </w:rPr>
            </w:pPr>
            <w:r>
              <w:rPr>
                <w:sz w:val="20"/>
              </w:rPr>
              <w:t>105</w:t>
            </w:r>
          </w:p>
        </w:tc>
        <w:tc>
          <w:tcPr>
            <w:tcW w:w="1200" w:type="dxa"/>
          </w:tcPr>
          <w:p>
            <w:pPr>
              <w:pStyle w:val="TableParagraph"/>
              <w:ind w:left="283" w:right="267"/>
              <w:jc w:val="center"/>
              <w:rPr>
                <w:sz w:val="20"/>
              </w:rPr>
            </w:pPr>
            <w:r>
              <w:rPr>
                <w:sz w:val="20"/>
              </w:rPr>
              <w:t>232.50</w:t>
            </w:r>
          </w:p>
        </w:tc>
        <w:tc>
          <w:tcPr>
            <w:tcW w:w="1200" w:type="dxa"/>
          </w:tcPr>
          <w:p>
            <w:pPr>
              <w:pStyle w:val="TableParagraph"/>
              <w:ind w:left="283" w:right="267"/>
              <w:jc w:val="center"/>
              <w:rPr>
                <w:sz w:val="20"/>
              </w:rPr>
            </w:pPr>
            <w:r>
              <w:rPr>
                <w:sz w:val="20"/>
              </w:rPr>
              <w:t>177.22</w:t>
            </w:r>
          </w:p>
        </w:tc>
      </w:tr>
    </w:tbl>
    <w:p>
      <w:pPr>
        <w:pStyle w:val="BodyText"/>
        <w:spacing w:before="1"/>
        <w:rPr>
          <w:sz w:val="20"/>
        </w:rPr>
      </w:pPr>
    </w:p>
    <w:p>
      <w:pPr>
        <w:pStyle w:val="BodyText"/>
        <w:spacing w:before="36"/>
        <w:ind w:left="945"/>
      </w:pPr>
      <w:r>
        <w:rPr/>
        <w:t>注：保险单年度初年龄指保险单年度第一日被保险人当时的年龄。</w:t>
      </w:r>
    </w:p>
    <w:sectPr>
      <w:pgSz w:w="11910" w:h="16840"/>
      <w:pgMar w:header="0" w:footer="921" w:top="1400" w:bottom="1200" w:left="120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PGothic">
    <w:altName w:val="MS PGothic"/>
    <w:charset w:val="0"/>
    <w:family w:val="swiss"/>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i w:val="0"/>
        <w:sz w:val="20"/>
      </w:rPr>
    </w:pPr>
    <w:r>
      <w:rPr/>
      <w:pict>
        <v:shapetype id="_x0000_t202" o:spt="202" coordsize="21600,21600" path="m,l,21600r21600,l21600,xe">
          <v:stroke joinstyle="miter"/>
          <v:path gradientshapeok="t" o:connecttype="rect"/>
        </v:shapetype>
        <v:shape style="position:absolute;margin-left:64.156998pt;margin-top:780.865601pt;width:164pt;height:11pt;mso-position-horizontal-relative:page;mso-position-vertical-relative:page;z-index:-53416" type="#_x0000_t202" filled="false" stroked="false">
          <v:textbox inset="0,0,0,0">
            <w:txbxContent>
              <w:p>
                <w:pPr>
                  <w:spacing w:line="200" w:lineRule="exact" w:before="0"/>
                  <w:ind w:left="20" w:right="0" w:firstLine="0"/>
                  <w:jc w:val="left"/>
                  <w:rPr>
                    <w:i/>
                    <w:sz w:val="18"/>
                  </w:rPr>
                </w:pPr>
                <w:r>
                  <w:rPr>
                    <w:i/>
                    <w:sz w:val="18"/>
                  </w:rPr>
                  <w:t>英大附加金生金世提前给付重大疾病保险</w:t>
                </w:r>
              </w:p>
            </w:txbxContent>
          </v:textbox>
          <w10:wrap type="none"/>
        </v:shape>
      </w:pict>
    </w:r>
    <w:r>
      <w:rPr/>
      <w:pict>
        <v:shape style="position:absolute;margin-left:329.837006pt;margin-top:780.865601pt;width:20pt;height:11pt;mso-position-horizontal-relative:page;mso-position-vertical-relative:page;z-index:-53392" type="#_x0000_t202" filled="false" stroked="false">
          <v:textbox inset="0,0,0,0">
            <w:txbxContent>
              <w:p>
                <w:pPr>
                  <w:spacing w:line="200" w:lineRule="exact" w:before="0"/>
                  <w:ind w:left="20" w:right="0" w:firstLine="0"/>
                  <w:jc w:val="left"/>
                  <w:rPr>
                    <w:i/>
                    <w:sz w:val="18"/>
                  </w:rPr>
                </w:pPr>
                <w:r>
                  <w:rPr>
                    <w:i/>
                    <w:sz w:val="18"/>
                  </w:rPr>
                  <w:t>条款</w:t>
                </w:r>
              </w:p>
            </w:txbxContent>
          </v:textbox>
          <w10:wrap type="none"/>
        </v:shape>
      </w:pict>
    </w:r>
    <w:r>
      <w:rPr/>
      <w:pict>
        <v:shape style="position:absolute;margin-left:451.399994pt;margin-top:780.865601pt;width:78.6pt;height:11pt;mso-position-horizontal-relative:page;mso-position-vertical-relative:page;z-index:-53368" type="#_x0000_t202" filled="false" stroked="false">
          <v:textbox inset="0,0,0,0">
            <w:txbxContent>
              <w:p>
                <w:pPr>
                  <w:spacing w:line="200" w:lineRule="exact" w:before="0"/>
                  <w:ind w:left="20" w:right="0" w:firstLine="0"/>
                  <w:jc w:val="left"/>
                  <w:rPr>
                    <w:i/>
                    <w:sz w:val="18"/>
                  </w:rPr>
                </w:pPr>
                <w:r>
                  <w:rPr>
                    <w:i/>
                    <w:sz w:val="18"/>
                  </w:rPr>
                  <w:t>第 </w:t>
                </w:r>
                <w:r>
                  <w:rPr/>
                  <w:fldChar w:fldCharType="begin"/>
                </w:r>
                <w:r>
                  <w:rPr>
                    <w:sz w:val="18"/>
                  </w:rPr>
                  <w:instrText> PAGE </w:instrText>
                </w:r>
                <w:r>
                  <w:rPr/>
                  <w:fldChar w:fldCharType="separate"/>
                </w:r>
                <w:r>
                  <w:rPr/>
                  <w:t>10</w:t>
                </w:r>
                <w:r>
                  <w:rPr/>
                  <w:fldChar w:fldCharType="end"/>
                </w:r>
                <w:r>
                  <w:rPr>
                    <w:sz w:val="18"/>
                  </w:rPr>
                  <w:t> </w:t>
                </w:r>
                <w:r>
                  <w:rPr>
                    <w:i/>
                    <w:sz w:val="18"/>
                  </w:rPr>
                  <w:t>页 共 </w:t>
                </w:r>
                <w:r>
                  <w:rPr>
                    <w:sz w:val="18"/>
                  </w:rPr>
                  <w:t>16 </w:t>
                </w:r>
                <w:r>
                  <w:rPr>
                    <w:i/>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739" w:hanging="632"/>
        <w:jc w:val="left"/>
      </w:pPr>
      <w:rPr>
        <w:rFonts w:hint="default" w:ascii="宋体" w:hAnsi="宋体" w:eastAsia="宋体" w:cs="宋体"/>
        <w:i/>
        <w:w w:val="100"/>
        <w:sz w:val="21"/>
        <w:szCs w:val="21"/>
      </w:rPr>
    </w:lvl>
    <w:lvl w:ilvl="1">
      <w:start w:val="0"/>
      <w:numFmt w:val="bullet"/>
      <w:lvlText w:val="•"/>
      <w:lvlJc w:val="left"/>
      <w:pPr>
        <w:ind w:left="1337" w:hanging="632"/>
      </w:pPr>
      <w:rPr>
        <w:rFonts w:hint="default"/>
      </w:rPr>
    </w:lvl>
    <w:lvl w:ilvl="2">
      <w:start w:val="0"/>
      <w:numFmt w:val="bullet"/>
      <w:lvlText w:val="•"/>
      <w:lvlJc w:val="left"/>
      <w:pPr>
        <w:ind w:left="1935" w:hanging="632"/>
      </w:pPr>
      <w:rPr>
        <w:rFonts w:hint="default"/>
      </w:rPr>
    </w:lvl>
    <w:lvl w:ilvl="3">
      <w:start w:val="0"/>
      <w:numFmt w:val="bullet"/>
      <w:lvlText w:val="•"/>
      <w:lvlJc w:val="left"/>
      <w:pPr>
        <w:ind w:left="2533" w:hanging="632"/>
      </w:pPr>
      <w:rPr>
        <w:rFonts w:hint="default"/>
      </w:rPr>
    </w:lvl>
    <w:lvl w:ilvl="4">
      <w:start w:val="0"/>
      <w:numFmt w:val="bullet"/>
      <w:lvlText w:val="•"/>
      <w:lvlJc w:val="left"/>
      <w:pPr>
        <w:ind w:left="3130" w:hanging="632"/>
      </w:pPr>
      <w:rPr>
        <w:rFonts w:hint="default"/>
      </w:rPr>
    </w:lvl>
    <w:lvl w:ilvl="5">
      <w:start w:val="0"/>
      <w:numFmt w:val="bullet"/>
      <w:lvlText w:val="•"/>
      <w:lvlJc w:val="left"/>
      <w:pPr>
        <w:ind w:left="3728" w:hanging="632"/>
      </w:pPr>
      <w:rPr>
        <w:rFonts w:hint="default"/>
      </w:rPr>
    </w:lvl>
    <w:lvl w:ilvl="6">
      <w:start w:val="0"/>
      <w:numFmt w:val="bullet"/>
      <w:lvlText w:val="•"/>
      <w:lvlJc w:val="left"/>
      <w:pPr>
        <w:ind w:left="4326" w:hanging="632"/>
      </w:pPr>
      <w:rPr>
        <w:rFonts w:hint="default"/>
      </w:rPr>
    </w:lvl>
    <w:lvl w:ilvl="7">
      <w:start w:val="0"/>
      <w:numFmt w:val="bullet"/>
      <w:lvlText w:val="•"/>
      <w:lvlJc w:val="left"/>
      <w:pPr>
        <w:ind w:left="4923" w:hanging="632"/>
      </w:pPr>
      <w:rPr>
        <w:rFonts w:hint="default"/>
      </w:rPr>
    </w:lvl>
    <w:lvl w:ilvl="8">
      <w:start w:val="0"/>
      <w:numFmt w:val="bullet"/>
      <w:lvlText w:val="•"/>
      <w:lvlJc w:val="left"/>
      <w:pPr>
        <w:ind w:left="5521" w:hanging="632"/>
      </w:pPr>
      <w:rPr>
        <w:rFonts w:hint="default"/>
      </w:rPr>
    </w:lvl>
  </w:abstractNum>
  <w:abstractNum w:abstractNumId="4">
    <w:multiLevelType w:val="hybridMultilevel"/>
    <w:lvl w:ilvl="0">
      <w:start w:val="1"/>
      <w:numFmt w:val="decimal"/>
      <w:lvlText w:val="%1."/>
      <w:lvlJc w:val="left"/>
      <w:pPr>
        <w:ind w:left="105" w:hanging="421"/>
        <w:jc w:val="left"/>
      </w:pPr>
      <w:rPr>
        <w:rFonts w:hint="default" w:ascii="宋体" w:hAnsi="宋体" w:eastAsia="宋体" w:cs="宋体"/>
        <w:w w:val="100"/>
        <w:sz w:val="21"/>
        <w:szCs w:val="21"/>
      </w:rPr>
    </w:lvl>
    <w:lvl w:ilvl="1">
      <w:start w:val="0"/>
      <w:numFmt w:val="bullet"/>
      <w:lvlText w:val="•"/>
      <w:lvlJc w:val="left"/>
      <w:pPr>
        <w:ind w:left="754" w:hanging="421"/>
      </w:pPr>
      <w:rPr>
        <w:rFonts w:hint="default"/>
      </w:rPr>
    </w:lvl>
    <w:lvl w:ilvl="2">
      <w:start w:val="0"/>
      <w:numFmt w:val="bullet"/>
      <w:lvlText w:val="•"/>
      <w:lvlJc w:val="left"/>
      <w:pPr>
        <w:ind w:left="1409" w:hanging="421"/>
      </w:pPr>
      <w:rPr>
        <w:rFonts w:hint="default"/>
      </w:rPr>
    </w:lvl>
    <w:lvl w:ilvl="3">
      <w:start w:val="0"/>
      <w:numFmt w:val="bullet"/>
      <w:lvlText w:val="•"/>
      <w:lvlJc w:val="left"/>
      <w:pPr>
        <w:ind w:left="2064" w:hanging="421"/>
      </w:pPr>
      <w:rPr>
        <w:rFonts w:hint="default"/>
      </w:rPr>
    </w:lvl>
    <w:lvl w:ilvl="4">
      <w:start w:val="0"/>
      <w:numFmt w:val="bullet"/>
      <w:lvlText w:val="•"/>
      <w:lvlJc w:val="left"/>
      <w:pPr>
        <w:ind w:left="2718" w:hanging="421"/>
      </w:pPr>
      <w:rPr>
        <w:rFonts w:hint="default"/>
      </w:rPr>
    </w:lvl>
    <w:lvl w:ilvl="5">
      <w:start w:val="0"/>
      <w:numFmt w:val="bullet"/>
      <w:lvlText w:val="•"/>
      <w:lvlJc w:val="left"/>
      <w:pPr>
        <w:ind w:left="3373" w:hanging="421"/>
      </w:pPr>
      <w:rPr>
        <w:rFonts w:hint="default"/>
      </w:rPr>
    </w:lvl>
    <w:lvl w:ilvl="6">
      <w:start w:val="0"/>
      <w:numFmt w:val="bullet"/>
      <w:lvlText w:val="•"/>
      <w:lvlJc w:val="left"/>
      <w:pPr>
        <w:ind w:left="4028" w:hanging="421"/>
      </w:pPr>
      <w:rPr>
        <w:rFonts w:hint="default"/>
      </w:rPr>
    </w:lvl>
    <w:lvl w:ilvl="7">
      <w:start w:val="0"/>
      <w:numFmt w:val="bullet"/>
      <w:lvlText w:val="•"/>
      <w:lvlJc w:val="left"/>
      <w:pPr>
        <w:ind w:left="4682" w:hanging="421"/>
      </w:pPr>
      <w:rPr>
        <w:rFonts w:hint="default"/>
      </w:rPr>
    </w:lvl>
    <w:lvl w:ilvl="8">
      <w:start w:val="0"/>
      <w:numFmt w:val="bullet"/>
      <w:lvlText w:val="•"/>
      <w:lvlJc w:val="left"/>
      <w:pPr>
        <w:ind w:left="5337" w:hanging="421"/>
      </w:pPr>
      <w:rPr>
        <w:rFonts w:hint="default"/>
      </w:rPr>
    </w:lvl>
  </w:abstractNum>
  <w:abstractNum w:abstractNumId="3">
    <w:multiLevelType w:val="hybridMultilevel"/>
    <w:lvl w:ilvl="0">
      <w:start w:val="8"/>
      <w:numFmt w:val="decimal"/>
      <w:lvlText w:val="%1"/>
      <w:lvlJc w:val="left"/>
      <w:pPr>
        <w:ind w:left="933" w:hanging="526"/>
        <w:jc w:val="left"/>
      </w:pPr>
      <w:rPr>
        <w:rFonts w:hint="default"/>
      </w:rPr>
    </w:lvl>
    <w:lvl w:ilvl="1">
      <w:start w:val="8"/>
      <w:numFmt w:val="decimal"/>
      <w:lvlText w:val="%1.%2"/>
      <w:lvlJc w:val="left"/>
      <w:pPr>
        <w:ind w:left="933" w:hanging="526"/>
        <w:jc w:val="left"/>
      </w:pPr>
      <w:rPr>
        <w:rFonts w:hint="default" w:ascii="宋体" w:hAnsi="宋体" w:eastAsia="宋体" w:cs="宋体"/>
        <w:w w:val="100"/>
        <w:sz w:val="21"/>
        <w:szCs w:val="21"/>
      </w:rPr>
    </w:lvl>
    <w:lvl w:ilvl="2">
      <w:start w:val="0"/>
      <w:numFmt w:val="bullet"/>
      <w:lvlText w:val="•"/>
      <w:lvlJc w:val="left"/>
      <w:pPr>
        <w:ind w:left="1354" w:hanging="526"/>
      </w:pPr>
      <w:rPr>
        <w:rFonts w:hint="default"/>
      </w:rPr>
    </w:lvl>
    <w:lvl w:ilvl="3">
      <w:start w:val="0"/>
      <w:numFmt w:val="bullet"/>
      <w:lvlText w:val="•"/>
      <w:lvlJc w:val="left"/>
      <w:pPr>
        <w:ind w:left="1561" w:hanging="526"/>
      </w:pPr>
      <w:rPr>
        <w:rFonts w:hint="default"/>
      </w:rPr>
    </w:lvl>
    <w:lvl w:ilvl="4">
      <w:start w:val="0"/>
      <w:numFmt w:val="bullet"/>
      <w:lvlText w:val="•"/>
      <w:lvlJc w:val="left"/>
      <w:pPr>
        <w:ind w:left="1768" w:hanging="526"/>
      </w:pPr>
      <w:rPr>
        <w:rFonts w:hint="default"/>
      </w:rPr>
    </w:lvl>
    <w:lvl w:ilvl="5">
      <w:start w:val="0"/>
      <w:numFmt w:val="bullet"/>
      <w:lvlText w:val="•"/>
      <w:lvlJc w:val="left"/>
      <w:pPr>
        <w:ind w:left="1975" w:hanging="526"/>
      </w:pPr>
      <w:rPr>
        <w:rFonts w:hint="default"/>
      </w:rPr>
    </w:lvl>
    <w:lvl w:ilvl="6">
      <w:start w:val="0"/>
      <w:numFmt w:val="bullet"/>
      <w:lvlText w:val="•"/>
      <w:lvlJc w:val="left"/>
      <w:pPr>
        <w:ind w:left="2182" w:hanging="526"/>
      </w:pPr>
      <w:rPr>
        <w:rFonts w:hint="default"/>
      </w:rPr>
    </w:lvl>
    <w:lvl w:ilvl="7">
      <w:start w:val="0"/>
      <w:numFmt w:val="bullet"/>
      <w:lvlText w:val="•"/>
      <w:lvlJc w:val="left"/>
      <w:pPr>
        <w:ind w:left="2389" w:hanging="526"/>
      </w:pPr>
      <w:rPr>
        <w:rFonts w:hint="default"/>
      </w:rPr>
    </w:lvl>
    <w:lvl w:ilvl="8">
      <w:start w:val="0"/>
      <w:numFmt w:val="bullet"/>
      <w:lvlText w:val="•"/>
      <w:lvlJc w:val="left"/>
      <w:pPr>
        <w:ind w:left="2596" w:hanging="526"/>
      </w:pPr>
      <w:rPr>
        <w:rFonts w:hint="default"/>
      </w:rPr>
    </w:lvl>
  </w:abstractNum>
  <w:abstractNum w:abstractNumId="2">
    <w:multiLevelType w:val="hybridMultilevel"/>
    <w:lvl w:ilvl="0">
      <w:start w:val="6"/>
      <w:numFmt w:val="decimal"/>
      <w:lvlText w:val="%1"/>
      <w:lvlJc w:val="left"/>
      <w:pPr>
        <w:ind w:left="523" w:hanging="423"/>
        <w:jc w:val="left"/>
      </w:pPr>
      <w:rPr>
        <w:rFonts w:hint="default" w:ascii="宋体" w:hAnsi="宋体" w:eastAsia="宋体" w:cs="宋体"/>
        <w:b/>
        <w:bCs/>
        <w:w w:val="99"/>
        <w:sz w:val="21"/>
        <w:szCs w:val="21"/>
      </w:rPr>
    </w:lvl>
    <w:lvl w:ilvl="1">
      <w:start w:val="1"/>
      <w:numFmt w:val="decimal"/>
      <w:lvlText w:val="%1.%2"/>
      <w:lvlJc w:val="left"/>
      <w:pPr>
        <w:ind w:left="837" w:hanging="526"/>
        <w:jc w:val="left"/>
      </w:pPr>
      <w:rPr>
        <w:rFonts w:hint="default" w:ascii="宋体" w:hAnsi="宋体" w:eastAsia="宋体" w:cs="宋体"/>
        <w:w w:val="100"/>
        <w:sz w:val="21"/>
        <w:szCs w:val="21"/>
      </w:rPr>
    </w:lvl>
    <w:lvl w:ilvl="2">
      <w:start w:val="0"/>
      <w:numFmt w:val="bullet"/>
      <w:lvlText w:val="•"/>
      <w:lvlJc w:val="left"/>
      <w:pPr>
        <w:ind w:left="1095" w:hanging="526"/>
      </w:pPr>
      <w:rPr>
        <w:rFonts w:hint="default"/>
      </w:rPr>
    </w:lvl>
    <w:lvl w:ilvl="3">
      <w:start w:val="0"/>
      <w:numFmt w:val="bullet"/>
      <w:lvlText w:val="•"/>
      <w:lvlJc w:val="left"/>
      <w:pPr>
        <w:ind w:left="1350" w:hanging="526"/>
      </w:pPr>
      <w:rPr>
        <w:rFonts w:hint="default"/>
      </w:rPr>
    </w:lvl>
    <w:lvl w:ilvl="4">
      <w:start w:val="0"/>
      <w:numFmt w:val="bullet"/>
      <w:lvlText w:val="•"/>
      <w:lvlJc w:val="left"/>
      <w:pPr>
        <w:ind w:left="1605" w:hanging="526"/>
      </w:pPr>
      <w:rPr>
        <w:rFonts w:hint="default"/>
      </w:rPr>
    </w:lvl>
    <w:lvl w:ilvl="5">
      <w:start w:val="0"/>
      <w:numFmt w:val="bullet"/>
      <w:lvlText w:val="•"/>
      <w:lvlJc w:val="left"/>
      <w:pPr>
        <w:ind w:left="1860" w:hanging="526"/>
      </w:pPr>
      <w:rPr>
        <w:rFonts w:hint="default"/>
      </w:rPr>
    </w:lvl>
    <w:lvl w:ilvl="6">
      <w:start w:val="0"/>
      <w:numFmt w:val="bullet"/>
      <w:lvlText w:val="•"/>
      <w:lvlJc w:val="left"/>
      <w:pPr>
        <w:ind w:left="2115" w:hanging="526"/>
      </w:pPr>
      <w:rPr>
        <w:rFonts w:hint="default"/>
      </w:rPr>
    </w:lvl>
    <w:lvl w:ilvl="7">
      <w:start w:val="0"/>
      <w:numFmt w:val="bullet"/>
      <w:lvlText w:val="•"/>
      <w:lvlJc w:val="left"/>
      <w:pPr>
        <w:ind w:left="2370" w:hanging="526"/>
      </w:pPr>
      <w:rPr>
        <w:rFonts w:hint="default"/>
      </w:rPr>
    </w:lvl>
    <w:lvl w:ilvl="8">
      <w:start w:val="0"/>
      <w:numFmt w:val="bullet"/>
      <w:lvlText w:val="•"/>
      <w:lvlJc w:val="left"/>
      <w:pPr>
        <w:ind w:left="2625" w:hanging="526"/>
      </w:pPr>
      <w:rPr>
        <w:rFonts w:hint="default"/>
      </w:rPr>
    </w:lvl>
  </w:abstractNum>
  <w:abstractNum w:abstractNumId="1">
    <w:multiLevelType w:val="hybridMultilevel"/>
    <w:lvl w:ilvl="0">
      <w:start w:val="1"/>
      <w:numFmt w:val="decimal"/>
      <w:lvlText w:val="%1"/>
      <w:lvlJc w:val="left"/>
      <w:pPr>
        <w:ind w:left="624" w:hanging="423"/>
        <w:jc w:val="left"/>
      </w:pPr>
      <w:rPr>
        <w:rFonts w:hint="default" w:ascii="宋体" w:hAnsi="宋体" w:eastAsia="宋体" w:cs="宋体"/>
        <w:b/>
        <w:bCs/>
        <w:w w:val="99"/>
        <w:sz w:val="21"/>
        <w:szCs w:val="21"/>
      </w:rPr>
    </w:lvl>
    <w:lvl w:ilvl="1">
      <w:start w:val="1"/>
      <w:numFmt w:val="decimal"/>
      <w:lvlText w:val="%1.%2"/>
      <w:lvlJc w:val="left"/>
      <w:pPr>
        <w:ind w:left="936" w:hanging="526"/>
        <w:jc w:val="left"/>
      </w:pPr>
      <w:rPr>
        <w:rFonts w:hint="default" w:ascii="宋体" w:hAnsi="宋体" w:eastAsia="宋体" w:cs="宋体"/>
        <w:w w:val="100"/>
        <w:sz w:val="21"/>
        <w:szCs w:val="21"/>
      </w:rPr>
    </w:lvl>
    <w:lvl w:ilvl="2">
      <w:start w:val="0"/>
      <w:numFmt w:val="bullet"/>
      <w:lvlText w:val="•"/>
      <w:lvlJc w:val="left"/>
      <w:pPr>
        <w:ind w:left="1171" w:hanging="526"/>
      </w:pPr>
      <w:rPr>
        <w:rFonts w:hint="default"/>
      </w:rPr>
    </w:lvl>
    <w:lvl w:ilvl="3">
      <w:start w:val="0"/>
      <w:numFmt w:val="bullet"/>
      <w:lvlText w:val="•"/>
      <w:lvlJc w:val="left"/>
      <w:pPr>
        <w:ind w:left="1403" w:hanging="526"/>
      </w:pPr>
      <w:rPr>
        <w:rFonts w:hint="default"/>
      </w:rPr>
    </w:lvl>
    <w:lvl w:ilvl="4">
      <w:start w:val="0"/>
      <w:numFmt w:val="bullet"/>
      <w:lvlText w:val="•"/>
      <w:lvlJc w:val="left"/>
      <w:pPr>
        <w:ind w:left="1635" w:hanging="526"/>
      </w:pPr>
      <w:rPr>
        <w:rFonts w:hint="default"/>
      </w:rPr>
    </w:lvl>
    <w:lvl w:ilvl="5">
      <w:start w:val="0"/>
      <w:numFmt w:val="bullet"/>
      <w:lvlText w:val="•"/>
      <w:lvlJc w:val="left"/>
      <w:pPr>
        <w:ind w:left="1867" w:hanging="526"/>
      </w:pPr>
      <w:rPr>
        <w:rFonts w:hint="default"/>
      </w:rPr>
    </w:lvl>
    <w:lvl w:ilvl="6">
      <w:start w:val="0"/>
      <w:numFmt w:val="bullet"/>
      <w:lvlText w:val="•"/>
      <w:lvlJc w:val="left"/>
      <w:pPr>
        <w:ind w:left="2099" w:hanging="526"/>
      </w:pPr>
      <w:rPr>
        <w:rFonts w:hint="default"/>
      </w:rPr>
    </w:lvl>
    <w:lvl w:ilvl="7">
      <w:start w:val="0"/>
      <w:numFmt w:val="bullet"/>
      <w:lvlText w:val="•"/>
      <w:lvlJc w:val="left"/>
      <w:pPr>
        <w:ind w:left="2331" w:hanging="526"/>
      </w:pPr>
      <w:rPr>
        <w:rFonts w:hint="default"/>
      </w:rPr>
    </w:lvl>
    <w:lvl w:ilvl="8">
      <w:start w:val="0"/>
      <w:numFmt w:val="bullet"/>
      <w:lvlText w:val="•"/>
      <w:lvlJc w:val="left"/>
      <w:pPr>
        <w:ind w:left="2563" w:hanging="526"/>
      </w:pPr>
      <w:rPr>
        <w:rFonts w:hint="default"/>
      </w:rPr>
    </w:lvl>
  </w:abstractNum>
  <w:abstractNum w:abstractNumId="0">
    <w:multiLevelType w:val="hybridMultilevel"/>
    <w:lvl w:ilvl="0">
      <w:start w:val="0"/>
      <w:numFmt w:val="bullet"/>
      <w:lvlText w:val=""/>
      <w:lvlJc w:val="left"/>
      <w:pPr>
        <w:ind w:left="921" w:hanging="399"/>
      </w:pPr>
      <w:rPr>
        <w:rFonts w:hint="default" w:ascii="Wingdings" w:hAnsi="Wingdings" w:eastAsia="Wingdings" w:cs="Wingdings"/>
        <w:w w:val="100"/>
        <w:sz w:val="21"/>
        <w:szCs w:val="21"/>
      </w:rPr>
    </w:lvl>
    <w:lvl w:ilvl="1">
      <w:start w:val="0"/>
      <w:numFmt w:val="bullet"/>
      <w:lvlText w:val="•"/>
      <w:lvlJc w:val="left"/>
      <w:pPr>
        <w:ind w:left="1828" w:hanging="399"/>
      </w:pPr>
      <w:rPr>
        <w:rFonts w:hint="default"/>
      </w:rPr>
    </w:lvl>
    <w:lvl w:ilvl="2">
      <w:start w:val="0"/>
      <w:numFmt w:val="bullet"/>
      <w:lvlText w:val="•"/>
      <w:lvlJc w:val="left"/>
      <w:pPr>
        <w:ind w:left="2737" w:hanging="399"/>
      </w:pPr>
      <w:rPr>
        <w:rFonts w:hint="default"/>
      </w:rPr>
    </w:lvl>
    <w:lvl w:ilvl="3">
      <w:start w:val="0"/>
      <w:numFmt w:val="bullet"/>
      <w:lvlText w:val="•"/>
      <w:lvlJc w:val="left"/>
      <w:pPr>
        <w:ind w:left="3645" w:hanging="399"/>
      </w:pPr>
      <w:rPr>
        <w:rFonts w:hint="default"/>
      </w:rPr>
    </w:lvl>
    <w:lvl w:ilvl="4">
      <w:start w:val="0"/>
      <w:numFmt w:val="bullet"/>
      <w:lvlText w:val="•"/>
      <w:lvlJc w:val="left"/>
      <w:pPr>
        <w:ind w:left="4554" w:hanging="399"/>
      </w:pPr>
      <w:rPr>
        <w:rFonts w:hint="default"/>
      </w:rPr>
    </w:lvl>
    <w:lvl w:ilvl="5">
      <w:start w:val="0"/>
      <w:numFmt w:val="bullet"/>
      <w:lvlText w:val="•"/>
      <w:lvlJc w:val="left"/>
      <w:pPr>
        <w:ind w:left="5463" w:hanging="399"/>
      </w:pPr>
      <w:rPr>
        <w:rFonts w:hint="default"/>
      </w:rPr>
    </w:lvl>
    <w:lvl w:ilvl="6">
      <w:start w:val="0"/>
      <w:numFmt w:val="bullet"/>
      <w:lvlText w:val="•"/>
      <w:lvlJc w:val="left"/>
      <w:pPr>
        <w:ind w:left="6371" w:hanging="399"/>
      </w:pPr>
      <w:rPr>
        <w:rFonts w:hint="default"/>
      </w:rPr>
    </w:lvl>
    <w:lvl w:ilvl="7">
      <w:start w:val="0"/>
      <w:numFmt w:val="bullet"/>
      <w:lvlText w:val="•"/>
      <w:lvlJc w:val="left"/>
      <w:pPr>
        <w:ind w:left="7280" w:hanging="399"/>
      </w:pPr>
      <w:rPr>
        <w:rFonts w:hint="default"/>
      </w:rPr>
    </w:lvl>
    <w:lvl w:ilvl="8">
      <w:start w:val="0"/>
      <w:numFmt w:val="bullet"/>
      <w:lvlText w:val="•"/>
      <w:lvlJc w:val="left"/>
      <w:pPr>
        <w:ind w:left="8189" w:hanging="399"/>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i/>
      <w:sz w:val="21"/>
      <w:szCs w:val="21"/>
    </w:rPr>
  </w:style>
  <w:style w:styleId="Heading1" w:type="paragraph">
    <w:name w:val="Heading 1"/>
    <w:basedOn w:val="Normal"/>
    <w:uiPriority w:val="1"/>
    <w:qFormat/>
    <w:pPr>
      <w:spacing w:before="7"/>
      <w:ind w:left="103"/>
      <w:outlineLvl w:val="1"/>
    </w:pPr>
    <w:rPr>
      <w:rFonts w:ascii="宋体" w:hAnsi="宋体" w:eastAsia="宋体" w:cs="宋体"/>
      <w:b/>
      <w:bCs/>
      <w:sz w:val="21"/>
      <w:szCs w:val="21"/>
    </w:rPr>
  </w:style>
  <w:style w:styleId="ListParagraph" w:type="paragraph">
    <w:name w:val="List Paragraph"/>
    <w:basedOn w:val="Normal"/>
    <w:uiPriority w:val="1"/>
    <w:qFormat/>
    <w:pPr>
      <w:spacing w:before="29"/>
      <w:ind w:left="921" w:hanging="398"/>
    </w:pPr>
    <w:rPr>
      <w:rFonts w:ascii="宋体" w:hAnsi="宋体" w:eastAsia="宋体" w:cs="宋体"/>
    </w:rPr>
  </w:style>
  <w:style w:styleId="TableParagraph" w:type="paragraph">
    <w:name w:val="Table Paragraph"/>
    <w:basedOn w:val="Normal"/>
    <w:uiPriority w:val="1"/>
    <w:qFormat/>
    <w:pPr>
      <w:spacing w:before="8"/>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2018-10-20T02:08:35Z</dcterms:created>
  <dcterms:modified xsi:type="dcterms:W3CDTF">2018-10-20T02:08:35Z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2014-06-16T00:00:00Z</vt:filetime>
  </property>
  <property fmtid="{D5CDD505-2E9C-101B-9397-08002B2CF9AE}" pid="3" name="Creator">
    <vt:lpwstr>Acrobat PDFMaker 9.0 Word 版</vt:lpwstr>
  </property>
  <property fmtid="{D5CDD505-2E9C-101B-9397-08002B2CF9AE}" pid="4" name="LastSaved">
    <vt:filetime>2018-10-19T00:00:00Z</vt:filetime>
  </property>
</Properties>
</file>