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244910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人保健康[2011]疾病保险 003 号</w:t>
      </w:r>
    </w:p>
    <w:p>
      <w:pPr>
        <w:spacing w:after="0"/>
        <w:jc w:val="right"/>
        <w:sectPr>
          <w:footerReference w:type="default" r:id="rId5"/>
          <w:type w:val="continuous"/>
          <w:pgSz w:w="11910" w:h="16840"/>
          <w:pgMar w:footer="1008" w:top="280" w:bottom="1200" w:left="1180" w:right="240"/>
          <w:pgNumType w:start="1"/>
        </w:sectPr>
      </w:pPr>
    </w:p>
    <w:p>
      <w:pPr>
        <w:spacing w:line="297" w:lineRule="auto" w:before="97"/>
        <w:ind w:left="2202" w:right="0" w:firstLine="321"/>
        <w:jc w:val="left"/>
        <w:rPr>
          <w:b/>
          <w:sz w:val="32"/>
        </w:rPr>
      </w:pPr>
      <w:r>
        <w:rPr>
          <w:b/>
          <w:sz w:val="32"/>
        </w:rPr>
        <w:t>中国人民健康保险股份有限公司 </w:t>
      </w:r>
      <w:r>
        <w:rPr>
          <w:b/>
          <w:w w:val="95"/>
          <w:sz w:val="32"/>
        </w:rPr>
        <w:t>美丽人生女性特定重大疾病保险条款</w:t>
      </w:r>
    </w:p>
    <w:p>
      <w:pPr>
        <w:pStyle w:val="BodyText"/>
        <w:spacing w:before="40"/>
        <w:ind w:left="2541"/>
      </w:pPr>
      <w:r>
        <w:rPr/>
        <w:t>（2011 年 5 月向中国保险监督管理委员会备案）</w:t>
      </w:r>
    </w:p>
    <w:p>
      <w:pPr>
        <w:pStyle w:val="BodyText"/>
        <w:spacing w:before="9"/>
        <w:ind w:left="475"/>
      </w:pPr>
      <w:r>
        <w:rPr/>
        <w:br w:type="column"/>
      </w:r>
      <w:r>
        <w:rPr/>
        <w:t>请扫描以查询验证条款</w:t>
      </w:r>
    </w:p>
    <w:p>
      <w:pPr>
        <w:spacing w:after="0"/>
        <w:sectPr>
          <w:type w:val="continuous"/>
          <w:pgSz w:w="11910" w:h="16840"/>
          <w:pgMar w:top="280" w:bottom="1200" w:left="1180" w:right="240"/>
          <w:cols w:num="2" w:equalWidth="0">
            <w:col w:w="7343" w:space="40"/>
            <w:col w:w="3107"/>
          </w:cols>
        </w:sectPr>
      </w:pPr>
    </w:p>
    <w:p>
      <w:pPr>
        <w:pStyle w:val="BodyText"/>
        <w:spacing w:before="0"/>
        <w:ind w:left="0"/>
        <w:rPr>
          <w:sz w:val="20"/>
        </w:rPr>
      </w:pPr>
    </w:p>
    <w:p>
      <w:pPr>
        <w:pStyle w:val="BodyText"/>
        <w:spacing w:before="9"/>
        <w:ind w:left="0"/>
        <w:rPr>
          <w:sz w:val="10"/>
        </w:rPr>
      </w:pPr>
    </w:p>
    <w:p>
      <w:pPr>
        <w:pStyle w:val="BodyText"/>
        <w:spacing w:before="0"/>
        <w:ind w:left="105"/>
        <w:rPr>
          <w:sz w:val="20"/>
        </w:rPr>
      </w:pPr>
      <w:r>
        <w:rPr>
          <w:sz w:val="20"/>
        </w:rPr>
        <w:pict>
          <v:shape style="width:466.15pt;height:19.45pt;mso-position-horizontal-relative:char;mso-position-vertical-relative:line" type="#_x0000_t202" filled="true" fillcolor="#cccccc" stroked="false">
            <w10:anchorlock/>
            <v:textbox inset="0,0,0,0">
              <w:txbxContent>
                <w:p>
                  <w:pPr>
                    <w:tabs>
                      <w:tab w:pos="667"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71" w:val="left" w:leader="none"/>
        </w:tabs>
        <w:spacing w:line="223" w:lineRule="exact" w:before="0"/>
        <w:ind w:left="227" w:right="0" w:firstLine="0"/>
        <w:jc w:val="left"/>
        <w:rPr>
          <w:sz w:val="21"/>
        </w:rPr>
      </w:pPr>
      <w:r>
        <w:rPr>
          <w:b/>
          <w:sz w:val="21"/>
        </w:rPr>
        <w:t>1.1</w:t>
        <w:tab/>
      </w:r>
      <w:r>
        <w:rPr>
          <w:b/>
          <w:spacing w:val="-1"/>
          <w:sz w:val="21"/>
        </w:rPr>
        <w:t>被保险人范围 </w:t>
      </w:r>
      <w:r>
        <w:rPr>
          <w:spacing w:val="-8"/>
          <w:sz w:val="21"/>
        </w:rPr>
        <w:t>凡投保时年满 </w:t>
      </w:r>
      <w:r>
        <w:rPr>
          <w:sz w:val="21"/>
        </w:rPr>
        <w:t>16</w:t>
      </w:r>
      <w:r>
        <w:rPr>
          <w:spacing w:val="-25"/>
          <w:sz w:val="21"/>
        </w:rPr>
        <w:t> 周岁至 </w:t>
      </w:r>
      <w:r>
        <w:rPr>
          <w:sz w:val="21"/>
        </w:rPr>
        <w:t>50</w:t>
      </w:r>
      <w:r>
        <w:rPr>
          <w:spacing w:val="-9"/>
          <w:sz w:val="21"/>
        </w:rPr>
        <w:t> 周岁，身体健康的女性均可作为被保险人参加本保</w:t>
      </w:r>
    </w:p>
    <w:p>
      <w:pPr>
        <w:pStyle w:val="BodyText"/>
        <w:spacing w:before="66"/>
      </w:pPr>
      <w:r>
        <w:rPr/>
        <w:pict>
          <v:shape style="position:absolute;margin-left:64.260002pt;margin-top:22.103518pt;width:466.15pt;height:19.45pt;mso-position-horizontal-relative:page;mso-position-vertical-relative:paragraph;z-index:1072;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71" w:val="left" w:leader="none"/>
          <w:tab w:pos="772" w:val="left" w:leader="none"/>
        </w:tabs>
        <w:spacing w:line="225" w:lineRule="exact" w:before="0" w:after="0"/>
        <w:ind w:left="772" w:right="0" w:hanging="545"/>
        <w:jc w:val="left"/>
        <w:rPr>
          <w:sz w:val="21"/>
        </w:rPr>
      </w:pPr>
      <w:r>
        <w:rPr>
          <w:b/>
          <w:spacing w:val="-1"/>
          <w:sz w:val="21"/>
        </w:rPr>
        <w:t>基本保险金额 </w:t>
      </w:r>
      <w:r>
        <w:rPr>
          <w:sz w:val="21"/>
        </w:rPr>
        <w:t>由投保人与本公司共同约定被保险人的基本保险金额，经被保险人同意并在保</w:t>
      </w:r>
    </w:p>
    <w:p>
      <w:pPr>
        <w:pStyle w:val="BodyText"/>
        <w:spacing w:before="64"/>
      </w:pPr>
      <w:r>
        <w:rPr/>
        <w:t>险单中载明。</w:t>
      </w:r>
    </w:p>
    <w:p>
      <w:pPr>
        <w:pStyle w:val="ListParagraph"/>
        <w:numPr>
          <w:ilvl w:val="1"/>
          <w:numId w:val="1"/>
        </w:numPr>
        <w:tabs>
          <w:tab w:pos="772" w:val="left" w:leader="none"/>
          <w:tab w:pos="773" w:val="left" w:leader="none"/>
        </w:tabs>
        <w:spacing w:line="297" w:lineRule="auto" w:before="65" w:after="0"/>
        <w:ind w:left="772" w:right="4560" w:hanging="545"/>
        <w:jc w:val="left"/>
        <w:rPr>
          <w:b/>
          <w:sz w:val="21"/>
        </w:rPr>
      </w:pPr>
      <w:r>
        <w:rPr>
          <w:b/>
          <w:spacing w:val="-1"/>
          <w:sz w:val="21"/>
        </w:rPr>
        <w:t>保险责任 </w:t>
      </w:r>
      <w:r>
        <w:rPr>
          <w:sz w:val="21"/>
        </w:rPr>
        <w:t>本合同有效期内，本公司承担下列保险责任： </w:t>
      </w:r>
      <w:r>
        <w:rPr>
          <w:b/>
          <w:w w:val="95"/>
          <w:sz w:val="21"/>
        </w:rPr>
        <w:t>女性特定重大疾病保险金</w:t>
      </w:r>
    </w:p>
    <w:p>
      <w:pPr>
        <w:pStyle w:val="BodyText"/>
        <w:spacing w:line="297" w:lineRule="auto"/>
        <w:ind w:right="1162"/>
        <w:jc w:val="both"/>
      </w:pPr>
      <w:r>
        <w:rPr>
          <w:spacing w:val="-1"/>
        </w:rPr>
        <w:t>自保险合同生效之日起</w:t>
      </w:r>
      <w:r>
        <w:rPr/>
        <w:t>（保险合同复效的则自最后一次复效之日起）180</w:t>
      </w:r>
      <w:r>
        <w:rPr>
          <w:spacing w:val="-8"/>
        </w:rPr>
        <w:t> 天后，被保险人初次</w:t>
      </w:r>
      <w:r>
        <w:rPr>
          <w:spacing w:val="-14"/>
        </w:rPr>
        <w:t>发生本合同约定的女性特定重大疾病，本公司按基本保险金额的 </w:t>
      </w:r>
      <w:r>
        <w:rPr/>
        <w:t>2</w:t>
      </w:r>
      <w:r>
        <w:rPr>
          <w:spacing w:val="-8"/>
        </w:rPr>
        <w:t> 倍给付女性特定重大疾病保险金，同时本合同效力终止。</w:t>
      </w:r>
    </w:p>
    <w:p>
      <w:pPr>
        <w:pStyle w:val="BodyText"/>
        <w:spacing w:line="297" w:lineRule="auto"/>
        <w:ind w:right="1162"/>
        <w:jc w:val="both"/>
      </w:pPr>
      <w:r>
        <w:rPr>
          <w:spacing w:val="-1"/>
        </w:rPr>
        <w:t>自保险合同生效之日起</w:t>
      </w:r>
      <w:r>
        <w:rPr/>
        <w:t>（保险合同复效的则自最后一次复效之日起）180</w:t>
      </w:r>
      <w:r>
        <w:rPr>
          <w:spacing w:val="-8"/>
        </w:rPr>
        <w:t> 天内，被保险人初次</w:t>
      </w:r>
      <w:r>
        <w:rPr>
          <w:spacing w:val="-11"/>
        </w:rPr>
        <w:t>发生本合同约定的女性特定重大疾病，本公司向投保人无息返还已交纳的保险费，同时本合同效力终止。</w:t>
      </w:r>
    </w:p>
    <w:p>
      <w:pPr>
        <w:pStyle w:val="BodyText"/>
        <w:spacing w:line="297" w:lineRule="auto"/>
        <w:ind w:right="1162"/>
      </w:pPr>
      <w:r>
        <w:rPr>
          <w:b/>
          <w:spacing w:val="-2"/>
        </w:rPr>
        <w:t>女性原位癌保险金 </w:t>
      </w:r>
      <w:r>
        <w:rPr/>
        <w:t>自保险合同生效之日起（保险合同复效的则自最后一次复效之日起）180 </w:t>
      </w:r>
      <w:r>
        <w:rPr>
          <w:spacing w:val="-6"/>
        </w:rPr>
        <w:t>天后，被保险人初次发生本合同约定的女性原位癌，本公司按基本保险金额的 </w:t>
      </w:r>
      <w:r>
        <w:rPr/>
        <w:t>20%给付女性原位癌保险金，同时该项保险责任终止。</w:t>
      </w:r>
    </w:p>
    <w:p>
      <w:pPr>
        <w:pStyle w:val="BodyText"/>
        <w:spacing w:line="297" w:lineRule="auto"/>
        <w:ind w:right="1161"/>
        <w:jc w:val="both"/>
      </w:pPr>
      <w:r>
        <w:rPr>
          <w:b/>
          <w:spacing w:val="-1"/>
        </w:rPr>
        <w:t>女性特定手术保险金 </w:t>
      </w:r>
      <w:r>
        <w:rPr>
          <w:spacing w:val="-4"/>
        </w:rPr>
        <w:t>自保险合同生效之日起</w:t>
      </w:r>
      <w:r>
        <w:rPr/>
        <w:t>（保险合同复效的则自最后一次复效之日起</w:t>
      </w:r>
      <w:r>
        <w:rPr>
          <w:spacing w:val="-9"/>
        </w:rPr>
        <w:t>）180 </w:t>
      </w:r>
      <w:r>
        <w:rPr>
          <w:spacing w:val="-5"/>
        </w:rPr>
        <w:t>天后，被保险人初次接受本合同约定的女性特定手术的，本公司按基本保险金额的 </w:t>
      </w:r>
      <w:r>
        <w:rPr/>
        <w:t>10%给付女性特定手术保险金，同时该项保险责任终止。</w:t>
      </w:r>
    </w:p>
    <w:p>
      <w:pPr>
        <w:pStyle w:val="Heading2"/>
        <w:ind w:firstLine="0"/>
      </w:pPr>
      <w:r>
        <w:rPr>
          <w:w w:val="95"/>
        </w:rPr>
        <w:t>身故保险金</w:t>
      </w:r>
    </w:p>
    <w:p>
      <w:pPr>
        <w:pStyle w:val="BodyText"/>
        <w:spacing w:line="297" w:lineRule="auto" w:before="65"/>
        <w:ind w:right="1058"/>
      </w:pPr>
      <w:r>
        <w:rPr>
          <w:spacing w:val="-3"/>
        </w:rPr>
        <w:t>自保险合同生效之日起</w:t>
      </w:r>
      <w:r>
        <w:rPr/>
        <w:t>（保险合同复效的则自最后一次复效之日起</w:t>
      </w:r>
      <w:r>
        <w:rPr>
          <w:spacing w:val="-22"/>
        </w:rPr>
        <w:t>）</w:t>
      </w:r>
      <w:r>
        <w:rPr>
          <w:spacing w:val="-3"/>
        </w:rPr>
        <w:t>因意外伤害原因，或自保</w:t>
      </w:r>
      <w:r>
        <w:rPr>
          <w:spacing w:val="-4"/>
        </w:rPr>
        <w:t>险合同生效之日起</w:t>
      </w:r>
      <w:r>
        <w:rPr/>
        <w:t>（保险合同复效的则自最后一次复效之日起）180</w:t>
      </w:r>
      <w:r>
        <w:rPr>
          <w:spacing w:val="-8"/>
        </w:rPr>
        <w:t> 天后因意外伤害之外的其</w:t>
      </w:r>
      <w:r>
        <w:rPr>
          <w:spacing w:val="-15"/>
        </w:rPr>
        <w:t>它原因，被保险人身故，本公司按基本保险金额的 </w:t>
      </w:r>
      <w:r>
        <w:rPr/>
        <w:t>2</w:t>
      </w:r>
      <w:r>
        <w:rPr>
          <w:spacing w:val="-11"/>
        </w:rPr>
        <w:t> 倍给付身故保险金，同时本合同效力终止。自保险合同生效之日起</w:t>
      </w:r>
      <w:r>
        <w:rPr/>
        <w:t>（保险合同复效的则自最后一次复效之日起）180</w:t>
      </w:r>
      <w:r>
        <w:rPr>
          <w:spacing w:val="-8"/>
        </w:rPr>
        <w:t> 天内，被保险人因意</w:t>
      </w:r>
      <w:r>
        <w:rPr>
          <w:spacing w:val="-16"/>
        </w:rPr>
        <w:t>外伤害之外的其它原因身故，本公司向投保人无息返还已交纳的保险费，同时本合同效力终止。</w:t>
      </w:r>
    </w:p>
    <w:p>
      <w:pPr>
        <w:pStyle w:val="Heading2"/>
        <w:numPr>
          <w:ilvl w:val="1"/>
          <w:numId w:val="1"/>
        </w:numPr>
        <w:tabs>
          <w:tab w:pos="772" w:val="left" w:leader="none"/>
          <w:tab w:pos="773" w:val="left" w:leader="none"/>
        </w:tabs>
        <w:spacing w:line="240" w:lineRule="auto" w:before="15" w:after="0"/>
        <w:ind w:left="772" w:right="0" w:hanging="545"/>
        <w:jc w:val="left"/>
      </w:pPr>
      <w:r>
        <w:rPr/>
        <w:t>责任免除</w:t>
      </w:r>
    </w:p>
    <w:p>
      <w:pPr>
        <w:spacing w:before="66"/>
        <w:ind w:left="772"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92" w:val="left" w:leader="none"/>
          <w:tab w:pos="1193" w:val="left" w:leader="none"/>
        </w:tabs>
        <w:spacing w:line="240" w:lineRule="auto" w:before="65" w:after="0"/>
        <w:ind w:left="1192" w:right="0" w:hanging="420"/>
        <w:jc w:val="left"/>
        <w:rPr>
          <w:b/>
          <w:sz w:val="21"/>
        </w:rPr>
      </w:pPr>
      <w:r>
        <w:rPr>
          <w:b/>
          <w:w w:val="95"/>
          <w:sz w:val="21"/>
        </w:rPr>
        <w:t>投保人对被保险人的故意杀害、故意伤害；</w:t>
      </w:r>
    </w:p>
    <w:p>
      <w:pPr>
        <w:pStyle w:val="ListParagraph"/>
        <w:numPr>
          <w:ilvl w:val="2"/>
          <w:numId w:val="1"/>
        </w:numPr>
        <w:tabs>
          <w:tab w:pos="1192" w:val="left" w:leader="none"/>
          <w:tab w:pos="1193" w:val="left" w:leader="none"/>
        </w:tabs>
        <w:spacing w:line="240" w:lineRule="auto" w:before="66" w:after="0"/>
        <w:ind w:left="1192" w:right="0" w:hanging="420"/>
        <w:jc w:val="left"/>
        <w:rPr>
          <w:b/>
          <w:sz w:val="21"/>
        </w:rPr>
      </w:pPr>
      <w:r>
        <w:rPr>
          <w:b/>
          <w:w w:val="95"/>
          <w:sz w:val="21"/>
        </w:rPr>
        <w:t>被保险人故意自伤、故意犯罪或者抗拒依法采取的刑事强制措施；</w:t>
      </w:r>
    </w:p>
    <w:p>
      <w:pPr>
        <w:pStyle w:val="ListParagraph"/>
        <w:numPr>
          <w:ilvl w:val="2"/>
          <w:numId w:val="1"/>
        </w:numPr>
        <w:tabs>
          <w:tab w:pos="1192" w:val="left" w:leader="none"/>
          <w:tab w:pos="1193" w:val="left" w:leader="none"/>
        </w:tabs>
        <w:spacing w:line="297" w:lineRule="auto" w:before="66" w:after="0"/>
        <w:ind w:left="1192" w:right="1163" w:hanging="420"/>
        <w:jc w:val="left"/>
        <w:rPr>
          <w:b/>
          <w:sz w:val="21"/>
        </w:rPr>
      </w:pPr>
      <w:r>
        <w:rPr>
          <w:b/>
          <w:spacing w:val="-3"/>
          <w:sz w:val="21"/>
        </w:rPr>
        <w:t>被保险人自本合同成立或者合同效力恢复之日起 </w:t>
      </w:r>
      <w:r>
        <w:rPr>
          <w:b/>
          <w:sz w:val="21"/>
        </w:rPr>
        <w:t>2</w:t>
      </w:r>
      <w:r>
        <w:rPr>
          <w:b/>
          <w:spacing w:val="-14"/>
          <w:sz w:val="21"/>
        </w:rPr>
        <w:t> 年内自杀，但被保险人自杀时为无民事</w:t>
      </w:r>
      <w:r>
        <w:rPr>
          <w:b/>
          <w:spacing w:val="-14"/>
          <w:w w:val="95"/>
          <w:sz w:val="21"/>
        </w:rPr>
        <w:t>行为能力人的除外；</w:t>
      </w:r>
    </w:p>
    <w:p>
      <w:pPr>
        <w:spacing w:after="0" w:line="297" w:lineRule="auto"/>
        <w:jc w:val="left"/>
        <w:rPr>
          <w:sz w:val="21"/>
        </w:rPr>
        <w:sectPr>
          <w:type w:val="continuous"/>
          <w:pgSz w:w="11910" w:h="16840"/>
          <w:pgMar w:top="280" w:bottom="1200" w:left="1180" w:right="240"/>
        </w:sectPr>
      </w:pPr>
    </w:p>
    <w:p>
      <w:pPr>
        <w:pStyle w:val="BodyText"/>
        <w:spacing w:before="0"/>
        <w:ind w:left="0"/>
        <w:rPr>
          <w:b/>
          <w:sz w:val="24"/>
        </w:rPr>
      </w:pPr>
    </w:p>
    <w:p>
      <w:pPr>
        <w:pStyle w:val="ListParagraph"/>
        <w:numPr>
          <w:ilvl w:val="2"/>
          <w:numId w:val="1"/>
        </w:numPr>
        <w:tabs>
          <w:tab w:pos="1193" w:val="left" w:leader="none"/>
        </w:tabs>
        <w:spacing w:line="240" w:lineRule="auto" w:before="35" w:after="0"/>
        <w:ind w:left="1192" w:right="0" w:hanging="420"/>
        <w:jc w:val="both"/>
        <w:rPr>
          <w:b/>
          <w:sz w:val="21"/>
        </w:rPr>
      </w:pPr>
      <w:r>
        <w:rPr>
          <w:b/>
          <w:w w:val="95"/>
          <w:sz w:val="21"/>
        </w:rPr>
        <w:t>被保险人所患女性特定重大疾病为非原发性癌症；</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被保险人患有遗传性疾病，先天性畸形、变形或染色体异常；</w:t>
      </w:r>
    </w:p>
    <w:p>
      <w:pPr>
        <w:pStyle w:val="ListParagraph"/>
        <w:numPr>
          <w:ilvl w:val="2"/>
          <w:numId w:val="1"/>
        </w:numPr>
        <w:tabs>
          <w:tab w:pos="1193" w:val="left" w:leader="none"/>
        </w:tabs>
        <w:spacing w:line="240" w:lineRule="auto" w:before="65" w:after="0"/>
        <w:ind w:left="1192" w:right="0" w:hanging="420"/>
        <w:jc w:val="both"/>
        <w:rPr>
          <w:b/>
          <w:sz w:val="21"/>
        </w:rPr>
      </w:pPr>
      <w:r>
        <w:rPr>
          <w:b/>
          <w:w w:val="95"/>
          <w:sz w:val="21"/>
        </w:rPr>
        <w:t>战争、军事冲突、暴乱或武装叛乱；</w:t>
      </w:r>
    </w:p>
    <w:p>
      <w:pPr>
        <w:pStyle w:val="ListParagraph"/>
        <w:numPr>
          <w:ilvl w:val="2"/>
          <w:numId w:val="1"/>
        </w:numPr>
        <w:tabs>
          <w:tab w:pos="1193" w:val="left" w:leader="none"/>
        </w:tabs>
        <w:spacing w:line="240" w:lineRule="auto" w:before="64" w:after="0"/>
        <w:ind w:left="1192" w:right="0" w:hanging="420"/>
        <w:jc w:val="both"/>
        <w:rPr>
          <w:b/>
          <w:sz w:val="21"/>
        </w:rPr>
      </w:pPr>
      <w:r>
        <w:rPr>
          <w:b/>
          <w:w w:val="95"/>
          <w:sz w:val="21"/>
        </w:rPr>
        <w:t>核爆炸、核辐射或核污染。</w:t>
      </w:r>
    </w:p>
    <w:p>
      <w:pPr>
        <w:spacing w:before="65"/>
        <w:ind w:left="772"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3" w:val="left" w:leader="none"/>
        </w:tabs>
        <w:spacing w:line="240" w:lineRule="auto" w:before="65" w:after="0"/>
        <w:ind w:left="1192" w:right="0" w:hanging="420"/>
        <w:jc w:val="both"/>
        <w:rPr>
          <w:b/>
          <w:sz w:val="21"/>
        </w:rPr>
      </w:pPr>
      <w:r>
        <w:rPr>
          <w:b/>
          <w:w w:val="95"/>
          <w:sz w:val="21"/>
        </w:rPr>
        <w:t>醉酒、主动吸食或注射毒品；</w:t>
      </w:r>
    </w:p>
    <w:p>
      <w:pPr>
        <w:pStyle w:val="ListParagraph"/>
        <w:numPr>
          <w:ilvl w:val="0"/>
          <w:numId w:val="2"/>
        </w:numPr>
        <w:tabs>
          <w:tab w:pos="1193" w:val="left" w:leader="none"/>
        </w:tabs>
        <w:spacing w:line="240" w:lineRule="auto" w:before="64" w:after="0"/>
        <w:ind w:left="1192" w:right="0" w:hanging="420"/>
        <w:jc w:val="both"/>
        <w:rPr>
          <w:b/>
          <w:sz w:val="21"/>
        </w:rPr>
      </w:pPr>
      <w:r>
        <w:rPr>
          <w:b/>
          <w:w w:val="95"/>
          <w:sz w:val="21"/>
        </w:rPr>
        <w:t>酒后驾驶、无合法有效驾驶证驾驶，或驾驶无有效行驶证的机动车；</w:t>
      </w:r>
    </w:p>
    <w:p>
      <w:pPr>
        <w:pStyle w:val="ListParagraph"/>
        <w:numPr>
          <w:ilvl w:val="0"/>
          <w:numId w:val="2"/>
        </w:numPr>
        <w:tabs>
          <w:tab w:pos="1193" w:val="left" w:leader="none"/>
        </w:tabs>
        <w:spacing w:line="240" w:lineRule="auto" w:before="65" w:after="0"/>
        <w:ind w:left="1192" w:right="0" w:hanging="420"/>
        <w:jc w:val="both"/>
        <w:rPr>
          <w:b/>
          <w:sz w:val="21"/>
        </w:rPr>
      </w:pPr>
      <w:r>
        <w:rPr>
          <w:b/>
          <w:w w:val="95"/>
          <w:sz w:val="21"/>
        </w:rPr>
        <w:t>感染艾滋病病毒或患艾滋病。</w:t>
      </w:r>
    </w:p>
    <w:p>
      <w:pPr>
        <w:spacing w:line="297" w:lineRule="auto" w:before="65"/>
        <w:ind w:left="772" w:right="223" w:firstLine="0"/>
        <w:jc w:val="both"/>
        <w:rPr>
          <w:b/>
          <w:sz w:val="21"/>
        </w:rPr>
      </w:pPr>
      <w:r>
        <w:rPr/>
        <w:pict>
          <v:shape style="position:absolute;margin-left:64.260002pt;margin-top:56.073059pt;width:466.15pt;height:19.4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5"/>
          <w:sz w:val="21"/>
        </w:rPr>
        <w:t>因上述情况导致被保险人发生保险事故的，本合同效力终止，本公司向投保人退还本合同的现</w:t>
      </w:r>
      <w:r>
        <w:rPr>
          <w:b/>
          <w:spacing w:val="-10"/>
          <w:sz w:val="21"/>
        </w:rPr>
        <w:t>金价值。但因投保人对被保险人的故意杀害、故意伤害导致被保险人发生保险事故的，本公司</w:t>
      </w:r>
      <w:r>
        <w:rPr>
          <w:b/>
          <w:spacing w:val="-10"/>
          <w:w w:val="95"/>
          <w:sz w:val="21"/>
        </w:rPr>
        <w:t>向受益人退还本合同的现金价值。</w:t>
      </w:r>
    </w:p>
    <w:p>
      <w:pPr>
        <w:pStyle w:val="ListParagraph"/>
        <w:numPr>
          <w:ilvl w:val="1"/>
          <w:numId w:val="3"/>
        </w:numPr>
        <w:tabs>
          <w:tab w:pos="771" w:val="left" w:leader="none"/>
          <w:tab w:pos="772" w:val="left" w:leader="none"/>
        </w:tabs>
        <w:spacing w:line="225" w:lineRule="exact" w:before="0" w:after="0"/>
        <w:ind w:left="772" w:right="0" w:hanging="545"/>
        <w:jc w:val="left"/>
        <w:rPr>
          <w:b/>
          <w:sz w:val="21"/>
        </w:rPr>
      </w:pPr>
      <w:r>
        <w:rPr>
          <w:b/>
          <w:w w:val="95"/>
          <w:sz w:val="21"/>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4"/>
        <w:ind w:right="223"/>
      </w:pPr>
      <w:r>
        <w:rPr>
          <w:spacing w:val="-7"/>
        </w:rPr>
        <w:t>除另有约定外，自本合同成立，本公司收取保险费并签发保险单的次日零时起本合同生效，本公司自载明于保险单上的生效日开始承担本合同约定的保险责任。</w:t>
      </w:r>
    </w:p>
    <w:p>
      <w:pPr>
        <w:pStyle w:val="Heading2"/>
        <w:numPr>
          <w:ilvl w:val="1"/>
          <w:numId w:val="3"/>
        </w:numPr>
        <w:tabs>
          <w:tab w:pos="771" w:val="left" w:leader="none"/>
          <w:tab w:pos="772" w:val="left" w:leader="none"/>
        </w:tabs>
        <w:spacing w:line="240" w:lineRule="auto" w:before="15" w:after="0"/>
        <w:ind w:left="772" w:right="0" w:hanging="545"/>
        <w:jc w:val="left"/>
      </w:pPr>
      <w:r>
        <w:rPr/>
        <w:t>犹豫期</w:t>
      </w:r>
    </w:p>
    <w:p>
      <w:pPr>
        <w:pStyle w:val="BodyText"/>
        <w:spacing w:line="297" w:lineRule="auto" w:before="65"/>
        <w:ind w:right="223"/>
      </w:pPr>
      <w:r>
        <w:rPr>
          <w:spacing w:val="-3"/>
        </w:rPr>
        <w:t>自投保人签收保险单之日起有 </w:t>
      </w:r>
      <w:r>
        <w:rPr/>
        <w:t>10</w:t>
      </w:r>
      <w:r>
        <w:rPr>
          <w:spacing w:val="-6"/>
        </w:rPr>
        <w:t> 天的犹豫期。如果投保人在此期间内向本公司书面申请撤销合同，本合同不产生效力，本公司将不承担任何保险责任。</w:t>
      </w:r>
    </w:p>
    <w:p>
      <w:pPr>
        <w:pStyle w:val="BodyText"/>
      </w:pPr>
      <w:r>
        <w:rPr/>
        <w:t>投保人犹豫期内撤销合同，本公司将无息退还投保人所交的全部保险费。</w:t>
      </w:r>
    </w:p>
    <w:p>
      <w:pPr>
        <w:pStyle w:val="ListParagraph"/>
        <w:numPr>
          <w:ilvl w:val="1"/>
          <w:numId w:val="3"/>
        </w:numPr>
        <w:tabs>
          <w:tab w:pos="772" w:val="left" w:leader="none"/>
          <w:tab w:pos="773" w:val="left" w:leader="none"/>
        </w:tabs>
        <w:spacing w:line="297" w:lineRule="auto" w:before="65" w:after="0"/>
        <w:ind w:left="772" w:right="223" w:hanging="545"/>
        <w:jc w:val="left"/>
        <w:rPr>
          <w:sz w:val="21"/>
        </w:rPr>
      </w:pPr>
      <w:r>
        <w:rPr>
          <w:b/>
          <w:spacing w:val="-2"/>
          <w:sz w:val="21"/>
        </w:rPr>
        <w:t>保险期间 </w:t>
      </w:r>
      <w:r>
        <w:rPr>
          <w:sz w:val="21"/>
        </w:rPr>
        <w:t>本合同保险期间分为三种：20</w:t>
      </w:r>
      <w:r>
        <w:rPr>
          <w:spacing w:val="-16"/>
          <w:sz w:val="21"/>
        </w:rPr>
        <w:t> 年、</w:t>
      </w:r>
      <w:r>
        <w:rPr>
          <w:sz w:val="21"/>
        </w:rPr>
        <w:t>30</w:t>
      </w:r>
      <w:r>
        <w:rPr>
          <w:spacing w:val="-11"/>
          <w:sz w:val="21"/>
        </w:rPr>
        <w:t> 年、自保险合同生效之日起至被保险人 </w:t>
      </w:r>
      <w:r>
        <w:rPr>
          <w:sz w:val="21"/>
        </w:rPr>
        <w:t>70</w:t>
      </w:r>
      <w:r>
        <w:rPr>
          <w:spacing w:val="-24"/>
          <w:sz w:val="21"/>
        </w:rPr>
        <w:t> 周岁对应的保单周年日止。</w:t>
      </w:r>
    </w:p>
    <w:p>
      <w:pPr>
        <w:pStyle w:val="Heading2"/>
        <w:numPr>
          <w:ilvl w:val="1"/>
          <w:numId w:val="3"/>
        </w:numPr>
        <w:tabs>
          <w:tab w:pos="772" w:val="left" w:leader="none"/>
          <w:tab w:pos="773" w:val="left" w:leader="none"/>
        </w:tabs>
        <w:spacing w:line="240" w:lineRule="auto" w:before="15" w:after="0"/>
        <w:ind w:left="772" w:right="0" w:hanging="545"/>
        <w:jc w:val="left"/>
      </w:pPr>
      <w:r>
        <w:rPr>
          <w:w w:val="95"/>
        </w:rPr>
        <w:t>解除合同的手续及风险</w:t>
      </w:r>
    </w:p>
    <w:p>
      <w:pPr>
        <w:pStyle w:val="BodyText"/>
        <w:spacing w:before="65"/>
      </w:pPr>
      <w:r>
        <w:rPr/>
        <w:t>如投保人在犹豫期后申请解除本合同，应填写解除合同申请书并向本公司提供下列资料：</w:t>
      </w:r>
    </w:p>
    <w:p>
      <w:pPr>
        <w:pStyle w:val="ListParagraph"/>
        <w:numPr>
          <w:ilvl w:val="2"/>
          <w:numId w:val="3"/>
        </w:numPr>
        <w:tabs>
          <w:tab w:pos="1192" w:val="left" w:leader="none"/>
          <w:tab w:pos="1193" w:val="left" w:leader="none"/>
        </w:tabs>
        <w:spacing w:line="240" w:lineRule="auto" w:before="64" w:after="0"/>
        <w:ind w:left="1192" w:right="0" w:hanging="420"/>
        <w:jc w:val="left"/>
        <w:rPr>
          <w:sz w:val="21"/>
        </w:rPr>
      </w:pPr>
      <w:r>
        <w:rPr>
          <w:sz w:val="21"/>
        </w:rPr>
        <w:t>保险合同；</w:t>
      </w:r>
    </w:p>
    <w:p>
      <w:pPr>
        <w:pStyle w:val="ListParagraph"/>
        <w:numPr>
          <w:ilvl w:val="2"/>
          <w:numId w:val="3"/>
        </w:numPr>
        <w:tabs>
          <w:tab w:pos="1192" w:val="left" w:leader="none"/>
          <w:tab w:pos="1193" w:val="left" w:leader="none"/>
        </w:tabs>
        <w:spacing w:line="240" w:lineRule="auto" w:before="66" w:after="0"/>
        <w:ind w:left="1192" w:right="0" w:hanging="420"/>
        <w:jc w:val="left"/>
        <w:rPr>
          <w:sz w:val="21"/>
        </w:rPr>
      </w:pPr>
      <w:r>
        <w:rPr>
          <w:sz w:val="21"/>
        </w:rPr>
        <w:t>投保人的有效身份证件。</w:t>
      </w:r>
    </w:p>
    <w:p>
      <w:pPr>
        <w:pStyle w:val="BodyText"/>
        <w:spacing w:before="66"/>
      </w:pPr>
      <w:r>
        <w:rPr/>
        <w:t>自本公司收到解除合同申请书时起，本合同效力终止。本公司自收到解除合同申请书之日起</w:t>
      </w:r>
    </w:p>
    <w:p>
      <w:pPr>
        <w:pStyle w:val="BodyText"/>
        <w:spacing w:line="297" w:lineRule="auto" w:before="64"/>
        <w:ind w:right="4779"/>
      </w:pPr>
      <w:r>
        <w:rPr/>
        <w:t>30</w:t>
      </w:r>
      <w:r>
        <w:rPr>
          <w:spacing w:val="-8"/>
        </w:rPr>
        <w:t> 日内向投保人退还本合同的现金价值。投保人犹豫期后解除合同会遭受一定损失。</w:t>
      </w:r>
    </w:p>
    <w:p>
      <w:pPr>
        <w:pStyle w:val="BodyText"/>
      </w:pPr>
      <w:r>
        <w:rPr/>
        <w:pict>
          <v:shape style="position:absolute;margin-left:64.260002pt;margin-top:19.490826pt;width:466.15pt;height:19.5pt;mso-position-horizontal-relative:page;mso-position-vertical-relative:paragraph;z-index:1120;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本合同有效期内，若被保险人已领取保险金，本公司将不接受解除合同申请。</w:t>
      </w:r>
    </w:p>
    <w:p>
      <w:pPr>
        <w:pStyle w:val="Heading2"/>
        <w:numPr>
          <w:ilvl w:val="1"/>
          <w:numId w:val="4"/>
        </w:numPr>
        <w:tabs>
          <w:tab w:pos="771" w:val="left" w:leader="none"/>
          <w:tab w:pos="772" w:val="left" w:leader="none"/>
        </w:tabs>
        <w:spacing w:line="225" w:lineRule="exact" w:before="0" w:after="0"/>
        <w:ind w:left="771" w:right="0" w:hanging="544"/>
        <w:jc w:val="left"/>
      </w:pPr>
      <w:r>
        <w:rPr/>
        <w:t>保险费</w:t>
      </w:r>
    </w:p>
    <w:p>
      <w:pPr>
        <w:pStyle w:val="BodyText"/>
        <w:spacing w:line="297" w:lineRule="auto" w:before="64"/>
        <w:ind w:right="152"/>
      </w:pPr>
      <w:r>
        <w:rPr/>
        <w:t>保险费将根据投保人与本公司约定的保障内容及被保险人的年龄和风险状况进行确定，投保人应按本合同的约定向本公司支付保险费。</w:t>
      </w:r>
    </w:p>
    <w:p>
      <w:pPr>
        <w:pStyle w:val="BodyText"/>
        <w:spacing w:line="297" w:lineRule="auto"/>
        <w:ind w:right="154"/>
      </w:pPr>
      <w:r>
        <w:rPr/>
        <w:t>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4"/>
        </w:numPr>
        <w:tabs>
          <w:tab w:pos="771" w:val="left" w:leader="none"/>
          <w:tab w:pos="773" w:val="left" w:leader="none"/>
        </w:tabs>
        <w:spacing w:line="240" w:lineRule="auto" w:before="15" w:after="0"/>
        <w:ind w:left="772" w:right="0" w:hanging="545"/>
        <w:jc w:val="left"/>
      </w:pPr>
      <w:r>
        <w:rPr>
          <w:w w:val="95"/>
        </w:rPr>
        <w:t>保险费的支付、宽限期、合同效力的中止和恢复</w:t>
      </w:r>
    </w:p>
    <w:p>
      <w:pPr>
        <w:spacing w:after="0" w:line="240" w:lineRule="auto"/>
        <w:jc w:val="left"/>
        <w:sectPr>
          <w:pgSz w:w="11910" w:h="16840"/>
          <w:pgMar w:header="0" w:footer="1008" w:top="1600" w:bottom="1200" w:left="1180" w:right="1180"/>
        </w:sectPr>
      </w:pPr>
    </w:p>
    <w:p>
      <w:pPr>
        <w:pStyle w:val="BodyText"/>
        <w:spacing w:before="0"/>
        <w:ind w:left="0"/>
        <w:rPr>
          <w:b/>
          <w:sz w:val="24"/>
        </w:rPr>
      </w:pPr>
    </w:p>
    <w:p>
      <w:pPr>
        <w:pStyle w:val="BodyText"/>
        <w:spacing w:line="297" w:lineRule="auto" w:before="35"/>
        <w:ind w:right="155"/>
      </w:pPr>
      <w:r>
        <w:rPr/>
        <w:t>投保人分期支付保险费的，续期保险费应按保险单所载明的方式支付，如到期未支付，自保险费约定支付日的次日起 60 天为宽限期。</w:t>
      </w:r>
    </w:p>
    <w:p>
      <w:pPr>
        <w:pStyle w:val="BodyText"/>
        <w:spacing w:line="297" w:lineRule="auto"/>
        <w:ind w:right="154"/>
      </w:pPr>
      <w:r>
        <w:rPr/>
        <w:t>如果被保险人在宽限期内发生保险事故，本公司仍承担保险责任，但在给付保险金时扣除投保人所欠交的保险费。</w:t>
      </w:r>
    </w:p>
    <w:p>
      <w:pPr>
        <w:pStyle w:val="BodyText"/>
        <w:spacing w:line="297" w:lineRule="auto"/>
        <w:ind w:right="154"/>
      </w:pPr>
      <w:r>
        <w:rPr/>
        <w:t>如果宽限期结束时投保人仍未支付保险费，自宽限期满的次日零时起合同效力中止，合同效力中止期间本公司不承担保险责任。</w:t>
      </w:r>
    </w:p>
    <w:p>
      <w:pPr>
        <w:pStyle w:val="BodyText"/>
        <w:spacing w:before="14"/>
      </w:pPr>
      <w:r>
        <w:rPr/>
        <w:t>自本合同效力中止之日起 2 年内，投保人可向本公司申请恢复合同效力。</w:t>
      </w:r>
    </w:p>
    <w:p>
      <w:pPr>
        <w:pStyle w:val="BodyText"/>
        <w:spacing w:line="297" w:lineRule="auto" w:before="66"/>
        <w:ind w:right="118"/>
      </w:pPr>
      <w:r>
        <w:rPr/>
        <w:pict>
          <v:shape style="position:absolute;margin-left:64.260002pt;margin-top:56.122608pt;width:466.15pt;height:19.4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spacing w:val="-3"/>
        </w:rPr>
        <w:t>经本公司与投保人协商并达成协议，自投保人补交所欠的保险费和利息的次日零时起，本合同</w: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pStyle w:val="Heading2"/>
        <w:numPr>
          <w:ilvl w:val="1"/>
          <w:numId w:val="5"/>
        </w:numPr>
        <w:tabs>
          <w:tab w:pos="771" w:val="left" w:leader="none"/>
          <w:tab w:pos="772" w:val="left" w:leader="none"/>
        </w:tabs>
        <w:spacing w:line="225" w:lineRule="exact" w:before="0" w:after="0"/>
        <w:ind w:left="772" w:right="0" w:hanging="545"/>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6"/>
        <w:ind w:right="119"/>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pStyle w:val="Heading2"/>
        <w:numPr>
          <w:ilvl w:val="1"/>
          <w:numId w:val="5"/>
        </w:numPr>
        <w:tabs>
          <w:tab w:pos="771" w:val="left" w:leader="none"/>
          <w:tab w:pos="772" w:val="left" w:leader="none"/>
        </w:tabs>
        <w:spacing w:line="240" w:lineRule="auto" w:before="14" w:after="0"/>
        <w:ind w:left="771" w:right="0" w:hanging="544"/>
        <w:jc w:val="left"/>
      </w:pPr>
      <w:r>
        <w:rPr/>
        <w:t>受益人</w:t>
      </w:r>
    </w:p>
    <w:p>
      <w:pPr>
        <w:pStyle w:val="BodyText"/>
        <w:spacing w:before="65"/>
      </w:pPr>
      <w:r>
        <w:rPr/>
        <w:t>投保人或者被保险人可以指定一人或多人为身故保险金受益人。</w:t>
      </w:r>
    </w:p>
    <w:p>
      <w:pPr>
        <w:pStyle w:val="BodyText"/>
        <w:spacing w:line="297" w:lineRule="auto" w:before="65"/>
        <w:ind w:right="222"/>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pPr>
      <w:r>
        <w:rPr/>
        <w:t>被保险人为无民事行为能力人或限制民事行为能力人的，可以由其监护人指定受益人。</w:t>
      </w:r>
    </w:p>
    <w:p>
      <w:pPr>
        <w:pStyle w:val="BodyText"/>
        <w:spacing w:line="297" w:lineRule="auto" w:before="65"/>
        <w:ind w:right="155"/>
      </w:pPr>
      <w:r>
        <w:rPr/>
        <w:t>投保人或者被保险人可以变更身故保险金受益人并书面通知本公司。本公司收到变更受益人的书面通知后，在保险单或其他保险凭证上批注或附贴批单。</w:t>
      </w:r>
    </w:p>
    <w:p>
      <w:pPr>
        <w:pStyle w:val="BodyText"/>
      </w:pPr>
      <w:r>
        <w:rPr/>
        <w:t>投保人在指定和变更身故保险金受益人时，必须经过被保险人书面同意。</w:t>
      </w:r>
    </w:p>
    <w:p>
      <w:pPr>
        <w:pStyle w:val="BodyText"/>
        <w:spacing w:line="297" w:lineRule="auto" w:before="66"/>
        <w:ind w:right="168"/>
      </w:pPr>
      <w:r>
        <w:rPr/>
        <w:t>被保险人身故后，有下列情形之一的，保险金作为被保险人的遗产，由本公司依照《中华人民共和国继承法》的规定履行给付保险金的义务：</w:t>
      </w:r>
    </w:p>
    <w:p>
      <w:pPr>
        <w:pStyle w:val="ListParagraph"/>
        <w:numPr>
          <w:ilvl w:val="2"/>
          <w:numId w:val="5"/>
        </w:numPr>
        <w:tabs>
          <w:tab w:pos="1192" w:val="left" w:leader="none"/>
          <w:tab w:pos="1193" w:val="left" w:leader="none"/>
        </w:tabs>
        <w:spacing w:line="240" w:lineRule="auto" w:before="15" w:after="0"/>
        <w:ind w:left="1192" w:right="0" w:hanging="420"/>
        <w:jc w:val="left"/>
        <w:rPr>
          <w:sz w:val="21"/>
        </w:rPr>
      </w:pPr>
      <w:r>
        <w:rPr>
          <w:sz w:val="21"/>
        </w:rPr>
        <w:t>没有指定受益人，或者受益人指定不明无法确定的；</w:t>
      </w:r>
    </w:p>
    <w:p>
      <w:pPr>
        <w:pStyle w:val="ListParagraph"/>
        <w:numPr>
          <w:ilvl w:val="2"/>
          <w:numId w:val="5"/>
        </w:numPr>
        <w:tabs>
          <w:tab w:pos="1192" w:val="left" w:leader="none"/>
          <w:tab w:pos="1193" w:val="left" w:leader="none"/>
        </w:tabs>
        <w:spacing w:line="240" w:lineRule="auto" w:before="65" w:after="0"/>
        <w:ind w:left="1192" w:right="0" w:hanging="420"/>
        <w:jc w:val="left"/>
        <w:rPr>
          <w:sz w:val="21"/>
        </w:rPr>
      </w:pPr>
      <w:r>
        <w:rPr>
          <w:sz w:val="21"/>
        </w:rPr>
        <w:t>受益人先于被保险人身故，没有其他受益人的；</w:t>
      </w:r>
    </w:p>
    <w:p>
      <w:pPr>
        <w:pStyle w:val="ListParagraph"/>
        <w:numPr>
          <w:ilvl w:val="2"/>
          <w:numId w:val="5"/>
        </w:numPr>
        <w:tabs>
          <w:tab w:pos="1192" w:val="left" w:leader="none"/>
          <w:tab w:pos="1193" w:val="left" w:leader="none"/>
        </w:tabs>
        <w:spacing w:line="240" w:lineRule="auto" w:before="64" w:after="0"/>
        <w:ind w:left="1192" w:right="0" w:hanging="420"/>
        <w:jc w:val="left"/>
        <w:rPr>
          <w:sz w:val="21"/>
        </w:rPr>
      </w:pPr>
      <w:r>
        <w:rPr>
          <w:sz w:val="21"/>
        </w:rPr>
        <w:t>受益人依法丧失受益权或者放弃受益权，没有其他受益人的。</w:t>
      </w:r>
    </w:p>
    <w:p>
      <w:pPr>
        <w:pStyle w:val="BodyText"/>
        <w:spacing w:line="297" w:lineRule="auto" w:before="66"/>
        <w:ind w:right="222"/>
      </w:pPr>
      <w:r>
        <w:rPr/>
        <w:t>受益人与被保险人在同一事件中身故，且不能确定身故先后顺序的，推定受益人身故在先。</w:t>
      </w:r>
      <w:r>
        <w:rPr>
          <w:spacing w:val="-5"/>
        </w:rPr>
        <w:t>受益人故意造成被保险人身故、伤残、疾病的，或者故意杀害被保险人未遂的，该受益人丧失受益权。</w:t>
      </w:r>
    </w:p>
    <w:p>
      <w:pPr>
        <w:pStyle w:val="BodyText"/>
        <w:spacing w:line="297" w:lineRule="auto" w:before="14"/>
        <w:ind w:right="222"/>
      </w:pPr>
      <w:r>
        <w:rPr>
          <w:spacing w:val="-6"/>
        </w:rPr>
        <w:t>除本合同另有约定外，本合同的女性特定重大疾病保险金、女性原位癌保险金和女性特定手术保险金受益人为被保险人本人。</w:t>
      </w:r>
    </w:p>
    <w:p>
      <w:pPr>
        <w:pStyle w:val="ListParagraph"/>
        <w:numPr>
          <w:ilvl w:val="1"/>
          <w:numId w:val="5"/>
        </w:numPr>
        <w:tabs>
          <w:tab w:pos="771" w:val="left" w:leader="none"/>
          <w:tab w:pos="772" w:val="left" w:leader="none"/>
        </w:tabs>
        <w:spacing w:line="240" w:lineRule="auto" w:before="15" w:after="0"/>
        <w:ind w:left="771" w:right="0" w:hanging="544"/>
        <w:jc w:val="left"/>
        <w:rPr>
          <w:sz w:val="21"/>
        </w:rPr>
      </w:pPr>
      <w:r>
        <w:rPr>
          <w:b/>
          <w:spacing w:val="-1"/>
          <w:sz w:val="21"/>
        </w:rPr>
        <w:t>保险金申请资料 </w:t>
      </w:r>
      <w:r>
        <w:rPr>
          <w:sz w:val="21"/>
        </w:rPr>
        <w:t>申请人应提供下列资料，本公司有权保留申请资料的原件或复印件：</w:t>
      </w:r>
    </w:p>
    <w:p>
      <w:pPr>
        <w:spacing w:after="0" w:line="240" w:lineRule="auto"/>
        <w:jc w:val="left"/>
        <w:rPr>
          <w:sz w:val="21"/>
        </w:rPr>
        <w:sectPr>
          <w:pgSz w:w="11910" w:h="16840"/>
          <w:pgMar w:header="0" w:footer="1008" w:top="1600" w:bottom="1200" w:left="1180" w:right="1180"/>
        </w:sectPr>
      </w:pPr>
    </w:p>
    <w:p>
      <w:pPr>
        <w:pStyle w:val="BodyText"/>
        <w:spacing w:before="0"/>
        <w:ind w:left="0"/>
        <w:rPr>
          <w:sz w:val="24"/>
        </w:rPr>
      </w:pPr>
    </w:p>
    <w:p>
      <w:pPr>
        <w:pStyle w:val="Heading2"/>
        <w:spacing w:before="35"/>
        <w:ind w:firstLine="0"/>
      </w:pPr>
      <w:r>
        <w:rPr>
          <w:w w:val="95"/>
        </w:rPr>
        <w:t>女性特定重大疾病保险金/女性原位癌保险金/女性特定手术保险金</w:t>
      </w:r>
    </w:p>
    <w:p>
      <w:pPr>
        <w:pStyle w:val="ListParagraph"/>
        <w:numPr>
          <w:ilvl w:val="2"/>
          <w:numId w:val="5"/>
        </w:numPr>
        <w:tabs>
          <w:tab w:pos="1192" w:val="left" w:leader="none"/>
          <w:tab w:pos="1193" w:val="left" w:leader="none"/>
        </w:tabs>
        <w:spacing w:line="240" w:lineRule="auto" w:before="65" w:after="0"/>
        <w:ind w:left="1192" w:right="0" w:hanging="420"/>
        <w:jc w:val="left"/>
        <w:rPr>
          <w:sz w:val="21"/>
        </w:rPr>
      </w:pPr>
      <w:r>
        <w:rPr>
          <w:sz w:val="21"/>
        </w:rPr>
        <w:t>被保险人的有效身份证件；</w:t>
      </w:r>
    </w:p>
    <w:p>
      <w:pPr>
        <w:pStyle w:val="ListParagraph"/>
        <w:numPr>
          <w:ilvl w:val="2"/>
          <w:numId w:val="5"/>
        </w:numPr>
        <w:tabs>
          <w:tab w:pos="1192" w:val="left" w:leader="none"/>
          <w:tab w:pos="1193" w:val="left" w:leader="none"/>
        </w:tabs>
        <w:spacing w:line="297" w:lineRule="auto" w:before="65" w:after="0"/>
        <w:ind w:left="1192" w:right="222"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5"/>
        </w:numPr>
        <w:tabs>
          <w:tab w:pos="1192" w:val="left" w:leader="none"/>
          <w:tab w:pos="1193" w:val="left" w:leader="none"/>
        </w:tabs>
        <w:spacing w:line="240" w:lineRule="auto" w:before="15" w:after="0"/>
        <w:ind w:left="1192" w:right="0" w:hanging="420"/>
        <w:jc w:val="left"/>
        <w:rPr>
          <w:sz w:val="21"/>
        </w:rPr>
      </w:pPr>
      <w:r>
        <w:rPr>
          <w:spacing w:val="-1"/>
          <w:sz w:val="21"/>
        </w:rPr>
        <w:t>若申请女性特定手术保险金的，还需提供手术证明文件；</w:t>
      </w:r>
    </w:p>
    <w:p>
      <w:pPr>
        <w:pStyle w:val="ListParagraph"/>
        <w:numPr>
          <w:ilvl w:val="2"/>
          <w:numId w:val="5"/>
        </w:numPr>
        <w:tabs>
          <w:tab w:pos="1192" w:val="left" w:leader="none"/>
          <w:tab w:pos="1193" w:val="left" w:leader="none"/>
        </w:tabs>
        <w:spacing w:line="297" w:lineRule="auto" w:before="66" w:after="0"/>
        <w:ind w:left="772" w:right="2049" w:firstLine="0"/>
        <w:jc w:val="left"/>
        <w:rPr>
          <w:b/>
          <w:sz w:val="21"/>
        </w:rPr>
      </w:pPr>
      <w:r>
        <w:rPr>
          <w:sz w:val="21"/>
        </w:rPr>
        <w:t>所能提供的与确认保险事故的性质、原因等有关的其他证明和资料。</w:t>
      </w:r>
      <w:r>
        <w:rPr>
          <w:b/>
          <w:w w:val="95"/>
          <w:sz w:val="21"/>
        </w:rPr>
        <w:t>身故保险金</w:t>
      </w:r>
    </w:p>
    <w:p>
      <w:pPr>
        <w:pStyle w:val="ListParagraph"/>
        <w:numPr>
          <w:ilvl w:val="0"/>
          <w:numId w:val="6"/>
        </w:numPr>
        <w:tabs>
          <w:tab w:pos="1192" w:val="left" w:leader="none"/>
          <w:tab w:pos="1193" w:val="left" w:leader="none"/>
        </w:tabs>
        <w:spacing w:line="240" w:lineRule="auto" w:before="15" w:after="0"/>
        <w:ind w:left="1192" w:right="0" w:hanging="420"/>
        <w:jc w:val="left"/>
        <w:rPr>
          <w:sz w:val="21"/>
        </w:rPr>
      </w:pPr>
      <w:r>
        <w:rPr>
          <w:sz w:val="21"/>
        </w:rPr>
        <w:t>申请人和受益人的有效身份证件；</w:t>
      </w:r>
    </w:p>
    <w:p>
      <w:pPr>
        <w:pStyle w:val="ListParagraph"/>
        <w:numPr>
          <w:ilvl w:val="0"/>
          <w:numId w:val="6"/>
        </w:numPr>
        <w:tabs>
          <w:tab w:pos="1192" w:val="left" w:leader="none"/>
          <w:tab w:pos="1193" w:val="left" w:leader="none"/>
        </w:tabs>
        <w:spacing w:line="240" w:lineRule="auto" w:before="65" w:after="0"/>
        <w:ind w:left="1192" w:right="0" w:hanging="420"/>
        <w:jc w:val="left"/>
        <w:rPr>
          <w:sz w:val="21"/>
        </w:rPr>
      </w:pPr>
      <w:r>
        <w:rPr>
          <w:sz w:val="21"/>
        </w:rPr>
        <w:t>被保险人户籍注销证明；</w:t>
      </w:r>
    </w:p>
    <w:p>
      <w:pPr>
        <w:pStyle w:val="ListParagraph"/>
        <w:numPr>
          <w:ilvl w:val="0"/>
          <w:numId w:val="6"/>
        </w:numPr>
        <w:tabs>
          <w:tab w:pos="1192" w:val="left" w:leader="none"/>
          <w:tab w:pos="1193" w:val="left" w:leader="none"/>
        </w:tabs>
        <w:spacing w:line="297" w:lineRule="auto" w:before="64" w:after="0"/>
        <w:ind w:left="1192" w:right="369" w:hanging="420"/>
        <w:jc w:val="left"/>
        <w:rPr>
          <w:sz w:val="21"/>
        </w:rPr>
      </w:pPr>
      <w:r>
        <w:rPr>
          <w:sz w:val="21"/>
        </w:rPr>
        <w:t>国家卫生行政部门认定的医疗机构、公安部门或其他相关机构出具的被保险人的死亡证明；</w:t>
      </w:r>
    </w:p>
    <w:p>
      <w:pPr>
        <w:pStyle w:val="ListParagraph"/>
        <w:numPr>
          <w:ilvl w:val="0"/>
          <w:numId w:val="6"/>
        </w:numPr>
        <w:tabs>
          <w:tab w:pos="1192" w:val="left" w:leader="none"/>
          <w:tab w:pos="1193" w:val="left" w:leader="none"/>
        </w:tabs>
        <w:spacing w:line="240" w:lineRule="auto" w:before="15" w:after="0"/>
        <w:ind w:left="1192" w:right="0" w:hanging="420"/>
        <w:jc w:val="left"/>
        <w:rPr>
          <w:sz w:val="21"/>
        </w:rPr>
      </w:pPr>
      <w:r>
        <w:rPr>
          <w:sz w:val="21"/>
        </w:rPr>
        <w:t>被保险人由人民法院宣告死亡的，还应提供法院宣告死亡判决书原件；</w:t>
      </w:r>
    </w:p>
    <w:p>
      <w:pPr>
        <w:pStyle w:val="ListParagraph"/>
        <w:numPr>
          <w:ilvl w:val="0"/>
          <w:numId w:val="6"/>
        </w:numPr>
        <w:tabs>
          <w:tab w:pos="1192" w:val="left" w:leader="none"/>
          <w:tab w:pos="1193" w:val="left" w:leader="none"/>
        </w:tabs>
        <w:spacing w:line="297" w:lineRule="auto" w:before="64" w:after="0"/>
        <w:ind w:left="772" w:right="1839"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pPr>
      <w:r>
        <w:rPr/>
        <w:t>以上证明和资料不完整的，本公司将及时一次性通知申请人补充提供有关证明和资料。</w:t>
      </w:r>
    </w:p>
    <w:p>
      <w:pPr>
        <w:pStyle w:val="Heading2"/>
        <w:numPr>
          <w:ilvl w:val="1"/>
          <w:numId w:val="5"/>
        </w:numPr>
        <w:tabs>
          <w:tab w:pos="771" w:val="left" w:leader="none"/>
          <w:tab w:pos="772" w:val="left" w:leader="none"/>
        </w:tabs>
        <w:spacing w:line="240" w:lineRule="auto" w:before="66" w:after="0"/>
        <w:ind w:left="771" w:right="0" w:hanging="544"/>
        <w:jc w:val="left"/>
      </w:pPr>
      <w:r>
        <w:rPr>
          <w:w w:val="95"/>
        </w:rPr>
        <w:t>宣告死亡的处理</w:t>
      </w:r>
    </w:p>
    <w:p>
      <w:pPr>
        <w:pStyle w:val="BodyText"/>
        <w:spacing w:line="297" w:lineRule="auto" w:before="64"/>
        <w:ind w:right="168"/>
      </w:pPr>
      <w:r>
        <w:rPr/>
        <w:t>本合同有效期内，被保险人因意外伤害原因经人民法院宣告死亡的，本公司将根据法院判决所确定的被保险人死亡日期，按本合同约定的保险责任确定身故保险金的给付。</w:t>
      </w:r>
    </w:p>
    <w:p>
      <w:pPr>
        <w:pStyle w:val="BodyText"/>
        <w:spacing w:line="297" w:lineRule="auto"/>
        <w:ind w:right="265"/>
      </w:pPr>
      <w:r>
        <w:rPr>
          <w:spacing w:val="-3"/>
        </w:rPr>
        <w:t>如被保险人在宣告死亡后生还，保险金领取人应于知道被保险人生还后 </w:t>
      </w:r>
      <w:r>
        <w:rPr/>
        <w:t>30</w:t>
      </w:r>
      <w:r>
        <w:rPr>
          <w:spacing w:val="-9"/>
        </w:rPr>
        <w:t> 日内将已领取的保险金退还给本公司。</w:t>
      </w:r>
    </w:p>
    <w:p>
      <w:pPr>
        <w:pStyle w:val="Heading2"/>
        <w:numPr>
          <w:ilvl w:val="1"/>
          <w:numId w:val="5"/>
        </w:numPr>
        <w:tabs>
          <w:tab w:pos="771" w:val="left" w:leader="none"/>
          <w:tab w:pos="772" w:val="left" w:leader="none"/>
        </w:tabs>
        <w:spacing w:line="240" w:lineRule="auto" w:before="15" w:after="0"/>
        <w:ind w:left="772" w:right="0" w:hanging="545"/>
        <w:jc w:val="left"/>
      </w:pPr>
      <w:r>
        <w:rPr>
          <w:w w:val="95"/>
        </w:rPr>
        <w:t>保险金的给付</w:t>
      </w:r>
    </w:p>
    <w:p>
      <w:pPr>
        <w:pStyle w:val="BodyText"/>
        <w:spacing w:before="65"/>
      </w:pPr>
      <w:r>
        <w:rPr/>
        <w:t>本公司在收到保险金给付申请书及合同约定的证明和资料后，将在 5 日内作出核定；情形复杂</w:t>
      </w:r>
    </w:p>
    <w:p>
      <w:pPr>
        <w:pStyle w:val="BodyText"/>
        <w:spacing w:line="297" w:lineRule="auto" w:before="64"/>
        <w:ind w:right="220"/>
      </w:pPr>
      <w:r>
        <w:rPr>
          <w:spacing w:val="-15"/>
        </w:rPr>
        <w:t>的，在 </w:t>
      </w:r>
      <w:r>
        <w:rPr/>
        <w:t>30</w:t>
      </w:r>
      <w:r>
        <w:rPr>
          <w:spacing w:val="-10"/>
        </w:rPr>
        <w:t> 日内作出核定。对属于保险责任的，本公司在与受益人达成给付保险金的协议后 </w:t>
      </w:r>
      <w:r>
        <w:rPr/>
        <w:t>10 日内，履行给付保险金义务。</w:t>
      </w:r>
    </w:p>
    <w:p>
      <w:pPr>
        <w:pStyle w:val="BodyText"/>
      </w:pPr>
      <w:r>
        <w:rPr/>
        <w:t>本公司未及时履行前款规定义务的，除支付保险金外，应当赔偿受益人因此受到的损失。</w:t>
      </w:r>
    </w:p>
    <w:p>
      <w:pPr>
        <w:pStyle w:val="BodyText"/>
        <w:spacing w:line="297" w:lineRule="auto" w:before="64"/>
        <w:ind w:right="223"/>
      </w:pPr>
      <w:r>
        <w:rPr>
          <w:spacing w:val="-10"/>
        </w:rPr>
        <w:t>对不属于保险责任的，本公司自作出核定之日起 </w:t>
      </w:r>
      <w:r>
        <w:rPr/>
        <w:t>3</w:t>
      </w:r>
      <w:r>
        <w:rPr>
          <w:spacing w:val="-8"/>
        </w:rPr>
        <w:t> 日内向受益人发出拒绝给付保险金通知书并说明理由。</w:t>
      </w:r>
    </w:p>
    <w:p>
      <w:pPr>
        <w:pStyle w:val="BodyText"/>
        <w:spacing w:line="297" w:lineRule="auto"/>
        <w:ind w:right="117"/>
      </w:pPr>
      <w:r>
        <w:rPr>
          <w:spacing w:val="-2"/>
        </w:rPr>
        <w:t>本公司在收到保险金给付申请书及有关证明和资料之日起 </w:t>
      </w:r>
      <w:r>
        <w:rPr/>
        <w:t>60</w:t>
      </w:r>
      <w:r>
        <w:rPr>
          <w:spacing w:val="-6"/>
        </w:rPr>
        <w:t> 日内，对给付保险金的数额不能</w:t>
      </w:r>
      <w:r>
        <w:rPr>
          <w:spacing w:val="-14"/>
        </w:rPr>
        <w:t>确定的，根据已有证明和资料可以确定的数额先予支付；本公司最终确定给付保险金的数额后， 将支付相应的差额。</w:t>
      </w:r>
    </w:p>
    <w:p>
      <w:pPr>
        <w:pStyle w:val="ListParagraph"/>
        <w:numPr>
          <w:ilvl w:val="1"/>
          <w:numId w:val="5"/>
        </w:numPr>
        <w:tabs>
          <w:tab w:pos="773" w:val="left" w:leader="none"/>
        </w:tabs>
        <w:spacing w:line="297" w:lineRule="auto" w:before="15" w:after="0"/>
        <w:ind w:left="772" w:right="221" w:hanging="545"/>
        <w:jc w:val="both"/>
        <w:rPr>
          <w:sz w:val="21"/>
        </w:rPr>
      </w:pPr>
      <w:r>
        <w:rPr>
          <w:b/>
          <w:spacing w:val="0"/>
          <w:sz w:val="21"/>
        </w:rPr>
        <w:t>未成年人身故保险金限制 </w:t>
      </w:r>
      <w:r>
        <w:rPr>
          <w:sz w:val="21"/>
        </w:rPr>
        <w:t>为未成年子女投保的人身保险，因被保险人身故给付的保险金总和</w:t>
      </w:r>
      <w:r>
        <w:rPr>
          <w:spacing w:val="-4"/>
          <w:sz w:val="21"/>
        </w:rPr>
        <w:t>不得超过国务院保险监督管理机构规定的限额，身故给付的保险金额总和约定也不得超过前述限额。</w:t>
      </w:r>
    </w:p>
    <w:p>
      <w:pPr>
        <w:pStyle w:val="ListParagraph"/>
        <w:numPr>
          <w:ilvl w:val="1"/>
          <w:numId w:val="5"/>
        </w:numPr>
        <w:tabs>
          <w:tab w:pos="772" w:val="left" w:leader="none"/>
          <w:tab w:pos="773" w:val="left" w:leader="none"/>
        </w:tabs>
        <w:spacing w:line="297" w:lineRule="auto" w:before="15" w:after="0"/>
        <w:ind w:left="772" w:right="260" w:hanging="545"/>
        <w:jc w:val="left"/>
        <w:rPr>
          <w:sz w:val="21"/>
        </w:rPr>
      </w:pPr>
      <w:r>
        <w:rPr/>
        <w:pict>
          <v:shape style="position:absolute;margin-left:64.260002pt;margin-top:36.528126pt;width:466.15pt;height:19.5pt;mso-position-horizontal-relative:page;mso-position-vertical-relative:paragraph;z-index:1168;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numPr>
          <w:ilvl w:val="1"/>
          <w:numId w:val="7"/>
        </w:numPr>
        <w:tabs>
          <w:tab w:pos="772" w:val="left" w:leader="none"/>
          <w:tab w:pos="773" w:val="left" w:leader="none"/>
        </w:tabs>
        <w:spacing w:line="225" w:lineRule="exact" w:before="0" w:after="0"/>
        <w:ind w:left="652" w:right="0" w:hanging="425"/>
        <w:jc w:val="left"/>
      </w:pPr>
      <w:r>
        <w:rPr>
          <w:w w:val="95"/>
        </w:rPr>
        <w:t>明确说明与如实告知</w:t>
      </w:r>
    </w:p>
    <w:p>
      <w:pPr>
        <w:spacing w:after="0" w:line="225" w:lineRule="exact"/>
        <w:jc w:val="left"/>
        <w:sectPr>
          <w:pgSz w:w="11910" w:h="16840"/>
          <w:pgMar w:header="0" w:footer="1008" w:top="1600" w:bottom="1200" w:left="1180" w:right="1180"/>
        </w:sectPr>
      </w:pPr>
    </w:p>
    <w:p>
      <w:pPr>
        <w:pStyle w:val="BodyText"/>
        <w:spacing w:before="0"/>
        <w:ind w:left="0"/>
        <w:rPr>
          <w:b/>
          <w:sz w:val="24"/>
        </w:rPr>
      </w:pPr>
    </w:p>
    <w:p>
      <w:pPr>
        <w:pStyle w:val="BodyText"/>
        <w:spacing w:before="35"/>
        <w:ind w:left="652"/>
      </w:pPr>
      <w:r>
        <w:rPr/>
        <w:t>订立本合同时，本公司应向投保人说明本合同的内容。</w:t>
      </w:r>
    </w:p>
    <w:p>
      <w:pPr>
        <w:pStyle w:val="BodyText"/>
        <w:spacing w:before="65"/>
        <w:ind w:left="652"/>
      </w:pPr>
      <w:r>
        <w:rPr/>
        <w:t>本公司就投保人和被保险人的有关情况提出询问，投保人应当如实告知。</w:t>
      </w:r>
    </w:p>
    <w:p>
      <w:pPr>
        <w:pStyle w:val="BodyText"/>
        <w:spacing w:line="297" w:lineRule="auto" w:before="65"/>
        <w:ind w:left="652" w:right="155"/>
      </w:pPr>
      <w:r>
        <w:rPr/>
        <w:t>如果投保人故意或者因重大过失未履行前款规定的如实告知义务，足以影响本公司决定是否同意承保或者提高保险费率的，本公司有权解除本合同。</w:t>
      </w:r>
    </w:p>
    <w:p>
      <w:pPr>
        <w:pStyle w:val="BodyText"/>
        <w:spacing w:line="297" w:lineRule="auto"/>
        <w:ind w:left="652" w:right="154"/>
      </w:pPr>
      <w:r>
        <w:rPr/>
        <w:t>如果投保人故意不履行如实告知义务，对于本合同解除前发生的保险事故，本公司不承担给付保险金的责任，并不退还保险费。</w:t>
      </w:r>
    </w:p>
    <w:p>
      <w:pPr>
        <w:pStyle w:val="BodyText"/>
        <w:spacing w:line="297" w:lineRule="auto" w:before="14"/>
        <w:ind w:left="652" w:right="154"/>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ind w:left="652" w:right="154"/>
      </w:pPr>
      <w:r>
        <w:rPr/>
        <w:t>本公司在合同订立时已经知道投保人未如实告知的情况的，本公司不得解除合同；发生保险事故的，本公司承担给付保险金的责任。</w:t>
      </w:r>
    </w:p>
    <w:p>
      <w:pPr>
        <w:pStyle w:val="ListParagraph"/>
        <w:numPr>
          <w:ilvl w:val="1"/>
          <w:numId w:val="7"/>
        </w:numPr>
        <w:tabs>
          <w:tab w:pos="653" w:val="left" w:leader="none"/>
        </w:tabs>
        <w:spacing w:line="297" w:lineRule="auto" w:before="15" w:after="0"/>
        <w:ind w:left="652" w:right="161" w:hanging="545"/>
        <w:jc w:val="both"/>
        <w:rPr>
          <w:sz w:val="21"/>
        </w:rPr>
      </w:pPr>
      <w:r>
        <w:rPr>
          <w:b/>
          <w:spacing w:val="-1"/>
          <w:sz w:val="21"/>
        </w:rPr>
        <w:t>本公司合同解除权的限制 </w:t>
      </w:r>
      <w:r>
        <w:rPr>
          <w:spacing w:val="-4"/>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7"/>
        </w:numPr>
        <w:tabs>
          <w:tab w:pos="651" w:val="left" w:leader="none"/>
          <w:tab w:pos="652" w:val="left" w:leader="none"/>
        </w:tabs>
        <w:spacing w:line="297" w:lineRule="auto" w:before="15" w:after="0"/>
        <w:ind w:left="652" w:right="260" w:hanging="545"/>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7"/>
        </w:numPr>
        <w:tabs>
          <w:tab w:pos="652" w:val="left" w:leader="none"/>
          <w:tab w:pos="653" w:val="left" w:leader="none"/>
        </w:tabs>
        <w:spacing w:line="240" w:lineRule="auto" w:before="15" w:after="0"/>
        <w:ind w:left="652" w:right="0" w:hanging="545"/>
        <w:jc w:val="left"/>
      </w:pPr>
      <w:r>
        <w:rPr/>
        <w:t>地址变更</w:t>
      </w:r>
    </w:p>
    <w:p>
      <w:pPr>
        <w:pStyle w:val="BodyText"/>
        <w:spacing w:before="64"/>
        <w:ind w:left="652"/>
      </w:pPr>
      <w:r>
        <w:rPr/>
        <w:t>本合同有效期内，投保人的住址或通讯地址发生变更时，应及时通知本公司。</w:t>
      </w:r>
    </w:p>
    <w:p>
      <w:pPr>
        <w:pStyle w:val="BodyText"/>
        <w:spacing w:line="297" w:lineRule="auto" w:before="65"/>
        <w:ind w:left="652" w:right="168"/>
      </w:pPr>
      <w:r>
        <w:rPr/>
        <w:t>如果未通知本公司，本公司将按本合同注明的最后住址或通讯地址发送有关通知，并视为已送达投保人。</w:t>
      </w:r>
    </w:p>
    <w:p>
      <w:pPr>
        <w:pStyle w:val="Heading2"/>
        <w:numPr>
          <w:ilvl w:val="1"/>
          <w:numId w:val="7"/>
        </w:numPr>
        <w:tabs>
          <w:tab w:pos="652" w:val="left" w:leader="none"/>
          <w:tab w:pos="653" w:val="left" w:leader="none"/>
        </w:tabs>
        <w:spacing w:line="240" w:lineRule="auto" w:before="14" w:after="0"/>
        <w:ind w:left="652" w:right="0" w:hanging="545"/>
        <w:jc w:val="left"/>
      </w:pPr>
      <w:r>
        <w:rPr>
          <w:w w:val="95"/>
        </w:rPr>
        <w:t>年龄确定与错误处理</w:t>
      </w:r>
    </w:p>
    <w:p>
      <w:pPr>
        <w:pStyle w:val="BodyText"/>
        <w:spacing w:line="297" w:lineRule="auto" w:before="66"/>
        <w:ind w:left="652" w:right="119"/>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7"/>
        </w:numPr>
        <w:tabs>
          <w:tab w:pos="1073" w:val="left" w:leader="none"/>
        </w:tabs>
        <w:spacing w:line="297" w:lineRule="auto" w:before="14" w:after="0"/>
        <w:ind w:left="1072" w:right="161" w:hanging="420"/>
        <w:jc w:val="both"/>
        <w:rPr>
          <w:sz w:val="21"/>
        </w:rPr>
      </w:pPr>
      <w:r>
        <w:rPr>
          <w:sz w:val="21"/>
        </w:rPr>
        <w:t>投保人申报的被保险人年龄不真实，并且其真实年龄不符合本合同约定投保年龄限制的， </w:t>
      </w:r>
      <w:r>
        <w:rPr>
          <w:spacing w:val="-5"/>
          <w:sz w:val="21"/>
        </w:rPr>
        <w:t>本公司有权解除合同，并对合同解除前发生的保险事故不承担给付保险金的责任。解除本合同的，本公司向投保人退还本合同的现金价值。本公司行使合同解除权适用本条款第</w:t>
      </w:r>
    </w:p>
    <w:p>
      <w:pPr>
        <w:pStyle w:val="BodyText"/>
        <w:spacing w:before="14"/>
        <w:ind w:left="1072"/>
      </w:pPr>
      <w:r>
        <w:rPr/>
        <w:t>6.2 条“本公司合同解除权的限制”的规定。</w:t>
      </w:r>
    </w:p>
    <w:p>
      <w:pPr>
        <w:pStyle w:val="ListParagraph"/>
        <w:numPr>
          <w:ilvl w:val="2"/>
          <w:numId w:val="7"/>
        </w:numPr>
        <w:tabs>
          <w:tab w:pos="1073" w:val="left" w:leader="none"/>
        </w:tabs>
        <w:spacing w:line="297" w:lineRule="auto" w:before="66" w:after="0"/>
        <w:ind w:left="1072" w:right="222" w:hanging="420"/>
        <w:jc w:val="both"/>
        <w:rPr>
          <w:sz w:val="21"/>
        </w:rPr>
      </w:pPr>
      <w:r>
        <w:rPr>
          <w:spacing w:val="-3"/>
          <w:sz w:val="21"/>
        </w:rPr>
        <w:t>投保人申报的被保险人年龄不真实，致使投保人实付保险费少于应付保险费的，本公司有</w:t>
      </w:r>
      <w:r>
        <w:rPr>
          <w:spacing w:val="-7"/>
          <w:sz w:val="21"/>
        </w:rPr>
        <w:t>权更正并要求投保人补交保险费。若已经发生保险事故，在给付保险金时按实付保险费和应付保险费的比例给付。</w:t>
      </w:r>
    </w:p>
    <w:p>
      <w:pPr>
        <w:pStyle w:val="ListParagraph"/>
        <w:numPr>
          <w:ilvl w:val="2"/>
          <w:numId w:val="7"/>
        </w:numPr>
        <w:tabs>
          <w:tab w:pos="1072" w:val="left" w:leader="none"/>
          <w:tab w:pos="1073" w:val="left" w:leader="none"/>
        </w:tabs>
        <w:spacing w:line="297" w:lineRule="auto" w:before="14" w:after="0"/>
        <w:ind w:left="1072" w:right="222"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2"/>
        <w:numPr>
          <w:ilvl w:val="1"/>
          <w:numId w:val="7"/>
        </w:numPr>
        <w:tabs>
          <w:tab w:pos="652" w:val="left" w:leader="none"/>
          <w:tab w:pos="653" w:val="left" w:leader="none"/>
        </w:tabs>
        <w:spacing w:line="240" w:lineRule="auto" w:before="15" w:after="0"/>
        <w:ind w:left="652" w:right="0" w:hanging="545"/>
        <w:jc w:val="left"/>
      </w:pPr>
      <w:r>
        <w:rPr/>
        <w:t>争议处理</w:t>
      </w:r>
    </w:p>
    <w:p>
      <w:pPr>
        <w:pStyle w:val="BodyText"/>
        <w:spacing w:before="64"/>
        <w:ind w:left="652"/>
      </w:pPr>
      <w:r>
        <w:rPr/>
        <w:t>合同争议解决方式由当事人在合同约定从下列两种方式中选择一种：</w:t>
      </w:r>
    </w:p>
    <w:p>
      <w:pPr>
        <w:pStyle w:val="ListParagraph"/>
        <w:numPr>
          <w:ilvl w:val="2"/>
          <w:numId w:val="7"/>
        </w:numPr>
        <w:tabs>
          <w:tab w:pos="1072" w:val="left" w:leader="none"/>
          <w:tab w:pos="1073" w:val="left" w:leader="none"/>
          <w:tab w:pos="8148" w:val="left" w:leader="none"/>
        </w:tabs>
        <w:spacing w:line="297" w:lineRule="auto" w:before="65" w:after="0"/>
        <w:ind w:left="1072" w:right="223" w:hanging="420"/>
        <w:jc w:val="left"/>
        <w:rPr>
          <w:sz w:val="21"/>
        </w:rPr>
      </w:pPr>
      <w:r>
        <w:rPr>
          <w:sz w:val="21"/>
        </w:rPr>
        <w:t>因履行本合同发生的争议</w:t>
      </w:r>
      <w:r>
        <w:rPr>
          <w:spacing w:val="-22"/>
          <w:sz w:val="21"/>
        </w:rPr>
        <w:t>，</w:t>
      </w:r>
      <w:r>
        <w:rPr>
          <w:sz w:val="21"/>
        </w:rPr>
        <w:t>由当事人协商解决</w:t>
      </w:r>
      <w:r>
        <w:rPr>
          <w:spacing w:val="-22"/>
          <w:sz w:val="21"/>
        </w:rPr>
        <w:t>，</w:t>
      </w:r>
      <w:r>
        <w:rPr>
          <w:sz w:val="21"/>
        </w:rPr>
        <w:t>协商不成的</w:t>
      </w:r>
      <w:r>
        <w:rPr>
          <w:spacing w:val="-21"/>
          <w:sz w:val="21"/>
        </w:rPr>
        <w:t>，</w:t>
      </w:r>
      <w:r>
        <w:rPr>
          <w:sz w:val="21"/>
        </w:rPr>
        <w:t>提交</w:t>
      </w:r>
      <w:r>
        <w:rPr>
          <w:sz w:val="21"/>
          <w:u w:val="single"/>
        </w:rPr>
        <w:t> </w:t>
        <w:tab/>
      </w:r>
      <w:r>
        <w:rPr>
          <w:spacing w:val="-1"/>
          <w:sz w:val="21"/>
        </w:rPr>
        <w:t>仲</w:t>
      </w:r>
      <w:r>
        <w:rPr>
          <w:sz w:val="21"/>
        </w:rPr>
        <w:t>裁委员会仲裁；</w:t>
      </w:r>
    </w:p>
    <w:p>
      <w:pPr>
        <w:pStyle w:val="ListParagraph"/>
        <w:numPr>
          <w:ilvl w:val="2"/>
          <w:numId w:val="7"/>
        </w:numPr>
        <w:tabs>
          <w:tab w:pos="1072" w:val="left" w:leader="none"/>
          <w:tab w:pos="1073" w:val="left" w:leader="none"/>
        </w:tabs>
        <w:spacing w:line="240" w:lineRule="auto" w:before="14" w:after="0"/>
        <w:ind w:left="1072" w:right="0" w:hanging="420"/>
        <w:jc w:val="left"/>
        <w:rPr>
          <w:sz w:val="21"/>
        </w:rPr>
      </w:pPr>
      <w:r>
        <w:rPr>
          <w:sz w:val="21"/>
        </w:rPr>
        <w:t>因履行本合同发生的争议，由当事人协商解决，协商不成的，依法向人民法院起诉。</w:t>
      </w:r>
    </w:p>
    <w:p>
      <w:pPr>
        <w:pStyle w:val="ListParagraph"/>
        <w:numPr>
          <w:ilvl w:val="1"/>
          <w:numId w:val="7"/>
        </w:numPr>
        <w:tabs>
          <w:tab w:pos="653" w:val="left" w:leader="none"/>
          <w:tab w:pos="654" w:val="left" w:leader="none"/>
        </w:tabs>
        <w:spacing w:line="297" w:lineRule="auto" w:before="66" w:after="0"/>
        <w:ind w:left="652" w:right="221" w:hanging="545"/>
        <w:jc w:val="left"/>
        <w:rPr>
          <w:sz w:val="21"/>
        </w:rPr>
      </w:pPr>
      <w:r>
        <w:rPr>
          <w:b/>
          <w:spacing w:val="5"/>
          <w:sz w:val="21"/>
        </w:rPr>
        <w:t>款项扣除 </w:t>
      </w:r>
      <w:r>
        <w:rPr>
          <w:sz w:val="21"/>
        </w:rPr>
        <w:t>本公司在给付各项保险金、退还现金价值或保险费时，如果投保人或被保险人有欠交的保险费或其他未还清款项，本公司在扣除上述欠款及利息后给付。</w:t>
      </w:r>
    </w:p>
    <w:p>
      <w:pPr>
        <w:spacing w:after="0" w:line="297" w:lineRule="auto"/>
        <w:jc w:val="left"/>
        <w:rPr>
          <w:sz w:val="21"/>
        </w:rPr>
        <w:sectPr>
          <w:pgSz w:w="11910" w:h="16840"/>
          <w:pgMar w:header="0" w:footer="1008" w:top="1600" w:bottom="1200" w:left="1300" w:right="1180"/>
        </w:sectPr>
      </w:pPr>
    </w:p>
    <w:p>
      <w:pPr>
        <w:pStyle w:val="BodyText"/>
        <w:spacing w:before="11"/>
        <w:ind w:left="0"/>
        <w:rPr>
          <w:sz w:val="23"/>
        </w:rPr>
      </w:pPr>
    </w:p>
    <w:p>
      <w:pPr>
        <w:pStyle w:val="Heading1"/>
        <w:tabs>
          <w:tab w:pos="9427" w:val="left" w:leader="none"/>
        </w:tabs>
        <w:spacing w:line="240" w:lineRule="auto" w:before="33"/>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8"/>
        </w:numPr>
        <w:tabs>
          <w:tab w:pos="772" w:val="left" w:leader="none"/>
          <w:tab w:pos="773" w:val="left" w:leader="none"/>
        </w:tabs>
        <w:spacing w:line="240" w:lineRule="auto" w:before="78" w:after="0"/>
        <w:ind w:left="772"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8"/>
        </w:numPr>
        <w:tabs>
          <w:tab w:pos="771" w:val="left" w:leader="none"/>
          <w:tab w:pos="772" w:val="left" w:leader="none"/>
        </w:tabs>
        <w:spacing w:line="297" w:lineRule="auto" w:before="66" w:after="0"/>
        <w:ind w:left="772" w:right="309" w:hanging="545"/>
        <w:jc w:val="left"/>
        <w:rPr>
          <w:b/>
          <w:sz w:val="21"/>
        </w:rPr>
      </w:pPr>
      <w:r>
        <w:rPr>
          <w:b/>
          <w:spacing w:val="-1"/>
          <w:sz w:val="21"/>
        </w:rPr>
        <w:t>女性特定重大疾病 </w:t>
      </w:r>
      <w:r>
        <w:rPr>
          <w:sz w:val="21"/>
        </w:rPr>
        <w:t>是指符合下述定义的原发的女性器官癌症、系统性红斑狼疮（III</w:t>
      </w:r>
      <w:r>
        <w:rPr>
          <w:spacing w:val="-14"/>
          <w:sz w:val="21"/>
        </w:rPr>
        <w:t> 型或以上狼疮性肾炎）以及严重类风湿性关节炎。女性特定重大疾病应当由专科医生明确诊断。 </w:t>
      </w:r>
      <w:r>
        <w:rPr>
          <w:b/>
          <w:spacing w:val="-14"/>
          <w:w w:val="95"/>
          <w:sz w:val="21"/>
        </w:rPr>
        <w:t>女性器官癌症</w:t>
      </w:r>
    </w:p>
    <w:p>
      <w:pPr>
        <w:pStyle w:val="BodyText"/>
        <w:spacing w:line="297" w:lineRule="auto"/>
        <w:ind w:right="222"/>
        <w:jc w:val="both"/>
      </w:pPr>
      <w:r>
        <w:rPr>
          <w:spacing w:val="-3"/>
        </w:rPr>
        <w:t>癌症是指恶性细胞不受控制的进行性增长和扩散，浸润和破坏周围正常组织，可以经血管、淋</w:t>
      </w:r>
      <w:r>
        <w:rPr>
          <w:spacing w:val="-6"/>
        </w:rPr>
        <w:t>巴管和体腔扩散转移到身体其它部位的疾病。经组织病理学检查结果明确诊断，临床诊断属于</w:t>
      </w:r>
      <w:r>
        <w:rPr>
          <w:spacing w:val="-1"/>
        </w:rPr>
        <w:t>世界卫生组织《疾病和有关健康问题的国际统计分类》</w:t>
      </w:r>
      <w:r>
        <w:rPr/>
        <w:t>（ICD-10）的恶性肿瘤范畴。</w:t>
      </w:r>
    </w:p>
    <w:p>
      <w:pPr>
        <w:spacing w:line="297" w:lineRule="auto" w:before="14"/>
        <w:ind w:left="772" w:right="155" w:firstLine="0"/>
        <w:jc w:val="left"/>
        <w:rPr>
          <w:b/>
          <w:sz w:val="21"/>
        </w:rPr>
      </w:pPr>
      <w:r>
        <w:rPr>
          <w:sz w:val="21"/>
        </w:rPr>
        <w:t>本险种所指癌症仅限于女性器官（包括子宫、子宫颈、乳房、卵巢、输卵管、阴道和外阴）的</w:t>
      </w:r>
      <w:r>
        <w:rPr>
          <w:w w:val="95"/>
          <w:sz w:val="21"/>
        </w:rPr>
        <w:t>癌症。</w:t>
      </w:r>
      <w:r>
        <w:rPr>
          <w:b/>
          <w:w w:val="95"/>
          <w:sz w:val="21"/>
        </w:rPr>
        <w:t>原位癌或癌前病变不在女性器官癌症释义范围内。</w:t>
      </w:r>
    </w:p>
    <w:p>
      <w:pPr>
        <w:pStyle w:val="Heading2"/>
        <w:ind w:firstLine="0"/>
      </w:pPr>
      <w:r>
        <w:rPr/>
        <w:t>系统性红斑狼疮（III 型或以上狼疮性肾炎）</w:t>
      </w:r>
    </w:p>
    <w:p>
      <w:pPr>
        <w:pStyle w:val="BodyText"/>
        <w:spacing w:line="297" w:lineRule="auto" w:before="64"/>
        <w:ind w:right="154"/>
      </w:pPr>
      <w:r>
        <w:rPr/>
        <w:t>系统性红斑狼疮是由多种因素引起，累及多系统的自身免疫性疾病。其特点是生成自身抗体对抗多种自身抗原。多见于育龄妇女。</w:t>
      </w:r>
    </w:p>
    <w:p>
      <w:pPr>
        <w:pStyle w:val="BodyText"/>
      </w:pPr>
      <w:r>
        <w:rPr/>
        <w:t>本险种所指的系统性红斑狼疮仅限于累及肾脏（经肾脏活检确认的，符合 WHO 诊断标准定义</w:t>
      </w:r>
    </w:p>
    <w:p>
      <w:pPr>
        <w:spacing w:line="297" w:lineRule="auto" w:before="64"/>
        <w:ind w:left="772" w:right="135" w:firstLine="0"/>
        <w:jc w:val="left"/>
        <w:rPr>
          <w:b/>
          <w:sz w:val="21"/>
        </w:rPr>
      </w:pPr>
      <w:r>
        <w:rPr>
          <w:sz w:val="21"/>
        </w:rPr>
        <w:t>III 型或III 型以上狼疮性肾炎）的系统性红斑狼疮。</w:t>
      </w:r>
      <w:r>
        <w:rPr>
          <w:b/>
          <w:sz w:val="21"/>
        </w:rPr>
        <w:t>其他类型的红斑性狼疮，如盘状狼疮、</w:t>
      </w:r>
      <w:r>
        <w:rPr>
          <w:b/>
          <w:w w:val="95"/>
          <w:sz w:val="21"/>
        </w:rPr>
        <w:t>仅累及血液及关节的狼疮不在本险种保障范围內。</w:t>
      </w:r>
    </w:p>
    <w:p>
      <w:pPr>
        <w:pStyle w:val="BodyText"/>
      </w:pPr>
      <w:r>
        <w:rPr>
          <w:u w:val="single"/>
        </w:rPr>
        <w:t>世界卫生组织（WHO）狼疮性肾炎分型： </w:t>
      </w:r>
    </w:p>
    <w:p>
      <w:pPr>
        <w:pStyle w:val="BodyText"/>
        <w:spacing w:before="5"/>
        <w:ind w:left="0"/>
        <w:rPr>
          <w:sz w:val="6"/>
        </w:rPr>
      </w:pPr>
    </w:p>
    <w:tbl>
      <w:tblPr>
        <w:tblW w:w="0" w:type="auto"/>
        <w:jc w:val="left"/>
        <w:tblInd w:w="2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3060"/>
      </w:tblGrid>
      <w:tr>
        <w:trPr>
          <w:trHeight w:val="340" w:hRule="atLeast"/>
        </w:trPr>
        <w:tc>
          <w:tcPr>
            <w:tcW w:w="1687" w:type="dxa"/>
          </w:tcPr>
          <w:p>
            <w:pPr>
              <w:pStyle w:val="TableParagraph"/>
              <w:ind w:left="506"/>
              <w:rPr>
                <w:sz w:val="21"/>
              </w:rPr>
            </w:pPr>
            <w:r>
              <w:rPr>
                <w:sz w:val="21"/>
              </w:rPr>
              <w:t>I 型</w:t>
            </w:r>
          </w:p>
        </w:tc>
        <w:tc>
          <w:tcPr>
            <w:tcW w:w="3060" w:type="dxa"/>
          </w:tcPr>
          <w:p>
            <w:pPr>
              <w:pStyle w:val="TableParagraph"/>
              <w:ind w:left="668" w:right="660"/>
              <w:rPr>
                <w:sz w:val="21"/>
              </w:rPr>
            </w:pPr>
            <w:r>
              <w:rPr>
                <w:sz w:val="21"/>
              </w:rPr>
              <w:t>微小病变型</w:t>
            </w:r>
          </w:p>
        </w:tc>
      </w:tr>
      <w:tr>
        <w:trPr>
          <w:trHeight w:val="340" w:hRule="atLeast"/>
        </w:trPr>
        <w:tc>
          <w:tcPr>
            <w:tcW w:w="1687" w:type="dxa"/>
          </w:tcPr>
          <w:p>
            <w:pPr>
              <w:pStyle w:val="TableParagraph"/>
              <w:rPr>
                <w:sz w:val="21"/>
              </w:rPr>
            </w:pPr>
            <w:r>
              <w:rPr>
                <w:sz w:val="21"/>
              </w:rPr>
              <w:t>II 型</w:t>
            </w:r>
          </w:p>
        </w:tc>
        <w:tc>
          <w:tcPr>
            <w:tcW w:w="3060" w:type="dxa"/>
          </w:tcPr>
          <w:p>
            <w:pPr>
              <w:pStyle w:val="TableParagraph"/>
              <w:ind w:left="668" w:right="660"/>
              <w:rPr>
                <w:sz w:val="21"/>
              </w:rPr>
            </w:pPr>
            <w:r>
              <w:rPr>
                <w:sz w:val="21"/>
              </w:rPr>
              <w:t>系膜病变型</w:t>
            </w:r>
          </w:p>
        </w:tc>
      </w:tr>
      <w:tr>
        <w:trPr>
          <w:trHeight w:val="341" w:hRule="atLeast"/>
        </w:trPr>
        <w:tc>
          <w:tcPr>
            <w:tcW w:w="1687" w:type="dxa"/>
          </w:tcPr>
          <w:p>
            <w:pPr>
              <w:pStyle w:val="TableParagraph"/>
              <w:rPr>
                <w:sz w:val="21"/>
              </w:rPr>
            </w:pPr>
            <w:r>
              <w:rPr>
                <w:sz w:val="21"/>
              </w:rPr>
              <w:t>III 型</w:t>
            </w:r>
          </w:p>
        </w:tc>
        <w:tc>
          <w:tcPr>
            <w:tcW w:w="3060" w:type="dxa"/>
          </w:tcPr>
          <w:p>
            <w:pPr>
              <w:pStyle w:val="TableParagraph"/>
              <w:ind w:left="670" w:right="660"/>
              <w:rPr>
                <w:sz w:val="21"/>
              </w:rPr>
            </w:pPr>
            <w:r>
              <w:rPr>
                <w:sz w:val="21"/>
              </w:rPr>
              <w:t>局灶及节段增生型</w:t>
            </w:r>
          </w:p>
        </w:tc>
      </w:tr>
      <w:tr>
        <w:trPr>
          <w:trHeight w:val="340" w:hRule="atLeast"/>
        </w:trPr>
        <w:tc>
          <w:tcPr>
            <w:tcW w:w="1687" w:type="dxa"/>
          </w:tcPr>
          <w:p>
            <w:pPr>
              <w:pStyle w:val="TableParagraph"/>
              <w:rPr>
                <w:sz w:val="21"/>
              </w:rPr>
            </w:pPr>
            <w:r>
              <w:rPr>
                <w:sz w:val="21"/>
              </w:rPr>
              <w:t>IV 型</w:t>
            </w:r>
          </w:p>
        </w:tc>
        <w:tc>
          <w:tcPr>
            <w:tcW w:w="3060" w:type="dxa"/>
          </w:tcPr>
          <w:p>
            <w:pPr>
              <w:pStyle w:val="TableParagraph"/>
              <w:ind w:left="668" w:right="660"/>
              <w:rPr>
                <w:sz w:val="21"/>
              </w:rPr>
            </w:pPr>
            <w:r>
              <w:rPr>
                <w:sz w:val="21"/>
              </w:rPr>
              <w:t>弥漫增生型</w:t>
            </w:r>
          </w:p>
        </w:tc>
      </w:tr>
      <w:tr>
        <w:trPr>
          <w:trHeight w:val="340" w:hRule="atLeast"/>
        </w:trPr>
        <w:tc>
          <w:tcPr>
            <w:tcW w:w="1687" w:type="dxa"/>
          </w:tcPr>
          <w:p>
            <w:pPr>
              <w:pStyle w:val="TableParagraph"/>
              <w:ind w:left="506"/>
              <w:rPr>
                <w:sz w:val="21"/>
              </w:rPr>
            </w:pPr>
            <w:r>
              <w:rPr>
                <w:sz w:val="21"/>
              </w:rPr>
              <w:t>V 型</w:t>
            </w:r>
          </w:p>
        </w:tc>
        <w:tc>
          <w:tcPr>
            <w:tcW w:w="3060" w:type="dxa"/>
          </w:tcPr>
          <w:p>
            <w:pPr>
              <w:pStyle w:val="TableParagraph"/>
              <w:ind w:left="670" w:right="660"/>
              <w:rPr>
                <w:sz w:val="21"/>
              </w:rPr>
            </w:pPr>
            <w:r>
              <w:rPr>
                <w:sz w:val="21"/>
              </w:rPr>
              <w:t>膜型</w:t>
            </w:r>
          </w:p>
        </w:tc>
      </w:tr>
      <w:tr>
        <w:trPr>
          <w:trHeight w:val="340" w:hRule="atLeast"/>
        </w:trPr>
        <w:tc>
          <w:tcPr>
            <w:tcW w:w="1687" w:type="dxa"/>
          </w:tcPr>
          <w:p>
            <w:pPr>
              <w:pStyle w:val="TableParagraph"/>
              <w:rPr>
                <w:sz w:val="21"/>
              </w:rPr>
            </w:pPr>
            <w:r>
              <w:rPr>
                <w:sz w:val="21"/>
              </w:rPr>
              <w:t>VI 型</w:t>
            </w:r>
          </w:p>
        </w:tc>
        <w:tc>
          <w:tcPr>
            <w:tcW w:w="3060" w:type="dxa"/>
          </w:tcPr>
          <w:p>
            <w:pPr>
              <w:pStyle w:val="TableParagraph"/>
              <w:ind w:left="669" w:right="660"/>
              <w:rPr>
                <w:sz w:val="21"/>
              </w:rPr>
            </w:pPr>
            <w:r>
              <w:rPr>
                <w:sz w:val="21"/>
              </w:rPr>
              <w:t>肾小球硬化型</w:t>
            </w:r>
          </w:p>
        </w:tc>
      </w:tr>
    </w:tbl>
    <w:p>
      <w:pPr>
        <w:pStyle w:val="Heading2"/>
        <w:spacing w:before="0"/>
        <w:ind w:firstLine="0"/>
      </w:pPr>
      <w:r>
        <w:rPr>
          <w:w w:val="95"/>
        </w:rPr>
        <w:t>严重类风湿性关节炎</w:t>
      </w:r>
    </w:p>
    <w:p>
      <w:pPr>
        <w:pStyle w:val="BodyText"/>
        <w:spacing w:line="297" w:lineRule="auto" w:before="66"/>
        <w:ind w:right="222"/>
        <w:jc w:val="both"/>
      </w:pPr>
      <w:r>
        <w:rPr>
          <w:spacing w:val="-3"/>
        </w:rPr>
        <w:t>类风湿性关节炎为广泛分布的慢性进行性多关节病变，表现为关节严重变形，侵犯至少三个主要关节或关节组[如：双手（多手指）关节、双足（多足趾）关节、双腕关节、双膝关节和双髋关节]。</w:t>
      </w:r>
    </w:p>
    <w:p>
      <w:pPr>
        <w:pStyle w:val="BodyText"/>
        <w:spacing w:line="297" w:lineRule="auto"/>
        <w:ind w:right="265"/>
        <w:rPr>
          <w:b/>
        </w:rPr>
      </w:pPr>
      <w:r>
        <w:rPr>
          <w:spacing w:val="-3"/>
        </w:rPr>
        <w:t>类风湿性关节炎必须明确诊断并且已经达到类风湿性关节炎功能分类 </w:t>
      </w:r>
      <w:r>
        <w:rPr/>
        <w:t>IV</w:t>
      </w:r>
      <w:r>
        <w:rPr>
          <w:spacing w:val="-9"/>
        </w:rPr>
        <w:t> 级的永久不可逆性关节功能障碍（生活不能自理，且丧失工作能力</w:t>
      </w:r>
      <w:r>
        <w:rPr>
          <w:spacing w:val="-106"/>
        </w:rPr>
        <w:t>）</w:t>
      </w:r>
      <w:r>
        <w:rPr/>
        <w:t>，</w:t>
      </w:r>
      <w:r>
        <w:rPr>
          <w:b/>
          <w:w w:val="99"/>
        </w:rPr>
        <w:t>并且满足下列全部条件：</w:t>
      </w:r>
    </w:p>
    <w:p>
      <w:pPr>
        <w:pStyle w:val="ListParagraph"/>
        <w:numPr>
          <w:ilvl w:val="0"/>
          <w:numId w:val="9"/>
        </w:numPr>
        <w:tabs>
          <w:tab w:pos="1193" w:val="left" w:leader="none"/>
        </w:tabs>
        <w:spacing w:line="240" w:lineRule="auto" w:before="15" w:after="0"/>
        <w:ind w:left="1192" w:right="0" w:hanging="420"/>
        <w:jc w:val="both"/>
        <w:rPr>
          <w:sz w:val="21"/>
        </w:rPr>
      </w:pPr>
      <w:r>
        <w:rPr>
          <w:sz w:val="21"/>
        </w:rPr>
        <w:t>晨僵；</w:t>
      </w:r>
    </w:p>
    <w:p>
      <w:pPr>
        <w:pStyle w:val="ListParagraph"/>
        <w:numPr>
          <w:ilvl w:val="0"/>
          <w:numId w:val="9"/>
        </w:numPr>
        <w:tabs>
          <w:tab w:pos="1193" w:val="left" w:leader="none"/>
        </w:tabs>
        <w:spacing w:line="240" w:lineRule="auto" w:before="66" w:after="0"/>
        <w:ind w:left="1192" w:right="0" w:hanging="420"/>
        <w:jc w:val="both"/>
        <w:rPr>
          <w:sz w:val="21"/>
        </w:rPr>
      </w:pPr>
      <w:r>
        <w:rPr>
          <w:sz w:val="21"/>
        </w:rPr>
        <w:t>对称性关节炎；</w:t>
      </w:r>
    </w:p>
    <w:p>
      <w:pPr>
        <w:pStyle w:val="ListParagraph"/>
        <w:numPr>
          <w:ilvl w:val="0"/>
          <w:numId w:val="9"/>
        </w:numPr>
        <w:tabs>
          <w:tab w:pos="1193" w:val="left" w:leader="none"/>
        </w:tabs>
        <w:spacing w:line="240" w:lineRule="auto" w:before="64" w:after="0"/>
        <w:ind w:left="1192" w:right="0" w:hanging="420"/>
        <w:jc w:val="both"/>
        <w:rPr>
          <w:sz w:val="21"/>
        </w:rPr>
      </w:pPr>
      <w:r>
        <w:rPr>
          <w:sz w:val="21"/>
        </w:rPr>
        <w:t>类风湿性皮下结节；</w:t>
      </w:r>
    </w:p>
    <w:p>
      <w:pPr>
        <w:pStyle w:val="ListParagraph"/>
        <w:numPr>
          <w:ilvl w:val="0"/>
          <w:numId w:val="9"/>
        </w:numPr>
        <w:tabs>
          <w:tab w:pos="1193" w:val="left" w:leader="none"/>
        </w:tabs>
        <w:spacing w:line="240" w:lineRule="auto" w:before="65" w:after="0"/>
        <w:ind w:left="1192" w:right="0" w:hanging="420"/>
        <w:jc w:val="both"/>
        <w:rPr>
          <w:sz w:val="21"/>
        </w:rPr>
      </w:pPr>
      <w:r>
        <w:rPr>
          <w:spacing w:val="-1"/>
          <w:sz w:val="21"/>
        </w:rPr>
        <w:t>类风湿因子滴度升高；</w:t>
      </w:r>
    </w:p>
    <w:p>
      <w:pPr>
        <w:pStyle w:val="ListParagraph"/>
        <w:numPr>
          <w:ilvl w:val="0"/>
          <w:numId w:val="9"/>
        </w:numPr>
        <w:tabs>
          <w:tab w:pos="1193" w:val="left" w:leader="none"/>
        </w:tabs>
        <w:spacing w:line="240" w:lineRule="auto" w:before="65" w:after="0"/>
        <w:ind w:left="1192" w:right="0" w:hanging="420"/>
        <w:jc w:val="both"/>
        <w:rPr>
          <w:sz w:val="21"/>
        </w:rPr>
      </w:pPr>
      <w:r>
        <w:rPr>
          <w:sz w:val="21"/>
        </w:rPr>
        <w:t>X</w:t>
      </w:r>
      <w:r>
        <w:rPr>
          <w:spacing w:val="-8"/>
          <w:sz w:val="21"/>
        </w:rPr>
        <w:t> 线显示严重的关节</w:t>
      </w:r>
      <w:r>
        <w:rPr>
          <w:sz w:val="21"/>
        </w:rPr>
        <w:t>（软骨和骨）破坏和关节畸形。</w:t>
      </w:r>
    </w:p>
    <w:p>
      <w:pPr>
        <w:pStyle w:val="Heading2"/>
        <w:numPr>
          <w:ilvl w:val="0"/>
          <w:numId w:val="8"/>
        </w:numPr>
        <w:tabs>
          <w:tab w:pos="772" w:val="left" w:leader="none"/>
          <w:tab w:pos="773" w:val="left" w:leader="none"/>
        </w:tabs>
        <w:spacing w:line="240" w:lineRule="auto" w:before="65" w:after="0"/>
        <w:ind w:left="772" w:right="0" w:hanging="545"/>
        <w:jc w:val="left"/>
      </w:pPr>
      <w:r>
        <w:rPr>
          <w:w w:val="95"/>
        </w:rPr>
        <w:t>女性原位癌</w:t>
      </w:r>
    </w:p>
    <w:p>
      <w:pPr>
        <w:pStyle w:val="BodyText"/>
        <w:spacing w:before="64"/>
        <w:jc w:val="both"/>
      </w:pPr>
      <w:r>
        <w:rPr/>
        <w:t>原位癌指恶性细胞局限于上皮内但尚未穿破基底膜浸润周围正常组织的癌细胞新生物。</w:t>
      </w:r>
    </w:p>
    <w:p>
      <w:pPr>
        <w:pStyle w:val="BodyText"/>
        <w:spacing w:before="65"/>
        <w:jc w:val="both"/>
      </w:pPr>
      <w:r>
        <w:rPr/>
        <w:t>女性原位癌仅限于符合下述定义的女性器官（包括子宫、子宫颈、乳腺、卵巢、输卵管、阴道</w:t>
      </w:r>
    </w:p>
    <w:p>
      <w:pPr>
        <w:spacing w:after="0"/>
        <w:jc w:val="both"/>
        <w:sectPr>
          <w:pgSz w:w="11910" w:h="16840"/>
          <w:pgMar w:header="0" w:footer="1008" w:top="1600" w:bottom="1200" w:left="1180" w:right="1180"/>
        </w:sectPr>
      </w:pPr>
    </w:p>
    <w:p>
      <w:pPr>
        <w:pStyle w:val="BodyText"/>
        <w:spacing w:before="0"/>
        <w:ind w:left="0"/>
        <w:rPr>
          <w:sz w:val="24"/>
        </w:rPr>
      </w:pPr>
    </w:p>
    <w:p>
      <w:pPr>
        <w:pStyle w:val="BodyText"/>
        <w:spacing w:before="35"/>
        <w:ind w:left="652"/>
      </w:pPr>
      <w:r>
        <w:rPr/>
        <w:t>和外阴）的原位癌。</w:t>
      </w:r>
    </w:p>
    <w:p>
      <w:pPr>
        <w:pStyle w:val="BodyText"/>
        <w:spacing w:line="297" w:lineRule="auto" w:before="65"/>
        <w:ind w:left="652" w:right="371"/>
      </w:pPr>
      <w:r>
        <w:rPr/>
        <w:t>在索赔女性原位癌时必须提交由病理科专科医生签署的固定活组织病理学检查报告和由妇科或外科专科医生签署的临床诊断和治疗报告。</w:t>
      </w:r>
    </w:p>
    <w:p>
      <w:pPr>
        <w:spacing w:line="297" w:lineRule="auto" w:before="14"/>
        <w:ind w:left="652" w:right="341" w:firstLine="0"/>
        <w:jc w:val="left"/>
        <w:rPr>
          <w:sz w:val="21"/>
        </w:rPr>
      </w:pPr>
      <w:r>
        <w:rPr>
          <w:b/>
          <w:w w:val="95"/>
          <w:sz w:val="21"/>
        </w:rPr>
        <w:t>若被保险人所患癌症在被诊断时已经超越原位癌阶段，本公司将不赔付女性原位癌保险金。   </w:t>
      </w:r>
      <w:r>
        <w:rPr>
          <w:b/>
          <w:spacing w:val="-2"/>
          <w:position w:val="1"/>
          <w:sz w:val="21"/>
        </w:rPr>
        <w:t>子宫原位癌 </w:t>
      </w:r>
      <w:r>
        <w:rPr>
          <w:position w:val="1"/>
          <w:sz w:val="21"/>
        </w:rPr>
        <w:t>TNM</w:t>
      </w:r>
      <w:r>
        <w:rPr>
          <w:spacing w:val="-24"/>
          <w:position w:val="1"/>
          <w:sz w:val="21"/>
        </w:rPr>
        <w:t> 分级为 </w:t>
      </w:r>
      <w:r>
        <w:rPr>
          <w:position w:val="1"/>
          <w:sz w:val="21"/>
        </w:rPr>
        <w:t>TisN</w:t>
      </w:r>
      <w:r>
        <w:rPr>
          <w:sz w:val="11"/>
        </w:rPr>
        <w:t>0</w:t>
      </w:r>
      <w:r>
        <w:rPr>
          <w:position w:val="1"/>
          <w:sz w:val="21"/>
        </w:rPr>
        <w:t>M</w:t>
      </w:r>
      <w:r>
        <w:rPr>
          <w:sz w:val="11"/>
        </w:rPr>
        <w:t>0</w:t>
      </w:r>
      <w:r>
        <w:rPr>
          <w:spacing w:val="-42"/>
          <w:sz w:val="11"/>
        </w:rPr>
        <w:t> </w:t>
      </w:r>
      <w:r>
        <w:rPr>
          <w:spacing w:val="-6"/>
          <w:position w:val="1"/>
          <w:sz w:val="21"/>
        </w:rPr>
        <w:t>或国际妇产科联盟分级 </w:t>
      </w:r>
      <w:r>
        <w:rPr>
          <w:position w:val="1"/>
          <w:sz w:val="21"/>
        </w:rPr>
        <w:t>FIGO</w:t>
      </w:r>
      <w:r>
        <w:rPr>
          <w:spacing w:val="-7"/>
          <w:position w:val="1"/>
          <w:sz w:val="21"/>
        </w:rPr>
        <w:t> </w:t>
      </w:r>
      <w:r>
        <w:rPr>
          <w:position w:val="1"/>
          <w:sz w:val="21"/>
        </w:rPr>
        <w:t>0</w:t>
      </w:r>
      <w:r>
        <w:rPr>
          <w:spacing w:val="-9"/>
          <w:position w:val="1"/>
          <w:sz w:val="21"/>
        </w:rPr>
        <w:t> 的子宫肿瘤。</w:t>
      </w:r>
    </w:p>
    <w:p>
      <w:pPr>
        <w:spacing w:line="297" w:lineRule="auto" w:before="16"/>
        <w:ind w:left="652" w:right="220" w:firstLine="0"/>
        <w:jc w:val="left"/>
        <w:rPr>
          <w:b/>
          <w:sz w:val="21"/>
        </w:rPr>
      </w:pPr>
      <w:r>
        <w:rPr>
          <w:b/>
          <w:spacing w:val="2"/>
          <w:sz w:val="21"/>
        </w:rPr>
        <w:t>子宫颈原位癌 </w:t>
      </w:r>
      <w:r>
        <w:rPr>
          <w:sz w:val="21"/>
        </w:rPr>
        <w:t>子宫颈原位癌必须基于取自子宫颈圆锥切除组织切片或阴道镜下取自子宫颈活</w:t>
      </w:r>
      <w:r>
        <w:rPr>
          <w:spacing w:val="-4"/>
          <w:sz w:val="21"/>
        </w:rPr>
        <w:t>体固定组织的显微镜检查结果诊断。</w:t>
      </w:r>
      <w:r>
        <w:rPr>
          <w:b/>
          <w:spacing w:val="-6"/>
          <w:sz w:val="21"/>
        </w:rPr>
        <w:t>子宫颈上皮内新生物</w:t>
      </w:r>
      <w:r>
        <w:rPr>
          <w:b/>
          <w:spacing w:val="-10"/>
          <w:sz w:val="21"/>
        </w:rPr>
        <w:t>（CIN）</w:t>
      </w:r>
      <w:r>
        <w:rPr>
          <w:b/>
          <w:spacing w:val="-20"/>
          <w:sz w:val="21"/>
        </w:rPr>
        <w:t>分类 </w:t>
      </w:r>
      <w:r>
        <w:rPr>
          <w:b/>
          <w:sz w:val="21"/>
        </w:rPr>
        <w:t>CIN</w:t>
      </w:r>
      <w:r>
        <w:rPr>
          <w:b/>
          <w:spacing w:val="-58"/>
          <w:sz w:val="21"/>
        </w:rPr>
        <w:t> </w:t>
      </w:r>
      <w:r>
        <w:rPr>
          <w:b/>
          <w:sz w:val="21"/>
        </w:rPr>
        <w:t>I</w:t>
      </w:r>
      <w:r>
        <w:rPr>
          <w:b/>
          <w:spacing w:val="-49"/>
          <w:sz w:val="21"/>
        </w:rPr>
        <w:t>、</w:t>
      </w:r>
      <w:r>
        <w:rPr>
          <w:b/>
          <w:sz w:val="21"/>
        </w:rPr>
        <w:t>CIN</w:t>
      </w:r>
      <w:r>
        <w:rPr>
          <w:b/>
          <w:spacing w:val="-58"/>
          <w:sz w:val="21"/>
        </w:rPr>
        <w:t> </w:t>
      </w:r>
      <w:r>
        <w:rPr>
          <w:b/>
          <w:sz w:val="21"/>
        </w:rPr>
        <w:t>II</w:t>
      </w:r>
      <w:r>
        <w:rPr>
          <w:b/>
          <w:spacing w:val="-39"/>
          <w:sz w:val="21"/>
        </w:rPr>
        <w:t> 和 </w:t>
      </w:r>
      <w:r>
        <w:rPr>
          <w:b/>
          <w:sz w:val="21"/>
        </w:rPr>
        <w:t>CIN</w:t>
      </w:r>
      <w:r>
        <w:rPr>
          <w:b/>
          <w:spacing w:val="-58"/>
          <w:sz w:val="21"/>
        </w:rPr>
        <w:t> </w:t>
      </w:r>
      <w:r>
        <w:rPr>
          <w:b/>
          <w:sz w:val="21"/>
        </w:rPr>
        <w:t>III</w:t>
      </w:r>
    </w:p>
    <w:p>
      <w:pPr>
        <w:pStyle w:val="Heading2"/>
        <w:ind w:left="652" w:firstLine="0"/>
      </w:pPr>
      <w:r>
        <w:rPr>
          <w:w w:val="95"/>
        </w:rPr>
        <w:t>（严重非典型增生但非原位癌）的子宫颈上皮内病变不在本保单保障范围内。</w:t>
      </w:r>
    </w:p>
    <w:p>
      <w:pPr>
        <w:pStyle w:val="BodyText"/>
        <w:spacing w:line="297" w:lineRule="auto" w:before="65"/>
        <w:ind w:left="652" w:right="119"/>
      </w:pPr>
      <w:r>
        <w:rPr>
          <w:b/>
          <w:spacing w:val="1"/>
        </w:rPr>
        <w:t>乳腺原位癌 </w:t>
      </w:r>
      <w:r>
        <w:rPr/>
        <w:t>乳腺原位癌包括导管内癌（发生于中、小导管，癌细胞局限于导管内，管壁基底膜完整</w:t>
      </w:r>
      <w:r>
        <w:rPr>
          <w:spacing w:val="-42"/>
        </w:rPr>
        <w:t>）</w:t>
      </w:r>
      <w:r>
        <w:rPr>
          <w:spacing w:val="-7"/>
        </w:rPr>
        <w:t>和小叶原位癌</w:t>
      </w:r>
      <w:r>
        <w:rPr/>
        <w:t>（</w:t>
      </w:r>
      <w:r>
        <w:rPr>
          <w:spacing w:val="-5"/>
        </w:rPr>
        <w:t>来自于小叶的终末导管及腺泡，主要累及小叶，癌细胞局限于管泡内， 未穿破其基底膜，小叶结构存在</w:t>
      </w:r>
      <w:r>
        <w:rPr>
          <w:spacing w:val="-105"/>
        </w:rPr>
        <w:t>）</w:t>
      </w:r>
      <w:r>
        <w:rPr/>
        <w:t>。</w:t>
      </w:r>
    </w:p>
    <w:p>
      <w:pPr>
        <w:pStyle w:val="BodyText"/>
        <w:spacing w:before="14"/>
        <w:ind w:left="652"/>
      </w:pPr>
      <w:r>
        <w:rPr>
          <w:b/>
          <w:w w:val="99"/>
          <w:position w:val="1"/>
        </w:rPr>
        <w:t>卵巢原位癌</w:t>
      </w:r>
      <w:r>
        <w:rPr>
          <w:b/>
          <w:position w:val="1"/>
        </w:rPr>
        <w:t> </w:t>
      </w:r>
      <w:r>
        <w:rPr>
          <w:spacing w:val="-18"/>
          <w:position w:val="1"/>
        </w:rPr>
        <w:t>肿瘤包膜完整，卵巢表面无肿瘤，</w:t>
      </w:r>
      <w:r>
        <w:rPr>
          <w:position w:val="1"/>
        </w:rPr>
        <w:t>TNM</w:t>
      </w:r>
      <w:r>
        <w:rPr>
          <w:spacing w:val="-9"/>
          <w:position w:val="1"/>
        </w:rPr>
        <w:t> 分级为</w:t>
      </w:r>
      <w:r>
        <w:rPr>
          <w:position w:val="1"/>
        </w:rPr>
        <w:t>T1aN</w:t>
      </w:r>
      <w:r>
        <w:rPr>
          <w:spacing w:val="-1"/>
          <w:w w:val="100"/>
          <w:sz w:val="11"/>
        </w:rPr>
        <w:t>0</w:t>
      </w:r>
      <w:r>
        <w:rPr>
          <w:position w:val="1"/>
        </w:rPr>
        <w:t>M</w:t>
      </w:r>
      <w:r>
        <w:rPr>
          <w:w w:val="100"/>
          <w:sz w:val="11"/>
        </w:rPr>
        <w:t>0</w:t>
      </w:r>
      <w:r>
        <w:rPr>
          <w:spacing w:val="-42"/>
          <w:sz w:val="11"/>
        </w:rPr>
        <w:t> </w:t>
      </w:r>
      <w:r>
        <w:rPr>
          <w:spacing w:val="1"/>
          <w:position w:val="1"/>
        </w:rPr>
        <w:t>或国际妇产科联盟分级为</w:t>
      </w:r>
      <w:r>
        <w:rPr>
          <w:position w:val="1"/>
        </w:rPr>
        <w:t>FIGO</w:t>
      </w:r>
    </w:p>
    <w:p>
      <w:pPr>
        <w:pStyle w:val="BodyText"/>
        <w:spacing w:before="64"/>
        <w:ind w:left="652"/>
      </w:pPr>
      <w:r>
        <w:rPr/>
        <w:t>1A 的卵巢肿瘤。</w:t>
      </w:r>
    </w:p>
    <w:p>
      <w:pPr>
        <w:pStyle w:val="BodyText"/>
        <w:spacing w:line="297" w:lineRule="auto" w:before="65"/>
        <w:ind w:left="652" w:right="174"/>
      </w:pPr>
      <w:r>
        <w:rPr>
          <w:b/>
          <w:position w:val="1"/>
        </w:rPr>
        <w:t>输卵管原位癌 </w:t>
      </w:r>
      <w:r>
        <w:rPr>
          <w:position w:val="1"/>
        </w:rPr>
        <w:t>肿瘤局限于输卵管粘膜内，TNM 分级为 TisN</w:t>
      </w:r>
      <w:r>
        <w:rPr>
          <w:sz w:val="11"/>
        </w:rPr>
        <w:t>0</w:t>
      </w:r>
      <w:r>
        <w:rPr>
          <w:position w:val="1"/>
        </w:rPr>
        <w:t>M</w:t>
      </w:r>
      <w:r>
        <w:rPr>
          <w:sz w:val="11"/>
        </w:rPr>
        <w:t>0 </w:t>
      </w:r>
      <w:r>
        <w:rPr>
          <w:position w:val="1"/>
        </w:rPr>
        <w:t>或国际妇产科联盟分级 FIGO 0 </w:t>
      </w:r>
      <w:r>
        <w:rPr/>
        <w:t>的输卵管肿瘤。</w:t>
      </w:r>
    </w:p>
    <w:p>
      <w:pPr>
        <w:spacing w:line="297" w:lineRule="auto" w:before="15"/>
        <w:ind w:left="652" w:right="1804" w:firstLine="0"/>
        <w:jc w:val="left"/>
        <w:rPr>
          <w:sz w:val="21"/>
        </w:rPr>
      </w:pPr>
      <w:r>
        <w:rPr>
          <w:b/>
          <w:spacing w:val="-2"/>
          <w:position w:val="1"/>
          <w:sz w:val="21"/>
        </w:rPr>
        <w:t>阴道原位癌 </w:t>
      </w:r>
      <w:r>
        <w:rPr>
          <w:position w:val="1"/>
          <w:sz w:val="21"/>
        </w:rPr>
        <w:t>TNM</w:t>
      </w:r>
      <w:r>
        <w:rPr>
          <w:spacing w:val="-24"/>
          <w:position w:val="1"/>
          <w:sz w:val="21"/>
        </w:rPr>
        <w:t> 分级为 </w:t>
      </w:r>
      <w:r>
        <w:rPr>
          <w:position w:val="1"/>
          <w:sz w:val="21"/>
        </w:rPr>
        <w:t>TisN</w:t>
      </w:r>
      <w:r>
        <w:rPr>
          <w:sz w:val="11"/>
        </w:rPr>
        <w:t>0</w:t>
      </w:r>
      <w:r>
        <w:rPr>
          <w:position w:val="1"/>
          <w:sz w:val="21"/>
        </w:rPr>
        <w:t>M</w:t>
      </w:r>
      <w:r>
        <w:rPr>
          <w:sz w:val="11"/>
        </w:rPr>
        <w:t>0 </w:t>
      </w:r>
      <w:r>
        <w:rPr>
          <w:spacing w:val="-6"/>
          <w:position w:val="1"/>
          <w:sz w:val="21"/>
        </w:rPr>
        <w:t>或国际妇产科联盟分级 </w:t>
      </w:r>
      <w:r>
        <w:rPr>
          <w:position w:val="1"/>
          <w:sz w:val="21"/>
        </w:rPr>
        <w:t>FIGO 0</w:t>
      </w:r>
      <w:r>
        <w:rPr>
          <w:spacing w:val="-9"/>
          <w:position w:val="1"/>
          <w:sz w:val="21"/>
        </w:rPr>
        <w:t> 的阴道肿瘤。</w:t>
      </w:r>
      <w:r>
        <w:rPr>
          <w:b/>
          <w:spacing w:val="-9"/>
          <w:position w:val="1"/>
          <w:sz w:val="21"/>
        </w:rPr>
        <w:t>外阴原位癌 </w:t>
      </w:r>
      <w:r>
        <w:rPr>
          <w:position w:val="1"/>
          <w:sz w:val="21"/>
        </w:rPr>
        <w:t>TNM</w:t>
      </w:r>
      <w:r>
        <w:rPr>
          <w:spacing w:val="-24"/>
          <w:position w:val="1"/>
          <w:sz w:val="21"/>
        </w:rPr>
        <w:t> 分级为 </w:t>
      </w:r>
      <w:r>
        <w:rPr>
          <w:position w:val="1"/>
          <w:sz w:val="21"/>
        </w:rPr>
        <w:t>TisN</w:t>
      </w:r>
      <w:r>
        <w:rPr>
          <w:sz w:val="11"/>
        </w:rPr>
        <w:t>0</w:t>
      </w:r>
      <w:r>
        <w:rPr>
          <w:position w:val="1"/>
          <w:sz w:val="21"/>
        </w:rPr>
        <w:t>M</w:t>
      </w:r>
      <w:r>
        <w:rPr>
          <w:sz w:val="11"/>
        </w:rPr>
        <w:t>0 </w:t>
      </w:r>
      <w:r>
        <w:rPr>
          <w:position w:val="1"/>
          <w:sz w:val="21"/>
        </w:rPr>
        <w:t>或国际妇产科联</w:t>
      </w:r>
      <w:r>
        <w:rPr>
          <w:position w:val="1"/>
          <w:sz w:val="20"/>
        </w:rPr>
        <w:t>盟</w:t>
      </w:r>
      <w:r>
        <w:rPr>
          <w:spacing w:val="-19"/>
          <w:position w:val="1"/>
          <w:sz w:val="21"/>
        </w:rPr>
        <w:t>分级 </w:t>
      </w:r>
      <w:r>
        <w:rPr>
          <w:position w:val="1"/>
          <w:sz w:val="21"/>
        </w:rPr>
        <w:t>FIGO 0</w:t>
      </w:r>
      <w:r>
        <w:rPr>
          <w:spacing w:val="-9"/>
          <w:position w:val="1"/>
          <w:sz w:val="21"/>
        </w:rPr>
        <w:t> 的外阴肿瘤。</w:t>
      </w:r>
    </w:p>
    <w:p>
      <w:pPr>
        <w:pStyle w:val="ListParagraph"/>
        <w:numPr>
          <w:ilvl w:val="0"/>
          <w:numId w:val="8"/>
        </w:numPr>
        <w:tabs>
          <w:tab w:pos="652" w:val="left" w:leader="none"/>
          <w:tab w:pos="653" w:val="left" w:leader="none"/>
        </w:tabs>
        <w:spacing w:line="297" w:lineRule="auto" w:before="16" w:after="0"/>
        <w:ind w:left="652" w:right="260" w:hanging="545"/>
        <w:jc w:val="left"/>
        <w:rPr>
          <w:sz w:val="21"/>
        </w:rPr>
      </w:pPr>
      <w:r>
        <w:rPr>
          <w:b/>
          <w:spacing w:val="-1"/>
          <w:sz w:val="21"/>
        </w:rPr>
        <w:t>女性特定手术 </w:t>
      </w:r>
      <w:r>
        <w:rPr>
          <w:sz w:val="21"/>
        </w:rPr>
        <w:t>是指符合下述定义的女性子宫全切手术、双侧卵巢切除手术、乳房全切手术、骨质疏松所致骨折手术和因意外伤害毁容而施行的面部整形手术。</w:t>
      </w:r>
    </w:p>
    <w:p>
      <w:pPr>
        <w:pStyle w:val="Heading2"/>
        <w:spacing w:before="14"/>
        <w:ind w:left="652" w:firstLine="0"/>
      </w:pPr>
      <w:r>
        <w:rPr>
          <w:w w:val="95"/>
        </w:rPr>
        <w:t>子宫全切手术</w:t>
      </w:r>
    </w:p>
    <w:p>
      <w:pPr>
        <w:pStyle w:val="BodyText"/>
        <w:spacing w:line="297" w:lineRule="auto" w:before="65"/>
        <w:ind w:left="652" w:right="265"/>
      </w:pPr>
      <w:r>
        <w:rPr>
          <w:spacing w:val="-10"/>
        </w:rPr>
        <w:t>被保险人年满 </w:t>
      </w:r>
      <w:r>
        <w:rPr/>
        <w:t>45</w:t>
      </w:r>
      <w:r>
        <w:rPr>
          <w:spacing w:val="-9"/>
        </w:rPr>
        <w:t> 周岁以后根据妇产科专科医生的建议实际接受了为了治疗子宫疾病而施行的全子宫切除手术（切除子宫体和子宫颈</w:t>
      </w:r>
      <w:r>
        <w:rPr>
          <w:spacing w:val="-105"/>
        </w:rPr>
        <w:t>）</w:t>
      </w:r>
      <w:r>
        <w:rPr/>
        <w:t>。</w:t>
      </w:r>
    </w:p>
    <w:p>
      <w:pPr>
        <w:pStyle w:val="Heading2"/>
        <w:spacing w:line="297" w:lineRule="auto" w:before="14"/>
        <w:ind w:left="652" w:right="282" w:firstLine="0"/>
      </w:pPr>
      <w:r>
        <w:rPr>
          <w:w w:val="99"/>
        </w:rPr>
        <w:t>为了控制生育、治疗宫颈炎、轻微子宫异常出血（血色素大于</w:t>
      </w:r>
      <w:r>
        <w:rPr>
          <w:spacing w:val="-54"/>
        </w:rPr>
        <w:t> </w:t>
      </w:r>
      <w:r>
        <w:rPr>
          <w:spacing w:val="0"/>
          <w:w w:val="99"/>
        </w:rPr>
        <w:t>9</w:t>
      </w:r>
      <w:r>
        <w:rPr>
          <w:w w:val="99"/>
        </w:rPr>
        <w:t>.5g/</w:t>
      </w:r>
      <w:r>
        <w:rPr>
          <w:spacing w:val="0"/>
          <w:w w:val="99"/>
        </w:rPr>
        <w:t>d</w:t>
      </w:r>
      <w:r>
        <w:rPr>
          <w:w w:val="99"/>
        </w:rPr>
        <w:t>l</w:t>
      </w:r>
      <w:r>
        <w:rPr>
          <w:spacing w:val="-105"/>
          <w:w w:val="99"/>
        </w:rPr>
        <w:t>）</w:t>
      </w:r>
      <w:r>
        <w:rPr>
          <w:w w:val="99"/>
        </w:rPr>
        <w:t>、子宫颈原位癌而施</w:t>
      </w:r>
      <w:r>
        <w:rPr>
          <w:w w:val="95"/>
        </w:rPr>
        <w:t>行的全子宫切除手术或部分子宫切除手术，子宫肌瘤剔除手术不在本险种保障范围内。</w:t>
      </w:r>
    </w:p>
    <w:p>
      <w:pPr>
        <w:spacing w:line="297" w:lineRule="auto" w:before="15"/>
        <w:ind w:left="652" w:right="258" w:firstLine="0"/>
        <w:jc w:val="left"/>
        <w:rPr>
          <w:b/>
          <w:sz w:val="21"/>
        </w:rPr>
      </w:pPr>
      <w:r>
        <w:rPr>
          <w:b/>
          <w:sz w:val="21"/>
        </w:rPr>
        <w:t>双侧卵巢切除手术 </w:t>
      </w:r>
      <w:r>
        <w:rPr>
          <w:sz w:val="21"/>
        </w:rPr>
        <w:t>为了治疗疾病实际接受了经腹部切开或腹腔镜进行的双侧卵巢完全切除手</w:t>
      </w:r>
      <w:r>
        <w:rPr>
          <w:w w:val="95"/>
          <w:sz w:val="21"/>
        </w:rPr>
        <w:t>术。</w:t>
      </w:r>
      <w:r>
        <w:rPr>
          <w:b/>
          <w:w w:val="95"/>
          <w:sz w:val="21"/>
        </w:rPr>
        <w:t>部分卵巢切除不在本险种保障范围。</w:t>
      </w:r>
    </w:p>
    <w:p>
      <w:pPr>
        <w:spacing w:line="297" w:lineRule="auto" w:before="15"/>
        <w:ind w:left="652" w:right="256" w:firstLine="0"/>
        <w:jc w:val="left"/>
        <w:rPr>
          <w:b/>
          <w:sz w:val="21"/>
        </w:rPr>
      </w:pPr>
      <w:r>
        <w:rPr>
          <w:b/>
          <w:sz w:val="21"/>
        </w:rPr>
        <w:t>乳房全切手术 </w:t>
      </w:r>
      <w:r>
        <w:rPr>
          <w:sz w:val="21"/>
        </w:rPr>
        <w:t>实际接受了为了治疗乳腺原位癌或乳腺癌所施行的全乳房切除手术。</w:t>
      </w:r>
      <w:r>
        <w:rPr>
          <w:b/>
          <w:sz w:val="21"/>
        </w:rPr>
        <w:t>单纯乳房</w:t>
      </w:r>
      <w:r>
        <w:rPr>
          <w:b/>
          <w:w w:val="95"/>
          <w:sz w:val="21"/>
        </w:rPr>
        <w:t>肿块切除手术或部分乳房切除手术不在本险种保障范围。</w:t>
      </w:r>
    </w:p>
    <w:p>
      <w:pPr>
        <w:pStyle w:val="Heading2"/>
        <w:ind w:left="652" w:firstLine="0"/>
      </w:pPr>
      <w:r>
        <w:rPr>
          <w:w w:val="95"/>
        </w:rPr>
        <w:t>骨质疏松所致骨折手术</w:t>
      </w:r>
    </w:p>
    <w:p>
      <w:pPr>
        <w:pStyle w:val="BodyText"/>
        <w:spacing w:line="297" w:lineRule="auto" w:before="64"/>
        <w:ind w:left="652" w:right="119"/>
      </w:pPr>
      <w:r>
        <w:rPr>
          <w:spacing w:val="-4"/>
        </w:rPr>
        <w:t>骨折疏松为一种骨质量减少疾病，伴有骨皮质厚度下降和多孔骨骨梁减少</w:t>
      </w:r>
      <w:r>
        <w:rPr/>
        <w:t>（骨化学成分正常</w:t>
      </w:r>
      <w:r>
        <w:rPr>
          <w:spacing w:val="-106"/>
        </w:rPr>
        <w:t>）</w:t>
      </w:r>
      <w:r>
        <w:rPr/>
        <w:t>，造成骨折发生率增加。骨质疏松症定义为骨矿物质密度（BMD）至少较年轻人平均骨钙质密度</w:t>
      </w:r>
      <w:r>
        <w:rPr>
          <w:spacing w:val="-29"/>
        </w:rPr>
        <w:t>低 </w:t>
      </w:r>
      <w:r>
        <w:rPr/>
        <w:t>2.5</w:t>
      </w:r>
      <w:r>
        <w:rPr>
          <w:spacing w:val="-10"/>
        </w:rPr>
        <w:t> 个标准差。</w:t>
      </w:r>
    </w:p>
    <w:p>
      <w:pPr>
        <w:pStyle w:val="BodyText"/>
        <w:spacing w:line="297" w:lineRule="auto" w:before="14"/>
        <w:ind w:left="652" w:right="371"/>
      </w:pPr>
      <w:r>
        <w:rPr/>
        <w:t>本险种仅对按以上诊断标准确诊为骨质疏松症并且发生股骨颈骨折或椎骨骨折并实际进行了手术治疗的被保险人予以保障。</w:t>
      </w:r>
    </w:p>
    <w:p>
      <w:pPr>
        <w:pStyle w:val="Heading2"/>
        <w:ind w:left="652" w:firstLine="0"/>
      </w:pPr>
      <w:r>
        <w:rPr>
          <w:w w:val="95"/>
        </w:rPr>
        <w:t>因意外伤害毁容而施行的面部整形手术</w:t>
      </w:r>
    </w:p>
    <w:p>
      <w:pPr>
        <w:pStyle w:val="BodyText"/>
        <w:spacing w:line="297" w:lineRule="auto" w:before="64"/>
        <w:ind w:left="652" w:right="222"/>
        <w:jc w:val="both"/>
      </w:pPr>
      <w:r>
        <w:rPr>
          <w:spacing w:val="-4"/>
        </w:rPr>
        <w:t>实际接受了在全身麻醉的情況下，由整形外科医生实施的对严重缺陷、缺失、损害或变形的面</w:t>
      </w:r>
      <w:r>
        <w:rPr>
          <w:spacing w:val="-7"/>
        </w:rPr>
        <w:t>部形态和结构进行修复或重建的面部整形手术，以矫正由于意外伤害或暴力袭击造成的面部毁</w:t>
      </w:r>
      <w:r>
        <w:rPr>
          <w:spacing w:val="-8"/>
        </w:rPr>
        <w:t>损。面部整形手术必须是专科医生确认为必需施行的手术。面部整形手术必须在意外伤害后的</w:t>
      </w:r>
    </w:p>
    <w:p>
      <w:pPr>
        <w:spacing w:after="0" w:line="297" w:lineRule="auto"/>
        <w:jc w:val="both"/>
        <w:sectPr>
          <w:pgSz w:w="11910" w:h="16840"/>
          <w:pgMar w:header="0" w:footer="1008" w:top="1600" w:bottom="1200" w:left="1300" w:right="1180"/>
        </w:sectPr>
      </w:pPr>
    </w:p>
    <w:p>
      <w:pPr>
        <w:pStyle w:val="BodyText"/>
        <w:spacing w:before="0"/>
        <w:ind w:left="0"/>
        <w:rPr>
          <w:sz w:val="24"/>
        </w:rPr>
      </w:pPr>
    </w:p>
    <w:p>
      <w:pPr>
        <w:pStyle w:val="Heading2"/>
        <w:spacing w:line="297" w:lineRule="auto" w:before="35"/>
        <w:ind w:left="652" w:right="223" w:firstLine="0"/>
      </w:pPr>
      <w:r>
        <w:rPr>
          <w:b w:val="0"/>
        </w:rPr>
        <w:t>180</w:t>
      </w:r>
      <w:r>
        <w:rPr>
          <w:b w:val="0"/>
          <w:spacing w:val="-17"/>
        </w:rPr>
        <w:t> 天内实施。</w:t>
      </w:r>
      <w:r>
        <w:rPr/>
        <w:t>因面部外伤后遗留的线条状瘢痕及色素沉着而施行的手术不在本险种保障范围内。</w:t>
      </w:r>
    </w:p>
    <w:p>
      <w:pPr>
        <w:spacing w:before="15"/>
        <w:ind w:left="652" w:right="0" w:firstLine="0"/>
        <w:jc w:val="left"/>
        <w:rPr>
          <w:b/>
          <w:sz w:val="21"/>
        </w:rPr>
      </w:pPr>
      <w:r>
        <w:rPr>
          <w:b/>
          <w:w w:val="95"/>
          <w:sz w:val="21"/>
        </w:rPr>
        <w:t>本定义中所指的意外伤害必须是：</w:t>
      </w:r>
    </w:p>
    <w:p>
      <w:pPr>
        <w:pStyle w:val="ListParagraph"/>
        <w:numPr>
          <w:ilvl w:val="0"/>
          <w:numId w:val="10"/>
        </w:numPr>
        <w:tabs>
          <w:tab w:pos="1072" w:val="left" w:leader="none"/>
          <w:tab w:pos="1073" w:val="left" w:leader="none"/>
        </w:tabs>
        <w:spacing w:line="297" w:lineRule="auto" w:before="64" w:after="0"/>
        <w:ind w:left="1072" w:right="223" w:hanging="420"/>
        <w:jc w:val="left"/>
        <w:rPr>
          <w:sz w:val="21"/>
        </w:rPr>
      </w:pPr>
      <w:r>
        <w:rPr>
          <w:spacing w:val="-3"/>
          <w:sz w:val="21"/>
        </w:rPr>
        <w:t>由外在暴力引起并且造成表面可视性伤口和面部骨结构损害的，或面部皮肤三度或全层意外烧伤；</w:t>
      </w:r>
    </w:p>
    <w:p>
      <w:pPr>
        <w:pStyle w:val="ListParagraph"/>
        <w:numPr>
          <w:ilvl w:val="0"/>
          <w:numId w:val="10"/>
        </w:numPr>
        <w:tabs>
          <w:tab w:pos="1072" w:val="left" w:leader="none"/>
          <w:tab w:pos="1073" w:val="left" w:leader="none"/>
        </w:tabs>
        <w:spacing w:line="240" w:lineRule="auto" w:before="15" w:after="0"/>
        <w:ind w:left="1072" w:right="0" w:hanging="420"/>
        <w:jc w:val="left"/>
        <w:rPr>
          <w:sz w:val="21"/>
        </w:rPr>
      </w:pPr>
      <w:r>
        <w:rPr>
          <w:sz w:val="21"/>
        </w:rPr>
        <w:t>是造成面部毁损的直接和独立的原因。</w:t>
      </w:r>
    </w:p>
    <w:p>
      <w:pPr>
        <w:pStyle w:val="Heading2"/>
        <w:numPr>
          <w:ilvl w:val="0"/>
          <w:numId w:val="8"/>
        </w:numPr>
        <w:tabs>
          <w:tab w:pos="652" w:val="left" w:leader="none"/>
          <w:tab w:pos="653" w:val="left" w:leader="none"/>
        </w:tabs>
        <w:spacing w:line="240" w:lineRule="auto" w:before="65" w:after="0"/>
        <w:ind w:left="652" w:right="0" w:hanging="545"/>
        <w:jc w:val="left"/>
      </w:pPr>
      <w:r>
        <w:rPr/>
        <w:t>专科医生</w:t>
      </w:r>
    </w:p>
    <w:p>
      <w:pPr>
        <w:pStyle w:val="BodyText"/>
        <w:spacing w:before="66"/>
        <w:ind w:left="652"/>
      </w:pPr>
      <w:r>
        <w:rPr/>
        <w:t>释义中所指的专科医生应当同时满足以下四项资格条件：</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pacing w:val="-6"/>
          <w:sz w:val="21"/>
        </w:rPr>
        <w:t>具有有效的中华人民共和国《医师资格证书》；</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pacing w:val="-7"/>
          <w:sz w:val="21"/>
        </w:rPr>
        <w:t>具有有效的中华人民共和国《医师执业证书》，并按期到相关部门登记注册；</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pacing w:val="-4"/>
          <w:sz w:val="21"/>
        </w:rPr>
        <w:t>具有有效的中华人民共和国主治医师或主治医师以上职称的《医师职称证书》；</w:t>
      </w:r>
    </w:p>
    <w:p>
      <w:pPr>
        <w:pStyle w:val="ListParagraph"/>
        <w:numPr>
          <w:ilvl w:val="1"/>
          <w:numId w:val="8"/>
        </w:numPr>
        <w:tabs>
          <w:tab w:pos="1072" w:val="left" w:leader="none"/>
          <w:tab w:pos="1073" w:val="left" w:leader="none"/>
        </w:tabs>
        <w:spacing w:line="240" w:lineRule="auto" w:before="66" w:after="0"/>
        <w:ind w:left="1072" w:right="0" w:hanging="420"/>
        <w:jc w:val="left"/>
        <w:rPr>
          <w:sz w:val="21"/>
        </w:rPr>
      </w:pPr>
      <w:r>
        <w:rPr>
          <w:sz w:val="21"/>
        </w:rPr>
        <w:t>在二级或二级以上医院的相应科室从事临床工作三年以上。</w:t>
      </w:r>
    </w:p>
    <w:p>
      <w:pPr>
        <w:pStyle w:val="ListParagraph"/>
        <w:numPr>
          <w:ilvl w:val="0"/>
          <w:numId w:val="8"/>
        </w:numPr>
        <w:tabs>
          <w:tab w:pos="651" w:val="left" w:leader="none"/>
          <w:tab w:pos="652" w:val="left" w:leader="none"/>
        </w:tabs>
        <w:spacing w:line="240" w:lineRule="auto" w:before="65" w:after="0"/>
        <w:ind w:left="652"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8"/>
        </w:numPr>
        <w:tabs>
          <w:tab w:pos="651" w:val="left" w:leader="none"/>
          <w:tab w:pos="653" w:val="left" w:leader="none"/>
        </w:tabs>
        <w:spacing w:line="297" w:lineRule="auto" w:before="66" w:after="0"/>
        <w:ind w:left="652" w:right="119" w:hanging="545"/>
        <w:jc w:val="left"/>
        <w:rPr>
          <w:sz w:val="21"/>
        </w:rPr>
      </w:pPr>
      <w:r>
        <w:rPr>
          <w:b/>
          <w:spacing w:val="-1"/>
          <w:sz w:val="21"/>
        </w:rPr>
        <w:t>遗传性疾病 </w:t>
      </w:r>
      <w:r>
        <w:rPr>
          <w:spacing w:val="-3"/>
          <w:sz w:val="21"/>
        </w:rPr>
        <w:t>指生殖细胞或受精卵的遗传物质</w:t>
      </w:r>
      <w:r>
        <w:rPr>
          <w:sz w:val="21"/>
        </w:rPr>
        <w:t>（染色体和基因</w:t>
      </w:r>
      <w:r>
        <w:rPr>
          <w:spacing w:val="-34"/>
          <w:sz w:val="21"/>
        </w:rPr>
        <w:t>）</w:t>
      </w:r>
      <w:r>
        <w:rPr>
          <w:sz w:val="21"/>
        </w:rPr>
        <w:t>发生突变或畸变所引起的疾病， 通常具有由亲代传至后代的垂直传递的特征。</w:t>
      </w:r>
    </w:p>
    <w:p>
      <w:pPr>
        <w:pStyle w:val="ListParagraph"/>
        <w:numPr>
          <w:ilvl w:val="0"/>
          <w:numId w:val="8"/>
        </w:numPr>
        <w:tabs>
          <w:tab w:pos="651" w:val="left" w:leader="none"/>
          <w:tab w:pos="652" w:val="left" w:leader="none"/>
        </w:tabs>
        <w:spacing w:line="297" w:lineRule="auto" w:before="15" w:after="0"/>
        <w:ind w:left="652" w:right="117" w:hanging="545"/>
        <w:jc w:val="left"/>
        <w:rPr>
          <w:sz w:val="21"/>
        </w:rPr>
      </w:pPr>
      <w:r>
        <w:rPr>
          <w:b/>
          <w:sz w:val="21"/>
        </w:rPr>
        <w:t>先天性畸形、变形或染色体异常 </w:t>
      </w:r>
      <w:r>
        <w:rPr>
          <w:sz w:val="21"/>
        </w:rPr>
        <w:t>指被保险人出生时就具有的畸形、变形或染色体异常。先天</w:t>
      </w:r>
      <w:r>
        <w:rPr>
          <w:spacing w:val="-15"/>
          <w:sz w:val="21"/>
        </w:rPr>
        <w:t>性畸形、变形和染色体异常依照世界卫生组织《疾病和有关健康问题的国际统计分类</w:t>
      </w:r>
      <w:r>
        <w:rPr>
          <w:spacing w:val="-197"/>
          <w:sz w:val="21"/>
        </w:rPr>
        <w:t>》</w:t>
      </w:r>
      <w:r>
        <w:rPr>
          <w:sz w:val="21"/>
        </w:rPr>
        <w:t>（ICD-10） 确定。</w:t>
      </w:r>
    </w:p>
    <w:p>
      <w:pPr>
        <w:pStyle w:val="ListParagraph"/>
        <w:numPr>
          <w:ilvl w:val="0"/>
          <w:numId w:val="8"/>
        </w:numPr>
        <w:tabs>
          <w:tab w:pos="653" w:val="left" w:leader="none"/>
        </w:tabs>
        <w:spacing w:line="297" w:lineRule="auto" w:before="15" w:after="0"/>
        <w:ind w:left="652" w:right="223" w:hanging="545"/>
        <w:jc w:val="both"/>
        <w:rPr>
          <w:sz w:val="21"/>
        </w:rPr>
      </w:pPr>
      <w:r>
        <w:rPr>
          <w:b/>
          <w:spacing w:val="-1"/>
          <w:sz w:val="21"/>
        </w:rPr>
        <w:t>毒品 </w:t>
      </w:r>
      <w:r>
        <w:rPr>
          <w:spacing w:val="-3"/>
          <w:sz w:val="21"/>
        </w:rPr>
        <w:t>指中华人民共和国刑法规定的鸦片、海洛因、甲基苯丙胺</w:t>
      </w:r>
      <w:r>
        <w:rPr>
          <w:sz w:val="21"/>
        </w:rPr>
        <w:t>（冰毒</w:t>
      </w:r>
      <w:r>
        <w:rPr>
          <w:spacing w:val="-106"/>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653" w:val="left" w:leader="none"/>
        </w:tabs>
        <w:spacing w:line="297" w:lineRule="auto" w:before="15" w:after="0"/>
        <w:ind w:left="652" w:right="221" w:hanging="545"/>
        <w:jc w:val="both"/>
        <w:rPr>
          <w:sz w:val="21"/>
        </w:rPr>
      </w:pPr>
      <w:r>
        <w:rPr>
          <w:b/>
          <w:spacing w:val="5"/>
          <w:sz w:val="21"/>
        </w:rPr>
        <w:t>酒后驾驶 </w:t>
      </w:r>
      <w:r>
        <w:rPr>
          <w:sz w:val="21"/>
        </w:rPr>
        <w:t>指经检测或鉴定，发生事故时车辆驾驶人员每百毫升血液中的酒精含量达到或超过</w:t>
      </w:r>
      <w:r>
        <w:rPr>
          <w:spacing w:val="-6"/>
          <w:sz w:val="21"/>
        </w:rPr>
        <w:t>一定的标准，公安机关交通管理部门依据《道路交通安全法》的规定认定为饮酒后驾驶或醉酒后驾驶。</w:t>
      </w:r>
    </w:p>
    <w:p>
      <w:pPr>
        <w:pStyle w:val="ListParagraph"/>
        <w:numPr>
          <w:ilvl w:val="0"/>
          <w:numId w:val="8"/>
        </w:numPr>
        <w:tabs>
          <w:tab w:pos="652" w:val="left" w:leader="none"/>
          <w:tab w:pos="653" w:val="left" w:leader="none"/>
        </w:tabs>
        <w:spacing w:line="297" w:lineRule="auto" w:before="15" w:after="0"/>
        <w:ind w:left="652" w:right="6662" w:hanging="545"/>
        <w:jc w:val="left"/>
        <w:rPr>
          <w:sz w:val="21"/>
        </w:rPr>
      </w:pPr>
      <w:r>
        <w:rPr>
          <w:b/>
          <w:sz w:val="21"/>
        </w:rPr>
        <w:t>无合法有效驾驶证驾驶</w:t>
      </w:r>
      <w:r>
        <w:rPr>
          <w:sz w:val="21"/>
        </w:rPr>
        <w:t>指下列情况之一：</w:t>
      </w:r>
    </w:p>
    <w:p>
      <w:pPr>
        <w:pStyle w:val="ListParagraph"/>
        <w:numPr>
          <w:ilvl w:val="1"/>
          <w:numId w:val="8"/>
        </w:numPr>
        <w:tabs>
          <w:tab w:pos="1072" w:val="left" w:leader="none"/>
          <w:tab w:pos="1073" w:val="left" w:leader="none"/>
        </w:tabs>
        <w:spacing w:line="240" w:lineRule="auto" w:before="15" w:after="0"/>
        <w:ind w:left="1072" w:right="0" w:hanging="420"/>
        <w:jc w:val="left"/>
        <w:rPr>
          <w:sz w:val="21"/>
        </w:rPr>
      </w:pPr>
      <w:r>
        <w:rPr>
          <w:sz w:val="21"/>
        </w:rPr>
        <w:t>未依法取得驾驶证驾驶；</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驾驶证被依法扣留期间驾驶；</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驾驶与驾驶证准驾车型不相符合的车辆；</w:t>
      </w:r>
    </w:p>
    <w:p>
      <w:pPr>
        <w:pStyle w:val="ListParagraph"/>
        <w:numPr>
          <w:ilvl w:val="1"/>
          <w:numId w:val="8"/>
        </w:numPr>
        <w:tabs>
          <w:tab w:pos="1072" w:val="left" w:leader="none"/>
          <w:tab w:pos="1073" w:val="left" w:leader="none"/>
        </w:tabs>
        <w:spacing w:line="240" w:lineRule="auto" w:before="64" w:after="0"/>
        <w:ind w:left="1072" w:right="0" w:hanging="420"/>
        <w:jc w:val="left"/>
        <w:rPr>
          <w:sz w:val="21"/>
        </w:rPr>
      </w:pPr>
      <w:r>
        <w:rPr>
          <w:sz w:val="21"/>
        </w:rPr>
        <w:t>持未经审验或者超过有效期限的驾驶证驾驶；</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公安交通管理部门认定的其他无有效驾驶证驾驶的情况。</w:t>
      </w:r>
    </w:p>
    <w:p>
      <w:pPr>
        <w:pStyle w:val="Heading2"/>
        <w:numPr>
          <w:ilvl w:val="0"/>
          <w:numId w:val="8"/>
        </w:numPr>
        <w:tabs>
          <w:tab w:pos="651" w:val="left" w:leader="none"/>
          <w:tab w:pos="653" w:val="left" w:leader="none"/>
        </w:tabs>
        <w:spacing w:line="240" w:lineRule="auto" w:before="64" w:after="0"/>
        <w:ind w:left="652" w:right="0" w:hanging="545"/>
        <w:jc w:val="left"/>
      </w:pPr>
      <w:r>
        <w:rPr>
          <w:w w:val="95"/>
        </w:rPr>
        <w:t>无有效行驶证</w:t>
      </w:r>
    </w:p>
    <w:p>
      <w:pPr>
        <w:pStyle w:val="BodyText"/>
        <w:spacing w:before="65"/>
        <w:ind w:left="652"/>
      </w:pPr>
      <w:r>
        <w:rPr/>
        <w:t>指下列情形之一：</w:t>
      </w:r>
    </w:p>
    <w:p>
      <w:pPr>
        <w:pStyle w:val="ListParagraph"/>
        <w:numPr>
          <w:ilvl w:val="1"/>
          <w:numId w:val="8"/>
        </w:numPr>
        <w:tabs>
          <w:tab w:pos="1072" w:val="left" w:leader="none"/>
          <w:tab w:pos="1073" w:val="left" w:leader="none"/>
        </w:tabs>
        <w:spacing w:line="240" w:lineRule="auto" w:before="65" w:after="0"/>
        <w:ind w:left="1072" w:right="0" w:hanging="420"/>
        <w:jc w:val="left"/>
        <w:rPr>
          <w:sz w:val="21"/>
        </w:rPr>
      </w:pPr>
      <w:r>
        <w:rPr>
          <w:sz w:val="21"/>
        </w:rPr>
        <w:t>机动车被依法注销登记的；</w:t>
      </w:r>
    </w:p>
    <w:p>
      <w:pPr>
        <w:pStyle w:val="ListParagraph"/>
        <w:numPr>
          <w:ilvl w:val="1"/>
          <w:numId w:val="8"/>
        </w:numPr>
        <w:tabs>
          <w:tab w:pos="1072" w:val="left" w:leader="none"/>
          <w:tab w:pos="1073" w:val="left" w:leader="none"/>
        </w:tabs>
        <w:spacing w:line="240" w:lineRule="auto" w:before="64" w:after="0"/>
        <w:ind w:left="1072" w:right="0" w:hanging="420"/>
        <w:jc w:val="left"/>
        <w:rPr>
          <w:sz w:val="21"/>
        </w:rPr>
      </w:pPr>
      <w:r>
        <w:rPr>
          <w:sz w:val="21"/>
        </w:rPr>
        <w:t>未依法按时进行或通过机动车安全技术检验。</w:t>
      </w:r>
    </w:p>
    <w:p>
      <w:pPr>
        <w:pStyle w:val="Heading2"/>
        <w:numPr>
          <w:ilvl w:val="0"/>
          <w:numId w:val="8"/>
        </w:numPr>
        <w:tabs>
          <w:tab w:pos="652" w:val="left" w:leader="none"/>
          <w:tab w:pos="653" w:val="left" w:leader="none"/>
        </w:tabs>
        <w:spacing w:line="240" w:lineRule="auto" w:before="65" w:after="0"/>
        <w:ind w:left="652" w:right="0" w:hanging="545"/>
        <w:jc w:val="left"/>
      </w:pPr>
      <w:r>
        <w:rPr>
          <w:w w:val="95"/>
        </w:rPr>
        <w:t>感染艾滋病病毒或患艾滋病</w:t>
      </w:r>
    </w:p>
    <w:p>
      <w:pPr>
        <w:pStyle w:val="BodyText"/>
        <w:spacing w:before="65"/>
        <w:ind w:left="652"/>
      </w:pPr>
      <w:r>
        <w:rPr/>
        <w:t>艾滋病病毒指人类免疫缺陷病毒，英文缩写为 HIV。艾滋病指人类免疫缺陷病毒引起的获得性</w:t>
      </w:r>
    </w:p>
    <w:p>
      <w:pPr>
        <w:spacing w:after="0"/>
        <w:sectPr>
          <w:pgSz w:w="11910" w:h="16840"/>
          <w:pgMar w:header="0" w:footer="1008" w:top="1600" w:bottom="1200" w:left="1300" w:right="1180"/>
        </w:sectPr>
      </w:pPr>
    </w:p>
    <w:p>
      <w:pPr>
        <w:pStyle w:val="BodyText"/>
        <w:spacing w:before="0"/>
        <w:ind w:left="0"/>
        <w:rPr>
          <w:sz w:val="24"/>
        </w:rPr>
      </w:pPr>
    </w:p>
    <w:p>
      <w:pPr>
        <w:pStyle w:val="BodyText"/>
        <w:spacing w:before="35"/>
        <w:ind w:left="652"/>
      </w:pPr>
      <w:r>
        <w:rPr/>
        <w:t>免疫缺陷综合征，英文缩写为 AIDS。</w:t>
      </w:r>
    </w:p>
    <w:p>
      <w:pPr>
        <w:pStyle w:val="BodyText"/>
        <w:spacing w:line="297" w:lineRule="auto" w:before="65"/>
        <w:ind w:left="652" w:right="34"/>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8"/>
        </w:numPr>
        <w:tabs>
          <w:tab w:pos="653" w:val="left" w:leader="none"/>
        </w:tabs>
        <w:spacing w:line="297" w:lineRule="auto" w:before="14" w:after="0"/>
        <w:ind w:left="652" w:right="140" w:hanging="545"/>
        <w:jc w:val="both"/>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8"/>
        </w:numPr>
        <w:tabs>
          <w:tab w:pos="653" w:val="left" w:leader="none"/>
        </w:tabs>
        <w:spacing w:line="297" w:lineRule="auto" w:before="15" w:after="0"/>
        <w:ind w:left="652" w:right="103" w:hanging="545"/>
        <w:jc w:val="both"/>
        <w:rPr>
          <w:b/>
          <w:sz w:val="21"/>
        </w:rPr>
      </w:pPr>
      <w:r>
        <w:rPr>
          <w:b/>
          <w:spacing w:val="-1"/>
          <w:sz w:val="21"/>
        </w:rPr>
        <w:t>医院 </w:t>
      </w:r>
      <w:r>
        <w:rPr>
          <w:sz w:val="21"/>
        </w:rPr>
        <w:t>指依法设立的国家卫生部医院等级分类中的二级甲等或二级甲等以上医疗机构，</w:t>
      </w:r>
      <w:r>
        <w:rPr>
          <w:b/>
          <w:sz w:val="21"/>
        </w:rPr>
        <w:t>但不包</w:t>
      </w:r>
      <w:r>
        <w:rPr>
          <w:b/>
          <w:spacing w:val="-11"/>
          <w:sz w:val="21"/>
        </w:rPr>
        <w:t>括疗养院、护理院、康复中心、戒酒或戒毒中心、精神心理治疗中心以及无相应医护人员或设</w:t>
      </w:r>
      <w:r>
        <w:rPr>
          <w:b/>
          <w:spacing w:val="-11"/>
          <w:w w:val="95"/>
          <w:sz w:val="21"/>
        </w:rPr>
        <w:t>备的二级或三级医院的联合医院或联合病房。</w:t>
      </w:r>
    </w:p>
    <w:sectPr>
      <w:pgSz w:w="11910" w:h="16840"/>
      <w:pgMar w:header="0" w:footer="1008" w:top="1600" w:bottom="12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2.88031pt;margin-top:780.579651pt;width:69.5pt;height:12pt;mso-position-horizontal-relative:page;mso-position-vertical-relative:page;z-index:-91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72" w:hanging="420"/>
        <w:jc w:val="left"/>
      </w:pPr>
      <w:rPr>
        <w:rFonts w:hint="default" w:ascii="宋体" w:hAnsi="宋体" w:eastAsia="宋体" w:cs="宋体"/>
        <w:spacing w:val="-63"/>
        <w:w w:val="100"/>
        <w:sz w:val="21"/>
        <w:szCs w:val="21"/>
      </w:rPr>
    </w:lvl>
    <w:lvl w:ilvl="1">
      <w:start w:val="0"/>
      <w:numFmt w:val="bullet"/>
      <w:lvlText w:val="•"/>
      <w:lvlJc w:val="left"/>
      <w:pPr>
        <w:ind w:left="1914" w:hanging="420"/>
      </w:pPr>
      <w:rPr>
        <w:rFonts w:hint="default"/>
      </w:rPr>
    </w:lvl>
    <w:lvl w:ilvl="2">
      <w:start w:val="0"/>
      <w:numFmt w:val="bullet"/>
      <w:lvlText w:val="•"/>
      <w:lvlJc w:val="left"/>
      <w:pPr>
        <w:ind w:left="2748" w:hanging="420"/>
      </w:pPr>
      <w:rPr>
        <w:rFonts w:hint="default"/>
      </w:rPr>
    </w:lvl>
    <w:lvl w:ilvl="3">
      <w:start w:val="0"/>
      <w:numFmt w:val="bullet"/>
      <w:lvlText w:val="•"/>
      <w:lvlJc w:val="left"/>
      <w:pPr>
        <w:ind w:left="3583" w:hanging="420"/>
      </w:pPr>
      <w:rPr>
        <w:rFonts w:hint="default"/>
      </w:rPr>
    </w:lvl>
    <w:lvl w:ilvl="4">
      <w:start w:val="0"/>
      <w:numFmt w:val="bullet"/>
      <w:lvlText w:val="•"/>
      <w:lvlJc w:val="left"/>
      <w:pPr>
        <w:ind w:left="4417" w:hanging="420"/>
      </w:pPr>
      <w:rPr>
        <w:rFonts w:hint="default"/>
      </w:rPr>
    </w:lvl>
    <w:lvl w:ilvl="5">
      <w:start w:val="0"/>
      <w:numFmt w:val="bullet"/>
      <w:lvlText w:val="•"/>
      <w:lvlJc w:val="left"/>
      <w:pPr>
        <w:ind w:left="5252" w:hanging="420"/>
      </w:pPr>
      <w:rPr>
        <w:rFonts w:hint="default"/>
      </w:rPr>
    </w:lvl>
    <w:lvl w:ilvl="6">
      <w:start w:val="0"/>
      <w:numFmt w:val="bullet"/>
      <w:lvlText w:val="•"/>
      <w:lvlJc w:val="left"/>
      <w:pPr>
        <w:ind w:left="608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755" w:hanging="420"/>
      </w:pPr>
      <w:rPr>
        <w:rFonts w:hint="default"/>
      </w:rPr>
    </w:lvl>
  </w:abstractNum>
  <w:abstractNum w:abstractNumId="8">
    <w:multiLevelType w:val="hybridMultilevel"/>
    <w:lvl w:ilvl="0">
      <w:start w:val="1"/>
      <w:numFmt w:val="decimal"/>
      <w:lvlText w:val="%1)"/>
      <w:lvlJc w:val="left"/>
      <w:pPr>
        <w:ind w:left="1192" w:hanging="420"/>
        <w:jc w:val="left"/>
      </w:pPr>
      <w:rPr>
        <w:rFonts w:hint="default" w:ascii="宋体" w:hAnsi="宋体" w:eastAsia="宋体" w:cs="宋体"/>
        <w:spacing w:val="-1"/>
        <w:w w:val="100"/>
        <w:sz w:val="21"/>
        <w:szCs w:val="21"/>
      </w:rPr>
    </w:lvl>
    <w:lvl w:ilvl="1">
      <w:start w:val="0"/>
      <w:numFmt w:val="bullet"/>
      <w:lvlText w:val="•"/>
      <w:lvlJc w:val="left"/>
      <w:pPr>
        <w:ind w:left="203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537" w:hanging="420"/>
      </w:pPr>
      <w:rPr>
        <w:rFonts w:hint="default"/>
      </w:rPr>
    </w:lvl>
    <w:lvl w:ilvl="5">
      <w:start w:val="0"/>
      <w:numFmt w:val="bullet"/>
      <w:lvlText w:val="•"/>
      <w:lvlJc w:val="left"/>
      <w:pPr>
        <w:ind w:left="5372" w:hanging="420"/>
      </w:pPr>
      <w:rPr>
        <w:rFonts w:hint="default"/>
      </w:rPr>
    </w:lvl>
    <w:lvl w:ilvl="6">
      <w:start w:val="0"/>
      <w:numFmt w:val="bullet"/>
      <w:lvlText w:val="•"/>
      <w:lvlJc w:val="left"/>
      <w:pPr>
        <w:ind w:left="6206" w:hanging="420"/>
      </w:pPr>
      <w:rPr>
        <w:rFonts w:hint="default"/>
      </w:rPr>
    </w:lvl>
    <w:lvl w:ilvl="7">
      <w:start w:val="0"/>
      <w:numFmt w:val="bullet"/>
      <w:lvlText w:val="•"/>
      <w:lvlJc w:val="left"/>
      <w:pPr>
        <w:ind w:left="7041" w:hanging="420"/>
      </w:pPr>
      <w:rPr>
        <w:rFonts w:hint="default"/>
      </w:rPr>
    </w:lvl>
    <w:lvl w:ilvl="8">
      <w:start w:val="0"/>
      <w:numFmt w:val="bullet"/>
      <w:lvlText w:val="•"/>
      <w:lvlJc w:val="left"/>
      <w:pPr>
        <w:ind w:left="7875" w:hanging="420"/>
      </w:pPr>
      <w:rPr>
        <w:rFonts w:hint="default"/>
      </w:rPr>
    </w:lvl>
  </w:abstractNum>
  <w:abstractNum w:abstractNumId="7">
    <w:multiLevelType w:val="hybridMultilevel"/>
    <w:lvl w:ilvl="0">
      <w:start w:val="1"/>
      <w:numFmt w:val="decimal"/>
      <w:lvlText w:val="%1"/>
      <w:lvlJc w:val="left"/>
      <w:pPr>
        <w:ind w:left="772" w:hanging="545"/>
        <w:jc w:val="right"/>
      </w:pPr>
      <w:rPr>
        <w:rFonts w:hint="default" w:ascii="宋体" w:hAnsi="宋体" w:eastAsia="宋体" w:cs="宋体"/>
        <w:b/>
        <w:bCs/>
        <w:w w:val="99"/>
        <w:sz w:val="21"/>
        <w:szCs w:val="21"/>
      </w:rPr>
    </w:lvl>
    <w:lvl w:ilvl="1">
      <w:start w:val="1"/>
      <w:numFmt w:val="decimal"/>
      <w:lvlText w:val="%2)"/>
      <w:lvlJc w:val="left"/>
      <w:pPr>
        <w:ind w:left="1072" w:hanging="420"/>
        <w:jc w:val="left"/>
      </w:pPr>
      <w:rPr>
        <w:rFonts w:hint="default" w:ascii="宋体" w:hAnsi="宋体" w:eastAsia="宋体" w:cs="宋体"/>
        <w:spacing w:val="-105"/>
        <w:w w:val="100"/>
        <w:sz w:val="21"/>
        <w:szCs w:val="21"/>
      </w:rPr>
    </w:lvl>
    <w:lvl w:ilvl="2">
      <w:start w:val="0"/>
      <w:numFmt w:val="bullet"/>
      <w:lvlText w:val="•"/>
      <w:lvlJc w:val="left"/>
      <w:pPr>
        <w:ind w:left="1080" w:hanging="420"/>
      </w:pPr>
      <w:rPr>
        <w:rFonts w:hint="default"/>
      </w:rPr>
    </w:lvl>
    <w:lvl w:ilvl="3">
      <w:start w:val="0"/>
      <w:numFmt w:val="bullet"/>
      <w:lvlText w:val="•"/>
      <w:lvlJc w:val="left"/>
      <w:pPr>
        <w:ind w:left="2123" w:hanging="420"/>
      </w:pPr>
      <w:rPr>
        <w:rFonts w:hint="default"/>
      </w:rPr>
    </w:lvl>
    <w:lvl w:ilvl="4">
      <w:start w:val="0"/>
      <w:numFmt w:val="bullet"/>
      <w:lvlText w:val="•"/>
      <w:lvlJc w:val="left"/>
      <w:pPr>
        <w:ind w:left="3166" w:hanging="420"/>
      </w:pPr>
      <w:rPr>
        <w:rFonts w:hint="default"/>
      </w:rPr>
    </w:lvl>
    <w:lvl w:ilvl="5">
      <w:start w:val="0"/>
      <w:numFmt w:val="bullet"/>
      <w:lvlText w:val="•"/>
      <w:lvlJc w:val="left"/>
      <w:pPr>
        <w:ind w:left="4209" w:hanging="420"/>
      </w:pPr>
      <w:rPr>
        <w:rFonts w:hint="default"/>
      </w:rPr>
    </w:lvl>
    <w:lvl w:ilvl="6">
      <w:start w:val="0"/>
      <w:numFmt w:val="bullet"/>
      <w:lvlText w:val="•"/>
      <w:lvlJc w:val="left"/>
      <w:pPr>
        <w:ind w:left="5252" w:hanging="420"/>
      </w:pPr>
      <w:rPr>
        <w:rFonts w:hint="default"/>
      </w:rPr>
    </w:lvl>
    <w:lvl w:ilvl="7">
      <w:start w:val="0"/>
      <w:numFmt w:val="bullet"/>
      <w:lvlText w:val="•"/>
      <w:lvlJc w:val="left"/>
      <w:pPr>
        <w:ind w:left="6295" w:hanging="420"/>
      </w:pPr>
      <w:rPr>
        <w:rFonts w:hint="default"/>
      </w:rPr>
    </w:lvl>
    <w:lvl w:ilvl="8">
      <w:start w:val="0"/>
      <w:numFmt w:val="bullet"/>
      <w:lvlText w:val="•"/>
      <w:lvlJc w:val="left"/>
      <w:pPr>
        <w:ind w:left="7338" w:hanging="420"/>
      </w:pPr>
      <w:rPr>
        <w:rFonts w:hint="default"/>
      </w:rPr>
    </w:lvl>
  </w:abstractNum>
  <w:abstractNum w:abstractNumId="6">
    <w:multiLevelType w:val="hybridMultilevel"/>
    <w:lvl w:ilvl="0">
      <w:start w:val="6"/>
      <w:numFmt w:val="decimal"/>
      <w:lvlText w:val="%1"/>
      <w:lvlJc w:val="left"/>
      <w:pPr>
        <w:ind w:left="652" w:hanging="545"/>
        <w:jc w:val="left"/>
      </w:pPr>
      <w:rPr>
        <w:rFonts w:hint="default"/>
      </w:rPr>
    </w:lvl>
    <w:lvl w:ilvl="1">
      <w:start w:val="1"/>
      <w:numFmt w:val="decimal"/>
      <w:lvlText w:val="%1.%2"/>
      <w:lvlJc w:val="left"/>
      <w:pPr>
        <w:ind w:left="652" w:hanging="545"/>
        <w:jc w:val="right"/>
      </w:pPr>
      <w:rPr>
        <w:rFonts w:hint="default" w:ascii="宋体" w:hAnsi="宋体" w:eastAsia="宋体" w:cs="宋体"/>
        <w:b/>
        <w:bCs/>
        <w:spacing w:val="0"/>
        <w:w w:val="99"/>
        <w:sz w:val="21"/>
        <w:szCs w:val="21"/>
      </w:rPr>
    </w:lvl>
    <w:lvl w:ilvl="2">
      <w:start w:val="1"/>
      <w:numFmt w:val="decimal"/>
      <w:lvlText w:val="%3)"/>
      <w:lvlJc w:val="left"/>
      <w:pPr>
        <w:ind w:left="1072" w:hanging="420"/>
        <w:jc w:val="left"/>
      </w:pPr>
      <w:rPr>
        <w:rFonts w:hint="default" w:ascii="宋体" w:hAnsi="宋体" w:eastAsia="宋体" w:cs="宋体"/>
        <w:spacing w:val="-32"/>
        <w:w w:val="100"/>
        <w:sz w:val="21"/>
        <w:szCs w:val="21"/>
      </w:rPr>
    </w:lvl>
    <w:lvl w:ilvl="3">
      <w:start w:val="0"/>
      <w:numFmt w:val="bullet"/>
      <w:lvlText w:val="•"/>
      <w:lvlJc w:val="left"/>
      <w:pPr>
        <w:ind w:left="2934" w:hanging="420"/>
      </w:pPr>
      <w:rPr>
        <w:rFonts w:hint="default"/>
      </w:rPr>
    </w:lvl>
    <w:lvl w:ilvl="4">
      <w:start w:val="0"/>
      <w:numFmt w:val="bullet"/>
      <w:lvlText w:val="•"/>
      <w:lvlJc w:val="left"/>
      <w:pPr>
        <w:ind w:left="3861" w:hanging="420"/>
      </w:pPr>
      <w:rPr>
        <w:rFonts w:hint="default"/>
      </w:rPr>
    </w:lvl>
    <w:lvl w:ilvl="5">
      <w:start w:val="0"/>
      <w:numFmt w:val="bullet"/>
      <w:lvlText w:val="•"/>
      <w:lvlJc w:val="left"/>
      <w:pPr>
        <w:ind w:left="4788" w:hanging="420"/>
      </w:pPr>
      <w:rPr>
        <w:rFonts w:hint="default"/>
      </w:rPr>
    </w:lvl>
    <w:lvl w:ilvl="6">
      <w:start w:val="0"/>
      <w:numFmt w:val="bullet"/>
      <w:lvlText w:val="•"/>
      <w:lvlJc w:val="left"/>
      <w:pPr>
        <w:ind w:left="5715" w:hanging="420"/>
      </w:pPr>
      <w:rPr>
        <w:rFonts w:hint="default"/>
      </w:rPr>
    </w:lvl>
    <w:lvl w:ilvl="7">
      <w:start w:val="0"/>
      <w:numFmt w:val="bullet"/>
      <w:lvlText w:val="•"/>
      <w:lvlJc w:val="left"/>
      <w:pPr>
        <w:ind w:left="6642" w:hanging="420"/>
      </w:pPr>
      <w:rPr>
        <w:rFonts w:hint="default"/>
      </w:rPr>
    </w:lvl>
    <w:lvl w:ilvl="8">
      <w:start w:val="0"/>
      <w:numFmt w:val="bullet"/>
      <w:lvlText w:val="•"/>
      <w:lvlJc w:val="left"/>
      <w:pPr>
        <w:ind w:left="7570" w:hanging="420"/>
      </w:pPr>
      <w:rPr>
        <w:rFonts w:hint="default"/>
      </w:rPr>
    </w:lvl>
  </w:abstractNum>
  <w:abstractNum w:abstractNumId="5">
    <w:multiLevelType w:val="hybridMultilevel"/>
    <w:lvl w:ilvl="0">
      <w:start w:val="1"/>
      <w:numFmt w:val="decimal"/>
      <w:lvlText w:val="%1)"/>
      <w:lvlJc w:val="left"/>
      <w:pPr>
        <w:ind w:left="1192" w:hanging="420"/>
        <w:jc w:val="left"/>
      </w:pPr>
      <w:rPr>
        <w:rFonts w:hint="default" w:ascii="宋体" w:hAnsi="宋体" w:eastAsia="宋体" w:cs="宋体"/>
        <w:w w:val="100"/>
        <w:sz w:val="21"/>
        <w:szCs w:val="21"/>
      </w:rPr>
    </w:lvl>
    <w:lvl w:ilvl="1">
      <w:start w:val="0"/>
      <w:numFmt w:val="bullet"/>
      <w:lvlText w:val="•"/>
      <w:lvlJc w:val="left"/>
      <w:pPr>
        <w:ind w:left="203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537" w:hanging="420"/>
      </w:pPr>
      <w:rPr>
        <w:rFonts w:hint="default"/>
      </w:rPr>
    </w:lvl>
    <w:lvl w:ilvl="5">
      <w:start w:val="0"/>
      <w:numFmt w:val="bullet"/>
      <w:lvlText w:val="•"/>
      <w:lvlJc w:val="left"/>
      <w:pPr>
        <w:ind w:left="5372" w:hanging="420"/>
      </w:pPr>
      <w:rPr>
        <w:rFonts w:hint="default"/>
      </w:rPr>
    </w:lvl>
    <w:lvl w:ilvl="6">
      <w:start w:val="0"/>
      <w:numFmt w:val="bullet"/>
      <w:lvlText w:val="•"/>
      <w:lvlJc w:val="left"/>
      <w:pPr>
        <w:ind w:left="6206" w:hanging="420"/>
      </w:pPr>
      <w:rPr>
        <w:rFonts w:hint="default"/>
      </w:rPr>
    </w:lvl>
    <w:lvl w:ilvl="7">
      <w:start w:val="0"/>
      <w:numFmt w:val="bullet"/>
      <w:lvlText w:val="•"/>
      <w:lvlJc w:val="left"/>
      <w:pPr>
        <w:ind w:left="7041" w:hanging="420"/>
      </w:pPr>
      <w:rPr>
        <w:rFonts w:hint="default"/>
      </w:rPr>
    </w:lvl>
    <w:lvl w:ilvl="8">
      <w:start w:val="0"/>
      <w:numFmt w:val="bullet"/>
      <w:lvlText w:val="•"/>
      <w:lvlJc w:val="left"/>
      <w:pPr>
        <w:ind w:left="7875" w:hanging="420"/>
      </w:pPr>
      <w:rPr>
        <w:rFonts w:hint="default"/>
      </w:rPr>
    </w:lvl>
  </w:abstractNum>
  <w:abstractNum w:abstractNumId="4">
    <w:multiLevelType w:val="hybridMultilevel"/>
    <w:lvl w:ilvl="0">
      <w:start w:val="5"/>
      <w:numFmt w:val="decimal"/>
      <w:lvlText w:val="%1"/>
      <w:lvlJc w:val="left"/>
      <w:pPr>
        <w:ind w:left="771"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3">
    <w:multiLevelType w:val="hybridMultilevel"/>
    <w:lvl w:ilvl="0">
      <w:start w:val="4"/>
      <w:numFmt w:val="decimal"/>
      <w:lvlText w:val="%1"/>
      <w:lvlJc w:val="left"/>
      <w:pPr>
        <w:ind w:left="771" w:hanging="545"/>
        <w:jc w:val="left"/>
      </w:pPr>
      <w:rPr>
        <w:rFonts w:hint="default"/>
      </w:rPr>
    </w:lvl>
    <w:lvl w:ilvl="1">
      <w:start w:val="1"/>
      <w:numFmt w:val="decimal"/>
      <w:lvlText w:val="%1.%2"/>
      <w:lvlJc w:val="left"/>
      <w:pPr>
        <w:ind w:left="771" w:hanging="545"/>
        <w:jc w:val="left"/>
      </w:pPr>
      <w:rPr>
        <w:rFonts w:hint="default" w:ascii="宋体" w:hAnsi="宋体" w:eastAsia="宋体" w:cs="宋体"/>
        <w:b/>
        <w:bCs/>
        <w:w w:val="99"/>
        <w:sz w:val="21"/>
        <w:szCs w:val="21"/>
      </w:rPr>
    </w:lvl>
    <w:lvl w:ilvl="2">
      <w:start w:val="0"/>
      <w:numFmt w:val="bullet"/>
      <w:lvlText w:val="•"/>
      <w:lvlJc w:val="left"/>
      <w:pPr>
        <w:ind w:left="2532" w:hanging="545"/>
      </w:pPr>
      <w:rPr>
        <w:rFonts w:hint="default"/>
      </w:rPr>
    </w:lvl>
    <w:lvl w:ilvl="3">
      <w:start w:val="0"/>
      <w:numFmt w:val="bullet"/>
      <w:lvlText w:val="•"/>
      <w:lvlJc w:val="left"/>
      <w:pPr>
        <w:ind w:left="3409" w:hanging="545"/>
      </w:pPr>
      <w:rPr>
        <w:rFonts w:hint="default"/>
      </w:rPr>
    </w:lvl>
    <w:lvl w:ilvl="4">
      <w:start w:val="0"/>
      <w:numFmt w:val="bullet"/>
      <w:lvlText w:val="•"/>
      <w:lvlJc w:val="left"/>
      <w:pPr>
        <w:ind w:left="4285" w:hanging="545"/>
      </w:pPr>
      <w:rPr>
        <w:rFonts w:hint="default"/>
      </w:rPr>
    </w:lvl>
    <w:lvl w:ilvl="5">
      <w:start w:val="0"/>
      <w:numFmt w:val="bullet"/>
      <w:lvlText w:val="•"/>
      <w:lvlJc w:val="left"/>
      <w:pPr>
        <w:ind w:left="5162" w:hanging="545"/>
      </w:pPr>
      <w:rPr>
        <w:rFonts w:hint="default"/>
      </w:rPr>
    </w:lvl>
    <w:lvl w:ilvl="6">
      <w:start w:val="0"/>
      <w:numFmt w:val="bullet"/>
      <w:lvlText w:val="•"/>
      <w:lvlJc w:val="left"/>
      <w:pPr>
        <w:ind w:left="6038" w:hanging="545"/>
      </w:pPr>
      <w:rPr>
        <w:rFonts w:hint="default"/>
      </w:rPr>
    </w:lvl>
    <w:lvl w:ilvl="7">
      <w:start w:val="0"/>
      <w:numFmt w:val="bullet"/>
      <w:lvlText w:val="•"/>
      <w:lvlJc w:val="left"/>
      <w:pPr>
        <w:ind w:left="6915" w:hanging="545"/>
      </w:pPr>
      <w:rPr>
        <w:rFonts w:hint="default"/>
      </w:rPr>
    </w:lvl>
    <w:lvl w:ilvl="8">
      <w:start w:val="0"/>
      <w:numFmt w:val="bullet"/>
      <w:lvlText w:val="•"/>
      <w:lvlJc w:val="left"/>
      <w:pPr>
        <w:ind w:left="7791" w:hanging="545"/>
      </w:pPr>
      <w:rPr>
        <w:rFonts w:hint="default"/>
      </w:rPr>
    </w:lvl>
  </w:abstractNum>
  <w:abstractNum w:abstractNumId="2">
    <w:multiLevelType w:val="hybridMultilevel"/>
    <w:lvl w:ilvl="0">
      <w:start w:val="3"/>
      <w:numFmt w:val="decimal"/>
      <w:lvlText w:val="%1"/>
      <w:lvlJc w:val="left"/>
      <w:pPr>
        <w:ind w:left="771"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w w:val="100"/>
        <w:sz w:val="21"/>
        <w:szCs w:val="21"/>
      </w:rPr>
    </w:lvl>
    <w:lvl w:ilvl="3">
      <w:start w:val="0"/>
      <w:numFmt w:val="bullet"/>
      <w:lvlText w:val="•"/>
      <w:lvlJc w:val="left"/>
      <w:pPr>
        <w:ind w:left="3054" w:hanging="420"/>
      </w:pPr>
      <w:rPr>
        <w:rFonts w:hint="default"/>
      </w:rPr>
    </w:lvl>
    <w:lvl w:ilvl="4">
      <w:start w:val="0"/>
      <w:numFmt w:val="bullet"/>
      <w:lvlText w:val="•"/>
      <w:lvlJc w:val="left"/>
      <w:pPr>
        <w:ind w:left="3981" w:hanging="420"/>
      </w:pPr>
      <w:rPr>
        <w:rFonts w:hint="default"/>
      </w:rPr>
    </w:lvl>
    <w:lvl w:ilvl="5">
      <w:start w:val="0"/>
      <w:numFmt w:val="bullet"/>
      <w:lvlText w:val="•"/>
      <w:lvlJc w:val="left"/>
      <w:pPr>
        <w:ind w:left="4908" w:hanging="420"/>
      </w:pPr>
      <w:rPr>
        <w:rFonts w:hint="default"/>
      </w:rPr>
    </w:lvl>
    <w:lvl w:ilvl="6">
      <w:start w:val="0"/>
      <w:numFmt w:val="bullet"/>
      <w:lvlText w:val="•"/>
      <w:lvlJc w:val="left"/>
      <w:pPr>
        <w:ind w:left="5835" w:hanging="420"/>
      </w:pPr>
      <w:rPr>
        <w:rFonts w:hint="default"/>
      </w:rPr>
    </w:lvl>
    <w:lvl w:ilvl="7">
      <w:start w:val="0"/>
      <w:numFmt w:val="bullet"/>
      <w:lvlText w:val="•"/>
      <w:lvlJc w:val="left"/>
      <w:pPr>
        <w:ind w:left="6762" w:hanging="420"/>
      </w:pPr>
      <w:rPr>
        <w:rFonts w:hint="default"/>
      </w:rPr>
    </w:lvl>
    <w:lvl w:ilvl="8">
      <w:start w:val="0"/>
      <w:numFmt w:val="bullet"/>
      <w:lvlText w:val="•"/>
      <w:lvlJc w:val="left"/>
      <w:pPr>
        <w:ind w:left="7690" w:hanging="420"/>
      </w:pPr>
      <w:rPr>
        <w:rFonts w:hint="default"/>
      </w:rPr>
    </w:lvl>
  </w:abstractNum>
  <w:abstractNum w:abstractNumId="1">
    <w:multiLevelType w:val="hybridMultilevel"/>
    <w:lvl w:ilvl="0">
      <w:start w:val="1"/>
      <w:numFmt w:val="decimal"/>
      <w:lvlText w:val="%1)"/>
      <w:lvlJc w:val="left"/>
      <w:pPr>
        <w:ind w:left="1192" w:hanging="420"/>
        <w:jc w:val="left"/>
      </w:pPr>
      <w:rPr>
        <w:rFonts w:hint="default" w:ascii="宋体" w:hAnsi="宋体" w:eastAsia="宋体" w:cs="宋体"/>
        <w:b/>
        <w:bCs/>
        <w:w w:val="99"/>
        <w:sz w:val="21"/>
        <w:szCs w:val="21"/>
      </w:rPr>
    </w:lvl>
    <w:lvl w:ilvl="1">
      <w:start w:val="0"/>
      <w:numFmt w:val="bullet"/>
      <w:lvlText w:val="•"/>
      <w:lvlJc w:val="left"/>
      <w:pPr>
        <w:ind w:left="203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537" w:hanging="420"/>
      </w:pPr>
      <w:rPr>
        <w:rFonts w:hint="default"/>
      </w:rPr>
    </w:lvl>
    <w:lvl w:ilvl="5">
      <w:start w:val="0"/>
      <w:numFmt w:val="bullet"/>
      <w:lvlText w:val="•"/>
      <w:lvlJc w:val="left"/>
      <w:pPr>
        <w:ind w:left="5372" w:hanging="420"/>
      </w:pPr>
      <w:rPr>
        <w:rFonts w:hint="default"/>
      </w:rPr>
    </w:lvl>
    <w:lvl w:ilvl="6">
      <w:start w:val="0"/>
      <w:numFmt w:val="bullet"/>
      <w:lvlText w:val="•"/>
      <w:lvlJc w:val="left"/>
      <w:pPr>
        <w:ind w:left="6206" w:hanging="420"/>
      </w:pPr>
      <w:rPr>
        <w:rFonts w:hint="default"/>
      </w:rPr>
    </w:lvl>
    <w:lvl w:ilvl="7">
      <w:start w:val="0"/>
      <w:numFmt w:val="bullet"/>
      <w:lvlText w:val="•"/>
      <w:lvlJc w:val="left"/>
      <w:pPr>
        <w:ind w:left="7041" w:hanging="420"/>
      </w:pPr>
      <w:rPr>
        <w:rFonts w:hint="default"/>
      </w:rPr>
    </w:lvl>
    <w:lvl w:ilvl="8">
      <w:start w:val="0"/>
      <w:numFmt w:val="bullet"/>
      <w:lvlText w:val="•"/>
      <w:lvlJc w:val="left"/>
      <w:pPr>
        <w:ind w:left="7875" w:hanging="420"/>
      </w:pPr>
      <w:rPr>
        <w:rFonts w:hint="default"/>
      </w:rPr>
    </w:lvl>
  </w:abstractNum>
  <w:abstractNum w:abstractNumId="0">
    <w:multiLevelType w:val="hybridMultilevel"/>
    <w:lvl w:ilvl="0">
      <w:start w:val="2"/>
      <w:numFmt w:val="decimal"/>
      <w:lvlText w:val="%1"/>
      <w:lvlJc w:val="left"/>
      <w:pPr>
        <w:ind w:left="772" w:hanging="545"/>
        <w:jc w:val="left"/>
      </w:pPr>
      <w:rPr>
        <w:rFonts w:hint="default"/>
      </w:rPr>
    </w:lvl>
    <w:lvl w:ilvl="1">
      <w:start w:val="1"/>
      <w:numFmt w:val="decimal"/>
      <w:lvlText w:val="%1.%2"/>
      <w:lvlJc w:val="left"/>
      <w:pPr>
        <w:ind w:left="772" w:hanging="545"/>
        <w:jc w:val="left"/>
      </w:pPr>
      <w:rPr>
        <w:rFonts w:hint="default" w:ascii="宋体" w:hAnsi="宋体" w:eastAsia="宋体" w:cs="宋体"/>
        <w:b/>
        <w:bCs/>
        <w:w w:val="99"/>
        <w:sz w:val="21"/>
        <w:szCs w:val="21"/>
      </w:rPr>
    </w:lvl>
    <w:lvl w:ilvl="2">
      <w:start w:val="1"/>
      <w:numFmt w:val="decimal"/>
      <w:lvlText w:val="%3)"/>
      <w:lvlJc w:val="left"/>
      <w:pPr>
        <w:ind w:left="1192" w:hanging="420"/>
        <w:jc w:val="left"/>
      </w:pPr>
      <w:rPr>
        <w:rFonts w:hint="default" w:ascii="宋体" w:hAnsi="宋体" w:eastAsia="宋体" w:cs="宋体"/>
        <w:b/>
        <w:bCs/>
        <w:w w:val="99"/>
        <w:sz w:val="21"/>
        <w:szCs w:val="21"/>
      </w:rPr>
    </w:lvl>
    <w:lvl w:ilvl="3">
      <w:start w:val="0"/>
      <w:numFmt w:val="bullet"/>
      <w:lvlText w:val="•"/>
      <w:lvlJc w:val="left"/>
      <w:pPr>
        <w:ind w:left="3263" w:hanging="420"/>
      </w:pPr>
      <w:rPr>
        <w:rFonts w:hint="default"/>
      </w:rPr>
    </w:lvl>
    <w:lvl w:ilvl="4">
      <w:start w:val="0"/>
      <w:numFmt w:val="bullet"/>
      <w:lvlText w:val="•"/>
      <w:lvlJc w:val="left"/>
      <w:pPr>
        <w:ind w:left="4294" w:hanging="420"/>
      </w:pPr>
      <w:rPr>
        <w:rFonts w:hint="default"/>
      </w:rPr>
    </w:lvl>
    <w:lvl w:ilvl="5">
      <w:start w:val="0"/>
      <w:numFmt w:val="bullet"/>
      <w:lvlText w:val="•"/>
      <w:lvlJc w:val="left"/>
      <w:pPr>
        <w:ind w:left="5326" w:hanging="420"/>
      </w:pPr>
      <w:rPr>
        <w:rFonts w:hint="default"/>
      </w:rPr>
    </w:lvl>
    <w:lvl w:ilvl="6">
      <w:start w:val="0"/>
      <w:numFmt w:val="bullet"/>
      <w:lvlText w:val="•"/>
      <w:lvlJc w:val="left"/>
      <w:pPr>
        <w:ind w:left="6358" w:hanging="420"/>
      </w:pPr>
      <w:rPr>
        <w:rFonts w:hint="default"/>
      </w:rPr>
    </w:lvl>
    <w:lvl w:ilvl="7">
      <w:start w:val="0"/>
      <w:numFmt w:val="bullet"/>
      <w:lvlText w:val="•"/>
      <w:lvlJc w:val="left"/>
      <w:pPr>
        <w:ind w:left="7389" w:hanging="420"/>
      </w:pPr>
      <w:rPr>
        <w:rFonts w:hint="default"/>
      </w:rPr>
    </w:lvl>
    <w:lvl w:ilvl="8">
      <w:start w:val="0"/>
      <w:numFmt w:val="bullet"/>
      <w:lvlText w:val="•"/>
      <w:lvlJc w:val="left"/>
      <w:pPr>
        <w:ind w:left="8421"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
      <w:ind w:left="77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772" w:hanging="545"/>
      <w:outlineLvl w:val="2"/>
    </w:pPr>
    <w:rPr>
      <w:rFonts w:ascii="宋体" w:hAnsi="宋体" w:eastAsia="宋体" w:cs="宋体"/>
      <w:b/>
      <w:bCs/>
      <w:sz w:val="21"/>
      <w:szCs w:val="21"/>
    </w:rPr>
  </w:style>
  <w:style w:styleId="ListParagraph" w:type="paragraph">
    <w:name w:val="List Paragraph"/>
    <w:basedOn w:val="Normal"/>
    <w:uiPriority w:val="1"/>
    <w:qFormat/>
    <w:pPr>
      <w:spacing w:before="15"/>
      <w:ind w:left="1192" w:hanging="420"/>
    </w:pPr>
    <w:rPr>
      <w:rFonts w:ascii="宋体" w:hAnsi="宋体" w:eastAsia="宋体" w:cs="宋体"/>
    </w:rPr>
  </w:style>
  <w:style w:styleId="TableParagraph" w:type="paragraph">
    <w:name w:val="Table Paragraph"/>
    <w:basedOn w:val="Normal"/>
    <w:uiPriority w:val="1"/>
    <w:qFormat/>
    <w:pPr>
      <w:spacing w:line="255" w:lineRule="exact"/>
      <w:ind w:left="508" w:right="498"/>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&lt;4D6963726F736F667420576F7264202D20A1B6C3C0C0F6C8CBC9FAC5AED0D4CCD8B6A8D6D8B4F3BCB2B2A1B1A3CFD5A1B7CCF5BFEE2E646F63&gt;</dc:title>
  <dcterms:created xsi:type="dcterms:W3CDTF">2018-10-19T23:51:36Z</dcterms:created>
  <dcterms:modified xsi:type="dcterms:W3CDTF">2018-10-19T23:51:36Z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