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469" w:firstLine="0"/>
        <w:jc w:val="right"/>
        <w:rPr>
          <w:sz w:val="20"/>
        </w:rPr>
      </w:pPr>
      <w:r>
        <w:rPr/>
        <w:drawing>
          <wp:anchor distT="0" distB="0" distL="0" distR="0" allowOverlap="1" layoutInCell="1" locked="0" behindDoc="0" simplePos="0" relativeHeight="0">
            <wp:simplePos x="0" y="0"/>
            <wp:positionH relativeFrom="page">
              <wp:posOffset>763905</wp:posOffset>
            </wp:positionH>
            <wp:positionV relativeFrom="paragraph">
              <wp:posOffset>215768</wp:posOffset>
            </wp:positionV>
            <wp:extent cx="4074292" cy="7925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4074292" cy="792575"/>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5661659</wp:posOffset>
            </wp:positionH>
            <wp:positionV relativeFrom="paragraph">
              <wp:posOffset>257678</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723900" cy="723900"/>
                    </a:xfrm>
                    <a:prstGeom prst="rect">
                      <a:avLst/>
                    </a:prstGeom>
                  </pic:spPr>
                </pic:pic>
              </a:graphicData>
            </a:graphic>
          </wp:anchor>
        </w:drawing>
      </w:r>
      <w:r>
        <w:rPr>
          <w:sz w:val="20"/>
        </w:rPr>
        <w:t>中意人寿</w:t>
      </w:r>
      <w:r>
        <w:rPr>
          <w:rFonts w:ascii="Times New Roman" w:eastAsia="Times New Roman"/>
          <w:sz w:val="20"/>
        </w:rPr>
        <w:t>[2009]</w:t>
      </w:r>
      <w:r>
        <w:rPr>
          <w:sz w:val="20"/>
        </w:rPr>
        <w:t>疾病保险 </w:t>
      </w:r>
      <w:r>
        <w:rPr>
          <w:rFonts w:ascii="Times New Roman" w:eastAsia="Times New Roman"/>
          <w:sz w:val="20"/>
        </w:rPr>
        <w:t>014 </w:t>
      </w:r>
      <w:r>
        <w:rPr>
          <w:sz w:val="20"/>
        </w:rPr>
        <w:t>号</w:t>
      </w:r>
    </w:p>
    <w:p>
      <w:pPr>
        <w:spacing w:before="0"/>
        <w:ind w:left="0" w:right="838" w:firstLine="0"/>
        <w:jc w:val="right"/>
        <w:rPr>
          <w:sz w:val="20"/>
        </w:rPr>
      </w:pPr>
      <w:r>
        <w:rPr>
          <w:w w:val="95"/>
          <w:sz w:val="20"/>
        </w:rPr>
        <w:t>请扫描以查询验证条款</w:t>
      </w:r>
    </w:p>
    <w:p>
      <w:pPr>
        <w:pStyle w:val="BodyText"/>
        <w:ind w:left="0"/>
        <w:rPr>
          <w:sz w:val="20"/>
        </w:rPr>
      </w:pPr>
    </w:p>
    <w:p>
      <w:pPr>
        <w:pStyle w:val="BodyText"/>
        <w:ind w:left="0"/>
        <w:rPr>
          <w:sz w:val="29"/>
        </w:rPr>
      </w:pPr>
    </w:p>
    <w:p>
      <w:pPr>
        <w:spacing w:before="1"/>
        <w:ind w:left="2530" w:right="0" w:firstLine="0"/>
        <w:jc w:val="left"/>
        <w:rPr>
          <w:b/>
          <w:sz w:val="32"/>
        </w:rPr>
      </w:pPr>
      <w:r>
        <w:rPr>
          <w:b/>
          <w:w w:val="95"/>
          <w:sz w:val="32"/>
        </w:rPr>
        <w:t>中意附加重疾保障团体疾病保险条款</w:t>
      </w:r>
    </w:p>
    <w:p>
      <w:pPr>
        <w:pStyle w:val="BodyText"/>
        <w:ind w:left="0"/>
        <w:rPr>
          <w:b/>
          <w:sz w:val="32"/>
        </w:rPr>
      </w:pPr>
    </w:p>
    <w:p>
      <w:pPr>
        <w:pStyle w:val="BodyText"/>
        <w:spacing w:before="11"/>
        <w:ind w:left="0"/>
        <w:rPr>
          <w:b/>
          <w:sz w:val="44"/>
        </w:rPr>
      </w:pPr>
    </w:p>
    <w:p>
      <w:pPr>
        <w:pStyle w:val="Heading1"/>
        <w:tabs>
          <w:tab w:pos="1370" w:val="left" w:leader="none"/>
        </w:tabs>
        <w:spacing w:line="348" w:lineRule="exact" w:before="1"/>
        <w:ind w:left="526"/>
      </w:pPr>
      <w:r>
        <w:rPr/>
        <w:t>第一条</w:t>
        <w:tab/>
        <w:t>附加合同</w:t>
      </w:r>
      <w:r>
        <w:rPr>
          <w:spacing w:val="-3"/>
        </w:rPr>
        <w:t>的</w:t>
      </w:r>
      <w:r>
        <w:rPr/>
        <w:t>订立</w:t>
      </w:r>
    </w:p>
    <w:p>
      <w:pPr>
        <w:pStyle w:val="BodyText"/>
        <w:spacing w:line="237" w:lineRule="auto"/>
        <w:ind w:left="112" w:right="210" w:firstLine="420"/>
        <w:jc w:val="both"/>
      </w:pPr>
      <w:r>
        <w:rPr>
          <w:spacing w:val="-3"/>
          <w:w w:val="100"/>
        </w:rPr>
        <w:t>“中意附加重疾保障团体疾病保险”合同</w:t>
      </w:r>
      <w:r>
        <w:rPr>
          <w:w w:val="100"/>
        </w:rPr>
        <w:t>（</w:t>
      </w:r>
      <w:r>
        <w:rPr>
          <w:spacing w:val="-3"/>
          <w:w w:val="100"/>
        </w:rPr>
        <w:t>以下简称本附加合同</w:t>
      </w:r>
      <w:r>
        <w:rPr>
          <w:spacing w:val="-106"/>
          <w:w w:val="100"/>
        </w:rPr>
        <w:t>）</w:t>
      </w:r>
      <w:r>
        <w:rPr>
          <w:spacing w:val="-3"/>
          <w:w w:val="100"/>
        </w:rPr>
        <w:t>，依主保险合同（以下简称主合同）</w:t>
      </w:r>
      <w:r>
        <w:rPr>
          <w:w w:val="100"/>
        </w:rPr>
        <w:t>投</w:t>
      </w:r>
      <w:r>
        <w:rPr>
          <w:spacing w:val="-10"/>
        </w:rPr>
        <w:t>保人申请，经本公司同意而订立。主合同的基本条款及其释义条款也适用于本附加合同，若有冲突则以本附加</w:t>
      </w:r>
      <w:r>
        <w:rPr>
          <w:spacing w:val="-5"/>
        </w:rPr>
        <w:t>合同为准。若主合同因任何原因效力终止，则本附加合同自动终止。</w:t>
      </w:r>
    </w:p>
    <w:p>
      <w:pPr>
        <w:pStyle w:val="BodyText"/>
        <w:spacing w:before="8"/>
        <w:ind w:left="112" w:right="210" w:firstLine="420"/>
      </w:pPr>
      <w:r>
        <w:rPr>
          <w:spacing w:val="-7"/>
        </w:rPr>
        <w:t>本附加合同文件正本的复印件或电子影像印刷件的效力与正本相同，若复印件或电子影像件与正本的内容</w:t>
      </w:r>
      <w:r>
        <w:rPr>
          <w:spacing w:val="-5"/>
        </w:rPr>
        <w:t>不同，则以正本为准。</w:t>
      </w:r>
    </w:p>
    <w:p>
      <w:pPr>
        <w:pStyle w:val="BodyText"/>
        <w:spacing w:before="11"/>
        <w:ind w:left="0"/>
        <w:rPr>
          <w:sz w:val="15"/>
        </w:rPr>
      </w:pPr>
    </w:p>
    <w:p>
      <w:pPr>
        <w:pStyle w:val="Heading1"/>
        <w:tabs>
          <w:tab w:pos="1377" w:val="left" w:leader="none"/>
        </w:tabs>
        <w:spacing w:line="348" w:lineRule="exact"/>
        <w:ind w:left="533"/>
      </w:pPr>
      <w:r>
        <w:rPr/>
        <w:t>第二条</w:t>
        <w:tab/>
        <w:t>保险期间</w:t>
      </w:r>
    </w:p>
    <w:p>
      <w:pPr>
        <w:pStyle w:val="BodyText"/>
        <w:spacing w:line="260" w:lineRule="exact"/>
        <w:ind w:left="533"/>
      </w:pPr>
      <w:r>
        <w:rPr/>
        <w:t>本附加合同的保险期间与主合同的保险期间相同。</w:t>
      </w:r>
    </w:p>
    <w:p>
      <w:pPr>
        <w:pStyle w:val="BodyText"/>
        <w:spacing w:before="11"/>
        <w:ind w:left="0"/>
        <w:rPr>
          <w:sz w:val="15"/>
        </w:rPr>
      </w:pPr>
    </w:p>
    <w:p>
      <w:pPr>
        <w:pStyle w:val="Heading1"/>
        <w:tabs>
          <w:tab w:pos="1377" w:val="left" w:leader="none"/>
        </w:tabs>
        <w:spacing w:line="349" w:lineRule="exact"/>
        <w:ind w:left="533"/>
      </w:pPr>
      <w:r>
        <w:rPr/>
        <w:t>第三条</w:t>
        <w:tab/>
        <w:t>保险金额</w:t>
      </w:r>
    </w:p>
    <w:p>
      <w:pPr>
        <w:pStyle w:val="BodyText"/>
        <w:spacing w:line="237" w:lineRule="auto"/>
        <w:ind w:left="112" w:right="107" w:firstLine="420"/>
      </w:pPr>
      <w:r>
        <w:rPr/>
        <w:t>本附加合同每一被保险人的保险金额，将根据投保人申请的保险金额，以及本公司设定的自动承保限额， 按以下方式确定：</w:t>
      </w:r>
    </w:p>
    <w:p>
      <w:pPr>
        <w:pStyle w:val="BodyText"/>
        <w:spacing w:line="237" w:lineRule="auto" w:before="12"/>
        <w:ind w:left="112" w:right="208" w:firstLine="420"/>
      </w:pPr>
      <w:r>
        <w:rPr/>
        <w:t>（</w:t>
      </w:r>
      <w:r>
        <w:rPr>
          <w:spacing w:val="-3"/>
        </w:rPr>
        <w:t>一</w:t>
      </w:r>
      <w:r>
        <w:rPr>
          <w:spacing w:val="-51"/>
        </w:rPr>
        <w:t>）</w:t>
      </w:r>
      <w:r>
        <w:rPr>
          <w:spacing w:val="-5"/>
        </w:rPr>
        <w:t>若申请的被保险人保险金额不超过本公司设定的自动承保限额，则该被保险人的保险金额为此申请金额；</w:t>
      </w:r>
    </w:p>
    <w:p>
      <w:pPr>
        <w:pStyle w:val="BodyText"/>
        <w:spacing w:line="237" w:lineRule="auto" w:before="1"/>
        <w:ind w:left="112" w:right="207" w:firstLine="420"/>
        <w:jc w:val="both"/>
      </w:pPr>
      <w:r>
        <w:rPr/>
        <w:t>（</w:t>
      </w:r>
      <w:r>
        <w:rPr>
          <w:spacing w:val="-3"/>
        </w:rPr>
        <w:t>二</w:t>
      </w:r>
      <w:r>
        <w:rPr>
          <w:spacing w:val="-34"/>
        </w:rPr>
        <w:t>）</w:t>
      </w:r>
      <w:r>
        <w:rPr>
          <w:spacing w:val="-6"/>
        </w:rPr>
        <w:t>若申请的被保险人保险金额超过本公司设定的自动承保限额，本公司将对该被保险人进行审核，并</w:t>
      </w:r>
      <w:r>
        <w:rPr>
          <w:spacing w:val="-10"/>
        </w:rPr>
        <w:t>出具书面文件决定是否承保。在本公司出具书面承保文件之前，该被保险人的保险金额为本公司设定的自动承</w:t>
      </w:r>
      <w:r>
        <w:rPr>
          <w:spacing w:val="-6"/>
        </w:rPr>
        <w:t>保限额。</w:t>
      </w:r>
    </w:p>
    <w:p>
      <w:pPr>
        <w:pStyle w:val="BodyText"/>
        <w:spacing w:before="11"/>
        <w:ind w:left="0"/>
        <w:rPr>
          <w:sz w:val="15"/>
        </w:rPr>
      </w:pPr>
    </w:p>
    <w:p>
      <w:pPr>
        <w:pStyle w:val="Heading1"/>
        <w:tabs>
          <w:tab w:pos="1377" w:val="left" w:leader="none"/>
        </w:tabs>
        <w:spacing w:line="348" w:lineRule="exact"/>
        <w:ind w:left="533"/>
      </w:pPr>
      <w:r>
        <w:rPr/>
        <w:t>第四条</w:t>
        <w:tab/>
        <w:t>保险责任</w:t>
      </w:r>
    </w:p>
    <w:p>
      <w:pPr>
        <w:pStyle w:val="BodyText"/>
        <w:spacing w:line="268" w:lineRule="exact"/>
        <w:ind w:left="533"/>
        <w:rPr>
          <w:rFonts w:ascii="Times New Roman" w:eastAsia="Times New Roman"/>
        </w:rPr>
      </w:pPr>
      <w:r>
        <w:rPr/>
        <w:t>本附加合同根据保障的重大疾病种类的不同将提供 </w:t>
      </w:r>
      <w:r>
        <w:rPr>
          <w:rFonts w:ascii="Times New Roman" w:eastAsia="Times New Roman"/>
        </w:rPr>
        <w:t>3 </w:t>
      </w:r>
      <w:r>
        <w:rPr/>
        <w:t>个计划，分别为保障 </w:t>
      </w:r>
      <w:r>
        <w:rPr>
          <w:rFonts w:ascii="Times New Roman" w:eastAsia="Times New Roman"/>
        </w:rPr>
        <w:t>10 </w:t>
      </w:r>
      <w:r>
        <w:rPr/>
        <w:t>种重大疾病计划、保障 </w:t>
      </w:r>
      <w:r>
        <w:rPr>
          <w:rFonts w:ascii="Times New Roman" w:eastAsia="Times New Roman"/>
        </w:rPr>
        <w:t>20</w:t>
      </w:r>
    </w:p>
    <w:p>
      <w:pPr>
        <w:pStyle w:val="BodyText"/>
        <w:spacing w:line="223" w:lineRule="auto" w:before="12"/>
        <w:ind w:left="112" w:right="148"/>
      </w:pPr>
      <w:r>
        <w:rPr/>
        <w:t>种重大疾病计划和保障 </w:t>
      </w:r>
      <w:r>
        <w:rPr>
          <w:rFonts w:ascii="Times New Roman" w:eastAsia="Times New Roman"/>
        </w:rPr>
        <w:t>30 </w:t>
      </w:r>
      <w:r>
        <w:rPr/>
        <w:t>种重大疾病计划。每个计划所保障的重大疾病种类分别如附表一、附表二和附表三所示。投保人在投保时需与本公司约定所选择的保障计划并在保险单上载明。</w:t>
      </w:r>
    </w:p>
    <w:p>
      <w:pPr>
        <w:pStyle w:val="BodyText"/>
        <w:spacing w:line="196" w:lineRule="auto"/>
        <w:ind w:left="112" w:right="208" w:firstLine="420"/>
        <w:jc w:val="both"/>
      </w:pPr>
      <w:r>
        <w:rPr>
          <w:spacing w:val="-5"/>
        </w:rPr>
        <w:t>若被保险人自参加本附加合同之日起 </w:t>
      </w:r>
      <w:r>
        <w:rPr/>
        <w:t>30</w:t>
      </w:r>
      <w:r>
        <w:rPr>
          <w:spacing w:val="-9"/>
        </w:rPr>
        <w:t> 天后首次</w:t>
      </w:r>
      <w:r>
        <w:rPr>
          <w:rFonts w:ascii="微软雅黑" w:eastAsia="微软雅黑" w:hint="eastAsia"/>
          <w:b/>
        </w:rPr>
        <w:t>发病</w:t>
      </w:r>
      <w:r>
        <w:rPr>
          <w:spacing w:val="-3"/>
        </w:rPr>
        <w:t>并经专科医生首次确诊患有任何一项包含在其选择的保障计划内的重大疾病，且该重大疾病符合本附加合同</w:t>
      </w:r>
      <w:r>
        <w:rPr>
          <w:rFonts w:ascii="微软雅黑" w:eastAsia="微软雅黑" w:hint="eastAsia"/>
          <w:b/>
          <w:spacing w:val="-3"/>
        </w:rPr>
        <w:t>第七条约定</w:t>
      </w:r>
      <w:r>
        <w:rPr>
          <w:spacing w:val="-3"/>
        </w:rPr>
        <w:t>的重大疾病保障范围及定义的，本公司将按约定的保险金额向被保险人给付保险金。给付后，本公司对该被保险人的保险责任随即终止。</w:t>
      </w:r>
    </w:p>
    <w:p>
      <w:pPr>
        <w:pStyle w:val="BodyText"/>
        <w:spacing w:before="12"/>
        <w:ind w:left="0"/>
        <w:rPr>
          <w:sz w:val="15"/>
        </w:rPr>
      </w:pPr>
    </w:p>
    <w:p>
      <w:pPr>
        <w:pStyle w:val="Heading1"/>
        <w:tabs>
          <w:tab w:pos="1368" w:val="left" w:leader="none"/>
        </w:tabs>
        <w:spacing w:line="318" w:lineRule="exact"/>
        <w:ind w:left="526"/>
      </w:pPr>
      <w:r>
        <w:rPr/>
        <w:t>第五条</w:t>
        <w:tab/>
        <w:t>责任免除</w:t>
      </w:r>
    </w:p>
    <w:p>
      <w:pPr>
        <w:spacing w:line="180" w:lineRule="auto" w:before="46"/>
        <w:ind w:left="112" w:right="208" w:firstLine="422"/>
        <w:jc w:val="left"/>
        <w:rPr>
          <w:rFonts w:ascii="微软雅黑" w:eastAsia="微软雅黑" w:hint="eastAsia"/>
          <w:b/>
          <w:sz w:val="21"/>
        </w:rPr>
      </w:pPr>
      <w:r>
        <w:rPr>
          <w:rFonts w:ascii="微软雅黑" w:eastAsia="微软雅黑" w:hint="eastAsia"/>
          <w:b/>
          <w:sz w:val="21"/>
        </w:rPr>
        <w:t>在被保险人的个人保险期间内，因下列情形之一导致被保险人发生疾病、达到疾病状态或进行手术的， 本公司不负给付保险金责任：</w:t>
      </w:r>
    </w:p>
    <w:p>
      <w:pPr>
        <w:spacing w:line="228" w:lineRule="exact" w:before="0"/>
        <w:ind w:left="528" w:right="0" w:firstLine="0"/>
        <w:jc w:val="left"/>
        <w:rPr>
          <w:rFonts w:ascii="微软雅黑" w:eastAsia="微软雅黑" w:hint="eastAsia"/>
          <w:b/>
          <w:sz w:val="21"/>
        </w:rPr>
      </w:pPr>
      <w:r>
        <w:rPr>
          <w:rFonts w:ascii="微软雅黑" w:eastAsia="微软雅黑" w:hint="eastAsia"/>
          <w:b/>
          <w:sz w:val="21"/>
        </w:rPr>
        <w:t>（一）投保人对被保险人的故意杀害、故意伤害；</w:t>
      </w:r>
    </w:p>
    <w:p>
      <w:pPr>
        <w:spacing w:line="272" w:lineRule="exact" w:before="0"/>
        <w:ind w:left="535" w:right="0" w:firstLine="0"/>
        <w:jc w:val="left"/>
        <w:rPr>
          <w:rFonts w:ascii="微软雅黑" w:eastAsia="微软雅黑" w:hint="eastAsia"/>
          <w:b/>
          <w:sz w:val="21"/>
        </w:rPr>
      </w:pPr>
      <w:r>
        <w:rPr>
          <w:rFonts w:ascii="微软雅黑" w:eastAsia="微软雅黑" w:hint="eastAsia"/>
          <w:b/>
          <w:sz w:val="21"/>
        </w:rPr>
        <w:t>（二）被保险人故意自伤、故意犯罪或者抗拒依法采取的刑事强制措施；</w:t>
      </w:r>
    </w:p>
    <w:p>
      <w:pPr>
        <w:spacing w:line="272" w:lineRule="exact" w:before="0"/>
        <w:ind w:left="535" w:right="0" w:firstLine="0"/>
        <w:jc w:val="left"/>
        <w:rPr>
          <w:rFonts w:ascii="微软雅黑" w:eastAsia="微软雅黑" w:hint="eastAsia"/>
          <w:b/>
          <w:sz w:val="21"/>
        </w:rPr>
      </w:pPr>
      <w:r>
        <w:rPr>
          <w:rFonts w:ascii="微软雅黑" w:eastAsia="微软雅黑" w:hint="eastAsia"/>
          <w:b/>
          <w:sz w:val="21"/>
        </w:rPr>
        <w:t>（三）被保险人服用、吸食或注射毒品；</w:t>
      </w:r>
    </w:p>
    <w:p>
      <w:pPr>
        <w:spacing w:line="272" w:lineRule="exact" w:before="0"/>
        <w:ind w:left="535" w:right="0" w:firstLine="0"/>
        <w:jc w:val="left"/>
        <w:rPr>
          <w:rFonts w:ascii="微软雅黑" w:eastAsia="微软雅黑" w:hint="eastAsia"/>
          <w:b/>
          <w:sz w:val="21"/>
        </w:rPr>
      </w:pPr>
      <w:r>
        <w:rPr>
          <w:rFonts w:ascii="微软雅黑" w:eastAsia="微软雅黑" w:hint="eastAsia"/>
          <w:b/>
          <w:sz w:val="21"/>
        </w:rPr>
        <w:t>（四）被保险人酒后驾驶、无合法有效驾驶证驾驶，或驾驶无有效行驶证的机动车；</w:t>
      </w:r>
    </w:p>
    <w:p>
      <w:pPr>
        <w:spacing w:line="272" w:lineRule="exact" w:before="0"/>
        <w:ind w:left="535" w:right="0" w:firstLine="0"/>
        <w:jc w:val="left"/>
        <w:rPr>
          <w:rFonts w:ascii="微软雅黑" w:eastAsia="微软雅黑" w:hint="eastAsia"/>
          <w:b/>
          <w:sz w:val="21"/>
        </w:rPr>
      </w:pPr>
      <w:r>
        <w:rPr>
          <w:rFonts w:ascii="微软雅黑" w:eastAsia="微软雅黑" w:hint="eastAsia"/>
          <w:b/>
          <w:sz w:val="21"/>
        </w:rPr>
        <w:t>（五）被保险人感染艾滋病病毒或患艾滋病；</w:t>
      </w:r>
    </w:p>
    <w:p>
      <w:pPr>
        <w:spacing w:line="273" w:lineRule="exact" w:before="0"/>
        <w:ind w:left="535" w:right="0" w:firstLine="0"/>
        <w:jc w:val="left"/>
        <w:rPr>
          <w:rFonts w:ascii="微软雅黑" w:eastAsia="微软雅黑" w:hint="eastAsia"/>
          <w:b/>
          <w:sz w:val="21"/>
        </w:rPr>
      </w:pPr>
      <w:r>
        <w:rPr>
          <w:rFonts w:ascii="微软雅黑" w:eastAsia="微软雅黑" w:hint="eastAsia"/>
          <w:b/>
          <w:sz w:val="21"/>
        </w:rPr>
        <w:t>（六）遗传性疾病、先天性畸形、变形或染色体异常；</w:t>
      </w:r>
    </w:p>
    <w:p>
      <w:pPr>
        <w:spacing w:line="318" w:lineRule="exact" w:before="0"/>
        <w:ind w:left="535" w:right="0" w:firstLine="0"/>
        <w:jc w:val="left"/>
        <w:rPr>
          <w:rFonts w:ascii="微软雅黑" w:eastAsia="微软雅黑" w:hint="eastAsia"/>
          <w:b/>
          <w:sz w:val="21"/>
        </w:rPr>
      </w:pPr>
      <w:r>
        <w:rPr>
          <w:rFonts w:ascii="微软雅黑" w:eastAsia="微软雅黑" w:hint="eastAsia"/>
          <w:b/>
          <w:sz w:val="21"/>
        </w:rPr>
        <w:t>（七）战争、军事冲突、暴乱或武装叛乱、核爆炸、核辐射或核污染。</w:t>
      </w:r>
    </w:p>
    <w:p>
      <w:pPr>
        <w:pStyle w:val="BodyText"/>
        <w:spacing w:before="9"/>
        <w:ind w:left="0"/>
        <w:rPr>
          <w:rFonts w:ascii="微软雅黑"/>
          <w:b/>
          <w:sz w:val="10"/>
        </w:rPr>
      </w:pPr>
    </w:p>
    <w:p>
      <w:pPr>
        <w:tabs>
          <w:tab w:pos="1377" w:val="left" w:leader="none"/>
        </w:tabs>
        <w:spacing w:before="0"/>
        <w:ind w:left="533" w:right="0" w:firstLine="0"/>
        <w:jc w:val="left"/>
        <w:rPr>
          <w:rFonts w:ascii="微软雅黑" w:eastAsia="微软雅黑" w:hint="eastAsia"/>
          <w:b/>
          <w:sz w:val="21"/>
        </w:rPr>
      </w:pPr>
      <w:r>
        <w:rPr>
          <w:rFonts w:ascii="微软雅黑" w:eastAsia="微软雅黑" w:hint="eastAsia"/>
          <w:b/>
          <w:sz w:val="21"/>
        </w:rPr>
        <w:t>第六条</w:t>
        <w:tab/>
        <w:t>保险金的</w:t>
      </w:r>
      <w:r>
        <w:rPr>
          <w:rFonts w:ascii="微软雅黑" w:eastAsia="微软雅黑" w:hint="eastAsia"/>
          <w:b/>
          <w:spacing w:val="-3"/>
          <w:sz w:val="21"/>
        </w:rPr>
        <w:t>申</w:t>
      </w:r>
      <w:r>
        <w:rPr>
          <w:rFonts w:ascii="微软雅黑" w:eastAsia="微软雅黑" w:hint="eastAsia"/>
          <w:b/>
          <w:sz w:val="21"/>
        </w:rPr>
        <w:t>请</w:t>
      </w:r>
    </w:p>
    <w:p>
      <w:pPr>
        <w:spacing w:after="0"/>
        <w:jc w:val="left"/>
        <w:rPr>
          <w:rFonts w:ascii="微软雅黑" w:eastAsia="微软雅黑" w:hint="eastAsia"/>
          <w:sz w:val="21"/>
        </w:rPr>
        <w:sectPr>
          <w:footerReference w:type="default" r:id="rId5"/>
          <w:footerReference w:type="even" r:id="rId6"/>
          <w:type w:val="continuous"/>
          <w:pgSz w:w="11910" w:h="16840"/>
          <w:pgMar w:footer="992" w:top="920" w:bottom="1180" w:left="1020" w:right="580"/>
          <w:pgNumType w:start="1"/>
        </w:sectPr>
      </w:pPr>
    </w:p>
    <w:p>
      <w:pPr>
        <w:pStyle w:val="BodyText"/>
        <w:spacing w:line="273" w:lineRule="exact" w:before="14"/>
      </w:pPr>
      <w:r>
        <w:rPr/>
        <w:t>在申请保险金时，申请人须填写保险金给付申请书，并提供下列证明和资料：</w:t>
      </w:r>
    </w:p>
    <w:p>
      <w:pPr>
        <w:pStyle w:val="BodyText"/>
        <w:spacing w:line="273" w:lineRule="exact"/>
      </w:pPr>
      <w:r>
        <w:rPr/>
        <w:t>（一）投保单位证明；</w:t>
      </w:r>
    </w:p>
    <w:p>
      <w:pPr>
        <w:pStyle w:val="BodyText"/>
        <w:spacing w:line="273" w:lineRule="exact"/>
      </w:pPr>
      <w:r>
        <w:rPr/>
        <w:t>（二）申请人的有效身份证件；</w:t>
      </w:r>
    </w:p>
    <w:p>
      <w:pPr>
        <w:pStyle w:val="BodyText"/>
        <w:spacing w:line="272" w:lineRule="exact"/>
      </w:pPr>
      <w:r>
        <w:rPr/>
        <w:t>（三）医院出具的诊断证明、病历及检查报告，或本公司认可的其它证明或资料；</w:t>
      </w:r>
    </w:p>
    <w:p>
      <w:pPr>
        <w:pStyle w:val="BodyText"/>
        <w:spacing w:line="237" w:lineRule="auto" w:before="3"/>
        <w:ind w:right="2732"/>
      </w:pPr>
      <w:r>
        <w:rPr/>
        <w:t>（四）所能提供的与确认保险事故的性质、原因等有关的其他证明和资料。保险金作为被保险人遗产时，必须提供可证明合法继承权的相关权利文件。</w:t>
      </w:r>
    </w:p>
    <w:p>
      <w:pPr>
        <w:pStyle w:val="BodyText"/>
        <w:spacing w:before="8"/>
        <w:ind w:left="0"/>
        <w:rPr>
          <w:sz w:val="20"/>
        </w:rPr>
      </w:pPr>
    </w:p>
    <w:p>
      <w:pPr>
        <w:pStyle w:val="BodyText"/>
      </w:pPr>
      <w:r>
        <w:rPr/>
        <w:t>以上证明和资料不完整的，本公司将及时一次性通知申请人补充提供有关证明和资料。</w:t>
      </w:r>
    </w:p>
    <w:p>
      <w:pPr>
        <w:pStyle w:val="BodyText"/>
        <w:spacing w:before="12"/>
        <w:ind w:left="0"/>
      </w:pPr>
    </w:p>
    <w:p>
      <w:pPr>
        <w:pStyle w:val="BodyText"/>
        <w:spacing w:line="225" w:lineRule="auto"/>
        <w:ind w:left="114" w:right="108" w:firstLine="420"/>
      </w:pPr>
      <w:r>
        <w:rPr>
          <w:spacing w:val="-4"/>
        </w:rPr>
        <w:t>受益人及其他有权领取保险金的人向本公司申请给付保险金的诉讼时效期间为 </w:t>
      </w:r>
      <w:r>
        <w:rPr>
          <w:rFonts w:ascii="Times New Roman" w:eastAsia="Times New Roman"/>
        </w:rPr>
        <w:t>2 </w:t>
      </w:r>
      <w:r>
        <w:rPr>
          <w:spacing w:val="-14"/>
        </w:rPr>
        <w:t>年，自其知道或者应当知</w:t>
      </w:r>
      <w:r>
        <w:rPr>
          <w:spacing w:val="-7"/>
        </w:rPr>
        <w:t>道保险事故发生之日起计算。</w:t>
      </w:r>
    </w:p>
    <w:p>
      <w:pPr>
        <w:pStyle w:val="BodyText"/>
        <w:spacing w:before="11"/>
        <w:ind w:left="0"/>
        <w:rPr>
          <w:sz w:val="15"/>
        </w:rPr>
      </w:pPr>
    </w:p>
    <w:p>
      <w:pPr>
        <w:pStyle w:val="Heading1"/>
        <w:tabs>
          <w:tab w:pos="1379" w:val="left" w:leader="none"/>
        </w:tabs>
        <w:spacing w:line="317" w:lineRule="exact"/>
        <w:ind w:left="534"/>
      </w:pPr>
      <w:r>
        <w:rPr/>
        <w:t>第七条</w:t>
        <w:tab/>
        <w:t>重大疾病</w:t>
      </w:r>
      <w:r>
        <w:rPr>
          <w:spacing w:val="-3"/>
        </w:rPr>
        <w:t>保</w:t>
      </w:r>
      <w:r>
        <w:rPr/>
        <w:t>障</w:t>
      </w:r>
      <w:r>
        <w:rPr>
          <w:spacing w:val="-3"/>
        </w:rPr>
        <w:t>范</w:t>
      </w:r>
      <w:r>
        <w:rPr/>
        <w:t>围及定义</w:t>
      </w:r>
    </w:p>
    <w:p>
      <w:pPr>
        <w:spacing w:line="192" w:lineRule="auto" w:before="26"/>
        <w:ind w:left="114" w:right="164" w:firstLine="420"/>
        <w:jc w:val="both"/>
        <w:rPr>
          <w:sz w:val="21"/>
        </w:rPr>
      </w:pPr>
      <w:r>
        <w:rPr>
          <w:sz w:val="21"/>
        </w:rPr>
        <w:t>被保险人发生的符合以下定义所述条件的疾病，应当由</w:t>
      </w:r>
      <w:r>
        <w:rPr>
          <w:rFonts w:ascii="微软雅黑" w:eastAsia="微软雅黑" w:hint="eastAsia"/>
          <w:b/>
          <w:sz w:val="21"/>
        </w:rPr>
        <w:t>专科医生</w:t>
      </w:r>
      <w:r>
        <w:rPr>
          <w:sz w:val="21"/>
        </w:rPr>
        <w:t>明确诊断。对于</w:t>
      </w:r>
      <w:r>
        <w:rPr>
          <w:rFonts w:ascii="微软雅黑" w:eastAsia="微软雅黑" w:hint="eastAsia"/>
          <w:b/>
          <w:sz w:val="21"/>
        </w:rPr>
        <w:t>恶性肿瘤</w:t>
      </w:r>
      <w:r>
        <w:rPr>
          <w:sz w:val="21"/>
        </w:rPr>
        <w:t>、</w:t>
      </w:r>
      <w:r>
        <w:rPr>
          <w:rFonts w:ascii="微软雅黑" w:eastAsia="微软雅黑" w:hint="eastAsia"/>
          <w:b/>
          <w:sz w:val="21"/>
        </w:rPr>
        <w:t>急性心肌梗塞</w:t>
      </w:r>
      <w:r>
        <w:rPr>
          <w:sz w:val="21"/>
        </w:rPr>
        <w:t>、</w:t>
      </w:r>
      <w:r>
        <w:rPr>
          <w:rFonts w:ascii="微软雅黑" w:eastAsia="微软雅黑" w:hint="eastAsia"/>
          <w:b/>
          <w:sz w:val="21"/>
        </w:rPr>
        <w:t>急性或亚急性重症肝炎</w:t>
      </w:r>
      <w:r>
        <w:rPr>
          <w:sz w:val="21"/>
        </w:rPr>
        <w:t>和</w:t>
      </w:r>
      <w:r>
        <w:rPr>
          <w:rFonts w:ascii="微软雅黑" w:eastAsia="微软雅黑" w:hint="eastAsia"/>
          <w:b/>
          <w:sz w:val="21"/>
        </w:rPr>
        <w:t>重型再生障碍性贫血</w:t>
      </w:r>
      <w:r>
        <w:rPr>
          <w:sz w:val="21"/>
        </w:rPr>
        <w:t>，被保险人必须在确诊</w:t>
      </w:r>
      <w:r>
        <w:rPr>
          <w:rFonts w:ascii="Times New Roman" w:eastAsia="Times New Roman"/>
          <w:sz w:val="21"/>
        </w:rPr>
        <w:t>30</w:t>
      </w:r>
      <w:r>
        <w:rPr>
          <w:sz w:val="21"/>
        </w:rPr>
        <w:t>天后仍然生存，本公司才承担相应保险责任。对于</w:t>
      </w:r>
      <w:r>
        <w:rPr>
          <w:rFonts w:ascii="微软雅黑" w:eastAsia="微软雅黑" w:hint="eastAsia"/>
          <w:b/>
          <w:sz w:val="21"/>
        </w:rPr>
        <w:t>深度昏迷</w:t>
      </w:r>
      <w:r>
        <w:rPr>
          <w:sz w:val="21"/>
        </w:rPr>
        <w:t>、</w:t>
      </w:r>
      <w:r>
        <w:rPr>
          <w:rFonts w:ascii="微软雅黑" w:eastAsia="微软雅黑" w:hint="eastAsia"/>
          <w:b/>
          <w:sz w:val="21"/>
        </w:rPr>
        <w:t>严重脑损伤和严重</w:t>
      </w:r>
      <w:r>
        <w:rPr>
          <w:rFonts w:ascii="Times New Roman" w:eastAsia="Times New Roman"/>
          <w:b/>
          <w:sz w:val="21"/>
        </w:rPr>
        <w:t>III</w:t>
      </w:r>
      <w:r>
        <w:rPr>
          <w:rFonts w:ascii="微软雅黑" w:eastAsia="微软雅黑" w:hint="eastAsia"/>
          <w:b/>
          <w:sz w:val="21"/>
        </w:rPr>
        <w:t>度烧伤</w:t>
      </w:r>
      <w:r>
        <w:rPr>
          <w:sz w:val="21"/>
        </w:rPr>
        <w:t>，被保险人必须在确诊</w:t>
      </w:r>
      <w:r>
        <w:rPr>
          <w:rFonts w:ascii="Times New Roman" w:eastAsia="Times New Roman"/>
          <w:sz w:val="21"/>
        </w:rPr>
        <w:t>14</w:t>
      </w:r>
      <w:r>
        <w:rPr>
          <w:sz w:val="21"/>
        </w:rPr>
        <w:t>天后仍然生存，本公司才承担相应保险责任。</w:t>
      </w:r>
    </w:p>
    <w:p>
      <w:pPr>
        <w:pStyle w:val="BodyText"/>
        <w:spacing w:line="273" w:lineRule="exact" w:before="151"/>
      </w:pPr>
      <w:r>
        <w:rPr/>
        <w:t>（一）恶性肿瘤</w:t>
      </w:r>
    </w:p>
    <w:p>
      <w:pPr>
        <w:pStyle w:val="BodyText"/>
        <w:spacing w:line="237" w:lineRule="auto"/>
        <w:ind w:left="114" w:right="108" w:firstLine="420"/>
        <w:jc w:val="both"/>
      </w:pPr>
      <w:r>
        <w:rPr>
          <w:spacing w:val="-7"/>
        </w:rPr>
        <w:t>指恶性细胞不受控制的进行性增长和扩散，浸润和破坏周围正常组织，可以经血管、淋巴管和体腔扩散转</w:t>
      </w:r>
      <w:r>
        <w:rPr>
          <w:spacing w:val="-11"/>
        </w:rPr>
        <w:t>移到身体其他部位的疾病。经病理学检查结果明确诊断，临床诊断属于世界卫生组织《疾病和有关健康问题的</w:t>
      </w:r>
      <w:r>
        <w:rPr>
          <w:spacing w:val="-18"/>
        </w:rPr>
        <w:t>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56" w:lineRule="exact"/>
      </w:pPr>
      <w:r>
        <w:rPr/>
        <w:t>下列疾病不在保障范围内：</w:t>
      </w:r>
    </w:p>
    <w:p>
      <w:pPr>
        <w:pStyle w:val="BodyText"/>
        <w:spacing w:line="280" w:lineRule="exact"/>
      </w:pPr>
      <w:r>
        <w:rPr/>
        <w:t>（</w:t>
      </w:r>
      <w:r>
        <w:rPr>
          <w:rFonts w:ascii="Times New Roman" w:eastAsia="Times New Roman"/>
        </w:rPr>
        <w:t>1</w:t>
      </w:r>
      <w:r>
        <w:rPr/>
        <w:t>）原位癌；</w:t>
      </w:r>
    </w:p>
    <w:p>
      <w:pPr>
        <w:pStyle w:val="BodyText"/>
        <w:spacing w:line="272" w:lineRule="exact"/>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73" w:lineRule="exact"/>
      </w:pPr>
      <w:r>
        <w:rPr>
          <w:w w:val="100"/>
          <w:position w:val="1"/>
        </w:rPr>
        <w:t>（</w:t>
      </w:r>
      <w:r>
        <w:rPr>
          <w:rFonts w:ascii="Times New Roman" w:eastAsia="Times New Roman"/>
          <w:w w:val="100"/>
          <w:position w:val="1"/>
        </w:rPr>
        <w:t>5</w:t>
      </w:r>
      <w:r>
        <w:rPr>
          <w:spacing w:val="-3"/>
          <w:w w:val="100"/>
          <w:position w:val="1"/>
        </w:rPr>
        <w:t>）</w:t>
      </w:r>
      <w:r>
        <w:rPr>
          <w:rFonts w:ascii="Times New Roman" w:eastAsia="Times New Roman"/>
          <w:spacing w:val="-2"/>
          <w:w w:val="100"/>
          <w:position w:val="1"/>
        </w:rPr>
        <w:t>T</w:t>
      </w:r>
      <w:r>
        <w:rPr>
          <w:rFonts w:ascii="Times New Roman" w:eastAsia="Times New Roman"/>
          <w:w w:val="100"/>
          <w:position w:val="1"/>
        </w:rPr>
        <w:t>NM</w:t>
      </w:r>
      <w:r>
        <w:rPr>
          <w:rFonts w:ascii="Times New Roman" w:eastAsia="Times New Roman"/>
          <w:position w:val="1"/>
        </w:rPr>
        <w:t> </w:t>
      </w:r>
      <w:r>
        <w:rPr>
          <w:spacing w:val="-2"/>
          <w:w w:val="100"/>
          <w:position w:val="1"/>
        </w:rPr>
        <w:t>分期为</w:t>
      </w:r>
      <w:r>
        <w:rPr>
          <w:spacing w:val="-53"/>
          <w:position w:val="1"/>
        </w:rPr>
        <w:t> </w:t>
      </w:r>
      <w:r>
        <w:rPr>
          <w:rFonts w:ascii="Times New Roman" w:eastAsia="Times New Roman"/>
          <w:w w:val="100"/>
          <w:position w:val="1"/>
        </w:rPr>
        <w:t>T</w:t>
      </w:r>
      <w:r>
        <w:rPr>
          <w:spacing w:val="-3"/>
          <w:w w:val="100"/>
          <w:sz w:val="11"/>
        </w:rPr>
        <w:t>1</w:t>
      </w:r>
      <w:r>
        <w:rPr>
          <w:rFonts w:ascii="Times New Roman" w:eastAsia="Times New Roman"/>
          <w:spacing w:val="0"/>
          <w:w w:val="100"/>
          <w:position w:val="1"/>
        </w:rPr>
        <w:t>N</w:t>
      </w:r>
      <w:r>
        <w:rPr>
          <w:w w:val="100"/>
          <w:sz w:val="11"/>
        </w:rPr>
        <w:t>0</w:t>
      </w:r>
      <w:r>
        <w:rPr>
          <w:rFonts w:ascii="Times New Roman" w:eastAsia="Times New Roman"/>
          <w:spacing w:val="-1"/>
          <w:w w:val="100"/>
          <w:position w:val="1"/>
        </w:rPr>
        <w:t>M</w:t>
      </w:r>
      <w:r>
        <w:rPr>
          <w:w w:val="100"/>
          <w:sz w:val="11"/>
        </w:rPr>
        <w:t>0</w:t>
      </w:r>
      <w:r>
        <w:rPr>
          <w:spacing w:val="-31"/>
          <w:sz w:val="11"/>
        </w:rPr>
        <w:t> </w:t>
      </w:r>
      <w:r>
        <w:rPr>
          <w:spacing w:val="-3"/>
          <w:w w:val="100"/>
          <w:position w:val="1"/>
        </w:rPr>
        <w:t>期或更轻分期的前列腺癌</w:t>
      </w:r>
      <w:r>
        <w:rPr>
          <w:w w:val="100"/>
          <w:position w:val="1"/>
        </w:rPr>
        <w:t>（注</w:t>
      </w:r>
      <w:r>
        <w:rPr>
          <w:spacing w:val="-108"/>
          <w:w w:val="100"/>
          <w:position w:val="1"/>
        </w:rPr>
        <w:t>）</w:t>
      </w:r>
      <w:r>
        <w:rPr>
          <w:w w:val="100"/>
          <w:position w:val="1"/>
        </w:rPr>
        <w:t>；</w:t>
      </w:r>
    </w:p>
    <w:p>
      <w:pPr>
        <w:pStyle w:val="BodyText"/>
        <w:spacing w:line="223" w:lineRule="auto" w:before="11"/>
        <w:ind w:right="4731"/>
      </w:pPr>
      <w:r>
        <w:rPr/>
        <w:t>（</w:t>
      </w:r>
      <w:r>
        <w:rPr>
          <w:rFonts w:ascii="Times New Roman" w:eastAsia="Times New Roman"/>
        </w:rPr>
        <w:t>6</w:t>
      </w:r>
      <w:r>
        <w:rPr/>
        <w:t>）感染艾滋病病毒或患艾滋病期间所患恶性肿瘤。注：如果为女性重大疾病保险，则不包括此项。</w:t>
      </w:r>
    </w:p>
    <w:p>
      <w:pPr>
        <w:pStyle w:val="BodyText"/>
        <w:spacing w:line="273" w:lineRule="exact" w:before="154"/>
      </w:pPr>
      <w:r>
        <w:rPr/>
        <w:t>（二）急性心肌梗塞</w:t>
      </w:r>
    </w:p>
    <w:p>
      <w:pPr>
        <w:pStyle w:val="BodyText"/>
        <w:spacing w:line="272" w:lineRule="exact"/>
      </w:pPr>
      <w:r>
        <w:rPr/>
        <w:t>指因冠状动脉阻塞导致的相应区域供血不足造成部分心肌坏死。须满足下列至少三项条件：</w:t>
      </w:r>
    </w:p>
    <w:p>
      <w:pPr>
        <w:pStyle w:val="BodyText"/>
        <w:spacing w:line="280" w:lineRule="exact"/>
      </w:pPr>
      <w:r>
        <w:rPr/>
        <w:t>（</w:t>
      </w:r>
      <w:r>
        <w:rPr>
          <w:rFonts w:ascii="Times New Roman" w:eastAsia="Times New Roman"/>
        </w:rPr>
        <w:t>1</w:t>
      </w:r>
      <w:r>
        <w:rPr/>
        <w:t>）典型临床表现，例如急性胸痛等；</w:t>
      </w:r>
    </w:p>
    <w:p>
      <w:pPr>
        <w:pStyle w:val="BodyText"/>
        <w:spacing w:line="272" w:lineRule="exact"/>
      </w:pPr>
      <w:r>
        <w:rPr/>
        <w:t>（</w:t>
      </w:r>
      <w:r>
        <w:rPr>
          <w:rFonts w:ascii="Times New Roman" w:eastAsia="Times New Roman"/>
        </w:rPr>
        <w:t>2</w:t>
      </w:r>
      <w:r>
        <w:rPr/>
        <w:t>）新近的心电图改变提示急性心肌梗塞；</w:t>
      </w:r>
    </w:p>
    <w:p>
      <w:pPr>
        <w:pStyle w:val="BodyText"/>
        <w:spacing w:line="272" w:lineRule="exact"/>
      </w:pPr>
      <w:r>
        <w:rPr/>
        <w:t>（</w:t>
      </w:r>
      <w:r>
        <w:rPr>
          <w:rFonts w:ascii="Times New Roman" w:eastAsia="Times New Roman"/>
        </w:rPr>
        <w:t>3</w:t>
      </w:r>
      <w:r>
        <w:rPr/>
        <w:t>）心肌酶或肌钙蛋白有诊断意义的升高，或呈符合急性心肌梗塞的动态性变化；</w:t>
      </w:r>
    </w:p>
    <w:p>
      <w:pPr>
        <w:pStyle w:val="BodyText"/>
        <w:spacing w:line="281" w:lineRule="exact"/>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line="273" w:lineRule="exact" w:before="139"/>
      </w:pPr>
      <w:r>
        <w:rPr/>
        <w:t>（三）脑中风后遗症</w:t>
      </w:r>
    </w:p>
    <w:p>
      <w:pPr>
        <w:pStyle w:val="BodyText"/>
        <w:ind w:left="114" w:right="108" w:firstLine="420"/>
      </w:pPr>
      <w:r>
        <w:rPr>
          <w:spacing w:val="-8"/>
        </w:rPr>
        <w:t>指因脑血管的突发病变引起脑血管出血、栓塞或梗塞，病导致神经系统永久性的功能障碍。神经系统永久性的功能障碍，指疾病确诊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63" w:lineRule="exact" w:before="2"/>
      </w:pPr>
      <w:r>
        <w:rPr/>
        <w:t>（</w:t>
      </w:r>
      <w:r>
        <w:rPr>
          <w:rFonts w:ascii="Times New Roman" w:eastAsia="Times New Roman"/>
        </w:rPr>
        <w:t>1</w:t>
      </w:r>
      <w:r>
        <w:rPr/>
        <w:t>）一肢或一肢以上肢体机能完全丧失；</w:t>
      </w:r>
    </w:p>
    <w:p>
      <w:pPr>
        <w:pStyle w:val="BodyText"/>
        <w:spacing w:line="272" w:lineRule="exact"/>
      </w:pPr>
      <w:r>
        <w:rPr/>
        <w:t>（</w:t>
      </w:r>
      <w:r>
        <w:rPr>
          <w:rFonts w:ascii="Times New Roman" w:eastAsia="Times New Roman"/>
        </w:rPr>
        <w:t>2</w:t>
      </w:r>
      <w:r>
        <w:rPr/>
        <w:t>）语言能力或咀嚼吞咽能力完全丧失；</w:t>
      </w:r>
    </w:p>
    <w:p>
      <w:pPr>
        <w:pStyle w:val="BodyText"/>
        <w:spacing w:line="281" w:lineRule="exact"/>
      </w:pPr>
      <w:r>
        <w:rPr/>
        <w:t>（</w:t>
      </w:r>
      <w:r>
        <w:rPr>
          <w:rFonts w:ascii="Times New Roman" w:eastAsia="Times New Roman"/>
        </w:rPr>
        <w:t>3</w:t>
      </w:r>
      <w:r>
        <w:rPr/>
        <w:t>）自主生活能力完全丧失，无法独立完成六项基本日常生活活动种的三项或三项以上。</w:t>
      </w:r>
    </w:p>
    <w:p>
      <w:pPr>
        <w:pStyle w:val="BodyText"/>
        <w:spacing w:line="274" w:lineRule="exact" w:before="136"/>
        <w:ind w:left="536"/>
      </w:pPr>
      <w:r>
        <w:rPr/>
        <w:t>（四）重大器官移植术或造血干细胞移植术</w:t>
      </w:r>
    </w:p>
    <w:p>
      <w:pPr>
        <w:pStyle w:val="BodyText"/>
        <w:spacing w:line="274" w:lineRule="exact"/>
      </w:pPr>
      <w:r>
        <w:rPr/>
        <w:t>重大器官移植术，指因相应器官功能衰竭，已经实施了肾脏、肝脏、心脏或肺脏的异体移植手术。</w:t>
      </w:r>
    </w:p>
    <w:p>
      <w:pPr>
        <w:pStyle w:val="BodyText"/>
        <w:spacing w:before="11"/>
        <w:ind w:left="0"/>
        <w:rPr>
          <w:sz w:val="20"/>
        </w:rPr>
      </w:pPr>
    </w:p>
    <w:p>
      <w:pPr>
        <w:pStyle w:val="BodyText"/>
        <w:spacing w:line="237" w:lineRule="auto"/>
        <w:ind w:left="114" w:right="108" w:firstLine="420"/>
      </w:pPr>
      <w:r>
        <w:rPr>
          <w:spacing w:val="-9"/>
        </w:rPr>
        <w:t>造血干细胞移植术，指因造血功能损害或造血系统恶性肿瘤，已经实施了造血干细胞</w:t>
      </w:r>
      <w:r>
        <w:rPr/>
        <w:t>（</w:t>
      </w:r>
      <w:r>
        <w:rPr>
          <w:spacing w:val="-3"/>
        </w:rPr>
        <w:t>包括骨髓造血干细胞、外周血造血干细胞和脐血造血干细胞</w:t>
      </w:r>
      <w:r>
        <w:rPr/>
        <w:t>）</w:t>
      </w:r>
      <w:r>
        <w:rPr>
          <w:spacing w:val="-3"/>
        </w:rPr>
        <w:t>的异体移植手术。</w:t>
      </w:r>
    </w:p>
    <w:p>
      <w:pPr>
        <w:pStyle w:val="BodyText"/>
        <w:spacing w:line="273" w:lineRule="exact" w:before="154"/>
      </w:pPr>
      <w:r>
        <w:rPr/>
        <w:t>（五）冠状动脉搭桥术（或称冠状动脉旁路移植术）</w:t>
      </w:r>
    </w:p>
    <w:p>
      <w:pPr>
        <w:pStyle w:val="BodyText"/>
        <w:spacing w:line="273" w:lineRule="exact"/>
      </w:pPr>
      <w:r>
        <w:rPr/>
        <w:t>指为治疗严重的冠心病，实际实施了开胸进行的冠状动脉血管旁路移植的手术。</w:t>
      </w:r>
    </w:p>
    <w:p>
      <w:pPr>
        <w:pStyle w:val="BodyText"/>
        <w:spacing w:line="237" w:lineRule="auto" w:before="158"/>
        <w:ind w:left="114" w:right="108" w:firstLine="420"/>
      </w:pPr>
      <w:r>
        <w:rPr>
          <w:spacing w:val="-10"/>
        </w:rPr>
        <w:t>冠状动脉支架植入术、心导管球囊扩张术、激光射频技术及其它非开胸的介入手术、腔镜手术不在保障范围内。</w:t>
      </w:r>
    </w:p>
    <w:p>
      <w:pPr>
        <w:spacing w:after="0" w:line="237" w:lineRule="auto"/>
        <w:sectPr>
          <w:pgSz w:w="11910" w:h="16840"/>
          <w:pgMar w:header="0" w:footer="992" w:top="840" w:bottom="1180" w:left="680" w:right="1020"/>
        </w:sectPr>
      </w:pPr>
    </w:p>
    <w:p>
      <w:pPr>
        <w:pStyle w:val="BodyText"/>
        <w:spacing w:line="273" w:lineRule="exact" w:before="14"/>
        <w:ind w:left="533"/>
      </w:pPr>
      <w:r>
        <w:rPr/>
        <w:t>（六）终末期肾病（或称慢性肾功能衰竭尿毒症期）</w:t>
      </w:r>
    </w:p>
    <w:p>
      <w:pPr>
        <w:pStyle w:val="BodyText"/>
        <w:spacing w:line="225" w:lineRule="auto" w:before="15"/>
        <w:ind w:left="112" w:right="149" w:firstLine="420"/>
      </w:pPr>
      <w:r>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spacing w:line="274" w:lineRule="exact" w:before="152"/>
        <w:ind w:left="533"/>
      </w:pPr>
      <w:r>
        <w:rPr/>
        <w:t>（七）多个肢体缺失</w:t>
      </w:r>
    </w:p>
    <w:p>
      <w:pPr>
        <w:pStyle w:val="BodyText"/>
        <w:spacing w:line="274" w:lineRule="exact"/>
        <w:ind w:left="533"/>
      </w:pPr>
      <w:r>
        <w:rPr/>
        <w:t>指因疾病或意外伤害导致两个或两个以上肢体自腕关节或踝关节近端（靠近躯干端）以上完全性断离。</w:t>
      </w:r>
    </w:p>
    <w:p>
      <w:pPr>
        <w:pStyle w:val="BodyText"/>
        <w:spacing w:line="274" w:lineRule="exact" w:before="153"/>
        <w:ind w:left="533"/>
      </w:pPr>
      <w:r>
        <w:rPr/>
        <w:t>（八）急性或亚急性重症肝炎</w:t>
      </w:r>
    </w:p>
    <w:p>
      <w:pPr>
        <w:pStyle w:val="BodyText"/>
        <w:spacing w:line="237" w:lineRule="auto" w:before="2"/>
        <w:ind w:left="112" w:right="210" w:firstLine="420"/>
      </w:pPr>
      <w:r>
        <w:rPr>
          <w:spacing w:val="-8"/>
        </w:rPr>
        <w:t>指因肝炎病毒感染引起肝脏组织弥漫性坏死，导致急性肝功能衰竭，且经血清学或病毒学检查证实，并须</w:t>
      </w:r>
      <w:r>
        <w:rPr>
          <w:spacing w:val="-5"/>
        </w:rPr>
        <w:t>满足下列全部条件：</w:t>
      </w:r>
    </w:p>
    <w:p>
      <w:pPr>
        <w:pStyle w:val="BodyText"/>
        <w:spacing w:line="280" w:lineRule="exact"/>
        <w:ind w:left="533"/>
      </w:pPr>
      <w:r>
        <w:rPr/>
        <w:t>（</w:t>
      </w:r>
      <w:r>
        <w:rPr>
          <w:rFonts w:ascii="Times New Roman" w:eastAsia="Times New Roman"/>
        </w:rPr>
        <w:t>1</w:t>
      </w:r>
      <w:r>
        <w:rPr/>
        <w:t>）重度黄疸或黄疸迅速加重；</w:t>
      </w:r>
    </w:p>
    <w:p>
      <w:pPr>
        <w:pStyle w:val="BodyText"/>
        <w:spacing w:line="272" w:lineRule="exact"/>
        <w:ind w:left="533"/>
      </w:pPr>
      <w:r>
        <w:rPr/>
        <w:t>（</w:t>
      </w:r>
      <w:r>
        <w:rPr>
          <w:rFonts w:ascii="Times New Roman" w:eastAsia="Times New Roman"/>
        </w:rPr>
        <w:t>2</w:t>
      </w:r>
      <w:r>
        <w:rPr/>
        <w:t>）肝性脑病；</w:t>
      </w:r>
    </w:p>
    <w:p>
      <w:pPr>
        <w:pStyle w:val="BodyText"/>
        <w:spacing w:line="272" w:lineRule="exact"/>
        <w:ind w:left="53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533"/>
      </w:pPr>
      <w:r>
        <w:rPr/>
        <w:t>（</w:t>
      </w:r>
      <w:r>
        <w:rPr>
          <w:rFonts w:ascii="Times New Roman" w:eastAsia="Times New Roman"/>
        </w:rPr>
        <w:t>4</w:t>
      </w:r>
      <w:r>
        <w:rPr/>
        <w:t>）肝功能指标进行性恶化。</w:t>
      </w:r>
    </w:p>
    <w:p>
      <w:pPr>
        <w:pStyle w:val="BodyText"/>
        <w:spacing w:line="273" w:lineRule="exact" w:before="138"/>
        <w:ind w:left="533"/>
      </w:pPr>
      <w:r>
        <w:rPr/>
        <w:t>（九）良性脑肿瘤</w:t>
      </w:r>
    </w:p>
    <w:p>
      <w:pPr>
        <w:pStyle w:val="BodyText"/>
        <w:spacing w:line="230" w:lineRule="auto" w:before="9"/>
        <w:ind w:left="112" w:right="102" w:firstLine="420"/>
      </w:pPr>
      <w:r>
        <w:rPr>
          <w:spacing w:val="-16"/>
        </w:rPr>
        <w:t>指脑的良性肿瘤，已经引起颅内压增高，临床表现为视神经乳头水肿、精神症状、癫痫及运动感觉障碍等， </w:t>
      </w:r>
      <w:r>
        <w:rPr>
          <w:spacing w:val="-8"/>
          <w:w w:val="100"/>
        </w:rPr>
        <w:t>并危及生命。须由头颅断层扫描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w w:val="100"/>
        </w:rPr>
        <w:t>或正电子发射断层扫描（</w:t>
      </w:r>
      <w:r>
        <w:rPr>
          <w:rFonts w:ascii="Times New Roman" w:eastAsia="Times New Roman"/>
          <w:w w:val="100"/>
        </w:rPr>
        <w:t>PE</w:t>
      </w:r>
      <w:r>
        <w:rPr>
          <w:rFonts w:ascii="Times New Roman" w:eastAsia="Times New Roman"/>
          <w:spacing w:val="-2"/>
          <w:w w:val="100"/>
        </w:rPr>
        <w:t>T</w:t>
      </w:r>
      <w:r>
        <w:rPr>
          <w:w w:val="100"/>
        </w:rPr>
        <w:t>）</w:t>
      </w:r>
      <w:r>
        <w:rPr>
          <w:spacing w:val="-3"/>
          <w:w w:val="100"/>
        </w:rPr>
        <w:t>等影像学检查</w:t>
      </w:r>
      <w:r>
        <w:rPr>
          <w:spacing w:val="-3"/>
        </w:rPr>
        <w:t>证实，并须满足下列至少一项条件：</w:t>
      </w:r>
    </w:p>
    <w:p>
      <w:pPr>
        <w:pStyle w:val="BodyText"/>
        <w:spacing w:line="280" w:lineRule="exact"/>
        <w:ind w:left="533"/>
      </w:pPr>
      <w:r>
        <w:rPr/>
        <w:t>（</w:t>
      </w:r>
      <w:r>
        <w:rPr>
          <w:rFonts w:ascii="Times New Roman" w:eastAsia="Times New Roman"/>
        </w:rPr>
        <w:t>1</w:t>
      </w:r>
      <w:r>
        <w:rPr/>
        <w:t>）实际实施了开颅进行的脑肿瘤完全切除或部分切除的手术；</w:t>
      </w:r>
    </w:p>
    <w:p>
      <w:pPr>
        <w:pStyle w:val="BodyText"/>
        <w:spacing w:line="281" w:lineRule="exact"/>
        <w:ind w:left="533"/>
      </w:pPr>
      <w:r>
        <w:rPr/>
        <w:t>（</w:t>
      </w:r>
      <w:r>
        <w:rPr>
          <w:rFonts w:ascii="Times New Roman" w:eastAsia="Times New Roman"/>
        </w:rPr>
        <w:t>2</w:t>
      </w:r>
      <w:r>
        <w:rPr/>
        <w:t>）实际实施了对脑肿瘤进行的放射治疗。</w:t>
      </w:r>
    </w:p>
    <w:p>
      <w:pPr>
        <w:pStyle w:val="BodyText"/>
        <w:spacing w:before="136"/>
        <w:ind w:left="533"/>
      </w:pPr>
      <w:r>
        <w:rPr/>
        <w:t>脑垂体瘤、脑囊肿、脑血管性疾病不在保障范围内。</w:t>
      </w:r>
    </w:p>
    <w:p>
      <w:pPr>
        <w:pStyle w:val="BodyText"/>
        <w:spacing w:line="273" w:lineRule="exact" w:before="154"/>
        <w:ind w:left="533"/>
      </w:pPr>
      <w:r>
        <w:rPr/>
        <w:t>（十）慢性肝功能衰竭失代偿期</w:t>
      </w:r>
    </w:p>
    <w:p>
      <w:pPr>
        <w:pStyle w:val="BodyText"/>
        <w:spacing w:line="272" w:lineRule="exact"/>
        <w:ind w:left="533"/>
      </w:pPr>
      <w:r>
        <w:rPr/>
        <w:t>指因慢性肝脏疾病导致肝功能衰竭。须满足下列全部条件：</w:t>
      </w:r>
    </w:p>
    <w:p>
      <w:pPr>
        <w:pStyle w:val="BodyText"/>
        <w:spacing w:line="280" w:lineRule="exact"/>
        <w:ind w:left="533"/>
      </w:pPr>
      <w:r>
        <w:rPr/>
        <w:t>（</w:t>
      </w:r>
      <w:r>
        <w:rPr>
          <w:rFonts w:ascii="Times New Roman" w:eastAsia="Times New Roman"/>
        </w:rPr>
        <w:t>1</w:t>
      </w:r>
      <w:r>
        <w:rPr/>
        <w:t>）持续性黄疸；</w:t>
      </w:r>
    </w:p>
    <w:p>
      <w:pPr>
        <w:pStyle w:val="BodyText"/>
        <w:spacing w:line="272" w:lineRule="exact"/>
        <w:ind w:left="533"/>
      </w:pPr>
      <w:r>
        <w:rPr/>
        <w:t>（</w:t>
      </w:r>
      <w:r>
        <w:rPr>
          <w:rFonts w:ascii="Times New Roman" w:eastAsia="Times New Roman"/>
        </w:rPr>
        <w:t>2</w:t>
      </w:r>
      <w:r>
        <w:rPr/>
        <w:t>）腹水；</w:t>
      </w:r>
    </w:p>
    <w:p>
      <w:pPr>
        <w:pStyle w:val="BodyText"/>
        <w:spacing w:line="273" w:lineRule="exact"/>
        <w:ind w:left="533"/>
      </w:pPr>
      <w:r>
        <w:rPr/>
        <w:t>（</w:t>
      </w:r>
      <w:r>
        <w:rPr>
          <w:rFonts w:ascii="Times New Roman" w:eastAsia="Times New Roman"/>
        </w:rPr>
        <w:t>3</w:t>
      </w:r>
      <w:r>
        <w:rPr/>
        <w:t>）肝性脑病；</w:t>
      </w:r>
    </w:p>
    <w:p>
      <w:pPr>
        <w:pStyle w:val="BodyText"/>
        <w:spacing w:line="355" w:lineRule="auto"/>
        <w:ind w:left="533" w:right="462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74" w:lineRule="exact" w:before="61"/>
        <w:ind w:left="533"/>
      </w:pPr>
      <w:r>
        <w:rPr/>
        <w:t>（十一）脑炎后遗症或脑膜炎后遗症</w:t>
      </w:r>
    </w:p>
    <w:p>
      <w:pPr>
        <w:pStyle w:val="BodyText"/>
        <w:spacing w:line="280" w:lineRule="exact"/>
        <w:ind w:left="533"/>
        <w:rPr>
          <w:rFonts w:ascii="Times New Roman" w:eastAsia="Times New Roman"/>
        </w:rPr>
      </w:pPr>
      <w:r>
        <w:rPr/>
        <w:t>指因患脑炎或脑膜炎导致的神经系统永久性的功能障碍。神经系统永久性的功能障碍，指疾病确诊 </w:t>
      </w:r>
      <w:r>
        <w:rPr>
          <w:rFonts w:ascii="Times New Roman" w:eastAsia="Times New Roman"/>
        </w:rPr>
        <w:t>180</w:t>
      </w:r>
    </w:p>
    <w:p>
      <w:pPr>
        <w:pStyle w:val="BodyText"/>
        <w:spacing w:line="264" w:lineRule="exact"/>
        <w:ind w:left="112"/>
      </w:pPr>
      <w:r>
        <w:rPr/>
        <w:t>天后，仍遗留下列一种或一种以上障碍：</w:t>
      </w:r>
    </w:p>
    <w:p>
      <w:pPr>
        <w:pStyle w:val="BodyText"/>
        <w:spacing w:line="280" w:lineRule="exact"/>
        <w:ind w:left="533"/>
      </w:pPr>
      <w:r>
        <w:rPr/>
        <w:t>（</w:t>
      </w:r>
      <w:r>
        <w:rPr>
          <w:rFonts w:ascii="Times New Roman" w:eastAsia="Times New Roman"/>
        </w:rPr>
        <w:t>1</w:t>
      </w:r>
      <w:r>
        <w:rPr/>
        <w:t>）一肢或一肢以上肢体机能完全丧失；</w:t>
      </w:r>
    </w:p>
    <w:p>
      <w:pPr>
        <w:pStyle w:val="BodyText"/>
        <w:spacing w:line="272" w:lineRule="exact"/>
        <w:ind w:left="533"/>
      </w:pPr>
      <w:r>
        <w:rPr/>
        <w:t>（</w:t>
      </w:r>
      <w:r>
        <w:rPr>
          <w:rFonts w:ascii="Times New Roman" w:eastAsia="Times New Roman"/>
        </w:rPr>
        <w:t>2</w:t>
      </w:r>
      <w:r>
        <w:rPr/>
        <w:t>）语言能力或咀嚼吞咽能力完全丧失；</w:t>
      </w:r>
    </w:p>
    <w:p>
      <w:pPr>
        <w:pStyle w:val="BodyText"/>
        <w:spacing w:line="282" w:lineRule="exact"/>
        <w:ind w:left="533"/>
      </w:pPr>
      <w:r>
        <w:rPr/>
        <w:t>（</w:t>
      </w:r>
      <w:r>
        <w:rPr>
          <w:rFonts w:ascii="Times New Roman" w:eastAsia="Times New Roman"/>
        </w:rPr>
        <w:t>3</w:t>
      </w:r>
      <w:r>
        <w:rPr/>
        <w:t>）自主生活能力完全丧失，无法独立完成六项基本日常生活活动中的三项或三项以上。</w:t>
      </w:r>
    </w:p>
    <w:p>
      <w:pPr>
        <w:pStyle w:val="BodyText"/>
        <w:spacing w:line="274" w:lineRule="exact" w:before="136"/>
        <w:ind w:left="533"/>
      </w:pPr>
      <w:r>
        <w:rPr/>
        <w:t>（十二）深度昏迷</w:t>
      </w:r>
    </w:p>
    <w:p>
      <w:pPr>
        <w:pStyle w:val="BodyText"/>
        <w:spacing w:line="273" w:lineRule="exact"/>
        <w:ind w:left="533"/>
      </w:pPr>
      <w:r>
        <w:rPr/>
        <w:t>指因疾病或意外伤害导致意识丧失,对外界刺激和体内需求均无反应,昏迷程度按照格拉斯哥昏迷分级</w:t>
      </w:r>
    </w:p>
    <w:p>
      <w:pPr>
        <w:pStyle w:val="BodyText"/>
        <w:spacing w:line="355" w:lineRule="auto"/>
        <w:ind w:left="533" w:right="373" w:hanging="421"/>
      </w:pPr>
      <w:r>
        <w:rPr/>
        <w:t>（</w:t>
      </w:r>
      <w:r>
        <w:rPr>
          <w:rFonts w:ascii="Times New Roman" w:eastAsia="Times New Roman"/>
        </w:rPr>
        <w:t>Glasgow coma scale</w:t>
      </w:r>
      <w:r>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5"/>
        </w:rPr>
        <w:t>分以下，且已经持续使用呼吸机及其它生命维持系统 </w:t>
      </w:r>
      <w:r>
        <w:rPr>
          <w:rFonts w:ascii="Times New Roman" w:eastAsia="Times New Roman"/>
        </w:rPr>
        <w:t>96 </w:t>
      </w:r>
      <w:r>
        <w:rPr>
          <w:spacing w:val="-3"/>
        </w:rPr>
        <w:t>小时以上。因酗酒或药物滥用导致的深度昏迷不在保障范围内。</w:t>
      </w:r>
    </w:p>
    <w:p>
      <w:pPr>
        <w:pStyle w:val="BodyText"/>
        <w:spacing w:line="274" w:lineRule="exact" w:before="52"/>
        <w:ind w:left="533"/>
      </w:pPr>
      <w:r>
        <w:rPr/>
        <w:t>（十三）双耳失聪</w:t>
      </w:r>
    </w:p>
    <w:p>
      <w:pPr>
        <w:pStyle w:val="BodyText"/>
        <w:spacing w:line="280" w:lineRule="exact"/>
        <w:ind w:left="533"/>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赫兹语音频率下，</w:t>
      </w:r>
    </w:p>
    <w:p>
      <w:pPr>
        <w:pStyle w:val="BodyText"/>
        <w:spacing w:line="281" w:lineRule="exact"/>
        <w:ind w:left="112"/>
      </w:pPr>
      <w:r>
        <w:rPr/>
        <w:t>平均听阈大于 </w:t>
      </w:r>
      <w:r>
        <w:rPr>
          <w:rFonts w:ascii="Times New Roman" w:eastAsia="Times New Roman"/>
        </w:rPr>
        <w:t>90 </w:t>
      </w:r>
      <w:r>
        <w:rPr/>
        <w:t>分贝，且经纯音听力测试、声导抗检测或听觉诱发电位检测等证实。</w:t>
      </w:r>
    </w:p>
    <w:p>
      <w:pPr>
        <w:pStyle w:val="BodyText"/>
        <w:spacing w:line="273" w:lineRule="exact" w:before="138"/>
        <w:ind w:left="533"/>
      </w:pPr>
      <w:r>
        <w:rPr/>
        <w:t>（十四）双目失明</w:t>
      </w:r>
    </w:p>
    <w:p>
      <w:pPr>
        <w:pStyle w:val="BodyText"/>
        <w:spacing w:line="271" w:lineRule="exact"/>
        <w:ind w:left="533"/>
      </w:pPr>
      <w:r>
        <w:rPr/>
        <w:t>指因疾病或意外伤害导致双眼视力永久不可逆性丧失，双眼中较好眼须满足下列至少一项条件：</w:t>
      </w:r>
    </w:p>
    <w:p>
      <w:pPr>
        <w:pStyle w:val="BodyText"/>
        <w:spacing w:line="280" w:lineRule="exact"/>
        <w:ind w:left="533"/>
      </w:pPr>
      <w:r>
        <w:rPr/>
        <w:t>（</w:t>
      </w:r>
      <w:r>
        <w:rPr>
          <w:rFonts w:ascii="Times New Roman" w:eastAsia="Times New Roman"/>
        </w:rPr>
        <w:t>1</w:t>
      </w:r>
      <w:r>
        <w:rPr/>
        <w:t>）眼球缺失或摘除；</w:t>
      </w:r>
    </w:p>
    <w:p>
      <w:pPr>
        <w:pStyle w:val="BodyText"/>
        <w:spacing w:line="272" w:lineRule="exact"/>
        <w:ind w:left="533"/>
      </w:pPr>
      <w:r>
        <w:rPr>
          <w:w w:val="100"/>
        </w:rPr>
        <w:t>（</w:t>
      </w:r>
      <w:r>
        <w:rPr>
          <w:rFonts w:ascii="Times New Roman" w:eastAsia="Times New Roman"/>
          <w:w w:val="100"/>
        </w:rPr>
        <w:t>2</w:t>
      </w:r>
      <w:r>
        <w:rPr>
          <w:spacing w:val="-3"/>
          <w:w w:val="100"/>
        </w:rPr>
        <w:t>）矫正视力低于</w:t>
      </w:r>
      <w:r>
        <w:rPr>
          <w:spacing w:val="-55"/>
        </w:rPr>
        <w:t> </w:t>
      </w:r>
      <w:r>
        <w:rPr>
          <w:rFonts w:ascii="Times New Roman" w:eastAsia="Times New Roman"/>
          <w:w w:val="100"/>
        </w:rPr>
        <w:t>0.0</w:t>
      </w:r>
      <w:r>
        <w:rPr>
          <w:rFonts w:ascii="Times New Roman" w:eastAsia="Times New Roman"/>
          <w:spacing w:val="-3"/>
          <w:w w:val="100"/>
        </w:rPr>
        <w:t>2</w:t>
      </w:r>
      <w:r>
        <w:rPr>
          <w:spacing w:val="-3"/>
          <w:w w:val="100"/>
        </w:rPr>
        <w:t>（采用国际标准视力表，如果使用其它视力表应进行换算</w:t>
      </w:r>
      <w:r>
        <w:rPr>
          <w:spacing w:val="-108"/>
          <w:w w:val="100"/>
        </w:rPr>
        <w:t>）</w:t>
      </w:r>
      <w:r>
        <w:rPr>
          <w:w w:val="100"/>
        </w:rPr>
        <w:t>；</w:t>
      </w:r>
    </w:p>
    <w:p>
      <w:pPr>
        <w:pStyle w:val="BodyText"/>
        <w:spacing w:line="281" w:lineRule="exact"/>
        <w:ind w:left="533"/>
      </w:pPr>
      <w:r>
        <w:rPr/>
        <w:t>（</w:t>
      </w:r>
      <w:r>
        <w:rPr>
          <w:rFonts w:ascii="Times New Roman" w:eastAsia="Times New Roman"/>
        </w:rPr>
        <w:t>3</w:t>
      </w:r>
      <w:r>
        <w:rPr/>
        <w:t>）视野半径小于 </w:t>
      </w:r>
      <w:r>
        <w:rPr>
          <w:rFonts w:ascii="Times New Roman" w:eastAsia="Times New Roman"/>
        </w:rPr>
        <w:t>5 </w:t>
      </w:r>
      <w:r>
        <w:rPr/>
        <w:t>度。</w:t>
      </w:r>
    </w:p>
    <w:p>
      <w:pPr>
        <w:pStyle w:val="BodyText"/>
        <w:spacing w:line="273" w:lineRule="exact" w:before="138"/>
        <w:ind w:left="533"/>
      </w:pPr>
      <w:r>
        <w:rPr/>
        <w:t>（十五）瘫痪</w:t>
      </w:r>
    </w:p>
    <w:p>
      <w:pPr>
        <w:pStyle w:val="BodyText"/>
        <w:spacing w:line="272" w:lineRule="exact"/>
        <w:ind w:left="533"/>
      </w:pPr>
      <w:r>
        <w:rPr/>
        <w:t>指因疾病或意外伤害导致两肢或两肢以上肢体机能永久完全丧失。肢体机能永久完全丧失，指疾病确诊</w:t>
      </w:r>
    </w:p>
    <w:p>
      <w:pPr>
        <w:pStyle w:val="BodyText"/>
        <w:spacing w:line="290" w:lineRule="exact"/>
        <w:ind w:left="112"/>
      </w:pPr>
      <w:r>
        <w:rPr>
          <w:rFonts w:ascii="Times New Roman" w:eastAsia="Times New Roman"/>
        </w:rPr>
        <w:t>180 </w:t>
      </w:r>
      <w:r>
        <w:rPr/>
        <w:t>天后或意外伤害发生 </w:t>
      </w:r>
      <w:r>
        <w:rPr>
          <w:rFonts w:ascii="Times New Roman" w:eastAsia="Times New Roman"/>
        </w:rPr>
        <w:t>180 </w:t>
      </w:r>
      <w:r>
        <w:rPr/>
        <w:t>天后，每肢三大关节中的两大关节仍然完全僵硬，或不能随意识活动。</w:t>
      </w:r>
    </w:p>
    <w:p>
      <w:pPr>
        <w:spacing w:after="0" w:line="290" w:lineRule="exact"/>
        <w:sectPr>
          <w:pgSz w:w="11910" w:h="16840"/>
          <w:pgMar w:header="0" w:footer="992" w:top="840" w:bottom="1180" w:left="1020" w:right="580"/>
        </w:sectPr>
      </w:pPr>
    </w:p>
    <w:p>
      <w:pPr>
        <w:pStyle w:val="BodyText"/>
        <w:spacing w:line="273" w:lineRule="exact" w:before="14"/>
      </w:pPr>
      <w:r>
        <w:rPr/>
        <w:t>（十六）心脏瓣膜手术</w:t>
      </w:r>
    </w:p>
    <w:p>
      <w:pPr>
        <w:pStyle w:val="BodyText"/>
        <w:spacing w:line="273" w:lineRule="exact"/>
      </w:pPr>
      <w:r>
        <w:rPr/>
        <w:t>指为治疗心脏瓣膜疾病，实际实施了开胸进行的心脏瓣膜臵换或修复的手术。</w:t>
      </w:r>
    </w:p>
    <w:p>
      <w:pPr>
        <w:pStyle w:val="BodyText"/>
        <w:spacing w:line="273" w:lineRule="exact" w:before="156"/>
      </w:pPr>
      <w:r>
        <w:rPr/>
        <w:t>（十七）严重阿尔茨海默病</w:t>
      </w:r>
    </w:p>
    <w:p>
      <w:pPr>
        <w:pStyle w:val="BodyText"/>
        <w:spacing w:line="230" w:lineRule="auto" w:before="9"/>
        <w:ind w:left="114" w:right="206" w:firstLine="420"/>
        <w:jc w:val="both"/>
      </w:pPr>
      <w:r>
        <w:rPr>
          <w:spacing w:val="-11"/>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spacing w:val="-3"/>
          <w:w w:val="100"/>
        </w:rPr>
        <w:t>（</w:t>
      </w:r>
      <w:r>
        <w:rPr>
          <w:rFonts w:ascii="Times New Roman" w:eastAsia="Times New Roman"/>
          <w:spacing w:val="-2"/>
          <w:w w:val="100"/>
        </w:rPr>
        <w:t>CT</w:t>
      </w:r>
      <w:r>
        <w:rPr>
          <w:spacing w:val="-106"/>
          <w:w w:val="100"/>
        </w:rPr>
        <w:t>）</w:t>
      </w:r>
      <w:r>
        <w:rPr>
          <w:spacing w:val="-4"/>
          <w:w w:val="100"/>
        </w:rPr>
        <w:t>、核磁共振检查</w:t>
      </w:r>
      <w:r>
        <w:rPr>
          <w:w w:val="100"/>
        </w:rPr>
        <w:t>（</w:t>
      </w:r>
      <w:r>
        <w:rPr>
          <w:rFonts w:ascii="Times New Roman" w:eastAsia="Times New Roman"/>
          <w:w w:val="100"/>
        </w:rPr>
        <w:t>MR</w:t>
      </w:r>
      <w:r>
        <w:rPr>
          <w:rFonts w:ascii="Times New Roman" w:eastAsia="Times New Roman"/>
          <w:spacing w:val="-3"/>
          <w:w w:val="100"/>
        </w:rPr>
        <w:t>I</w:t>
      </w:r>
      <w:r>
        <w:rPr>
          <w:spacing w:val="-8"/>
          <w:w w:val="100"/>
        </w:rPr>
        <w:t>）</w:t>
      </w:r>
      <w:r>
        <w:rPr>
          <w:w w:val="100"/>
        </w:rPr>
        <w:t>或正电</w:t>
      </w:r>
      <w:r>
        <w:rPr>
          <w:spacing w:val="-5"/>
        </w:rPr>
        <w:t>子发射断层扫描</w:t>
      </w:r>
      <w:r>
        <w:rPr>
          <w:spacing w:val="-4"/>
        </w:rPr>
        <w:t>（</w:t>
      </w:r>
      <w:r>
        <w:rPr>
          <w:rFonts w:ascii="Times New Roman" w:eastAsia="Times New Roman"/>
          <w:spacing w:val="-4"/>
        </w:rPr>
        <w:t>PET</w:t>
      </w:r>
      <w:r>
        <w:rPr>
          <w:spacing w:val="-4"/>
        </w:rPr>
        <w:t>）</w:t>
      </w:r>
      <w:r>
        <w:rPr>
          <w:spacing w:val="-6"/>
        </w:rPr>
        <w:t>等影像学检查证实，且自主生活能力完全丧失，无法独立完成六项基本日常生活活动</w:t>
      </w:r>
      <w:r>
        <w:rPr>
          <w:spacing w:val="-4"/>
        </w:rPr>
        <w:t>中的三项或三项以上。</w:t>
      </w:r>
    </w:p>
    <w:p>
      <w:pPr>
        <w:pStyle w:val="BodyText"/>
        <w:spacing w:before="152"/>
      </w:pPr>
      <w:r>
        <w:rPr/>
        <w:t>神经官能症和精神疾病不在保障范围内。</w:t>
      </w:r>
    </w:p>
    <w:p>
      <w:pPr>
        <w:pStyle w:val="BodyText"/>
        <w:spacing w:before="8"/>
        <w:ind w:left="0"/>
        <w:rPr>
          <w:sz w:val="20"/>
        </w:rPr>
      </w:pPr>
    </w:p>
    <w:p>
      <w:pPr>
        <w:pStyle w:val="BodyText"/>
        <w:spacing w:line="274" w:lineRule="exact"/>
      </w:pPr>
      <w:r>
        <w:rPr/>
        <w:t>（十八）严重脑损伤</w:t>
      </w:r>
    </w:p>
    <w:p>
      <w:pPr>
        <w:pStyle w:val="BodyText"/>
        <w:spacing w:line="272" w:lineRule="exact"/>
      </w:pPr>
      <w:r>
        <w:rPr/>
        <w:t>指因头部遭受机械性外力，引起脑重要部位损伤，导致神经系统永久性的功能障碍。须由头颅断层扫描</w:t>
      </w:r>
    </w:p>
    <w:p>
      <w:pPr>
        <w:pStyle w:val="BodyText"/>
        <w:spacing w:line="225" w:lineRule="auto" w:before="15"/>
        <w:ind w:left="114" w:right="208"/>
      </w:pPr>
      <w:r>
        <w:rPr>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3"/>
          <w:w w:val="100"/>
        </w:rPr>
        <w:t>、核磁共振检查（</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w w:val="100"/>
        </w:rPr>
        <w:t>或正电子发射断层扫描（</w:t>
      </w:r>
      <w:r>
        <w:rPr>
          <w:rFonts w:ascii="Times New Roman" w:eastAsia="Times New Roman"/>
          <w:w w:val="100"/>
        </w:rPr>
        <w:t>PE</w:t>
      </w:r>
      <w:r>
        <w:rPr>
          <w:rFonts w:ascii="Times New Roman" w:eastAsia="Times New Roman"/>
          <w:spacing w:val="0"/>
          <w:w w:val="100"/>
        </w:rPr>
        <w:t>T</w:t>
      </w:r>
      <w:r>
        <w:rPr>
          <w:spacing w:val="-3"/>
          <w:w w:val="100"/>
        </w:rPr>
        <w:t>）等影像学检查证实。神经系统永久性的功能障</w:t>
      </w:r>
      <w:r>
        <w:rPr>
          <w:spacing w:val="-9"/>
        </w:rPr>
        <w:t>碍，指脑损伤 </w:t>
      </w:r>
      <w:r>
        <w:rPr>
          <w:rFonts w:ascii="Times New Roman" w:eastAsia="Times New Roman"/>
        </w:rPr>
        <w:t>180 </w:t>
      </w:r>
      <w:r>
        <w:rPr>
          <w:spacing w:val="-3"/>
        </w:rPr>
        <w:t>天后，仍遗留下列一种或一种以上障碍：</w:t>
      </w:r>
    </w:p>
    <w:p>
      <w:pPr>
        <w:pStyle w:val="BodyText"/>
        <w:spacing w:line="263" w:lineRule="exact"/>
      </w:pPr>
      <w:r>
        <w:rPr/>
        <w:t>（</w:t>
      </w:r>
      <w:r>
        <w:rPr>
          <w:rFonts w:ascii="Times New Roman" w:eastAsia="Times New Roman"/>
        </w:rPr>
        <w:t>1</w:t>
      </w:r>
      <w:r>
        <w:rPr/>
        <w:t>）一肢或一肢以上肢体机能完全丧失；</w:t>
      </w:r>
    </w:p>
    <w:p>
      <w:pPr>
        <w:pStyle w:val="BodyText"/>
        <w:spacing w:line="272" w:lineRule="exact"/>
      </w:pPr>
      <w:r>
        <w:rPr/>
        <w:t>（</w:t>
      </w:r>
      <w:r>
        <w:rPr>
          <w:rFonts w:ascii="Times New Roman" w:eastAsia="Times New Roman"/>
        </w:rPr>
        <w:t>2</w:t>
      </w:r>
      <w:r>
        <w:rPr/>
        <w:t>）语言能力或咀嚼吞咽能力完全丧失；</w:t>
      </w:r>
    </w:p>
    <w:p>
      <w:pPr>
        <w:pStyle w:val="BodyText"/>
        <w:spacing w:line="281" w:lineRule="exact"/>
      </w:pPr>
      <w:r>
        <w:rPr/>
        <w:t>（</w:t>
      </w:r>
      <w:r>
        <w:rPr>
          <w:rFonts w:ascii="Times New Roman" w:eastAsia="Times New Roman"/>
        </w:rPr>
        <w:t>3</w:t>
      </w:r>
      <w:r>
        <w:rPr/>
        <w:t>）自主生活能力完全丧失，无法独立完成六项基本日常生活活动中的三项或三项以上。</w:t>
      </w:r>
    </w:p>
    <w:p>
      <w:pPr>
        <w:pStyle w:val="BodyText"/>
        <w:spacing w:before="6"/>
        <w:ind w:left="0"/>
        <w:rPr>
          <w:sz w:val="19"/>
        </w:rPr>
      </w:pPr>
    </w:p>
    <w:p>
      <w:pPr>
        <w:pStyle w:val="BodyText"/>
        <w:spacing w:line="273" w:lineRule="exact"/>
      </w:pPr>
      <w:r>
        <w:rPr/>
        <w:t>（十九）严重帕金森病</w:t>
      </w:r>
    </w:p>
    <w:p>
      <w:pPr>
        <w:pStyle w:val="BodyText"/>
        <w:spacing w:line="272" w:lineRule="exact"/>
      </w:pPr>
      <w:r>
        <w:rPr/>
        <w:t>是一种中枢神经系统的退行性疾病，临床表现为震颤麻痹、共济失调等。须满足下列全部条件：</w:t>
      </w:r>
    </w:p>
    <w:p>
      <w:pPr>
        <w:pStyle w:val="BodyText"/>
        <w:spacing w:line="280" w:lineRule="exact"/>
      </w:pPr>
      <w:r>
        <w:rPr/>
        <w:t>（</w:t>
      </w:r>
      <w:r>
        <w:rPr>
          <w:rFonts w:ascii="Times New Roman" w:eastAsia="Times New Roman"/>
        </w:rPr>
        <w:t>1</w:t>
      </w:r>
      <w:r>
        <w:rPr/>
        <w:t>）药物治疗无法控制病情；</w:t>
      </w:r>
    </w:p>
    <w:p>
      <w:pPr>
        <w:pStyle w:val="BodyText"/>
        <w:spacing w:line="448" w:lineRule="auto"/>
        <w:ind w:right="1469"/>
      </w:pPr>
      <w:r>
        <w:rPr/>
        <w:t>（</w:t>
      </w:r>
      <w:r>
        <w:rPr>
          <w:rFonts w:ascii="Times New Roman" w:eastAsia="Times New Roman"/>
        </w:rPr>
        <w:t>2</w:t>
      </w:r>
      <w:r>
        <w:rPr/>
        <w:t>）自主生活能力完全丧失，无法独立完成六项基本日常生活活动中的三项或三项以上。继发性帕金森综合征不在保障范围内。</w:t>
      </w:r>
    </w:p>
    <w:p>
      <w:pPr>
        <w:pStyle w:val="BodyText"/>
        <w:spacing w:line="274" w:lineRule="exact" w:before="97"/>
      </w:pPr>
      <w:r>
        <w:rPr/>
        <w:t>（二十）严重Ⅲ度烧伤</w:t>
      </w:r>
    </w:p>
    <w:p>
      <w:pPr>
        <w:pStyle w:val="BodyText"/>
        <w:spacing w:line="223" w:lineRule="auto" w:before="19"/>
        <w:ind w:left="114" w:right="208" w:firstLine="420"/>
      </w:pPr>
      <w:r>
        <w:rPr>
          <w:spacing w:val="-5"/>
        </w:rPr>
        <w:t>指烧伤程度为Ⅲ度，且Ⅲ度烧伤的面积达到全身体表面积的 </w:t>
      </w:r>
      <w:r>
        <w:rPr>
          <w:rFonts w:ascii="Times New Roman" w:hAnsi="Times New Roman" w:eastAsia="Times New Roman"/>
        </w:rPr>
        <w:t>20</w:t>
      </w:r>
      <w:r>
        <w:rPr>
          <w:spacing w:val="-12"/>
        </w:rPr>
        <w:t>％或 </w:t>
      </w:r>
      <w:r>
        <w:rPr>
          <w:rFonts w:ascii="Times New Roman" w:hAnsi="Times New Roman" w:eastAsia="Times New Roman"/>
        </w:rPr>
        <w:t>20</w:t>
      </w:r>
      <w:r>
        <w:rPr>
          <w:spacing w:val="-3"/>
        </w:rPr>
        <w:t>％以上。体表面积根据《中国新九分法》计算。</w:t>
      </w:r>
    </w:p>
    <w:p>
      <w:pPr>
        <w:pStyle w:val="BodyText"/>
        <w:spacing w:before="7"/>
        <w:ind w:left="0"/>
        <w:rPr>
          <w:sz w:val="20"/>
        </w:rPr>
      </w:pPr>
    </w:p>
    <w:p>
      <w:pPr>
        <w:pStyle w:val="BodyText"/>
        <w:spacing w:line="274" w:lineRule="exact"/>
      </w:pPr>
      <w:r>
        <w:rPr/>
        <w:t>（二十一）严重原发性肺动脉高压</w:t>
      </w:r>
    </w:p>
    <w:p>
      <w:pPr>
        <w:pStyle w:val="BodyText"/>
        <w:spacing w:line="237" w:lineRule="auto" w:before="1"/>
        <w:ind w:left="114" w:right="206" w:firstLine="420"/>
      </w:pPr>
      <w:r>
        <w:rPr>
          <w:spacing w:val="-8"/>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6"/>
        </w:rPr>
        <w:t>级，且静息状态下肺动脉平均压超过 </w:t>
      </w:r>
      <w:r>
        <w:rPr>
          <w:rFonts w:ascii="Times New Roman" w:eastAsia="Times New Roman"/>
        </w:rPr>
        <w:t>30mmHg</w:t>
      </w:r>
      <w:r>
        <w:rPr/>
        <w:t>。</w:t>
      </w:r>
    </w:p>
    <w:p>
      <w:pPr>
        <w:pStyle w:val="BodyText"/>
        <w:spacing w:before="4"/>
        <w:ind w:left="0"/>
        <w:rPr>
          <w:sz w:val="19"/>
        </w:rPr>
      </w:pPr>
    </w:p>
    <w:p>
      <w:pPr>
        <w:pStyle w:val="BodyText"/>
        <w:spacing w:line="274" w:lineRule="exact" w:before="1"/>
      </w:pPr>
      <w:r>
        <w:rPr/>
        <w:t>（二十二）严重运动神经元病</w:t>
      </w:r>
    </w:p>
    <w:p>
      <w:pPr>
        <w:pStyle w:val="BodyText"/>
        <w:spacing w:line="237" w:lineRule="auto" w:before="2"/>
        <w:ind w:left="114" w:right="208" w:firstLine="420"/>
        <w:jc w:val="both"/>
      </w:pPr>
      <w:r>
        <w:rPr>
          <w:spacing w:val="-7"/>
        </w:rPr>
        <w:t>是一组中枢神经系统运动神经元的进行性变性疾病，包括进行性脊肌萎缩症、进行性延髓麻痹症、原发性</w:t>
      </w:r>
      <w:r>
        <w:rPr>
          <w:spacing w:val="-12"/>
        </w:rPr>
        <w:t>侧索硬化症、肌萎缩性侧索硬化症。须满足自主生活能力完全丧失，无法独立完成六项基本日常生活活动中的</w:t>
      </w:r>
      <w:r>
        <w:rPr>
          <w:spacing w:val="-6"/>
        </w:rPr>
        <w:t>三项或三项以上的条件。</w:t>
      </w:r>
    </w:p>
    <w:p>
      <w:pPr>
        <w:pStyle w:val="BodyText"/>
        <w:spacing w:before="8"/>
        <w:ind w:left="0"/>
        <w:rPr>
          <w:sz w:val="20"/>
        </w:rPr>
      </w:pPr>
    </w:p>
    <w:p>
      <w:pPr>
        <w:pStyle w:val="BodyText"/>
        <w:spacing w:line="273" w:lineRule="exact"/>
      </w:pPr>
      <w:r>
        <w:rPr/>
        <w:t>（二十三）语言能力丧失</w:t>
      </w:r>
    </w:p>
    <w:p>
      <w:pPr>
        <w:pStyle w:val="BodyText"/>
        <w:spacing w:line="225" w:lineRule="auto" w:before="15"/>
        <w:ind w:left="114" w:right="103" w:firstLine="420"/>
      </w:pPr>
      <w:r>
        <w:rPr>
          <w:spacing w:val="-9"/>
          <w:w w:val="100"/>
        </w:rPr>
        <w:t>指因疾病或意外伤害导致完全丧失语言能力，经过积极治疗至少</w:t>
      </w:r>
      <w:r>
        <w:rPr>
          <w:spacing w:val="-9"/>
        </w:rPr>
        <w:t> </w:t>
      </w:r>
      <w:r>
        <w:rPr>
          <w:rFonts w:ascii="Times New Roman" w:eastAsia="Times New Roman"/>
          <w:w w:val="100"/>
        </w:rPr>
        <w:t>12</w:t>
      </w:r>
      <w:r>
        <w:rPr>
          <w:rFonts w:ascii="Times New Roman" w:eastAsia="Times New Roman"/>
        </w:rPr>
        <w:t> </w:t>
      </w:r>
      <w:r>
        <w:rPr>
          <w:spacing w:val="-53"/>
          <w:w w:val="100"/>
        </w:rPr>
        <w:t>个月</w:t>
      </w:r>
      <w:r>
        <w:rPr>
          <w:w w:val="100"/>
        </w:rPr>
        <w:t>（</w:t>
      </w:r>
      <w:r>
        <w:rPr>
          <w:spacing w:val="-3"/>
          <w:w w:val="100"/>
        </w:rPr>
        <w:t>声带完全切除不受此时间限制</w:t>
      </w:r>
      <w:r>
        <w:rPr>
          <w:spacing w:val="-108"/>
          <w:w w:val="100"/>
        </w:rPr>
        <w:t>）</w:t>
      </w:r>
      <w:r>
        <w:rPr>
          <w:w w:val="100"/>
        </w:rPr>
        <w:t>，</w:t>
      </w:r>
      <w:r>
        <w:rPr>
          <w:spacing w:val="-3"/>
        </w:rPr>
        <w:t>仍无法通过现有医疗手段恢复。</w:t>
      </w:r>
    </w:p>
    <w:p>
      <w:pPr>
        <w:pStyle w:val="BodyText"/>
        <w:spacing w:before="5"/>
        <w:ind w:left="0"/>
        <w:rPr>
          <w:sz w:val="20"/>
        </w:rPr>
      </w:pPr>
    </w:p>
    <w:p>
      <w:pPr>
        <w:pStyle w:val="BodyText"/>
        <w:spacing w:before="1"/>
      </w:pPr>
      <w:r>
        <w:rPr/>
        <w:t>精神心理因素所致的语言能力丧失不在保障范围内。</w:t>
      </w:r>
    </w:p>
    <w:p>
      <w:pPr>
        <w:pStyle w:val="BodyText"/>
        <w:spacing w:before="8"/>
        <w:ind w:left="0"/>
        <w:rPr>
          <w:sz w:val="20"/>
        </w:rPr>
      </w:pPr>
    </w:p>
    <w:p>
      <w:pPr>
        <w:pStyle w:val="BodyText"/>
        <w:spacing w:line="274" w:lineRule="exact"/>
      </w:pPr>
      <w:r>
        <w:rPr/>
        <w:t>（二十四）重型再生障碍性贫血</w:t>
      </w:r>
    </w:p>
    <w:p>
      <w:pPr>
        <w:pStyle w:val="BodyText"/>
        <w:spacing w:line="272" w:lineRule="exact"/>
      </w:pPr>
      <w:r>
        <w:rPr/>
        <w:t>指因骨髓造血功能慢性持续性衰竭导致的贫血、中性粒细胞减少及血小板减少。须满足下列全部条件：</w:t>
      </w:r>
    </w:p>
    <w:p>
      <w:pPr>
        <w:pStyle w:val="BodyText"/>
        <w:spacing w:line="280" w:lineRule="exact"/>
      </w:pPr>
      <w:r>
        <w:rPr/>
        <w:t>（</w:t>
      </w:r>
      <w:r>
        <w:rPr>
          <w:rFonts w:ascii="Times New Roman" w:eastAsia="Times New Roman"/>
        </w:rPr>
        <w:t>1</w:t>
      </w:r>
      <w:r>
        <w:rPr/>
        <w:t>）骨髓穿刺检查或骨髓活检结果支持诊断；</w:t>
      </w:r>
    </w:p>
    <w:p>
      <w:pPr>
        <w:pStyle w:val="BodyText"/>
        <w:spacing w:line="272" w:lineRule="exact"/>
        <w:ind w:left="536"/>
      </w:pPr>
      <w:r>
        <w:rPr/>
        <w:t>（</w:t>
      </w:r>
      <w:r>
        <w:rPr>
          <w:rFonts w:ascii="Times New Roman" w:eastAsia="Times New Roman"/>
        </w:rPr>
        <w:t>2</w:t>
      </w:r>
      <w:r>
        <w:rPr/>
        <w:t>）外周血象须具备以下三项条件：</w:t>
      </w:r>
    </w:p>
    <w:p>
      <w:pPr>
        <w:pStyle w:val="BodyText"/>
        <w:spacing w:line="272" w:lineRule="exact"/>
        <w:ind w:left="954"/>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line="273" w:lineRule="exact"/>
        <w:ind w:left="938" w:right="7266"/>
        <w:jc w:val="center"/>
      </w:pPr>
      <w:r>
        <w:rPr/>
        <w:t>② 网织红细胞＜</w:t>
      </w:r>
      <w:r>
        <w:rPr>
          <w:rFonts w:ascii="Times New Roman" w:hAnsi="Times New Roman" w:eastAsia="Times New Roman"/>
        </w:rPr>
        <w:t>1%</w:t>
      </w:r>
      <w:r>
        <w:rPr/>
        <w:t>；</w:t>
      </w:r>
    </w:p>
    <w:p>
      <w:pPr>
        <w:pStyle w:val="BodyText"/>
        <w:spacing w:line="281" w:lineRule="exact"/>
        <w:ind w:left="954"/>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5"/>
        <w:ind w:left="0"/>
        <w:rPr>
          <w:sz w:val="19"/>
        </w:rPr>
      </w:pPr>
    </w:p>
    <w:p>
      <w:pPr>
        <w:pStyle w:val="BodyText"/>
      </w:pPr>
      <w:r>
        <w:rPr/>
        <w:t>（二十五）主动脉手术</w:t>
      </w:r>
    </w:p>
    <w:p>
      <w:pPr>
        <w:spacing w:after="0"/>
        <w:sectPr>
          <w:pgSz w:w="11910" w:h="16840"/>
          <w:pgMar w:header="0" w:footer="992" w:top="840" w:bottom="1180" w:left="680" w:right="920"/>
        </w:sectPr>
      </w:pPr>
    </w:p>
    <w:p>
      <w:pPr>
        <w:pStyle w:val="BodyText"/>
        <w:spacing w:line="237" w:lineRule="auto" w:before="17"/>
        <w:ind w:left="232" w:right="208" w:firstLine="420"/>
      </w:pPr>
      <w:r>
        <w:rPr>
          <w:spacing w:val="-9"/>
        </w:rPr>
        <w:t>指为治疗主动脉疾病，实际实施了开胸或开腹进行的切除、臵换、修补病损主动脉血管的手术。主动脉指</w:t>
      </w:r>
      <w:r>
        <w:rPr>
          <w:spacing w:val="-5"/>
        </w:rPr>
        <w:t>胸主动脉和腹主动脉，不包括胸主动脉和腹主动脉的分支血管。</w:t>
      </w:r>
    </w:p>
    <w:p>
      <w:pPr>
        <w:pStyle w:val="BodyText"/>
        <w:spacing w:before="8"/>
        <w:ind w:left="0"/>
        <w:rPr>
          <w:sz w:val="20"/>
        </w:rPr>
      </w:pPr>
    </w:p>
    <w:p>
      <w:pPr>
        <w:pStyle w:val="BodyText"/>
        <w:ind w:left="653"/>
      </w:pPr>
      <w:r>
        <w:rPr/>
        <w:t>动脉内血管成形术不在保障范围内。</w:t>
      </w:r>
    </w:p>
    <w:p>
      <w:pPr>
        <w:pStyle w:val="BodyText"/>
        <w:spacing w:before="8"/>
        <w:ind w:left="0"/>
        <w:rPr>
          <w:sz w:val="20"/>
        </w:rPr>
      </w:pPr>
    </w:p>
    <w:p>
      <w:pPr>
        <w:pStyle w:val="BodyText"/>
        <w:spacing w:line="274" w:lineRule="exact"/>
        <w:ind w:left="653"/>
      </w:pPr>
      <w:r>
        <w:rPr/>
        <w:t>（二十六）严重心肌病</w:t>
      </w:r>
    </w:p>
    <w:p>
      <w:pPr>
        <w:pStyle w:val="BodyText"/>
        <w:spacing w:line="237" w:lineRule="auto" w:before="2"/>
        <w:ind w:left="653" w:right="2202"/>
      </w:pPr>
      <w:r>
        <w:rPr/>
        <w:t>指被保险人患有心肌病，并且必须有心肌病导致的永久不可逆的心功能严重损害。心肌病必须经医院的超声心动图检查来确认。</w:t>
      </w:r>
    </w:p>
    <w:p>
      <w:pPr>
        <w:pStyle w:val="BodyText"/>
        <w:spacing w:line="230" w:lineRule="auto" w:before="10"/>
        <w:ind w:left="232" w:right="208" w:firstLine="420"/>
        <w:jc w:val="both"/>
      </w:pPr>
      <w:r>
        <w:rPr>
          <w:spacing w:val="-4"/>
        </w:rPr>
        <w:t>心功能严重损害是指被保险人的心功能状态达到美国纽约心脏病学会</w:t>
      </w:r>
      <w:r>
        <w:rPr>
          <w:spacing w:val="-7"/>
        </w:rPr>
        <w:t>（</w:t>
      </w:r>
      <w:r>
        <w:rPr>
          <w:rFonts w:ascii="Times New Roman" w:hAnsi="Times New Roman" w:eastAsia="Times New Roman"/>
          <w:spacing w:val="-7"/>
        </w:rPr>
        <w:t>NYHA</w:t>
      </w:r>
      <w:r>
        <w:rPr>
          <w:spacing w:val="-7"/>
        </w:rPr>
        <w:t>）</w:t>
      </w:r>
      <w:r>
        <w:rPr>
          <w:spacing w:val="-6"/>
        </w:rPr>
        <w:t>心功能状态分级Ⅳ级。上</w:t>
      </w:r>
      <w:r>
        <w:rPr>
          <w:spacing w:val="-8"/>
        </w:rPr>
        <w:t>述心功能状态分级Ⅳ级是指被保险人不能无症状地进行任何体力活动，休息时也会出现心力衰竭或心绞痛的症</w:t>
      </w:r>
      <w:r>
        <w:rPr>
          <w:spacing w:val="-5"/>
        </w:rPr>
        <w:t>状，任何体力活动都会加重病情。</w:t>
      </w:r>
    </w:p>
    <w:p>
      <w:pPr>
        <w:pStyle w:val="BodyText"/>
        <w:spacing w:line="271" w:lineRule="exact"/>
        <w:ind w:left="653"/>
      </w:pPr>
      <w:r>
        <w:rPr/>
        <w:t>与酒精滥用直接相关的心肌病不在此保障范围之内。</w:t>
      </w:r>
    </w:p>
    <w:p>
      <w:pPr>
        <w:pStyle w:val="BodyText"/>
        <w:spacing w:before="8"/>
        <w:ind w:left="0"/>
        <w:rPr>
          <w:sz w:val="20"/>
        </w:rPr>
      </w:pPr>
    </w:p>
    <w:p>
      <w:pPr>
        <w:pStyle w:val="BodyText"/>
        <w:spacing w:line="275" w:lineRule="exact"/>
        <w:ind w:left="653"/>
      </w:pPr>
      <w:r>
        <w:rPr/>
        <w:t>（二十七）慢性肺功能衰竭</w:t>
      </w:r>
    </w:p>
    <w:p>
      <w:pPr>
        <w:pStyle w:val="BodyText"/>
        <w:spacing w:line="273" w:lineRule="exact"/>
        <w:ind w:left="653"/>
      </w:pPr>
      <w:r>
        <w:rPr/>
        <w:t>指被保险人患有由肺部疾病导致的慢性呼吸功能衰竭，并且必须有呼吸功能衰竭导致的下列所有情况：</w:t>
      </w:r>
    </w:p>
    <w:p>
      <w:pPr>
        <w:pStyle w:val="BodyText"/>
        <w:spacing w:line="280" w:lineRule="exact"/>
        <w:ind w:left="653"/>
      </w:pPr>
      <w:r>
        <w:rPr/>
        <w:t>（</w:t>
      </w:r>
      <w:r>
        <w:rPr>
          <w:rFonts w:ascii="Times New Roman" w:eastAsia="Times New Roman"/>
        </w:rPr>
        <w:t>1</w:t>
      </w:r>
      <w:r>
        <w:rPr/>
        <w:t>）一秒钟用力呼气容积占用力肺活量比值（</w:t>
      </w:r>
      <w:r>
        <w:rPr>
          <w:rFonts w:ascii="Times New Roman" w:eastAsia="Times New Roman"/>
        </w:rPr>
        <w:t>FEV1.0%</w:t>
      </w:r>
      <w:r>
        <w:rPr/>
        <w:t>）小于</w:t>
      </w:r>
      <w:r>
        <w:rPr>
          <w:rFonts w:ascii="Times New Roman" w:eastAsia="Times New Roman"/>
        </w:rPr>
        <w:t>50</w:t>
      </w:r>
      <w:r>
        <w:rPr/>
        <w:t>％；</w:t>
      </w:r>
    </w:p>
    <w:p>
      <w:pPr>
        <w:pStyle w:val="BodyText"/>
        <w:spacing w:line="272" w:lineRule="exact"/>
        <w:ind w:left="653"/>
      </w:pPr>
      <w:r>
        <w:rPr/>
        <w:t>（</w:t>
      </w:r>
      <w:r>
        <w:rPr>
          <w:rFonts w:ascii="Times New Roman" w:eastAsia="Times New Roman"/>
        </w:rPr>
        <w:t>2</w:t>
      </w:r>
      <w:r>
        <w:rPr/>
        <w:t>）最大通气量（</w:t>
      </w:r>
      <w:r>
        <w:rPr>
          <w:rFonts w:ascii="Times New Roman" w:eastAsia="Times New Roman"/>
        </w:rPr>
        <w:t>MBC</w:t>
      </w:r>
      <w:r>
        <w:rPr/>
        <w:t>）实测值为预计值的</w:t>
      </w:r>
      <w:r>
        <w:rPr>
          <w:rFonts w:ascii="Times New Roman" w:eastAsia="Times New Roman"/>
        </w:rPr>
        <w:t>40</w:t>
      </w:r>
      <w:r>
        <w:rPr/>
        <w:t>％以下；</w:t>
      </w:r>
    </w:p>
    <w:p>
      <w:pPr>
        <w:pStyle w:val="BodyText"/>
        <w:spacing w:line="271" w:lineRule="exact"/>
        <w:ind w:left="653"/>
      </w:pPr>
      <w:r>
        <w:rPr/>
        <w:t>（</w:t>
      </w:r>
      <w:r>
        <w:rPr>
          <w:rFonts w:ascii="Times New Roman" w:eastAsia="Times New Roman"/>
        </w:rPr>
        <w:t>3</w:t>
      </w:r>
      <w:r>
        <w:rPr/>
        <w:t>）残气量/肺总量比值（</w:t>
      </w:r>
      <w:r>
        <w:rPr>
          <w:rFonts w:ascii="Times New Roman" w:eastAsia="Times New Roman"/>
        </w:rPr>
        <w:t>RV/TLC</w:t>
      </w:r>
      <w:r>
        <w:rPr/>
        <w:t>％）</w:t>
      </w:r>
      <w:r>
        <w:rPr>
          <w:rFonts w:ascii="Times New Roman" w:eastAsia="Times New Roman"/>
        </w:rPr>
        <w:t>60</w:t>
      </w:r>
      <w:r>
        <w:rPr/>
        <w:t>％以上；</w:t>
      </w:r>
    </w:p>
    <w:p>
      <w:pPr>
        <w:pStyle w:val="BodyText"/>
        <w:spacing w:line="272" w:lineRule="exact"/>
        <w:ind w:left="653"/>
      </w:pPr>
      <w:r>
        <w:rPr/>
        <w:t>（</w:t>
      </w:r>
      <w:r>
        <w:rPr>
          <w:rFonts w:ascii="Times New Roman" w:eastAsia="Times New Roman"/>
        </w:rPr>
        <w:t>4</w:t>
      </w:r>
      <w:r>
        <w:rPr/>
        <w:t>）动脉血氧分压（</w:t>
      </w:r>
      <w:r>
        <w:rPr>
          <w:rFonts w:ascii="Times New Roman" w:eastAsia="Times New Roman"/>
        </w:rPr>
        <w:t>PaO2</w:t>
      </w:r>
      <w:r>
        <w:rPr/>
        <w:t>）低于</w:t>
      </w:r>
      <w:r>
        <w:rPr>
          <w:rFonts w:ascii="Times New Roman" w:eastAsia="Times New Roman"/>
        </w:rPr>
        <w:t>55mmHg</w:t>
      </w:r>
      <w:r>
        <w:rPr/>
        <w:t>。</w:t>
      </w:r>
    </w:p>
    <w:p>
      <w:pPr>
        <w:pStyle w:val="BodyText"/>
        <w:spacing w:line="223" w:lineRule="auto" w:before="12"/>
        <w:ind w:left="232" w:right="210" w:firstLine="420"/>
      </w:pPr>
      <w:r>
        <w:rPr/>
        <w:t>被保险人患有单基因病（常染色体或性染色体遗传病等）或在国际疾病分类（</w:t>
      </w:r>
      <w:r>
        <w:rPr>
          <w:rFonts w:ascii="Times New Roman" w:eastAsia="Times New Roman"/>
        </w:rPr>
        <w:t>ICD-10</w:t>
      </w:r>
      <w:r>
        <w:rPr/>
        <w:t>）中归属于先天性畸形、变形和染色体异常的疾病而导致的慢性肺功能衰竭，不在严重慢性肺功能衰竭保障范围之内。</w:t>
      </w:r>
    </w:p>
    <w:p>
      <w:pPr>
        <w:pStyle w:val="BodyText"/>
        <w:spacing w:before="7"/>
        <w:ind w:left="0"/>
        <w:rPr>
          <w:sz w:val="20"/>
        </w:rPr>
      </w:pPr>
    </w:p>
    <w:p>
      <w:pPr>
        <w:pStyle w:val="BodyText"/>
        <w:spacing w:line="274" w:lineRule="exact" w:before="1"/>
        <w:ind w:left="653"/>
      </w:pPr>
      <w:r>
        <w:rPr/>
        <w:t>（二十八）严重多发性硬化症</w:t>
      </w:r>
    </w:p>
    <w:p>
      <w:pPr>
        <w:pStyle w:val="BodyText"/>
        <w:spacing w:line="223" w:lineRule="auto" w:before="20"/>
        <w:ind w:left="232" w:right="102" w:firstLine="420"/>
      </w:pPr>
      <w:r>
        <w:rPr>
          <w:spacing w:val="-8"/>
        </w:rPr>
        <w:t>多发性硬化为中枢神经系统白质多灶性脱髓鞘病变。多发性硬化须由核磁共振</w:t>
      </w:r>
      <w:r>
        <w:rPr>
          <w:spacing w:val="-14"/>
        </w:rPr>
        <w:t>（</w:t>
      </w:r>
      <w:r>
        <w:rPr>
          <w:rFonts w:ascii="Times New Roman" w:eastAsia="Times New Roman"/>
          <w:spacing w:val="-14"/>
        </w:rPr>
        <w:t>MRI</w:t>
      </w:r>
      <w:r>
        <w:rPr>
          <w:spacing w:val="-14"/>
        </w:rPr>
        <w:t>）</w:t>
      </w:r>
      <w:r>
        <w:rPr>
          <w:spacing w:val="-3"/>
        </w:rPr>
        <w:t>等影像学检查证实， 并且被保险人已永久不可逆地无法独立完成下列任何一项基本日常生活活动：</w:t>
      </w:r>
    </w:p>
    <w:p>
      <w:pPr>
        <w:pStyle w:val="BodyText"/>
        <w:spacing w:line="280" w:lineRule="exact"/>
        <w:ind w:left="653"/>
      </w:pPr>
      <w:r>
        <w:rPr/>
        <w:t>（</w:t>
      </w:r>
      <w:r>
        <w:rPr>
          <w:rFonts w:ascii="Times New Roman" w:eastAsia="Times New Roman"/>
        </w:rPr>
        <w:t>1</w:t>
      </w:r>
      <w:r>
        <w:rPr/>
        <w:t>）移动：自己从一个房间到另一个房间；</w:t>
      </w:r>
    </w:p>
    <w:p>
      <w:pPr>
        <w:pStyle w:val="BodyText"/>
        <w:spacing w:line="281" w:lineRule="exact"/>
        <w:ind w:left="653"/>
      </w:pPr>
      <w:r>
        <w:rPr/>
        <w:t>（</w:t>
      </w:r>
      <w:r>
        <w:rPr>
          <w:rFonts w:ascii="Times New Roman" w:eastAsia="Times New Roman"/>
        </w:rPr>
        <w:t>2</w:t>
      </w:r>
      <w:r>
        <w:rPr/>
        <w:t>）进食：自己从已准备好的碗或碟中取食物放入口中。</w:t>
      </w:r>
    </w:p>
    <w:p>
      <w:pPr>
        <w:pStyle w:val="BodyText"/>
        <w:spacing w:before="5"/>
        <w:ind w:left="0"/>
        <w:rPr>
          <w:sz w:val="19"/>
        </w:rPr>
      </w:pPr>
    </w:p>
    <w:p>
      <w:pPr>
        <w:pStyle w:val="BodyText"/>
        <w:spacing w:line="274" w:lineRule="exact"/>
        <w:ind w:left="653"/>
      </w:pPr>
      <w:r>
        <w:rPr/>
        <w:t>（二十九）严重溃疡性结肠炎</w:t>
      </w:r>
    </w:p>
    <w:p>
      <w:pPr>
        <w:pStyle w:val="BodyText"/>
        <w:spacing w:line="237" w:lineRule="auto" w:before="1"/>
        <w:ind w:left="232" w:right="210" w:firstLine="420"/>
        <w:jc w:val="both"/>
      </w:pPr>
      <w:r>
        <w:rPr>
          <w:spacing w:val="-8"/>
        </w:rPr>
        <w:t>指伴有致命性电解质紊乱的急性暴发性溃疡性结肠炎，病变累及全结肠，表现为严重的血便和系统性症状</w:t>
      </w:r>
      <w:r>
        <w:rPr>
          <w:spacing w:val="-10"/>
        </w:rPr>
        <w:t>体征，治疗通常采取全结肠切除和回肠造瘘术。溃疡性结肠炎必须根据组织病理学特点诊断，并且被保险人已</w:t>
      </w:r>
      <w:r>
        <w:rPr>
          <w:spacing w:val="-5"/>
        </w:rPr>
        <w:t>经接受了结肠切除和回肠造瘘术。</w:t>
      </w:r>
    </w:p>
    <w:p>
      <w:pPr>
        <w:pStyle w:val="BodyText"/>
        <w:spacing w:before="7"/>
        <w:ind w:left="0"/>
        <w:rPr>
          <w:sz w:val="20"/>
        </w:rPr>
      </w:pPr>
    </w:p>
    <w:p>
      <w:pPr>
        <w:pStyle w:val="BodyText"/>
        <w:spacing w:line="273" w:lineRule="exact"/>
        <w:ind w:left="653"/>
      </w:pPr>
      <w:r>
        <w:rPr/>
        <w:t>（三十）严重系统性红斑狼疮性肾病</w:t>
      </w:r>
    </w:p>
    <w:p>
      <w:pPr>
        <w:pStyle w:val="BodyText"/>
        <w:spacing w:line="272" w:lineRule="exact"/>
        <w:ind w:left="653"/>
      </w:pPr>
      <w:r>
        <w:rPr/>
        <w:t>指由多种因素引起、累及多系统的、并导致肾脏损害的自身免疫性疾病，其诊断须符合世界卫生组织</w:t>
      </w:r>
    </w:p>
    <w:p>
      <w:pPr>
        <w:spacing w:line="184" w:lineRule="auto" w:before="67"/>
        <w:ind w:left="646" w:right="712" w:hanging="414"/>
        <w:jc w:val="left"/>
        <w:rPr>
          <w:rFonts w:ascii="微软雅黑" w:eastAsia="微软雅黑" w:hint="eastAsia"/>
          <w:b/>
          <w:sz w:val="21"/>
        </w:rPr>
      </w:pPr>
      <w:r>
        <w:rPr/>
        <w:pict>
          <v:shape style="position:absolute;margin-left:50.52pt;margin-top:28.950651pt;width:368.85pt;height:93.05pt;mso-position-horizontal-relative:page;mso-position-vertical-relative:paragraph;z-index:1072"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715"/>
                    <w:gridCol w:w="4619"/>
                  </w:tblGrid>
                  <w:tr>
                    <w:trPr>
                      <w:trHeight w:val="332" w:hRule="atLeast"/>
                    </w:trPr>
                    <w:tc>
                      <w:tcPr>
                        <w:tcW w:w="2715" w:type="dxa"/>
                        <w:tcBorders>
                          <w:bottom w:val="single" w:sz="6" w:space="0" w:color="000000"/>
                          <w:right w:val="single" w:sz="6" w:space="0" w:color="000000"/>
                        </w:tcBorders>
                      </w:tcPr>
                      <w:p>
                        <w:pPr>
                          <w:pStyle w:val="TableParagraph"/>
                          <w:spacing w:line="256" w:lineRule="exact"/>
                          <w:rPr>
                            <w:sz w:val="21"/>
                          </w:rPr>
                        </w:pPr>
                        <w:r>
                          <w:rPr>
                            <w:rFonts w:ascii="Times New Roman" w:eastAsia="Times New Roman"/>
                            <w:sz w:val="21"/>
                          </w:rPr>
                          <w:t>I</w:t>
                        </w:r>
                        <w:r>
                          <w:rPr>
                            <w:sz w:val="21"/>
                          </w:rPr>
                          <w:t>型（微小病变型）</w:t>
                        </w:r>
                      </w:p>
                    </w:tc>
                    <w:tc>
                      <w:tcPr>
                        <w:tcW w:w="4619" w:type="dxa"/>
                        <w:tcBorders>
                          <w:left w:val="single" w:sz="6" w:space="0" w:color="000000"/>
                          <w:bottom w:val="single" w:sz="6" w:space="0" w:color="000000"/>
                        </w:tcBorders>
                      </w:tcPr>
                      <w:p>
                        <w:pPr>
                          <w:pStyle w:val="TableParagraph"/>
                          <w:spacing w:line="240" w:lineRule="exact"/>
                          <w:ind w:left="117"/>
                          <w:rPr>
                            <w:sz w:val="21"/>
                          </w:rPr>
                        </w:pPr>
                        <w:r>
                          <w:rPr>
                            <w:sz w:val="21"/>
                          </w:rPr>
                          <w:t>镜下阴性，尿液正常</w:t>
                        </w:r>
                      </w:p>
                    </w:tc>
                  </w:tr>
                  <w:tr>
                    <w:trPr>
                      <w:trHeight w:val="323" w:hRule="atLeast"/>
                    </w:trPr>
                    <w:tc>
                      <w:tcPr>
                        <w:tcW w:w="2715" w:type="dxa"/>
                        <w:tcBorders>
                          <w:top w:val="single" w:sz="6" w:space="0" w:color="000000"/>
                          <w:bottom w:val="single" w:sz="6" w:space="0" w:color="000000"/>
                          <w:right w:val="single" w:sz="6" w:space="0" w:color="000000"/>
                        </w:tcBorders>
                      </w:tcPr>
                      <w:p>
                        <w:pPr>
                          <w:pStyle w:val="TableParagraph"/>
                          <w:spacing w:line="257" w:lineRule="exact"/>
                          <w:rPr>
                            <w:sz w:val="21"/>
                          </w:rPr>
                        </w:pPr>
                        <w:r>
                          <w:rPr>
                            <w:rFonts w:ascii="Times New Roman" w:eastAsia="Times New Roman"/>
                            <w:sz w:val="21"/>
                          </w:rPr>
                          <w:t>II </w:t>
                        </w:r>
                        <w:r>
                          <w:rPr>
                            <w:sz w:val="21"/>
                          </w:rPr>
                          <w:t>型（系膜病变型）</w:t>
                        </w:r>
                      </w:p>
                    </w:tc>
                    <w:tc>
                      <w:tcPr>
                        <w:tcW w:w="4619" w:type="dxa"/>
                        <w:tcBorders>
                          <w:top w:val="single" w:sz="6" w:space="0" w:color="000000"/>
                          <w:left w:val="single" w:sz="6" w:space="0" w:color="000000"/>
                          <w:bottom w:val="single" w:sz="6" w:space="0" w:color="000000"/>
                        </w:tcBorders>
                      </w:tcPr>
                      <w:p>
                        <w:pPr>
                          <w:pStyle w:val="TableParagraph"/>
                          <w:spacing w:line="241" w:lineRule="exact"/>
                          <w:ind w:left="117"/>
                          <w:rPr>
                            <w:sz w:val="21"/>
                          </w:rPr>
                        </w:pPr>
                        <w:r>
                          <w:rPr>
                            <w:sz w:val="21"/>
                          </w:rPr>
                          <w:t>中度蛋白尿，偶有尿沉渣改变</w:t>
                        </w:r>
                      </w:p>
                    </w:tc>
                  </w:tr>
                  <w:tr>
                    <w:trPr>
                      <w:trHeight w:val="349" w:hRule="atLeast"/>
                    </w:trPr>
                    <w:tc>
                      <w:tcPr>
                        <w:tcW w:w="2715" w:type="dxa"/>
                        <w:tcBorders>
                          <w:top w:val="single" w:sz="6" w:space="0" w:color="000000"/>
                          <w:bottom w:val="single" w:sz="6" w:space="0" w:color="000000"/>
                          <w:right w:val="single" w:sz="6" w:space="0" w:color="000000"/>
                        </w:tcBorders>
                      </w:tcPr>
                      <w:p>
                        <w:pPr>
                          <w:pStyle w:val="TableParagraph"/>
                          <w:spacing w:line="256" w:lineRule="exact"/>
                          <w:rPr>
                            <w:sz w:val="21"/>
                          </w:rPr>
                        </w:pPr>
                        <w:r>
                          <w:rPr>
                            <w:rFonts w:ascii="Times New Roman" w:eastAsia="Times New Roman"/>
                            <w:sz w:val="21"/>
                          </w:rPr>
                          <w:t>III </w:t>
                        </w:r>
                        <w:r>
                          <w:rPr>
                            <w:sz w:val="21"/>
                          </w:rPr>
                          <w:t>型（局灶及节段增生型）</w:t>
                        </w:r>
                      </w:p>
                    </w:tc>
                    <w:tc>
                      <w:tcPr>
                        <w:tcW w:w="4619" w:type="dxa"/>
                        <w:tcBorders>
                          <w:top w:val="single" w:sz="6" w:space="0" w:color="000000"/>
                          <w:left w:val="single" w:sz="6" w:space="0" w:color="000000"/>
                          <w:bottom w:val="single" w:sz="6" w:space="0" w:color="000000"/>
                        </w:tcBorders>
                      </w:tcPr>
                      <w:p>
                        <w:pPr>
                          <w:pStyle w:val="TableParagraph"/>
                          <w:spacing w:line="240" w:lineRule="exact"/>
                          <w:ind w:left="117"/>
                          <w:rPr>
                            <w:sz w:val="21"/>
                          </w:rPr>
                        </w:pPr>
                        <w:r>
                          <w:rPr>
                            <w:sz w:val="21"/>
                          </w:rPr>
                          <w:t>蛋白尿，尿沉渣改变</w:t>
                        </w:r>
                      </w:p>
                    </w:tc>
                  </w:tr>
                  <w:tr>
                    <w:trPr>
                      <w:trHeight w:val="368" w:hRule="atLeast"/>
                    </w:trPr>
                    <w:tc>
                      <w:tcPr>
                        <w:tcW w:w="2715" w:type="dxa"/>
                        <w:tcBorders>
                          <w:top w:val="single" w:sz="6" w:space="0" w:color="000000"/>
                          <w:bottom w:val="single" w:sz="6" w:space="0" w:color="000000"/>
                          <w:right w:val="single" w:sz="6" w:space="0" w:color="000000"/>
                        </w:tcBorders>
                      </w:tcPr>
                      <w:p>
                        <w:pPr>
                          <w:pStyle w:val="TableParagraph"/>
                          <w:spacing w:line="259" w:lineRule="exact"/>
                          <w:rPr>
                            <w:sz w:val="21"/>
                          </w:rPr>
                        </w:pPr>
                        <w:r>
                          <w:rPr>
                            <w:rFonts w:ascii="Times New Roman" w:eastAsia="Times New Roman"/>
                            <w:sz w:val="21"/>
                          </w:rPr>
                          <w:t>IV </w:t>
                        </w:r>
                        <w:r>
                          <w:rPr>
                            <w:sz w:val="21"/>
                          </w:rPr>
                          <w:t>型（弥漫增生型）</w:t>
                        </w:r>
                      </w:p>
                    </w:tc>
                    <w:tc>
                      <w:tcPr>
                        <w:tcW w:w="4619" w:type="dxa"/>
                        <w:tcBorders>
                          <w:top w:val="single" w:sz="6" w:space="0" w:color="000000"/>
                          <w:left w:val="single" w:sz="6" w:space="0" w:color="000000"/>
                          <w:bottom w:val="single" w:sz="6" w:space="0" w:color="000000"/>
                        </w:tcBorders>
                      </w:tcPr>
                      <w:p>
                        <w:pPr>
                          <w:pStyle w:val="TableParagraph"/>
                          <w:spacing w:line="243" w:lineRule="exact"/>
                          <w:ind w:left="117"/>
                          <w:rPr>
                            <w:sz w:val="21"/>
                          </w:rPr>
                        </w:pPr>
                        <w:r>
                          <w:rPr>
                            <w:sz w:val="21"/>
                          </w:rPr>
                          <w:t>急性肾炎伴有尿沉渣改变及／或肾病综合征</w:t>
                        </w:r>
                      </w:p>
                    </w:tc>
                  </w:tr>
                  <w:tr>
                    <w:trPr>
                      <w:trHeight w:val="366" w:hRule="atLeast"/>
                    </w:trPr>
                    <w:tc>
                      <w:tcPr>
                        <w:tcW w:w="2715" w:type="dxa"/>
                        <w:tcBorders>
                          <w:top w:val="single" w:sz="6" w:space="0" w:color="000000"/>
                          <w:right w:val="single" w:sz="6" w:space="0" w:color="000000"/>
                        </w:tcBorders>
                      </w:tcPr>
                      <w:p>
                        <w:pPr>
                          <w:pStyle w:val="TableParagraph"/>
                          <w:spacing w:line="259" w:lineRule="exact"/>
                          <w:rPr>
                            <w:sz w:val="21"/>
                          </w:rPr>
                        </w:pPr>
                        <w:r>
                          <w:rPr>
                            <w:rFonts w:ascii="Times New Roman" w:eastAsia="Times New Roman"/>
                            <w:sz w:val="21"/>
                          </w:rPr>
                          <w:t>V </w:t>
                        </w:r>
                        <w:r>
                          <w:rPr>
                            <w:sz w:val="21"/>
                          </w:rPr>
                          <w:t>型（膜型）</w:t>
                        </w:r>
                      </w:p>
                    </w:tc>
                    <w:tc>
                      <w:tcPr>
                        <w:tcW w:w="4619" w:type="dxa"/>
                        <w:tcBorders>
                          <w:top w:val="single" w:sz="6" w:space="0" w:color="000000"/>
                          <w:left w:val="single" w:sz="6" w:space="0" w:color="000000"/>
                        </w:tcBorders>
                      </w:tcPr>
                      <w:p>
                        <w:pPr>
                          <w:pStyle w:val="TableParagraph"/>
                          <w:spacing w:line="243" w:lineRule="exact"/>
                          <w:ind w:left="117"/>
                          <w:rPr>
                            <w:sz w:val="21"/>
                          </w:rPr>
                        </w:pPr>
                        <w:r>
                          <w:rPr>
                            <w:sz w:val="21"/>
                          </w:rPr>
                          <w:t>肾病综合征或重度蛋白尿</w:t>
                        </w:r>
                      </w:p>
                    </w:tc>
                  </w:tr>
                </w:tbl>
                <w:p>
                  <w:pPr>
                    <w:pStyle w:val="BodyText"/>
                    <w:ind w:left="0"/>
                  </w:pPr>
                </w:p>
              </w:txbxContent>
            </v:textbox>
            <w10:wrap type="none"/>
          </v:shape>
        </w:pict>
      </w:r>
      <w:r>
        <w:rPr>
          <w:sz w:val="21"/>
        </w:rPr>
        <w:t>（</w:t>
      </w:r>
      <w:r>
        <w:rPr>
          <w:rFonts w:ascii="Times New Roman" w:eastAsia="Times New Roman"/>
          <w:sz w:val="21"/>
        </w:rPr>
        <w:t>WHO</w:t>
      </w:r>
      <w:r>
        <w:rPr>
          <w:sz w:val="21"/>
        </w:rPr>
        <w:t>）</w:t>
      </w:r>
      <w:r>
        <w:rPr>
          <w:spacing w:val="-7"/>
          <w:sz w:val="21"/>
        </w:rPr>
        <w:t>狼疮性肾炎分型诊断标准的 </w:t>
      </w:r>
      <w:r>
        <w:rPr>
          <w:rFonts w:ascii="Times New Roman" w:eastAsia="Times New Roman"/>
          <w:sz w:val="21"/>
        </w:rPr>
        <w:t>III </w:t>
      </w:r>
      <w:r>
        <w:rPr>
          <w:spacing w:val="-22"/>
          <w:sz w:val="21"/>
        </w:rPr>
        <w:t>至 </w:t>
      </w:r>
      <w:r>
        <w:rPr>
          <w:rFonts w:ascii="Times New Roman" w:eastAsia="Times New Roman"/>
          <w:sz w:val="21"/>
        </w:rPr>
        <w:t>V </w:t>
      </w:r>
      <w:r>
        <w:rPr>
          <w:spacing w:val="-3"/>
          <w:sz w:val="21"/>
        </w:rPr>
        <w:t>型、经肾脏活组织病理检查证实并由免疫专科医师确认。</w:t>
      </w:r>
      <w:r>
        <w:rPr>
          <w:rFonts w:ascii="微软雅黑" w:eastAsia="微软雅黑" w:hint="eastAsia"/>
          <w:b/>
          <w:spacing w:val="-3"/>
          <w:w w:val="90"/>
          <w:sz w:val="21"/>
        </w:rPr>
        <w:t>世界卫生组织（WHO）</w:t>
      </w:r>
      <w:r>
        <w:rPr>
          <w:rFonts w:ascii="微软雅黑" w:eastAsia="微软雅黑" w:hint="eastAsia"/>
          <w:b/>
          <w:spacing w:val="-2"/>
          <w:w w:val="90"/>
          <w:sz w:val="21"/>
        </w:rPr>
        <w:t>狼疮性肾炎分型：</w:t>
      </w:r>
    </w:p>
    <w:p>
      <w:pPr>
        <w:pStyle w:val="BodyText"/>
        <w:ind w:left="0"/>
        <w:rPr>
          <w:rFonts w:ascii="微软雅黑"/>
          <w:b/>
          <w:sz w:val="20"/>
        </w:rPr>
      </w:pPr>
    </w:p>
    <w:p>
      <w:pPr>
        <w:pStyle w:val="BodyText"/>
        <w:ind w:left="0"/>
        <w:rPr>
          <w:rFonts w:ascii="微软雅黑"/>
          <w:b/>
          <w:sz w:val="20"/>
        </w:rPr>
      </w:pPr>
    </w:p>
    <w:p>
      <w:pPr>
        <w:pStyle w:val="BodyText"/>
        <w:ind w:left="0"/>
        <w:rPr>
          <w:rFonts w:ascii="微软雅黑"/>
          <w:b/>
          <w:sz w:val="20"/>
        </w:rPr>
      </w:pPr>
    </w:p>
    <w:p>
      <w:pPr>
        <w:pStyle w:val="BodyText"/>
        <w:ind w:left="0"/>
        <w:rPr>
          <w:rFonts w:ascii="微软雅黑"/>
          <w:b/>
          <w:sz w:val="20"/>
        </w:rPr>
      </w:pPr>
    </w:p>
    <w:p>
      <w:pPr>
        <w:pStyle w:val="BodyText"/>
        <w:spacing w:before="16"/>
        <w:ind w:left="0"/>
        <w:rPr>
          <w:rFonts w:ascii="微软雅黑"/>
          <w:b/>
          <w:sz w:val="24"/>
        </w:rPr>
      </w:pPr>
    </w:p>
    <w:p>
      <w:pPr>
        <w:pStyle w:val="BodyText"/>
        <w:tabs>
          <w:tab w:pos="1497" w:val="left" w:leader="none"/>
        </w:tabs>
        <w:spacing w:line="570" w:lineRule="atLeast"/>
        <w:ind w:left="653" w:right="2939"/>
        <w:rPr>
          <w:rFonts w:ascii="微软雅黑" w:eastAsia="微软雅黑" w:hint="eastAsia"/>
          <w:b/>
        </w:rPr>
      </w:pPr>
      <w:r>
        <w:rPr/>
        <w:t>不包</w:t>
      </w:r>
      <w:r>
        <w:rPr>
          <w:spacing w:val="-3"/>
        </w:rPr>
        <w:t>括</w:t>
      </w:r>
      <w:r>
        <w:rPr/>
        <w:t>仅</w:t>
      </w:r>
      <w:r>
        <w:rPr>
          <w:spacing w:val="-3"/>
        </w:rPr>
        <w:t>累</w:t>
      </w:r>
      <w:r>
        <w:rPr/>
        <w:t>及</w:t>
      </w:r>
      <w:r>
        <w:rPr>
          <w:spacing w:val="-3"/>
        </w:rPr>
        <w:t>血</w:t>
      </w:r>
      <w:r>
        <w:rPr/>
        <w:t>液</w:t>
      </w:r>
      <w:r>
        <w:rPr>
          <w:spacing w:val="-3"/>
        </w:rPr>
        <w:t>及</w:t>
      </w:r>
      <w:r>
        <w:rPr/>
        <w:t>关</w:t>
      </w:r>
      <w:r>
        <w:rPr>
          <w:spacing w:val="-3"/>
        </w:rPr>
        <w:t>节</w:t>
      </w:r>
      <w:r>
        <w:rPr/>
        <w:t>的狼</w:t>
      </w:r>
      <w:r>
        <w:rPr>
          <w:spacing w:val="-3"/>
        </w:rPr>
        <w:t>疮</w:t>
      </w:r>
      <w:r>
        <w:rPr/>
        <w:t>或</w:t>
      </w:r>
      <w:r>
        <w:rPr>
          <w:spacing w:val="-3"/>
        </w:rPr>
        <w:t>其</w:t>
      </w:r>
      <w:r>
        <w:rPr/>
        <w:t>他</w:t>
      </w:r>
      <w:r>
        <w:rPr>
          <w:spacing w:val="-3"/>
        </w:rPr>
        <w:t>类</w:t>
      </w:r>
      <w:r>
        <w:rPr/>
        <w:t>型</w:t>
      </w:r>
      <w:r>
        <w:rPr>
          <w:spacing w:val="-3"/>
        </w:rPr>
        <w:t>的</w:t>
      </w:r>
      <w:r>
        <w:rPr/>
        <w:t>红</w:t>
      </w:r>
      <w:r>
        <w:rPr>
          <w:spacing w:val="-3"/>
        </w:rPr>
        <w:t>斑</w:t>
      </w:r>
      <w:r>
        <w:rPr/>
        <w:t>性狼</w:t>
      </w:r>
      <w:r>
        <w:rPr>
          <w:spacing w:val="-3"/>
        </w:rPr>
        <w:t>疮</w:t>
      </w:r>
      <w:r>
        <w:rPr/>
        <w:t>（</w:t>
      </w:r>
      <w:r>
        <w:rPr>
          <w:spacing w:val="-3"/>
        </w:rPr>
        <w:t>如</w:t>
      </w:r>
      <w:r>
        <w:rPr/>
        <w:t>盘</w:t>
      </w:r>
      <w:r>
        <w:rPr>
          <w:spacing w:val="-3"/>
        </w:rPr>
        <w:t>状</w:t>
      </w:r>
      <w:r>
        <w:rPr/>
        <w:t>狼</w:t>
      </w:r>
      <w:r>
        <w:rPr>
          <w:spacing w:val="-3"/>
        </w:rPr>
        <w:t>疮</w:t>
      </w:r>
      <w:r>
        <w:rPr>
          <w:spacing w:val="-106"/>
        </w:rPr>
        <w:t>）</w:t>
      </w:r>
      <w:r>
        <w:rPr/>
        <w:t>。</w:t>
      </w:r>
      <w:r>
        <w:rPr>
          <w:rFonts w:ascii="微软雅黑" w:eastAsia="微软雅黑" w:hint="eastAsia"/>
          <w:b/>
        </w:rPr>
        <w:t>第八条</w:t>
        <w:tab/>
        <w:t>释义</w:t>
      </w:r>
    </w:p>
    <w:p>
      <w:pPr>
        <w:pStyle w:val="BodyText"/>
        <w:spacing w:line="272" w:lineRule="exact" w:before="1"/>
        <w:ind w:left="232" w:right="210" w:firstLine="420"/>
      </w:pPr>
      <w:r>
        <w:rPr>
          <w:spacing w:val="-13"/>
        </w:rPr>
        <w:t>一、发病：本附加合同所称的发病是指被保险人出现本附加合同所约定的各种疾病的前兆或异常的身体状</w:t>
      </w:r>
      <w:r>
        <w:rPr>
          <w:spacing w:val="-6"/>
        </w:rPr>
        <w:t>况，该疾病的前兆或异常的身体状况足以引起注意或应当引起注意并寻求检查、诊断、治疗或护理。</w:t>
      </w:r>
    </w:p>
    <w:p>
      <w:pPr>
        <w:pStyle w:val="BodyText"/>
        <w:spacing w:line="247" w:lineRule="exact"/>
        <w:ind w:left="653"/>
      </w:pPr>
      <w:r>
        <w:rPr/>
        <w:t>二、永久不可逆：指自本附加合同所约定的任何一项重大疾病确诊或意外伤害发生之日起，经过积极治疗</w:t>
      </w:r>
    </w:p>
    <w:p>
      <w:pPr>
        <w:pStyle w:val="BodyText"/>
        <w:ind w:left="653" w:right="6188" w:hanging="421"/>
      </w:pPr>
      <w:r>
        <w:rPr/>
        <w:t>180 天后，仍无法通过现有医疗手段恢复。三、日常生活活动</w:t>
      </w:r>
    </w:p>
    <w:p>
      <w:pPr>
        <w:pStyle w:val="BodyText"/>
        <w:spacing w:line="271" w:lineRule="exact" w:before="1"/>
        <w:ind w:left="653"/>
      </w:pPr>
      <w:r>
        <w:rPr/>
        <w:t>六项基本日常生活活动是指：</w:t>
      </w:r>
    </w:p>
    <w:p>
      <w:pPr>
        <w:spacing w:after="0" w:line="271" w:lineRule="exact"/>
        <w:sectPr>
          <w:pgSz w:w="11910" w:h="16840"/>
          <w:pgMar w:header="0" w:footer="992" w:top="840" w:bottom="1180" w:left="900" w:right="580"/>
        </w:sectPr>
      </w:pPr>
    </w:p>
    <w:p>
      <w:pPr>
        <w:pStyle w:val="BodyText"/>
        <w:spacing w:line="273" w:lineRule="exact" w:before="14"/>
        <w:ind w:left="654"/>
      </w:pPr>
      <w:r>
        <w:rPr/>
        <w:t>（一）穿衣：自己能够穿衣及脱衣；</w:t>
      </w:r>
    </w:p>
    <w:p>
      <w:pPr>
        <w:pStyle w:val="BodyText"/>
        <w:spacing w:line="273" w:lineRule="exact"/>
        <w:ind w:left="654"/>
      </w:pPr>
      <w:r>
        <w:rPr/>
        <w:t>（二）移动：自己从一个房间到另一个房间；</w:t>
      </w:r>
    </w:p>
    <w:p>
      <w:pPr>
        <w:pStyle w:val="BodyText"/>
        <w:spacing w:line="273" w:lineRule="exact"/>
        <w:ind w:left="654"/>
      </w:pPr>
      <w:r>
        <w:rPr/>
        <w:t>（三）行动：自己上下床或上下轮椅；</w:t>
      </w:r>
    </w:p>
    <w:p>
      <w:pPr>
        <w:pStyle w:val="BodyText"/>
        <w:spacing w:line="272" w:lineRule="exact"/>
        <w:ind w:left="654"/>
      </w:pPr>
      <w:r>
        <w:rPr/>
        <w:t>（四）如厕：自己控制进行大小便；</w:t>
      </w:r>
    </w:p>
    <w:p>
      <w:pPr>
        <w:pStyle w:val="BodyText"/>
        <w:spacing w:line="272" w:lineRule="exact"/>
        <w:ind w:left="654"/>
      </w:pPr>
      <w:r>
        <w:rPr/>
        <w:t>（五）进食：自己从已准备好的碗或碟中取食物放入口中；</w:t>
      </w:r>
    </w:p>
    <w:p>
      <w:pPr>
        <w:pStyle w:val="BodyText"/>
        <w:ind w:left="654" w:right="6304"/>
      </w:pPr>
      <w:r>
        <w:rPr/>
        <w:t>（六）洗澡：自己进行淋浴或盆浴。四、肢体机能完全丧失</w:t>
      </w:r>
    </w:p>
    <w:p>
      <w:pPr>
        <w:pStyle w:val="BodyText"/>
        <w:ind w:left="234" w:right="106" w:firstLine="420"/>
      </w:pPr>
      <w:r>
        <w:rPr>
          <w:spacing w:val="-8"/>
        </w:rPr>
        <w:t>指肢体的三大关节中的两大关节僵硬，或不能随意识活动。肢体是指包括肩关节的整个上肢或包括髋关节</w:t>
      </w:r>
      <w:r>
        <w:rPr>
          <w:spacing w:val="-5"/>
        </w:rPr>
        <w:t>的整个下肢。</w:t>
      </w:r>
    </w:p>
    <w:p>
      <w:pPr>
        <w:pStyle w:val="BodyText"/>
        <w:spacing w:line="271" w:lineRule="exact" w:before="1"/>
        <w:ind w:left="654"/>
      </w:pPr>
      <w:r>
        <w:rPr/>
        <w:t>五、语言能力或咀嚼吞咽能力完全丧失</w:t>
      </w:r>
    </w:p>
    <w:p>
      <w:pPr>
        <w:pStyle w:val="BodyText"/>
        <w:spacing w:line="237" w:lineRule="auto" w:before="2"/>
        <w:ind w:left="234" w:right="111" w:firstLine="420"/>
      </w:pPr>
      <w:r>
        <w:rPr>
          <w:spacing w:val="-6"/>
        </w:rPr>
        <w:t>语言能力完全丧失，指无法发出四种语音</w:t>
      </w:r>
      <w:r>
        <w:rPr>
          <w:spacing w:val="-3"/>
        </w:rPr>
        <w:t>（</w:t>
      </w:r>
      <w:r>
        <w:rPr>
          <w:spacing w:val="-8"/>
        </w:rPr>
        <w:t>包括口唇音、齿舌音、口盖音和喉头音</w:t>
      </w:r>
      <w:r>
        <w:rPr>
          <w:spacing w:val="-20"/>
        </w:rPr>
        <w:t>）</w:t>
      </w:r>
      <w:r>
        <w:rPr>
          <w:spacing w:val="-6"/>
        </w:rPr>
        <w:t>中的任何三种、或声</w:t>
      </w:r>
      <w:r>
        <w:rPr>
          <w:spacing w:val="-4"/>
        </w:rPr>
        <w:t>带全部切除，或因大脑语言中枢受伤害而患失语症。</w:t>
      </w:r>
    </w:p>
    <w:p>
      <w:pPr>
        <w:pStyle w:val="BodyText"/>
        <w:spacing w:before="8"/>
        <w:ind w:left="0"/>
        <w:rPr>
          <w:sz w:val="20"/>
        </w:rPr>
      </w:pPr>
    </w:p>
    <w:p>
      <w:pPr>
        <w:pStyle w:val="BodyText"/>
        <w:ind w:left="234" w:right="108" w:firstLine="420"/>
      </w:pPr>
      <w:r>
        <w:rPr>
          <w:spacing w:val="-8"/>
        </w:rPr>
        <w:t>咀嚼吞咽能力完全丧失，指因牙齿以外的原因导致器质障碍或机能障碍，以致不能作咀嚼吞咽运动，除流</w:t>
      </w:r>
      <w:r>
        <w:rPr>
          <w:spacing w:val="-5"/>
        </w:rPr>
        <w:t>质食物外不能摄取或吞咽的状态。</w:t>
      </w:r>
    </w:p>
    <w:p>
      <w:pPr>
        <w:pStyle w:val="BodyText"/>
        <w:spacing w:line="271" w:lineRule="exact"/>
        <w:ind w:left="654"/>
      </w:pPr>
      <w:r>
        <w:rPr/>
        <w:t>六、专科医生</w:t>
      </w:r>
    </w:p>
    <w:p>
      <w:pPr>
        <w:pStyle w:val="BodyText"/>
        <w:spacing w:line="272" w:lineRule="exact"/>
        <w:ind w:left="654"/>
      </w:pPr>
      <w:r>
        <w:rPr/>
        <w:t>专科医生应当同时满足以下四项资格条件：</w:t>
      </w:r>
    </w:p>
    <w:p>
      <w:pPr>
        <w:pStyle w:val="BodyText"/>
        <w:spacing w:line="271" w:lineRule="exact"/>
        <w:ind w:left="654"/>
      </w:pPr>
      <w:r>
        <w:rPr/>
        <w:t>（一）具有有效的中华人民共和国《医师资格证书》；</w:t>
      </w:r>
    </w:p>
    <w:p>
      <w:pPr>
        <w:pStyle w:val="BodyText"/>
        <w:spacing w:line="272" w:lineRule="exact"/>
        <w:ind w:left="654"/>
      </w:pPr>
      <w:r>
        <w:rPr/>
        <w:t>（二）具有有效的中华人民共和国《医师执业证书》，并按期到相关部门登记注册；</w:t>
      </w:r>
    </w:p>
    <w:p>
      <w:pPr>
        <w:pStyle w:val="BodyText"/>
        <w:spacing w:line="272" w:lineRule="exact"/>
        <w:ind w:left="654"/>
      </w:pPr>
      <w:r>
        <w:rPr/>
        <w:t>（三）具有有效的中华人民共和国主治医师或主治医师以上职称的《医师职称证书》；</w:t>
      </w:r>
    </w:p>
    <w:p>
      <w:pPr>
        <w:pStyle w:val="BodyText"/>
        <w:ind w:left="654" w:right="3572"/>
      </w:pPr>
      <w:r>
        <w:rPr/>
        <w:t>（四）在二级或二级以上医院的相应科室从事临床工作三年以上。七、感染艾滋病病毒或患艾滋病</w:t>
      </w:r>
    </w:p>
    <w:p>
      <w:pPr>
        <w:pStyle w:val="BodyText"/>
        <w:spacing w:line="225" w:lineRule="auto" w:before="15"/>
        <w:ind w:left="234" w:right="109" w:firstLine="420"/>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before="7"/>
        <w:ind w:left="0"/>
        <w:rPr>
          <w:sz w:val="19"/>
        </w:rPr>
      </w:pPr>
    </w:p>
    <w:p>
      <w:pPr>
        <w:pStyle w:val="BodyText"/>
        <w:spacing w:line="237" w:lineRule="auto"/>
        <w:ind w:left="234" w:right="106" w:firstLine="420"/>
      </w:pPr>
      <w:r>
        <w:rPr>
          <w:spacing w:val="-7"/>
        </w:rPr>
        <w:t>在人体血液或其它样本中检测到艾滋病病毒或其抗体呈阳性，没有出现临床症状或体征的，为感染艾滋病</w:t>
      </w:r>
      <w:r>
        <w:rPr>
          <w:spacing w:val="-5"/>
        </w:rPr>
        <w:t>病毒；如果同时出现了明显临床症状或体征的，为患艾滋病。</w:t>
      </w:r>
    </w:p>
    <w:p>
      <w:pPr>
        <w:pStyle w:val="BodyText"/>
        <w:spacing w:line="272" w:lineRule="exact"/>
        <w:ind w:left="654"/>
      </w:pPr>
      <w:r>
        <w:rPr/>
        <w:t>八、遗传性疾病</w:t>
      </w:r>
    </w:p>
    <w:p>
      <w:pPr>
        <w:pStyle w:val="BodyText"/>
        <w:ind w:left="234" w:right="108" w:firstLine="420"/>
      </w:pPr>
      <w:r>
        <w:rPr>
          <w:spacing w:val="-6"/>
        </w:rPr>
        <w:t>指生殖细胞或受精卵的遗传物质</w:t>
      </w:r>
      <w:r>
        <w:rPr>
          <w:spacing w:val="-3"/>
        </w:rPr>
        <w:t>（染色体和基因</w:t>
      </w:r>
      <w:r>
        <w:rPr>
          <w:spacing w:val="-34"/>
        </w:rPr>
        <w:t>）</w:t>
      </w:r>
      <w:r>
        <w:rPr>
          <w:spacing w:val="-6"/>
        </w:rPr>
        <w:t>发生突变或畸变所引起的疾病，通常具有由亲代传至后</w:t>
      </w:r>
      <w:r>
        <w:rPr>
          <w:spacing w:val="-4"/>
        </w:rPr>
        <w:t>代的垂直传递的特征。</w:t>
      </w:r>
    </w:p>
    <w:p>
      <w:pPr>
        <w:pStyle w:val="BodyText"/>
        <w:spacing w:line="271" w:lineRule="exact" w:before="1"/>
        <w:ind w:left="654"/>
      </w:pPr>
      <w:r>
        <w:rPr/>
        <w:t>九、先天性畸形、变形或染色体异常</w:t>
      </w:r>
    </w:p>
    <w:p>
      <w:pPr>
        <w:pStyle w:val="BodyText"/>
        <w:spacing w:line="272" w:lineRule="exact"/>
        <w:ind w:left="654"/>
      </w:pPr>
      <w:r>
        <w:rPr/>
        <w:t>指被保险人出生时就具有的畸形、变形或染色体异常。先天性畸形、变形和染色体异常依照世界卫生组织</w:t>
      </w:r>
    </w:p>
    <w:p>
      <w:pPr>
        <w:pStyle w:val="BodyText"/>
        <w:spacing w:line="289" w:lineRule="exact"/>
        <w:ind w:left="234"/>
      </w:pPr>
      <w:r>
        <w:rPr/>
        <w:t>《疾病和有关健康问题的国际统计分类》（</w:t>
      </w:r>
      <w:r>
        <w:rPr>
          <w:rFonts w:ascii="Times New Roman" w:eastAsia="Times New Roman"/>
        </w:rPr>
        <w:t>ICD-10</w:t>
      </w:r>
      <w:r>
        <w:rPr/>
        <w:t>）确定。</w:t>
      </w:r>
    </w:p>
    <w:p>
      <w:pPr>
        <w:pStyle w:val="Heading1"/>
        <w:tabs>
          <w:tab w:pos="1499" w:val="left" w:leader="none"/>
        </w:tabs>
        <w:spacing w:line="349" w:lineRule="exact" w:before="191"/>
        <w:ind w:left="654"/>
      </w:pPr>
      <w:r>
        <w:rPr/>
        <w:t>第九条</w:t>
        <w:tab/>
        <w:t>特别说明</w:t>
      </w:r>
    </w:p>
    <w:p>
      <w:pPr>
        <w:pStyle w:val="BodyText"/>
        <w:spacing w:line="237" w:lineRule="auto"/>
        <w:ind w:left="234" w:right="108" w:firstLine="420"/>
      </w:pPr>
      <w:r>
        <w:rPr>
          <w:spacing w:val="-6"/>
        </w:rPr>
        <w:t>一、本合同第八条一至二十五款使用了中国保险行业协会《重大疾病保险的疾病定义使用规范》</w:t>
      </w:r>
      <w:r>
        <w:rPr>
          <w:spacing w:val="-3"/>
        </w:rPr>
        <w:t>（</w:t>
      </w:r>
      <w:r>
        <w:rPr>
          <w:spacing w:val="-2"/>
        </w:rPr>
        <w:t>中保协寿【</w:t>
      </w:r>
      <w:r>
        <w:rPr>
          <w:rFonts w:ascii="Times New Roman" w:eastAsia="Times New Roman"/>
          <w:spacing w:val="-2"/>
        </w:rPr>
        <w:t>2007</w:t>
      </w:r>
      <w:r>
        <w:rPr>
          <w:spacing w:val="-3"/>
        </w:rPr>
        <w:t>】</w:t>
      </w:r>
      <w:r>
        <w:rPr>
          <w:rFonts w:ascii="Times New Roman" w:eastAsia="Times New Roman"/>
        </w:rPr>
        <w:t>9 </w:t>
      </w:r>
      <w:r>
        <w:rPr>
          <w:spacing w:val="-3"/>
        </w:rPr>
        <w:t>号</w:t>
      </w:r>
      <w:r>
        <w:rPr/>
        <w:t>）</w:t>
      </w:r>
      <w:r>
        <w:rPr>
          <w:spacing w:val="-3"/>
        </w:rPr>
        <w:t>的疾病名称和疾病定义。</w:t>
      </w:r>
    </w:p>
    <w:p>
      <w:pPr>
        <w:pStyle w:val="BodyText"/>
        <w:spacing w:line="256" w:lineRule="exact" w:before="11"/>
        <w:ind w:left="654"/>
      </w:pPr>
      <w:r>
        <w:rPr/>
        <w:t>二、本合同第九条二至九款使用了中国保险行业协会《重大疾病保险的疾病定义使用规范》（中保协寿</w:t>
      </w:r>
    </w:p>
    <w:p>
      <w:pPr>
        <w:spacing w:line="398" w:lineRule="auto" w:before="0"/>
        <w:ind w:left="647" w:right="7408" w:hanging="413"/>
        <w:jc w:val="left"/>
        <w:rPr>
          <w:rFonts w:ascii="微软雅黑" w:eastAsia="微软雅黑" w:hint="eastAsia"/>
          <w:b/>
          <w:sz w:val="21"/>
        </w:rPr>
      </w:pPr>
      <w:r>
        <w:rPr/>
        <w:pict>
          <v:shape style="position:absolute;margin-left:33.599998pt;margin-top:42.503662pt;width:448.7pt;height:74.05pt;mso-position-horizontal-relative:page;mso-position-vertical-relative:paragraph;z-index:1096"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09"/>
                    <w:gridCol w:w="4321"/>
                  </w:tblGrid>
                  <w:tr>
                    <w:trPr>
                      <w:trHeight w:val="272" w:hRule="atLeast"/>
                    </w:trPr>
                    <w:tc>
                      <w:tcPr>
                        <w:tcW w:w="4609" w:type="dxa"/>
                        <w:tcBorders>
                          <w:bottom w:val="single" w:sz="6" w:space="0" w:color="000000"/>
                          <w:right w:val="single" w:sz="6" w:space="0" w:color="000000"/>
                        </w:tcBorders>
                      </w:tcPr>
                      <w:p>
                        <w:pPr>
                          <w:pStyle w:val="TableParagraph"/>
                          <w:rPr>
                            <w:sz w:val="21"/>
                          </w:rPr>
                        </w:pPr>
                        <w:r>
                          <w:rPr>
                            <w:rFonts w:ascii="Times New Roman" w:eastAsia="Times New Roman"/>
                            <w:sz w:val="21"/>
                          </w:rPr>
                          <w:t>1.  </w:t>
                        </w:r>
                        <w:r>
                          <w:rPr>
                            <w:sz w:val="21"/>
                          </w:rPr>
                          <w:t>恶性肿瘤</w:t>
                        </w:r>
                      </w:p>
                    </w:tc>
                    <w:tc>
                      <w:tcPr>
                        <w:tcW w:w="4321" w:type="dxa"/>
                        <w:tcBorders>
                          <w:left w:val="single" w:sz="6" w:space="0" w:color="000000"/>
                          <w:bottom w:val="single" w:sz="6" w:space="0" w:color="000000"/>
                        </w:tcBorders>
                      </w:tcPr>
                      <w:p>
                        <w:pPr>
                          <w:pStyle w:val="TableParagraph"/>
                          <w:ind w:left="114"/>
                          <w:rPr>
                            <w:sz w:val="21"/>
                          </w:rPr>
                        </w:pPr>
                        <w:r>
                          <w:rPr>
                            <w:rFonts w:ascii="Times New Roman" w:eastAsia="Times New Roman"/>
                            <w:sz w:val="21"/>
                          </w:rPr>
                          <w:t>2.  </w:t>
                        </w:r>
                        <w:r>
                          <w:rPr>
                            <w:sz w:val="21"/>
                          </w:rPr>
                          <w:t>急性心肌梗塞</w:t>
                        </w:r>
                      </w:p>
                    </w:tc>
                  </w:tr>
                  <w:tr>
                    <w:trPr>
                      <w:trHeight w:val="273"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3.  </w:t>
                        </w:r>
                        <w:r>
                          <w:rPr>
                            <w:sz w:val="21"/>
                          </w:rPr>
                          <w:t>脑中风后遗症</w:t>
                        </w:r>
                      </w:p>
                    </w:tc>
                    <w:tc>
                      <w:tcPr>
                        <w:tcW w:w="4321" w:type="dxa"/>
                        <w:tcBorders>
                          <w:top w:val="single" w:sz="6" w:space="0" w:color="000000"/>
                          <w:left w:val="single" w:sz="6" w:space="0" w:color="000000"/>
                          <w:bottom w:val="single" w:sz="6" w:space="0" w:color="000000"/>
                        </w:tcBorders>
                      </w:tcPr>
                      <w:p>
                        <w:pPr>
                          <w:pStyle w:val="TableParagraph"/>
                          <w:ind w:left="114"/>
                          <w:rPr>
                            <w:sz w:val="21"/>
                          </w:rPr>
                        </w:pPr>
                        <w:r>
                          <w:rPr>
                            <w:rFonts w:ascii="Times New Roman" w:eastAsia="Times New Roman"/>
                            <w:sz w:val="21"/>
                          </w:rPr>
                          <w:t>4.  </w:t>
                        </w:r>
                        <w:r>
                          <w:rPr>
                            <w:sz w:val="21"/>
                          </w:rPr>
                          <w:t>重大器官移植术或造血干细胞移植术</w:t>
                        </w:r>
                      </w:p>
                    </w:tc>
                  </w:tr>
                  <w:tr>
                    <w:trPr>
                      <w:trHeight w:val="273"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5.  </w:t>
                        </w:r>
                        <w:r>
                          <w:rPr>
                            <w:sz w:val="21"/>
                          </w:rPr>
                          <w:t>冠状动脉搭桥术（或称冠状动脉旁路移植术）</w:t>
                        </w:r>
                      </w:p>
                    </w:tc>
                    <w:tc>
                      <w:tcPr>
                        <w:tcW w:w="4321" w:type="dxa"/>
                        <w:tcBorders>
                          <w:top w:val="single" w:sz="6" w:space="0" w:color="000000"/>
                          <w:left w:val="single" w:sz="6" w:space="0" w:color="000000"/>
                          <w:bottom w:val="single" w:sz="6" w:space="0" w:color="000000"/>
                        </w:tcBorders>
                      </w:tcPr>
                      <w:p>
                        <w:pPr>
                          <w:pStyle w:val="TableParagraph"/>
                          <w:ind w:left="114" w:right="-15"/>
                          <w:rPr>
                            <w:sz w:val="21"/>
                          </w:rPr>
                        </w:pPr>
                        <w:r>
                          <w:rPr>
                            <w:rFonts w:ascii="Times New Roman" w:eastAsia="Times New Roman"/>
                            <w:sz w:val="21"/>
                          </w:rPr>
                          <w:t>6.</w:t>
                        </w:r>
                        <w:r>
                          <w:rPr>
                            <w:rFonts w:ascii="Times New Roman" w:eastAsia="Times New Roman"/>
                            <w:spacing w:val="10"/>
                            <w:sz w:val="21"/>
                          </w:rPr>
                          <w:t>  </w:t>
                        </w:r>
                        <w:r>
                          <w:rPr>
                            <w:spacing w:val="-17"/>
                            <w:sz w:val="21"/>
                          </w:rPr>
                          <w:t>终末期肾病</w:t>
                        </w:r>
                        <w:r>
                          <w:rPr>
                            <w:spacing w:val="-3"/>
                            <w:sz w:val="21"/>
                          </w:rPr>
                          <w:t>（或称慢性肾功能衰竭尿毒症</w:t>
                        </w:r>
                        <w:r>
                          <w:rPr>
                            <w:sz w:val="21"/>
                          </w:rPr>
                          <w:t>）</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7.  </w:t>
                        </w:r>
                        <w:r>
                          <w:rPr>
                            <w:sz w:val="21"/>
                          </w:rPr>
                          <w:t>心脏瓣膜手术</w:t>
                        </w:r>
                      </w:p>
                    </w:tc>
                    <w:tc>
                      <w:tcPr>
                        <w:tcW w:w="4321" w:type="dxa"/>
                        <w:tcBorders>
                          <w:top w:val="single" w:sz="6" w:space="0" w:color="000000"/>
                          <w:left w:val="single" w:sz="6" w:space="0" w:color="000000"/>
                          <w:bottom w:val="single" w:sz="6" w:space="0" w:color="000000"/>
                        </w:tcBorders>
                      </w:tcPr>
                      <w:p>
                        <w:pPr>
                          <w:pStyle w:val="TableParagraph"/>
                          <w:ind w:left="114"/>
                          <w:rPr>
                            <w:sz w:val="21"/>
                          </w:rPr>
                        </w:pPr>
                        <w:r>
                          <w:rPr>
                            <w:rFonts w:ascii="Times New Roman" w:eastAsia="Times New Roman"/>
                            <w:sz w:val="21"/>
                          </w:rPr>
                          <w:t>8.  </w:t>
                        </w:r>
                        <w:r>
                          <w:rPr>
                            <w:sz w:val="21"/>
                          </w:rPr>
                          <w:t>严重帕金森病</w:t>
                        </w:r>
                      </w:p>
                    </w:tc>
                  </w:tr>
                  <w:tr>
                    <w:trPr>
                      <w:trHeight w:val="270" w:hRule="atLeast"/>
                    </w:trPr>
                    <w:tc>
                      <w:tcPr>
                        <w:tcW w:w="4609" w:type="dxa"/>
                        <w:tcBorders>
                          <w:top w:val="single" w:sz="6" w:space="0" w:color="000000"/>
                          <w:right w:val="single" w:sz="6" w:space="0" w:color="000000"/>
                        </w:tcBorders>
                      </w:tcPr>
                      <w:p>
                        <w:pPr>
                          <w:pStyle w:val="TableParagraph"/>
                          <w:spacing w:line="250" w:lineRule="exact"/>
                          <w:rPr>
                            <w:sz w:val="21"/>
                          </w:rPr>
                        </w:pPr>
                        <w:r>
                          <w:rPr>
                            <w:rFonts w:ascii="Times New Roman" w:eastAsia="Times New Roman"/>
                            <w:sz w:val="21"/>
                          </w:rPr>
                          <w:t>9.  </w:t>
                        </w:r>
                        <w:r>
                          <w:rPr>
                            <w:sz w:val="21"/>
                          </w:rPr>
                          <w:t>主动脉手术</w:t>
                        </w:r>
                      </w:p>
                    </w:tc>
                    <w:tc>
                      <w:tcPr>
                        <w:tcW w:w="4321" w:type="dxa"/>
                        <w:tcBorders>
                          <w:top w:val="single" w:sz="6" w:space="0" w:color="000000"/>
                          <w:left w:val="single" w:sz="6" w:space="0" w:color="000000"/>
                        </w:tcBorders>
                      </w:tcPr>
                      <w:p>
                        <w:pPr>
                          <w:pStyle w:val="TableParagraph"/>
                          <w:spacing w:line="250" w:lineRule="exact"/>
                          <w:ind w:left="114"/>
                          <w:rPr>
                            <w:sz w:val="21"/>
                          </w:rPr>
                        </w:pPr>
                        <w:r>
                          <w:rPr>
                            <w:rFonts w:ascii="Times New Roman" w:eastAsia="Times New Roman"/>
                            <w:sz w:val="21"/>
                          </w:rPr>
                          <w:t>10.  </w:t>
                        </w:r>
                        <w:r>
                          <w:rPr>
                            <w:sz w:val="21"/>
                          </w:rPr>
                          <w:t>慢性肺功能衰竭</w:t>
                        </w:r>
                      </w:p>
                    </w:tc>
                  </w:tr>
                </w:tbl>
                <w:p>
                  <w:pPr>
                    <w:pStyle w:val="BodyText"/>
                    <w:ind w:left="0"/>
                  </w:pPr>
                </w:p>
              </w:txbxContent>
            </v:textbox>
            <w10:wrap type="none"/>
          </v:shape>
        </w:pict>
      </w:r>
      <w:r>
        <w:rPr>
          <w:sz w:val="21"/>
        </w:rPr>
        <w:t>【</w:t>
      </w:r>
      <w:r>
        <w:rPr>
          <w:rFonts w:ascii="Times New Roman" w:eastAsia="Times New Roman"/>
          <w:sz w:val="21"/>
        </w:rPr>
        <w:t>2007</w:t>
      </w:r>
      <w:r>
        <w:rPr>
          <w:sz w:val="21"/>
        </w:rPr>
        <w:t>】</w:t>
      </w:r>
      <w:r>
        <w:rPr>
          <w:rFonts w:ascii="Times New Roman" w:eastAsia="Times New Roman"/>
          <w:sz w:val="21"/>
        </w:rPr>
        <w:t>9 </w:t>
      </w:r>
      <w:r>
        <w:rPr>
          <w:sz w:val="21"/>
        </w:rPr>
        <w:t>号）的术语释义。</w:t>
      </w:r>
      <w:r>
        <w:rPr>
          <w:rFonts w:ascii="微软雅黑" w:eastAsia="微软雅黑" w:hint="eastAsia"/>
          <w:b/>
          <w:sz w:val="21"/>
        </w:rPr>
        <w:t>附表一 10 种重大疾病</w:t>
      </w:r>
    </w:p>
    <w:p>
      <w:pPr>
        <w:pStyle w:val="BodyText"/>
        <w:ind w:left="0"/>
        <w:rPr>
          <w:rFonts w:ascii="微软雅黑"/>
          <w:b/>
          <w:sz w:val="20"/>
        </w:rPr>
      </w:pPr>
    </w:p>
    <w:p>
      <w:pPr>
        <w:pStyle w:val="BodyText"/>
        <w:ind w:left="0"/>
        <w:rPr>
          <w:rFonts w:ascii="微软雅黑"/>
          <w:b/>
          <w:sz w:val="20"/>
        </w:rPr>
      </w:pPr>
    </w:p>
    <w:p>
      <w:pPr>
        <w:pStyle w:val="BodyText"/>
        <w:ind w:left="0"/>
        <w:rPr>
          <w:rFonts w:ascii="微软雅黑"/>
          <w:b/>
          <w:sz w:val="20"/>
        </w:rPr>
      </w:pPr>
    </w:p>
    <w:p>
      <w:pPr>
        <w:pStyle w:val="BodyText"/>
        <w:spacing w:before="13"/>
        <w:ind w:left="0"/>
        <w:rPr>
          <w:rFonts w:ascii="微软雅黑"/>
          <w:b/>
          <w:sz w:val="25"/>
        </w:rPr>
      </w:pPr>
    </w:p>
    <w:p>
      <w:pPr>
        <w:pStyle w:val="Heading1"/>
        <w:spacing w:line="240" w:lineRule="auto" w:after="7"/>
        <w:ind w:left="647"/>
      </w:pPr>
      <w:r>
        <w:rPr/>
        <w:t>附表二 20 种重大疾病</w:t>
      </w: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09"/>
        <w:gridCol w:w="4321"/>
      </w:tblGrid>
      <w:tr>
        <w:trPr>
          <w:trHeight w:val="272" w:hRule="atLeast"/>
        </w:trPr>
        <w:tc>
          <w:tcPr>
            <w:tcW w:w="4609" w:type="dxa"/>
            <w:tcBorders>
              <w:bottom w:val="single" w:sz="6" w:space="0" w:color="000000"/>
              <w:right w:val="single" w:sz="6" w:space="0" w:color="000000"/>
            </w:tcBorders>
          </w:tcPr>
          <w:p>
            <w:pPr>
              <w:pStyle w:val="TableParagraph"/>
              <w:rPr>
                <w:sz w:val="21"/>
              </w:rPr>
            </w:pPr>
            <w:r>
              <w:rPr>
                <w:rFonts w:ascii="Times New Roman" w:eastAsia="Times New Roman"/>
                <w:sz w:val="21"/>
              </w:rPr>
              <w:t>1.  </w:t>
            </w:r>
            <w:r>
              <w:rPr>
                <w:sz w:val="21"/>
              </w:rPr>
              <w:t>恶性肿瘤</w:t>
            </w:r>
          </w:p>
        </w:tc>
        <w:tc>
          <w:tcPr>
            <w:tcW w:w="4321" w:type="dxa"/>
            <w:tcBorders>
              <w:left w:val="single" w:sz="6" w:space="0" w:color="000000"/>
              <w:bottom w:val="single" w:sz="6" w:space="0" w:color="000000"/>
            </w:tcBorders>
          </w:tcPr>
          <w:p>
            <w:pPr>
              <w:pStyle w:val="TableParagraph"/>
              <w:ind w:left="114"/>
              <w:rPr>
                <w:sz w:val="21"/>
              </w:rPr>
            </w:pPr>
            <w:r>
              <w:rPr>
                <w:rFonts w:ascii="Times New Roman" w:eastAsia="Times New Roman"/>
                <w:sz w:val="21"/>
              </w:rPr>
              <w:t>2.  </w:t>
            </w:r>
            <w:r>
              <w:rPr>
                <w:sz w:val="21"/>
              </w:rPr>
              <w:t>急性心肌梗塞</w:t>
            </w:r>
          </w:p>
        </w:tc>
      </w:tr>
      <w:tr>
        <w:trPr>
          <w:trHeight w:val="270" w:hRule="atLeast"/>
        </w:trPr>
        <w:tc>
          <w:tcPr>
            <w:tcW w:w="4609" w:type="dxa"/>
            <w:tcBorders>
              <w:top w:val="single" w:sz="6" w:space="0" w:color="000000"/>
              <w:bottom w:val="single" w:sz="6" w:space="0" w:color="000000"/>
              <w:right w:val="single" w:sz="6" w:space="0" w:color="000000"/>
            </w:tcBorders>
          </w:tcPr>
          <w:p>
            <w:pPr>
              <w:pStyle w:val="TableParagraph"/>
              <w:spacing w:line="251" w:lineRule="exact"/>
              <w:rPr>
                <w:sz w:val="21"/>
              </w:rPr>
            </w:pPr>
            <w:r>
              <w:rPr>
                <w:rFonts w:ascii="Times New Roman" w:eastAsia="Times New Roman"/>
                <w:sz w:val="21"/>
              </w:rPr>
              <w:t>3.  </w:t>
            </w:r>
            <w:r>
              <w:rPr>
                <w:sz w:val="21"/>
              </w:rPr>
              <w:t>脑中风后遗症</w:t>
            </w:r>
          </w:p>
        </w:tc>
        <w:tc>
          <w:tcPr>
            <w:tcW w:w="4321" w:type="dxa"/>
            <w:tcBorders>
              <w:top w:val="single" w:sz="6" w:space="0" w:color="000000"/>
              <w:left w:val="single" w:sz="6" w:space="0" w:color="000000"/>
              <w:bottom w:val="single" w:sz="6" w:space="0" w:color="000000"/>
            </w:tcBorders>
          </w:tcPr>
          <w:p>
            <w:pPr>
              <w:pStyle w:val="TableParagraph"/>
              <w:spacing w:line="251" w:lineRule="exact"/>
              <w:ind w:left="114"/>
              <w:rPr>
                <w:sz w:val="21"/>
              </w:rPr>
            </w:pPr>
            <w:r>
              <w:rPr>
                <w:rFonts w:ascii="Times New Roman" w:eastAsia="Times New Roman"/>
                <w:sz w:val="21"/>
              </w:rPr>
              <w:t>4.  </w:t>
            </w:r>
            <w:r>
              <w:rPr>
                <w:sz w:val="21"/>
              </w:rPr>
              <w:t>重大器官移植术或造血干细胞移植术</w:t>
            </w:r>
          </w:p>
        </w:tc>
      </w:tr>
      <w:tr>
        <w:trPr>
          <w:trHeight w:val="273"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5.  </w:t>
            </w:r>
            <w:r>
              <w:rPr>
                <w:sz w:val="21"/>
              </w:rPr>
              <w:t>冠状动脉搭桥术（或称冠状动脉旁路移植术）</w:t>
            </w:r>
          </w:p>
        </w:tc>
        <w:tc>
          <w:tcPr>
            <w:tcW w:w="4321" w:type="dxa"/>
            <w:tcBorders>
              <w:top w:val="single" w:sz="6" w:space="0" w:color="000000"/>
              <w:left w:val="single" w:sz="6" w:space="0" w:color="000000"/>
              <w:bottom w:val="single" w:sz="6" w:space="0" w:color="000000"/>
            </w:tcBorders>
          </w:tcPr>
          <w:p>
            <w:pPr>
              <w:pStyle w:val="TableParagraph"/>
              <w:ind w:left="114" w:right="-15"/>
              <w:rPr>
                <w:sz w:val="21"/>
              </w:rPr>
            </w:pPr>
            <w:r>
              <w:rPr>
                <w:rFonts w:ascii="Times New Roman" w:eastAsia="Times New Roman"/>
                <w:sz w:val="21"/>
              </w:rPr>
              <w:t>6.</w:t>
            </w:r>
            <w:r>
              <w:rPr>
                <w:rFonts w:ascii="Times New Roman" w:eastAsia="Times New Roman"/>
                <w:spacing w:val="10"/>
                <w:sz w:val="21"/>
              </w:rPr>
              <w:t>  </w:t>
            </w:r>
            <w:r>
              <w:rPr>
                <w:spacing w:val="-17"/>
                <w:sz w:val="21"/>
              </w:rPr>
              <w:t>终末期肾病</w:t>
            </w:r>
            <w:r>
              <w:rPr>
                <w:spacing w:val="-3"/>
                <w:sz w:val="21"/>
              </w:rPr>
              <w:t>（或称慢性肾功能衰竭尿毒症</w:t>
            </w:r>
            <w:r>
              <w:rPr>
                <w:sz w:val="21"/>
              </w:rPr>
              <w:t>）</w:t>
            </w:r>
          </w:p>
        </w:tc>
      </w:tr>
      <w:tr>
        <w:trPr>
          <w:trHeight w:val="273"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7.  </w:t>
            </w:r>
            <w:r>
              <w:rPr>
                <w:sz w:val="21"/>
              </w:rPr>
              <w:t>急性或亚急性重症肝炎</w:t>
            </w:r>
          </w:p>
        </w:tc>
        <w:tc>
          <w:tcPr>
            <w:tcW w:w="4321" w:type="dxa"/>
            <w:tcBorders>
              <w:top w:val="single" w:sz="6" w:space="0" w:color="000000"/>
              <w:left w:val="single" w:sz="6" w:space="0" w:color="000000"/>
              <w:bottom w:val="single" w:sz="6" w:space="0" w:color="000000"/>
            </w:tcBorders>
          </w:tcPr>
          <w:p>
            <w:pPr>
              <w:pStyle w:val="TableParagraph"/>
              <w:ind w:left="114"/>
              <w:rPr>
                <w:sz w:val="21"/>
              </w:rPr>
            </w:pPr>
            <w:r>
              <w:rPr>
                <w:rFonts w:ascii="Times New Roman" w:eastAsia="Times New Roman"/>
                <w:sz w:val="21"/>
              </w:rPr>
              <w:t>8.  </w:t>
            </w:r>
            <w:r>
              <w:rPr>
                <w:sz w:val="21"/>
              </w:rPr>
              <w:t>良性脑肿瘤</w:t>
            </w:r>
          </w:p>
        </w:tc>
      </w:tr>
      <w:tr>
        <w:trPr>
          <w:trHeight w:val="270" w:hRule="atLeast"/>
        </w:trPr>
        <w:tc>
          <w:tcPr>
            <w:tcW w:w="4609" w:type="dxa"/>
            <w:tcBorders>
              <w:top w:val="single" w:sz="6" w:space="0" w:color="000000"/>
              <w:right w:val="single" w:sz="6" w:space="0" w:color="000000"/>
            </w:tcBorders>
          </w:tcPr>
          <w:p>
            <w:pPr>
              <w:pStyle w:val="TableParagraph"/>
              <w:spacing w:line="250" w:lineRule="exact"/>
              <w:rPr>
                <w:sz w:val="21"/>
              </w:rPr>
            </w:pPr>
            <w:r>
              <w:rPr>
                <w:rFonts w:ascii="Times New Roman" w:eastAsia="Times New Roman"/>
                <w:sz w:val="21"/>
              </w:rPr>
              <w:t>9.  </w:t>
            </w:r>
            <w:r>
              <w:rPr>
                <w:sz w:val="21"/>
              </w:rPr>
              <w:t>慢性肝功能衰竭失代偿期</w:t>
            </w:r>
          </w:p>
        </w:tc>
        <w:tc>
          <w:tcPr>
            <w:tcW w:w="4321" w:type="dxa"/>
            <w:tcBorders>
              <w:top w:val="single" w:sz="6" w:space="0" w:color="000000"/>
              <w:left w:val="single" w:sz="6" w:space="0" w:color="000000"/>
            </w:tcBorders>
          </w:tcPr>
          <w:p>
            <w:pPr>
              <w:pStyle w:val="TableParagraph"/>
              <w:spacing w:line="250" w:lineRule="exact"/>
              <w:ind w:left="114"/>
              <w:rPr>
                <w:sz w:val="21"/>
              </w:rPr>
            </w:pPr>
            <w:r>
              <w:rPr>
                <w:rFonts w:ascii="Times New Roman" w:eastAsia="Times New Roman"/>
                <w:sz w:val="21"/>
              </w:rPr>
              <w:t>10.  </w:t>
            </w:r>
            <w:r>
              <w:rPr>
                <w:sz w:val="21"/>
              </w:rPr>
              <w:t>脑炎后遗症或脑膜炎后遗症</w:t>
            </w:r>
          </w:p>
        </w:tc>
      </w:tr>
    </w:tbl>
    <w:p>
      <w:pPr>
        <w:spacing w:after="0" w:line="250" w:lineRule="exact"/>
        <w:rPr>
          <w:sz w:val="21"/>
        </w:rPr>
        <w:sectPr>
          <w:pgSz w:w="11910" w:h="16840"/>
          <w:pgMar w:header="0" w:footer="992" w:top="840" w:bottom="1180" w:left="560" w:right="1020"/>
        </w:sectPr>
      </w:pPr>
    </w:p>
    <w:tbl>
      <w:tblPr>
        <w:tblW w:w="0" w:type="auto"/>
        <w:jc w:val="left"/>
        <w:tblInd w:w="1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09"/>
        <w:gridCol w:w="4321"/>
      </w:tblGrid>
      <w:tr>
        <w:trPr>
          <w:trHeight w:val="272" w:hRule="atLeast"/>
        </w:trPr>
        <w:tc>
          <w:tcPr>
            <w:tcW w:w="4609" w:type="dxa"/>
            <w:tcBorders>
              <w:bottom w:val="single" w:sz="6" w:space="0" w:color="000000"/>
              <w:right w:val="single" w:sz="6" w:space="0" w:color="000000"/>
            </w:tcBorders>
          </w:tcPr>
          <w:p>
            <w:pPr>
              <w:pStyle w:val="TableParagraph"/>
              <w:rPr>
                <w:sz w:val="21"/>
              </w:rPr>
            </w:pPr>
            <w:r>
              <w:rPr>
                <w:rFonts w:ascii="Times New Roman" w:eastAsia="Times New Roman"/>
                <w:sz w:val="21"/>
              </w:rPr>
              <w:t>11.  </w:t>
            </w:r>
            <w:r>
              <w:rPr>
                <w:sz w:val="21"/>
              </w:rPr>
              <w:t>双耳失聪</w:t>
            </w:r>
          </w:p>
        </w:tc>
        <w:tc>
          <w:tcPr>
            <w:tcW w:w="4321" w:type="dxa"/>
            <w:tcBorders>
              <w:left w:val="single" w:sz="6" w:space="0" w:color="000000"/>
              <w:bottom w:val="single" w:sz="6" w:space="0" w:color="000000"/>
            </w:tcBorders>
          </w:tcPr>
          <w:p>
            <w:pPr>
              <w:pStyle w:val="TableParagraph"/>
              <w:ind w:left="117"/>
              <w:rPr>
                <w:sz w:val="21"/>
              </w:rPr>
            </w:pPr>
            <w:r>
              <w:rPr>
                <w:rFonts w:ascii="Times New Roman" w:eastAsia="Times New Roman"/>
                <w:sz w:val="21"/>
              </w:rPr>
              <w:t>12.  </w:t>
            </w:r>
            <w:r>
              <w:rPr>
                <w:sz w:val="21"/>
              </w:rPr>
              <w:t>双目失明</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13.  </w:t>
            </w:r>
            <w:r>
              <w:rPr>
                <w:sz w:val="21"/>
              </w:rPr>
              <w:t>瘫痪</w:t>
            </w:r>
          </w:p>
        </w:tc>
        <w:tc>
          <w:tcPr>
            <w:tcW w:w="4321" w:type="dxa"/>
            <w:tcBorders>
              <w:top w:val="single" w:sz="6" w:space="0" w:color="000000"/>
              <w:left w:val="single" w:sz="6" w:space="0" w:color="000000"/>
              <w:bottom w:val="single" w:sz="6" w:space="0" w:color="000000"/>
            </w:tcBorders>
          </w:tcPr>
          <w:p>
            <w:pPr>
              <w:pStyle w:val="TableParagraph"/>
              <w:ind w:left="117"/>
              <w:rPr>
                <w:sz w:val="21"/>
              </w:rPr>
            </w:pPr>
            <w:r>
              <w:rPr>
                <w:rFonts w:ascii="Times New Roman" w:eastAsia="Times New Roman"/>
                <w:sz w:val="21"/>
              </w:rPr>
              <w:t>14.  </w:t>
            </w:r>
            <w:r>
              <w:rPr>
                <w:sz w:val="21"/>
              </w:rPr>
              <w:t>心脏瓣膜手术</w:t>
            </w:r>
          </w:p>
        </w:tc>
      </w:tr>
      <w:tr>
        <w:trPr>
          <w:trHeight w:val="271" w:hRule="atLeast"/>
        </w:trPr>
        <w:tc>
          <w:tcPr>
            <w:tcW w:w="4609" w:type="dxa"/>
            <w:tcBorders>
              <w:top w:val="single" w:sz="6" w:space="0" w:color="000000"/>
              <w:bottom w:val="single" w:sz="6" w:space="0" w:color="000000"/>
              <w:right w:val="single" w:sz="6" w:space="0" w:color="000000"/>
            </w:tcBorders>
          </w:tcPr>
          <w:p>
            <w:pPr>
              <w:pStyle w:val="TableParagraph"/>
              <w:spacing w:line="251" w:lineRule="exact"/>
              <w:rPr>
                <w:sz w:val="21"/>
              </w:rPr>
            </w:pPr>
            <w:r>
              <w:rPr>
                <w:rFonts w:ascii="Times New Roman" w:eastAsia="Times New Roman"/>
                <w:sz w:val="21"/>
              </w:rPr>
              <w:t>15.  </w:t>
            </w:r>
            <w:r>
              <w:rPr>
                <w:sz w:val="21"/>
              </w:rPr>
              <w:t>严重阿尔茨海默病</w:t>
            </w:r>
          </w:p>
        </w:tc>
        <w:tc>
          <w:tcPr>
            <w:tcW w:w="4321" w:type="dxa"/>
            <w:tcBorders>
              <w:top w:val="single" w:sz="6" w:space="0" w:color="000000"/>
              <w:left w:val="single" w:sz="6" w:space="0" w:color="000000"/>
              <w:bottom w:val="single" w:sz="6" w:space="0" w:color="000000"/>
            </w:tcBorders>
          </w:tcPr>
          <w:p>
            <w:pPr>
              <w:pStyle w:val="TableParagraph"/>
              <w:spacing w:line="251" w:lineRule="exact"/>
              <w:ind w:left="117"/>
              <w:rPr>
                <w:sz w:val="21"/>
              </w:rPr>
            </w:pPr>
            <w:r>
              <w:rPr>
                <w:rFonts w:ascii="Times New Roman" w:eastAsia="Times New Roman"/>
                <w:sz w:val="21"/>
              </w:rPr>
              <w:t>16.  </w:t>
            </w:r>
            <w:r>
              <w:rPr>
                <w:sz w:val="21"/>
              </w:rPr>
              <w:t>严重脑损伤</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17.  </w:t>
            </w:r>
            <w:r>
              <w:rPr>
                <w:sz w:val="21"/>
              </w:rPr>
              <w:t>严重帕金森病</w:t>
            </w:r>
          </w:p>
        </w:tc>
        <w:tc>
          <w:tcPr>
            <w:tcW w:w="4321" w:type="dxa"/>
            <w:tcBorders>
              <w:top w:val="single" w:sz="6" w:space="0" w:color="000000"/>
              <w:left w:val="single" w:sz="6" w:space="0" w:color="000000"/>
              <w:bottom w:val="single" w:sz="6" w:space="0" w:color="000000"/>
            </w:tcBorders>
          </w:tcPr>
          <w:p>
            <w:pPr>
              <w:pStyle w:val="TableParagraph"/>
              <w:ind w:left="117"/>
              <w:rPr>
                <w:sz w:val="21"/>
              </w:rPr>
            </w:pPr>
            <w:r>
              <w:rPr>
                <w:rFonts w:ascii="Times New Roman" w:eastAsia="Times New Roman"/>
                <w:sz w:val="21"/>
              </w:rPr>
              <w:t>18.  </w:t>
            </w:r>
            <w:r>
              <w:rPr>
                <w:sz w:val="21"/>
              </w:rPr>
              <w:t>严重 III 度烧伤</w:t>
            </w:r>
          </w:p>
        </w:tc>
      </w:tr>
      <w:tr>
        <w:trPr>
          <w:trHeight w:val="270" w:hRule="atLeast"/>
        </w:trPr>
        <w:tc>
          <w:tcPr>
            <w:tcW w:w="4609" w:type="dxa"/>
            <w:tcBorders>
              <w:top w:val="single" w:sz="6" w:space="0" w:color="000000"/>
              <w:right w:val="single" w:sz="6" w:space="0" w:color="000000"/>
            </w:tcBorders>
          </w:tcPr>
          <w:p>
            <w:pPr>
              <w:pStyle w:val="TableParagraph"/>
              <w:spacing w:line="250" w:lineRule="exact"/>
              <w:rPr>
                <w:sz w:val="21"/>
              </w:rPr>
            </w:pPr>
            <w:r>
              <w:rPr>
                <w:rFonts w:ascii="Times New Roman" w:eastAsia="Times New Roman"/>
                <w:sz w:val="21"/>
              </w:rPr>
              <w:t>19.  </w:t>
            </w:r>
            <w:r>
              <w:rPr>
                <w:sz w:val="21"/>
              </w:rPr>
              <w:t>主动脉手术</w:t>
            </w:r>
          </w:p>
        </w:tc>
        <w:tc>
          <w:tcPr>
            <w:tcW w:w="4321" w:type="dxa"/>
            <w:tcBorders>
              <w:top w:val="single" w:sz="6" w:space="0" w:color="000000"/>
              <w:left w:val="single" w:sz="6" w:space="0" w:color="000000"/>
            </w:tcBorders>
          </w:tcPr>
          <w:p>
            <w:pPr>
              <w:pStyle w:val="TableParagraph"/>
              <w:spacing w:line="250" w:lineRule="exact"/>
              <w:ind w:left="117"/>
              <w:rPr>
                <w:sz w:val="21"/>
              </w:rPr>
            </w:pPr>
            <w:r>
              <w:rPr>
                <w:rFonts w:ascii="Times New Roman" w:eastAsia="Times New Roman"/>
                <w:sz w:val="21"/>
              </w:rPr>
              <w:t>20.  </w:t>
            </w:r>
            <w:r>
              <w:rPr>
                <w:sz w:val="21"/>
              </w:rPr>
              <w:t>慢性肺功能衰竭</w:t>
            </w:r>
          </w:p>
        </w:tc>
      </w:tr>
    </w:tbl>
    <w:p>
      <w:pPr>
        <w:pStyle w:val="BodyText"/>
        <w:spacing w:before="7"/>
        <w:ind w:left="0"/>
        <w:rPr>
          <w:rFonts w:ascii="微软雅黑"/>
          <w:b/>
          <w:sz w:val="12"/>
        </w:rPr>
      </w:pPr>
    </w:p>
    <w:p>
      <w:pPr>
        <w:spacing w:line="337" w:lineRule="exact" w:before="0" w:after="5"/>
        <w:ind w:left="646" w:right="0" w:firstLine="0"/>
        <w:jc w:val="left"/>
        <w:rPr>
          <w:rFonts w:ascii="微软雅黑" w:eastAsia="微软雅黑" w:hint="eastAsia"/>
          <w:b/>
          <w:sz w:val="21"/>
        </w:rPr>
      </w:pPr>
      <w:r>
        <w:rPr>
          <w:rFonts w:ascii="微软雅黑" w:eastAsia="微软雅黑" w:hint="eastAsia"/>
          <w:b/>
          <w:sz w:val="21"/>
        </w:rPr>
        <w:t>附表三 30 种重大疾病</w:t>
      </w:r>
    </w:p>
    <w:tbl>
      <w:tblPr>
        <w:tblW w:w="0" w:type="auto"/>
        <w:jc w:val="left"/>
        <w:tblInd w:w="1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09"/>
        <w:gridCol w:w="4321"/>
      </w:tblGrid>
      <w:tr>
        <w:trPr>
          <w:trHeight w:val="272" w:hRule="atLeast"/>
        </w:trPr>
        <w:tc>
          <w:tcPr>
            <w:tcW w:w="4609" w:type="dxa"/>
            <w:tcBorders>
              <w:bottom w:val="single" w:sz="6" w:space="0" w:color="000000"/>
              <w:right w:val="single" w:sz="6" w:space="0" w:color="000000"/>
            </w:tcBorders>
          </w:tcPr>
          <w:p>
            <w:pPr>
              <w:pStyle w:val="TableParagraph"/>
              <w:rPr>
                <w:sz w:val="21"/>
              </w:rPr>
            </w:pPr>
            <w:r>
              <w:rPr>
                <w:rFonts w:ascii="Times New Roman" w:eastAsia="Times New Roman"/>
                <w:sz w:val="21"/>
              </w:rPr>
              <w:t>1.  </w:t>
            </w:r>
            <w:r>
              <w:rPr>
                <w:sz w:val="21"/>
              </w:rPr>
              <w:t>恶性肿瘤</w:t>
            </w:r>
          </w:p>
        </w:tc>
        <w:tc>
          <w:tcPr>
            <w:tcW w:w="4321" w:type="dxa"/>
            <w:tcBorders>
              <w:left w:val="single" w:sz="6" w:space="0" w:color="000000"/>
              <w:bottom w:val="single" w:sz="6" w:space="0" w:color="000000"/>
            </w:tcBorders>
          </w:tcPr>
          <w:p>
            <w:pPr>
              <w:pStyle w:val="TableParagraph"/>
              <w:ind w:left="117"/>
              <w:rPr>
                <w:sz w:val="21"/>
              </w:rPr>
            </w:pPr>
            <w:r>
              <w:rPr>
                <w:rFonts w:ascii="Times New Roman" w:eastAsia="Times New Roman"/>
                <w:sz w:val="21"/>
              </w:rPr>
              <w:t>2.  </w:t>
            </w:r>
            <w:r>
              <w:rPr>
                <w:sz w:val="21"/>
              </w:rPr>
              <w:t>急性心肌梗塞</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3.  </w:t>
            </w:r>
            <w:r>
              <w:rPr>
                <w:sz w:val="21"/>
              </w:rPr>
              <w:t>脑中风后遗症</w:t>
            </w:r>
          </w:p>
        </w:tc>
        <w:tc>
          <w:tcPr>
            <w:tcW w:w="4321" w:type="dxa"/>
            <w:tcBorders>
              <w:top w:val="single" w:sz="6" w:space="0" w:color="000000"/>
              <w:left w:val="single" w:sz="6" w:space="0" w:color="000000"/>
              <w:bottom w:val="single" w:sz="6" w:space="0" w:color="000000"/>
            </w:tcBorders>
          </w:tcPr>
          <w:p>
            <w:pPr>
              <w:pStyle w:val="TableParagraph"/>
              <w:ind w:left="117"/>
              <w:rPr>
                <w:sz w:val="21"/>
              </w:rPr>
            </w:pPr>
            <w:r>
              <w:rPr>
                <w:rFonts w:ascii="Times New Roman" w:eastAsia="Times New Roman"/>
                <w:sz w:val="21"/>
              </w:rPr>
              <w:t>4.  </w:t>
            </w:r>
            <w:r>
              <w:rPr>
                <w:sz w:val="21"/>
              </w:rPr>
              <w:t>重大器官移植术或造血干细胞移植术</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5.  </w:t>
            </w:r>
            <w:r>
              <w:rPr>
                <w:sz w:val="21"/>
              </w:rPr>
              <w:t>冠状动脉搭桥术（或称冠状动脉旁路移植术）</w:t>
            </w:r>
          </w:p>
        </w:tc>
        <w:tc>
          <w:tcPr>
            <w:tcW w:w="4321" w:type="dxa"/>
            <w:tcBorders>
              <w:top w:val="single" w:sz="6" w:space="0" w:color="000000"/>
              <w:left w:val="single" w:sz="6" w:space="0" w:color="000000"/>
              <w:bottom w:val="single" w:sz="6" w:space="0" w:color="000000"/>
            </w:tcBorders>
          </w:tcPr>
          <w:p>
            <w:pPr>
              <w:pStyle w:val="TableParagraph"/>
              <w:ind w:left="117" w:right="-44"/>
              <w:rPr>
                <w:sz w:val="21"/>
              </w:rPr>
            </w:pPr>
            <w:r>
              <w:rPr>
                <w:rFonts w:ascii="Times New Roman" w:eastAsia="Times New Roman"/>
                <w:sz w:val="21"/>
              </w:rPr>
              <w:t>6.</w:t>
            </w:r>
            <w:r>
              <w:rPr>
                <w:rFonts w:ascii="Times New Roman" w:eastAsia="Times New Roman"/>
                <w:spacing w:val="10"/>
                <w:sz w:val="21"/>
              </w:rPr>
              <w:t>  </w:t>
            </w:r>
            <w:r>
              <w:rPr>
                <w:spacing w:val="-12"/>
                <w:sz w:val="21"/>
              </w:rPr>
              <w:t>终末期肾病</w:t>
            </w:r>
            <w:r>
              <w:rPr>
                <w:sz w:val="21"/>
              </w:rPr>
              <w:t>（</w:t>
            </w:r>
            <w:r>
              <w:rPr>
                <w:spacing w:val="-3"/>
                <w:sz w:val="21"/>
              </w:rPr>
              <w:t>或称慢性肾功能衰竭尿毒症</w:t>
            </w:r>
            <w:r>
              <w:rPr>
                <w:sz w:val="21"/>
              </w:rPr>
              <w:t>）</w:t>
            </w:r>
          </w:p>
        </w:tc>
      </w:tr>
      <w:tr>
        <w:trPr>
          <w:trHeight w:val="270" w:hRule="atLeast"/>
        </w:trPr>
        <w:tc>
          <w:tcPr>
            <w:tcW w:w="4609" w:type="dxa"/>
            <w:tcBorders>
              <w:top w:val="single" w:sz="6" w:space="0" w:color="000000"/>
              <w:bottom w:val="single" w:sz="6" w:space="0" w:color="000000"/>
              <w:right w:val="single" w:sz="6" w:space="0" w:color="000000"/>
            </w:tcBorders>
          </w:tcPr>
          <w:p>
            <w:pPr>
              <w:pStyle w:val="TableParagraph"/>
              <w:spacing w:line="251" w:lineRule="exact"/>
              <w:rPr>
                <w:sz w:val="21"/>
              </w:rPr>
            </w:pPr>
            <w:r>
              <w:rPr>
                <w:rFonts w:ascii="Times New Roman" w:eastAsia="Times New Roman"/>
                <w:sz w:val="21"/>
              </w:rPr>
              <w:t>7.  </w:t>
            </w:r>
            <w:r>
              <w:rPr>
                <w:sz w:val="21"/>
              </w:rPr>
              <w:t>多个肢体缺失</w:t>
            </w:r>
          </w:p>
        </w:tc>
        <w:tc>
          <w:tcPr>
            <w:tcW w:w="4321" w:type="dxa"/>
            <w:tcBorders>
              <w:top w:val="single" w:sz="6" w:space="0" w:color="000000"/>
              <w:left w:val="single" w:sz="6" w:space="0" w:color="000000"/>
              <w:bottom w:val="single" w:sz="6" w:space="0" w:color="000000"/>
            </w:tcBorders>
          </w:tcPr>
          <w:p>
            <w:pPr>
              <w:pStyle w:val="TableParagraph"/>
              <w:spacing w:line="251" w:lineRule="exact"/>
              <w:ind w:left="117"/>
              <w:rPr>
                <w:sz w:val="21"/>
              </w:rPr>
            </w:pPr>
            <w:r>
              <w:rPr>
                <w:rFonts w:ascii="Times New Roman" w:eastAsia="Times New Roman"/>
                <w:sz w:val="21"/>
              </w:rPr>
              <w:t>8.  </w:t>
            </w:r>
            <w:r>
              <w:rPr>
                <w:sz w:val="21"/>
              </w:rPr>
              <w:t>急性或亚急性重症肝炎</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9.  </w:t>
            </w:r>
            <w:r>
              <w:rPr>
                <w:sz w:val="21"/>
              </w:rPr>
              <w:t>良性脑肿瘤</w:t>
            </w:r>
          </w:p>
        </w:tc>
        <w:tc>
          <w:tcPr>
            <w:tcW w:w="4321" w:type="dxa"/>
            <w:tcBorders>
              <w:top w:val="single" w:sz="6" w:space="0" w:color="000000"/>
              <w:left w:val="single" w:sz="6" w:space="0" w:color="000000"/>
              <w:bottom w:val="single" w:sz="6" w:space="0" w:color="000000"/>
            </w:tcBorders>
          </w:tcPr>
          <w:p>
            <w:pPr>
              <w:pStyle w:val="TableParagraph"/>
              <w:ind w:left="117"/>
              <w:rPr>
                <w:sz w:val="21"/>
              </w:rPr>
            </w:pPr>
            <w:r>
              <w:rPr>
                <w:rFonts w:ascii="Times New Roman" w:eastAsia="Times New Roman"/>
                <w:sz w:val="21"/>
              </w:rPr>
              <w:t>10.  </w:t>
            </w:r>
            <w:r>
              <w:rPr>
                <w:sz w:val="21"/>
              </w:rPr>
              <w:t>慢性肝功能衰竭失代偿期</w:t>
            </w:r>
          </w:p>
        </w:tc>
      </w:tr>
      <w:tr>
        <w:trPr>
          <w:trHeight w:val="273"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11.  </w:t>
            </w:r>
            <w:r>
              <w:rPr>
                <w:sz w:val="21"/>
              </w:rPr>
              <w:t>脑炎后遗症或脑膜炎后遗症</w:t>
            </w:r>
          </w:p>
        </w:tc>
        <w:tc>
          <w:tcPr>
            <w:tcW w:w="4321" w:type="dxa"/>
            <w:tcBorders>
              <w:top w:val="single" w:sz="6" w:space="0" w:color="000000"/>
              <w:left w:val="single" w:sz="6" w:space="0" w:color="000000"/>
              <w:bottom w:val="single" w:sz="6" w:space="0" w:color="000000"/>
            </w:tcBorders>
          </w:tcPr>
          <w:p>
            <w:pPr>
              <w:pStyle w:val="TableParagraph"/>
              <w:ind w:left="117"/>
              <w:rPr>
                <w:sz w:val="21"/>
              </w:rPr>
            </w:pPr>
            <w:r>
              <w:rPr>
                <w:rFonts w:ascii="Times New Roman" w:eastAsia="Times New Roman"/>
                <w:sz w:val="21"/>
              </w:rPr>
              <w:t>12.  </w:t>
            </w:r>
            <w:r>
              <w:rPr>
                <w:sz w:val="21"/>
              </w:rPr>
              <w:t>深度昏迷</w:t>
            </w:r>
          </w:p>
        </w:tc>
      </w:tr>
      <w:tr>
        <w:trPr>
          <w:trHeight w:val="273" w:hRule="atLeast"/>
        </w:trPr>
        <w:tc>
          <w:tcPr>
            <w:tcW w:w="4609" w:type="dxa"/>
            <w:tcBorders>
              <w:top w:val="single" w:sz="6" w:space="0" w:color="000000"/>
              <w:bottom w:val="single" w:sz="6" w:space="0" w:color="000000"/>
              <w:right w:val="single" w:sz="6" w:space="0" w:color="000000"/>
            </w:tcBorders>
          </w:tcPr>
          <w:p>
            <w:pPr>
              <w:pStyle w:val="TableParagraph"/>
              <w:spacing w:line="254" w:lineRule="exact"/>
              <w:rPr>
                <w:sz w:val="21"/>
              </w:rPr>
            </w:pPr>
            <w:r>
              <w:rPr>
                <w:rFonts w:ascii="Times New Roman" w:eastAsia="Times New Roman"/>
                <w:sz w:val="21"/>
              </w:rPr>
              <w:t>13.  </w:t>
            </w:r>
            <w:r>
              <w:rPr>
                <w:sz w:val="21"/>
              </w:rPr>
              <w:t>双耳失聪</w:t>
            </w:r>
          </w:p>
        </w:tc>
        <w:tc>
          <w:tcPr>
            <w:tcW w:w="4321" w:type="dxa"/>
            <w:tcBorders>
              <w:top w:val="single" w:sz="6" w:space="0" w:color="000000"/>
              <w:left w:val="single" w:sz="6" w:space="0" w:color="000000"/>
              <w:bottom w:val="single" w:sz="6" w:space="0" w:color="000000"/>
            </w:tcBorders>
          </w:tcPr>
          <w:p>
            <w:pPr>
              <w:pStyle w:val="TableParagraph"/>
              <w:spacing w:line="254" w:lineRule="exact"/>
              <w:ind w:left="117"/>
              <w:rPr>
                <w:sz w:val="21"/>
              </w:rPr>
            </w:pPr>
            <w:r>
              <w:rPr>
                <w:rFonts w:ascii="Times New Roman" w:eastAsia="Times New Roman"/>
                <w:sz w:val="21"/>
              </w:rPr>
              <w:t>14.  </w:t>
            </w:r>
            <w:r>
              <w:rPr>
                <w:sz w:val="21"/>
              </w:rPr>
              <w:t>双目失明</w:t>
            </w:r>
          </w:p>
        </w:tc>
      </w:tr>
      <w:tr>
        <w:trPr>
          <w:trHeight w:val="270" w:hRule="atLeast"/>
        </w:trPr>
        <w:tc>
          <w:tcPr>
            <w:tcW w:w="4609" w:type="dxa"/>
            <w:tcBorders>
              <w:top w:val="single" w:sz="6" w:space="0" w:color="000000"/>
              <w:bottom w:val="single" w:sz="6" w:space="0" w:color="000000"/>
              <w:right w:val="single" w:sz="6" w:space="0" w:color="000000"/>
            </w:tcBorders>
          </w:tcPr>
          <w:p>
            <w:pPr>
              <w:pStyle w:val="TableParagraph"/>
              <w:spacing w:line="251" w:lineRule="exact"/>
              <w:rPr>
                <w:sz w:val="21"/>
              </w:rPr>
            </w:pPr>
            <w:r>
              <w:rPr>
                <w:rFonts w:ascii="Times New Roman" w:eastAsia="Times New Roman"/>
                <w:sz w:val="21"/>
              </w:rPr>
              <w:t>15.  </w:t>
            </w:r>
            <w:r>
              <w:rPr>
                <w:sz w:val="21"/>
              </w:rPr>
              <w:t>瘫痪</w:t>
            </w:r>
          </w:p>
        </w:tc>
        <w:tc>
          <w:tcPr>
            <w:tcW w:w="4321" w:type="dxa"/>
            <w:tcBorders>
              <w:top w:val="single" w:sz="6" w:space="0" w:color="000000"/>
              <w:left w:val="single" w:sz="6" w:space="0" w:color="000000"/>
              <w:bottom w:val="single" w:sz="6" w:space="0" w:color="000000"/>
            </w:tcBorders>
          </w:tcPr>
          <w:p>
            <w:pPr>
              <w:pStyle w:val="TableParagraph"/>
              <w:spacing w:line="251" w:lineRule="exact"/>
              <w:ind w:left="117"/>
              <w:rPr>
                <w:sz w:val="21"/>
              </w:rPr>
            </w:pPr>
            <w:r>
              <w:rPr>
                <w:rFonts w:ascii="Times New Roman" w:eastAsia="Times New Roman"/>
                <w:sz w:val="21"/>
              </w:rPr>
              <w:t>16.  </w:t>
            </w:r>
            <w:r>
              <w:rPr>
                <w:sz w:val="21"/>
              </w:rPr>
              <w:t>心脏瓣膜手术</w:t>
            </w:r>
          </w:p>
        </w:tc>
      </w:tr>
      <w:tr>
        <w:trPr>
          <w:trHeight w:val="273"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17.  </w:t>
            </w:r>
            <w:r>
              <w:rPr>
                <w:sz w:val="21"/>
              </w:rPr>
              <w:t>严重阿尔茨海默病</w:t>
            </w:r>
          </w:p>
        </w:tc>
        <w:tc>
          <w:tcPr>
            <w:tcW w:w="4321" w:type="dxa"/>
            <w:tcBorders>
              <w:top w:val="single" w:sz="6" w:space="0" w:color="000000"/>
              <w:left w:val="single" w:sz="6" w:space="0" w:color="000000"/>
              <w:bottom w:val="single" w:sz="6" w:space="0" w:color="000000"/>
            </w:tcBorders>
          </w:tcPr>
          <w:p>
            <w:pPr>
              <w:pStyle w:val="TableParagraph"/>
              <w:ind w:left="117"/>
              <w:rPr>
                <w:sz w:val="21"/>
              </w:rPr>
            </w:pPr>
            <w:r>
              <w:rPr>
                <w:rFonts w:ascii="Times New Roman" w:eastAsia="Times New Roman"/>
                <w:sz w:val="21"/>
              </w:rPr>
              <w:t>18.  </w:t>
            </w:r>
            <w:r>
              <w:rPr>
                <w:sz w:val="21"/>
              </w:rPr>
              <w:t>严重脑损伤</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19.  </w:t>
            </w:r>
            <w:r>
              <w:rPr>
                <w:sz w:val="21"/>
              </w:rPr>
              <w:t>严重帕金森病</w:t>
            </w:r>
          </w:p>
        </w:tc>
        <w:tc>
          <w:tcPr>
            <w:tcW w:w="4321" w:type="dxa"/>
            <w:tcBorders>
              <w:top w:val="single" w:sz="6" w:space="0" w:color="000000"/>
              <w:left w:val="single" w:sz="6" w:space="0" w:color="000000"/>
              <w:bottom w:val="single" w:sz="6" w:space="0" w:color="000000"/>
            </w:tcBorders>
          </w:tcPr>
          <w:p>
            <w:pPr>
              <w:pStyle w:val="TableParagraph"/>
              <w:ind w:left="117"/>
              <w:rPr>
                <w:sz w:val="21"/>
              </w:rPr>
            </w:pPr>
            <w:r>
              <w:rPr>
                <w:rFonts w:ascii="Times New Roman" w:eastAsia="Times New Roman"/>
                <w:sz w:val="21"/>
              </w:rPr>
              <w:t>20.  </w:t>
            </w:r>
            <w:r>
              <w:rPr>
                <w:sz w:val="21"/>
              </w:rPr>
              <w:t>严重 III 度烧伤</w:t>
            </w:r>
          </w:p>
        </w:tc>
      </w:tr>
      <w:tr>
        <w:trPr>
          <w:trHeight w:val="270" w:hRule="atLeast"/>
        </w:trPr>
        <w:tc>
          <w:tcPr>
            <w:tcW w:w="4609" w:type="dxa"/>
            <w:tcBorders>
              <w:top w:val="single" w:sz="6" w:space="0" w:color="000000"/>
              <w:bottom w:val="single" w:sz="6" w:space="0" w:color="000000"/>
              <w:right w:val="single" w:sz="6" w:space="0" w:color="000000"/>
            </w:tcBorders>
          </w:tcPr>
          <w:p>
            <w:pPr>
              <w:pStyle w:val="TableParagraph"/>
              <w:spacing w:line="251" w:lineRule="exact"/>
              <w:rPr>
                <w:sz w:val="21"/>
              </w:rPr>
            </w:pPr>
            <w:r>
              <w:rPr>
                <w:rFonts w:ascii="Times New Roman" w:eastAsia="Times New Roman"/>
                <w:sz w:val="21"/>
              </w:rPr>
              <w:t>21.  </w:t>
            </w:r>
            <w:r>
              <w:rPr>
                <w:sz w:val="21"/>
              </w:rPr>
              <w:t>严重原发性肺动脉高压</w:t>
            </w:r>
          </w:p>
        </w:tc>
        <w:tc>
          <w:tcPr>
            <w:tcW w:w="4321" w:type="dxa"/>
            <w:tcBorders>
              <w:top w:val="single" w:sz="6" w:space="0" w:color="000000"/>
              <w:left w:val="single" w:sz="6" w:space="0" w:color="000000"/>
              <w:bottom w:val="single" w:sz="6" w:space="0" w:color="000000"/>
            </w:tcBorders>
          </w:tcPr>
          <w:p>
            <w:pPr>
              <w:pStyle w:val="TableParagraph"/>
              <w:spacing w:line="251" w:lineRule="exact"/>
              <w:ind w:left="117"/>
              <w:rPr>
                <w:sz w:val="21"/>
              </w:rPr>
            </w:pPr>
            <w:r>
              <w:rPr>
                <w:rFonts w:ascii="Times New Roman" w:eastAsia="Times New Roman"/>
                <w:sz w:val="21"/>
              </w:rPr>
              <w:t>22.  </w:t>
            </w:r>
            <w:r>
              <w:rPr>
                <w:sz w:val="21"/>
              </w:rPr>
              <w:t>严重运动神经元病</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23.  </w:t>
            </w:r>
            <w:r>
              <w:rPr>
                <w:sz w:val="21"/>
              </w:rPr>
              <w:t>语言能力丧失</w:t>
            </w:r>
          </w:p>
        </w:tc>
        <w:tc>
          <w:tcPr>
            <w:tcW w:w="4321" w:type="dxa"/>
            <w:tcBorders>
              <w:top w:val="single" w:sz="6" w:space="0" w:color="000000"/>
              <w:left w:val="single" w:sz="6" w:space="0" w:color="000000"/>
              <w:bottom w:val="single" w:sz="6" w:space="0" w:color="000000"/>
            </w:tcBorders>
          </w:tcPr>
          <w:p>
            <w:pPr>
              <w:pStyle w:val="TableParagraph"/>
              <w:ind w:left="117"/>
              <w:rPr>
                <w:sz w:val="21"/>
              </w:rPr>
            </w:pPr>
            <w:r>
              <w:rPr>
                <w:rFonts w:ascii="Times New Roman" w:eastAsia="Times New Roman"/>
                <w:sz w:val="21"/>
              </w:rPr>
              <w:t>24.  </w:t>
            </w:r>
            <w:r>
              <w:rPr>
                <w:sz w:val="21"/>
              </w:rPr>
              <w:t>重型再生障碍贫血</w:t>
            </w:r>
          </w:p>
        </w:tc>
      </w:tr>
      <w:tr>
        <w:trPr>
          <w:trHeight w:val="273"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25.  </w:t>
            </w:r>
            <w:r>
              <w:rPr>
                <w:sz w:val="21"/>
              </w:rPr>
              <w:t>主动脉手术</w:t>
            </w:r>
          </w:p>
        </w:tc>
        <w:tc>
          <w:tcPr>
            <w:tcW w:w="4321" w:type="dxa"/>
            <w:tcBorders>
              <w:top w:val="single" w:sz="6" w:space="0" w:color="000000"/>
              <w:left w:val="single" w:sz="6" w:space="0" w:color="000000"/>
              <w:bottom w:val="single" w:sz="6" w:space="0" w:color="000000"/>
            </w:tcBorders>
          </w:tcPr>
          <w:p>
            <w:pPr>
              <w:pStyle w:val="TableParagraph"/>
              <w:ind w:left="117"/>
              <w:rPr>
                <w:sz w:val="21"/>
              </w:rPr>
            </w:pPr>
            <w:r>
              <w:rPr>
                <w:rFonts w:ascii="Times New Roman" w:eastAsia="Times New Roman"/>
                <w:sz w:val="21"/>
              </w:rPr>
              <w:t>26.  </w:t>
            </w:r>
            <w:r>
              <w:rPr>
                <w:sz w:val="21"/>
              </w:rPr>
              <w:t>严重心肌病</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rPr>
                <w:sz w:val="21"/>
              </w:rPr>
            </w:pPr>
            <w:r>
              <w:rPr>
                <w:rFonts w:ascii="Times New Roman" w:eastAsia="Times New Roman"/>
                <w:sz w:val="21"/>
              </w:rPr>
              <w:t>27.  </w:t>
            </w:r>
            <w:r>
              <w:rPr>
                <w:sz w:val="21"/>
              </w:rPr>
              <w:t>慢性肺功能衰竭</w:t>
            </w:r>
          </w:p>
        </w:tc>
        <w:tc>
          <w:tcPr>
            <w:tcW w:w="4321" w:type="dxa"/>
            <w:tcBorders>
              <w:top w:val="single" w:sz="6" w:space="0" w:color="000000"/>
              <w:left w:val="single" w:sz="6" w:space="0" w:color="000000"/>
              <w:bottom w:val="single" w:sz="6" w:space="0" w:color="000000"/>
            </w:tcBorders>
          </w:tcPr>
          <w:p>
            <w:pPr>
              <w:pStyle w:val="TableParagraph"/>
              <w:ind w:left="117"/>
              <w:rPr>
                <w:sz w:val="21"/>
              </w:rPr>
            </w:pPr>
            <w:r>
              <w:rPr>
                <w:rFonts w:ascii="Times New Roman" w:eastAsia="Times New Roman"/>
                <w:sz w:val="21"/>
              </w:rPr>
              <w:t>28.  </w:t>
            </w:r>
            <w:r>
              <w:rPr>
                <w:sz w:val="21"/>
              </w:rPr>
              <w:t>严重多发性硬化症</w:t>
            </w:r>
          </w:p>
        </w:tc>
      </w:tr>
      <w:tr>
        <w:trPr>
          <w:trHeight w:val="270" w:hRule="atLeast"/>
        </w:trPr>
        <w:tc>
          <w:tcPr>
            <w:tcW w:w="4609" w:type="dxa"/>
            <w:tcBorders>
              <w:top w:val="single" w:sz="6" w:space="0" w:color="000000"/>
              <w:right w:val="single" w:sz="6" w:space="0" w:color="000000"/>
            </w:tcBorders>
          </w:tcPr>
          <w:p>
            <w:pPr>
              <w:pStyle w:val="TableParagraph"/>
              <w:spacing w:line="250" w:lineRule="exact"/>
              <w:rPr>
                <w:sz w:val="21"/>
              </w:rPr>
            </w:pPr>
            <w:r>
              <w:rPr>
                <w:rFonts w:ascii="Times New Roman" w:eastAsia="Times New Roman"/>
                <w:sz w:val="21"/>
              </w:rPr>
              <w:t>29.  </w:t>
            </w:r>
            <w:r>
              <w:rPr>
                <w:sz w:val="21"/>
              </w:rPr>
              <w:t>严重溃疡性结肠炎</w:t>
            </w:r>
          </w:p>
        </w:tc>
        <w:tc>
          <w:tcPr>
            <w:tcW w:w="4321" w:type="dxa"/>
            <w:tcBorders>
              <w:top w:val="single" w:sz="6" w:space="0" w:color="000000"/>
              <w:left w:val="single" w:sz="6" w:space="0" w:color="000000"/>
            </w:tcBorders>
          </w:tcPr>
          <w:p>
            <w:pPr>
              <w:pStyle w:val="TableParagraph"/>
              <w:spacing w:line="250" w:lineRule="exact"/>
              <w:ind w:left="117"/>
              <w:rPr>
                <w:sz w:val="21"/>
              </w:rPr>
            </w:pPr>
            <w:r>
              <w:rPr>
                <w:rFonts w:ascii="Times New Roman" w:eastAsia="Times New Roman"/>
                <w:sz w:val="21"/>
              </w:rPr>
              <w:t>30.  </w:t>
            </w:r>
            <w:r>
              <w:rPr>
                <w:sz w:val="21"/>
              </w:rPr>
              <w:t>严重系统性红斑狼疮性肾病</w:t>
            </w:r>
          </w:p>
        </w:tc>
      </w:tr>
    </w:tbl>
    <w:p>
      <w:pPr>
        <w:pStyle w:val="BodyText"/>
        <w:spacing w:before="12"/>
        <w:ind w:left="0"/>
        <w:rPr>
          <w:rFonts w:ascii="微软雅黑"/>
          <w:b/>
          <w:sz w:val="29"/>
        </w:rPr>
      </w:pPr>
    </w:p>
    <w:p>
      <w:pPr>
        <w:pStyle w:val="BodyText"/>
        <w:ind w:left="4875" w:right="3784"/>
        <w:jc w:val="center"/>
      </w:pPr>
      <w:r>
        <w:rPr/>
        <w:t>（完）</w:t>
      </w:r>
    </w:p>
    <w:p>
      <w:pPr>
        <w:spacing w:after="0"/>
        <w:jc w:val="center"/>
        <w:sectPr>
          <w:pgSz w:w="11910" w:h="16840"/>
          <w:pgMar w:header="0" w:footer="992" w:top="880" w:bottom="1180" w:left="900" w:right="1680"/>
        </w:sectPr>
      </w:pPr>
    </w:p>
    <w:p>
      <w:pPr>
        <w:pStyle w:val="BodyText"/>
        <w:spacing w:before="14"/>
        <w:ind w:left="3496" w:right="3753"/>
        <w:jc w:val="center"/>
      </w:pPr>
      <w:r>
        <w:rPr/>
        <w:t>（此页空白）</w:t>
      </w:r>
    </w:p>
    <w:sectPr>
      <w:pgSz w:w="11910" w:h="16840"/>
      <w:pgMar w:header="0" w:footer="992" w:top="840" w:bottom="11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1.769989pt;margin-top:781.299988pt;width:8.5pt;height:12pt;mso-position-horizontal-relative:page;mso-position-vertical-relative:page;z-index:-133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4.850006pt;margin-top:781.299988pt;width:8.5pt;height:12pt;mso-position-horizontal-relative:page;mso-position-vertical-relative:page;z-index:-132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34"/>
    </w:pPr>
    <w:rPr>
      <w:rFonts w:ascii="宋体" w:hAnsi="宋体" w:eastAsia="宋体" w:cs="宋体"/>
      <w:sz w:val="21"/>
      <w:szCs w:val="21"/>
    </w:rPr>
  </w:style>
  <w:style w:styleId="Heading1" w:type="paragraph">
    <w:name w:val="Heading 1"/>
    <w:basedOn w:val="Normal"/>
    <w:uiPriority w:val="1"/>
    <w:qFormat/>
    <w:pPr>
      <w:spacing w:line="272" w:lineRule="exact"/>
      <w:ind w:left="535"/>
      <w:outlineLvl w:val="1"/>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53"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gatr017</dc:creator>
  <dcterms:created xsi:type="dcterms:W3CDTF">2018-10-20T02:40:03Z</dcterms:created>
  <dcterms:modified xsi:type="dcterms:W3CDTF">2018-10-20T02:40:03Z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Office Word 2007</vt:lpwstr>
  </property>
  <property fmtid="{D5CDD505-2E9C-101B-9397-08002B2CF9AE}" pid="4" name="LastSaved">
    <vt:filetime>2018-10-19T00:00:00Z</vt:filetime>
  </property>
</Properties>
</file>