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7"/>
        <w:ind w:left="5509" w:right="0" w:firstLine="0"/>
        <w:jc w:val="left"/>
        <w:rPr>
          <w:sz w:val="18"/>
        </w:rPr>
      </w:pPr>
      <w:r>
        <w:rPr/>
        <w:drawing>
          <wp:anchor distT="0" distB="0" distL="0" distR="0" allowOverlap="1" layoutInCell="1" locked="0" behindDoc="0" simplePos="0" relativeHeight="0">
            <wp:simplePos x="0" y="0"/>
            <wp:positionH relativeFrom="page">
              <wp:posOffset>5070475</wp:posOffset>
            </wp:positionH>
            <wp:positionV relativeFrom="paragraph">
              <wp:posOffset>246274</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8"/>
        </w:rPr>
        <w:t>英大人寿[2017]疾病保险 018 号</w:t>
      </w:r>
    </w:p>
    <w:p>
      <w:pPr>
        <w:pStyle w:val="BodyText"/>
        <w:spacing w:before="0"/>
        <w:ind w:left="0"/>
        <w:rPr>
          <w:sz w:val="20"/>
        </w:rPr>
      </w:pPr>
    </w:p>
    <w:p>
      <w:pPr>
        <w:pStyle w:val="BodyText"/>
        <w:spacing w:before="0"/>
        <w:ind w:left="0"/>
        <w:rPr>
          <w:sz w:val="20"/>
        </w:rPr>
      </w:pPr>
    </w:p>
    <w:p>
      <w:pPr>
        <w:pStyle w:val="BodyText"/>
        <w:spacing w:before="10"/>
        <w:ind w:left="0"/>
        <w:rPr>
          <w:sz w:val="28"/>
        </w:rPr>
      </w:pPr>
    </w:p>
    <w:p>
      <w:pPr>
        <w:spacing w:after="0"/>
        <w:rPr>
          <w:sz w:val="28"/>
        </w:rPr>
        <w:sectPr>
          <w:footerReference w:type="default" r:id="rId5"/>
          <w:type w:val="continuous"/>
          <w:pgSz w:w="11910" w:h="16840"/>
          <w:pgMar w:footer="924" w:top="1040" w:bottom="1120" w:left="1680" w:right="1580"/>
          <w:pgNumType w:start="1"/>
        </w:sectPr>
      </w:pPr>
    </w:p>
    <w:p>
      <w:pPr>
        <w:spacing w:line="459" w:lineRule="exact" w:before="0"/>
        <w:ind w:left="120" w:right="0" w:firstLine="0"/>
        <w:jc w:val="left"/>
        <w:rPr>
          <w:rFonts w:ascii="微软雅黑" w:eastAsia="微软雅黑" w:hint="eastAsia"/>
          <w:b/>
          <w:sz w:val="32"/>
        </w:rPr>
      </w:pPr>
      <w:r>
        <w:rPr>
          <w:rFonts w:ascii="Microsoft JhengHei" w:eastAsia="Microsoft JhengHei" w:hint="eastAsia"/>
          <w:b/>
          <w:spacing w:val="-17"/>
          <w:sz w:val="32"/>
        </w:rPr>
        <w:t>附件 </w:t>
      </w:r>
      <w:r>
        <w:rPr>
          <w:rFonts w:ascii="微软雅黑" w:eastAsia="微软雅黑" w:hint="eastAsia"/>
          <w:b/>
          <w:sz w:val="32"/>
        </w:rPr>
        <w:t>4-2</w:t>
      </w:r>
    </w:p>
    <w:p>
      <w:pPr>
        <w:pStyle w:val="BodyText"/>
        <w:spacing w:before="5"/>
        <w:ind w:left="0"/>
        <w:rPr>
          <w:rFonts w:ascii="微软雅黑"/>
          <w:b/>
          <w:sz w:val="22"/>
        </w:rPr>
      </w:pPr>
      <w:r>
        <w:rPr/>
        <w:br w:type="column"/>
      </w:r>
      <w:r>
        <w:rPr>
          <w:rFonts w:ascii="微软雅黑"/>
          <w:b/>
          <w:sz w:val="22"/>
        </w:rPr>
      </w:r>
    </w:p>
    <w:p>
      <w:pPr>
        <w:spacing w:line="188" w:lineRule="exact" w:before="1"/>
        <w:ind w:left="4187" w:right="0" w:firstLine="0"/>
        <w:jc w:val="left"/>
        <w:rPr>
          <w:sz w:val="18"/>
        </w:rPr>
      </w:pPr>
      <w:r>
        <w:rPr>
          <w:sz w:val="18"/>
        </w:rPr>
        <w:t>请扫描以查询验证条款</w:t>
      </w:r>
    </w:p>
    <w:p>
      <w:pPr>
        <w:spacing w:line="372" w:lineRule="exact" w:before="0"/>
        <w:ind w:left="100" w:right="1943" w:firstLine="0"/>
        <w:jc w:val="center"/>
        <w:rPr>
          <w:b/>
          <w:sz w:val="32"/>
        </w:rPr>
      </w:pPr>
      <w:r>
        <w:rPr>
          <w:b/>
          <w:w w:val="95"/>
          <w:sz w:val="32"/>
        </w:rPr>
        <w:t>英大泰和人寿保险股份有限公司</w:t>
      </w:r>
    </w:p>
    <w:p>
      <w:pPr>
        <w:spacing w:before="221"/>
        <w:ind w:left="105" w:right="1943" w:firstLine="0"/>
        <w:jc w:val="center"/>
        <w:rPr>
          <w:b/>
          <w:sz w:val="30"/>
        </w:rPr>
      </w:pPr>
      <w:r>
        <w:rPr>
          <w:b/>
          <w:sz w:val="30"/>
        </w:rPr>
        <w:t>英大健康守护团体重大疾病保险条款</w:t>
      </w:r>
    </w:p>
    <w:p>
      <w:pPr>
        <w:spacing w:after="0"/>
        <w:jc w:val="center"/>
        <w:rPr>
          <w:sz w:val="30"/>
        </w:rPr>
        <w:sectPr>
          <w:type w:val="continuous"/>
          <w:pgSz w:w="11910" w:h="16840"/>
          <w:pgMar w:top="1040" w:bottom="1120" w:left="1680" w:right="1580"/>
          <w:cols w:num="2" w:equalWidth="0">
            <w:col w:w="1327" w:space="415"/>
            <w:col w:w="6908"/>
          </w:cols>
        </w:sectPr>
      </w:pPr>
    </w:p>
    <w:p>
      <w:pPr>
        <w:pStyle w:val="BodyText"/>
        <w:spacing w:before="0"/>
        <w:ind w:left="0"/>
        <w:rPr>
          <w:b/>
          <w:sz w:val="20"/>
        </w:rPr>
      </w:pPr>
    </w:p>
    <w:p>
      <w:pPr>
        <w:pStyle w:val="BodyText"/>
        <w:spacing w:before="10"/>
        <w:ind w:left="0"/>
        <w:rPr>
          <w:b/>
          <w:sz w:val="19"/>
        </w:rPr>
      </w:pPr>
    </w:p>
    <w:p>
      <w:pPr>
        <w:pStyle w:val="BodyText"/>
        <w:spacing w:line="326" w:lineRule="auto" w:before="36"/>
        <w:ind w:right="5878"/>
      </w:pPr>
      <w:r>
        <w:rPr/>
        <w:t>第一章 合同构成与投保范围第二章 保险责任与责任免除</w:t>
      </w:r>
    </w:p>
    <w:p>
      <w:pPr>
        <w:pStyle w:val="BodyText"/>
        <w:spacing w:line="326" w:lineRule="auto" w:before="23"/>
        <w:ind w:right="5038"/>
      </w:pPr>
      <w:r>
        <w:rPr/>
        <w:t>第三章 保险期间、保险金额与保险费第四章 保险金申请</w:t>
      </w:r>
    </w:p>
    <w:p>
      <w:pPr>
        <w:pStyle w:val="BodyText"/>
        <w:spacing w:line="326" w:lineRule="auto" w:before="23"/>
        <w:ind w:right="6299"/>
      </w:pPr>
      <w:r>
        <w:rPr/>
        <w:t>第五章 合同变更与解除第六章 一般条款</w:t>
      </w:r>
    </w:p>
    <w:p>
      <w:pPr>
        <w:pStyle w:val="BodyText"/>
        <w:spacing w:before="23"/>
      </w:pPr>
      <w:r>
        <w:rPr/>
        <w:t>第七章 释义</w:t>
      </w:r>
    </w:p>
    <w:p>
      <w:pPr>
        <w:pStyle w:val="BodyText"/>
        <w:spacing w:before="6"/>
        <w:ind w:left="0"/>
        <w:rPr>
          <w:sz w:val="29"/>
        </w:rPr>
      </w:pPr>
    </w:p>
    <w:p>
      <w:pPr>
        <w:pStyle w:val="Heading1"/>
      </w:pPr>
      <w:r>
        <w:rPr/>
        <w:t>第一章 合同构成与投保范围</w:t>
      </w:r>
    </w:p>
    <w:p>
      <w:pPr>
        <w:pStyle w:val="BodyText"/>
        <w:spacing w:before="5"/>
        <w:ind w:left="0"/>
        <w:rPr>
          <w:b/>
          <w:sz w:val="30"/>
        </w:rPr>
      </w:pPr>
    </w:p>
    <w:p>
      <w:pPr>
        <w:pStyle w:val="Heading2"/>
        <w:tabs>
          <w:tab w:pos="1176" w:val="left" w:leader="none"/>
        </w:tabs>
        <w:spacing w:before="0"/>
      </w:pPr>
      <w:r>
        <w:rPr/>
        <w:t>第一条</w:t>
        <w:tab/>
        <w:t>合同构成</w:t>
      </w:r>
    </w:p>
    <w:p>
      <w:pPr>
        <w:pStyle w:val="BodyText"/>
        <w:spacing w:line="326" w:lineRule="auto"/>
        <w:ind w:right="211"/>
        <w:jc w:val="both"/>
      </w:pPr>
      <w:r>
        <w:rPr>
          <w:spacing w:val="-5"/>
        </w:rPr>
        <w:t>英大健康守护团体重大疾病保险合同</w:t>
      </w:r>
      <w:r>
        <w:rPr>
          <w:spacing w:val="-3"/>
        </w:rPr>
        <w:t>（以下简称本合同</w:t>
      </w:r>
      <w:r>
        <w:rPr>
          <w:spacing w:val="-32"/>
        </w:rPr>
        <w:t>）</w:t>
      </w:r>
      <w:r>
        <w:rPr>
          <w:spacing w:val="-7"/>
        </w:rPr>
        <w:t>由保险单及所附条款、其他保险凭</w:t>
      </w:r>
      <w:r>
        <w:rPr>
          <w:spacing w:val="-12"/>
        </w:rPr>
        <w:t>证、投保单、被保险人名册、与本合同有关的其他投保文件、变更申请书、声明、批注、批</w:t>
      </w:r>
      <w:r>
        <w:rPr>
          <w:spacing w:val="-3"/>
        </w:rPr>
        <w:t>单、其他书面协议构成。</w:t>
      </w:r>
    </w:p>
    <w:p>
      <w:pPr>
        <w:pStyle w:val="Heading2"/>
        <w:tabs>
          <w:tab w:pos="1176" w:val="left" w:leader="none"/>
        </w:tabs>
        <w:spacing w:before="23"/>
      </w:pPr>
      <w:r>
        <w:rPr/>
        <w:t>第二条</w:t>
        <w:tab/>
        <w:t>投保范围</w:t>
      </w:r>
    </w:p>
    <w:p>
      <w:pPr>
        <w:pStyle w:val="BodyText"/>
        <w:spacing w:line="326" w:lineRule="auto"/>
        <w:ind w:right="213"/>
      </w:pPr>
      <w:r>
        <w:rPr>
          <w:spacing w:val="-5"/>
        </w:rPr>
        <w:t>凡特定团体成员均可作为被保险人，由对其具有保险利益的投保人向</w:t>
      </w:r>
      <w:r>
        <w:rPr>
          <w:spacing w:val="-13"/>
          <w:shd w:fill="BEBEBE" w:color="auto" w:val="clear"/>
        </w:rPr>
        <w:t>本公司</w:t>
      </w:r>
      <w:r>
        <w:rPr/>
        <w:t>（</w:t>
      </w:r>
      <w:r>
        <w:rPr>
          <w:spacing w:val="-3"/>
        </w:rPr>
        <w:t>见释义</w:t>
      </w:r>
      <w:r>
        <w:rPr>
          <w:spacing w:val="-31"/>
        </w:rPr>
        <w:t>）</w:t>
      </w:r>
      <w:r>
        <w:rPr>
          <w:spacing w:val="-3"/>
        </w:rPr>
        <w:t>投保本保险。投保应符合国务院保险监督管理机构的相关规定。</w:t>
      </w:r>
    </w:p>
    <w:p>
      <w:pPr>
        <w:pStyle w:val="BodyText"/>
        <w:spacing w:line="326" w:lineRule="auto" w:before="24"/>
        <w:ind w:right="117"/>
      </w:pPr>
      <w:r>
        <w:rPr/>
        <w:t>前款被保险人的子女、配偶或父母，经本公司审核同意，可作为附属被保险人参加本保险。本合同中所指的被保险人均含附属被保险人。</w:t>
      </w:r>
    </w:p>
    <w:p>
      <w:pPr>
        <w:pStyle w:val="BodyText"/>
        <w:spacing w:before="10"/>
        <w:ind w:left="0"/>
        <w:rPr>
          <w:sz w:val="23"/>
        </w:rPr>
      </w:pPr>
    </w:p>
    <w:p>
      <w:pPr>
        <w:pStyle w:val="Heading1"/>
      </w:pPr>
      <w:r>
        <w:rPr/>
        <w:t>第二章 保险责任与责任免除</w:t>
      </w:r>
    </w:p>
    <w:p>
      <w:pPr>
        <w:pStyle w:val="BodyText"/>
        <w:spacing w:before="5"/>
        <w:ind w:left="0"/>
        <w:rPr>
          <w:b/>
          <w:sz w:val="30"/>
        </w:rPr>
      </w:pPr>
    </w:p>
    <w:p>
      <w:pPr>
        <w:pStyle w:val="Heading2"/>
        <w:tabs>
          <w:tab w:pos="1176" w:val="left" w:leader="none"/>
        </w:tabs>
        <w:spacing w:before="0"/>
      </w:pPr>
      <w:r>
        <w:rPr/>
        <w:t>第三条</w:t>
        <w:tab/>
        <w:t>保险责任</w:t>
      </w:r>
    </w:p>
    <w:p>
      <w:pPr>
        <w:pStyle w:val="BodyText"/>
      </w:pPr>
      <w:r>
        <w:rPr/>
        <w:t>在本合同有效期间内，本公司承担下列保险责任：</w:t>
      </w:r>
    </w:p>
    <w:p>
      <w:pPr>
        <w:pStyle w:val="BodyText"/>
        <w:spacing w:line="326" w:lineRule="auto"/>
        <w:ind w:right="211"/>
      </w:pPr>
      <w:r>
        <w:rPr>
          <w:spacing w:val="-3"/>
        </w:rPr>
        <w:t>被保险人于本合同生效之日起九十日后(续保从续保生效日起)初次发生且经</w:t>
      </w:r>
      <w:r>
        <w:rPr>
          <w:spacing w:val="-3"/>
          <w:shd w:fill="BEBEBE" w:color="auto" w:val="clear"/>
        </w:rPr>
        <w:t>本公司认可的</w:t>
      </w:r>
      <w:r>
        <w:rPr>
          <w:spacing w:val="-24"/>
          <w:shd w:fill="BEBEBE" w:color="auto" w:val="clear"/>
        </w:rPr>
        <w:t>医疗机构</w:t>
      </w:r>
      <w:r>
        <w:rPr>
          <w:spacing w:val="-3"/>
        </w:rPr>
        <w:t>（</w:t>
      </w:r>
      <w:r>
        <w:rPr>
          <w:spacing w:val="-2"/>
        </w:rPr>
        <w:t>见释义</w:t>
      </w:r>
      <w:r>
        <w:rPr>
          <w:spacing w:val="-22"/>
        </w:rPr>
        <w:t>）</w:t>
      </w:r>
      <w:r>
        <w:rPr/>
        <w:t>诊断患有</w:t>
      </w:r>
      <w:r>
        <w:rPr>
          <w:spacing w:val="-5"/>
          <w:shd w:fill="BEBEBE" w:color="auto" w:val="clear"/>
        </w:rPr>
        <w:t>本合同约定的重大疾病</w:t>
      </w:r>
      <w:r>
        <w:rPr/>
        <w:t>（</w:t>
      </w:r>
      <w:r>
        <w:rPr>
          <w:spacing w:val="-3"/>
        </w:rPr>
        <w:t>见释义</w:t>
      </w:r>
      <w:r>
        <w:rPr>
          <w:spacing w:val="-20"/>
        </w:rPr>
        <w:t>），</w:t>
      </w:r>
      <w:r>
        <w:rPr>
          <w:spacing w:val="-3"/>
        </w:rPr>
        <w:t>本公司按本合同载明的该被保险人的保险金额给付重大疾病保险金，对该被保险人的保险责任终止。</w:t>
      </w:r>
    </w:p>
    <w:p>
      <w:pPr>
        <w:pStyle w:val="BodyText"/>
        <w:spacing w:before="24"/>
      </w:pPr>
      <w:r>
        <w:rPr/>
        <w:t>被保险人疾病确诊时间以病理取样时间为准。</w:t>
      </w:r>
    </w:p>
    <w:p>
      <w:pPr>
        <w:pStyle w:val="BodyText"/>
        <w:spacing w:line="326" w:lineRule="auto" w:before="100"/>
        <w:ind w:right="211"/>
      </w:pPr>
      <w:r>
        <w:rPr>
          <w:spacing w:val="-10"/>
        </w:rPr>
        <w:t>除续保外，被保险人在本合同生效之日起九十日内初次发生本合同约定的重大疾病，本公司</w:t>
      </w:r>
      <w:r>
        <w:rPr>
          <w:spacing w:val="-5"/>
        </w:rPr>
        <w:t>向投保人无息返还该被保险人的保险费，对该被保险人的保险责任终止。</w:t>
      </w:r>
    </w:p>
    <w:p>
      <w:pPr>
        <w:spacing w:after="0" w:line="326" w:lineRule="auto"/>
        <w:sectPr>
          <w:type w:val="continuous"/>
          <w:pgSz w:w="11910" w:h="16840"/>
          <w:pgMar w:top="1040" w:bottom="1120" w:left="1680" w:right="1580"/>
        </w:sectPr>
      </w:pPr>
    </w:p>
    <w:p>
      <w:pPr>
        <w:pStyle w:val="Heading2"/>
        <w:tabs>
          <w:tab w:pos="1176" w:val="left" w:leader="none"/>
        </w:tabs>
        <w:spacing w:before="20"/>
      </w:pPr>
      <w:r>
        <w:rPr/>
        <w:t>第四条</w:t>
        <w:tab/>
        <w:t>责任免除</w:t>
      </w:r>
    </w:p>
    <w:p>
      <w:pPr>
        <w:spacing w:line="326" w:lineRule="auto" w:before="99"/>
        <w:ind w:left="120" w:right="300" w:firstLine="0"/>
        <w:jc w:val="left"/>
        <w:rPr>
          <w:b/>
          <w:sz w:val="21"/>
        </w:rPr>
      </w:pPr>
      <w:r>
        <w:rPr>
          <w:b/>
          <w:sz w:val="21"/>
        </w:rPr>
        <w:t>因下列情形之一，导致被保险人发生疾病、达到疾病状态或进行手术的，本公司不承担保险责任：</w:t>
      </w:r>
    </w:p>
    <w:p>
      <w:pPr>
        <w:spacing w:before="24"/>
        <w:ind w:left="120" w:right="0" w:firstLine="0"/>
        <w:jc w:val="left"/>
        <w:rPr>
          <w:b/>
          <w:sz w:val="21"/>
        </w:rPr>
      </w:pPr>
      <w:r>
        <w:rPr>
          <w:b/>
          <w:sz w:val="21"/>
        </w:rPr>
        <w:t>一、投保人对被保险人的故意杀害、故意伤害；</w:t>
      </w:r>
    </w:p>
    <w:p>
      <w:pPr>
        <w:spacing w:line="326" w:lineRule="auto" w:before="99"/>
        <w:ind w:left="120" w:right="2196" w:firstLine="0"/>
        <w:jc w:val="left"/>
        <w:rPr>
          <w:b/>
          <w:sz w:val="21"/>
        </w:rPr>
      </w:pPr>
      <w:r>
        <w:rPr>
          <w:b/>
          <w:sz w:val="21"/>
        </w:rPr>
        <w:t>二、被保险人故意自伤、故意犯罪或抗拒依法采取的刑事强制措施； 三、被保险人服用、吸食或注射</w:t>
      </w:r>
      <w:r>
        <w:rPr>
          <w:b/>
          <w:sz w:val="21"/>
          <w:shd w:fill="BEBEBE" w:color="auto" w:val="clear"/>
        </w:rPr>
        <w:t>毒品</w:t>
      </w:r>
      <w:r>
        <w:rPr>
          <w:b/>
          <w:sz w:val="21"/>
        </w:rPr>
        <w:t>（见释义）；</w:t>
      </w:r>
    </w:p>
    <w:p>
      <w:pPr>
        <w:spacing w:line="326" w:lineRule="auto" w:before="23"/>
        <w:ind w:left="120" w:right="300" w:firstLine="0"/>
        <w:jc w:val="left"/>
        <w:rPr>
          <w:b/>
          <w:sz w:val="21"/>
        </w:rPr>
      </w:pPr>
      <w:r>
        <w:rPr>
          <w:b/>
          <w:sz w:val="21"/>
        </w:rPr>
        <w:t>四、被保险人</w:t>
      </w:r>
      <w:r>
        <w:rPr>
          <w:b/>
          <w:spacing w:val="-1"/>
          <w:sz w:val="21"/>
          <w:shd w:fill="BEBEBE" w:color="auto" w:val="clear"/>
        </w:rPr>
        <w:t>酒后驾驶</w:t>
      </w:r>
      <w:r>
        <w:rPr>
          <w:b/>
          <w:spacing w:val="-3"/>
          <w:sz w:val="21"/>
        </w:rPr>
        <w:t>（</w:t>
      </w:r>
      <w:r>
        <w:rPr>
          <w:b/>
          <w:sz w:val="21"/>
        </w:rPr>
        <w:t>见释义）、</w:t>
      </w:r>
      <w:r>
        <w:rPr>
          <w:b/>
          <w:spacing w:val="-2"/>
          <w:sz w:val="21"/>
          <w:shd w:fill="BEBEBE" w:color="auto" w:val="clear"/>
        </w:rPr>
        <w:t>无合法有效驾驶证驾驶</w:t>
      </w:r>
      <w:r>
        <w:rPr>
          <w:b/>
          <w:sz w:val="21"/>
        </w:rPr>
        <w:t>（见释义）</w:t>
      </w:r>
      <w:r>
        <w:rPr>
          <w:b/>
          <w:spacing w:val="-2"/>
          <w:sz w:val="21"/>
        </w:rPr>
        <w:t>，或驾驶</w:t>
      </w:r>
      <w:r>
        <w:rPr>
          <w:b/>
          <w:sz w:val="21"/>
          <w:shd w:fill="BEBEBE" w:color="auto" w:val="clear"/>
        </w:rPr>
        <w:t>无有效行驶</w:t>
      </w:r>
      <w:r>
        <w:rPr>
          <w:b/>
          <w:spacing w:val="-212"/>
          <w:sz w:val="21"/>
          <w:shd w:fill="BEBEBE" w:color="auto" w:val="clear"/>
        </w:rPr>
        <w:t>证</w:t>
      </w:r>
      <w:r>
        <w:rPr>
          <w:b/>
          <w:sz w:val="21"/>
        </w:rPr>
        <w:t>（见释义）</w:t>
      </w:r>
      <w:r>
        <w:rPr>
          <w:b/>
          <w:spacing w:val="-3"/>
          <w:sz w:val="21"/>
        </w:rPr>
        <w:t>的机动车；</w:t>
      </w:r>
    </w:p>
    <w:p>
      <w:pPr>
        <w:spacing w:line="319" w:lineRule="auto" w:before="14"/>
        <w:ind w:left="120" w:right="609" w:firstLine="0"/>
        <w:jc w:val="left"/>
        <w:rPr>
          <w:b/>
          <w:sz w:val="21"/>
        </w:rPr>
      </w:pPr>
      <w:r>
        <w:rPr/>
        <w:pict>
          <v:line style="position:absolute;mso-position-horizontal-relative:page;mso-position-vertical-relative:paragraph;z-index:-61048" from="155.300003pt,15.407659pt" to="166.340003pt,15.407659pt" stroked="true" strokeweight=".600010pt" strokecolor="#000000">
            <v:stroke dashstyle="solid"/>
            <w10:wrap type="none"/>
          </v:line>
        </w:pict>
      </w:r>
      <w:r>
        <w:rPr/>
        <w:pict>
          <v:line style="position:absolute;mso-position-horizontal-relative:page;mso-position-vertical-relative:paragraph;z-index:-61024" from="295.369995pt,15.407659pt" to="328.513995pt,15.407659pt" stroked="true" strokeweight=".600010pt" strokecolor="#000000">
            <v:stroke dashstyle="solid"/>
            <w10:wrap type="none"/>
          </v:line>
        </w:pict>
      </w:r>
      <w:r>
        <w:rPr>
          <w:b/>
          <w:sz w:val="21"/>
        </w:rPr>
        <w:t>五、</w:t>
      </w:r>
      <w:r>
        <w:rPr>
          <w:b/>
          <w:sz w:val="22"/>
        </w:rPr>
        <w:t>被保险人患</w:t>
      </w:r>
      <w:r>
        <w:rPr>
          <w:b/>
          <w:sz w:val="21"/>
          <w:shd w:fill="BEBEBE" w:color="auto" w:val="clear"/>
        </w:rPr>
        <w:t>艾滋病（AIDS）</w:t>
      </w:r>
      <w:r>
        <w:rPr>
          <w:b/>
          <w:sz w:val="22"/>
        </w:rPr>
        <w:t>（见释义）或感染</w:t>
      </w:r>
      <w:r>
        <w:rPr>
          <w:b/>
          <w:sz w:val="21"/>
          <w:shd w:fill="BEBEBE" w:color="auto" w:val="clear"/>
        </w:rPr>
        <w:t>艾滋病病毒</w:t>
      </w:r>
      <w:r>
        <w:rPr>
          <w:b/>
          <w:sz w:val="22"/>
        </w:rPr>
        <w:t>（HIV）（见释义）</w:t>
      </w:r>
      <w:r>
        <w:rPr>
          <w:b/>
          <w:sz w:val="21"/>
        </w:rPr>
        <w:t>； 六、战争、军事冲突、暴乱或武装叛乱；</w:t>
      </w:r>
    </w:p>
    <w:p>
      <w:pPr>
        <w:pStyle w:val="Heading2"/>
        <w:spacing w:before="30"/>
      </w:pPr>
      <w:r>
        <w:rPr/>
        <w:t>七、核爆炸、核辐射或核污染；</w:t>
      </w:r>
    </w:p>
    <w:p>
      <w:pPr>
        <w:spacing w:before="99"/>
        <w:ind w:left="120" w:right="0" w:firstLine="0"/>
        <w:jc w:val="left"/>
        <w:rPr>
          <w:b/>
          <w:sz w:val="21"/>
        </w:rPr>
      </w:pPr>
      <w:r>
        <w:rPr>
          <w:b/>
          <w:sz w:val="21"/>
        </w:rPr>
        <w:t>八、</w:t>
      </w:r>
      <w:r>
        <w:rPr>
          <w:b/>
          <w:sz w:val="21"/>
          <w:shd w:fill="BEBEBE" w:color="auto" w:val="clear"/>
        </w:rPr>
        <w:t>遗传性疾病</w:t>
      </w:r>
      <w:r>
        <w:rPr>
          <w:b/>
          <w:sz w:val="21"/>
        </w:rPr>
        <w:t>（见释义），</w:t>
      </w:r>
      <w:r>
        <w:rPr>
          <w:b/>
          <w:sz w:val="21"/>
          <w:shd w:fill="BEBEBE" w:color="auto" w:val="clear"/>
        </w:rPr>
        <w:t>先天性畸形、变形或染色体异常</w:t>
      </w:r>
      <w:r>
        <w:rPr>
          <w:b/>
          <w:sz w:val="21"/>
        </w:rPr>
        <w:t>（见释义）。</w:t>
      </w:r>
    </w:p>
    <w:p>
      <w:pPr>
        <w:spacing w:line="319" w:lineRule="auto" w:before="99"/>
        <w:ind w:left="120" w:right="300" w:firstLine="0"/>
        <w:jc w:val="left"/>
        <w:rPr>
          <w:b/>
          <w:sz w:val="21"/>
        </w:rPr>
      </w:pPr>
      <w:r>
        <w:rPr>
          <w:b/>
          <w:sz w:val="21"/>
        </w:rPr>
        <w:t>因上述情形之一导致被保险人发生本合同约定的重大疾病时，本合同对该被保险人的保险责任终止，并退还该被保险人保险责任终止之日的</w:t>
      </w:r>
      <w:r>
        <w:rPr>
          <w:b/>
          <w:sz w:val="21"/>
          <w:shd w:fill="BEBEBE" w:color="auto" w:val="clear"/>
        </w:rPr>
        <w:t>现金价值</w:t>
      </w:r>
      <w:r>
        <w:rPr>
          <w:b/>
          <w:sz w:val="22"/>
        </w:rPr>
        <w:t>（见释义）</w:t>
      </w:r>
      <w:r>
        <w:rPr>
          <w:b/>
          <w:sz w:val="21"/>
        </w:rPr>
        <w:t>。</w:t>
      </w:r>
    </w:p>
    <w:p>
      <w:pPr>
        <w:pStyle w:val="BodyText"/>
        <w:spacing w:before="8"/>
        <w:ind w:left="0"/>
        <w:rPr>
          <w:b/>
          <w:sz w:val="23"/>
        </w:rPr>
      </w:pPr>
    </w:p>
    <w:p>
      <w:pPr>
        <w:spacing w:before="0"/>
        <w:ind w:left="120" w:right="0" w:firstLine="0"/>
        <w:jc w:val="left"/>
        <w:rPr>
          <w:b/>
          <w:sz w:val="24"/>
        </w:rPr>
      </w:pPr>
      <w:r>
        <w:rPr>
          <w:b/>
          <w:sz w:val="24"/>
        </w:rPr>
        <w:t>第三章 保险期间、保险金额与保险费</w:t>
      </w:r>
    </w:p>
    <w:p>
      <w:pPr>
        <w:pStyle w:val="BodyText"/>
        <w:spacing w:before="4"/>
        <w:ind w:left="0"/>
        <w:rPr>
          <w:b/>
          <w:sz w:val="30"/>
        </w:rPr>
      </w:pPr>
    </w:p>
    <w:p>
      <w:pPr>
        <w:tabs>
          <w:tab w:pos="1176" w:val="left" w:leader="none"/>
        </w:tabs>
        <w:spacing w:before="0"/>
        <w:ind w:left="120" w:right="0" w:firstLine="0"/>
        <w:jc w:val="left"/>
        <w:rPr>
          <w:b/>
          <w:sz w:val="21"/>
        </w:rPr>
      </w:pPr>
      <w:r>
        <w:rPr>
          <w:b/>
          <w:sz w:val="21"/>
        </w:rPr>
        <w:t>第五条</w:t>
        <w:tab/>
        <w:t>保险期间</w:t>
      </w:r>
    </w:p>
    <w:p>
      <w:pPr>
        <w:pStyle w:val="BodyText"/>
      </w:pPr>
      <w:r>
        <w:rPr/>
        <w:t>本合同的保险期间为一年。</w:t>
      </w:r>
    </w:p>
    <w:p>
      <w:pPr>
        <w:pStyle w:val="BodyText"/>
        <w:spacing w:line="326" w:lineRule="auto"/>
        <w:ind w:right="105"/>
      </w:pPr>
      <w:r>
        <w:rPr>
          <w:spacing w:val="-16"/>
        </w:rPr>
        <w:t>除另有约定外，若本合同依法成立且投保人已交付保险费，本合同自生效日零时起开始生效， </w:t>
      </w:r>
      <w:r>
        <w:rPr>
          <w:spacing w:val="-13"/>
        </w:rPr>
        <w:t>生效日载明于保险单上。除另有约定外，本公司所承担的保险责任自生效日零时起开始，至</w:t>
      </w:r>
      <w:r>
        <w:rPr>
          <w:spacing w:val="-6"/>
        </w:rPr>
        <w:t>保险期间届满时终止。</w:t>
      </w:r>
    </w:p>
    <w:p>
      <w:pPr>
        <w:pStyle w:val="Heading2"/>
        <w:tabs>
          <w:tab w:pos="1176" w:val="left" w:leader="none"/>
        </w:tabs>
      </w:pPr>
      <w:r>
        <w:rPr/>
        <w:t>第六条</w:t>
        <w:tab/>
        <w:t>续保</w:t>
      </w:r>
    </w:p>
    <w:p>
      <w:pPr>
        <w:pStyle w:val="BodyText"/>
        <w:spacing w:line="326" w:lineRule="auto"/>
        <w:ind w:right="117"/>
      </w:pPr>
      <w:r>
        <w:rPr>
          <w:spacing w:val="-9"/>
        </w:rPr>
        <w:t>若投保人选择了自动续保方式，每一保险期间届满时，若本公司未收到投保人停止继续投保</w:t>
      </w:r>
      <w:r>
        <w:rPr>
          <w:spacing w:val="-5"/>
        </w:rPr>
        <w:t>本合同的书面申请，经本公司同意并按续保当时确定的保险费收取后，本合同将延续有效。</w:t>
      </w:r>
      <w:r>
        <w:rPr>
          <w:spacing w:val="-4"/>
        </w:rPr>
        <w:t>新续保的合同自本合同保险期间届满次日零时起生效，保险期间为一年。</w:t>
      </w:r>
    </w:p>
    <w:p>
      <w:pPr>
        <w:pStyle w:val="BodyText"/>
        <w:spacing w:line="326" w:lineRule="auto" w:before="23"/>
        <w:ind w:right="4109"/>
      </w:pPr>
      <w:r>
        <w:rPr/>
        <w:t>但发生下列情形之一的，本合同不再接受续保： 一、本产品已停售；</w:t>
      </w:r>
    </w:p>
    <w:p>
      <w:pPr>
        <w:pStyle w:val="BodyText"/>
        <w:spacing w:before="23"/>
      </w:pPr>
      <w:r>
        <w:rPr/>
        <w:t>二、被保险人人数不满足投保团体保险要求的。</w:t>
      </w:r>
    </w:p>
    <w:p>
      <w:pPr>
        <w:pStyle w:val="BodyText"/>
        <w:spacing w:line="326" w:lineRule="auto"/>
        <w:ind w:right="3058"/>
      </w:pPr>
      <w:r>
        <w:rPr/>
        <w:t>发生下列情形之一的，本公司对该被保险人不再接受续保： 一、续保时被保险人年龄超过 99 周岁；</w:t>
      </w:r>
    </w:p>
    <w:p>
      <w:pPr>
        <w:pStyle w:val="BodyText"/>
        <w:spacing w:before="24"/>
      </w:pPr>
      <w:r>
        <w:rPr/>
        <w:t>二、被保险人身故；</w:t>
      </w:r>
    </w:p>
    <w:p>
      <w:pPr>
        <w:pStyle w:val="BodyText"/>
      </w:pPr>
      <w:r>
        <w:rPr/>
        <w:t>三、本合同因条款所列其他情况导致该被保险人保险责任终止。</w:t>
      </w:r>
    </w:p>
    <w:p>
      <w:pPr>
        <w:tabs>
          <w:tab w:pos="1176" w:val="left" w:leader="none"/>
        </w:tabs>
        <w:spacing w:line="326" w:lineRule="auto" w:before="99"/>
        <w:ind w:left="120" w:right="1586" w:firstLine="0"/>
        <w:jc w:val="left"/>
        <w:rPr>
          <w:b/>
          <w:sz w:val="21"/>
        </w:rPr>
      </w:pPr>
      <w:r>
        <w:rPr>
          <w:sz w:val="21"/>
        </w:rPr>
        <w:t>若本</w:t>
      </w:r>
      <w:r>
        <w:rPr>
          <w:spacing w:val="-3"/>
          <w:sz w:val="21"/>
        </w:rPr>
        <w:t>公</w:t>
      </w:r>
      <w:r>
        <w:rPr>
          <w:sz w:val="21"/>
        </w:rPr>
        <w:t>司</w:t>
      </w:r>
      <w:r>
        <w:rPr>
          <w:spacing w:val="-3"/>
          <w:sz w:val="21"/>
        </w:rPr>
        <w:t>不</w:t>
      </w:r>
      <w:r>
        <w:rPr>
          <w:sz w:val="21"/>
        </w:rPr>
        <w:t>再</w:t>
      </w:r>
      <w:r>
        <w:rPr>
          <w:spacing w:val="-3"/>
          <w:sz w:val="21"/>
        </w:rPr>
        <w:t>接</w:t>
      </w:r>
      <w:r>
        <w:rPr>
          <w:sz w:val="21"/>
        </w:rPr>
        <w:t>受</w:t>
      </w:r>
      <w:r>
        <w:rPr>
          <w:spacing w:val="-3"/>
          <w:sz w:val="21"/>
        </w:rPr>
        <w:t>续</w:t>
      </w:r>
      <w:r>
        <w:rPr>
          <w:sz w:val="21"/>
        </w:rPr>
        <w:t>保</w:t>
      </w:r>
      <w:r>
        <w:rPr>
          <w:spacing w:val="-3"/>
          <w:sz w:val="21"/>
        </w:rPr>
        <w:t>，</w:t>
      </w:r>
      <w:r>
        <w:rPr>
          <w:sz w:val="21"/>
        </w:rPr>
        <w:t>本公</w:t>
      </w:r>
      <w:r>
        <w:rPr>
          <w:spacing w:val="-3"/>
          <w:sz w:val="21"/>
        </w:rPr>
        <w:t>司</w:t>
      </w:r>
      <w:r>
        <w:rPr>
          <w:sz w:val="21"/>
        </w:rPr>
        <w:t>将</w:t>
      </w:r>
      <w:r>
        <w:rPr>
          <w:spacing w:val="-3"/>
          <w:sz w:val="21"/>
        </w:rPr>
        <w:t>在</w:t>
      </w:r>
      <w:r>
        <w:rPr>
          <w:sz w:val="21"/>
        </w:rPr>
        <w:t>本</w:t>
      </w:r>
      <w:r>
        <w:rPr>
          <w:spacing w:val="-3"/>
          <w:sz w:val="21"/>
        </w:rPr>
        <w:t>合</w:t>
      </w:r>
      <w:r>
        <w:rPr>
          <w:sz w:val="21"/>
        </w:rPr>
        <w:t>同</w:t>
      </w:r>
      <w:r>
        <w:rPr>
          <w:spacing w:val="-3"/>
          <w:sz w:val="21"/>
        </w:rPr>
        <w:t>保</w:t>
      </w:r>
      <w:r>
        <w:rPr>
          <w:sz w:val="21"/>
        </w:rPr>
        <w:t>险</w:t>
      </w:r>
      <w:r>
        <w:rPr>
          <w:spacing w:val="-3"/>
          <w:sz w:val="21"/>
        </w:rPr>
        <w:t>期</w:t>
      </w:r>
      <w:r>
        <w:rPr>
          <w:sz w:val="21"/>
        </w:rPr>
        <w:t>间届</w:t>
      </w:r>
      <w:r>
        <w:rPr>
          <w:spacing w:val="-3"/>
          <w:sz w:val="21"/>
        </w:rPr>
        <w:t>满</w:t>
      </w:r>
      <w:r>
        <w:rPr>
          <w:sz w:val="21"/>
        </w:rPr>
        <w:t>之</w:t>
      </w:r>
      <w:r>
        <w:rPr>
          <w:spacing w:val="-3"/>
          <w:sz w:val="21"/>
        </w:rPr>
        <w:t>前</w:t>
      </w:r>
      <w:r>
        <w:rPr>
          <w:sz w:val="21"/>
        </w:rPr>
        <w:t>通</w:t>
      </w:r>
      <w:r>
        <w:rPr>
          <w:spacing w:val="-3"/>
          <w:sz w:val="21"/>
        </w:rPr>
        <w:t>知</w:t>
      </w:r>
      <w:r>
        <w:rPr>
          <w:sz w:val="21"/>
        </w:rPr>
        <w:t>投</w:t>
      </w:r>
      <w:r>
        <w:rPr>
          <w:spacing w:val="-3"/>
          <w:sz w:val="21"/>
        </w:rPr>
        <w:t>保</w:t>
      </w:r>
      <w:r>
        <w:rPr>
          <w:sz w:val="21"/>
        </w:rPr>
        <w:t>人。</w:t>
      </w:r>
      <w:r>
        <w:rPr>
          <w:b/>
          <w:sz w:val="21"/>
        </w:rPr>
        <w:t>第七条</w:t>
        <w:tab/>
        <w:t>保险金</w:t>
      </w:r>
      <w:r>
        <w:rPr>
          <w:b/>
          <w:spacing w:val="-3"/>
          <w:sz w:val="21"/>
        </w:rPr>
        <w:t>额</w:t>
      </w:r>
      <w:r>
        <w:rPr>
          <w:b/>
          <w:sz w:val="21"/>
        </w:rPr>
        <w:t>与</w:t>
      </w:r>
      <w:r>
        <w:rPr>
          <w:b/>
          <w:spacing w:val="-3"/>
          <w:sz w:val="21"/>
        </w:rPr>
        <w:t>保</w:t>
      </w:r>
      <w:r>
        <w:rPr>
          <w:b/>
          <w:sz w:val="21"/>
        </w:rPr>
        <w:t>险费</w:t>
      </w:r>
    </w:p>
    <w:p>
      <w:pPr>
        <w:pStyle w:val="BodyText"/>
        <w:spacing w:line="326" w:lineRule="auto" w:before="24"/>
        <w:ind w:right="943"/>
      </w:pPr>
      <w:r>
        <w:rPr/>
        <w:t>一、每一被保险人的保险金额在投保时确定，并在保险单或其他保险凭证中载明。二、保险费由投保人在投保时一次交清。</w:t>
      </w:r>
    </w:p>
    <w:p>
      <w:pPr>
        <w:spacing w:after="0" w:line="326" w:lineRule="auto"/>
        <w:sectPr>
          <w:pgSz w:w="11910" w:h="16840"/>
          <w:pgMar w:header="0" w:footer="924" w:top="1420" w:bottom="1200" w:left="1680" w:right="1580"/>
        </w:sectPr>
      </w:pPr>
    </w:p>
    <w:p>
      <w:pPr>
        <w:pStyle w:val="BodyText"/>
        <w:spacing w:before="20"/>
      </w:pPr>
      <w:r>
        <w:rPr/>
        <w:t>三、本合同续保时将根据续保当时的费率重新计算保险费。</w:t>
      </w:r>
    </w:p>
    <w:p>
      <w:pPr>
        <w:pStyle w:val="BodyText"/>
        <w:spacing w:before="5"/>
        <w:ind w:left="0"/>
        <w:rPr>
          <w:sz w:val="29"/>
        </w:rPr>
      </w:pPr>
    </w:p>
    <w:p>
      <w:pPr>
        <w:pStyle w:val="Heading1"/>
        <w:spacing w:before="1"/>
      </w:pPr>
      <w:r>
        <w:rPr/>
        <w:t>第四章 保险金申请</w:t>
      </w:r>
    </w:p>
    <w:p>
      <w:pPr>
        <w:pStyle w:val="BodyText"/>
        <w:spacing w:before="5"/>
        <w:ind w:left="0"/>
        <w:rPr>
          <w:b/>
          <w:sz w:val="30"/>
        </w:rPr>
      </w:pPr>
    </w:p>
    <w:p>
      <w:pPr>
        <w:pStyle w:val="Heading2"/>
        <w:tabs>
          <w:tab w:pos="1176" w:val="left" w:leader="none"/>
        </w:tabs>
        <w:spacing w:before="0"/>
      </w:pPr>
      <w:r>
        <w:rPr/>
        <w:t>第八条</w:t>
        <w:tab/>
        <w:t>保险事</w:t>
      </w:r>
      <w:r>
        <w:rPr>
          <w:spacing w:val="-3"/>
        </w:rPr>
        <w:t>故</w:t>
      </w:r>
      <w:r>
        <w:rPr/>
        <w:t>通知</w:t>
      </w:r>
    </w:p>
    <w:p>
      <w:pPr>
        <w:spacing w:line="326" w:lineRule="auto" w:before="99"/>
        <w:ind w:left="120" w:right="211" w:firstLine="0"/>
        <w:jc w:val="left"/>
        <w:rPr>
          <w:sz w:val="21"/>
        </w:rPr>
      </w:pPr>
      <w:r>
        <w:rPr>
          <w:spacing w:val="-10"/>
          <w:sz w:val="21"/>
        </w:rPr>
        <w:t>投保人、被保险人或者受益人应在知道保险事故发生之日起十日内通知本公司，但因</w:t>
      </w:r>
      <w:r>
        <w:rPr>
          <w:spacing w:val="-2"/>
          <w:sz w:val="21"/>
          <w:shd w:fill="BEBEBE" w:color="auto" w:val="clear"/>
        </w:rPr>
        <w:t>不可抗力</w:t>
      </w:r>
      <w:r>
        <w:rPr>
          <w:spacing w:val="-2"/>
          <w:sz w:val="21"/>
        </w:rPr>
        <w:t>（</w:t>
      </w:r>
      <w:r>
        <w:rPr>
          <w:spacing w:val="-3"/>
          <w:sz w:val="21"/>
        </w:rPr>
        <w:t>见释义</w:t>
      </w:r>
      <w:r>
        <w:rPr>
          <w:sz w:val="21"/>
        </w:rPr>
        <w:t>）</w:t>
      </w:r>
      <w:r>
        <w:rPr>
          <w:spacing w:val="-3"/>
          <w:sz w:val="21"/>
        </w:rPr>
        <w:t>导致的迟</w:t>
      </w:r>
      <w:r>
        <w:rPr>
          <w:spacing w:val="-53"/>
          <w:sz w:val="21"/>
        </w:rPr>
        <w:t>延除外。</w:t>
      </w:r>
      <w:r>
        <w:rPr>
          <w:b/>
          <w:spacing w:val="-3"/>
          <w:sz w:val="21"/>
        </w:rPr>
        <w:t>故意或者因重大过失未及时通知，致使保险事故的性质、原因、损失程度等难以确定的，本公司对无法确定的部分，不承担给付保险金的责任</w:t>
      </w:r>
      <w:r>
        <w:rPr>
          <w:spacing w:val="-2"/>
          <w:sz w:val="21"/>
        </w:rPr>
        <w:t>，但本</w:t>
      </w:r>
      <w:r>
        <w:rPr>
          <w:spacing w:val="-3"/>
          <w:sz w:val="21"/>
        </w:rPr>
        <w:t>公司通过其他途径已经及时知道或者应当及时知道保险事故发生的除外。</w:t>
      </w:r>
    </w:p>
    <w:p>
      <w:pPr>
        <w:pStyle w:val="Heading2"/>
        <w:tabs>
          <w:tab w:pos="1176" w:val="left" w:leader="none"/>
        </w:tabs>
      </w:pPr>
      <w:r>
        <w:rPr/>
        <w:t>第九条</w:t>
        <w:tab/>
        <w:t>保险金</w:t>
      </w:r>
      <w:r>
        <w:rPr>
          <w:spacing w:val="-3"/>
        </w:rPr>
        <w:t>申</w:t>
      </w:r>
      <w:r>
        <w:rPr/>
        <w:t>请</w:t>
      </w:r>
      <w:r>
        <w:rPr>
          <w:spacing w:val="-3"/>
        </w:rPr>
        <w:t>时</w:t>
      </w:r>
      <w:r>
        <w:rPr/>
        <w:t>效</w:t>
      </w:r>
    </w:p>
    <w:p>
      <w:pPr>
        <w:pStyle w:val="BodyText"/>
        <w:spacing w:line="326" w:lineRule="auto"/>
        <w:ind w:right="211"/>
      </w:pPr>
      <w:r>
        <w:rPr>
          <w:spacing w:val="-6"/>
        </w:rPr>
        <w:t>受益人及其他有权领取保险金的人向本公司申请给付保险金的诉讼时效期间为二年，自其知</w:t>
      </w:r>
      <w:r>
        <w:rPr>
          <w:spacing w:val="-3"/>
        </w:rPr>
        <w:t>道或应当知道保险事故发生之日起计算。</w:t>
      </w:r>
    </w:p>
    <w:p>
      <w:pPr>
        <w:pStyle w:val="Heading2"/>
        <w:tabs>
          <w:tab w:pos="1176" w:val="left" w:leader="none"/>
        </w:tabs>
        <w:spacing w:before="23"/>
      </w:pPr>
      <w:r>
        <w:rPr/>
        <w:t>第十条</w:t>
        <w:tab/>
        <w:t>保险金</w:t>
      </w:r>
      <w:r>
        <w:rPr>
          <w:spacing w:val="-3"/>
        </w:rPr>
        <w:t>申</w:t>
      </w:r>
      <w:r>
        <w:rPr/>
        <w:t>请</w:t>
      </w:r>
    </w:p>
    <w:p>
      <w:pPr>
        <w:pStyle w:val="BodyText"/>
      </w:pPr>
      <w:r>
        <w:rPr>
          <w:spacing w:val="-16"/>
        </w:rPr>
        <w:t>一、由受益人作为申请人，填写给付申请书，并凭下列证明和资料向本公司申请给付保险金：</w:t>
      </w:r>
    </w:p>
    <w:p>
      <w:pPr>
        <w:pStyle w:val="BodyText"/>
      </w:pPr>
      <w:r>
        <w:rPr/>
        <w:t>1、给付申请书；</w:t>
      </w:r>
    </w:p>
    <w:p>
      <w:pPr>
        <w:pStyle w:val="BodyText"/>
      </w:pPr>
      <w:r>
        <w:rPr/>
        <w:t>2、保险合同或其他保险凭证；</w:t>
      </w:r>
    </w:p>
    <w:p>
      <w:pPr>
        <w:pStyle w:val="BodyText"/>
      </w:pPr>
      <w:r>
        <w:rPr/>
        <w:t>3、投保人证明及受益人身份证明；</w:t>
      </w:r>
    </w:p>
    <w:p>
      <w:pPr>
        <w:pStyle w:val="BodyText"/>
        <w:spacing w:line="326" w:lineRule="auto"/>
        <w:ind w:right="211"/>
        <w:jc w:val="both"/>
      </w:pPr>
      <w:r>
        <w:rPr/>
        <w:t>4</w:t>
      </w:r>
      <w:r>
        <w:rPr>
          <w:spacing w:val="-3"/>
        </w:rPr>
        <w:t>、由本公司认可的医疗机构出具的诊断证明书、病例记录和确诊疾病必要的病理检验、血</w:t>
      </w:r>
      <w:r>
        <w:rPr>
          <w:spacing w:val="-10"/>
        </w:rPr>
        <w:t>液检验、影像学检查及其他科学方法的检查报告。如有必要，本公司有权对被保险人进行体</w:t>
      </w:r>
      <w:r>
        <w:rPr>
          <w:spacing w:val="-5"/>
        </w:rPr>
        <w:t>检，本公司保留就疾病诊断咨询其他医疗专家的权利；</w:t>
      </w:r>
    </w:p>
    <w:p>
      <w:pPr>
        <w:pStyle w:val="BodyText"/>
        <w:spacing w:before="24"/>
      </w:pPr>
      <w:r>
        <w:rPr/>
        <w:t>5、与确认保险事故的时间、性质、原因等相关的其他证明和资料。</w:t>
      </w:r>
    </w:p>
    <w:p>
      <w:pPr>
        <w:pStyle w:val="BodyText"/>
        <w:spacing w:line="326" w:lineRule="auto"/>
        <w:ind w:right="211"/>
      </w:pPr>
      <w:r>
        <w:rPr>
          <w:spacing w:val="-10"/>
        </w:rPr>
        <w:t>二、如果委托他人领取保险金，受托人除提供上述所有证明和资料外，必须另行出具有委托</w:t>
      </w:r>
      <w:r>
        <w:rPr>
          <w:spacing w:val="-3"/>
        </w:rPr>
        <w:t>人亲笔签字的授权委托书和受托人身份证明。</w:t>
      </w:r>
    </w:p>
    <w:p>
      <w:pPr>
        <w:pStyle w:val="Heading2"/>
        <w:tabs>
          <w:tab w:pos="1387" w:val="left" w:leader="none"/>
        </w:tabs>
        <w:spacing w:before="23"/>
      </w:pPr>
      <w:r>
        <w:rPr/>
        <w:t>第十一条</w:t>
        <w:tab/>
        <w:t>保险</w:t>
      </w:r>
      <w:r>
        <w:rPr>
          <w:spacing w:val="-3"/>
        </w:rPr>
        <w:t>金</w:t>
      </w:r>
      <w:r>
        <w:rPr/>
        <w:t>给付</w:t>
      </w:r>
    </w:p>
    <w:p>
      <w:pPr>
        <w:spacing w:line="326" w:lineRule="auto" w:before="99"/>
        <w:ind w:left="120" w:right="211" w:firstLine="0"/>
        <w:jc w:val="both"/>
        <w:rPr>
          <w:sz w:val="21"/>
        </w:rPr>
      </w:pPr>
      <w:r>
        <w:rPr>
          <w:spacing w:val="-7"/>
          <w:sz w:val="21"/>
        </w:rPr>
        <w:t>本公司在收到保险金给付申请书等证明和资料后，会及时作出核定；情形复杂的，将在三十</w:t>
      </w:r>
      <w:r>
        <w:rPr>
          <w:spacing w:val="-11"/>
          <w:sz w:val="21"/>
        </w:rPr>
        <w:t>日内作出核定，但本合同另有约定的除外。本公司会将核定结果通知申请人。对属于保险责任的，在与申请人达成给付保险金的协议后十日内，履行给付保险金义务。本合同对给付保险金的期限有约定的，本公司按照约定履行给付保险金义务。</w:t>
      </w:r>
      <w:r>
        <w:rPr>
          <w:b/>
          <w:spacing w:val="-5"/>
          <w:sz w:val="21"/>
        </w:rPr>
        <w:t>对不属于保险责任的，本公司</w:t>
      </w:r>
      <w:r>
        <w:rPr>
          <w:b/>
          <w:spacing w:val="-3"/>
          <w:sz w:val="21"/>
        </w:rPr>
        <w:t>自作出核定之日起三日内向申请人发出拒绝给付保险金通知书，并说明理由</w:t>
      </w:r>
      <w:r>
        <w:rPr>
          <w:sz w:val="21"/>
        </w:rPr>
        <w:t>。</w:t>
      </w:r>
    </w:p>
    <w:p>
      <w:pPr>
        <w:pStyle w:val="BodyText"/>
        <w:spacing w:line="326" w:lineRule="auto" w:before="24"/>
        <w:ind w:right="211"/>
        <w:jc w:val="both"/>
      </w:pPr>
      <w:r>
        <w:rPr>
          <w:spacing w:val="-7"/>
        </w:rPr>
        <w:t>本公司在收到保险金给付申请书等证明和资料之日起六十日内，对属于保险责任而给付保险</w:t>
      </w:r>
      <w:r>
        <w:rPr>
          <w:spacing w:val="-11"/>
        </w:rPr>
        <w:t>金的数额不能确定的，根据已有证明和资料，按可以确定的数额先予以给付，在最终确定给</w:t>
      </w:r>
      <w:r>
        <w:rPr>
          <w:spacing w:val="-6"/>
        </w:rPr>
        <w:t>付保险金的数额后，给付相应的差额。</w:t>
      </w:r>
    </w:p>
    <w:p>
      <w:pPr>
        <w:pStyle w:val="Heading2"/>
        <w:tabs>
          <w:tab w:pos="1387" w:val="left" w:leader="none"/>
        </w:tabs>
      </w:pPr>
      <w:r>
        <w:rPr/>
        <w:t>第十二条</w:t>
        <w:tab/>
        <w:t>司法</w:t>
      </w:r>
      <w:r>
        <w:rPr>
          <w:spacing w:val="-3"/>
        </w:rPr>
        <w:t>鉴</w:t>
      </w:r>
      <w:r>
        <w:rPr/>
        <w:t>定</w:t>
      </w:r>
    </w:p>
    <w:p>
      <w:pPr>
        <w:pStyle w:val="BodyText"/>
        <w:spacing w:line="326" w:lineRule="auto"/>
        <w:ind w:right="211"/>
      </w:pPr>
      <w:r>
        <w:rPr>
          <w:spacing w:val="-7"/>
        </w:rPr>
        <w:t>本公司有权要求通过司法鉴定机构对保险事故进行鉴定，投保人、被保险人与受益人应当予</w:t>
      </w:r>
      <w:r>
        <w:rPr>
          <w:spacing w:val="-5"/>
        </w:rPr>
        <w:t>以配合。</w:t>
      </w:r>
    </w:p>
    <w:p>
      <w:pPr>
        <w:pStyle w:val="BodyText"/>
        <w:spacing w:before="9"/>
        <w:ind w:left="0"/>
        <w:rPr>
          <w:sz w:val="23"/>
        </w:rPr>
      </w:pPr>
    </w:p>
    <w:p>
      <w:pPr>
        <w:pStyle w:val="Heading1"/>
      </w:pPr>
      <w:r>
        <w:rPr/>
        <w:t>第五章 合同变更与解除</w:t>
      </w:r>
    </w:p>
    <w:p>
      <w:pPr>
        <w:spacing w:after="0"/>
        <w:sectPr>
          <w:pgSz w:w="11910" w:h="16840"/>
          <w:pgMar w:header="0" w:footer="924" w:top="1420" w:bottom="1200" w:left="1680" w:right="1580"/>
        </w:sectPr>
      </w:pPr>
    </w:p>
    <w:p>
      <w:pPr>
        <w:pStyle w:val="Heading2"/>
        <w:tabs>
          <w:tab w:pos="1387" w:val="left" w:leader="none"/>
        </w:tabs>
        <w:spacing w:before="20"/>
      </w:pPr>
      <w:r>
        <w:rPr/>
        <w:t>第十三条</w:t>
        <w:tab/>
        <w:t>被保</w:t>
      </w:r>
      <w:r>
        <w:rPr>
          <w:spacing w:val="-3"/>
        </w:rPr>
        <w:t>险</w:t>
      </w:r>
      <w:r>
        <w:rPr/>
        <w:t>人</w:t>
      </w:r>
      <w:r>
        <w:rPr>
          <w:spacing w:val="-3"/>
        </w:rPr>
        <w:t>变</w:t>
      </w:r>
      <w:r>
        <w:rPr/>
        <w:t>动</w:t>
      </w:r>
    </w:p>
    <w:p>
      <w:pPr>
        <w:pStyle w:val="BodyText"/>
        <w:spacing w:line="326" w:lineRule="auto"/>
        <w:ind w:right="211"/>
      </w:pPr>
      <w:r>
        <w:rPr>
          <w:spacing w:val="-10"/>
        </w:rPr>
        <w:t>一、投保人需要增加被保险人的，应书面通知本公司。若本公司审核同意并收取保险费，本</w:t>
      </w:r>
      <w:r>
        <w:rPr>
          <w:spacing w:val="-5"/>
        </w:rPr>
        <w:t>公司自批单所载明的被保险人变动生效日零时开始对增加的被保险人承担保险责任。</w:t>
      </w:r>
    </w:p>
    <w:p>
      <w:pPr>
        <w:spacing w:line="326" w:lineRule="auto" w:before="24"/>
        <w:ind w:left="120" w:right="211" w:firstLine="0"/>
        <w:jc w:val="left"/>
        <w:rPr>
          <w:sz w:val="21"/>
        </w:rPr>
      </w:pPr>
      <w:r>
        <w:rPr>
          <w:spacing w:val="-9"/>
          <w:sz w:val="21"/>
        </w:rPr>
        <w:t>二、投保人因被保险人离职或其他原因需要减少被保险人的，应以书面形式通知本公司，除</w:t>
      </w:r>
      <w:r>
        <w:rPr>
          <w:spacing w:val="-12"/>
          <w:sz w:val="21"/>
        </w:rPr>
        <w:t>另有约定外，本合同对该被保险人所承担的保险责任自通知到达次日零时起终止。如投保人</w:t>
      </w:r>
      <w:r>
        <w:rPr>
          <w:spacing w:val="-11"/>
          <w:sz w:val="21"/>
        </w:rPr>
        <w:t>要求的减少被保险人的日期在通知到达日之后，则本合同对该被保险人的保险责任自通知注</w:t>
      </w:r>
      <w:r>
        <w:rPr>
          <w:spacing w:val="-6"/>
          <w:sz w:val="21"/>
        </w:rPr>
        <w:t>明的减少被保险人的日期零时起终止。</w:t>
      </w:r>
      <w:r>
        <w:rPr>
          <w:b/>
          <w:spacing w:val="-3"/>
          <w:sz w:val="21"/>
        </w:rPr>
        <w:t>若未发生对减保人员的保险金给付，本公司退还其现金价值；若已发生对减保人员的保险金给付，则本公司不予退还现金价值</w:t>
      </w:r>
      <w:r>
        <w:rPr>
          <w:spacing w:val="-2"/>
          <w:sz w:val="21"/>
        </w:rPr>
        <w:t>。投保人的团</w:t>
      </w:r>
      <w:r>
        <w:rPr>
          <w:spacing w:val="-3"/>
          <w:sz w:val="21"/>
        </w:rPr>
        <w:t>体成员退出本合同的，其附属被保险人也同时退出本合同。</w:t>
      </w:r>
    </w:p>
    <w:p>
      <w:pPr>
        <w:pStyle w:val="Heading2"/>
        <w:spacing w:line="326" w:lineRule="auto"/>
        <w:ind w:right="300"/>
        <w:jc w:val="both"/>
      </w:pPr>
      <w:r>
        <w:rPr>
          <w:b w:val="0"/>
        </w:rPr>
        <w:t>三、</w:t>
      </w:r>
      <w:r>
        <w:rPr/>
        <w:t>若由于被保险人变动，导致本合同不再满足国务院保险监督管理机构的相关投保规定时，本公司有权解除本合同，并向投保人退还未发生保险金给付的被保险人的现金价值</w:t>
      </w:r>
      <w:r>
        <w:rPr>
          <w:b w:val="0"/>
        </w:rPr>
        <w:t>。</w:t>
      </w:r>
      <w:r>
        <w:rPr/>
        <w:t>第十四条    地址变更</w:t>
      </w:r>
    </w:p>
    <w:p>
      <w:pPr>
        <w:pStyle w:val="BodyText"/>
        <w:spacing w:line="326" w:lineRule="auto" w:before="23"/>
        <w:ind w:right="105"/>
      </w:pPr>
      <w:r>
        <w:rPr>
          <w:spacing w:val="-14"/>
        </w:rPr>
        <w:t>投保人住所或通讯地址变更时，应及时以书面形式通知本公司，投保人未以书面形式通知的， </w:t>
      </w:r>
      <w:r>
        <w:rPr>
          <w:spacing w:val="-3"/>
        </w:rPr>
        <w:t>本公司将按本合同载明的最后住所或通讯地址发送有关通知，并视为已送达投保人。</w:t>
      </w:r>
    </w:p>
    <w:p>
      <w:pPr>
        <w:pStyle w:val="Heading2"/>
        <w:tabs>
          <w:tab w:pos="1387" w:val="left" w:leader="none"/>
        </w:tabs>
        <w:spacing w:before="23"/>
      </w:pPr>
      <w:r>
        <w:rPr/>
        <w:t>第十五条</w:t>
        <w:tab/>
        <w:t>合同</w:t>
      </w:r>
      <w:r>
        <w:rPr>
          <w:spacing w:val="-3"/>
        </w:rPr>
        <w:t>内</w:t>
      </w:r>
      <w:r>
        <w:rPr/>
        <w:t>容</w:t>
      </w:r>
      <w:r>
        <w:rPr>
          <w:spacing w:val="-3"/>
        </w:rPr>
        <w:t>变</w:t>
      </w:r>
      <w:r>
        <w:rPr/>
        <w:t>更</w:t>
      </w:r>
    </w:p>
    <w:p>
      <w:pPr>
        <w:spacing w:line="326" w:lineRule="auto" w:before="99"/>
        <w:ind w:left="120" w:right="301" w:firstLine="0"/>
        <w:jc w:val="left"/>
        <w:rPr>
          <w:sz w:val="21"/>
        </w:rPr>
      </w:pPr>
      <w:r>
        <w:rPr>
          <w:b/>
          <w:sz w:val="21"/>
        </w:rPr>
        <w:t>投保人变更本合同的，应填写变更合同申请书，经本公司审核同意，并在本合同的保险单或其他保险凭证上加以批注，或由投保人和本公司订立合同变更的书面协议后生效</w:t>
      </w:r>
      <w:r>
        <w:rPr>
          <w:sz w:val="21"/>
        </w:rPr>
        <w:t>。</w:t>
      </w:r>
    </w:p>
    <w:p>
      <w:pPr>
        <w:tabs>
          <w:tab w:pos="1387" w:val="left" w:leader="none"/>
        </w:tabs>
        <w:spacing w:before="24"/>
        <w:ind w:left="120" w:right="0" w:firstLine="0"/>
        <w:jc w:val="left"/>
        <w:rPr>
          <w:b/>
          <w:sz w:val="21"/>
        </w:rPr>
      </w:pPr>
      <w:r>
        <w:rPr>
          <w:b/>
          <w:sz w:val="21"/>
        </w:rPr>
        <w:t>第十六条</w:t>
        <w:tab/>
        <w:t>投保</w:t>
      </w:r>
      <w:r>
        <w:rPr>
          <w:b/>
          <w:spacing w:val="-3"/>
          <w:sz w:val="21"/>
        </w:rPr>
        <w:t>人</w:t>
      </w:r>
      <w:r>
        <w:rPr>
          <w:b/>
          <w:sz w:val="21"/>
        </w:rPr>
        <w:t>解</w:t>
      </w:r>
      <w:r>
        <w:rPr>
          <w:b/>
          <w:spacing w:val="-3"/>
          <w:sz w:val="21"/>
        </w:rPr>
        <w:t>除</w:t>
      </w:r>
      <w:r>
        <w:rPr>
          <w:b/>
          <w:sz w:val="21"/>
        </w:rPr>
        <w:t>合同</w:t>
      </w:r>
    </w:p>
    <w:p>
      <w:pPr>
        <w:pStyle w:val="BodyText"/>
        <w:spacing w:line="326" w:lineRule="auto" w:before="100"/>
        <w:ind w:right="211"/>
      </w:pPr>
      <w:r>
        <w:rPr>
          <w:spacing w:val="-12"/>
        </w:rPr>
        <w:t>一、在本合同保险期间内，如未发生保险金给付，投保人可以提供下列证明和资料申请解除</w:t>
      </w:r>
      <w:r>
        <w:rPr>
          <w:spacing w:val="-7"/>
        </w:rPr>
        <w:t>本合同：</w:t>
      </w:r>
    </w:p>
    <w:p>
      <w:pPr>
        <w:pStyle w:val="BodyText"/>
        <w:spacing w:before="24"/>
      </w:pPr>
      <w:r>
        <w:rPr/>
        <w:t>1、 解除合同申请书；</w:t>
      </w:r>
    </w:p>
    <w:p>
      <w:pPr>
        <w:pStyle w:val="BodyText"/>
      </w:pPr>
      <w:r>
        <w:rPr/>
        <w:t>2、 保险合同及其他保险凭证；</w:t>
      </w:r>
    </w:p>
    <w:p>
      <w:pPr>
        <w:pStyle w:val="BodyText"/>
      </w:pPr>
      <w:r>
        <w:rPr/>
        <w:t>3、 表明被保险人已知悉解除本合同事宜的证明文件。</w:t>
      </w:r>
    </w:p>
    <w:p>
      <w:pPr>
        <w:pStyle w:val="BodyText"/>
        <w:spacing w:line="326" w:lineRule="auto"/>
        <w:ind w:right="211"/>
      </w:pPr>
      <w:r>
        <w:rPr>
          <w:spacing w:val="-10"/>
        </w:rPr>
        <w:t>二、本合同自本公司收到上述证明和资料时终止。本公司在收到上述证明和资料之日起三十</w:t>
      </w:r>
      <w:r>
        <w:rPr>
          <w:spacing w:val="-3"/>
        </w:rPr>
        <w:t>日内退还本合同终止之日的现金价值。</w:t>
      </w:r>
    </w:p>
    <w:p>
      <w:pPr>
        <w:pStyle w:val="BodyText"/>
        <w:spacing w:before="8"/>
        <w:ind w:left="0"/>
        <w:rPr>
          <w:sz w:val="23"/>
        </w:rPr>
      </w:pPr>
    </w:p>
    <w:p>
      <w:pPr>
        <w:pStyle w:val="Heading1"/>
        <w:spacing w:before="1"/>
      </w:pPr>
      <w:r>
        <w:rPr/>
        <w:t>第六章 一般条款</w:t>
      </w:r>
    </w:p>
    <w:p>
      <w:pPr>
        <w:pStyle w:val="BodyText"/>
        <w:spacing w:before="5"/>
        <w:ind w:left="0"/>
        <w:rPr>
          <w:b/>
          <w:sz w:val="30"/>
        </w:rPr>
      </w:pPr>
    </w:p>
    <w:p>
      <w:pPr>
        <w:pStyle w:val="Heading2"/>
        <w:tabs>
          <w:tab w:pos="1387" w:val="left" w:leader="none"/>
        </w:tabs>
        <w:spacing w:before="1"/>
      </w:pPr>
      <w:r>
        <w:rPr/>
        <w:t>第十七条</w:t>
        <w:tab/>
        <w:t>如实</w:t>
      </w:r>
      <w:r>
        <w:rPr>
          <w:spacing w:val="-3"/>
        </w:rPr>
        <w:t>告</w:t>
      </w:r>
      <w:r>
        <w:rPr/>
        <w:t>知</w:t>
      </w:r>
    </w:p>
    <w:p>
      <w:pPr>
        <w:pStyle w:val="BodyText"/>
        <w:spacing w:line="326" w:lineRule="auto"/>
        <w:ind w:right="211"/>
      </w:pPr>
      <w:r>
        <w:rPr>
          <w:spacing w:val="-9"/>
        </w:rPr>
        <w:t>在订立本合同时，本公司会向投保人说明本合同的条款内容，特别是责任免除条款。本公司</w:t>
      </w:r>
      <w:r>
        <w:rPr>
          <w:spacing w:val="-3"/>
        </w:rPr>
        <w:t>会就投保人和被保险人的有关情况提出书面询问，投保人应当如实告知。</w:t>
      </w:r>
    </w:p>
    <w:p>
      <w:pPr>
        <w:pStyle w:val="Heading2"/>
        <w:spacing w:line="326" w:lineRule="auto" w:before="23"/>
        <w:ind w:right="223"/>
        <w:rPr>
          <w:b w:val="0"/>
        </w:rPr>
      </w:pPr>
      <w:r>
        <w:rPr/>
        <w:t>投保人故意或者因重大过失未履行前款规定的如实告知义务，足以影响本公司决定是否同意承保或者提高保险费率的，本公司有权解除本合同</w:t>
      </w:r>
      <w:r>
        <w:rPr>
          <w:b w:val="0"/>
        </w:rPr>
        <w:t>。</w:t>
      </w:r>
    </w:p>
    <w:p>
      <w:pPr>
        <w:spacing w:line="326" w:lineRule="auto" w:before="23"/>
        <w:ind w:left="120" w:right="225" w:firstLine="0"/>
        <w:jc w:val="left"/>
        <w:rPr>
          <w:sz w:val="21"/>
        </w:rPr>
      </w:pPr>
      <w:r>
        <w:rPr>
          <w:spacing w:val="-3"/>
          <w:sz w:val="21"/>
        </w:rPr>
        <w:t>前款规定的合同解除权，自本公司知道有解除事由之日起，超过三十日不行使而消灭。  </w:t>
      </w:r>
      <w:r>
        <w:rPr>
          <w:b/>
          <w:spacing w:val="-3"/>
          <w:sz w:val="21"/>
        </w:rPr>
        <w:t>投保人故意不履行如实告知义务的，本公司对于本合同解除前发生的保险事故，不承担给付保险金的责任，并不退还保险费</w:t>
      </w:r>
      <w:r>
        <w:rPr>
          <w:sz w:val="21"/>
        </w:rPr>
        <w:t>。</w:t>
      </w:r>
    </w:p>
    <w:p>
      <w:pPr>
        <w:pStyle w:val="Heading2"/>
        <w:spacing w:before="23"/>
      </w:pPr>
      <w:r>
        <w:rPr/>
        <w:t>投保人因重大过失未履行如实告知义务，对保险事故的发生有严重影响的，本公司对于本</w:t>
      </w:r>
    </w:p>
    <w:p>
      <w:pPr>
        <w:spacing w:after="0"/>
        <w:sectPr>
          <w:pgSz w:w="11910" w:h="16840"/>
          <w:pgMar w:header="0" w:footer="924" w:top="1420" w:bottom="1200" w:left="1680" w:right="1580"/>
        </w:sectPr>
      </w:pPr>
    </w:p>
    <w:p>
      <w:pPr>
        <w:tabs>
          <w:tab w:pos="1467" w:val="left" w:leader="none"/>
        </w:tabs>
        <w:spacing w:line="326" w:lineRule="auto" w:before="20"/>
        <w:ind w:left="200" w:right="2314" w:firstLine="0"/>
        <w:jc w:val="left"/>
        <w:rPr>
          <w:b/>
          <w:sz w:val="21"/>
        </w:rPr>
      </w:pPr>
      <w:r>
        <w:rPr>
          <w:b/>
          <w:sz w:val="21"/>
        </w:rPr>
        <w:t>合同解除前发生的</w:t>
      </w:r>
      <w:r>
        <w:rPr>
          <w:b/>
          <w:spacing w:val="-3"/>
          <w:sz w:val="21"/>
        </w:rPr>
        <w:t>保</w:t>
      </w:r>
      <w:r>
        <w:rPr>
          <w:b/>
          <w:sz w:val="21"/>
        </w:rPr>
        <w:t>险</w:t>
      </w:r>
      <w:r>
        <w:rPr>
          <w:b/>
          <w:spacing w:val="-3"/>
          <w:sz w:val="21"/>
        </w:rPr>
        <w:t>事</w:t>
      </w:r>
      <w:r>
        <w:rPr>
          <w:b/>
          <w:sz w:val="21"/>
        </w:rPr>
        <w:t>故，不承担给付保</w:t>
      </w:r>
      <w:r>
        <w:rPr>
          <w:b/>
          <w:spacing w:val="-3"/>
          <w:sz w:val="21"/>
        </w:rPr>
        <w:t>险</w:t>
      </w:r>
      <w:r>
        <w:rPr>
          <w:b/>
          <w:sz w:val="21"/>
        </w:rPr>
        <w:t>金</w:t>
      </w:r>
      <w:r>
        <w:rPr>
          <w:b/>
          <w:spacing w:val="-3"/>
          <w:sz w:val="21"/>
        </w:rPr>
        <w:t>的</w:t>
      </w:r>
      <w:r>
        <w:rPr>
          <w:b/>
          <w:sz w:val="21"/>
        </w:rPr>
        <w:t>责任，但退还保险费</w:t>
      </w:r>
      <w:r>
        <w:rPr>
          <w:sz w:val="21"/>
        </w:rPr>
        <w:t>。</w:t>
      </w:r>
      <w:r>
        <w:rPr>
          <w:b/>
          <w:sz w:val="21"/>
        </w:rPr>
        <w:t>第十八条</w:t>
        <w:tab/>
        <w:t>年龄</w:t>
      </w:r>
      <w:r>
        <w:rPr>
          <w:b/>
          <w:spacing w:val="-3"/>
          <w:sz w:val="21"/>
        </w:rPr>
        <w:t>计</w:t>
      </w:r>
      <w:r>
        <w:rPr>
          <w:b/>
          <w:sz w:val="21"/>
        </w:rPr>
        <w:t>算</w:t>
      </w:r>
      <w:r>
        <w:rPr>
          <w:b/>
          <w:spacing w:val="-3"/>
          <w:sz w:val="21"/>
        </w:rPr>
        <w:t>及</w:t>
      </w:r>
      <w:r>
        <w:rPr>
          <w:b/>
          <w:sz w:val="21"/>
        </w:rPr>
        <w:t>错误处理</w:t>
      </w:r>
    </w:p>
    <w:p>
      <w:pPr>
        <w:pStyle w:val="BodyText"/>
        <w:spacing w:line="326" w:lineRule="auto" w:before="23"/>
        <w:ind w:left="200" w:right="657"/>
      </w:pPr>
      <w:r>
        <w:rPr/>
        <w:t>被保险人的投保年龄为以法定证件载明的出生日期计算的周岁年龄。投保人在申请投保时， 应告知被保险人的周岁年龄。若发生错误，本公司依下列约定处理：</w:t>
      </w:r>
    </w:p>
    <w:p>
      <w:pPr>
        <w:pStyle w:val="BodyText"/>
        <w:spacing w:line="326" w:lineRule="auto" w:before="23"/>
        <w:ind w:left="200" w:right="751"/>
      </w:pPr>
      <w:r>
        <w:rPr>
          <w:spacing w:val="-10"/>
        </w:rPr>
        <w:t>一、申报的被保险人年龄不真实，致使投保人实交保险费多于应交保险费的，本公司将多收</w:t>
      </w:r>
      <w:r>
        <w:rPr>
          <w:spacing w:val="-5"/>
        </w:rPr>
        <w:t>的保险费无息退还投保人。</w:t>
      </w:r>
    </w:p>
    <w:p>
      <w:pPr>
        <w:spacing w:line="326" w:lineRule="auto" w:before="23"/>
        <w:ind w:left="200" w:right="751" w:firstLine="0"/>
        <w:jc w:val="left"/>
        <w:rPr>
          <w:sz w:val="21"/>
        </w:rPr>
      </w:pPr>
      <w:r>
        <w:rPr>
          <w:spacing w:val="-10"/>
          <w:sz w:val="21"/>
        </w:rPr>
        <w:t>二、申报的被保险人年龄不真实，致使投保人实交保险费少于应交保险费的，本公司有权审</w:t>
      </w:r>
      <w:r>
        <w:rPr>
          <w:spacing w:val="-5"/>
          <w:sz w:val="21"/>
        </w:rPr>
        <w:t>核更正并要求投保人补交保险费。</w:t>
      </w:r>
      <w:r>
        <w:rPr>
          <w:b/>
          <w:spacing w:val="-3"/>
          <w:sz w:val="21"/>
        </w:rPr>
        <w:t>若补交保险费前已发生保险事故，本公司按实交保险费和应交保险费的比例折算给付保险金</w:t>
      </w:r>
      <w:r>
        <w:rPr>
          <w:sz w:val="21"/>
        </w:rPr>
        <w:t>。</w:t>
      </w:r>
    </w:p>
    <w:p>
      <w:pPr>
        <w:pStyle w:val="Heading2"/>
        <w:tabs>
          <w:tab w:pos="1467" w:val="left" w:leader="none"/>
        </w:tabs>
        <w:spacing w:line="326" w:lineRule="auto"/>
        <w:ind w:left="200" w:right="648"/>
      </w:pPr>
      <w:r>
        <w:rPr>
          <w:b w:val="0"/>
        </w:rPr>
        <w:t>三</w:t>
      </w:r>
      <w:r>
        <w:rPr>
          <w:b w:val="0"/>
          <w:spacing w:val="-3"/>
        </w:rPr>
        <w:t>、</w:t>
      </w:r>
      <w:r>
        <w:rPr/>
        <w:t>申报的被保险人年</w:t>
      </w:r>
      <w:r>
        <w:rPr>
          <w:spacing w:val="-3"/>
        </w:rPr>
        <w:t>龄</w:t>
      </w:r>
      <w:r>
        <w:rPr/>
        <w:t>不真实，且真实年</w:t>
      </w:r>
      <w:r>
        <w:rPr>
          <w:spacing w:val="-3"/>
        </w:rPr>
        <w:t>龄</w:t>
      </w:r>
      <w:r>
        <w:rPr/>
        <w:t>不</w:t>
      </w:r>
      <w:r>
        <w:rPr>
          <w:spacing w:val="-3"/>
        </w:rPr>
        <w:t>符</w:t>
      </w:r>
      <w:r>
        <w:rPr/>
        <w:t>合本公司规定的投</w:t>
      </w:r>
      <w:r>
        <w:rPr>
          <w:spacing w:val="-3"/>
        </w:rPr>
        <w:t>保</w:t>
      </w:r>
      <w:r>
        <w:rPr/>
        <w:t>年</w:t>
      </w:r>
      <w:r>
        <w:rPr>
          <w:spacing w:val="-3"/>
        </w:rPr>
        <w:t>龄</w:t>
      </w:r>
      <w:r>
        <w:rPr/>
        <w:t>范围的，本公 司可以终止对该被</w:t>
      </w:r>
      <w:r>
        <w:rPr>
          <w:spacing w:val="-3"/>
        </w:rPr>
        <w:t>保</w:t>
      </w:r>
      <w:r>
        <w:rPr/>
        <w:t>险人承担保险责任</w:t>
      </w:r>
      <w:r>
        <w:rPr>
          <w:spacing w:val="-22"/>
        </w:rPr>
        <w:t>，</w:t>
      </w:r>
      <w:r>
        <w:rPr/>
        <w:t>并退还</w:t>
      </w:r>
      <w:r>
        <w:rPr>
          <w:spacing w:val="-3"/>
        </w:rPr>
        <w:t>该</w:t>
      </w:r>
      <w:r>
        <w:rPr/>
        <w:t>被保险人保险责任</w:t>
      </w:r>
      <w:r>
        <w:rPr>
          <w:spacing w:val="-3"/>
        </w:rPr>
        <w:t>终</w:t>
      </w:r>
      <w:r>
        <w:rPr/>
        <w:t>止</w:t>
      </w:r>
      <w:r>
        <w:rPr>
          <w:spacing w:val="-3"/>
        </w:rPr>
        <w:t>之</w:t>
      </w:r>
      <w:r>
        <w:rPr/>
        <w:t>日的现金价值</w:t>
      </w:r>
      <w:r>
        <w:rPr>
          <w:b w:val="0"/>
        </w:rPr>
        <w:t>。</w:t>
      </w:r>
      <w:r>
        <w:rPr/>
        <w:t>第十九条</w:t>
        <w:tab/>
        <w:t>受益</w:t>
      </w:r>
      <w:r>
        <w:rPr>
          <w:spacing w:val="-3"/>
        </w:rPr>
        <w:t>人</w:t>
      </w:r>
      <w:r>
        <w:rPr/>
        <w:t>的</w:t>
      </w:r>
      <w:r>
        <w:rPr>
          <w:spacing w:val="-3"/>
        </w:rPr>
        <w:t>指</w:t>
      </w:r>
      <w:r>
        <w:rPr/>
        <w:t>定与变更</w:t>
      </w:r>
    </w:p>
    <w:p>
      <w:pPr>
        <w:pStyle w:val="BodyText"/>
        <w:spacing w:before="23"/>
        <w:ind w:left="200"/>
      </w:pPr>
      <w:r>
        <w:rPr/>
        <w:t>一、除另有约定外，本合同的受益人为被保险人本人。</w:t>
      </w:r>
    </w:p>
    <w:p>
      <w:pPr>
        <w:pStyle w:val="BodyText"/>
        <w:tabs>
          <w:tab w:pos="1467" w:val="left" w:leader="none"/>
        </w:tabs>
        <w:spacing w:line="326" w:lineRule="auto"/>
        <w:ind w:left="200" w:right="660"/>
        <w:rPr>
          <w:b/>
        </w:rPr>
      </w:pPr>
      <w:r>
        <w:rPr/>
        <w:t>二、</w:t>
      </w:r>
      <w:r>
        <w:rPr>
          <w:spacing w:val="-3"/>
        </w:rPr>
        <w:t>被</w:t>
      </w:r>
      <w:r>
        <w:rPr/>
        <w:t>保</w:t>
      </w:r>
      <w:r>
        <w:rPr>
          <w:spacing w:val="-3"/>
        </w:rPr>
        <w:t>险</w:t>
      </w:r>
      <w:r>
        <w:rPr/>
        <w:t>人</w:t>
      </w:r>
      <w:r>
        <w:rPr>
          <w:spacing w:val="-3"/>
        </w:rPr>
        <w:t>发</w:t>
      </w:r>
      <w:r>
        <w:rPr/>
        <w:t>生</w:t>
      </w:r>
      <w:r>
        <w:rPr>
          <w:spacing w:val="-3"/>
        </w:rPr>
        <w:t>保</w:t>
      </w:r>
      <w:r>
        <w:rPr/>
        <w:t>险</w:t>
      </w:r>
      <w:r>
        <w:rPr>
          <w:spacing w:val="-3"/>
        </w:rPr>
        <w:t>事</w:t>
      </w:r>
      <w:r>
        <w:rPr/>
        <w:t>故未</w:t>
      </w:r>
      <w:r>
        <w:rPr>
          <w:spacing w:val="-3"/>
        </w:rPr>
        <w:t>及</w:t>
      </w:r>
      <w:r>
        <w:rPr/>
        <w:t>时</w:t>
      </w:r>
      <w:r>
        <w:rPr>
          <w:spacing w:val="-3"/>
        </w:rPr>
        <w:t>领</w:t>
      </w:r>
      <w:r>
        <w:rPr/>
        <w:t>取</w:t>
      </w:r>
      <w:r>
        <w:rPr>
          <w:spacing w:val="-3"/>
        </w:rPr>
        <w:t>保</w:t>
      </w:r>
      <w:r>
        <w:rPr/>
        <w:t>险</w:t>
      </w:r>
      <w:r>
        <w:rPr>
          <w:spacing w:val="-3"/>
        </w:rPr>
        <w:t>金</w:t>
      </w:r>
      <w:r>
        <w:rPr/>
        <w:t>而</w:t>
      </w:r>
      <w:r>
        <w:rPr>
          <w:spacing w:val="-3"/>
        </w:rPr>
        <w:t>身</w:t>
      </w:r>
      <w:r>
        <w:rPr/>
        <w:t>故时</w:t>
      </w:r>
      <w:r>
        <w:rPr>
          <w:spacing w:val="-3"/>
        </w:rPr>
        <w:t>，</w:t>
      </w:r>
      <w:r>
        <w:rPr/>
        <w:t>保</w:t>
      </w:r>
      <w:r>
        <w:rPr>
          <w:spacing w:val="-3"/>
        </w:rPr>
        <w:t>险</w:t>
      </w:r>
      <w:r>
        <w:rPr/>
        <w:t>金</w:t>
      </w:r>
      <w:r>
        <w:rPr>
          <w:spacing w:val="-3"/>
        </w:rPr>
        <w:t>作</w:t>
      </w:r>
      <w:r>
        <w:rPr/>
        <w:t>为</w:t>
      </w:r>
      <w:r>
        <w:rPr>
          <w:spacing w:val="-3"/>
        </w:rPr>
        <w:t>被</w:t>
      </w:r>
      <w:r>
        <w:rPr/>
        <w:t>保</w:t>
      </w:r>
      <w:r>
        <w:rPr>
          <w:spacing w:val="-3"/>
        </w:rPr>
        <w:t>险</w:t>
      </w:r>
      <w:r>
        <w:rPr/>
        <w:t>人的</w:t>
      </w:r>
      <w:r>
        <w:rPr>
          <w:spacing w:val="-3"/>
        </w:rPr>
        <w:t>遗产处理</w:t>
      </w:r>
      <w:r>
        <w:rPr/>
        <w:t>。</w:t>
      </w:r>
      <w:r>
        <w:rPr>
          <w:b/>
        </w:rPr>
        <w:t>第二十条</w:t>
        <w:tab/>
        <w:t>资料</w:t>
      </w:r>
      <w:r>
        <w:rPr>
          <w:b/>
          <w:spacing w:val="-3"/>
        </w:rPr>
        <w:t>提</w:t>
      </w:r>
      <w:r>
        <w:rPr>
          <w:b/>
        </w:rPr>
        <w:t>供</w:t>
      </w:r>
    </w:p>
    <w:p>
      <w:pPr>
        <w:pStyle w:val="BodyText"/>
        <w:spacing w:line="326" w:lineRule="auto" w:before="24"/>
        <w:ind w:left="200" w:right="751"/>
      </w:pPr>
      <w:r>
        <w:rPr>
          <w:spacing w:val="-9"/>
        </w:rPr>
        <w:t>投保人应保存每一被保险人的个人资料，详细记录其姓名、性别、年龄、出生日期、保险金</w:t>
      </w:r>
      <w:r>
        <w:rPr>
          <w:spacing w:val="-5"/>
        </w:rPr>
        <w:t>额以及其他与本合同有关的一切资料。必要时投保人应按本公司的要求提供上述资料。</w:t>
      </w:r>
    </w:p>
    <w:p>
      <w:pPr>
        <w:pStyle w:val="Heading2"/>
        <w:tabs>
          <w:tab w:pos="1678" w:val="left" w:leader="none"/>
        </w:tabs>
        <w:ind w:left="200"/>
      </w:pPr>
      <w:r>
        <w:rPr/>
        <w:t>第二十一条</w:t>
        <w:tab/>
        <w:t>争</w:t>
      </w:r>
      <w:r>
        <w:rPr>
          <w:spacing w:val="-3"/>
        </w:rPr>
        <w:t>议</w:t>
      </w:r>
      <w:r>
        <w:rPr/>
        <w:t>处理</w:t>
      </w:r>
    </w:p>
    <w:p>
      <w:pPr>
        <w:pStyle w:val="BodyText"/>
        <w:spacing w:before="100"/>
        <w:ind w:left="200"/>
      </w:pPr>
      <w:r>
        <w:rPr/>
        <w:t>合同争议解决方式从下列两种方式中选择一种：</w:t>
      </w:r>
    </w:p>
    <w:p>
      <w:pPr>
        <w:pStyle w:val="BodyText"/>
        <w:spacing w:line="326" w:lineRule="auto"/>
        <w:ind w:left="200" w:right="648"/>
      </w:pPr>
      <w:r>
        <w:rPr>
          <w:spacing w:val="-17"/>
        </w:rPr>
        <w:t>一、因履行本合同发生的争议，由双方协商解决，协商不成的，提交约定的仲裁委员会仲裁； </w:t>
      </w:r>
      <w:r>
        <w:rPr>
          <w:spacing w:val="-12"/>
        </w:rPr>
        <w:t>二、因履行本合同发生的争议，由双方协商解决，协商不成的，依法向被告所在地人民法院起诉。</w:t>
      </w:r>
    </w:p>
    <w:p>
      <w:pPr>
        <w:pStyle w:val="BodyText"/>
        <w:spacing w:before="9"/>
        <w:ind w:left="0"/>
        <w:rPr>
          <w:sz w:val="23"/>
        </w:rPr>
      </w:pPr>
    </w:p>
    <w:p>
      <w:pPr>
        <w:pStyle w:val="Heading1"/>
        <w:ind w:left="200"/>
      </w:pPr>
      <w:r>
        <w:rPr/>
        <w:t>第七章 释义</w:t>
      </w:r>
    </w:p>
    <w:p>
      <w:pPr>
        <w:pStyle w:val="BodyText"/>
        <w:spacing w:before="5"/>
        <w:ind w:left="0"/>
        <w:rPr>
          <w:b/>
          <w:sz w:val="30"/>
        </w:rPr>
      </w:pPr>
    </w:p>
    <w:p>
      <w:pPr>
        <w:pStyle w:val="Heading2"/>
        <w:tabs>
          <w:tab w:pos="1678" w:val="left" w:leader="none"/>
        </w:tabs>
        <w:spacing w:before="0"/>
        <w:ind w:left="200"/>
      </w:pPr>
      <w:r>
        <w:rPr/>
        <w:t>第二十二条</w:t>
        <w:tab/>
        <w:t>释义</w:t>
      </w:r>
    </w:p>
    <w:p>
      <w:pPr>
        <w:pStyle w:val="BodyText"/>
        <w:tabs>
          <w:tab w:pos="920" w:val="left" w:leader="none"/>
        </w:tabs>
        <w:ind w:left="200"/>
      </w:pPr>
      <w:r>
        <w:rPr/>
        <w:t>一、</w:t>
        <w:tab/>
      </w:r>
      <w:r>
        <w:rPr>
          <w:spacing w:val="-1"/>
        </w:rPr>
        <w:t>本公</w:t>
      </w:r>
      <w:r>
        <w:rPr>
          <w:spacing w:val="-3"/>
        </w:rPr>
        <w:t>司</w:t>
      </w:r>
      <w:r>
        <w:rPr>
          <w:spacing w:val="-1"/>
        </w:rPr>
        <w:t>：</w:t>
      </w:r>
      <w:r>
        <w:rPr>
          <w:spacing w:val="-3"/>
        </w:rPr>
        <w:t>指</w:t>
      </w:r>
      <w:r>
        <w:rPr/>
        <w:t>英大泰</w:t>
      </w:r>
      <w:r>
        <w:rPr>
          <w:spacing w:val="-3"/>
        </w:rPr>
        <w:t>和</w:t>
      </w:r>
      <w:r>
        <w:rPr/>
        <w:t>人</w:t>
      </w:r>
      <w:r>
        <w:rPr>
          <w:spacing w:val="-3"/>
        </w:rPr>
        <w:t>寿</w:t>
      </w:r>
      <w:r>
        <w:rPr/>
        <w:t>保险</w:t>
      </w:r>
      <w:r>
        <w:rPr>
          <w:spacing w:val="-3"/>
        </w:rPr>
        <w:t>股</w:t>
      </w:r>
      <w:r>
        <w:rPr/>
        <w:t>份</w:t>
      </w:r>
      <w:r>
        <w:rPr>
          <w:spacing w:val="-3"/>
        </w:rPr>
        <w:t>有</w:t>
      </w:r>
      <w:r>
        <w:rPr/>
        <w:t>限</w:t>
      </w:r>
      <w:r>
        <w:rPr>
          <w:spacing w:val="-3"/>
        </w:rPr>
        <w:t>公</w:t>
      </w:r>
      <w:r>
        <w:rPr/>
        <w:t>司。</w:t>
      </w:r>
    </w:p>
    <w:p>
      <w:pPr>
        <w:pStyle w:val="BodyText"/>
        <w:spacing w:line="326" w:lineRule="auto"/>
        <w:ind w:left="920" w:right="754" w:hanging="720"/>
        <w:jc w:val="both"/>
      </w:pPr>
      <w:r>
        <w:rPr>
          <w:spacing w:val="-3"/>
        </w:rPr>
        <w:t>二、  本公司认可的医疗机构：指在本合同中列明的医院。本合同未列明的，则指国家卫生行政部门评定的二级或二级以上公立医院，但不包括康复、护理、疗养、戒酒、戒毒或类似性质的医疗机构。</w:t>
      </w:r>
    </w:p>
    <w:p>
      <w:pPr>
        <w:pStyle w:val="BodyText"/>
        <w:tabs>
          <w:tab w:pos="920" w:val="left" w:leader="none"/>
        </w:tabs>
        <w:spacing w:before="23"/>
        <w:ind w:left="200"/>
      </w:pPr>
      <w:r>
        <w:rPr/>
        <w:t>三、</w:t>
        <w:tab/>
      </w:r>
      <w:r>
        <w:rPr>
          <w:spacing w:val="-1"/>
        </w:rPr>
        <w:t>本</w:t>
      </w:r>
      <w:r>
        <w:rPr/>
        <w:t>合</w:t>
      </w:r>
      <w:r>
        <w:rPr>
          <w:spacing w:val="-3"/>
        </w:rPr>
        <w:t>同</w:t>
      </w:r>
      <w:r>
        <w:rPr/>
        <w:t>约</w:t>
      </w:r>
      <w:r>
        <w:rPr>
          <w:spacing w:val="-3"/>
        </w:rPr>
        <w:t>定</w:t>
      </w:r>
      <w:r>
        <w:rPr/>
        <w:t>的</w:t>
      </w:r>
      <w:r>
        <w:rPr>
          <w:spacing w:val="-3"/>
        </w:rPr>
        <w:t>重</w:t>
      </w:r>
      <w:r>
        <w:rPr/>
        <w:t>大</w:t>
      </w:r>
      <w:r>
        <w:rPr>
          <w:spacing w:val="-3"/>
        </w:rPr>
        <w:t>疾</w:t>
      </w:r>
      <w:r>
        <w:rPr/>
        <w:t>病：</w:t>
      </w:r>
    </w:p>
    <w:p>
      <w:pPr>
        <w:pStyle w:val="BodyText"/>
        <w:spacing w:line="273" w:lineRule="auto" w:before="68"/>
        <w:ind w:left="908" w:right="787"/>
        <w:jc w:val="both"/>
      </w:pPr>
      <w:r>
        <w:rPr/>
        <w:t>对于成年被保险人是指符合以下疾病定义所述条件的疾病、疾病状态或手术，并由</w:t>
      </w:r>
      <w:r>
        <w:rPr>
          <w:shd w:fill="BEBEBE" w:color="auto" w:val="clear"/>
        </w:rPr>
        <w:t>专科医生</w:t>
      </w:r>
      <w:r>
        <w:rPr/>
        <w:t>（见释义）明确诊断，共计八十种。其中第一种至第二十五种为中国保险行业协会在其制定的《重大疾病保险的疾病定义使用规范》中所规定的疾病，其余为本公司增加的疾病：</w:t>
      </w:r>
    </w:p>
    <w:p>
      <w:pPr>
        <w:pStyle w:val="BodyText"/>
        <w:spacing w:before="5"/>
        <w:ind w:left="0"/>
        <w:rPr>
          <w:sz w:val="5"/>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03"/>
        <w:gridCol w:w="7046"/>
      </w:tblGrid>
      <w:tr>
        <w:trPr>
          <w:trHeight w:val="835" w:hRule="atLeast"/>
        </w:trPr>
        <w:tc>
          <w:tcPr>
            <w:tcW w:w="2003" w:type="dxa"/>
          </w:tcPr>
          <w:p>
            <w:pPr>
              <w:pStyle w:val="TableParagraph"/>
              <w:spacing w:line="211" w:lineRule="exact"/>
              <w:ind w:left="200"/>
              <w:rPr>
                <w:sz w:val="21"/>
              </w:rPr>
            </w:pPr>
            <w:r>
              <w:rPr>
                <w:sz w:val="21"/>
              </w:rPr>
              <w:t>（一）恶性肿瘤</w:t>
            </w:r>
          </w:p>
        </w:tc>
        <w:tc>
          <w:tcPr>
            <w:tcW w:w="7046" w:type="dxa"/>
          </w:tcPr>
          <w:p>
            <w:pPr>
              <w:pStyle w:val="TableParagraph"/>
              <w:spacing w:line="211" w:lineRule="exact"/>
              <w:ind w:left="328"/>
              <w:rPr>
                <w:sz w:val="21"/>
              </w:rPr>
            </w:pPr>
            <w:r>
              <w:rPr>
                <w:sz w:val="21"/>
              </w:rPr>
              <w:t>指恶性细胞不受控制的进行性增长和扩散，浸润和破坏周围正常组织，</w:t>
            </w:r>
          </w:p>
          <w:p>
            <w:pPr>
              <w:pStyle w:val="TableParagraph"/>
              <w:spacing w:line="310" w:lineRule="atLeast" w:before="2"/>
              <w:ind w:left="328" w:right="198"/>
              <w:rPr>
                <w:sz w:val="21"/>
              </w:rPr>
            </w:pPr>
            <w:r>
              <w:rPr>
                <w:sz w:val="21"/>
              </w:rPr>
              <w:t>可以经血管、淋巴管和体腔扩散转移到身体其它部位的疾病。经病理学检查结果明确诊断，临床诊断属于世界卫生组织《疾病和有关健康问题</w:t>
            </w:r>
          </w:p>
        </w:tc>
      </w:tr>
    </w:tbl>
    <w:p>
      <w:pPr>
        <w:spacing w:after="0" w:line="310" w:lineRule="atLeast"/>
        <w:rPr>
          <w:sz w:val="21"/>
        </w:rPr>
        <w:sectPr>
          <w:pgSz w:w="11910" w:h="16840"/>
          <w:pgMar w:header="0" w:footer="924" w:top="1420" w:bottom="1200" w:left="1600" w:right="10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4"/>
      </w:tblGrid>
      <w:tr>
        <w:trPr>
          <w:trHeight w:val="319" w:hRule="atLeast"/>
        </w:trPr>
        <w:tc>
          <w:tcPr>
            <w:tcW w:w="2225" w:type="dxa"/>
          </w:tcPr>
          <w:p>
            <w:pPr>
              <w:pStyle w:val="TableParagraph"/>
              <w:ind w:left="0"/>
              <w:rPr>
                <w:rFonts w:ascii="Times New Roman"/>
                <w:sz w:val="20"/>
              </w:rPr>
            </w:pPr>
          </w:p>
        </w:tc>
        <w:tc>
          <w:tcPr>
            <w:tcW w:w="7004" w:type="dxa"/>
          </w:tcPr>
          <w:p>
            <w:pPr>
              <w:pStyle w:val="TableParagraph"/>
              <w:spacing w:line="204" w:lineRule="exact"/>
              <w:rPr>
                <w:sz w:val="21"/>
              </w:rPr>
            </w:pPr>
            <w:r>
              <w:rPr>
                <w:sz w:val="21"/>
              </w:rPr>
              <w:t>的国际统计分类》（ICD-10）的恶性肿瘤范畴。</w:t>
            </w:r>
          </w:p>
        </w:tc>
      </w:tr>
      <w:tr>
        <w:trPr>
          <w:trHeight w:val="368" w:hRule="atLeast"/>
        </w:trPr>
        <w:tc>
          <w:tcPr>
            <w:tcW w:w="2225" w:type="dxa"/>
          </w:tcPr>
          <w:p>
            <w:pPr>
              <w:pStyle w:val="TableParagraph"/>
              <w:ind w:left="0"/>
              <w:rPr>
                <w:rFonts w:ascii="Times New Roman"/>
                <w:sz w:val="20"/>
              </w:rPr>
            </w:pPr>
          </w:p>
        </w:tc>
        <w:tc>
          <w:tcPr>
            <w:tcW w:w="7004" w:type="dxa"/>
          </w:tcPr>
          <w:p>
            <w:pPr>
              <w:pStyle w:val="TableParagraph"/>
              <w:spacing w:before="37"/>
              <w:rPr>
                <w:b/>
                <w:sz w:val="21"/>
              </w:rPr>
            </w:pPr>
            <w:r>
              <w:rPr>
                <w:b/>
                <w:sz w:val="21"/>
              </w:rPr>
              <w:t>下列疾病不在保障范围内：</w:t>
            </w:r>
          </w:p>
        </w:tc>
      </w:tr>
      <w:tr>
        <w:trPr>
          <w:trHeight w:val="310" w:hRule="atLeast"/>
        </w:trPr>
        <w:tc>
          <w:tcPr>
            <w:tcW w:w="2225" w:type="dxa"/>
          </w:tcPr>
          <w:p>
            <w:pPr>
              <w:pStyle w:val="TableParagraph"/>
              <w:ind w:left="0"/>
              <w:rPr>
                <w:rFonts w:ascii="Times New Roman"/>
                <w:sz w:val="20"/>
              </w:rPr>
            </w:pPr>
          </w:p>
        </w:tc>
        <w:tc>
          <w:tcPr>
            <w:tcW w:w="7004" w:type="dxa"/>
          </w:tcPr>
          <w:p>
            <w:pPr>
              <w:pStyle w:val="TableParagraph"/>
              <w:spacing w:line="254" w:lineRule="exact"/>
              <w:rPr>
                <w:b/>
                <w:sz w:val="21"/>
              </w:rPr>
            </w:pPr>
            <w:r>
              <w:rPr>
                <w:b/>
                <w:sz w:val="21"/>
              </w:rPr>
              <w:t>（1）原位癌；</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（2）相当于 Binet 分期方案 A 期程度的慢性淋巴细胞白血病；</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（3）相当于 Ann Arbor 分期方案 I 期程度的何杰金氏病；</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（4）皮肤癌（不包括恶性黑色素瘤及已发生转移的皮肤癌）；</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4" w:lineRule="exac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tc>
      </w:tr>
      <w:tr>
        <w:trPr>
          <w:trHeight w:val="467"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（6）感染艾滋病病毒或患艾滋病期间所患恶性肿瘤。</w:t>
            </w:r>
          </w:p>
        </w:tc>
      </w:tr>
      <w:tr>
        <w:trPr>
          <w:trHeight w:val="780" w:hRule="atLeast"/>
        </w:trPr>
        <w:tc>
          <w:tcPr>
            <w:tcW w:w="2225" w:type="dxa"/>
          </w:tcPr>
          <w:p>
            <w:pPr>
              <w:pStyle w:val="TableParagraph"/>
              <w:spacing w:before="136"/>
              <w:ind w:left="0" w:right="129"/>
              <w:jc w:val="right"/>
              <w:rPr>
                <w:sz w:val="21"/>
              </w:rPr>
            </w:pPr>
            <w:r>
              <w:rPr>
                <w:sz w:val="21"/>
              </w:rPr>
              <w:t>（二）急性心肌梗塞</w:t>
            </w:r>
          </w:p>
        </w:tc>
        <w:tc>
          <w:tcPr>
            <w:tcW w:w="7004" w:type="dxa"/>
          </w:tcPr>
          <w:p>
            <w:pPr>
              <w:pStyle w:val="TableParagraph"/>
              <w:spacing w:line="273" w:lineRule="auto" w:before="136"/>
              <w:ind w:right="378"/>
              <w:rPr>
                <w:sz w:val="21"/>
              </w:rPr>
            </w:pPr>
            <w:r>
              <w:rPr>
                <w:sz w:val="21"/>
              </w:rPr>
              <w:t>指因冠状动脉阻塞导致的相应区域供血不足造成部分心肌坏死。须满足下列至少三项条件：</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（1）典型临床表现，例如急性胸痛等；</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（2）新近的心电图改变提示急性心肌梗塞；</w:t>
            </w:r>
          </w:p>
        </w:tc>
      </w:tr>
      <w:tr>
        <w:trPr>
          <w:trHeight w:val="623"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（3）心肌酶或肌钙蛋白有诊断意义的升高，或呈符合急性心肌梗塞的动</w:t>
            </w:r>
          </w:p>
          <w:p>
            <w:pPr>
              <w:pStyle w:val="TableParagraph"/>
              <w:spacing w:before="37"/>
              <w:rPr>
                <w:sz w:val="21"/>
              </w:rPr>
            </w:pPr>
            <w:r>
              <w:rPr>
                <w:sz w:val="21"/>
              </w:rPr>
              <w:t>态性变化；</w:t>
            </w:r>
          </w:p>
        </w:tc>
      </w:tr>
      <w:tr>
        <w:trPr>
          <w:trHeight w:val="780"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（4）发病 90 天后，经检查证实左心室功能降低，如左心室射血分数低</w:t>
            </w:r>
          </w:p>
          <w:p>
            <w:pPr>
              <w:pStyle w:val="TableParagraph"/>
              <w:spacing w:before="37"/>
              <w:rPr>
                <w:sz w:val="21"/>
              </w:rPr>
            </w:pPr>
            <w:r>
              <w:rPr>
                <w:sz w:val="21"/>
              </w:rPr>
              <w:t>于 50%。</w:t>
            </w:r>
          </w:p>
        </w:tc>
      </w:tr>
      <w:tr>
        <w:trPr>
          <w:trHeight w:val="1092" w:hRule="atLeast"/>
        </w:trPr>
        <w:tc>
          <w:tcPr>
            <w:tcW w:w="2225" w:type="dxa"/>
          </w:tcPr>
          <w:p>
            <w:pPr>
              <w:pStyle w:val="TableParagraph"/>
              <w:spacing w:before="136"/>
              <w:ind w:left="0" w:right="129"/>
              <w:jc w:val="right"/>
              <w:rPr>
                <w:sz w:val="21"/>
              </w:rPr>
            </w:pPr>
            <w:r>
              <w:rPr>
                <w:sz w:val="21"/>
              </w:rPr>
              <w:t>（三）脑中风后遗症</w:t>
            </w:r>
          </w:p>
        </w:tc>
        <w:tc>
          <w:tcPr>
            <w:tcW w:w="7004" w:type="dxa"/>
          </w:tcPr>
          <w:p>
            <w:pPr>
              <w:pStyle w:val="TableParagraph"/>
              <w:spacing w:line="273" w:lineRule="auto" w:before="136"/>
              <w:ind w:right="198"/>
              <w:rPr>
                <w:sz w:val="21"/>
              </w:rPr>
            </w:pPr>
            <w:r>
              <w:rPr>
                <w:spacing w:val="-3"/>
                <w:sz w:val="21"/>
              </w:rPr>
              <w:t>指因脑血管的突发病变引起脑血管出血、栓塞或梗塞，并导致神经系统 </w:t>
            </w:r>
            <w:r>
              <w:rPr>
                <w:spacing w:val="-8"/>
                <w:sz w:val="21"/>
              </w:rPr>
              <w:t>永久性的功能障碍。神经系统永久性的功能障碍，指疾病确诊 </w:t>
            </w:r>
            <w:r>
              <w:rPr>
                <w:sz w:val="21"/>
              </w:rPr>
              <w:t>180</w:t>
            </w:r>
            <w:r>
              <w:rPr>
                <w:spacing w:val="-12"/>
                <w:sz w:val="21"/>
              </w:rPr>
              <w:t> 天后， </w:t>
            </w:r>
            <w:r>
              <w:rPr>
                <w:spacing w:val="-6"/>
                <w:sz w:val="21"/>
              </w:rPr>
              <w:t>仍遗留下列一种或一种以上障碍：</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（1）一肢或一肢以上肢体机能完全丧失（见注 1）；</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（2）语言能力或咀嚼吞咽能力完全丧失（见注 2）；</w:t>
            </w:r>
          </w:p>
        </w:tc>
      </w:tr>
      <w:tr>
        <w:trPr>
          <w:trHeight w:val="780"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（3）自主生活能力完全丧失，无法独立完成六项基本日常生活活动（见</w:t>
            </w:r>
          </w:p>
          <w:p>
            <w:pPr>
              <w:pStyle w:val="TableParagraph"/>
              <w:spacing w:before="37"/>
              <w:rPr>
                <w:sz w:val="21"/>
              </w:rPr>
            </w:pPr>
            <w:r>
              <w:rPr>
                <w:sz w:val="21"/>
              </w:rPr>
              <w:t>注 3）中的三项或三项以上。</w:t>
            </w:r>
          </w:p>
        </w:tc>
      </w:tr>
      <w:tr>
        <w:trPr>
          <w:trHeight w:val="797" w:hRule="atLeast"/>
        </w:trPr>
        <w:tc>
          <w:tcPr>
            <w:tcW w:w="2225" w:type="dxa"/>
            <w:vMerge w:val="restart"/>
          </w:tcPr>
          <w:p>
            <w:pPr>
              <w:pStyle w:val="TableParagraph"/>
              <w:spacing w:line="273" w:lineRule="auto" w:before="136"/>
              <w:ind w:left="200" w:right="105"/>
              <w:jc w:val="both"/>
              <w:rPr>
                <w:sz w:val="21"/>
              </w:rPr>
            </w:pPr>
            <w:r>
              <w:rPr>
                <w:sz w:val="21"/>
              </w:rPr>
              <w:t>（四）重大器官移植术或造血干细胞移植术</w:t>
            </w:r>
          </w:p>
        </w:tc>
        <w:tc>
          <w:tcPr>
            <w:tcW w:w="7004" w:type="dxa"/>
          </w:tcPr>
          <w:p>
            <w:pPr>
              <w:pStyle w:val="TableParagraph"/>
              <w:spacing w:line="273" w:lineRule="auto" w:before="136"/>
              <w:ind w:right="378"/>
              <w:rPr>
                <w:sz w:val="21"/>
              </w:rPr>
            </w:pPr>
            <w:r>
              <w:rPr>
                <w:sz w:val="21"/>
              </w:rPr>
              <w:t>重大器官移植术，指因相应器官功能衰竭，已经实施了肾脏、肝脏、心脏或肺脏的异体移植手术。</w:t>
            </w:r>
          </w:p>
        </w:tc>
      </w:tr>
      <w:tr>
        <w:trPr>
          <w:trHeight w:val="1110" w:hRule="atLeast"/>
        </w:trPr>
        <w:tc>
          <w:tcPr>
            <w:tcW w:w="2225" w:type="dxa"/>
            <w:vMerge/>
            <w:tcBorders>
              <w:top w:val="nil"/>
            </w:tcBorders>
          </w:tcPr>
          <w:p>
            <w:pPr>
              <w:rPr>
                <w:sz w:val="2"/>
                <w:szCs w:val="2"/>
              </w:rPr>
            </w:pPr>
          </w:p>
        </w:tc>
        <w:tc>
          <w:tcPr>
            <w:tcW w:w="7004" w:type="dxa"/>
          </w:tcPr>
          <w:p>
            <w:pPr>
              <w:pStyle w:val="TableParagraph"/>
              <w:spacing w:line="273" w:lineRule="auto"/>
              <w:ind w:right="378"/>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780" w:hRule="atLeast"/>
        </w:trPr>
        <w:tc>
          <w:tcPr>
            <w:tcW w:w="2225" w:type="dxa"/>
            <w:vMerge w:val="restart"/>
          </w:tcPr>
          <w:p>
            <w:pPr>
              <w:pStyle w:val="TableParagraph"/>
              <w:spacing w:line="273" w:lineRule="auto" w:before="136"/>
              <w:ind w:left="200" w:right="105"/>
              <w:jc w:val="both"/>
              <w:rPr>
                <w:sz w:val="21"/>
              </w:rPr>
            </w:pPr>
            <w:r>
              <w:rPr>
                <w:sz w:val="21"/>
              </w:rPr>
              <w:t>（五）</w:t>
            </w:r>
            <w:r>
              <w:rPr>
                <w:spacing w:val="-13"/>
                <w:sz w:val="21"/>
              </w:rPr>
              <w:t> 冠状动脉搭桥术（或称冠状动脉旁</w:t>
            </w:r>
            <w:r>
              <w:rPr>
                <w:spacing w:val="-8"/>
                <w:sz w:val="21"/>
              </w:rPr>
              <w:t>路移植术</w:t>
            </w:r>
            <w:r>
              <w:rPr>
                <w:sz w:val="21"/>
              </w:rPr>
              <w:t>）</w:t>
            </w:r>
          </w:p>
        </w:tc>
        <w:tc>
          <w:tcPr>
            <w:tcW w:w="7004" w:type="dxa"/>
          </w:tcPr>
          <w:p>
            <w:pPr>
              <w:pStyle w:val="TableParagraph"/>
              <w:spacing w:line="273" w:lineRule="auto" w:before="136"/>
              <w:ind w:right="378"/>
              <w:rPr>
                <w:sz w:val="21"/>
              </w:rPr>
            </w:pPr>
            <w:r>
              <w:rPr>
                <w:sz w:val="21"/>
              </w:rPr>
              <w:t>指为治疗严重的冠心病，实际实施了开胸进行的冠状动脉血管旁路移植的手术。</w:t>
            </w:r>
          </w:p>
        </w:tc>
      </w:tr>
      <w:tr>
        <w:trPr>
          <w:trHeight w:val="770" w:hRule="atLeast"/>
        </w:trPr>
        <w:tc>
          <w:tcPr>
            <w:tcW w:w="2225" w:type="dxa"/>
            <w:vMerge/>
            <w:tcBorders>
              <w:top w:val="nil"/>
            </w:tcBorders>
          </w:tcPr>
          <w:p>
            <w:pPr>
              <w:rPr>
                <w:sz w:val="2"/>
                <w:szCs w:val="2"/>
              </w:rPr>
            </w:pPr>
          </w:p>
        </w:tc>
        <w:tc>
          <w:tcPr>
            <w:tcW w:w="7004" w:type="dxa"/>
          </w:tcPr>
          <w:p>
            <w:pPr>
              <w:pStyle w:val="TableParagraph"/>
              <w:spacing w:line="255" w:lineRule="exact"/>
              <w:rPr>
                <w:b/>
                <w:sz w:val="21"/>
              </w:rPr>
            </w:pPr>
            <w:r>
              <w:rPr>
                <w:b/>
                <w:sz w:val="21"/>
              </w:rPr>
              <w:t>冠状动脉支架植入术、心导管球囊扩张术、激光射频技术及其它非开胸</w:t>
            </w:r>
          </w:p>
          <w:p>
            <w:pPr>
              <w:pStyle w:val="TableParagraph"/>
              <w:spacing w:before="37"/>
              <w:rPr>
                <w:b/>
                <w:sz w:val="21"/>
              </w:rPr>
            </w:pPr>
            <w:r>
              <w:rPr>
                <w:b/>
                <w:sz w:val="21"/>
              </w:rPr>
              <w:t>的介入手术、腔镜手术不在保障范围内。</w:t>
            </w:r>
          </w:p>
        </w:tc>
      </w:tr>
      <w:tr>
        <w:trPr>
          <w:trHeight w:val="1160" w:hRule="atLeast"/>
        </w:trPr>
        <w:tc>
          <w:tcPr>
            <w:tcW w:w="2225" w:type="dxa"/>
          </w:tcPr>
          <w:p>
            <w:pPr>
              <w:pStyle w:val="TableParagraph"/>
              <w:spacing w:line="273" w:lineRule="auto" w:before="126"/>
              <w:ind w:left="200" w:right="105"/>
              <w:jc w:val="both"/>
              <w:rPr>
                <w:sz w:val="21"/>
              </w:rPr>
            </w:pPr>
            <w:r>
              <w:rPr>
                <w:sz w:val="21"/>
              </w:rPr>
              <w:t>（</w:t>
            </w:r>
            <w:r>
              <w:rPr>
                <w:spacing w:val="-3"/>
                <w:sz w:val="21"/>
              </w:rPr>
              <w:t>六</w:t>
            </w:r>
            <w:r>
              <w:rPr>
                <w:spacing w:val="-92"/>
                <w:sz w:val="21"/>
              </w:rPr>
              <w:t>）</w:t>
            </w:r>
            <w:r>
              <w:rPr>
                <w:spacing w:val="-22"/>
                <w:sz w:val="21"/>
              </w:rPr>
              <w:t>终末期肾病</w:t>
            </w:r>
            <w:r>
              <w:rPr>
                <w:spacing w:val="-3"/>
                <w:sz w:val="21"/>
              </w:rPr>
              <w:t>（</w:t>
            </w:r>
            <w:r>
              <w:rPr>
                <w:sz w:val="21"/>
              </w:rPr>
              <w:t>或称慢性肾功能衰竭尿</w:t>
            </w:r>
            <w:r>
              <w:rPr>
                <w:spacing w:val="-1"/>
                <w:sz w:val="21"/>
              </w:rPr>
              <w:t>毒症期</w:t>
            </w:r>
            <w:r>
              <w:rPr>
                <w:sz w:val="21"/>
              </w:rPr>
              <w:t>）</w:t>
            </w:r>
          </w:p>
        </w:tc>
        <w:tc>
          <w:tcPr>
            <w:tcW w:w="7004" w:type="dxa"/>
          </w:tcPr>
          <w:p>
            <w:pPr>
              <w:pStyle w:val="TableParagraph"/>
              <w:spacing w:line="273" w:lineRule="auto" w:before="126"/>
              <w:ind w:right="378"/>
              <w:rPr>
                <w:sz w:val="21"/>
              </w:rPr>
            </w:pPr>
            <w:r>
              <w:rPr>
                <w:sz w:val="21"/>
              </w:rPr>
              <w:t>指双肾功能慢性不可逆性衰竭，达到尿毒症期，经诊断后已经进行了至少 90 天的规律性透析治疗或实施了肾脏移植手术。</w:t>
            </w:r>
          </w:p>
        </w:tc>
      </w:tr>
      <w:tr>
        <w:trPr>
          <w:trHeight w:val="651" w:hRule="atLeast"/>
        </w:trPr>
        <w:tc>
          <w:tcPr>
            <w:tcW w:w="2225" w:type="dxa"/>
          </w:tcPr>
          <w:p>
            <w:pPr>
              <w:pStyle w:val="TableParagraph"/>
              <w:spacing w:before="58"/>
              <w:ind w:left="0" w:right="129"/>
              <w:jc w:val="right"/>
              <w:rPr>
                <w:sz w:val="21"/>
              </w:rPr>
            </w:pPr>
            <w:r>
              <w:rPr>
                <w:sz w:val="21"/>
              </w:rPr>
              <w:t>（七）多个肢体缺失</w:t>
            </w:r>
          </w:p>
        </w:tc>
        <w:tc>
          <w:tcPr>
            <w:tcW w:w="7004" w:type="dxa"/>
          </w:tcPr>
          <w:p>
            <w:pPr>
              <w:pStyle w:val="TableParagraph"/>
              <w:spacing w:before="58"/>
              <w:rPr>
                <w:sz w:val="21"/>
              </w:rPr>
            </w:pPr>
            <w:r>
              <w:rPr>
                <w:sz w:val="21"/>
              </w:rPr>
              <w:t>指因疾病或意外伤害导致两个或两个以上肢体自腕关节或踝关节近端</w:t>
            </w:r>
          </w:p>
          <w:p>
            <w:pPr>
              <w:pStyle w:val="TableParagraph"/>
              <w:spacing w:line="262" w:lineRule="exact" w:before="37"/>
              <w:rPr>
                <w:sz w:val="21"/>
              </w:rPr>
            </w:pPr>
            <w:r>
              <w:rPr>
                <w:sz w:val="21"/>
              </w:rPr>
              <w:t>（靠近躯干端）以上完全性断离。</w:t>
            </w:r>
          </w:p>
        </w:tc>
      </w:tr>
    </w:tbl>
    <w:p>
      <w:pPr>
        <w:spacing w:after="0" w:line="262" w:lineRule="exact"/>
        <w:rPr>
          <w:sz w:val="21"/>
        </w:rPr>
        <w:sectPr>
          <w:pgSz w:w="11910" w:h="16840"/>
          <w:pgMar w:header="0" w:footer="924" w:top="14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6"/>
      </w:tblGrid>
      <w:tr>
        <w:trPr>
          <w:trHeight w:val="604" w:hRule="atLeast"/>
        </w:trPr>
        <w:tc>
          <w:tcPr>
            <w:tcW w:w="2225" w:type="dxa"/>
          </w:tcPr>
          <w:p>
            <w:pPr>
              <w:pStyle w:val="TableParagraph"/>
              <w:spacing w:line="204" w:lineRule="exact"/>
              <w:ind w:left="200"/>
              <w:rPr>
                <w:sz w:val="21"/>
              </w:rPr>
            </w:pPr>
            <w:r>
              <w:rPr>
                <w:sz w:val="21"/>
              </w:rPr>
              <w:t>（八）急性或亚急性</w:t>
            </w:r>
          </w:p>
          <w:p>
            <w:pPr>
              <w:pStyle w:val="TableParagraph"/>
              <w:spacing w:before="37"/>
              <w:ind w:left="200"/>
              <w:rPr>
                <w:sz w:val="21"/>
              </w:rPr>
            </w:pPr>
            <w:r>
              <w:rPr>
                <w:sz w:val="21"/>
              </w:rPr>
              <w:t>重症肝炎</w:t>
            </w:r>
          </w:p>
        </w:tc>
        <w:tc>
          <w:tcPr>
            <w:tcW w:w="7006" w:type="dxa"/>
          </w:tcPr>
          <w:p>
            <w:pPr>
              <w:pStyle w:val="TableParagraph"/>
              <w:spacing w:line="204" w:lineRule="exact"/>
              <w:rPr>
                <w:sz w:val="21"/>
              </w:rPr>
            </w:pPr>
            <w:r>
              <w:rPr>
                <w:sz w:val="21"/>
              </w:rPr>
              <w:t>指因肝炎病毒感染引起肝脏组织弥漫性坏死，导致急性肝功能衰竭，且</w:t>
            </w:r>
          </w:p>
          <w:p>
            <w:pPr>
              <w:pStyle w:val="TableParagraph"/>
              <w:spacing w:before="37"/>
              <w:rPr>
                <w:sz w:val="21"/>
              </w:rPr>
            </w:pPr>
            <w:r>
              <w:rPr>
                <w:sz w:val="21"/>
              </w:rPr>
              <w:t>经血清学或病毒学检查证实，并须满足下列全部条件：</w:t>
            </w:r>
          </w:p>
        </w:tc>
      </w:tr>
      <w:tr>
        <w:trPr>
          <w:trHeight w:val="343" w:hRule="atLeast"/>
        </w:trPr>
        <w:tc>
          <w:tcPr>
            <w:tcW w:w="2225" w:type="dxa"/>
          </w:tcPr>
          <w:p>
            <w:pPr>
              <w:pStyle w:val="TableParagraph"/>
              <w:ind w:left="0"/>
              <w:rPr>
                <w:rFonts w:ascii="Times New Roman"/>
                <w:sz w:val="20"/>
              </w:rPr>
            </w:pPr>
          </w:p>
        </w:tc>
        <w:tc>
          <w:tcPr>
            <w:tcW w:w="7006" w:type="dxa"/>
          </w:tcPr>
          <w:p>
            <w:pPr>
              <w:pStyle w:val="TableParagraph"/>
              <w:spacing w:before="11"/>
              <w:rPr>
                <w:sz w:val="21"/>
              </w:rPr>
            </w:pPr>
            <w:r>
              <w:rPr>
                <w:sz w:val="21"/>
              </w:rPr>
              <w:t>（1）重度黄疸或黄疸迅速加重；</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（2）肝性脑病；</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（3）B 超或其它影像学检查显示肝脏体积急速萎缩；</w:t>
            </w:r>
          </w:p>
        </w:tc>
      </w:tr>
      <w:tr>
        <w:trPr>
          <w:trHeight w:val="467"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（4）肝功能指标进行性恶化。</w:t>
            </w:r>
          </w:p>
        </w:tc>
      </w:tr>
      <w:tr>
        <w:trPr>
          <w:trHeight w:val="1404" w:hRule="atLeast"/>
        </w:trPr>
        <w:tc>
          <w:tcPr>
            <w:tcW w:w="2225" w:type="dxa"/>
          </w:tcPr>
          <w:p>
            <w:pPr>
              <w:pStyle w:val="TableParagraph"/>
              <w:spacing w:before="136"/>
              <w:ind w:left="200"/>
              <w:rPr>
                <w:sz w:val="21"/>
              </w:rPr>
            </w:pPr>
            <w:r>
              <w:rPr>
                <w:sz w:val="21"/>
              </w:rPr>
              <w:t>（九）良性脑肿瘤</w:t>
            </w:r>
          </w:p>
        </w:tc>
        <w:tc>
          <w:tcPr>
            <w:tcW w:w="7006" w:type="dxa"/>
          </w:tcPr>
          <w:p>
            <w:pPr>
              <w:pStyle w:val="TableParagraph"/>
              <w:spacing w:line="273" w:lineRule="auto" w:before="136"/>
              <w:ind w:right="198"/>
              <w:rPr>
                <w:sz w:val="21"/>
              </w:rPr>
            </w:pPr>
            <w:r>
              <w:rPr>
                <w:spacing w:val="-3"/>
                <w:sz w:val="21"/>
              </w:rPr>
              <w:t>指脑的良性肿瘤，已经引起颅内压增高，临床表现为视神经乳头水肿、</w:t>
            </w:r>
            <w:r>
              <w:rPr>
                <w:w w:val="100"/>
                <w:sz w:val="21"/>
              </w:rPr>
              <w:t>精</w:t>
            </w:r>
            <w:r>
              <w:rPr>
                <w:spacing w:val="-23"/>
                <w:w w:val="100"/>
                <w:sz w:val="21"/>
              </w:rPr>
              <w:t>神症状、癫痫及运动感觉障碍等，并危及生命。须由头颅断层扫描</w:t>
            </w:r>
            <w:r>
              <w:rPr>
                <w:w w:val="100"/>
                <w:sz w:val="21"/>
              </w:rPr>
              <w:t>（C</w:t>
            </w:r>
            <w:r>
              <w:rPr>
                <w:spacing w:val="-3"/>
                <w:w w:val="100"/>
                <w:sz w:val="21"/>
              </w:rPr>
              <w:t>T</w:t>
            </w:r>
            <w:r>
              <w:rPr>
                <w:spacing w:val="-89"/>
                <w:w w:val="100"/>
                <w:sz w:val="21"/>
              </w:rPr>
              <w:t>）、</w:t>
            </w:r>
            <w:r>
              <w:rPr>
                <w:sz w:val="21"/>
              </w:rPr>
              <w:t>核</w:t>
            </w:r>
            <w:r>
              <w:rPr>
                <w:spacing w:val="-4"/>
                <w:sz w:val="21"/>
              </w:rPr>
              <w:t>磁共振检查</w:t>
            </w:r>
            <w:r>
              <w:rPr>
                <w:spacing w:val="-3"/>
                <w:sz w:val="21"/>
              </w:rPr>
              <w:t>（MRI）</w:t>
            </w:r>
            <w:r>
              <w:rPr>
                <w:spacing w:val="-4"/>
                <w:sz w:val="21"/>
              </w:rPr>
              <w:t>或正电子发射断层扫描</w:t>
            </w:r>
            <w:r>
              <w:rPr>
                <w:spacing w:val="-3"/>
                <w:sz w:val="21"/>
              </w:rPr>
              <w:t>（PET）等影像学检查证实， 并须满足下列至少一项条件：</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（1）实际实施了开颅进行的脑肿瘤完全切除或部分切除的手术；</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（2）实际实施了对脑肿瘤进行的放射治疗。</w:t>
            </w:r>
          </w:p>
        </w:tc>
      </w:tr>
      <w:tr>
        <w:trPr>
          <w:trHeight w:val="467" w:hRule="atLeast"/>
        </w:trPr>
        <w:tc>
          <w:tcPr>
            <w:tcW w:w="2225" w:type="dxa"/>
          </w:tcPr>
          <w:p>
            <w:pPr>
              <w:pStyle w:val="TableParagraph"/>
              <w:ind w:left="0"/>
              <w:rPr>
                <w:rFonts w:ascii="Times New Roman"/>
                <w:sz w:val="20"/>
              </w:rPr>
            </w:pPr>
          </w:p>
        </w:tc>
        <w:tc>
          <w:tcPr>
            <w:tcW w:w="7006" w:type="dxa"/>
          </w:tcPr>
          <w:p>
            <w:pPr>
              <w:pStyle w:val="TableParagraph"/>
              <w:spacing w:line="255" w:lineRule="exact"/>
              <w:rPr>
                <w:b/>
                <w:sz w:val="21"/>
              </w:rPr>
            </w:pPr>
            <w:r>
              <w:rPr>
                <w:b/>
                <w:sz w:val="21"/>
              </w:rPr>
              <w:t>脑垂体瘤、脑囊肿、脑血管性疾病不在保障范围内。</w:t>
            </w:r>
          </w:p>
        </w:tc>
      </w:tr>
      <w:tr>
        <w:trPr>
          <w:trHeight w:val="467" w:hRule="atLeast"/>
        </w:trPr>
        <w:tc>
          <w:tcPr>
            <w:tcW w:w="2225" w:type="dxa"/>
            <w:vMerge w:val="restart"/>
          </w:tcPr>
          <w:p>
            <w:pPr>
              <w:pStyle w:val="TableParagraph"/>
              <w:spacing w:line="273" w:lineRule="auto" w:before="136"/>
              <w:ind w:left="200" w:right="27"/>
              <w:rPr>
                <w:sz w:val="21"/>
              </w:rPr>
            </w:pPr>
            <w:r>
              <w:rPr>
                <w:sz w:val="21"/>
              </w:rPr>
              <w:t>（十） 慢性肝功能衰竭失代偿期</w:t>
            </w:r>
          </w:p>
        </w:tc>
        <w:tc>
          <w:tcPr>
            <w:tcW w:w="7006" w:type="dxa"/>
          </w:tcPr>
          <w:p>
            <w:pPr>
              <w:pStyle w:val="TableParagraph"/>
              <w:spacing w:before="136"/>
              <w:rPr>
                <w:sz w:val="21"/>
              </w:rPr>
            </w:pPr>
            <w:r>
              <w:rPr>
                <w:sz w:val="21"/>
              </w:rPr>
              <w:t>指因慢性肝脏疾病导致肝功能衰竭。须满足下列全部条件：</w:t>
            </w:r>
          </w:p>
        </w:tc>
      </w:tr>
      <w:tr>
        <w:trPr>
          <w:trHeight w:val="312" w:hRule="atLeast"/>
        </w:trPr>
        <w:tc>
          <w:tcPr>
            <w:tcW w:w="2225" w:type="dxa"/>
            <w:vMerge/>
            <w:tcBorders>
              <w:top w:val="nil"/>
            </w:tcBorders>
          </w:tcPr>
          <w:p>
            <w:pPr>
              <w:rPr>
                <w:sz w:val="2"/>
                <w:szCs w:val="2"/>
              </w:rPr>
            </w:pPr>
          </w:p>
        </w:tc>
        <w:tc>
          <w:tcPr>
            <w:tcW w:w="7006" w:type="dxa"/>
          </w:tcPr>
          <w:p>
            <w:pPr>
              <w:pStyle w:val="TableParagraph"/>
              <w:spacing w:line="255" w:lineRule="exact"/>
              <w:rPr>
                <w:sz w:val="21"/>
              </w:rPr>
            </w:pPr>
            <w:r>
              <w:rPr>
                <w:sz w:val="21"/>
              </w:rPr>
              <w:t>（1）持续性黄疸；</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（2）腹水；</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（3）肝性脑病；</w:t>
            </w:r>
          </w:p>
        </w:tc>
      </w:tr>
      <w:tr>
        <w:trPr>
          <w:trHeight w:val="311"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（4）充血性脾肿大伴脾功能亢进或食管胃底静脉曲张。</w:t>
            </w:r>
          </w:p>
        </w:tc>
      </w:tr>
      <w:tr>
        <w:trPr>
          <w:trHeight w:val="468" w:hRule="atLeast"/>
        </w:trPr>
        <w:tc>
          <w:tcPr>
            <w:tcW w:w="2225" w:type="dxa"/>
          </w:tcPr>
          <w:p>
            <w:pPr>
              <w:pStyle w:val="TableParagraph"/>
              <w:ind w:left="0"/>
              <w:rPr>
                <w:rFonts w:ascii="Times New Roman"/>
                <w:sz w:val="20"/>
              </w:rPr>
            </w:pPr>
          </w:p>
        </w:tc>
        <w:tc>
          <w:tcPr>
            <w:tcW w:w="7006" w:type="dxa"/>
          </w:tcPr>
          <w:p>
            <w:pPr>
              <w:pStyle w:val="TableParagraph"/>
              <w:spacing w:line="255" w:lineRule="exact"/>
              <w:rPr>
                <w:b/>
                <w:sz w:val="21"/>
              </w:rPr>
            </w:pPr>
            <w:r>
              <w:rPr>
                <w:b/>
                <w:sz w:val="21"/>
              </w:rPr>
              <w:t>因酗酒或药物滥用导致的肝功能衰竭不在保障范围内。</w:t>
            </w:r>
          </w:p>
        </w:tc>
      </w:tr>
      <w:tr>
        <w:trPr>
          <w:trHeight w:val="817" w:hRule="atLeast"/>
        </w:trPr>
        <w:tc>
          <w:tcPr>
            <w:tcW w:w="2225" w:type="dxa"/>
          </w:tcPr>
          <w:p>
            <w:pPr>
              <w:pStyle w:val="TableParagraph"/>
              <w:spacing w:line="273" w:lineRule="auto" w:before="136"/>
              <w:ind w:left="200" w:right="105"/>
              <w:rPr>
                <w:sz w:val="21"/>
              </w:rPr>
            </w:pPr>
            <w:r>
              <w:rPr>
                <w:sz w:val="21"/>
              </w:rPr>
              <w:t>（十一）脑炎后遗症或脑膜炎后遗症</w:t>
            </w:r>
          </w:p>
        </w:tc>
        <w:tc>
          <w:tcPr>
            <w:tcW w:w="7006" w:type="dxa"/>
          </w:tcPr>
          <w:p>
            <w:pPr>
              <w:pStyle w:val="TableParagraph"/>
              <w:spacing w:line="273" w:lineRule="auto" w:before="136"/>
              <w:ind w:right="200"/>
              <w:rPr>
                <w:sz w:val="21"/>
              </w:rPr>
            </w:pPr>
            <w:r>
              <w:rPr>
                <w:spacing w:val="-3"/>
                <w:sz w:val="21"/>
              </w:rPr>
              <w:t>指因患脑炎或脑膜炎导致的神经系统永久性的功能障碍。神经系统永久 </w:t>
            </w:r>
            <w:r>
              <w:rPr>
                <w:spacing w:val="-8"/>
                <w:sz w:val="21"/>
              </w:rPr>
              <w:t>性的功能障碍，指疾病确诊 </w:t>
            </w:r>
            <w:r>
              <w:rPr>
                <w:sz w:val="21"/>
              </w:rPr>
              <w:t>180</w:t>
            </w:r>
            <w:r>
              <w:rPr>
                <w:spacing w:val="-9"/>
                <w:sz w:val="21"/>
              </w:rPr>
              <w:t> 天后，仍遗留下列一种或一种以上障碍：</w:t>
            </w:r>
          </w:p>
        </w:tc>
      </w:tr>
      <w:tr>
        <w:trPr>
          <w:trHeight w:val="349" w:hRule="atLeast"/>
        </w:trPr>
        <w:tc>
          <w:tcPr>
            <w:tcW w:w="2225" w:type="dxa"/>
          </w:tcPr>
          <w:p>
            <w:pPr>
              <w:pStyle w:val="TableParagraph"/>
              <w:ind w:left="0"/>
              <w:rPr>
                <w:rFonts w:ascii="Times New Roman"/>
                <w:sz w:val="20"/>
              </w:rPr>
            </w:pPr>
          </w:p>
        </w:tc>
        <w:tc>
          <w:tcPr>
            <w:tcW w:w="7006" w:type="dxa"/>
          </w:tcPr>
          <w:p>
            <w:pPr>
              <w:pStyle w:val="TableParagraph"/>
              <w:spacing w:before="17"/>
              <w:rPr>
                <w:sz w:val="21"/>
              </w:rPr>
            </w:pPr>
            <w:r>
              <w:rPr>
                <w:sz w:val="21"/>
              </w:rPr>
              <w:t>（1）一肢或一肢以上肢体机能完全丧失；</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（2）语言能力或咀嚼吞咽能力完全丧失；</w:t>
            </w:r>
          </w:p>
        </w:tc>
      </w:tr>
      <w:tr>
        <w:trPr>
          <w:trHeight w:val="780"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（3）自主生活能力完全丧失，无法独立完成六项基本日常生活活动中的</w:t>
            </w:r>
          </w:p>
          <w:p>
            <w:pPr>
              <w:pStyle w:val="TableParagraph"/>
              <w:spacing w:before="37"/>
              <w:rPr>
                <w:sz w:val="21"/>
              </w:rPr>
            </w:pPr>
            <w:r>
              <w:rPr>
                <w:sz w:val="21"/>
              </w:rPr>
              <w:t>三项或三项以上。</w:t>
            </w:r>
          </w:p>
        </w:tc>
      </w:tr>
      <w:tr>
        <w:trPr>
          <w:trHeight w:val="1092" w:hRule="atLeast"/>
        </w:trPr>
        <w:tc>
          <w:tcPr>
            <w:tcW w:w="2225" w:type="dxa"/>
          </w:tcPr>
          <w:p>
            <w:pPr>
              <w:pStyle w:val="TableParagraph"/>
              <w:spacing w:before="136"/>
              <w:ind w:left="200"/>
              <w:rPr>
                <w:sz w:val="21"/>
              </w:rPr>
            </w:pPr>
            <w:r>
              <w:rPr>
                <w:sz w:val="21"/>
              </w:rPr>
              <w:t>（十二）深度昏迷</w:t>
            </w:r>
          </w:p>
        </w:tc>
        <w:tc>
          <w:tcPr>
            <w:tcW w:w="7006" w:type="dxa"/>
          </w:tcPr>
          <w:p>
            <w:pPr>
              <w:pStyle w:val="TableParagraph"/>
              <w:spacing w:line="273" w:lineRule="auto" w:before="136"/>
              <w:ind w:right="382"/>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p>
          <w:p>
            <w:pPr>
              <w:pStyle w:val="TableParagraph"/>
              <w:spacing w:before="8"/>
              <w:rPr>
                <w:sz w:val="21"/>
              </w:rPr>
            </w:pPr>
            <w:r>
              <w:rPr>
                <w:sz w:val="21"/>
              </w:rPr>
              <w:t>分以下，且已经持续使用呼吸机及其它生命维持系统 96 小时以上。</w:t>
            </w:r>
          </w:p>
        </w:tc>
      </w:tr>
      <w:tr>
        <w:trPr>
          <w:trHeight w:val="468" w:hRule="atLeast"/>
        </w:trPr>
        <w:tc>
          <w:tcPr>
            <w:tcW w:w="2225" w:type="dxa"/>
          </w:tcPr>
          <w:p>
            <w:pPr>
              <w:pStyle w:val="TableParagraph"/>
              <w:ind w:left="0"/>
              <w:rPr>
                <w:rFonts w:ascii="Times New Roman"/>
                <w:sz w:val="20"/>
              </w:rPr>
            </w:pPr>
          </w:p>
        </w:tc>
        <w:tc>
          <w:tcPr>
            <w:tcW w:w="7006" w:type="dxa"/>
          </w:tcPr>
          <w:p>
            <w:pPr>
              <w:pStyle w:val="TableParagraph"/>
              <w:spacing w:line="255" w:lineRule="exact"/>
              <w:rPr>
                <w:b/>
                <w:sz w:val="21"/>
              </w:rPr>
            </w:pPr>
            <w:r>
              <w:rPr>
                <w:b/>
                <w:sz w:val="21"/>
              </w:rPr>
              <w:t>因酗酒或药物滥用导致的深度昏迷不在保障范围内。</w:t>
            </w:r>
          </w:p>
        </w:tc>
      </w:tr>
      <w:tr>
        <w:trPr>
          <w:trHeight w:val="1092" w:hRule="atLeast"/>
        </w:trPr>
        <w:tc>
          <w:tcPr>
            <w:tcW w:w="2225" w:type="dxa"/>
          </w:tcPr>
          <w:p>
            <w:pPr>
              <w:pStyle w:val="TableParagraph"/>
              <w:spacing w:before="136"/>
              <w:ind w:left="200"/>
              <w:rPr>
                <w:sz w:val="21"/>
              </w:rPr>
            </w:pPr>
            <w:r>
              <w:rPr>
                <w:sz w:val="21"/>
              </w:rPr>
              <w:t>（十三）双耳失聪</w:t>
            </w:r>
          </w:p>
        </w:tc>
        <w:tc>
          <w:tcPr>
            <w:tcW w:w="7006" w:type="dxa"/>
          </w:tcPr>
          <w:p>
            <w:pPr>
              <w:pStyle w:val="TableParagraph"/>
              <w:spacing w:before="136"/>
              <w:rPr>
                <w:sz w:val="21"/>
              </w:rPr>
            </w:pPr>
            <w:r>
              <w:rPr>
                <w:sz w:val="21"/>
              </w:rPr>
              <w:t>指因疾病或意外伤害导致双耳听力永久不可逆（见注 4）性丧失，在 500</w:t>
            </w:r>
          </w:p>
          <w:p>
            <w:pPr>
              <w:pStyle w:val="TableParagraph"/>
              <w:spacing w:line="273" w:lineRule="auto" w:before="37"/>
              <w:ind w:right="329"/>
              <w:rPr>
                <w:sz w:val="21"/>
              </w:rPr>
            </w:pPr>
            <w:r>
              <w:rPr>
                <w:spacing w:val="-1"/>
                <w:sz w:val="21"/>
              </w:rPr>
              <w:t>赫兹、</w:t>
            </w:r>
            <w:r>
              <w:rPr>
                <w:sz w:val="21"/>
              </w:rPr>
              <w:t>1000</w:t>
            </w:r>
            <w:r>
              <w:rPr>
                <w:spacing w:val="-21"/>
                <w:sz w:val="21"/>
              </w:rPr>
              <w:t> 赫兹和 </w:t>
            </w:r>
            <w:r>
              <w:rPr>
                <w:sz w:val="21"/>
              </w:rPr>
              <w:t>2000</w:t>
            </w:r>
            <w:r>
              <w:rPr>
                <w:spacing w:val="-12"/>
                <w:sz w:val="21"/>
              </w:rPr>
              <w:t> 赫兹语音频率下，平均听阈大于 </w:t>
            </w:r>
            <w:r>
              <w:rPr>
                <w:sz w:val="21"/>
              </w:rPr>
              <w:t>90</w:t>
            </w:r>
            <w:r>
              <w:rPr>
                <w:spacing w:val="-10"/>
                <w:sz w:val="21"/>
              </w:rPr>
              <w:t> 分贝，且经</w:t>
            </w:r>
            <w:r>
              <w:rPr>
                <w:spacing w:val="-5"/>
                <w:sz w:val="21"/>
              </w:rPr>
              <w:t>纯音听力测试、声导抗检测或听觉诱发电位检测等证实。</w:t>
            </w:r>
          </w:p>
        </w:tc>
      </w:tr>
      <w:tr>
        <w:trPr>
          <w:trHeight w:val="468" w:hRule="atLeast"/>
        </w:trPr>
        <w:tc>
          <w:tcPr>
            <w:tcW w:w="2225" w:type="dxa"/>
          </w:tcPr>
          <w:p>
            <w:pPr>
              <w:pStyle w:val="TableParagraph"/>
              <w:ind w:left="0"/>
              <w:rPr>
                <w:rFonts w:ascii="Times New Roman"/>
                <w:sz w:val="20"/>
              </w:rPr>
            </w:pPr>
          </w:p>
        </w:tc>
        <w:tc>
          <w:tcPr>
            <w:tcW w:w="7006" w:type="dxa"/>
          </w:tcPr>
          <w:p>
            <w:pPr>
              <w:pStyle w:val="TableParagraph"/>
              <w:spacing w:line="255" w:lineRule="exact"/>
              <w:rPr>
                <w:b/>
                <w:sz w:val="21"/>
              </w:rPr>
            </w:pPr>
            <w:r>
              <w:rPr>
                <w:b/>
                <w:sz w:val="21"/>
              </w:rPr>
              <w:t>被保险人在 3 周岁之前因疾病导致双耳失聪，本公司不承担保险责任。</w:t>
            </w:r>
          </w:p>
        </w:tc>
      </w:tr>
      <w:tr>
        <w:trPr>
          <w:trHeight w:val="873" w:hRule="atLeast"/>
        </w:trPr>
        <w:tc>
          <w:tcPr>
            <w:tcW w:w="2225" w:type="dxa"/>
          </w:tcPr>
          <w:p>
            <w:pPr>
              <w:pStyle w:val="TableParagraph"/>
              <w:spacing w:before="136"/>
              <w:ind w:left="200"/>
              <w:rPr>
                <w:sz w:val="21"/>
              </w:rPr>
            </w:pPr>
            <w:r>
              <w:rPr>
                <w:sz w:val="21"/>
              </w:rPr>
              <w:t>（十四）双目失明</w:t>
            </w:r>
          </w:p>
        </w:tc>
        <w:tc>
          <w:tcPr>
            <w:tcW w:w="7006" w:type="dxa"/>
          </w:tcPr>
          <w:p>
            <w:pPr>
              <w:pStyle w:val="TableParagraph"/>
              <w:spacing w:line="273" w:lineRule="auto" w:before="136"/>
              <w:ind w:right="380"/>
              <w:rPr>
                <w:sz w:val="21"/>
              </w:rPr>
            </w:pPr>
            <w:r>
              <w:rPr>
                <w:sz w:val="21"/>
              </w:rPr>
              <w:t>指因疾病或意外伤害导致双眼视力永久不可逆性丧失，双眼中较好眼须满足下列至少一项条件：</w:t>
            </w:r>
          </w:p>
        </w:tc>
      </w:tr>
      <w:tr>
        <w:trPr>
          <w:trHeight w:val="405" w:hRule="atLeast"/>
        </w:trPr>
        <w:tc>
          <w:tcPr>
            <w:tcW w:w="2225" w:type="dxa"/>
          </w:tcPr>
          <w:p>
            <w:pPr>
              <w:pStyle w:val="TableParagraph"/>
              <w:ind w:left="0"/>
              <w:rPr>
                <w:rFonts w:ascii="Times New Roman"/>
                <w:sz w:val="20"/>
              </w:rPr>
            </w:pPr>
          </w:p>
        </w:tc>
        <w:tc>
          <w:tcPr>
            <w:tcW w:w="7006" w:type="dxa"/>
          </w:tcPr>
          <w:p>
            <w:pPr>
              <w:pStyle w:val="TableParagraph"/>
              <w:spacing w:before="73"/>
              <w:rPr>
                <w:sz w:val="21"/>
              </w:rPr>
            </w:pPr>
            <w:r>
              <w:rPr>
                <w:sz w:val="21"/>
              </w:rPr>
              <w:t>（1）眼球缺失或摘除；</w:t>
            </w:r>
          </w:p>
        </w:tc>
      </w:tr>
      <w:tr>
        <w:trPr>
          <w:trHeight w:val="261" w:hRule="atLeast"/>
        </w:trPr>
        <w:tc>
          <w:tcPr>
            <w:tcW w:w="2225" w:type="dxa"/>
          </w:tcPr>
          <w:p>
            <w:pPr>
              <w:pStyle w:val="TableParagraph"/>
              <w:ind w:left="0"/>
              <w:rPr>
                <w:rFonts w:ascii="Times New Roman"/>
                <w:sz w:val="18"/>
              </w:rPr>
            </w:pPr>
          </w:p>
        </w:tc>
        <w:tc>
          <w:tcPr>
            <w:tcW w:w="7006" w:type="dxa"/>
          </w:tcPr>
          <w:p>
            <w:pPr>
              <w:pStyle w:val="TableParagraph"/>
              <w:spacing w:line="242" w:lineRule="exact"/>
              <w:rPr>
                <w:sz w:val="21"/>
              </w:rPr>
            </w:pPr>
            <w:r>
              <w:rPr>
                <w:sz w:val="21"/>
              </w:rPr>
              <w:t>（2）矫正视力低于 0.02（采用国际标准视力表，如果使用其它视力表应</w:t>
            </w:r>
          </w:p>
        </w:tc>
      </w:tr>
    </w:tbl>
    <w:p>
      <w:pPr>
        <w:spacing w:after="0" w:line="242" w:lineRule="exact"/>
        <w:rPr>
          <w:sz w:val="21"/>
        </w:rPr>
        <w:sectPr>
          <w:pgSz w:w="11910" w:h="16840"/>
          <w:pgMar w:header="0" w:footer="924" w:top="14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7"/>
      </w:tblGrid>
      <w:tr>
        <w:trPr>
          <w:trHeight w:val="261" w:hRule="atLeast"/>
        </w:trPr>
        <w:tc>
          <w:tcPr>
            <w:tcW w:w="2225" w:type="dxa"/>
          </w:tcPr>
          <w:p>
            <w:pPr>
              <w:pStyle w:val="TableParagraph"/>
              <w:ind w:left="0"/>
              <w:rPr>
                <w:rFonts w:ascii="Times New Roman"/>
                <w:sz w:val="18"/>
              </w:rPr>
            </w:pPr>
          </w:p>
        </w:tc>
        <w:tc>
          <w:tcPr>
            <w:tcW w:w="7007" w:type="dxa"/>
          </w:tcPr>
          <w:p>
            <w:pPr>
              <w:pStyle w:val="TableParagraph"/>
              <w:spacing w:line="204" w:lineRule="exact"/>
              <w:rPr>
                <w:sz w:val="21"/>
              </w:rPr>
            </w:pPr>
            <w:r>
              <w:rPr>
                <w:sz w:val="21"/>
              </w:rPr>
              <w:t>进行换算）；</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（3）视野半径小于 5 度。</w:t>
            </w:r>
          </w:p>
        </w:tc>
      </w:tr>
      <w:tr>
        <w:trPr>
          <w:trHeight w:val="467"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被保险人在 3 周岁之前因疾病导致双目失明，本公司不承担保险责任。</w:t>
            </w:r>
          </w:p>
        </w:tc>
      </w:tr>
      <w:tr>
        <w:trPr>
          <w:trHeight w:val="1247" w:hRule="atLeast"/>
        </w:trPr>
        <w:tc>
          <w:tcPr>
            <w:tcW w:w="2225" w:type="dxa"/>
          </w:tcPr>
          <w:p>
            <w:pPr>
              <w:pStyle w:val="TableParagraph"/>
              <w:spacing w:before="136"/>
              <w:ind w:left="200"/>
              <w:rPr>
                <w:sz w:val="21"/>
              </w:rPr>
            </w:pPr>
            <w:r>
              <w:rPr>
                <w:sz w:val="21"/>
              </w:rPr>
              <w:t>（十五）瘫痪</w:t>
            </w:r>
          </w:p>
        </w:tc>
        <w:tc>
          <w:tcPr>
            <w:tcW w:w="7007" w:type="dxa"/>
          </w:tcPr>
          <w:p>
            <w:pPr>
              <w:pStyle w:val="TableParagraph"/>
              <w:spacing w:line="273" w:lineRule="auto" w:before="136"/>
              <w:ind w:right="381"/>
              <w:jc w:val="both"/>
              <w:rPr>
                <w:sz w:val="21"/>
              </w:rPr>
            </w:pPr>
            <w:r>
              <w:rPr>
                <w:spacing w:val="-3"/>
                <w:sz w:val="21"/>
              </w:rPr>
              <w:t>指因疾病或意外伤害导致两肢或两肢以上肢体机能永久完全丧失。肢体</w:t>
            </w:r>
            <w:r>
              <w:rPr>
                <w:spacing w:val="-6"/>
                <w:sz w:val="21"/>
              </w:rPr>
              <w:t>机能永久完全丧失，指疾病确诊 </w:t>
            </w:r>
            <w:r>
              <w:rPr>
                <w:sz w:val="21"/>
              </w:rPr>
              <w:t>180</w:t>
            </w:r>
            <w:r>
              <w:rPr>
                <w:spacing w:val="-12"/>
                <w:sz w:val="21"/>
              </w:rPr>
              <w:t> 天后或意外伤害发生 </w:t>
            </w:r>
            <w:r>
              <w:rPr>
                <w:sz w:val="21"/>
              </w:rPr>
              <w:t>180</w:t>
            </w:r>
            <w:r>
              <w:rPr>
                <w:spacing w:val="-11"/>
                <w:sz w:val="21"/>
              </w:rPr>
              <w:t> 天后，每</w:t>
            </w:r>
            <w:r>
              <w:rPr>
                <w:spacing w:val="-6"/>
                <w:sz w:val="21"/>
              </w:rPr>
              <w:t>肢三大关节中的两大关节仍然完全僵硬，或不能随意识活动。</w:t>
            </w:r>
          </w:p>
        </w:tc>
      </w:tr>
      <w:tr>
        <w:trPr>
          <w:trHeight w:val="936" w:hRule="atLeast"/>
        </w:trPr>
        <w:tc>
          <w:tcPr>
            <w:tcW w:w="2225" w:type="dxa"/>
          </w:tcPr>
          <w:p>
            <w:pPr>
              <w:pStyle w:val="TableParagraph"/>
              <w:spacing w:line="273" w:lineRule="auto" w:before="136"/>
              <w:ind w:left="200" w:right="105"/>
              <w:rPr>
                <w:sz w:val="21"/>
              </w:rPr>
            </w:pPr>
            <w:r>
              <w:rPr>
                <w:sz w:val="21"/>
              </w:rPr>
              <w:t>（十六）心脏瓣膜手术</w:t>
            </w:r>
          </w:p>
        </w:tc>
        <w:tc>
          <w:tcPr>
            <w:tcW w:w="7007" w:type="dxa"/>
          </w:tcPr>
          <w:p>
            <w:pPr>
              <w:pStyle w:val="TableParagraph"/>
              <w:spacing w:line="273" w:lineRule="auto" w:before="136"/>
              <w:ind w:right="381"/>
              <w:rPr>
                <w:sz w:val="21"/>
              </w:rPr>
            </w:pPr>
            <w:r>
              <w:rPr>
                <w:sz w:val="21"/>
              </w:rPr>
              <w:t>指为治疗心脏瓣膜疾病，实际实施了开胸进行的心脏瓣膜置换或修复的手术。</w:t>
            </w:r>
          </w:p>
        </w:tc>
      </w:tr>
      <w:tr>
        <w:trPr>
          <w:trHeight w:val="1716" w:hRule="atLeast"/>
        </w:trPr>
        <w:tc>
          <w:tcPr>
            <w:tcW w:w="2225" w:type="dxa"/>
          </w:tcPr>
          <w:p>
            <w:pPr>
              <w:pStyle w:val="TableParagraph"/>
              <w:spacing w:line="273" w:lineRule="auto" w:before="136"/>
              <w:ind w:left="200" w:right="105"/>
              <w:rPr>
                <w:sz w:val="21"/>
              </w:rPr>
            </w:pPr>
            <w:r>
              <w:rPr>
                <w:sz w:val="21"/>
              </w:rPr>
              <w:t>（十七）严重阿尔茨海默病</w:t>
            </w:r>
          </w:p>
        </w:tc>
        <w:tc>
          <w:tcPr>
            <w:tcW w:w="7007" w:type="dxa"/>
          </w:tcPr>
          <w:p>
            <w:pPr>
              <w:pStyle w:val="TableParagraph"/>
              <w:spacing w:line="273" w:lineRule="auto" w:before="136"/>
              <w:ind w:right="280"/>
              <w:rPr>
                <w:sz w:val="21"/>
              </w:rPr>
            </w:pPr>
            <w:r>
              <w:rPr>
                <w:sz w:val="21"/>
              </w:rPr>
              <w:t>指因大脑进行性、不可逆性改变导致智能严重衰退或丧失，临床表现为明显的认知能力障碍、行为异常和社交能力减退，其日常生活必须持续受到他人监护。须由头颅断层扫描（CT）、核磁共振检查（MRI）或正电子发射断层扫描（PET）等影像学检查证实，且自主生活能力完全丧失， 无法独立完成六项基本日常生活活动中的三项或三项以上。</w:t>
            </w:r>
          </w:p>
        </w:tc>
      </w:tr>
      <w:tr>
        <w:trPr>
          <w:trHeight w:val="468"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神经官能症和精神疾病不在保障范围内。</w:t>
            </w:r>
          </w:p>
        </w:tc>
      </w:tr>
      <w:tr>
        <w:trPr>
          <w:trHeight w:val="1424" w:hRule="atLeast"/>
        </w:trPr>
        <w:tc>
          <w:tcPr>
            <w:tcW w:w="2225" w:type="dxa"/>
          </w:tcPr>
          <w:p>
            <w:pPr>
              <w:pStyle w:val="TableParagraph"/>
              <w:spacing w:before="136"/>
              <w:ind w:left="200"/>
              <w:rPr>
                <w:sz w:val="21"/>
              </w:rPr>
            </w:pPr>
            <w:r>
              <w:rPr>
                <w:sz w:val="21"/>
              </w:rPr>
              <w:t>（十八）严重脑损伤</w:t>
            </w:r>
          </w:p>
        </w:tc>
        <w:tc>
          <w:tcPr>
            <w:tcW w:w="7007" w:type="dxa"/>
          </w:tcPr>
          <w:p>
            <w:pPr>
              <w:pStyle w:val="TableParagraph"/>
              <w:spacing w:line="273" w:lineRule="auto" w:before="136"/>
              <w:ind w:right="280"/>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 指脑损伤 180 天后，仍遗留下列一种或一种以上障碍：</w:t>
            </w:r>
          </w:p>
        </w:tc>
      </w:tr>
      <w:tr>
        <w:trPr>
          <w:trHeight w:val="332" w:hRule="atLeast"/>
        </w:trPr>
        <w:tc>
          <w:tcPr>
            <w:tcW w:w="2225" w:type="dxa"/>
          </w:tcPr>
          <w:p>
            <w:pPr>
              <w:pStyle w:val="TableParagraph"/>
              <w:ind w:left="0"/>
              <w:rPr>
                <w:rFonts w:ascii="Times New Roman"/>
                <w:sz w:val="20"/>
              </w:rPr>
            </w:pPr>
          </w:p>
        </w:tc>
        <w:tc>
          <w:tcPr>
            <w:tcW w:w="7007" w:type="dxa"/>
          </w:tcPr>
          <w:p>
            <w:pPr>
              <w:pStyle w:val="TableParagraph"/>
              <w:rPr>
                <w:sz w:val="21"/>
              </w:rPr>
            </w:pPr>
            <w:r>
              <w:rPr>
                <w:sz w:val="21"/>
              </w:rPr>
              <w:t>（1）一肢或一肢以上肢体机能完全丧失；</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（2）语言能力或咀嚼吞咽能力完全丧失；</w:t>
            </w:r>
          </w:p>
        </w:tc>
      </w:tr>
      <w:tr>
        <w:trPr>
          <w:trHeight w:val="780"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（3）自主生活能力完全丧失，无法独立完成六项基本日常生活活动中的</w:t>
            </w:r>
          </w:p>
          <w:p>
            <w:pPr>
              <w:pStyle w:val="TableParagraph"/>
              <w:spacing w:before="37"/>
              <w:rPr>
                <w:sz w:val="21"/>
              </w:rPr>
            </w:pPr>
            <w:r>
              <w:rPr>
                <w:sz w:val="21"/>
              </w:rPr>
              <w:t>三项或三项以上。</w:t>
            </w:r>
          </w:p>
        </w:tc>
      </w:tr>
      <w:tr>
        <w:trPr>
          <w:trHeight w:val="780" w:hRule="atLeast"/>
        </w:trPr>
        <w:tc>
          <w:tcPr>
            <w:tcW w:w="2225" w:type="dxa"/>
          </w:tcPr>
          <w:p>
            <w:pPr>
              <w:pStyle w:val="TableParagraph"/>
              <w:spacing w:line="273" w:lineRule="auto" w:before="136"/>
              <w:ind w:left="200" w:right="105"/>
              <w:rPr>
                <w:sz w:val="21"/>
              </w:rPr>
            </w:pPr>
            <w:r>
              <w:rPr>
                <w:sz w:val="21"/>
              </w:rPr>
              <w:t>（十九）严重帕金森病</w:t>
            </w:r>
          </w:p>
        </w:tc>
        <w:tc>
          <w:tcPr>
            <w:tcW w:w="7007" w:type="dxa"/>
          </w:tcPr>
          <w:p>
            <w:pPr>
              <w:pStyle w:val="TableParagraph"/>
              <w:spacing w:line="273" w:lineRule="auto" w:before="136"/>
              <w:ind w:right="157"/>
              <w:rPr>
                <w:sz w:val="21"/>
              </w:rPr>
            </w:pPr>
            <w:r>
              <w:rPr>
                <w:sz w:val="21"/>
              </w:rPr>
              <w:t>是一种中枢神经系统的退行性疾病，临床表现为震颤麻痹、共济失调等。须满足下列全部条件：</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（1）药物治疗无法控制病情；</w:t>
            </w:r>
          </w:p>
        </w:tc>
      </w:tr>
      <w:tr>
        <w:trPr>
          <w:trHeight w:val="624"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（2）自主生活能力完全丧失，无法独立完成六项基本日常生活活动中的</w:t>
            </w:r>
          </w:p>
          <w:p>
            <w:pPr>
              <w:pStyle w:val="TableParagraph"/>
              <w:spacing w:before="37"/>
              <w:rPr>
                <w:sz w:val="21"/>
              </w:rPr>
            </w:pPr>
            <w:r>
              <w:rPr>
                <w:sz w:val="21"/>
              </w:rPr>
              <w:t>三项或三项以上。</w:t>
            </w:r>
          </w:p>
        </w:tc>
      </w:tr>
      <w:tr>
        <w:trPr>
          <w:trHeight w:val="468"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继发性帕金森综合征不在保障范围内。</w:t>
            </w:r>
          </w:p>
        </w:tc>
      </w:tr>
      <w:tr>
        <w:trPr>
          <w:trHeight w:val="880" w:hRule="atLeast"/>
        </w:trPr>
        <w:tc>
          <w:tcPr>
            <w:tcW w:w="2225" w:type="dxa"/>
          </w:tcPr>
          <w:p>
            <w:pPr>
              <w:pStyle w:val="TableParagraph"/>
              <w:spacing w:line="273" w:lineRule="auto" w:before="136"/>
              <w:ind w:left="200" w:right="105"/>
              <w:rPr>
                <w:sz w:val="21"/>
              </w:rPr>
            </w:pPr>
            <w:r>
              <w:rPr>
                <w:sz w:val="21"/>
              </w:rPr>
              <w:t>（二十）严重Ⅲ度烧伤</w:t>
            </w:r>
          </w:p>
        </w:tc>
        <w:tc>
          <w:tcPr>
            <w:tcW w:w="7007" w:type="dxa"/>
          </w:tcPr>
          <w:p>
            <w:pPr>
              <w:pStyle w:val="TableParagraph"/>
              <w:spacing w:line="273" w:lineRule="auto" w:before="136"/>
              <w:ind w:right="381"/>
              <w:rPr>
                <w:sz w:val="21"/>
              </w:rPr>
            </w:pPr>
            <w:r>
              <w:rPr>
                <w:spacing w:val="-5"/>
                <w:sz w:val="21"/>
              </w:rPr>
              <w:t>指烧伤程度为Ⅲ度，且Ⅲ度烧伤的面积达到全身体表面积的 </w:t>
            </w:r>
            <w:r>
              <w:rPr>
                <w:sz w:val="21"/>
              </w:rPr>
              <w:t>20</w:t>
            </w:r>
            <w:r>
              <w:rPr>
                <w:spacing w:val="-14"/>
                <w:sz w:val="21"/>
              </w:rPr>
              <w:t>％或 </w:t>
            </w:r>
            <w:r>
              <w:rPr>
                <w:sz w:val="21"/>
              </w:rPr>
              <w:t>20% </w:t>
            </w:r>
            <w:r>
              <w:rPr>
                <w:spacing w:val="-3"/>
                <w:sz w:val="21"/>
              </w:rPr>
              <w:t>以上。体表面积根据《中国新九分法》计算。</w:t>
            </w:r>
          </w:p>
        </w:tc>
      </w:tr>
      <w:tr>
        <w:trPr>
          <w:trHeight w:val="1241" w:hRule="atLeast"/>
        </w:trPr>
        <w:tc>
          <w:tcPr>
            <w:tcW w:w="2225" w:type="dxa"/>
          </w:tcPr>
          <w:p>
            <w:pPr>
              <w:pStyle w:val="TableParagraph"/>
              <w:spacing w:line="273" w:lineRule="auto" w:before="80"/>
              <w:ind w:left="200" w:right="105"/>
              <w:rPr>
                <w:sz w:val="21"/>
              </w:rPr>
            </w:pPr>
            <w:r>
              <w:rPr>
                <w:sz w:val="21"/>
              </w:rPr>
              <w:t>（二十一）严重原发性肺动脉高压</w:t>
            </w:r>
          </w:p>
        </w:tc>
        <w:tc>
          <w:tcPr>
            <w:tcW w:w="7007" w:type="dxa"/>
          </w:tcPr>
          <w:p>
            <w:pPr>
              <w:pStyle w:val="TableParagraph"/>
              <w:spacing w:line="273" w:lineRule="auto" w:before="80"/>
              <w:ind w:right="381"/>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091" w:hRule="atLeast"/>
        </w:trPr>
        <w:tc>
          <w:tcPr>
            <w:tcW w:w="2225" w:type="dxa"/>
          </w:tcPr>
          <w:p>
            <w:pPr>
              <w:pStyle w:val="TableParagraph"/>
              <w:spacing w:before="1"/>
              <w:ind w:left="0"/>
              <w:rPr>
                <w:sz w:val="14"/>
              </w:rPr>
            </w:pPr>
          </w:p>
          <w:p>
            <w:pPr>
              <w:pStyle w:val="TableParagraph"/>
              <w:spacing w:line="273" w:lineRule="auto" w:before="1"/>
              <w:ind w:left="200" w:right="105"/>
              <w:rPr>
                <w:sz w:val="21"/>
              </w:rPr>
            </w:pPr>
            <w:r>
              <w:rPr>
                <w:sz w:val="21"/>
              </w:rPr>
              <w:t>（二十二）严重运动神经元病</w:t>
            </w:r>
          </w:p>
        </w:tc>
        <w:tc>
          <w:tcPr>
            <w:tcW w:w="7007" w:type="dxa"/>
          </w:tcPr>
          <w:p>
            <w:pPr>
              <w:pStyle w:val="TableParagraph"/>
              <w:spacing w:before="1"/>
              <w:ind w:left="0"/>
              <w:rPr>
                <w:sz w:val="14"/>
              </w:rPr>
            </w:pPr>
          </w:p>
          <w:p>
            <w:pPr>
              <w:pStyle w:val="TableParagraph"/>
              <w:spacing w:before="1"/>
              <w:rPr>
                <w:sz w:val="21"/>
              </w:rPr>
            </w:pPr>
            <w:r>
              <w:rPr>
                <w:sz w:val="21"/>
              </w:rPr>
              <w:t>是一组中枢神经系统运动神经元的进行性变性疾病，包括进行性脊肌萎</w:t>
            </w:r>
          </w:p>
          <w:p>
            <w:pPr>
              <w:pStyle w:val="TableParagraph"/>
              <w:spacing w:line="310" w:lineRule="atLeast" w:before="2"/>
              <w:ind w:right="381"/>
              <w:rPr>
                <w:sz w:val="21"/>
              </w:rPr>
            </w:pPr>
            <w:r>
              <w:rPr>
                <w:sz w:val="21"/>
              </w:rPr>
              <w:t>缩症、进行性延髓麻痹症、原发性侧索硬化症、肌萎缩性侧索硬化症。须满足自主生活能力完全丧失，无法独立完成六项基本日常生活活动中</w:t>
            </w:r>
          </w:p>
        </w:tc>
      </w:tr>
    </w:tbl>
    <w:p>
      <w:pPr>
        <w:spacing w:after="0" w:line="310" w:lineRule="atLeast"/>
        <w:rPr>
          <w:sz w:val="21"/>
        </w:rPr>
        <w:sectPr>
          <w:pgSz w:w="11910" w:h="16840"/>
          <w:pgMar w:header="0" w:footer="924" w:top="14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6901"/>
      </w:tblGrid>
      <w:tr>
        <w:trPr>
          <w:trHeight w:val="541" w:hRule="atLeast"/>
        </w:trPr>
        <w:tc>
          <w:tcPr>
            <w:tcW w:w="2225" w:type="dxa"/>
          </w:tcPr>
          <w:p>
            <w:pPr>
              <w:pStyle w:val="TableParagraph"/>
              <w:ind w:left="0"/>
              <w:rPr>
                <w:rFonts w:ascii="Times New Roman"/>
                <w:sz w:val="20"/>
              </w:rPr>
            </w:pPr>
          </w:p>
        </w:tc>
        <w:tc>
          <w:tcPr>
            <w:tcW w:w="6901" w:type="dxa"/>
          </w:tcPr>
          <w:p>
            <w:pPr>
              <w:pStyle w:val="TableParagraph"/>
              <w:spacing w:line="204" w:lineRule="exact"/>
              <w:rPr>
                <w:sz w:val="21"/>
              </w:rPr>
            </w:pPr>
            <w:r>
              <w:rPr>
                <w:sz w:val="21"/>
              </w:rPr>
              <w:t>的三项或三项以上的条件。</w:t>
            </w:r>
          </w:p>
        </w:tc>
      </w:tr>
      <w:tr>
        <w:trPr>
          <w:trHeight w:val="901" w:hRule="atLeast"/>
        </w:trPr>
        <w:tc>
          <w:tcPr>
            <w:tcW w:w="2225" w:type="dxa"/>
          </w:tcPr>
          <w:p>
            <w:pPr>
              <w:pStyle w:val="TableParagraph"/>
              <w:spacing w:before="10"/>
              <w:ind w:left="0"/>
              <w:rPr>
                <w:sz w:val="19"/>
              </w:rPr>
            </w:pPr>
          </w:p>
          <w:p>
            <w:pPr>
              <w:pStyle w:val="TableParagraph"/>
              <w:spacing w:line="271" w:lineRule="auto" w:before="1"/>
              <w:ind w:left="200" w:right="105"/>
              <w:rPr>
                <w:sz w:val="21"/>
              </w:rPr>
            </w:pPr>
            <w:r>
              <w:rPr>
                <w:sz w:val="21"/>
              </w:rPr>
              <w:t>（二十三）语言能力丧失</w:t>
            </w:r>
          </w:p>
        </w:tc>
        <w:tc>
          <w:tcPr>
            <w:tcW w:w="6901" w:type="dxa"/>
          </w:tcPr>
          <w:p>
            <w:pPr>
              <w:pStyle w:val="TableParagraph"/>
              <w:spacing w:before="10"/>
              <w:ind w:left="0"/>
              <w:rPr>
                <w:sz w:val="19"/>
              </w:rPr>
            </w:pPr>
          </w:p>
          <w:p>
            <w:pPr>
              <w:pStyle w:val="TableParagraph"/>
              <w:spacing w:before="1"/>
              <w:rPr>
                <w:sz w:val="21"/>
              </w:rPr>
            </w:pPr>
            <w:r>
              <w:rPr>
                <w:sz w:val="21"/>
              </w:rPr>
              <w:t>指因疾病或意外伤害导致完全丧失语言能力，经过积极治疗至少 12 个月</w:t>
            </w:r>
          </w:p>
          <w:p>
            <w:pPr>
              <w:pStyle w:val="TableParagraph"/>
              <w:spacing w:before="35"/>
              <w:rPr>
                <w:sz w:val="21"/>
              </w:rPr>
            </w:pPr>
            <w:r>
              <w:rPr>
                <w:sz w:val="21"/>
              </w:rPr>
              <w:t>（声带完全切除不受此时间限制），仍无法通过现有医疗手段恢复。</w:t>
            </w:r>
          </w:p>
        </w:tc>
      </w:tr>
      <w:tr>
        <w:trPr>
          <w:trHeight w:val="312" w:hRule="atLeast"/>
        </w:trPr>
        <w:tc>
          <w:tcPr>
            <w:tcW w:w="2225" w:type="dxa"/>
          </w:tcPr>
          <w:p>
            <w:pPr>
              <w:pStyle w:val="TableParagraph"/>
              <w:ind w:left="0"/>
              <w:rPr>
                <w:rFonts w:ascii="Times New Roman"/>
                <w:sz w:val="20"/>
              </w:rPr>
            </w:pPr>
          </w:p>
        </w:tc>
        <w:tc>
          <w:tcPr>
            <w:tcW w:w="6901" w:type="dxa"/>
          </w:tcPr>
          <w:p>
            <w:pPr>
              <w:pStyle w:val="TableParagraph"/>
              <w:spacing w:line="255" w:lineRule="exact"/>
              <w:rPr>
                <w:b/>
                <w:sz w:val="21"/>
              </w:rPr>
            </w:pPr>
            <w:r>
              <w:rPr>
                <w:b/>
                <w:sz w:val="21"/>
              </w:rPr>
              <w:t>精神心理因素所致的语言能力丧失不在保障范围内。</w:t>
            </w:r>
          </w:p>
        </w:tc>
      </w:tr>
      <w:tr>
        <w:trPr>
          <w:trHeight w:val="780" w:hRule="atLeast"/>
        </w:trPr>
        <w:tc>
          <w:tcPr>
            <w:tcW w:w="2225" w:type="dxa"/>
          </w:tcPr>
          <w:p>
            <w:pPr>
              <w:pStyle w:val="TableParagraph"/>
              <w:ind w:left="0"/>
              <w:rPr>
                <w:rFonts w:ascii="Times New Roman"/>
                <w:sz w:val="20"/>
              </w:rPr>
            </w:pPr>
          </w:p>
        </w:tc>
        <w:tc>
          <w:tcPr>
            <w:tcW w:w="6901" w:type="dxa"/>
          </w:tcPr>
          <w:p>
            <w:pPr>
              <w:pStyle w:val="TableParagraph"/>
              <w:spacing w:line="255" w:lineRule="exact"/>
              <w:rPr>
                <w:b/>
                <w:sz w:val="21"/>
              </w:rPr>
            </w:pPr>
            <w:r>
              <w:rPr>
                <w:b/>
                <w:sz w:val="21"/>
              </w:rPr>
              <w:t>被保险人在 3 周岁之前因疾病导致语言能力丧失，本公司不承担保险责</w:t>
            </w:r>
          </w:p>
          <w:p>
            <w:pPr>
              <w:pStyle w:val="TableParagraph"/>
              <w:spacing w:before="37"/>
              <w:rPr>
                <w:b/>
                <w:sz w:val="21"/>
              </w:rPr>
            </w:pPr>
            <w:r>
              <w:rPr>
                <w:b/>
                <w:sz w:val="21"/>
              </w:rPr>
              <w:t>任。</w:t>
            </w:r>
          </w:p>
        </w:tc>
      </w:tr>
      <w:tr>
        <w:trPr>
          <w:trHeight w:val="811" w:hRule="atLeast"/>
        </w:trPr>
        <w:tc>
          <w:tcPr>
            <w:tcW w:w="2225" w:type="dxa"/>
          </w:tcPr>
          <w:p>
            <w:pPr>
              <w:pStyle w:val="TableParagraph"/>
              <w:spacing w:line="273" w:lineRule="auto" w:before="136"/>
              <w:ind w:left="200" w:right="105"/>
              <w:rPr>
                <w:sz w:val="21"/>
              </w:rPr>
            </w:pPr>
            <w:r>
              <w:rPr>
                <w:sz w:val="21"/>
              </w:rPr>
              <w:t>（二十四）重型再生障碍性贫血</w:t>
            </w:r>
          </w:p>
        </w:tc>
        <w:tc>
          <w:tcPr>
            <w:tcW w:w="6901" w:type="dxa"/>
          </w:tcPr>
          <w:p>
            <w:pPr>
              <w:pStyle w:val="TableParagraph"/>
              <w:spacing w:line="273" w:lineRule="auto" w:before="136"/>
              <w:ind w:right="275"/>
              <w:rPr>
                <w:sz w:val="21"/>
              </w:rPr>
            </w:pPr>
            <w:r>
              <w:rPr>
                <w:sz w:val="21"/>
              </w:rPr>
              <w:t>指因骨髓造血功能慢性持续性衰竭导致的贫血、中性粒细胞减少及血小板减少。须满足下列全部条件：</w:t>
            </w:r>
          </w:p>
        </w:tc>
      </w:tr>
      <w:tr>
        <w:trPr>
          <w:trHeight w:val="343" w:hRule="atLeast"/>
        </w:trPr>
        <w:tc>
          <w:tcPr>
            <w:tcW w:w="2225" w:type="dxa"/>
          </w:tcPr>
          <w:p>
            <w:pPr>
              <w:pStyle w:val="TableParagraph"/>
              <w:ind w:left="0"/>
              <w:rPr>
                <w:rFonts w:ascii="Times New Roman"/>
                <w:sz w:val="20"/>
              </w:rPr>
            </w:pPr>
          </w:p>
        </w:tc>
        <w:tc>
          <w:tcPr>
            <w:tcW w:w="6901" w:type="dxa"/>
          </w:tcPr>
          <w:p>
            <w:pPr>
              <w:pStyle w:val="TableParagraph"/>
              <w:spacing w:before="11"/>
              <w:rPr>
                <w:sz w:val="21"/>
              </w:rPr>
            </w:pPr>
            <w:r>
              <w:rPr>
                <w:sz w:val="21"/>
              </w:rPr>
              <w:t>（1）骨髓穿刺检查或骨髓活检结果支持诊断；</w:t>
            </w:r>
          </w:p>
        </w:tc>
      </w:tr>
      <w:tr>
        <w:trPr>
          <w:trHeight w:val="312" w:hRule="atLeast"/>
        </w:trPr>
        <w:tc>
          <w:tcPr>
            <w:tcW w:w="2225" w:type="dxa"/>
          </w:tcPr>
          <w:p>
            <w:pPr>
              <w:pStyle w:val="TableParagraph"/>
              <w:ind w:left="0"/>
              <w:rPr>
                <w:rFonts w:ascii="Times New Roman"/>
                <w:sz w:val="20"/>
              </w:rPr>
            </w:pPr>
          </w:p>
        </w:tc>
        <w:tc>
          <w:tcPr>
            <w:tcW w:w="6901" w:type="dxa"/>
          </w:tcPr>
          <w:p>
            <w:pPr>
              <w:pStyle w:val="TableParagraph"/>
              <w:spacing w:line="255" w:lineRule="exact"/>
              <w:rPr>
                <w:sz w:val="21"/>
              </w:rPr>
            </w:pPr>
            <w:r>
              <w:rPr>
                <w:sz w:val="21"/>
              </w:rPr>
              <w:t>（2）外周血象须具备以下三项条件：</w:t>
            </w:r>
          </w:p>
        </w:tc>
      </w:tr>
      <w:tr>
        <w:trPr>
          <w:trHeight w:val="312" w:hRule="atLeast"/>
        </w:trPr>
        <w:tc>
          <w:tcPr>
            <w:tcW w:w="2225" w:type="dxa"/>
          </w:tcPr>
          <w:p>
            <w:pPr>
              <w:pStyle w:val="TableParagraph"/>
              <w:ind w:left="0"/>
              <w:rPr>
                <w:rFonts w:ascii="Times New Roman"/>
                <w:sz w:val="20"/>
              </w:rPr>
            </w:pPr>
          </w:p>
        </w:tc>
        <w:tc>
          <w:tcPr>
            <w:tcW w:w="6901" w:type="dxa"/>
          </w:tcPr>
          <w:p>
            <w:pPr>
              <w:pStyle w:val="TableParagraph"/>
              <w:spacing w:line="292" w:lineRule="exact"/>
              <w:rPr>
                <w:sz w:val="21"/>
              </w:rPr>
            </w:pPr>
            <w:r>
              <w:rPr>
                <w:w w:val="100"/>
                <w:sz w:val="21"/>
              </w:rPr>
              <w:t>①</w:t>
            </w:r>
            <w:r>
              <w:rPr>
                <w:sz w:val="21"/>
              </w:rPr>
              <w:t> </w:t>
            </w:r>
            <w:r>
              <w:rPr>
                <w:spacing w:val="-3"/>
                <w:w w:val="100"/>
                <w:sz w:val="21"/>
              </w:rPr>
              <w:t>中性粒细胞绝对值≤0.</w:t>
            </w:r>
            <w:r>
              <w:rPr>
                <w:w w:val="100"/>
                <w:sz w:val="21"/>
              </w:rPr>
              <w:t>5</w:t>
            </w:r>
            <w:r>
              <w:rPr>
                <w:spacing w:val="-66"/>
                <w:w w:val="100"/>
                <w:sz w:val="21"/>
              </w:rPr>
              <w:t>×</w:t>
            </w:r>
            <w:r>
              <w:rPr>
                <w:rFonts w:ascii="Times New Roman" w:hAnsi="Times New Roman" w:eastAsia="Times New Roman"/>
                <w:w w:val="104"/>
                <w:position w:val="-2"/>
                <w:sz w:val="23"/>
              </w:rPr>
              <w:t>1</w:t>
            </w:r>
            <w:r>
              <w:rPr>
                <w:rFonts w:ascii="Times New Roman" w:hAnsi="Times New Roman" w:eastAsia="Times New Roman"/>
                <w:spacing w:val="0"/>
                <w:w w:val="104"/>
                <w:position w:val="-2"/>
                <w:sz w:val="23"/>
              </w:rPr>
              <w:t>0</w:t>
            </w:r>
            <w:r>
              <w:rPr>
                <w:rFonts w:ascii="Times New Roman" w:hAnsi="Times New Roman" w:eastAsia="Times New Roman"/>
                <w:spacing w:val="1"/>
                <w:w w:val="106"/>
                <w:position w:val="7"/>
                <w:sz w:val="13"/>
              </w:rPr>
              <w:t>9</w:t>
            </w:r>
            <w:r>
              <w:rPr>
                <w:w w:val="100"/>
                <w:sz w:val="21"/>
              </w:rPr>
              <w:t>/L；</w:t>
            </w:r>
          </w:p>
        </w:tc>
      </w:tr>
      <w:tr>
        <w:trPr>
          <w:trHeight w:val="311" w:hRule="atLeast"/>
        </w:trPr>
        <w:tc>
          <w:tcPr>
            <w:tcW w:w="2225" w:type="dxa"/>
          </w:tcPr>
          <w:p>
            <w:pPr>
              <w:pStyle w:val="TableParagraph"/>
              <w:ind w:left="0"/>
              <w:rPr>
                <w:rFonts w:ascii="Times New Roman"/>
                <w:sz w:val="20"/>
              </w:rPr>
            </w:pPr>
          </w:p>
        </w:tc>
        <w:tc>
          <w:tcPr>
            <w:tcW w:w="6901" w:type="dxa"/>
          </w:tcPr>
          <w:p>
            <w:pPr>
              <w:pStyle w:val="TableParagraph"/>
              <w:spacing w:line="255" w:lineRule="exact"/>
              <w:rPr>
                <w:sz w:val="21"/>
              </w:rPr>
            </w:pPr>
            <w:r>
              <w:rPr>
                <w:sz w:val="21"/>
              </w:rPr>
              <w:t>② 网织红细胞＜1%；</w:t>
            </w:r>
          </w:p>
        </w:tc>
      </w:tr>
      <w:tr>
        <w:trPr>
          <w:trHeight w:val="468" w:hRule="atLeast"/>
        </w:trPr>
        <w:tc>
          <w:tcPr>
            <w:tcW w:w="2225" w:type="dxa"/>
          </w:tcPr>
          <w:p>
            <w:pPr>
              <w:pStyle w:val="TableParagraph"/>
              <w:ind w:left="0"/>
              <w:rPr>
                <w:rFonts w:ascii="Times New Roman"/>
                <w:sz w:val="20"/>
              </w:rPr>
            </w:pPr>
          </w:p>
        </w:tc>
        <w:tc>
          <w:tcPr>
            <w:tcW w:w="6901" w:type="dxa"/>
          </w:tcPr>
          <w:p>
            <w:pPr>
              <w:pStyle w:val="TableParagraph"/>
              <w:spacing w:line="305" w:lineRule="exact"/>
              <w:rPr>
                <w:sz w:val="21"/>
              </w:rPr>
            </w:pPr>
            <w:r>
              <w:rPr>
                <w:sz w:val="21"/>
              </w:rPr>
              <w:t>③ 血小板绝对值≤20×</w:t>
            </w:r>
            <w:r>
              <w:rPr>
                <w:rFonts w:ascii="Times New Roman" w:hAnsi="Times New Roman" w:eastAsia="Times New Roman"/>
                <w:position w:val="-2"/>
                <w:sz w:val="23"/>
              </w:rPr>
              <w:t>10</w:t>
            </w:r>
            <w:r>
              <w:rPr>
                <w:rFonts w:ascii="Times New Roman" w:hAnsi="Times New Roman" w:eastAsia="Times New Roman"/>
                <w:position w:val="7"/>
                <w:sz w:val="13"/>
              </w:rPr>
              <w:t>9</w:t>
            </w:r>
            <w:r>
              <w:rPr>
                <w:sz w:val="21"/>
              </w:rPr>
              <w:t>/L。</w:t>
            </w:r>
          </w:p>
        </w:tc>
      </w:tr>
      <w:tr>
        <w:trPr>
          <w:trHeight w:val="1091" w:hRule="atLeast"/>
        </w:trPr>
        <w:tc>
          <w:tcPr>
            <w:tcW w:w="2225" w:type="dxa"/>
          </w:tcPr>
          <w:p>
            <w:pPr>
              <w:pStyle w:val="TableParagraph"/>
              <w:spacing w:line="273" w:lineRule="auto" w:before="136"/>
              <w:ind w:left="200" w:right="105"/>
              <w:rPr>
                <w:sz w:val="21"/>
              </w:rPr>
            </w:pPr>
            <w:r>
              <w:rPr>
                <w:sz w:val="21"/>
              </w:rPr>
              <w:t>（二十五）主动脉手术</w:t>
            </w:r>
          </w:p>
        </w:tc>
        <w:tc>
          <w:tcPr>
            <w:tcW w:w="6901" w:type="dxa"/>
          </w:tcPr>
          <w:p>
            <w:pPr>
              <w:pStyle w:val="TableParagraph"/>
              <w:spacing w:line="273" w:lineRule="auto" w:before="136"/>
              <w:ind w:right="275"/>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tc>
      </w:tr>
      <w:tr>
        <w:trPr>
          <w:trHeight w:val="468" w:hRule="atLeast"/>
        </w:trPr>
        <w:tc>
          <w:tcPr>
            <w:tcW w:w="2225" w:type="dxa"/>
          </w:tcPr>
          <w:p>
            <w:pPr>
              <w:pStyle w:val="TableParagraph"/>
              <w:ind w:left="0"/>
              <w:rPr>
                <w:rFonts w:ascii="Times New Roman"/>
                <w:sz w:val="20"/>
              </w:rPr>
            </w:pPr>
          </w:p>
        </w:tc>
        <w:tc>
          <w:tcPr>
            <w:tcW w:w="6901" w:type="dxa"/>
          </w:tcPr>
          <w:p>
            <w:pPr>
              <w:pStyle w:val="TableParagraph"/>
              <w:spacing w:line="255" w:lineRule="exact"/>
              <w:rPr>
                <w:b/>
                <w:sz w:val="21"/>
              </w:rPr>
            </w:pPr>
            <w:r>
              <w:rPr>
                <w:b/>
                <w:sz w:val="21"/>
              </w:rPr>
              <w:t>动脉内血管成形术不在保障范围内。</w:t>
            </w:r>
          </w:p>
        </w:tc>
      </w:tr>
      <w:tr>
        <w:trPr>
          <w:trHeight w:val="1328" w:hRule="atLeast"/>
        </w:trPr>
        <w:tc>
          <w:tcPr>
            <w:tcW w:w="2225" w:type="dxa"/>
          </w:tcPr>
          <w:p>
            <w:pPr>
              <w:pStyle w:val="TableParagraph"/>
              <w:spacing w:line="273" w:lineRule="auto" w:before="136"/>
              <w:ind w:left="200" w:right="105"/>
              <w:rPr>
                <w:sz w:val="21"/>
              </w:rPr>
            </w:pPr>
            <w:r>
              <w:rPr>
                <w:sz w:val="21"/>
              </w:rPr>
              <w:t>（二十六）多发性硬化症</w:t>
            </w:r>
          </w:p>
        </w:tc>
        <w:tc>
          <w:tcPr>
            <w:tcW w:w="6901" w:type="dxa"/>
          </w:tcPr>
          <w:p>
            <w:pPr>
              <w:pStyle w:val="TableParagraph"/>
              <w:spacing w:line="273" w:lineRule="auto" w:before="136"/>
              <w:ind w:right="275"/>
              <w:jc w:val="both"/>
              <w:rPr>
                <w:sz w:val="21"/>
              </w:rPr>
            </w:pPr>
            <w:r>
              <w:rPr>
                <w:sz w:val="21"/>
              </w:rPr>
              <w:t>指因中枢神经系统脱髓鞘所致的不可逆的神经系统功能障碍，已经造成自主生活能力完全丧失，无法独立完成六项基本日常生活活动中的三项或三项以上，且持续至少 180 天。</w:t>
            </w:r>
          </w:p>
        </w:tc>
      </w:tr>
      <w:tr>
        <w:trPr>
          <w:trHeight w:val="548" w:hRule="atLeast"/>
        </w:trPr>
        <w:tc>
          <w:tcPr>
            <w:tcW w:w="2225" w:type="dxa"/>
            <w:vMerge w:val="restart"/>
          </w:tcPr>
          <w:p>
            <w:pPr>
              <w:pStyle w:val="TableParagraph"/>
              <w:spacing w:before="6"/>
              <w:ind w:left="0"/>
              <w:rPr>
                <w:sz w:val="16"/>
              </w:rPr>
            </w:pPr>
          </w:p>
          <w:p>
            <w:pPr>
              <w:pStyle w:val="TableParagraph"/>
              <w:spacing w:line="273" w:lineRule="auto" w:before="1"/>
              <w:ind w:left="200" w:right="105"/>
              <w:jc w:val="both"/>
              <w:rPr>
                <w:sz w:val="21"/>
              </w:rPr>
            </w:pPr>
            <w:r>
              <w:rPr>
                <w:sz w:val="21"/>
              </w:rPr>
              <w:t>（二十七）经输血导致的感染艾滋病病毒或患艾滋病</w:t>
            </w:r>
          </w:p>
        </w:tc>
        <w:tc>
          <w:tcPr>
            <w:tcW w:w="6901" w:type="dxa"/>
          </w:tcPr>
          <w:p>
            <w:pPr>
              <w:pStyle w:val="TableParagraph"/>
              <w:spacing w:before="6"/>
              <w:ind w:left="0"/>
              <w:rPr>
                <w:sz w:val="16"/>
              </w:rPr>
            </w:pPr>
          </w:p>
          <w:p>
            <w:pPr>
              <w:pStyle w:val="TableParagraph"/>
              <w:spacing w:before="1"/>
              <w:rPr>
                <w:sz w:val="21"/>
              </w:rPr>
            </w:pPr>
            <w:r>
              <w:rPr>
                <w:sz w:val="21"/>
              </w:rPr>
              <w:t>是指被保险人感染艾滋病病毒或者患艾滋病并且符合下列所有条件：</w:t>
            </w:r>
          </w:p>
        </w:tc>
      </w:tr>
      <w:tr>
        <w:trPr>
          <w:trHeight w:val="623" w:hRule="atLeast"/>
        </w:trPr>
        <w:tc>
          <w:tcPr>
            <w:tcW w:w="2225" w:type="dxa"/>
            <w:vMerge/>
            <w:tcBorders>
              <w:top w:val="nil"/>
            </w:tcBorders>
          </w:tcPr>
          <w:p>
            <w:pPr>
              <w:rPr>
                <w:sz w:val="2"/>
                <w:szCs w:val="2"/>
              </w:rPr>
            </w:pPr>
          </w:p>
        </w:tc>
        <w:tc>
          <w:tcPr>
            <w:tcW w:w="6901" w:type="dxa"/>
          </w:tcPr>
          <w:p>
            <w:pPr>
              <w:pStyle w:val="TableParagraph"/>
              <w:spacing w:line="255" w:lineRule="exact"/>
              <w:rPr>
                <w:sz w:val="21"/>
              </w:rPr>
            </w:pPr>
            <w:r>
              <w:rPr>
                <w:sz w:val="21"/>
              </w:rPr>
              <w:t>（1）在保障起始日之后，被保险人因治疗必需而接受输血，并且因输血</w:t>
            </w:r>
          </w:p>
          <w:p>
            <w:pPr>
              <w:pStyle w:val="TableParagraph"/>
              <w:spacing w:before="37"/>
              <w:rPr>
                <w:sz w:val="21"/>
              </w:rPr>
            </w:pPr>
            <w:r>
              <w:rPr>
                <w:sz w:val="21"/>
              </w:rPr>
              <w:t>而感染艾滋病病毒；</w:t>
            </w:r>
          </w:p>
        </w:tc>
      </w:tr>
      <w:tr>
        <w:trPr>
          <w:trHeight w:val="624" w:hRule="atLeast"/>
        </w:trPr>
        <w:tc>
          <w:tcPr>
            <w:tcW w:w="2225" w:type="dxa"/>
          </w:tcPr>
          <w:p>
            <w:pPr>
              <w:pStyle w:val="TableParagraph"/>
              <w:ind w:left="0"/>
              <w:rPr>
                <w:rFonts w:ascii="Times New Roman"/>
                <w:sz w:val="20"/>
              </w:rPr>
            </w:pPr>
          </w:p>
        </w:tc>
        <w:tc>
          <w:tcPr>
            <w:tcW w:w="6901" w:type="dxa"/>
          </w:tcPr>
          <w:p>
            <w:pPr>
              <w:pStyle w:val="TableParagraph"/>
              <w:spacing w:line="255" w:lineRule="exact"/>
              <w:rPr>
                <w:sz w:val="21"/>
              </w:rPr>
            </w:pPr>
            <w:r>
              <w:rPr>
                <w:sz w:val="21"/>
              </w:rPr>
              <w:t>（2）提供输血治疗的输血中心或医院出具该项输血感染属医疗责任事故</w:t>
            </w:r>
          </w:p>
          <w:p>
            <w:pPr>
              <w:pStyle w:val="TableParagraph"/>
              <w:spacing w:before="37"/>
              <w:rPr>
                <w:sz w:val="21"/>
              </w:rPr>
            </w:pPr>
            <w:r>
              <w:rPr>
                <w:sz w:val="21"/>
              </w:rPr>
              <w:t>的报告，或者法院终审裁定为医疗责任并且已经发生法律效力的；</w:t>
            </w:r>
          </w:p>
        </w:tc>
      </w:tr>
      <w:tr>
        <w:trPr>
          <w:trHeight w:val="312" w:hRule="atLeast"/>
        </w:trPr>
        <w:tc>
          <w:tcPr>
            <w:tcW w:w="2225" w:type="dxa"/>
          </w:tcPr>
          <w:p>
            <w:pPr>
              <w:pStyle w:val="TableParagraph"/>
              <w:ind w:left="0"/>
              <w:rPr>
                <w:rFonts w:ascii="Times New Roman"/>
                <w:sz w:val="20"/>
              </w:rPr>
            </w:pPr>
          </w:p>
        </w:tc>
        <w:tc>
          <w:tcPr>
            <w:tcW w:w="6901" w:type="dxa"/>
          </w:tcPr>
          <w:p>
            <w:pPr>
              <w:pStyle w:val="TableParagraph"/>
              <w:spacing w:line="255" w:lineRule="exact"/>
              <w:rPr>
                <w:sz w:val="21"/>
              </w:rPr>
            </w:pPr>
            <w:r>
              <w:rPr>
                <w:sz w:val="21"/>
              </w:rPr>
              <w:t>（3）提供输血治疗的输血中心或医院必须拥有合法经营执照；</w:t>
            </w:r>
          </w:p>
        </w:tc>
      </w:tr>
      <w:tr>
        <w:trPr>
          <w:trHeight w:val="311" w:hRule="atLeast"/>
        </w:trPr>
        <w:tc>
          <w:tcPr>
            <w:tcW w:w="2225" w:type="dxa"/>
          </w:tcPr>
          <w:p>
            <w:pPr>
              <w:pStyle w:val="TableParagraph"/>
              <w:ind w:left="0"/>
              <w:rPr>
                <w:rFonts w:ascii="Times New Roman"/>
                <w:sz w:val="20"/>
              </w:rPr>
            </w:pPr>
          </w:p>
        </w:tc>
        <w:tc>
          <w:tcPr>
            <w:tcW w:w="6901" w:type="dxa"/>
          </w:tcPr>
          <w:p>
            <w:pPr>
              <w:pStyle w:val="TableParagraph"/>
              <w:spacing w:line="255" w:lineRule="exact"/>
              <w:rPr>
                <w:sz w:val="21"/>
              </w:rPr>
            </w:pPr>
            <w:r>
              <w:rPr>
                <w:sz w:val="21"/>
              </w:rPr>
              <w:t>（4）受感染的被保险人不是血友病患者。</w:t>
            </w:r>
          </w:p>
        </w:tc>
      </w:tr>
      <w:tr>
        <w:trPr>
          <w:trHeight w:val="633" w:hRule="atLeast"/>
        </w:trPr>
        <w:tc>
          <w:tcPr>
            <w:tcW w:w="2225" w:type="dxa"/>
          </w:tcPr>
          <w:p>
            <w:pPr>
              <w:pStyle w:val="TableParagraph"/>
              <w:ind w:left="0"/>
              <w:rPr>
                <w:rFonts w:ascii="Times New Roman"/>
                <w:sz w:val="20"/>
              </w:rPr>
            </w:pPr>
          </w:p>
        </w:tc>
        <w:tc>
          <w:tcPr>
            <w:tcW w:w="6901" w:type="dxa"/>
          </w:tcPr>
          <w:p>
            <w:pPr>
              <w:pStyle w:val="TableParagraph"/>
              <w:spacing w:line="255" w:lineRule="exact"/>
              <w:rPr>
                <w:b/>
                <w:sz w:val="21"/>
              </w:rPr>
            </w:pPr>
            <w:r>
              <w:rPr>
                <w:b/>
                <w:sz w:val="21"/>
              </w:rPr>
              <w:t>任何因其他传播方式（包括：性传播或静脉注射毒品）导致的感染艾滋</w:t>
            </w:r>
          </w:p>
          <w:p>
            <w:pPr>
              <w:pStyle w:val="TableParagraph"/>
              <w:spacing w:before="37"/>
              <w:rPr>
                <w:b/>
                <w:sz w:val="21"/>
              </w:rPr>
            </w:pPr>
            <w:r>
              <w:rPr>
                <w:b/>
                <w:sz w:val="21"/>
              </w:rPr>
              <w:t>病病毒或者患艾滋病不在本合同保障范围内。</w:t>
            </w:r>
          </w:p>
        </w:tc>
      </w:tr>
      <w:tr>
        <w:trPr>
          <w:trHeight w:val="789" w:hRule="atLeast"/>
        </w:trPr>
        <w:tc>
          <w:tcPr>
            <w:tcW w:w="2225" w:type="dxa"/>
          </w:tcPr>
          <w:p>
            <w:pPr>
              <w:pStyle w:val="TableParagraph"/>
              <w:ind w:left="0"/>
              <w:rPr>
                <w:rFonts w:ascii="Times New Roman"/>
                <w:sz w:val="20"/>
              </w:rPr>
            </w:pPr>
          </w:p>
        </w:tc>
        <w:tc>
          <w:tcPr>
            <w:tcW w:w="6901" w:type="dxa"/>
          </w:tcPr>
          <w:p>
            <w:pPr>
              <w:pStyle w:val="TableParagraph"/>
              <w:spacing w:line="273" w:lineRule="auto"/>
              <w:ind w:right="275"/>
              <w:rPr>
                <w:sz w:val="21"/>
              </w:rPr>
            </w:pPr>
            <w:r>
              <w:rPr>
                <w:sz w:val="21"/>
              </w:rPr>
              <w:t>本公司拥有获得使用被保险人的血液样本的权利和能够对这些样本进行独立检验的权利。</w:t>
            </w:r>
          </w:p>
        </w:tc>
      </w:tr>
      <w:tr>
        <w:trPr>
          <w:trHeight w:val="1112" w:hRule="atLeast"/>
        </w:trPr>
        <w:tc>
          <w:tcPr>
            <w:tcW w:w="2225" w:type="dxa"/>
          </w:tcPr>
          <w:p>
            <w:pPr>
              <w:pStyle w:val="TableParagraph"/>
              <w:spacing w:line="273" w:lineRule="auto" w:before="136"/>
              <w:ind w:left="200" w:right="105"/>
              <w:rPr>
                <w:sz w:val="21"/>
              </w:rPr>
            </w:pPr>
            <w:r>
              <w:rPr>
                <w:sz w:val="21"/>
              </w:rPr>
              <w:t>（二十八）持续植物人状态</w:t>
            </w:r>
          </w:p>
        </w:tc>
        <w:tc>
          <w:tcPr>
            <w:tcW w:w="6901" w:type="dxa"/>
          </w:tcPr>
          <w:p>
            <w:pPr>
              <w:pStyle w:val="TableParagraph"/>
              <w:spacing w:line="273" w:lineRule="auto" w:before="136"/>
              <w:ind w:right="275"/>
              <w:jc w:val="both"/>
              <w:rPr>
                <w:sz w:val="21"/>
              </w:rPr>
            </w:pPr>
            <w:r>
              <w:rPr>
                <w:sz w:val="21"/>
              </w:rPr>
              <w:t>指因疾病或意外伤害导致被保险人躯体反射和自主反射全部丧失的深昏迷，但呼吸和心跳是正常的，此时完全依赖支持疗法（如流质食物、静脉注射营养液等）维持生命的临床状态。且须满足下列全部条件：</w:t>
            </w:r>
          </w:p>
        </w:tc>
      </w:tr>
      <w:tr>
        <w:trPr>
          <w:trHeight w:val="332" w:hRule="atLeast"/>
        </w:trPr>
        <w:tc>
          <w:tcPr>
            <w:tcW w:w="2225" w:type="dxa"/>
          </w:tcPr>
          <w:p>
            <w:pPr>
              <w:pStyle w:val="TableParagraph"/>
              <w:ind w:left="0"/>
              <w:rPr>
                <w:rFonts w:ascii="Times New Roman"/>
                <w:sz w:val="20"/>
              </w:rPr>
            </w:pPr>
          </w:p>
        </w:tc>
        <w:tc>
          <w:tcPr>
            <w:tcW w:w="6901" w:type="dxa"/>
          </w:tcPr>
          <w:p>
            <w:pPr>
              <w:pStyle w:val="TableParagraph"/>
              <w:rPr>
                <w:sz w:val="21"/>
              </w:rPr>
            </w:pPr>
            <w:r>
              <w:rPr>
                <w:sz w:val="21"/>
              </w:rPr>
              <w:t>（1）诊断为植物人状态后并继续维持治疗 30 天以上；</w:t>
            </w:r>
          </w:p>
        </w:tc>
      </w:tr>
      <w:tr>
        <w:trPr>
          <w:trHeight w:val="312" w:hRule="atLeast"/>
        </w:trPr>
        <w:tc>
          <w:tcPr>
            <w:tcW w:w="2225" w:type="dxa"/>
          </w:tcPr>
          <w:p>
            <w:pPr>
              <w:pStyle w:val="TableParagraph"/>
              <w:ind w:left="0"/>
              <w:rPr>
                <w:rFonts w:ascii="Times New Roman"/>
                <w:sz w:val="20"/>
              </w:rPr>
            </w:pPr>
          </w:p>
        </w:tc>
        <w:tc>
          <w:tcPr>
            <w:tcW w:w="6901" w:type="dxa"/>
          </w:tcPr>
          <w:p>
            <w:pPr>
              <w:pStyle w:val="TableParagraph"/>
              <w:spacing w:line="255" w:lineRule="exact"/>
              <w:rPr>
                <w:sz w:val="21"/>
              </w:rPr>
            </w:pPr>
            <w:r>
              <w:rPr>
                <w:sz w:val="21"/>
              </w:rPr>
              <w:t>（2）治疗 30 天前后的脑电图检查呈杂散的波形。</w:t>
            </w:r>
          </w:p>
        </w:tc>
      </w:tr>
      <w:tr>
        <w:trPr>
          <w:trHeight w:val="261" w:hRule="atLeast"/>
        </w:trPr>
        <w:tc>
          <w:tcPr>
            <w:tcW w:w="2225" w:type="dxa"/>
          </w:tcPr>
          <w:p>
            <w:pPr>
              <w:pStyle w:val="TableParagraph"/>
              <w:ind w:left="0"/>
              <w:rPr>
                <w:rFonts w:ascii="Times New Roman"/>
                <w:sz w:val="18"/>
              </w:rPr>
            </w:pPr>
          </w:p>
        </w:tc>
        <w:tc>
          <w:tcPr>
            <w:tcW w:w="6901" w:type="dxa"/>
          </w:tcPr>
          <w:p>
            <w:pPr>
              <w:pStyle w:val="TableParagraph"/>
              <w:spacing w:line="242" w:lineRule="exact"/>
              <w:rPr>
                <w:b/>
                <w:sz w:val="21"/>
              </w:rPr>
            </w:pPr>
            <w:r>
              <w:rPr>
                <w:b/>
                <w:sz w:val="21"/>
              </w:rPr>
              <w:t>由于酗酒或滥用药物所致的植物人状态不在保障范围内。</w:t>
            </w:r>
          </w:p>
        </w:tc>
      </w:tr>
    </w:tbl>
    <w:p>
      <w:pPr>
        <w:spacing w:after="0" w:line="242" w:lineRule="exact"/>
        <w:rPr>
          <w:sz w:val="21"/>
        </w:rPr>
        <w:sectPr>
          <w:pgSz w:w="11910" w:h="16840"/>
          <w:pgMar w:header="0" w:footer="924" w:top="1480" w:bottom="1120" w:left="1600" w:right="960"/>
        </w:sectPr>
      </w:pPr>
    </w:p>
    <w:p>
      <w:pPr>
        <w:pStyle w:val="BodyText"/>
        <w:spacing w:before="9" w:after="1"/>
        <w:ind w:left="0"/>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4"/>
      </w:tblGrid>
      <w:tr>
        <w:trPr>
          <w:trHeight w:val="885" w:hRule="atLeast"/>
        </w:trPr>
        <w:tc>
          <w:tcPr>
            <w:tcW w:w="2225" w:type="dxa"/>
          </w:tcPr>
          <w:p>
            <w:pPr>
              <w:pStyle w:val="TableParagraph"/>
              <w:spacing w:line="211" w:lineRule="exact"/>
              <w:ind w:left="200"/>
              <w:rPr>
                <w:sz w:val="21"/>
              </w:rPr>
            </w:pPr>
            <w:r>
              <w:rPr>
                <w:sz w:val="21"/>
              </w:rPr>
              <w:t>（二十九）严重系统</w:t>
            </w:r>
          </w:p>
          <w:p>
            <w:pPr>
              <w:pStyle w:val="TableParagraph"/>
              <w:spacing w:before="37"/>
              <w:ind w:left="200"/>
              <w:rPr>
                <w:sz w:val="21"/>
              </w:rPr>
            </w:pPr>
            <w:r>
              <w:rPr>
                <w:sz w:val="21"/>
              </w:rPr>
              <w:t>性红斑狼疮性肾炎</w:t>
            </w:r>
          </w:p>
        </w:tc>
        <w:tc>
          <w:tcPr>
            <w:tcW w:w="7004" w:type="dxa"/>
          </w:tcPr>
          <w:p>
            <w:pPr>
              <w:pStyle w:val="TableParagraph"/>
              <w:spacing w:line="211" w:lineRule="exact"/>
              <w:rPr>
                <w:sz w:val="21"/>
              </w:rPr>
            </w:pPr>
            <w:r>
              <w:rPr>
                <w:sz w:val="21"/>
              </w:rPr>
              <w:t>狼疮性肾炎是系统性红斑狼疮的一种并发症。系统性红斑狼疮是由多种</w:t>
            </w:r>
          </w:p>
          <w:p>
            <w:pPr>
              <w:pStyle w:val="TableParagraph"/>
              <w:spacing w:line="273" w:lineRule="auto" w:before="37"/>
              <w:ind w:right="378"/>
              <w:rPr>
                <w:sz w:val="21"/>
              </w:rPr>
            </w:pPr>
            <w:r>
              <w:rPr>
                <w:sz w:val="21"/>
              </w:rPr>
              <w:t>因素引起，累及多系统的自身免疫性疾病。其特点是生成自身抗体对抗多种自身抗原。</w:t>
            </w:r>
          </w:p>
        </w:tc>
      </w:tr>
      <w:tr>
        <w:trPr>
          <w:trHeight w:val="1247"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本保单所指的系统性红斑狼疮仅限于累及肾脏（指经肾脏活检确认的，</w:t>
            </w:r>
          </w:p>
          <w:p>
            <w:pPr>
              <w:pStyle w:val="TableParagraph"/>
              <w:spacing w:line="273" w:lineRule="auto" w:before="37"/>
              <w:ind w:right="198"/>
              <w:rPr>
                <w:sz w:val="21"/>
              </w:rPr>
            </w:pPr>
            <w:r>
              <w:rPr>
                <w:spacing w:val="-15"/>
                <w:sz w:val="21"/>
              </w:rPr>
              <w:t>符合 </w:t>
            </w:r>
            <w:r>
              <w:rPr>
                <w:sz w:val="21"/>
              </w:rPr>
              <w:t>WHO</w:t>
            </w:r>
            <w:r>
              <w:rPr>
                <w:spacing w:val="-8"/>
                <w:sz w:val="21"/>
              </w:rPr>
              <w:t> 诊断标准定义Ⅲ型、Ⅳ型、Ⅴ型和Ⅵ型的狼疮性肾炎</w:t>
            </w:r>
            <w:r>
              <w:rPr>
                <w:sz w:val="21"/>
              </w:rPr>
              <w:t>）</w:t>
            </w:r>
            <w:r>
              <w:rPr>
                <w:spacing w:val="-2"/>
                <w:sz w:val="21"/>
              </w:rPr>
              <w:t>的系统性</w:t>
            </w:r>
            <w:r>
              <w:rPr>
                <w:spacing w:val="-3"/>
                <w:sz w:val="21"/>
              </w:rPr>
              <w:t>红斑狼疮。</w:t>
            </w:r>
            <w:r>
              <w:rPr>
                <w:b/>
                <w:spacing w:val="-3"/>
                <w:sz w:val="21"/>
              </w:rPr>
              <w:t>其他类型的红斑性狼疮，如盘状狼疮、仅累及血液及关节的</w:t>
            </w:r>
            <w:r>
              <w:rPr>
                <w:b/>
                <w:spacing w:val="-2"/>
                <w:sz w:val="21"/>
              </w:rPr>
              <w:t>狼疮不在本保单保障范围内。 </w:t>
            </w:r>
            <w:r>
              <w:rPr>
                <w:spacing w:val="-5"/>
                <w:sz w:val="21"/>
              </w:rPr>
              <w:t>世界卫生组织</w:t>
            </w:r>
            <w:r>
              <w:rPr>
                <w:spacing w:val="-4"/>
                <w:sz w:val="21"/>
              </w:rPr>
              <w:t>（WHO）</w:t>
            </w:r>
            <w:r>
              <w:rPr>
                <w:spacing w:val="-3"/>
                <w:sz w:val="21"/>
              </w:rPr>
              <w:t>狼疮性肾炎分型：</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Ⅰ型 微小病变型</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Ⅱ型 系膜病变型</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Ⅲ型 局灶及节段增生型</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2" w:lineRule="exact"/>
              <w:rPr>
                <w:sz w:val="21"/>
              </w:rPr>
            </w:pPr>
            <w:r>
              <w:rPr>
                <w:sz w:val="21"/>
              </w:rPr>
              <w:t>Ⅳ型 弥漫增生型</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Ⅴ型 膜型</w:t>
            </w:r>
          </w:p>
        </w:tc>
      </w:tr>
      <w:tr>
        <w:trPr>
          <w:trHeight w:val="467"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Ⅵ型 肾小球硬化型</w:t>
            </w:r>
          </w:p>
        </w:tc>
      </w:tr>
      <w:tr>
        <w:trPr>
          <w:trHeight w:val="780" w:hRule="atLeast"/>
        </w:trPr>
        <w:tc>
          <w:tcPr>
            <w:tcW w:w="2225" w:type="dxa"/>
            <w:vMerge w:val="restart"/>
          </w:tcPr>
          <w:p>
            <w:pPr>
              <w:pStyle w:val="TableParagraph"/>
              <w:spacing w:line="273" w:lineRule="auto" w:before="142"/>
              <w:ind w:left="200" w:right="105"/>
              <w:jc w:val="both"/>
              <w:rPr>
                <w:sz w:val="21"/>
              </w:rPr>
            </w:pPr>
            <w:r>
              <w:rPr>
                <w:sz w:val="21"/>
              </w:rPr>
              <w:t>（三十）胰岛素依赖型糖尿病（Ｉ型糖尿病）</w:t>
            </w:r>
          </w:p>
        </w:tc>
        <w:tc>
          <w:tcPr>
            <w:tcW w:w="7004" w:type="dxa"/>
          </w:tcPr>
          <w:p>
            <w:pPr>
              <w:pStyle w:val="TableParagraph"/>
              <w:spacing w:line="273" w:lineRule="auto" w:before="142"/>
              <w:ind w:right="378"/>
              <w:rPr>
                <w:sz w:val="21"/>
              </w:rPr>
            </w:pPr>
            <w:r>
              <w:rPr>
                <w:sz w:val="21"/>
              </w:rPr>
              <w:t>经内分泌专科医生明确诊断为胰岛素依赖型糖尿病（Ｉ型糖尿病），且须同时满足下列条件：</w:t>
            </w:r>
          </w:p>
        </w:tc>
      </w:tr>
      <w:tr>
        <w:trPr>
          <w:trHeight w:val="312" w:hRule="atLeast"/>
        </w:trPr>
        <w:tc>
          <w:tcPr>
            <w:tcW w:w="2225" w:type="dxa"/>
            <w:vMerge/>
            <w:tcBorders>
              <w:top w:val="nil"/>
            </w:tcBorders>
          </w:tcPr>
          <w:p>
            <w:pPr>
              <w:rPr>
                <w:sz w:val="2"/>
                <w:szCs w:val="2"/>
              </w:rPr>
            </w:pPr>
          </w:p>
        </w:tc>
        <w:tc>
          <w:tcPr>
            <w:tcW w:w="7004" w:type="dxa"/>
          </w:tcPr>
          <w:p>
            <w:pPr>
              <w:pStyle w:val="TableParagraph"/>
              <w:spacing w:line="261" w:lineRule="exact"/>
              <w:rPr>
                <w:sz w:val="21"/>
              </w:rPr>
            </w:pPr>
            <w:r>
              <w:rPr>
                <w:sz w:val="21"/>
              </w:rPr>
              <w:t>（1）必须持续性地依赖外源性胰岛素维持生命至少 180 天以上；</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（2）血胰岛素测定、血 C 肽测定或尿 C 肽测定结果异常；</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（3）出现下述三种并发症之一或一种以上：</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① 并发增殖性视网膜病变；</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2" w:lineRule="exact"/>
              <w:rPr>
                <w:sz w:val="21"/>
              </w:rPr>
            </w:pPr>
            <w:r>
              <w:rPr>
                <w:sz w:val="21"/>
              </w:rPr>
              <w:t>② 并发心脏病变，并须植入心脏起搏器进行治疗；</w:t>
            </w:r>
          </w:p>
        </w:tc>
      </w:tr>
      <w:tr>
        <w:trPr>
          <w:trHeight w:val="468"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① 至少一个脚趾发生坏疽并已达到手术切除指征。</w:t>
            </w:r>
          </w:p>
        </w:tc>
      </w:tr>
      <w:tr>
        <w:trPr>
          <w:trHeight w:val="1091" w:hRule="atLeast"/>
        </w:trPr>
        <w:tc>
          <w:tcPr>
            <w:tcW w:w="2225" w:type="dxa"/>
          </w:tcPr>
          <w:p>
            <w:pPr>
              <w:pStyle w:val="TableParagraph"/>
              <w:spacing w:line="273" w:lineRule="auto" w:before="142"/>
              <w:ind w:left="200" w:right="105"/>
              <w:rPr>
                <w:sz w:val="21"/>
              </w:rPr>
            </w:pPr>
            <w:r>
              <w:rPr>
                <w:sz w:val="21"/>
              </w:rPr>
              <w:t>（三十一）原发性心肌病</w:t>
            </w:r>
          </w:p>
        </w:tc>
        <w:tc>
          <w:tcPr>
            <w:tcW w:w="7004" w:type="dxa"/>
          </w:tcPr>
          <w:p>
            <w:pPr>
              <w:pStyle w:val="TableParagraph"/>
              <w:spacing w:line="273" w:lineRule="auto" w:before="142"/>
              <w:ind w:right="279"/>
              <w:rPr>
                <w:sz w:val="21"/>
              </w:rPr>
            </w:pPr>
            <w:r>
              <w:rPr>
                <w:sz w:val="21"/>
              </w:rPr>
              <w:t>指不明原因引起的一类心肌病变，包括原发性扩张型心肌病、原发性肥厚型心肌病及原发性限制型心肌病三种，必须经心电图、超声心动图、X 线检查等证实符合原发性心肌病表现，且同时满足下列条件：</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（1）左室射血分数持续性低于 40％；</w:t>
            </w:r>
          </w:p>
        </w:tc>
      </w:tr>
      <w:tr>
        <w:trPr>
          <w:trHeight w:val="936"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（2）病变已造成事实上心室功能障碍而出现明显的心功能衰竭（美国纽</w:t>
            </w:r>
          </w:p>
          <w:p>
            <w:pPr>
              <w:pStyle w:val="TableParagraph"/>
              <w:spacing w:line="273" w:lineRule="auto" w:before="37"/>
              <w:ind w:right="378"/>
              <w:rPr>
                <w:sz w:val="21"/>
              </w:rPr>
            </w:pPr>
            <w:r>
              <w:rPr>
                <w:sz w:val="21"/>
              </w:rPr>
              <w:t>约心脏协会心功能分类标准心功能达四级），且有相关住院医疗记录显示四级心功能衰竭状态持续至少一百八十天。</w:t>
            </w:r>
          </w:p>
        </w:tc>
      </w:tr>
      <w:tr>
        <w:trPr>
          <w:trHeight w:val="624" w:hRule="atLeast"/>
        </w:trPr>
        <w:tc>
          <w:tcPr>
            <w:tcW w:w="2225" w:type="dxa"/>
          </w:tcPr>
          <w:p>
            <w:pPr>
              <w:pStyle w:val="TableParagraph"/>
              <w:ind w:left="0"/>
              <w:rPr>
                <w:rFonts w:ascii="Times New Roman"/>
                <w:sz w:val="20"/>
              </w:rPr>
            </w:pPr>
          </w:p>
        </w:tc>
        <w:tc>
          <w:tcPr>
            <w:tcW w:w="7004" w:type="dxa"/>
          </w:tcPr>
          <w:p>
            <w:pPr>
              <w:pStyle w:val="TableParagraph"/>
              <w:spacing w:line="261" w:lineRule="exact"/>
              <w:rPr>
                <w:b/>
                <w:sz w:val="21"/>
              </w:rPr>
            </w:pPr>
            <w:r>
              <w:rPr>
                <w:sz w:val="21"/>
              </w:rPr>
              <w:t>本病须经专科医生明确诊断。</w:t>
            </w:r>
            <w:r>
              <w:rPr>
                <w:b/>
                <w:sz w:val="21"/>
              </w:rPr>
              <w:t>继发于全身性疾病或其它器官系统疾病造</w:t>
            </w:r>
          </w:p>
          <w:p>
            <w:pPr>
              <w:pStyle w:val="TableParagraph"/>
              <w:spacing w:before="37"/>
              <w:rPr>
                <w:b/>
                <w:sz w:val="21"/>
              </w:rPr>
            </w:pPr>
            <w:r>
              <w:rPr>
                <w:b/>
                <w:sz w:val="21"/>
              </w:rPr>
              <w:t>成的心肌病变除外。</w:t>
            </w:r>
          </w:p>
        </w:tc>
      </w:tr>
      <w:tr>
        <w:trPr>
          <w:trHeight w:val="780"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美国纽约心脏协会分类标准心功能四级是指有医院的医疗记录显示病人</w:t>
            </w:r>
          </w:p>
          <w:p>
            <w:pPr>
              <w:pStyle w:val="TableParagraph"/>
              <w:spacing w:before="37"/>
              <w:rPr>
                <w:sz w:val="21"/>
              </w:rPr>
            </w:pPr>
            <w:r>
              <w:rPr>
                <w:sz w:val="21"/>
              </w:rPr>
              <w:t>不能进行任何活动，休息时仍有心悸、呼吸困难等心力衰竭表现。</w:t>
            </w:r>
          </w:p>
        </w:tc>
      </w:tr>
      <w:tr>
        <w:trPr>
          <w:trHeight w:val="1404" w:hRule="atLeast"/>
        </w:trPr>
        <w:tc>
          <w:tcPr>
            <w:tcW w:w="2225" w:type="dxa"/>
          </w:tcPr>
          <w:p>
            <w:pPr>
              <w:pStyle w:val="TableParagraph"/>
              <w:spacing w:line="273" w:lineRule="auto" w:before="142"/>
              <w:ind w:left="200" w:right="105"/>
              <w:rPr>
                <w:sz w:val="21"/>
              </w:rPr>
            </w:pPr>
            <w:r>
              <w:rPr>
                <w:sz w:val="21"/>
              </w:rPr>
              <w:t>（三十二）重症肌无力</w:t>
            </w:r>
          </w:p>
        </w:tc>
        <w:tc>
          <w:tcPr>
            <w:tcW w:w="7004" w:type="dxa"/>
          </w:tcPr>
          <w:p>
            <w:pPr>
              <w:pStyle w:val="TableParagraph"/>
              <w:spacing w:line="273" w:lineRule="auto" w:before="142"/>
              <w:ind w:right="378"/>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（1）经药物治疗和胸腺切除治疗一年以上仍无法控制病情；</w:t>
            </w:r>
          </w:p>
        </w:tc>
      </w:tr>
      <w:tr>
        <w:trPr>
          <w:trHeight w:val="574" w:hRule="atLeast"/>
        </w:trPr>
        <w:tc>
          <w:tcPr>
            <w:tcW w:w="2225" w:type="dxa"/>
          </w:tcPr>
          <w:p>
            <w:pPr>
              <w:pStyle w:val="TableParagraph"/>
              <w:ind w:left="0"/>
              <w:rPr>
                <w:rFonts w:ascii="Times New Roman"/>
                <w:sz w:val="20"/>
              </w:rPr>
            </w:pPr>
          </w:p>
        </w:tc>
        <w:tc>
          <w:tcPr>
            <w:tcW w:w="7004" w:type="dxa"/>
          </w:tcPr>
          <w:p>
            <w:pPr>
              <w:pStyle w:val="TableParagraph"/>
              <w:spacing w:line="261" w:lineRule="exact"/>
              <w:rPr>
                <w:sz w:val="21"/>
              </w:rPr>
            </w:pPr>
            <w:r>
              <w:rPr>
                <w:sz w:val="21"/>
              </w:rPr>
              <w:t>（2）自主生活能力完全丧失，无法独立完成六项基本日常生活活动中的</w:t>
            </w:r>
          </w:p>
          <w:p>
            <w:pPr>
              <w:pStyle w:val="TableParagraph"/>
              <w:spacing w:line="255" w:lineRule="exact" w:before="37"/>
              <w:rPr>
                <w:sz w:val="21"/>
              </w:rPr>
            </w:pPr>
            <w:r>
              <w:rPr>
                <w:sz w:val="21"/>
              </w:rPr>
              <w:t>三项或三项以上。</w:t>
            </w:r>
          </w:p>
        </w:tc>
      </w:tr>
    </w:tbl>
    <w:p>
      <w:pPr>
        <w:spacing w:after="0" w:line="255" w:lineRule="exact"/>
        <w:rPr>
          <w:sz w:val="21"/>
        </w:rPr>
        <w:sectPr>
          <w:pgSz w:w="11910" w:h="16840"/>
          <w:pgMar w:header="0" w:footer="924" w:top="15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4"/>
      </w:tblGrid>
      <w:tr>
        <w:trPr>
          <w:trHeight w:val="573" w:hRule="atLeast"/>
        </w:trPr>
        <w:tc>
          <w:tcPr>
            <w:tcW w:w="2225" w:type="dxa"/>
            <w:vMerge w:val="restart"/>
          </w:tcPr>
          <w:p>
            <w:pPr>
              <w:pStyle w:val="TableParagraph"/>
              <w:spacing w:line="204" w:lineRule="exact"/>
              <w:ind w:left="200"/>
              <w:rPr>
                <w:sz w:val="21"/>
              </w:rPr>
            </w:pPr>
            <w:r>
              <w:rPr>
                <w:sz w:val="21"/>
              </w:rPr>
              <w:t>（三十三）急性出血</w:t>
            </w:r>
          </w:p>
          <w:p>
            <w:pPr>
              <w:pStyle w:val="TableParagraph"/>
              <w:spacing w:line="273" w:lineRule="auto" w:before="37"/>
              <w:ind w:left="200" w:right="105"/>
              <w:rPr>
                <w:sz w:val="21"/>
              </w:rPr>
            </w:pPr>
            <w:r>
              <w:rPr>
                <w:sz w:val="21"/>
              </w:rPr>
              <w:t>坏死性胰腺炎开腹手术</w:t>
            </w:r>
          </w:p>
        </w:tc>
        <w:tc>
          <w:tcPr>
            <w:tcW w:w="7004" w:type="dxa"/>
          </w:tcPr>
          <w:p>
            <w:pPr>
              <w:pStyle w:val="TableParagraph"/>
              <w:spacing w:line="204" w:lineRule="exact"/>
              <w:rPr>
                <w:sz w:val="21"/>
              </w:rPr>
            </w:pPr>
            <w:r>
              <w:rPr>
                <w:sz w:val="21"/>
              </w:rPr>
              <w:t>指被保险人因为急性出血坏死性胰腺炎已经接受了外科开腹手术治疗，</w:t>
            </w:r>
          </w:p>
          <w:p>
            <w:pPr>
              <w:pStyle w:val="TableParagraph"/>
              <w:spacing w:before="37"/>
              <w:rPr>
                <w:sz w:val="21"/>
              </w:rPr>
            </w:pPr>
            <w:r>
              <w:rPr>
                <w:sz w:val="21"/>
              </w:rPr>
              <w:t>以进行坏死组织清除、坏死病灶切除或胰腺切除。</w:t>
            </w:r>
          </w:p>
        </w:tc>
      </w:tr>
      <w:tr>
        <w:trPr>
          <w:trHeight w:val="790" w:hRule="atLeast"/>
        </w:trPr>
        <w:tc>
          <w:tcPr>
            <w:tcW w:w="2225" w:type="dxa"/>
            <w:vMerge/>
            <w:tcBorders>
              <w:top w:val="nil"/>
            </w:tcBorders>
          </w:tcPr>
          <w:p>
            <w:pPr>
              <w:rPr>
                <w:sz w:val="2"/>
                <w:szCs w:val="2"/>
              </w:rPr>
            </w:pPr>
          </w:p>
        </w:tc>
        <w:tc>
          <w:tcPr>
            <w:tcW w:w="7004" w:type="dxa"/>
          </w:tcPr>
          <w:p>
            <w:pPr>
              <w:pStyle w:val="TableParagraph"/>
              <w:spacing w:line="255" w:lineRule="exact"/>
              <w:rPr>
                <w:b/>
                <w:sz w:val="21"/>
              </w:rPr>
            </w:pPr>
            <w:r>
              <w:rPr>
                <w:b/>
                <w:sz w:val="21"/>
              </w:rPr>
              <w:t>因饮酒所致的急性出血坏死性胰腺炎或经腹腔镜手术进行的治疗不在保</w:t>
            </w:r>
          </w:p>
          <w:p>
            <w:pPr>
              <w:pStyle w:val="TableParagraph"/>
              <w:spacing w:before="37"/>
              <w:rPr>
                <w:b/>
                <w:sz w:val="21"/>
              </w:rPr>
            </w:pPr>
            <w:r>
              <w:rPr>
                <w:b/>
                <w:sz w:val="21"/>
              </w:rPr>
              <w:t>障范围内。</w:t>
            </w:r>
          </w:p>
        </w:tc>
      </w:tr>
      <w:tr>
        <w:trPr>
          <w:trHeight w:val="478" w:hRule="atLeast"/>
        </w:trPr>
        <w:tc>
          <w:tcPr>
            <w:tcW w:w="2225" w:type="dxa"/>
            <w:vMerge w:val="restart"/>
          </w:tcPr>
          <w:p>
            <w:pPr>
              <w:pStyle w:val="TableParagraph"/>
              <w:spacing w:line="273" w:lineRule="auto" w:before="146"/>
              <w:ind w:left="200" w:right="105"/>
              <w:rPr>
                <w:sz w:val="21"/>
              </w:rPr>
            </w:pPr>
            <w:r>
              <w:rPr>
                <w:sz w:val="21"/>
              </w:rPr>
              <w:t>（三十四）坏死性筋膜炎</w:t>
            </w:r>
          </w:p>
        </w:tc>
        <w:tc>
          <w:tcPr>
            <w:tcW w:w="7004" w:type="dxa"/>
          </w:tcPr>
          <w:p>
            <w:pPr>
              <w:pStyle w:val="TableParagraph"/>
              <w:spacing w:before="146"/>
              <w:rPr>
                <w:sz w:val="21"/>
              </w:rPr>
            </w:pPr>
            <w:r>
              <w:rPr>
                <w:sz w:val="21"/>
              </w:rPr>
              <w:t>坏死性筋膜炎的诊断须同时符合下列要求：</w:t>
            </w:r>
          </w:p>
        </w:tc>
      </w:tr>
      <w:tr>
        <w:trPr>
          <w:trHeight w:val="311" w:hRule="atLeast"/>
        </w:trPr>
        <w:tc>
          <w:tcPr>
            <w:tcW w:w="2225" w:type="dxa"/>
            <w:vMerge/>
            <w:tcBorders>
              <w:top w:val="nil"/>
            </w:tcBorders>
          </w:tcPr>
          <w:p>
            <w:pPr>
              <w:rPr>
                <w:sz w:val="2"/>
                <w:szCs w:val="2"/>
              </w:rPr>
            </w:pPr>
          </w:p>
        </w:tc>
        <w:tc>
          <w:tcPr>
            <w:tcW w:w="7004" w:type="dxa"/>
          </w:tcPr>
          <w:p>
            <w:pPr>
              <w:pStyle w:val="TableParagraph"/>
              <w:spacing w:line="255" w:lineRule="exact"/>
              <w:rPr>
                <w:sz w:val="21"/>
              </w:rPr>
            </w:pPr>
            <w:r>
              <w:rPr>
                <w:sz w:val="21"/>
              </w:rPr>
              <w:t>（1）符合坏死性筋膜炎的一般临床表现；</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（2）细菌培养检出致病菌；</w:t>
            </w:r>
          </w:p>
        </w:tc>
      </w:tr>
      <w:tr>
        <w:trPr>
          <w:trHeight w:val="109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（3）出现广泛性肌肉及软组织坏死，并导致身体受影响部位永久完全失</w:t>
            </w:r>
          </w:p>
          <w:p>
            <w:pPr>
              <w:pStyle w:val="TableParagraph"/>
              <w:spacing w:line="273" w:lineRule="auto" w:before="37"/>
              <w:ind w:right="378"/>
              <w:rPr>
                <w:sz w:val="21"/>
              </w:rPr>
            </w:pPr>
            <w:r>
              <w:rPr>
                <w:spacing w:val="-5"/>
                <w:sz w:val="21"/>
              </w:rPr>
              <w:t>去功能。所谓永久完全失去功能是指受影响部位的功能丧失超过 </w:t>
            </w:r>
            <w:r>
              <w:rPr>
                <w:sz w:val="21"/>
              </w:rPr>
              <w:t>180</w:t>
            </w:r>
            <w:r>
              <w:rPr>
                <w:spacing w:val="-20"/>
                <w:sz w:val="21"/>
              </w:rPr>
              <w:t> 天者。</w:t>
            </w:r>
          </w:p>
        </w:tc>
      </w:tr>
      <w:tr>
        <w:trPr>
          <w:trHeight w:val="780" w:hRule="atLeast"/>
        </w:trPr>
        <w:tc>
          <w:tcPr>
            <w:tcW w:w="2225" w:type="dxa"/>
          </w:tcPr>
          <w:p>
            <w:pPr>
              <w:pStyle w:val="TableParagraph"/>
              <w:spacing w:line="273" w:lineRule="auto" w:before="136"/>
              <w:ind w:left="200" w:right="105"/>
              <w:rPr>
                <w:sz w:val="21"/>
              </w:rPr>
            </w:pPr>
            <w:r>
              <w:rPr>
                <w:sz w:val="21"/>
              </w:rPr>
              <w:t>（三十五）终末期肺病</w:t>
            </w:r>
          </w:p>
        </w:tc>
        <w:tc>
          <w:tcPr>
            <w:tcW w:w="7004" w:type="dxa"/>
          </w:tcPr>
          <w:p>
            <w:pPr>
              <w:pStyle w:val="TableParagraph"/>
              <w:spacing w:line="273" w:lineRule="auto" w:before="136"/>
              <w:ind w:right="589"/>
              <w:rPr>
                <w:sz w:val="21"/>
              </w:rPr>
            </w:pPr>
            <w:r>
              <w:rPr>
                <w:sz w:val="21"/>
              </w:rPr>
              <w:t>由呼吸专科医生确诊被保险人患有终末期肺病而出现慢性呼吸功能衰竭，须满足下列至少两项条件：</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（1）肺功能测试其 FEVl 持续低于 0.75 升；</w:t>
            </w:r>
          </w:p>
        </w:tc>
      </w:tr>
      <w:tr>
        <w:trPr>
          <w:trHeight w:val="624"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（2）病人缺氧必须广泛而持续地进行输氧治疗每天至少 3 小时且持续 90</w:t>
            </w:r>
          </w:p>
          <w:p>
            <w:pPr>
              <w:pStyle w:val="TableParagraph"/>
              <w:spacing w:before="37"/>
              <w:rPr>
                <w:sz w:val="21"/>
              </w:rPr>
            </w:pPr>
            <w:r>
              <w:rPr>
                <w:sz w:val="21"/>
              </w:rPr>
              <w:t>天以上；</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（3）动脉血气分析氧分压低于 55mmHg。</w:t>
            </w:r>
          </w:p>
        </w:tc>
      </w:tr>
      <w:tr>
        <w:trPr>
          <w:trHeight w:val="468"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理赔时必须提供以上各项中相应的医院证明文件或检查报告。</w:t>
            </w:r>
          </w:p>
        </w:tc>
      </w:tr>
      <w:tr>
        <w:trPr>
          <w:trHeight w:val="1404" w:hRule="atLeast"/>
        </w:trPr>
        <w:tc>
          <w:tcPr>
            <w:tcW w:w="2225" w:type="dxa"/>
          </w:tcPr>
          <w:p>
            <w:pPr>
              <w:pStyle w:val="TableParagraph"/>
              <w:spacing w:line="273" w:lineRule="auto" w:before="136"/>
              <w:ind w:left="200" w:right="105"/>
              <w:rPr>
                <w:sz w:val="21"/>
              </w:rPr>
            </w:pPr>
            <w:r>
              <w:rPr>
                <w:sz w:val="21"/>
              </w:rPr>
              <w:t>（三十六）严重类风湿性关节炎</w:t>
            </w:r>
          </w:p>
        </w:tc>
        <w:tc>
          <w:tcPr>
            <w:tcW w:w="7004" w:type="dxa"/>
          </w:tcPr>
          <w:p>
            <w:pPr>
              <w:pStyle w:val="TableParagraph"/>
              <w:spacing w:line="273" w:lineRule="auto" w:before="136"/>
              <w:ind w:right="198"/>
              <w:rPr>
                <w:sz w:val="21"/>
              </w:rPr>
            </w:pPr>
            <w:r>
              <w:rPr>
                <w:spacing w:val="-3"/>
                <w:sz w:val="21"/>
              </w:rPr>
              <w:t>指广泛分布的慢性进行性多关节病变，表现为关节严重变形，侵犯至少 三个主要关节（腕关节、肘关节、肩关节、踝关节、膝关节、髋关节</w:t>
            </w:r>
            <w:r>
              <w:rPr>
                <w:sz w:val="21"/>
              </w:rPr>
              <w:t>） </w:t>
            </w:r>
            <w:r>
              <w:rPr>
                <w:spacing w:val="-3"/>
                <w:sz w:val="21"/>
              </w:rPr>
              <w:t>或关节组</w:t>
            </w:r>
            <w:r>
              <w:rPr>
                <w:sz w:val="21"/>
              </w:rPr>
              <w:t>（</w:t>
            </w:r>
            <w:r>
              <w:rPr>
                <w:spacing w:val="-5"/>
                <w:sz w:val="21"/>
              </w:rPr>
              <w:t>如手的多个指间、掌指关节，足的多个足趾、跖趾关节等</w:t>
            </w:r>
            <w:r>
              <w:rPr>
                <w:spacing w:val="-3"/>
                <w:sz w:val="21"/>
              </w:rPr>
              <w:t>）， 且须满足下列全部条件：</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（1）晨僵；</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（2）对称性关节炎；</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（3）类风湿性皮下结节；</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（4）类风湿因子滴度升高；</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（5）X 线显示严重的关节（软骨和骨）破坏和关节畸形；</w:t>
            </w:r>
          </w:p>
        </w:tc>
      </w:tr>
      <w:tr>
        <w:trPr>
          <w:trHeight w:val="780"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（6）自主生活能力完全丧失，无法独立完成六项基本日常生活活动中的</w:t>
            </w:r>
          </w:p>
          <w:p>
            <w:pPr>
              <w:pStyle w:val="TableParagraph"/>
              <w:spacing w:before="37"/>
              <w:rPr>
                <w:sz w:val="21"/>
              </w:rPr>
            </w:pPr>
            <w:r>
              <w:rPr>
                <w:sz w:val="21"/>
              </w:rPr>
              <w:t>三项或三项以上。</w:t>
            </w:r>
          </w:p>
        </w:tc>
      </w:tr>
      <w:tr>
        <w:trPr>
          <w:trHeight w:val="2028" w:hRule="atLeast"/>
        </w:trPr>
        <w:tc>
          <w:tcPr>
            <w:tcW w:w="2225" w:type="dxa"/>
          </w:tcPr>
          <w:p>
            <w:pPr>
              <w:pStyle w:val="TableParagraph"/>
              <w:spacing w:line="273" w:lineRule="auto" w:before="136"/>
              <w:ind w:left="200" w:right="105"/>
              <w:rPr>
                <w:sz w:val="21"/>
              </w:rPr>
            </w:pPr>
            <w:r>
              <w:rPr>
                <w:sz w:val="21"/>
              </w:rPr>
              <w:t>（三十七）非阿尔茨海默病所致严重痴呆</w:t>
            </w:r>
          </w:p>
        </w:tc>
        <w:tc>
          <w:tcPr>
            <w:tcW w:w="7004" w:type="dxa"/>
          </w:tcPr>
          <w:p>
            <w:pPr>
              <w:pStyle w:val="TableParagraph"/>
              <w:spacing w:line="273" w:lineRule="auto" w:before="136"/>
              <w:ind w:right="30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tc>
      </w:tr>
      <w:tr>
        <w:trPr>
          <w:trHeight w:val="467"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神经官能症，精神疾病及酒精中毒所致脑损害不在保障范围内。</w:t>
            </w:r>
          </w:p>
        </w:tc>
      </w:tr>
      <w:tr>
        <w:trPr>
          <w:trHeight w:val="1092" w:hRule="atLeast"/>
        </w:trPr>
        <w:tc>
          <w:tcPr>
            <w:tcW w:w="2225" w:type="dxa"/>
          </w:tcPr>
          <w:p>
            <w:pPr>
              <w:pStyle w:val="TableParagraph"/>
              <w:spacing w:line="273" w:lineRule="auto" w:before="136"/>
              <w:ind w:left="200" w:right="105"/>
              <w:rPr>
                <w:sz w:val="21"/>
              </w:rPr>
            </w:pPr>
            <w:r>
              <w:rPr>
                <w:sz w:val="21"/>
              </w:rPr>
              <w:t>（三十八）系统性硬皮病</w:t>
            </w:r>
          </w:p>
        </w:tc>
        <w:tc>
          <w:tcPr>
            <w:tcW w:w="7004" w:type="dxa"/>
          </w:tcPr>
          <w:p>
            <w:pPr>
              <w:pStyle w:val="TableParagraph"/>
              <w:spacing w:line="273" w:lineRule="auto" w:before="136"/>
              <w:ind w:right="310"/>
              <w:jc w:val="both"/>
              <w:rPr>
                <w:sz w:val="21"/>
              </w:rPr>
            </w:pPr>
            <w:r>
              <w:rPr>
                <w:sz w:val="21"/>
              </w:rPr>
              <w:t>系统性硬皮病（须累及内脏器官），指一种以局限性或弥漫性皮肤增厚和皮肤、血管、内脏器官异常纤维化为特征的结缔组织病。须满足下列至少一项条件：</w:t>
            </w:r>
          </w:p>
        </w:tc>
      </w:tr>
      <w:tr>
        <w:trPr>
          <w:trHeight w:val="261" w:hRule="atLeast"/>
        </w:trPr>
        <w:tc>
          <w:tcPr>
            <w:tcW w:w="2225" w:type="dxa"/>
          </w:tcPr>
          <w:p>
            <w:pPr>
              <w:pStyle w:val="TableParagraph"/>
              <w:ind w:left="0"/>
              <w:rPr>
                <w:rFonts w:ascii="Times New Roman"/>
                <w:sz w:val="18"/>
              </w:rPr>
            </w:pPr>
          </w:p>
        </w:tc>
        <w:tc>
          <w:tcPr>
            <w:tcW w:w="7004" w:type="dxa"/>
          </w:tcPr>
          <w:p>
            <w:pPr>
              <w:pStyle w:val="TableParagraph"/>
              <w:spacing w:line="242" w:lineRule="exact"/>
              <w:rPr>
                <w:sz w:val="21"/>
              </w:rPr>
            </w:pPr>
            <w:r>
              <w:rPr>
                <w:sz w:val="21"/>
              </w:rPr>
              <w:t>（1）肺脏：肺部病变进而发展为肺间质纤维化和肺动脉高压；</w:t>
            </w:r>
          </w:p>
        </w:tc>
      </w:tr>
    </w:tbl>
    <w:p>
      <w:pPr>
        <w:spacing w:after="0" w:line="242" w:lineRule="exact"/>
        <w:rPr>
          <w:sz w:val="21"/>
        </w:rPr>
        <w:sectPr>
          <w:pgSz w:w="11910" w:h="16840"/>
          <w:pgMar w:header="0" w:footer="924" w:top="14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7"/>
      </w:tblGrid>
      <w:tr>
        <w:trPr>
          <w:trHeight w:val="573" w:hRule="atLeast"/>
        </w:trPr>
        <w:tc>
          <w:tcPr>
            <w:tcW w:w="2225" w:type="dxa"/>
          </w:tcPr>
          <w:p>
            <w:pPr>
              <w:pStyle w:val="TableParagraph"/>
              <w:ind w:left="0"/>
              <w:rPr>
                <w:rFonts w:ascii="Times New Roman"/>
                <w:sz w:val="20"/>
              </w:rPr>
            </w:pPr>
          </w:p>
        </w:tc>
        <w:tc>
          <w:tcPr>
            <w:tcW w:w="7007" w:type="dxa"/>
          </w:tcPr>
          <w:p>
            <w:pPr>
              <w:pStyle w:val="TableParagraph"/>
              <w:spacing w:line="204" w:lineRule="exact"/>
              <w:rPr>
                <w:sz w:val="21"/>
              </w:rPr>
            </w:pPr>
            <w:r>
              <w:rPr>
                <w:sz w:val="21"/>
              </w:rPr>
              <w:t>（2）心脏：左室腔扩大至少达到正常值上限的 120％，左室射血分数持</w:t>
            </w:r>
          </w:p>
          <w:p>
            <w:pPr>
              <w:pStyle w:val="TableParagraph"/>
              <w:spacing w:before="37"/>
              <w:rPr>
                <w:sz w:val="21"/>
              </w:rPr>
            </w:pPr>
            <w:r>
              <w:rPr>
                <w:sz w:val="21"/>
              </w:rPr>
              <w:t>续性低于 40％；</w:t>
            </w:r>
          </w:p>
        </w:tc>
      </w:tr>
      <w:tr>
        <w:trPr>
          <w:trHeight w:val="623"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（3）肾脏：肾脏受损导致双肾功能慢性不可逆衰竭，诊断达到尿毒症期</w:t>
            </w:r>
          </w:p>
          <w:p>
            <w:pPr>
              <w:pStyle w:val="TableParagraph"/>
              <w:spacing w:before="37"/>
              <w:rPr>
                <w:sz w:val="21"/>
              </w:rPr>
            </w:pPr>
            <w:r>
              <w:rPr>
                <w:sz w:val="21"/>
              </w:rPr>
              <w:t>后并继续维持治疗 90 天以上。</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下列疾病不在保障范围内：</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（1）局限性硬皮病（包括带状硬皮病、硬斑病）；</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（2）嗜酸细胞性筋膜炎；</w:t>
            </w:r>
          </w:p>
        </w:tc>
      </w:tr>
      <w:tr>
        <w:trPr>
          <w:trHeight w:val="467"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（3）CREST 综合征。</w:t>
            </w:r>
          </w:p>
        </w:tc>
      </w:tr>
      <w:tr>
        <w:trPr>
          <w:trHeight w:val="2340" w:hRule="atLeast"/>
        </w:trPr>
        <w:tc>
          <w:tcPr>
            <w:tcW w:w="2225" w:type="dxa"/>
          </w:tcPr>
          <w:p>
            <w:pPr>
              <w:pStyle w:val="TableParagraph"/>
              <w:spacing w:line="273" w:lineRule="auto" w:before="136"/>
              <w:ind w:left="200" w:right="105"/>
              <w:rPr>
                <w:sz w:val="21"/>
              </w:rPr>
            </w:pPr>
            <w:r>
              <w:rPr>
                <w:sz w:val="21"/>
              </w:rPr>
              <w:t>（三十九）严重脊髓灰质炎</w:t>
            </w:r>
          </w:p>
        </w:tc>
        <w:tc>
          <w:tcPr>
            <w:tcW w:w="7007" w:type="dxa"/>
          </w:tcPr>
          <w:p>
            <w:pPr>
              <w:pStyle w:val="TableParagraph"/>
              <w:spacing w:line="273" w:lineRule="auto" w:before="136"/>
              <w:ind w:right="304"/>
              <w:jc w:val="both"/>
              <w:rPr>
                <w:sz w:val="21"/>
              </w:rPr>
            </w:pPr>
            <w:r>
              <w:rPr>
                <w:sz w:val="21"/>
              </w:rPr>
              <w:t>脊髓灰质炎是由于脊髓灰质炎病毒感染所致的瘫痪性疾病，临床表现为运动功能损害或呼吸无力。脊髓灰质炎必须明确诊断，且需提供脊髓灰质炎病毒检查的证据(如粪便或脑脊液检查，血液中抗体检查)。本公司仅对脊髓灰质炎造成的神经系统功能损害导致被保险人一肢或一肢以上肢体机能永久完全丧失的情况予以理赔。肢体机能永久完全丧失，指疾</w:t>
            </w:r>
            <w:r>
              <w:rPr>
                <w:spacing w:val="-1"/>
                <w:sz w:val="21"/>
              </w:rPr>
              <w:t>病确诊 </w:t>
            </w:r>
            <w:r>
              <w:rPr>
                <w:sz w:val="21"/>
              </w:rPr>
              <w:t>180</w:t>
            </w:r>
            <w:r>
              <w:rPr>
                <w:spacing w:val="-3"/>
                <w:sz w:val="21"/>
              </w:rPr>
              <w:t> 天后，每肢三大关节中的两大关节仍然完全僵硬，或不能随意识活动。</w:t>
            </w:r>
          </w:p>
        </w:tc>
      </w:tr>
      <w:tr>
        <w:trPr>
          <w:trHeight w:val="468"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未导致前述肢体瘫痪者及其它原因导致的瘫痪不在本保障范围内。</w:t>
            </w:r>
          </w:p>
        </w:tc>
      </w:tr>
      <w:tr>
        <w:trPr>
          <w:trHeight w:val="1248" w:hRule="atLeast"/>
        </w:trPr>
        <w:tc>
          <w:tcPr>
            <w:tcW w:w="2225" w:type="dxa"/>
          </w:tcPr>
          <w:p>
            <w:pPr>
              <w:pStyle w:val="TableParagraph"/>
              <w:spacing w:before="136"/>
              <w:ind w:left="0" w:right="129"/>
              <w:jc w:val="right"/>
              <w:rPr>
                <w:sz w:val="21"/>
              </w:rPr>
            </w:pPr>
            <w:r>
              <w:rPr>
                <w:sz w:val="21"/>
              </w:rPr>
              <w:t>（四十）严重克隆病</w:t>
            </w:r>
          </w:p>
        </w:tc>
        <w:tc>
          <w:tcPr>
            <w:tcW w:w="7007" w:type="dxa"/>
          </w:tcPr>
          <w:p>
            <w:pPr>
              <w:pStyle w:val="TableParagraph"/>
              <w:spacing w:line="273" w:lineRule="auto" w:before="136"/>
              <w:ind w:right="158"/>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560" w:hRule="atLeast"/>
        </w:trPr>
        <w:tc>
          <w:tcPr>
            <w:tcW w:w="2225" w:type="dxa"/>
          </w:tcPr>
          <w:p>
            <w:pPr>
              <w:pStyle w:val="TableParagraph"/>
              <w:spacing w:line="273" w:lineRule="auto" w:before="136"/>
              <w:ind w:left="200" w:right="105"/>
              <w:rPr>
                <w:sz w:val="21"/>
              </w:rPr>
            </w:pPr>
            <w:r>
              <w:rPr>
                <w:sz w:val="21"/>
              </w:rPr>
              <w:t>（四十一）严重溃疡性结肠炎</w:t>
            </w:r>
          </w:p>
        </w:tc>
        <w:tc>
          <w:tcPr>
            <w:tcW w:w="7007" w:type="dxa"/>
          </w:tcPr>
          <w:p>
            <w:pPr>
              <w:pStyle w:val="TableParagraph"/>
              <w:spacing w:line="273" w:lineRule="auto" w:before="136"/>
              <w:ind w:right="201"/>
              <w:rPr>
                <w:sz w:val="21"/>
              </w:rPr>
            </w:pPr>
            <w:r>
              <w:rPr>
                <w:sz w:val="21"/>
              </w:rPr>
              <w:t>本公司所保障的溃疡性结肠炎是指伴有致命性电解质紊乱的急性暴发性</w:t>
            </w:r>
            <w:r>
              <w:rPr>
                <w:spacing w:val="-6"/>
                <w:sz w:val="21"/>
              </w:rPr>
              <w:t>溃疡性结肠炎，病变累及全结肠，表现为严重的血便和系统性症状体征， 必须根据组织病理学特点诊断，并且被保险人已经接受了结肠切除和回</w:t>
            </w:r>
            <w:r>
              <w:rPr>
                <w:spacing w:val="-4"/>
                <w:sz w:val="21"/>
              </w:rPr>
              <w:t>肠造瘘术。</w:t>
            </w:r>
          </w:p>
        </w:tc>
      </w:tr>
      <w:tr>
        <w:trPr>
          <w:trHeight w:val="780" w:hRule="atLeast"/>
        </w:trPr>
        <w:tc>
          <w:tcPr>
            <w:tcW w:w="2225" w:type="dxa"/>
            <w:vMerge w:val="restart"/>
          </w:tcPr>
          <w:p>
            <w:pPr>
              <w:pStyle w:val="TableParagraph"/>
              <w:spacing w:line="273" w:lineRule="auto" w:before="136"/>
              <w:ind w:left="200" w:right="105"/>
              <w:jc w:val="both"/>
              <w:rPr>
                <w:sz w:val="21"/>
              </w:rPr>
            </w:pPr>
            <w:r>
              <w:rPr>
                <w:sz w:val="21"/>
              </w:rPr>
              <w:t>（四十二）因职业关系导致的感染艾滋病病毒或患艾滋病</w:t>
            </w:r>
          </w:p>
        </w:tc>
        <w:tc>
          <w:tcPr>
            <w:tcW w:w="7007" w:type="dxa"/>
          </w:tcPr>
          <w:p>
            <w:pPr>
              <w:pStyle w:val="TableParagraph"/>
              <w:spacing w:line="273" w:lineRule="auto" w:before="136"/>
              <w:ind w:right="313"/>
              <w:rPr>
                <w:sz w:val="21"/>
              </w:rPr>
            </w:pPr>
            <w:r>
              <w:rPr>
                <w:sz w:val="21"/>
              </w:rPr>
              <w:t>被保险人在其常规职业工作过程中遭遇外伤，或职业需要处理血液或其他体液时感染上艾滋病病毒或者患上艾滋病。须满足下列全部条件：</w:t>
            </w:r>
          </w:p>
        </w:tc>
      </w:tr>
      <w:tr>
        <w:trPr>
          <w:trHeight w:val="1248" w:hRule="atLeast"/>
        </w:trPr>
        <w:tc>
          <w:tcPr>
            <w:tcW w:w="2225" w:type="dxa"/>
            <w:vMerge/>
            <w:tcBorders>
              <w:top w:val="nil"/>
            </w:tcBorders>
          </w:tcPr>
          <w:p>
            <w:pPr>
              <w:rPr>
                <w:sz w:val="2"/>
                <w:szCs w:val="2"/>
              </w:rPr>
            </w:pPr>
          </w:p>
        </w:tc>
        <w:tc>
          <w:tcPr>
            <w:tcW w:w="7007" w:type="dxa"/>
          </w:tcPr>
          <w:p>
            <w:pPr>
              <w:pStyle w:val="TableParagraph"/>
              <w:spacing w:line="255" w:lineRule="exact"/>
              <w:rPr>
                <w:sz w:val="21"/>
              </w:rPr>
            </w:pPr>
            <w:r>
              <w:rPr>
                <w:sz w:val="21"/>
              </w:rPr>
              <w:t>（1）感染必须是在被保险人正在从事其职业工作中发生，该职业必须属</w:t>
            </w:r>
          </w:p>
          <w:p>
            <w:pPr>
              <w:pStyle w:val="TableParagraph"/>
              <w:spacing w:line="273" w:lineRule="auto" w:before="37"/>
              <w:ind w:right="198"/>
              <w:rPr>
                <w:b/>
                <w:sz w:val="21"/>
              </w:rPr>
            </w:pPr>
            <w:r>
              <w:rPr>
                <w:spacing w:val="-7"/>
                <w:sz w:val="21"/>
              </w:rPr>
              <w:t>于下列职业之一；医生和牙科医生、护士、实验室工作人员、医院护工、医生助理和牙医助理、救护车工作人员、助产士。</w:t>
            </w:r>
            <w:r>
              <w:rPr>
                <w:b/>
                <w:spacing w:val="-7"/>
                <w:sz w:val="21"/>
              </w:rPr>
              <w:t>其他职业不在保障范围内。</w:t>
            </w:r>
          </w:p>
        </w:tc>
      </w:tr>
      <w:tr>
        <w:trPr>
          <w:trHeight w:val="624"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（2）必须提供被保险人在所报事故发生后的 5 天以内进行的检查报告，</w:t>
            </w:r>
          </w:p>
          <w:p>
            <w:pPr>
              <w:pStyle w:val="TableParagraph"/>
              <w:spacing w:before="37"/>
              <w:rPr>
                <w:sz w:val="21"/>
              </w:rPr>
            </w:pPr>
            <w:r>
              <w:rPr>
                <w:sz w:val="21"/>
              </w:rPr>
              <w:t>该报告必须显示被保险人血液 HIV 病毒阴性和/或 HIV 抗体阴性；</w:t>
            </w:r>
          </w:p>
        </w:tc>
      </w:tr>
      <w:tr>
        <w:trPr>
          <w:trHeight w:val="780"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（3）必须在事故发生后的 6 个月内证实被保险人体内存在 HIV 病毒或</w:t>
            </w:r>
          </w:p>
          <w:p>
            <w:pPr>
              <w:pStyle w:val="TableParagraph"/>
              <w:spacing w:before="37"/>
              <w:rPr>
                <w:sz w:val="21"/>
              </w:rPr>
            </w:pPr>
            <w:r>
              <w:rPr>
                <w:sz w:val="21"/>
              </w:rPr>
              <w:t>者 HIV 抗体，即血液 HIV 病毒阳性和/或 HIV 抗体阳性。</w:t>
            </w:r>
          </w:p>
        </w:tc>
      </w:tr>
      <w:tr>
        <w:trPr>
          <w:trHeight w:val="780" w:hRule="atLeast"/>
        </w:trPr>
        <w:tc>
          <w:tcPr>
            <w:tcW w:w="2225" w:type="dxa"/>
          </w:tcPr>
          <w:p>
            <w:pPr>
              <w:pStyle w:val="TableParagraph"/>
              <w:spacing w:before="136"/>
              <w:ind w:left="0" w:right="129"/>
              <w:jc w:val="right"/>
              <w:rPr>
                <w:sz w:val="21"/>
              </w:rPr>
            </w:pPr>
            <w:r>
              <w:rPr>
                <w:sz w:val="21"/>
              </w:rPr>
              <w:t>（四十三）颅脑手术</w:t>
            </w:r>
          </w:p>
        </w:tc>
        <w:tc>
          <w:tcPr>
            <w:tcW w:w="7007" w:type="dxa"/>
          </w:tcPr>
          <w:p>
            <w:pPr>
              <w:pStyle w:val="TableParagraph"/>
              <w:spacing w:line="273" w:lineRule="auto" w:before="136"/>
              <w:ind w:right="313"/>
              <w:rPr>
                <w:sz w:val="21"/>
              </w:rPr>
            </w:pPr>
            <w:r>
              <w:rPr>
                <w:sz w:val="21"/>
              </w:rPr>
              <w:t>被保险人确已实施全麻下的开颅手术（不包括颅骨钻孔手术和经鼻蝶窦入颅手术）。</w:t>
            </w:r>
          </w:p>
        </w:tc>
      </w:tr>
      <w:tr>
        <w:trPr>
          <w:trHeight w:val="468"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因外伤而实施的脑外科手术不在保障范围之内。</w:t>
            </w:r>
          </w:p>
        </w:tc>
      </w:tr>
      <w:tr>
        <w:trPr>
          <w:trHeight w:val="729" w:hRule="atLeast"/>
        </w:trPr>
        <w:tc>
          <w:tcPr>
            <w:tcW w:w="2225" w:type="dxa"/>
          </w:tcPr>
          <w:p>
            <w:pPr>
              <w:pStyle w:val="TableParagraph"/>
              <w:spacing w:line="310" w:lineRule="atLeast" w:before="101"/>
              <w:ind w:left="200" w:right="105"/>
              <w:rPr>
                <w:sz w:val="21"/>
              </w:rPr>
            </w:pPr>
            <w:r>
              <w:rPr>
                <w:sz w:val="21"/>
              </w:rPr>
              <w:t>（四十四）特发性慢性肾上腺皮质功能减</w:t>
            </w:r>
          </w:p>
        </w:tc>
        <w:tc>
          <w:tcPr>
            <w:tcW w:w="7007" w:type="dxa"/>
          </w:tcPr>
          <w:p>
            <w:pPr>
              <w:pStyle w:val="TableParagraph"/>
              <w:spacing w:line="310" w:lineRule="atLeast" w:before="101"/>
              <w:ind w:right="313"/>
              <w:rPr>
                <w:sz w:val="21"/>
              </w:rPr>
            </w:pPr>
            <w:r>
              <w:rPr>
                <w:sz w:val="21"/>
              </w:rPr>
              <w:t>指自身免疫性肾上腺炎（既往称：特发性肾上腺皮质萎缩）导致肾上腺萎缩和慢性肾上腺皮质功能减退。必须满足所有以下条件：</w:t>
            </w:r>
          </w:p>
        </w:tc>
      </w:tr>
    </w:tbl>
    <w:p>
      <w:pPr>
        <w:spacing w:after="0" w:line="310" w:lineRule="atLeast"/>
        <w:rPr>
          <w:sz w:val="21"/>
        </w:rPr>
        <w:sectPr>
          <w:pgSz w:w="11910" w:h="16840"/>
          <w:pgMar w:header="0" w:footer="924" w:top="14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4"/>
      </w:tblGrid>
      <w:tr>
        <w:trPr>
          <w:trHeight w:val="261" w:hRule="atLeast"/>
        </w:trPr>
        <w:tc>
          <w:tcPr>
            <w:tcW w:w="2225" w:type="dxa"/>
          </w:tcPr>
          <w:p>
            <w:pPr>
              <w:pStyle w:val="TableParagraph"/>
              <w:spacing w:line="204" w:lineRule="exact"/>
              <w:ind w:left="200"/>
              <w:rPr>
                <w:sz w:val="21"/>
              </w:rPr>
            </w:pPr>
            <w:r>
              <w:rPr>
                <w:w w:val="100"/>
                <w:sz w:val="21"/>
              </w:rPr>
              <w:t>退</w:t>
            </w:r>
          </w:p>
        </w:tc>
        <w:tc>
          <w:tcPr>
            <w:tcW w:w="7004" w:type="dxa"/>
          </w:tcPr>
          <w:p>
            <w:pPr>
              <w:pStyle w:val="TableParagraph"/>
              <w:spacing w:line="204" w:lineRule="exact"/>
              <w:rPr>
                <w:sz w:val="21"/>
              </w:rPr>
            </w:pPr>
            <w:r>
              <w:rPr>
                <w:sz w:val="21"/>
              </w:rPr>
              <w:t>（1）必须由专科医生明确诊断，符合所有以下诊断标准：</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① 血浆促肾上腺皮质激素(ACTH)水平测定&gt;100pg/ml；</w:t>
            </w:r>
          </w:p>
        </w:tc>
      </w:tr>
      <w:tr>
        <w:trPr>
          <w:trHeight w:val="935"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② 血浆和尿游离皮质醇及尿 17 羟皮质类固醇、17 酮皮质类固醇测定、</w:t>
            </w:r>
          </w:p>
          <w:p>
            <w:pPr>
              <w:pStyle w:val="TableParagraph"/>
              <w:spacing w:line="273" w:lineRule="auto" w:before="37"/>
              <w:ind w:right="301"/>
              <w:rPr>
                <w:sz w:val="21"/>
              </w:rPr>
            </w:pPr>
            <w:r>
              <w:rPr>
                <w:spacing w:val="-8"/>
                <w:sz w:val="21"/>
              </w:rPr>
              <w:t>血浆肾素活性、血管紧张素 </w:t>
            </w:r>
            <w:r>
              <w:rPr>
                <w:sz w:val="21"/>
              </w:rPr>
              <w:t>II</w:t>
            </w:r>
            <w:r>
              <w:rPr>
                <w:spacing w:val="-9"/>
                <w:sz w:val="21"/>
              </w:rPr>
              <w:t> 和醛固酮测定，显示为原发性肾上腺皮质</w:t>
            </w:r>
            <w:r>
              <w:rPr>
                <w:spacing w:val="-5"/>
                <w:sz w:val="21"/>
              </w:rPr>
              <w:t>功能减退症；</w:t>
            </w:r>
          </w:p>
        </w:tc>
      </w:tr>
      <w:tr>
        <w:trPr>
          <w:trHeight w:val="624"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③ 促肾上腺皮质激素(ACTH)刺激试验显示为原发性肾上腺皮质功能减</w:t>
            </w:r>
          </w:p>
          <w:p>
            <w:pPr>
              <w:pStyle w:val="TableParagraph"/>
              <w:spacing w:before="37"/>
              <w:rPr>
                <w:sz w:val="21"/>
              </w:rPr>
            </w:pPr>
            <w:r>
              <w:rPr>
                <w:sz w:val="21"/>
              </w:rPr>
              <w:t>退症。</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（2）已经采用皮质类固醇替代治疗 180 天以上。</w:t>
            </w:r>
          </w:p>
        </w:tc>
      </w:tr>
      <w:tr>
        <w:trPr>
          <w:trHeight w:val="79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肾上腺结核、HIV 感染或艾滋病、感染、肿瘤所致的原发性肾上腺皮质</w:t>
            </w:r>
          </w:p>
          <w:p>
            <w:pPr>
              <w:pStyle w:val="TableParagraph"/>
              <w:spacing w:before="37"/>
              <w:rPr>
                <w:b/>
                <w:sz w:val="21"/>
              </w:rPr>
            </w:pPr>
            <w:r>
              <w:rPr>
                <w:b/>
                <w:sz w:val="21"/>
              </w:rPr>
              <w:t>功能减退和继发性肾上腺皮质功能减退不在本保障范围内。</w:t>
            </w:r>
          </w:p>
        </w:tc>
      </w:tr>
      <w:tr>
        <w:trPr>
          <w:trHeight w:val="1259" w:hRule="atLeast"/>
        </w:trPr>
        <w:tc>
          <w:tcPr>
            <w:tcW w:w="2225" w:type="dxa"/>
          </w:tcPr>
          <w:p>
            <w:pPr>
              <w:pStyle w:val="TableParagraph"/>
              <w:spacing w:line="273" w:lineRule="auto" w:before="147"/>
              <w:ind w:left="200" w:right="105"/>
              <w:rPr>
                <w:sz w:val="21"/>
              </w:rPr>
            </w:pPr>
            <w:r>
              <w:rPr>
                <w:sz w:val="21"/>
              </w:rPr>
              <w:t>（四十五）埃博拉病毒感染</w:t>
            </w:r>
          </w:p>
        </w:tc>
        <w:tc>
          <w:tcPr>
            <w:tcW w:w="7004" w:type="dxa"/>
          </w:tcPr>
          <w:p>
            <w:pPr>
              <w:pStyle w:val="TableParagraph"/>
              <w:spacing w:line="273" w:lineRule="auto" w:before="147"/>
              <w:ind w:right="310"/>
              <w:jc w:val="both"/>
              <w:rPr>
                <w:sz w:val="21"/>
              </w:rPr>
            </w:pPr>
            <w:r>
              <w:rPr>
                <w:sz w:val="21"/>
              </w:rPr>
              <w:t>受埃博拉病毒感染导致出血性发热。埃博拉病必须经传染病专科医生确诊，并且埃博拉病毒的存在必须经过实验室检查证实。该病必须从症状开始 30 天后持续出现并发症。</w:t>
            </w:r>
          </w:p>
        </w:tc>
      </w:tr>
      <w:tr>
        <w:trPr>
          <w:trHeight w:val="1248" w:hRule="atLeast"/>
        </w:trPr>
        <w:tc>
          <w:tcPr>
            <w:tcW w:w="2225" w:type="dxa"/>
          </w:tcPr>
          <w:p>
            <w:pPr>
              <w:pStyle w:val="TableParagraph"/>
              <w:spacing w:line="273" w:lineRule="auto" w:before="136"/>
              <w:ind w:left="200" w:right="105"/>
              <w:jc w:val="both"/>
              <w:rPr>
                <w:sz w:val="21"/>
              </w:rPr>
            </w:pPr>
            <w:r>
              <w:rPr>
                <w:sz w:val="21"/>
              </w:rPr>
              <w:t>（四十六）侵蚀性葡萄胎（或称恶性葡萄胎）</w:t>
            </w:r>
          </w:p>
        </w:tc>
        <w:tc>
          <w:tcPr>
            <w:tcW w:w="7004" w:type="dxa"/>
          </w:tcPr>
          <w:p>
            <w:pPr>
              <w:pStyle w:val="TableParagraph"/>
              <w:spacing w:line="273" w:lineRule="auto" w:before="136"/>
              <w:ind w:right="310"/>
              <w:jc w:val="both"/>
              <w:rPr>
                <w:sz w:val="21"/>
              </w:rPr>
            </w:pPr>
            <w:r>
              <w:rPr>
                <w:sz w:val="21"/>
              </w:rPr>
              <w:t>指异常增生的绒毛组织浸润性生长，侵入子宫肌层引起组织破坏或转移至其它器官或组织的葡萄胎，经病理学检查结果明确诊断，并须实际实施了化疗及手术切除治疗。</w:t>
            </w:r>
          </w:p>
        </w:tc>
      </w:tr>
      <w:tr>
        <w:trPr>
          <w:trHeight w:val="782" w:hRule="atLeast"/>
        </w:trPr>
        <w:tc>
          <w:tcPr>
            <w:tcW w:w="2225" w:type="dxa"/>
          </w:tcPr>
          <w:p>
            <w:pPr>
              <w:pStyle w:val="TableParagraph"/>
              <w:spacing w:line="273" w:lineRule="auto" w:before="136"/>
              <w:ind w:left="200" w:right="105"/>
              <w:rPr>
                <w:sz w:val="21"/>
              </w:rPr>
            </w:pPr>
            <w:r>
              <w:rPr>
                <w:sz w:val="21"/>
              </w:rPr>
              <w:t>（四十七）肺源性心脏病</w:t>
            </w:r>
          </w:p>
        </w:tc>
        <w:tc>
          <w:tcPr>
            <w:tcW w:w="7004" w:type="dxa"/>
          </w:tcPr>
          <w:p>
            <w:pPr>
              <w:pStyle w:val="TableParagraph"/>
              <w:spacing w:line="273" w:lineRule="auto" w:before="136"/>
              <w:ind w:right="310"/>
              <w:rPr>
                <w:sz w:val="21"/>
              </w:rPr>
            </w:pPr>
            <w:r>
              <w:rPr>
                <w:sz w:val="21"/>
              </w:rPr>
              <w:t>由呼吸专科医生或心内科专科医生确诊为肺源性心脏病。诊断必须基于右心导管（心血管造影）的检查结果，且必须同时满足如下诊断标准：</w:t>
            </w:r>
          </w:p>
        </w:tc>
      </w:tr>
      <w:tr>
        <w:trPr>
          <w:trHeight w:val="314" w:hRule="atLeast"/>
        </w:trPr>
        <w:tc>
          <w:tcPr>
            <w:tcW w:w="2225" w:type="dxa"/>
          </w:tcPr>
          <w:p>
            <w:pPr>
              <w:pStyle w:val="TableParagraph"/>
              <w:ind w:left="0"/>
              <w:rPr>
                <w:rFonts w:ascii="Times New Roman"/>
                <w:sz w:val="20"/>
              </w:rPr>
            </w:pPr>
          </w:p>
        </w:tc>
        <w:tc>
          <w:tcPr>
            <w:tcW w:w="7004" w:type="dxa"/>
          </w:tcPr>
          <w:p>
            <w:pPr>
              <w:pStyle w:val="TableParagraph"/>
              <w:spacing w:line="257" w:lineRule="exact"/>
              <w:rPr>
                <w:sz w:val="21"/>
              </w:rPr>
            </w:pPr>
            <w:r>
              <w:rPr>
                <w:sz w:val="21"/>
              </w:rPr>
              <w:t>（1）肺血管阻力高于 3 个伍德单位；</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（2）平均肺动脉血压不低于 40 毫米汞柱；</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（3）肺楔压不高于 15 毫米汞柱；</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（4）右心室过度肥大和扩张，出现右心衰竭和呼吸困难。</w:t>
            </w:r>
          </w:p>
        </w:tc>
      </w:tr>
      <w:tr>
        <w:trPr>
          <w:trHeight w:val="780"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因左心病变或者先天性心脏病引起的右心衰竭或者肺动脉高压不在保障</w:t>
            </w:r>
          </w:p>
          <w:p>
            <w:pPr>
              <w:pStyle w:val="TableParagraph"/>
              <w:spacing w:before="37"/>
              <w:rPr>
                <w:b/>
                <w:sz w:val="21"/>
              </w:rPr>
            </w:pPr>
            <w:r>
              <w:rPr>
                <w:b/>
                <w:sz w:val="21"/>
              </w:rPr>
              <w:t>范围之内。</w:t>
            </w:r>
          </w:p>
        </w:tc>
      </w:tr>
      <w:tr>
        <w:trPr>
          <w:trHeight w:val="1092" w:hRule="atLeast"/>
        </w:trPr>
        <w:tc>
          <w:tcPr>
            <w:tcW w:w="2225" w:type="dxa"/>
          </w:tcPr>
          <w:p>
            <w:pPr>
              <w:pStyle w:val="TableParagraph"/>
              <w:spacing w:line="273" w:lineRule="auto" w:before="136"/>
              <w:ind w:left="200" w:right="105"/>
              <w:rPr>
                <w:sz w:val="21"/>
              </w:rPr>
            </w:pPr>
            <w:r>
              <w:rPr>
                <w:sz w:val="21"/>
              </w:rPr>
              <w:t>（四十八）原发性硬化性胆管炎</w:t>
            </w:r>
          </w:p>
        </w:tc>
        <w:tc>
          <w:tcPr>
            <w:tcW w:w="7004" w:type="dxa"/>
          </w:tcPr>
          <w:p>
            <w:pPr>
              <w:pStyle w:val="TableParagraph"/>
              <w:spacing w:line="273" w:lineRule="auto" w:before="136"/>
              <w:ind w:right="310"/>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（1）总胆红素和直接胆红素同时升高，血清 ALP&gt;200U/L；</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（2）持续性黄疸病史；</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（3）出现胆汁性肝硬化或门脉高压。</w:t>
            </w:r>
          </w:p>
        </w:tc>
      </w:tr>
      <w:tr>
        <w:trPr>
          <w:trHeight w:val="468"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因肿瘤或胆管损伤等继发性的硬化性胆管炎不在保障范围内。</w:t>
            </w:r>
          </w:p>
        </w:tc>
      </w:tr>
      <w:tr>
        <w:trPr>
          <w:trHeight w:val="468" w:hRule="atLeast"/>
        </w:trPr>
        <w:tc>
          <w:tcPr>
            <w:tcW w:w="2225" w:type="dxa"/>
            <w:vMerge w:val="restart"/>
          </w:tcPr>
          <w:p>
            <w:pPr>
              <w:pStyle w:val="TableParagraph"/>
              <w:spacing w:line="273" w:lineRule="auto" w:before="136"/>
              <w:ind w:left="200" w:right="105"/>
              <w:rPr>
                <w:sz w:val="21"/>
              </w:rPr>
            </w:pPr>
            <w:r>
              <w:rPr>
                <w:sz w:val="21"/>
              </w:rPr>
              <w:t>（四十九）严重感染性心内膜炎</w:t>
            </w:r>
          </w:p>
        </w:tc>
        <w:tc>
          <w:tcPr>
            <w:tcW w:w="7004" w:type="dxa"/>
          </w:tcPr>
          <w:p>
            <w:pPr>
              <w:pStyle w:val="TableParagraph"/>
              <w:spacing w:before="136"/>
              <w:rPr>
                <w:sz w:val="21"/>
              </w:rPr>
            </w:pPr>
            <w:r>
              <w:rPr>
                <w:sz w:val="21"/>
              </w:rPr>
              <w:t>因感染性微生物造成心脏内膜发炎，并符合下</w:t>
            </w:r>
            <w:r>
              <w:rPr>
                <w:rFonts w:ascii="Arial" w:eastAsia="Arial"/>
                <w:w w:val="115"/>
                <w:sz w:val="21"/>
              </w:rPr>
              <w:t>列</w:t>
            </w:r>
            <w:r>
              <w:rPr>
                <w:sz w:val="21"/>
              </w:rPr>
              <w:t>所有条件:</w:t>
            </w:r>
          </w:p>
        </w:tc>
      </w:tr>
      <w:tr>
        <w:trPr>
          <w:trHeight w:val="311" w:hRule="atLeast"/>
        </w:trPr>
        <w:tc>
          <w:tcPr>
            <w:tcW w:w="2225" w:type="dxa"/>
            <w:vMerge/>
            <w:tcBorders>
              <w:top w:val="nil"/>
            </w:tcBorders>
          </w:tcPr>
          <w:p>
            <w:pPr>
              <w:rPr>
                <w:sz w:val="2"/>
                <w:szCs w:val="2"/>
              </w:rPr>
            </w:pPr>
          </w:p>
        </w:tc>
        <w:tc>
          <w:tcPr>
            <w:tcW w:w="7004" w:type="dxa"/>
          </w:tcPr>
          <w:p>
            <w:pPr>
              <w:pStyle w:val="TableParagraph"/>
              <w:spacing w:line="255" w:lineRule="exact"/>
              <w:rPr>
                <w:sz w:val="21"/>
              </w:rPr>
            </w:pPr>
            <w:r>
              <w:rPr>
                <w:sz w:val="21"/>
              </w:rPr>
              <w:t>（1）以下方法之一血液培养测试结果为阳性，证实存在感染性微生物：</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① 微生物：在赘生物或心脏内脓疡经培养或组织检查证实有微生物；</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70" w:lineRule="exact"/>
              <w:rPr>
                <w:sz w:val="21"/>
              </w:rPr>
            </w:pPr>
            <w:r>
              <w:rPr>
                <w:sz w:val="21"/>
              </w:rPr>
              <w:t>② 病</w:t>
            </w:r>
            <w:r>
              <w:rPr>
                <w:rFonts w:ascii="Arial" w:hAnsi="Arial" w:eastAsia="Arial"/>
                <w:w w:val="115"/>
                <w:sz w:val="21"/>
              </w:rPr>
              <w:t>理</w:t>
            </w:r>
            <w:r>
              <w:rPr>
                <w:sz w:val="21"/>
              </w:rPr>
              <w:t>性病灶：组织检查证实赘生物或心脏内脓疡有活动性心内膜炎；</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③ 分别两次血液培养证实有微生物，且与心内膜炎符合；</w:t>
            </w:r>
          </w:p>
        </w:tc>
      </w:tr>
      <w:tr>
        <w:trPr>
          <w:trHeight w:val="624" w:hRule="atLeast"/>
        </w:trPr>
        <w:tc>
          <w:tcPr>
            <w:tcW w:w="2225" w:type="dxa"/>
          </w:tcPr>
          <w:p>
            <w:pPr>
              <w:pStyle w:val="TableParagraph"/>
              <w:ind w:left="0"/>
              <w:rPr>
                <w:rFonts w:ascii="Times New Roman"/>
                <w:sz w:val="20"/>
              </w:rPr>
            </w:pPr>
          </w:p>
        </w:tc>
        <w:tc>
          <w:tcPr>
            <w:tcW w:w="7004" w:type="dxa"/>
          </w:tcPr>
          <w:p>
            <w:pPr>
              <w:pStyle w:val="TableParagraph"/>
              <w:spacing w:line="270" w:lineRule="exact"/>
              <w:rPr>
                <w:sz w:val="21"/>
              </w:rPr>
            </w:pPr>
            <w:r>
              <w:rPr>
                <w:sz w:val="21"/>
              </w:rPr>
              <w:t>（2）心内膜炎引起中</w:t>
            </w:r>
            <w:r>
              <w:rPr>
                <w:rFonts w:ascii="Arial" w:eastAsia="Arial"/>
                <w:sz w:val="21"/>
              </w:rPr>
              <w:t>度</w:t>
            </w:r>
            <w:r>
              <w:rPr>
                <w:sz w:val="21"/>
              </w:rPr>
              <w:t>心瓣膜闭锁</w:t>
            </w:r>
            <w:r>
              <w:rPr>
                <w:rFonts w:ascii="Arial" w:eastAsia="Arial"/>
                <w:sz w:val="21"/>
              </w:rPr>
              <w:t>不</w:t>
            </w:r>
            <w:r>
              <w:rPr>
                <w:sz w:val="21"/>
              </w:rPr>
              <w:t>全（指返</w:t>
            </w:r>
            <w:r>
              <w:rPr>
                <w:rFonts w:ascii="Arial" w:eastAsia="Arial"/>
                <w:sz w:val="21"/>
              </w:rPr>
              <w:t>流</w:t>
            </w:r>
            <w:r>
              <w:rPr>
                <w:sz w:val="21"/>
              </w:rPr>
              <w:t>分数   20%或以上）或中</w:t>
            </w:r>
          </w:p>
          <w:p>
            <w:pPr>
              <w:pStyle w:val="TableParagraph"/>
              <w:spacing w:before="22"/>
              <w:rPr>
                <w:sz w:val="21"/>
              </w:rPr>
            </w:pPr>
            <w:r>
              <w:rPr>
                <w:rFonts w:ascii="Arial" w:eastAsia="Arial"/>
                <w:sz w:val="21"/>
              </w:rPr>
              <w:t>度</w:t>
            </w:r>
            <w:r>
              <w:rPr>
                <w:sz w:val="21"/>
              </w:rPr>
              <w:t>心瓣膜狭窄（指心瓣膜开口范围少于或等于正常的 30%）；</w:t>
            </w:r>
          </w:p>
        </w:tc>
      </w:tr>
      <w:tr>
        <w:trPr>
          <w:trHeight w:val="261" w:hRule="atLeast"/>
        </w:trPr>
        <w:tc>
          <w:tcPr>
            <w:tcW w:w="2225" w:type="dxa"/>
          </w:tcPr>
          <w:p>
            <w:pPr>
              <w:pStyle w:val="TableParagraph"/>
              <w:ind w:left="0"/>
              <w:rPr>
                <w:rFonts w:ascii="Times New Roman"/>
                <w:sz w:val="18"/>
              </w:rPr>
            </w:pPr>
          </w:p>
        </w:tc>
        <w:tc>
          <w:tcPr>
            <w:tcW w:w="7004" w:type="dxa"/>
          </w:tcPr>
          <w:p>
            <w:pPr>
              <w:pStyle w:val="TableParagraph"/>
              <w:spacing w:line="241" w:lineRule="exact"/>
              <w:rPr>
                <w:sz w:val="21"/>
              </w:rPr>
            </w:pPr>
            <w:r>
              <w:rPr>
                <w:sz w:val="21"/>
              </w:rPr>
              <w:t>（3）心内膜炎及心瓣膜损毁程度需经由心脏专科医生确诊。</w:t>
            </w:r>
          </w:p>
        </w:tc>
      </w:tr>
    </w:tbl>
    <w:p>
      <w:pPr>
        <w:spacing w:after="0" w:line="241" w:lineRule="exact"/>
        <w:rPr>
          <w:sz w:val="21"/>
        </w:rPr>
        <w:sectPr>
          <w:pgSz w:w="11910" w:h="16840"/>
          <w:pgMar w:header="0" w:footer="924" w:top="1480" w:bottom="1120" w:left="1600" w:right="860"/>
        </w:sectPr>
      </w:pPr>
    </w:p>
    <w:p>
      <w:pPr>
        <w:pStyle w:val="BodyText"/>
        <w:spacing w:before="9" w:after="1"/>
        <w:ind w:left="0"/>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2"/>
      </w:tblGrid>
      <w:tr>
        <w:trPr>
          <w:trHeight w:val="1041" w:hRule="atLeast"/>
        </w:trPr>
        <w:tc>
          <w:tcPr>
            <w:tcW w:w="2225" w:type="dxa"/>
          </w:tcPr>
          <w:p>
            <w:pPr>
              <w:pStyle w:val="TableParagraph"/>
              <w:spacing w:line="211" w:lineRule="exact"/>
              <w:ind w:left="200"/>
              <w:rPr>
                <w:sz w:val="21"/>
              </w:rPr>
            </w:pPr>
            <w:r>
              <w:rPr>
                <w:sz w:val="21"/>
              </w:rPr>
              <w:t>（五十）溶血性链球</w:t>
            </w:r>
          </w:p>
          <w:p>
            <w:pPr>
              <w:pStyle w:val="TableParagraph"/>
              <w:spacing w:before="37"/>
              <w:ind w:left="200"/>
              <w:rPr>
                <w:sz w:val="21"/>
              </w:rPr>
            </w:pPr>
            <w:r>
              <w:rPr>
                <w:sz w:val="21"/>
              </w:rPr>
              <w:t>菌引起的坏疽</w:t>
            </w:r>
          </w:p>
        </w:tc>
        <w:tc>
          <w:tcPr>
            <w:tcW w:w="7002" w:type="dxa"/>
          </w:tcPr>
          <w:p>
            <w:pPr>
              <w:pStyle w:val="TableParagraph"/>
              <w:spacing w:line="211" w:lineRule="exact"/>
              <w:rPr>
                <w:sz w:val="21"/>
              </w:rPr>
            </w:pPr>
            <w:r>
              <w:rPr>
                <w:sz w:val="21"/>
              </w:rPr>
              <w:t>指包围肢体或躯干的浅筋膜或深筋膜受到溶血性链球菌的感染，病情在</w:t>
            </w:r>
          </w:p>
          <w:p>
            <w:pPr>
              <w:pStyle w:val="TableParagraph"/>
              <w:spacing w:line="273" w:lineRule="auto" w:before="37"/>
              <w:ind w:right="308"/>
              <w:rPr>
                <w:sz w:val="21"/>
              </w:rPr>
            </w:pPr>
            <w:r>
              <w:rPr>
                <w:sz w:val="21"/>
              </w:rPr>
              <w:t>短时间内急剧恶化，且已经立刻进行了手术及清创术。最后的诊断必须由微生物或病理学专家进行相关检查后证实。</w:t>
            </w:r>
          </w:p>
        </w:tc>
      </w:tr>
      <w:tr>
        <w:trPr>
          <w:trHeight w:val="1872" w:hRule="atLeast"/>
        </w:trPr>
        <w:tc>
          <w:tcPr>
            <w:tcW w:w="2225" w:type="dxa"/>
          </w:tcPr>
          <w:p>
            <w:pPr>
              <w:pStyle w:val="TableParagraph"/>
              <w:spacing w:line="273" w:lineRule="auto" w:before="142"/>
              <w:ind w:left="200" w:right="105"/>
              <w:rPr>
                <w:sz w:val="21"/>
              </w:rPr>
            </w:pPr>
            <w:r>
              <w:rPr>
                <w:sz w:val="21"/>
              </w:rPr>
              <w:t>（五十一）进行性核上性麻痹（PSP）</w:t>
            </w:r>
          </w:p>
        </w:tc>
        <w:tc>
          <w:tcPr>
            <w:tcW w:w="7002" w:type="dxa"/>
          </w:tcPr>
          <w:p>
            <w:pPr>
              <w:pStyle w:val="TableParagraph"/>
              <w:spacing w:line="273" w:lineRule="auto" w:before="142"/>
              <w:ind w:right="299"/>
              <w:jc w:val="both"/>
              <w:rPr>
                <w:sz w:val="21"/>
              </w:rPr>
            </w:pPr>
            <w:r>
              <w:rPr>
                <w:spacing w:val="-2"/>
                <w:sz w:val="21"/>
              </w:rPr>
              <w:t>又称 </w:t>
            </w:r>
            <w:r>
              <w:rPr>
                <w:sz w:val="21"/>
              </w:rPr>
              <w:t>Steele-Rchardson—Olszewski</w:t>
            </w:r>
            <w:r>
              <w:rPr>
                <w:spacing w:val="-4"/>
                <w:sz w:val="21"/>
              </w:rPr>
              <w:t> 综合征，是一种少见的神经系统变性疾病，以假球麻痹、垂直性核上性眼肌麻痹、锥体外系肌僵直、步态</w:t>
            </w:r>
            <w:r>
              <w:rPr>
                <w:spacing w:val="-8"/>
                <w:sz w:val="21"/>
              </w:rPr>
              <w:t>共济失调和轻度痴呆为主要临床特征。</w:t>
            </w:r>
            <w:r>
              <w:rPr>
                <w:sz w:val="21"/>
              </w:rPr>
              <w:t>PSP</w:t>
            </w:r>
            <w:r>
              <w:rPr>
                <w:spacing w:val="-6"/>
                <w:sz w:val="21"/>
              </w:rPr>
              <w:t> 必须由三级甲等医院的神经内科专科医生确诊，并且被保险人自主生活能力完全丧失，无法独立完成</w:t>
            </w:r>
            <w:r>
              <w:rPr>
                <w:spacing w:val="-4"/>
                <w:sz w:val="21"/>
              </w:rPr>
              <w:t>六项基本日常生活活动中的三项或三项以上。</w:t>
            </w:r>
          </w:p>
        </w:tc>
      </w:tr>
      <w:tr>
        <w:trPr>
          <w:trHeight w:val="1207" w:hRule="atLeast"/>
        </w:trPr>
        <w:tc>
          <w:tcPr>
            <w:tcW w:w="2225" w:type="dxa"/>
          </w:tcPr>
          <w:p>
            <w:pPr>
              <w:pStyle w:val="TableParagraph"/>
              <w:spacing w:line="273" w:lineRule="auto" w:before="143"/>
              <w:ind w:left="200" w:right="105"/>
              <w:rPr>
                <w:sz w:val="21"/>
              </w:rPr>
            </w:pPr>
            <w:r>
              <w:rPr>
                <w:sz w:val="21"/>
              </w:rPr>
              <w:t>（五十二）肺泡蛋白质沉积症</w:t>
            </w:r>
          </w:p>
        </w:tc>
        <w:tc>
          <w:tcPr>
            <w:tcW w:w="7002" w:type="dxa"/>
          </w:tcPr>
          <w:p>
            <w:pPr>
              <w:pStyle w:val="TableParagraph"/>
              <w:spacing w:line="273" w:lineRule="auto" w:before="143"/>
              <w:ind w:right="299"/>
              <w:jc w:val="both"/>
              <w:rPr>
                <w:sz w:val="21"/>
              </w:rPr>
            </w:pPr>
            <w:r>
              <w:rPr>
                <w:spacing w:val="-3"/>
                <w:sz w:val="21"/>
              </w:rPr>
              <w:t>指肺泡和细支气管腔内充满不可溶性富磷脂蛋白的疾病，胸部 </w:t>
            </w:r>
            <w:r>
              <w:rPr>
                <w:sz w:val="21"/>
              </w:rPr>
              <w:t>X</w:t>
            </w:r>
            <w:r>
              <w:rPr>
                <w:spacing w:val="-2"/>
                <w:sz w:val="21"/>
              </w:rPr>
              <w:t> 线呈双</w:t>
            </w:r>
            <w:r>
              <w:rPr>
                <w:spacing w:val="-5"/>
                <w:sz w:val="21"/>
              </w:rPr>
              <w:t>肺弥漫性肺部磨玻璃影，病理学检查肺泡内充满有过碘酸雪夫</w:t>
            </w:r>
            <w:r>
              <w:rPr>
                <w:spacing w:val="-3"/>
                <w:sz w:val="21"/>
              </w:rPr>
              <w:t>（PAS）</w:t>
            </w:r>
            <w:r>
              <w:rPr>
                <w:spacing w:val="-10"/>
                <w:sz w:val="21"/>
              </w:rPr>
              <w:t>染</w:t>
            </w:r>
            <w:r>
              <w:rPr>
                <w:spacing w:val="-3"/>
                <w:sz w:val="21"/>
              </w:rPr>
              <w:t>色阳性的蛋白样物质，并且接受了肺灌洗治疗。</w:t>
            </w:r>
          </w:p>
        </w:tc>
      </w:tr>
      <w:tr>
        <w:trPr>
          <w:trHeight w:val="1363" w:hRule="atLeast"/>
        </w:trPr>
        <w:tc>
          <w:tcPr>
            <w:tcW w:w="2225" w:type="dxa"/>
          </w:tcPr>
          <w:p>
            <w:pPr>
              <w:pStyle w:val="TableParagraph"/>
              <w:spacing w:line="273" w:lineRule="auto" w:before="102"/>
              <w:ind w:left="200" w:right="105"/>
              <w:rPr>
                <w:sz w:val="21"/>
              </w:rPr>
            </w:pPr>
            <w:r>
              <w:rPr>
                <w:sz w:val="21"/>
              </w:rPr>
              <w:t>（五十三）严重慢性复发性胰腺炎</w:t>
            </w:r>
          </w:p>
        </w:tc>
        <w:tc>
          <w:tcPr>
            <w:tcW w:w="7002" w:type="dxa"/>
          </w:tcPr>
          <w:p>
            <w:pPr>
              <w:pStyle w:val="TableParagraph"/>
              <w:spacing w:line="273" w:lineRule="auto" w:before="102"/>
              <w:ind w:right="299"/>
              <w:jc w:val="both"/>
              <w:rPr>
                <w:sz w:val="21"/>
              </w:rPr>
            </w:pPr>
            <w:r>
              <w:rPr>
                <w:sz w:val="21"/>
              </w:rPr>
              <w:t>指有腹痛等典型症状的胰腺炎反复发作，导致胰腺进行性破坏，并导致</w:t>
            </w:r>
            <w:r>
              <w:rPr>
                <w:spacing w:val="-5"/>
                <w:sz w:val="21"/>
              </w:rPr>
              <w:t>胰腺功能紊乱而导致严重糖尿病以及营养不良、恶液质。</w:t>
            </w:r>
            <w:r>
              <w:rPr>
                <w:sz w:val="21"/>
              </w:rPr>
              <w:t>CT</w:t>
            </w:r>
            <w:r>
              <w:rPr>
                <w:spacing w:val="2"/>
                <w:sz w:val="21"/>
              </w:rPr>
              <w:t> 检查证实胰</w:t>
            </w:r>
            <w:r>
              <w:rPr>
                <w:spacing w:val="-4"/>
                <w:sz w:val="21"/>
              </w:rPr>
              <w:t>腺存在广泛钙化，且必须接受酶替代以及胰岛素替代治疗 </w:t>
            </w:r>
            <w:r>
              <w:rPr>
                <w:sz w:val="21"/>
              </w:rPr>
              <w:t>6 个月以上。</w:t>
            </w:r>
            <w:r>
              <w:rPr>
                <w:spacing w:val="-3"/>
                <w:sz w:val="21"/>
              </w:rPr>
              <w:t>诊断必须由消化科专科医生确诊。</w:t>
            </w:r>
          </w:p>
        </w:tc>
      </w:tr>
      <w:tr>
        <w:trPr>
          <w:trHeight w:val="467" w:hRule="atLeast"/>
        </w:trPr>
        <w:tc>
          <w:tcPr>
            <w:tcW w:w="2225" w:type="dxa"/>
          </w:tcPr>
          <w:p>
            <w:pPr>
              <w:pStyle w:val="TableParagraph"/>
              <w:ind w:left="0"/>
              <w:rPr>
                <w:rFonts w:ascii="Times New Roman"/>
                <w:sz w:val="20"/>
              </w:rPr>
            </w:pPr>
          </w:p>
        </w:tc>
        <w:tc>
          <w:tcPr>
            <w:tcW w:w="7002" w:type="dxa"/>
          </w:tcPr>
          <w:p>
            <w:pPr>
              <w:pStyle w:val="TableParagraph"/>
              <w:spacing w:line="261" w:lineRule="exact"/>
              <w:rPr>
                <w:sz w:val="21"/>
              </w:rPr>
            </w:pPr>
            <w:r>
              <w:rPr>
                <w:b/>
                <w:sz w:val="21"/>
              </w:rPr>
              <w:t>酒精导致的慢性复发性胰腺炎不在保障范围内</w:t>
            </w:r>
            <w:r>
              <w:rPr>
                <w:sz w:val="21"/>
              </w:rPr>
              <w:t>。</w:t>
            </w:r>
          </w:p>
        </w:tc>
      </w:tr>
      <w:tr>
        <w:trPr>
          <w:trHeight w:val="936" w:hRule="atLeast"/>
        </w:trPr>
        <w:tc>
          <w:tcPr>
            <w:tcW w:w="2225" w:type="dxa"/>
          </w:tcPr>
          <w:p>
            <w:pPr>
              <w:pStyle w:val="TableParagraph"/>
              <w:spacing w:line="273" w:lineRule="auto" w:before="142"/>
              <w:ind w:left="200" w:right="105"/>
              <w:rPr>
                <w:sz w:val="21"/>
              </w:rPr>
            </w:pPr>
            <w:r>
              <w:rPr>
                <w:sz w:val="21"/>
              </w:rPr>
              <w:t>（五十四）严重面部烧伤</w:t>
            </w:r>
          </w:p>
        </w:tc>
        <w:tc>
          <w:tcPr>
            <w:tcW w:w="7002" w:type="dxa"/>
          </w:tcPr>
          <w:p>
            <w:pPr>
              <w:pStyle w:val="TableParagraph"/>
              <w:spacing w:line="273" w:lineRule="auto" w:before="142"/>
              <w:ind w:right="304"/>
              <w:rPr>
                <w:sz w:val="21"/>
              </w:rPr>
            </w:pPr>
            <w:r>
              <w:rPr>
                <w:spacing w:val="-8"/>
                <w:sz w:val="21"/>
              </w:rPr>
              <w:t>指烧伤程度为Ⅲ度，且Ⅲ度烧伤的面积达到面部表面积的 </w:t>
            </w:r>
            <w:r>
              <w:rPr>
                <w:sz w:val="21"/>
              </w:rPr>
              <w:t>80</w:t>
            </w:r>
            <w:r>
              <w:rPr>
                <w:spacing w:val="-14"/>
                <w:sz w:val="21"/>
              </w:rPr>
              <w:t>％或 </w:t>
            </w:r>
            <w:r>
              <w:rPr>
                <w:sz w:val="21"/>
              </w:rPr>
              <w:t>80</w:t>
            </w:r>
            <w:r>
              <w:rPr>
                <w:spacing w:val="-2"/>
                <w:sz w:val="21"/>
              </w:rPr>
              <w:t>％以</w:t>
            </w:r>
            <w:r>
              <w:rPr>
                <w:sz w:val="21"/>
              </w:rPr>
              <w:t>上。</w:t>
            </w:r>
          </w:p>
        </w:tc>
      </w:tr>
      <w:tr>
        <w:trPr>
          <w:trHeight w:val="1092" w:hRule="atLeast"/>
        </w:trPr>
        <w:tc>
          <w:tcPr>
            <w:tcW w:w="2225" w:type="dxa"/>
          </w:tcPr>
          <w:p>
            <w:pPr>
              <w:pStyle w:val="TableParagraph"/>
              <w:spacing w:line="273" w:lineRule="auto" w:before="142"/>
              <w:ind w:left="200" w:right="105"/>
              <w:rPr>
                <w:sz w:val="21"/>
              </w:rPr>
            </w:pPr>
            <w:r>
              <w:rPr>
                <w:sz w:val="21"/>
              </w:rPr>
              <w:t>（五十五）肺淋巴管肌瘤病</w:t>
            </w:r>
          </w:p>
        </w:tc>
        <w:tc>
          <w:tcPr>
            <w:tcW w:w="7002" w:type="dxa"/>
          </w:tcPr>
          <w:p>
            <w:pPr>
              <w:pStyle w:val="TableParagraph"/>
              <w:spacing w:line="273" w:lineRule="auto" w:before="142"/>
              <w:ind w:right="308"/>
              <w:jc w:val="both"/>
              <w:rPr>
                <w:sz w:val="21"/>
              </w:rPr>
            </w:pPr>
            <w:r>
              <w:rPr>
                <w:sz w:val="21"/>
              </w:rPr>
              <w:t>肺淋巴管肌瘤病是一种弥漫性肺部疾病，主要病理改变为肺间质、支气管、血管和淋巴管内出现未成熟的平滑肌异常增生，同时需满足下列条件：</w:t>
            </w:r>
          </w:p>
        </w:tc>
      </w:tr>
      <w:tr>
        <w:trPr>
          <w:trHeight w:val="311" w:hRule="atLeast"/>
        </w:trPr>
        <w:tc>
          <w:tcPr>
            <w:tcW w:w="2225" w:type="dxa"/>
          </w:tcPr>
          <w:p>
            <w:pPr>
              <w:pStyle w:val="TableParagraph"/>
              <w:ind w:left="0"/>
              <w:rPr>
                <w:rFonts w:ascii="Times New Roman"/>
                <w:sz w:val="20"/>
              </w:rPr>
            </w:pPr>
          </w:p>
        </w:tc>
        <w:tc>
          <w:tcPr>
            <w:tcW w:w="7002" w:type="dxa"/>
          </w:tcPr>
          <w:p>
            <w:pPr>
              <w:pStyle w:val="TableParagraph"/>
              <w:spacing w:line="261" w:lineRule="exact"/>
              <w:rPr>
                <w:sz w:val="21"/>
              </w:rPr>
            </w:pPr>
            <w:r>
              <w:rPr>
                <w:sz w:val="21"/>
              </w:rPr>
              <w:t>（1）经组织病理学诊断；</w:t>
            </w:r>
          </w:p>
        </w:tc>
      </w:tr>
      <w:tr>
        <w:trPr>
          <w:trHeight w:val="311" w:hRule="atLeast"/>
        </w:trPr>
        <w:tc>
          <w:tcPr>
            <w:tcW w:w="2225" w:type="dxa"/>
          </w:tcPr>
          <w:p>
            <w:pPr>
              <w:pStyle w:val="TableParagraph"/>
              <w:ind w:left="0"/>
              <w:rPr>
                <w:rFonts w:ascii="Times New Roman"/>
                <w:sz w:val="20"/>
              </w:rPr>
            </w:pPr>
          </w:p>
        </w:tc>
        <w:tc>
          <w:tcPr>
            <w:tcW w:w="7002" w:type="dxa"/>
          </w:tcPr>
          <w:p>
            <w:pPr>
              <w:pStyle w:val="TableParagraph"/>
              <w:spacing w:line="261" w:lineRule="exact"/>
              <w:rPr>
                <w:sz w:val="21"/>
              </w:rPr>
            </w:pPr>
            <w:r>
              <w:rPr>
                <w:sz w:val="21"/>
              </w:rPr>
              <w:t>（2）CT 显示双肺弥漫性囊性改变；</w:t>
            </w:r>
          </w:p>
        </w:tc>
      </w:tr>
      <w:tr>
        <w:trPr>
          <w:trHeight w:val="468" w:hRule="atLeast"/>
        </w:trPr>
        <w:tc>
          <w:tcPr>
            <w:tcW w:w="2225" w:type="dxa"/>
          </w:tcPr>
          <w:p>
            <w:pPr>
              <w:pStyle w:val="TableParagraph"/>
              <w:ind w:left="0"/>
              <w:rPr>
                <w:rFonts w:ascii="Times New Roman"/>
                <w:sz w:val="20"/>
              </w:rPr>
            </w:pPr>
          </w:p>
        </w:tc>
        <w:tc>
          <w:tcPr>
            <w:tcW w:w="7002" w:type="dxa"/>
          </w:tcPr>
          <w:p>
            <w:pPr>
              <w:pStyle w:val="TableParagraph"/>
              <w:spacing w:line="261" w:lineRule="exact"/>
              <w:rPr>
                <w:sz w:val="21"/>
              </w:rPr>
            </w:pPr>
            <w:r>
              <w:rPr>
                <w:sz w:val="21"/>
              </w:rPr>
              <w:t>（3）血气提示低氧血症。</w:t>
            </w:r>
          </w:p>
        </w:tc>
      </w:tr>
      <w:tr>
        <w:trPr>
          <w:trHeight w:val="1248" w:hRule="atLeast"/>
        </w:trPr>
        <w:tc>
          <w:tcPr>
            <w:tcW w:w="2225" w:type="dxa"/>
          </w:tcPr>
          <w:p>
            <w:pPr>
              <w:pStyle w:val="TableParagraph"/>
              <w:spacing w:before="142"/>
              <w:ind w:left="200"/>
              <w:rPr>
                <w:sz w:val="21"/>
              </w:rPr>
            </w:pPr>
            <w:r>
              <w:rPr>
                <w:sz w:val="21"/>
              </w:rPr>
              <w:t>（五十六）象皮病</w:t>
            </w:r>
          </w:p>
        </w:tc>
        <w:tc>
          <w:tcPr>
            <w:tcW w:w="7002" w:type="dxa"/>
          </w:tcPr>
          <w:p>
            <w:pPr>
              <w:pStyle w:val="TableParagraph"/>
              <w:spacing w:line="273" w:lineRule="auto" w:before="142"/>
              <w:ind w:right="308"/>
              <w:jc w:val="both"/>
              <w:rPr>
                <w:sz w:val="21"/>
              </w:rPr>
            </w:pPr>
            <w:r>
              <w:rPr>
                <w:sz w:val="21"/>
              </w:rPr>
              <w:t>指末期丝虫病，按国际淋巴学会分级为三度淋巴液肿，其临床表现为肢体非凹陷性水肿伴畸形增大、硬皮症和疣状增生。此病症须经相关专科医生根据临床表现和微丝蚴的化验结果确诊。</w:t>
            </w:r>
          </w:p>
        </w:tc>
      </w:tr>
      <w:tr>
        <w:trPr>
          <w:trHeight w:val="780" w:hRule="atLeast"/>
        </w:trPr>
        <w:tc>
          <w:tcPr>
            <w:tcW w:w="2225" w:type="dxa"/>
          </w:tcPr>
          <w:p>
            <w:pPr>
              <w:pStyle w:val="TableParagraph"/>
              <w:spacing w:before="142"/>
              <w:ind w:left="200"/>
              <w:rPr>
                <w:sz w:val="21"/>
              </w:rPr>
            </w:pPr>
            <w:r>
              <w:rPr>
                <w:sz w:val="21"/>
              </w:rPr>
              <w:t>（五十七）胰腺移植</w:t>
            </w:r>
          </w:p>
        </w:tc>
        <w:tc>
          <w:tcPr>
            <w:tcW w:w="7002" w:type="dxa"/>
          </w:tcPr>
          <w:p>
            <w:pPr>
              <w:pStyle w:val="TableParagraph"/>
              <w:spacing w:line="273" w:lineRule="auto" w:before="142"/>
              <w:ind w:right="308"/>
              <w:rPr>
                <w:sz w:val="21"/>
              </w:rPr>
            </w:pPr>
            <w:r>
              <w:rPr>
                <w:sz w:val="21"/>
              </w:rPr>
              <w:t>指因胰腺功能衰竭，已经实施了在全身麻醉下进行的胰腺的异体器官移植手术（供体必须是人体器官）。</w:t>
            </w:r>
          </w:p>
        </w:tc>
      </w:tr>
      <w:tr>
        <w:trPr>
          <w:trHeight w:val="467" w:hRule="atLeast"/>
        </w:trPr>
        <w:tc>
          <w:tcPr>
            <w:tcW w:w="2225" w:type="dxa"/>
          </w:tcPr>
          <w:p>
            <w:pPr>
              <w:pStyle w:val="TableParagraph"/>
              <w:ind w:left="0"/>
              <w:rPr>
                <w:rFonts w:ascii="Times New Roman"/>
                <w:sz w:val="20"/>
              </w:rPr>
            </w:pPr>
          </w:p>
        </w:tc>
        <w:tc>
          <w:tcPr>
            <w:tcW w:w="7002" w:type="dxa"/>
          </w:tcPr>
          <w:p>
            <w:pPr>
              <w:pStyle w:val="TableParagraph"/>
              <w:spacing w:line="261" w:lineRule="exact"/>
              <w:rPr>
                <w:sz w:val="21"/>
              </w:rPr>
            </w:pPr>
            <w:r>
              <w:rPr>
                <w:b/>
                <w:sz w:val="21"/>
              </w:rPr>
              <w:t>单纯胰岛移植、部分胰腺组织或细胞的移植不在保障范围内</w:t>
            </w:r>
            <w:r>
              <w:rPr>
                <w:sz w:val="21"/>
              </w:rPr>
              <w:t>。</w:t>
            </w:r>
          </w:p>
        </w:tc>
      </w:tr>
      <w:tr>
        <w:trPr>
          <w:trHeight w:val="1092" w:hRule="atLeast"/>
        </w:trPr>
        <w:tc>
          <w:tcPr>
            <w:tcW w:w="2225" w:type="dxa"/>
          </w:tcPr>
          <w:p>
            <w:pPr>
              <w:pStyle w:val="TableParagraph"/>
              <w:spacing w:line="273" w:lineRule="auto" w:before="142"/>
              <w:ind w:left="200" w:right="105"/>
              <w:rPr>
                <w:sz w:val="21"/>
              </w:rPr>
            </w:pPr>
            <w:r>
              <w:rPr>
                <w:sz w:val="21"/>
              </w:rPr>
              <w:t>（五十八）严重川崎病</w:t>
            </w:r>
          </w:p>
        </w:tc>
        <w:tc>
          <w:tcPr>
            <w:tcW w:w="7002" w:type="dxa"/>
          </w:tcPr>
          <w:p>
            <w:pPr>
              <w:pStyle w:val="TableParagraph"/>
              <w:spacing w:line="273" w:lineRule="auto" w:before="142"/>
              <w:ind w:right="308"/>
              <w:jc w:val="both"/>
              <w:rPr>
                <w:sz w:val="21"/>
              </w:rPr>
            </w:pPr>
            <w:r>
              <w:rPr>
                <w:sz w:val="21"/>
              </w:rPr>
              <w:t>是一种血管炎综合征，临床表现为急性发热，皮肤粘膜病损和淋巴结肿大。本病须经专科医生明确诊断，同时须由血管造影或超声心动图检查证实，满足下列至少一项条件：</w:t>
            </w:r>
          </w:p>
        </w:tc>
      </w:tr>
      <w:tr>
        <w:trPr>
          <w:trHeight w:val="312" w:hRule="atLeast"/>
        </w:trPr>
        <w:tc>
          <w:tcPr>
            <w:tcW w:w="2225" w:type="dxa"/>
          </w:tcPr>
          <w:p>
            <w:pPr>
              <w:pStyle w:val="TableParagraph"/>
              <w:ind w:left="0"/>
              <w:rPr>
                <w:rFonts w:ascii="Times New Roman"/>
                <w:sz w:val="20"/>
              </w:rPr>
            </w:pPr>
          </w:p>
        </w:tc>
        <w:tc>
          <w:tcPr>
            <w:tcW w:w="7002" w:type="dxa"/>
          </w:tcPr>
          <w:p>
            <w:pPr>
              <w:pStyle w:val="TableParagraph"/>
              <w:spacing w:line="261" w:lineRule="exact"/>
              <w:rPr>
                <w:sz w:val="21"/>
              </w:rPr>
            </w:pPr>
            <w:r>
              <w:rPr>
                <w:spacing w:val="-23"/>
                <w:sz w:val="21"/>
              </w:rPr>
              <w:t>（1）</w:t>
            </w:r>
            <w:r>
              <w:rPr>
                <w:spacing w:val="-11"/>
                <w:sz w:val="21"/>
              </w:rPr>
              <w:t>伴有冠状动脉瘤，且冠状动脉瘤于最初急性发病后持续至少 </w:t>
            </w:r>
            <w:r>
              <w:rPr>
                <w:sz w:val="21"/>
              </w:rPr>
              <w:t>180</w:t>
            </w:r>
            <w:r>
              <w:rPr>
                <w:spacing w:val="-14"/>
                <w:sz w:val="21"/>
              </w:rPr>
              <w:t> 天；</w:t>
            </w:r>
          </w:p>
        </w:tc>
      </w:tr>
      <w:tr>
        <w:trPr>
          <w:trHeight w:val="261" w:hRule="atLeast"/>
        </w:trPr>
        <w:tc>
          <w:tcPr>
            <w:tcW w:w="2225" w:type="dxa"/>
          </w:tcPr>
          <w:p>
            <w:pPr>
              <w:pStyle w:val="TableParagraph"/>
              <w:ind w:left="0"/>
              <w:rPr>
                <w:rFonts w:ascii="Times New Roman"/>
                <w:sz w:val="18"/>
              </w:rPr>
            </w:pPr>
          </w:p>
        </w:tc>
        <w:tc>
          <w:tcPr>
            <w:tcW w:w="7002" w:type="dxa"/>
          </w:tcPr>
          <w:p>
            <w:pPr>
              <w:pStyle w:val="TableParagraph"/>
              <w:spacing w:line="242" w:lineRule="exact"/>
              <w:rPr>
                <w:sz w:val="21"/>
              </w:rPr>
            </w:pPr>
            <w:r>
              <w:rPr>
                <w:sz w:val="21"/>
              </w:rPr>
              <w:t>（2）伴有冠状动脉瘤，且实际接受了对冠状动脉瘤进行的手术治疗。</w:t>
            </w:r>
          </w:p>
        </w:tc>
      </w:tr>
    </w:tbl>
    <w:p>
      <w:pPr>
        <w:spacing w:after="0" w:line="242" w:lineRule="exact"/>
        <w:rPr>
          <w:sz w:val="21"/>
        </w:rPr>
        <w:sectPr>
          <w:pgSz w:w="11910" w:h="16840"/>
          <w:pgMar w:header="0" w:footer="924" w:top="1580" w:bottom="1120" w:left="1600" w:right="860"/>
        </w:sectPr>
      </w:pPr>
    </w:p>
    <w:p>
      <w:pPr>
        <w:pStyle w:val="BodyText"/>
        <w:spacing w:before="9" w:after="1"/>
        <w:ind w:left="0"/>
        <w:rPr>
          <w:rFonts w:ascii="Times New Roman"/>
          <w:sz w:val="17"/>
        </w:r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78"/>
        <w:gridCol w:w="6954"/>
      </w:tblGrid>
      <w:tr>
        <w:trPr>
          <w:trHeight w:val="261" w:hRule="atLeast"/>
        </w:trPr>
        <w:tc>
          <w:tcPr>
            <w:tcW w:w="2278" w:type="dxa"/>
            <w:vMerge w:val="restart"/>
          </w:tcPr>
          <w:p>
            <w:pPr>
              <w:pStyle w:val="TableParagraph"/>
              <w:spacing w:line="211" w:lineRule="exact"/>
              <w:ind w:left="200"/>
              <w:rPr>
                <w:sz w:val="21"/>
              </w:rPr>
            </w:pPr>
            <w:r>
              <w:rPr>
                <w:sz w:val="21"/>
              </w:rPr>
              <w:t>（五十九）肾髓质囊</w:t>
            </w:r>
          </w:p>
          <w:p>
            <w:pPr>
              <w:pStyle w:val="TableParagraph"/>
              <w:spacing w:before="37"/>
              <w:ind w:left="200"/>
              <w:rPr>
                <w:sz w:val="21"/>
              </w:rPr>
            </w:pPr>
            <w:r>
              <w:rPr>
                <w:sz w:val="21"/>
              </w:rPr>
              <w:t>肿病</w:t>
            </w:r>
          </w:p>
        </w:tc>
        <w:tc>
          <w:tcPr>
            <w:tcW w:w="6954" w:type="dxa"/>
          </w:tcPr>
          <w:p>
            <w:pPr>
              <w:pStyle w:val="TableParagraph"/>
              <w:spacing w:line="211" w:lineRule="exact"/>
              <w:ind w:left="53"/>
              <w:rPr>
                <w:sz w:val="21"/>
              </w:rPr>
            </w:pPr>
            <w:r>
              <w:rPr>
                <w:sz w:val="21"/>
              </w:rPr>
              <w:t>肾髓质囊肿病的诊断须同时符合下列要求：</w:t>
            </w:r>
          </w:p>
        </w:tc>
      </w:tr>
      <w:tr>
        <w:trPr>
          <w:trHeight w:val="311" w:hRule="atLeast"/>
        </w:trPr>
        <w:tc>
          <w:tcPr>
            <w:tcW w:w="2278" w:type="dxa"/>
            <w:vMerge/>
            <w:tcBorders>
              <w:top w:val="nil"/>
            </w:tcBorders>
          </w:tcPr>
          <w:p>
            <w:pPr>
              <w:rPr>
                <w:sz w:val="2"/>
                <w:szCs w:val="2"/>
              </w:rPr>
            </w:pPr>
          </w:p>
        </w:tc>
        <w:tc>
          <w:tcPr>
            <w:tcW w:w="6954" w:type="dxa"/>
          </w:tcPr>
          <w:p>
            <w:pPr>
              <w:pStyle w:val="TableParagraph"/>
              <w:spacing w:line="261" w:lineRule="exact"/>
              <w:ind w:left="53"/>
              <w:rPr>
                <w:sz w:val="21"/>
              </w:rPr>
            </w:pPr>
            <w:r>
              <w:rPr>
                <w:sz w:val="21"/>
              </w:rPr>
              <w:t>（1）肾髓质有囊肿、肾小管萎缩及间质纤维化等病理改变；</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（2）贫血、多尿及肾功能衰竭等临床表现；</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（3）诊断须由肾组织活检确定。</w:t>
            </w:r>
          </w:p>
        </w:tc>
      </w:tr>
      <w:tr>
        <w:trPr>
          <w:trHeight w:val="468"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b/>
                <w:sz w:val="21"/>
              </w:rPr>
            </w:pPr>
            <w:r>
              <w:rPr>
                <w:b/>
                <w:sz w:val="21"/>
              </w:rPr>
              <w:t>单独或良性肾囊肿则不在保障范围内。</w:t>
            </w:r>
          </w:p>
        </w:tc>
      </w:tr>
      <w:tr>
        <w:trPr>
          <w:trHeight w:val="467" w:hRule="atLeast"/>
        </w:trPr>
        <w:tc>
          <w:tcPr>
            <w:tcW w:w="2278" w:type="dxa"/>
          </w:tcPr>
          <w:p>
            <w:pPr>
              <w:pStyle w:val="TableParagraph"/>
              <w:spacing w:before="142"/>
              <w:ind w:left="200"/>
              <w:rPr>
                <w:sz w:val="21"/>
              </w:rPr>
            </w:pPr>
            <w:r>
              <w:rPr>
                <w:sz w:val="21"/>
              </w:rPr>
              <w:t>（六十）克雅氏病</w:t>
            </w:r>
          </w:p>
        </w:tc>
        <w:tc>
          <w:tcPr>
            <w:tcW w:w="6954" w:type="dxa"/>
          </w:tcPr>
          <w:p>
            <w:pPr>
              <w:pStyle w:val="TableParagraph"/>
              <w:spacing w:before="142"/>
              <w:ind w:left="53"/>
              <w:rPr>
                <w:sz w:val="21"/>
              </w:rPr>
            </w:pPr>
            <w:r>
              <w:rPr>
                <w:sz w:val="21"/>
              </w:rPr>
              <w:t>神经系统疾病及致命的成胶质状脑病，并有以下症状：</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（1）不能控制的肌肉痉挛及震颤；</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（2）逐渐痴呆；</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（3）小脑功能不良，共济失调；</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2" w:lineRule="exact"/>
              <w:ind w:left="53"/>
              <w:rPr>
                <w:sz w:val="21"/>
              </w:rPr>
            </w:pPr>
            <w:r>
              <w:rPr>
                <w:sz w:val="21"/>
              </w:rPr>
              <w:t>（4）手足徐动症；</w:t>
            </w:r>
          </w:p>
        </w:tc>
      </w:tr>
      <w:tr>
        <w:trPr>
          <w:trHeight w:val="780"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诊断必须经神经专科医生基于以下检查报告作出：脑电图、脑脊液报告、</w:t>
            </w:r>
          </w:p>
          <w:p>
            <w:pPr>
              <w:pStyle w:val="TableParagraph"/>
              <w:spacing w:before="37"/>
              <w:ind w:left="53"/>
              <w:rPr>
                <w:sz w:val="21"/>
              </w:rPr>
            </w:pPr>
            <w:r>
              <w:rPr>
                <w:sz w:val="21"/>
              </w:rPr>
              <w:t>电脑断层扫描（CT）及核磁共振（MRI）。</w:t>
            </w:r>
          </w:p>
        </w:tc>
      </w:tr>
      <w:tr>
        <w:trPr>
          <w:trHeight w:val="797" w:hRule="atLeast"/>
        </w:trPr>
        <w:tc>
          <w:tcPr>
            <w:tcW w:w="2278" w:type="dxa"/>
          </w:tcPr>
          <w:p>
            <w:pPr>
              <w:pStyle w:val="TableParagraph"/>
              <w:spacing w:line="273" w:lineRule="auto" w:before="142"/>
              <w:ind w:left="200" w:right="158"/>
              <w:rPr>
                <w:sz w:val="21"/>
              </w:rPr>
            </w:pPr>
            <w:r>
              <w:rPr>
                <w:sz w:val="21"/>
              </w:rPr>
              <w:t>（六十一）失去一肢及一眼</w:t>
            </w:r>
          </w:p>
        </w:tc>
        <w:tc>
          <w:tcPr>
            <w:tcW w:w="6954" w:type="dxa"/>
          </w:tcPr>
          <w:p>
            <w:pPr>
              <w:pStyle w:val="TableParagraph"/>
              <w:spacing w:before="142"/>
              <w:ind w:left="53"/>
              <w:rPr>
                <w:sz w:val="21"/>
              </w:rPr>
            </w:pPr>
            <w:r>
              <w:rPr>
                <w:sz w:val="21"/>
              </w:rPr>
              <w:t>因疾病或意外伤害导致单眼视力丧失及任何一肢自腕关节或踝关节近端</w:t>
            </w:r>
          </w:p>
          <w:p>
            <w:pPr>
              <w:pStyle w:val="TableParagraph"/>
              <w:spacing w:before="36"/>
              <w:ind w:left="53"/>
              <w:rPr>
                <w:sz w:val="21"/>
              </w:rPr>
            </w:pPr>
            <w:r>
              <w:rPr>
                <w:sz w:val="21"/>
              </w:rPr>
              <w:t>（靠近躯干端）以上完全性断离。</w:t>
            </w:r>
          </w:p>
        </w:tc>
      </w:tr>
      <w:tr>
        <w:trPr>
          <w:trHeight w:val="642" w:hRule="atLeast"/>
        </w:trPr>
        <w:tc>
          <w:tcPr>
            <w:tcW w:w="2278" w:type="dxa"/>
          </w:tcPr>
          <w:p>
            <w:pPr>
              <w:pStyle w:val="TableParagraph"/>
              <w:ind w:left="0"/>
              <w:rPr>
                <w:rFonts w:ascii="Times New Roman"/>
                <w:sz w:val="20"/>
              </w:rPr>
            </w:pPr>
          </w:p>
        </w:tc>
        <w:tc>
          <w:tcPr>
            <w:tcW w:w="6954" w:type="dxa"/>
          </w:tcPr>
          <w:p>
            <w:pPr>
              <w:pStyle w:val="TableParagraph"/>
              <w:spacing w:line="273" w:lineRule="auto" w:before="4"/>
              <w:ind w:left="53" w:right="313"/>
              <w:rPr>
                <w:sz w:val="21"/>
              </w:rPr>
            </w:pPr>
            <w:r>
              <w:rPr>
                <w:sz w:val="21"/>
              </w:rPr>
              <w:t>单眼视力丧失指单眼视力永久不可逆性丧失，患眼须满足下列至少一项条件：</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（1）眼球缺失或摘除；</w:t>
            </w:r>
          </w:p>
        </w:tc>
      </w:tr>
      <w:tr>
        <w:trPr>
          <w:trHeight w:val="624"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（2）矫正视力低于 0.02（采用国际标准视力表，如果使用其它视力表应</w:t>
            </w:r>
          </w:p>
          <w:p>
            <w:pPr>
              <w:pStyle w:val="TableParagraph"/>
              <w:spacing w:before="37"/>
              <w:ind w:left="53"/>
              <w:rPr>
                <w:sz w:val="21"/>
              </w:rPr>
            </w:pPr>
            <w:r>
              <w:rPr>
                <w:sz w:val="21"/>
              </w:rPr>
              <w:t>进行换算）；</w:t>
            </w:r>
          </w:p>
        </w:tc>
      </w:tr>
      <w:tr>
        <w:trPr>
          <w:trHeight w:val="311"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（3）视野半径小于 5 度。</w:t>
            </w:r>
          </w:p>
        </w:tc>
      </w:tr>
      <w:tr>
        <w:trPr>
          <w:trHeight w:val="467"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b/>
                <w:sz w:val="21"/>
              </w:rPr>
            </w:pPr>
            <w:r>
              <w:rPr>
                <w:b/>
                <w:sz w:val="21"/>
              </w:rPr>
              <w:t>被保险人在 3 周岁之前因疾病导致单眼视力丧失不在保障范围内。</w:t>
            </w:r>
          </w:p>
        </w:tc>
      </w:tr>
      <w:tr>
        <w:trPr>
          <w:trHeight w:val="983" w:hRule="atLeast"/>
        </w:trPr>
        <w:tc>
          <w:tcPr>
            <w:tcW w:w="2278" w:type="dxa"/>
          </w:tcPr>
          <w:p>
            <w:pPr>
              <w:pStyle w:val="TableParagraph"/>
              <w:spacing w:line="273" w:lineRule="auto" w:before="142"/>
              <w:ind w:left="200" w:right="158"/>
              <w:rPr>
                <w:sz w:val="21"/>
              </w:rPr>
            </w:pPr>
            <w:r>
              <w:rPr>
                <w:sz w:val="21"/>
              </w:rPr>
              <w:t>（六十二）嗜铬细胞瘤</w:t>
            </w:r>
          </w:p>
        </w:tc>
        <w:tc>
          <w:tcPr>
            <w:tcW w:w="6954" w:type="dxa"/>
          </w:tcPr>
          <w:p>
            <w:pPr>
              <w:pStyle w:val="TableParagraph"/>
              <w:spacing w:line="273" w:lineRule="auto" w:before="142"/>
              <w:ind w:left="53" w:right="313"/>
              <w:rPr>
                <w:sz w:val="21"/>
              </w:rPr>
            </w:pPr>
            <w:r>
              <w:rPr>
                <w:sz w:val="21"/>
              </w:rPr>
              <w:t>指肾上腺或肾上腺外组织出现嗜铬细胞瘤，并分泌过多的儿茶酚胺类， 并确已实施手术以切除肿瘤。</w:t>
            </w:r>
          </w:p>
        </w:tc>
      </w:tr>
      <w:tr>
        <w:trPr>
          <w:trHeight w:val="1296" w:hRule="atLeast"/>
        </w:trPr>
        <w:tc>
          <w:tcPr>
            <w:tcW w:w="2278" w:type="dxa"/>
          </w:tcPr>
          <w:p>
            <w:pPr>
              <w:pStyle w:val="TableParagraph"/>
              <w:spacing w:before="6"/>
              <w:ind w:left="0"/>
              <w:rPr>
                <w:rFonts w:ascii="Times New Roman"/>
                <w:sz w:val="16"/>
              </w:rPr>
            </w:pPr>
          </w:p>
          <w:p>
            <w:pPr>
              <w:pStyle w:val="TableParagraph"/>
              <w:spacing w:line="259" w:lineRule="auto"/>
              <w:ind w:left="200" w:right="158"/>
              <w:rPr>
                <w:sz w:val="21"/>
              </w:rPr>
            </w:pPr>
            <w:r>
              <w:rPr>
                <w:w w:val="105"/>
                <w:sz w:val="21"/>
              </w:rPr>
              <w:t>（六十三）</w:t>
            </w:r>
            <w:r>
              <w:rPr>
                <w:rFonts w:ascii="Arial" w:eastAsia="Arial"/>
                <w:w w:val="115"/>
                <w:sz w:val="21"/>
              </w:rPr>
              <w:t>糖尿</w:t>
            </w:r>
            <w:r>
              <w:rPr>
                <w:spacing w:val="-73"/>
                <w:w w:val="105"/>
                <w:sz w:val="21"/>
              </w:rPr>
              <w:t>病并</w:t>
            </w:r>
            <w:r>
              <w:rPr>
                <w:spacing w:val="-3"/>
                <w:sz w:val="21"/>
              </w:rPr>
              <w:t>发症引致的脚部截除</w:t>
            </w:r>
          </w:p>
        </w:tc>
        <w:tc>
          <w:tcPr>
            <w:tcW w:w="6954" w:type="dxa"/>
          </w:tcPr>
          <w:p>
            <w:pPr>
              <w:pStyle w:val="TableParagraph"/>
              <w:spacing w:before="6"/>
              <w:ind w:left="0"/>
              <w:rPr>
                <w:rFonts w:ascii="Times New Roman"/>
                <w:sz w:val="16"/>
              </w:rPr>
            </w:pPr>
          </w:p>
          <w:p>
            <w:pPr>
              <w:pStyle w:val="TableParagraph"/>
              <w:spacing w:line="273" w:lineRule="auto"/>
              <w:ind w:left="53" w:right="372"/>
              <w:jc w:val="both"/>
              <w:rPr>
                <w:b/>
                <w:sz w:val="21"/>
              </w:rPr>
            </w:pPr>
            <w:r>
              <w:rPr>
                <w:sz w:val="21"/>
              </w:rPr>
              <w:t>因糖尿病引起的神经及血管病变而经糖尿病专科医生建议，由足踝或以上位置截除双脚是维持生命的唯一方法。</w:t>
            </w:r>
            <w:r>
              <w:rPr>
                <w:b/>
                <w:sz w:val="21"/>
              </w:rPr>
              <w:t>因任何其他原因引起的截除术并不在保障范围内。</w:t>
            </w:r>
          </w:p>
        </w:tc>
      </w:tr>
      <w:tr>
        <w:trPr>
          <w:trHeight w:val="1404" w:hRule="atLeast"/>
        </w:trPr>
        <w:tc>
          <w:tcPr>
            <w:tcW w:w="2278" w:type="dxa"/>
          </w:tcPr>
          <w:p>
            <w:pPr>
              <w:pStyle w:val="TableParagraph"/>
              <w:spacing w:line="273" w:lineRule="auto" w:before="143"/>
              <w:ind w:left="200" w:right="52"/>
              <w:rPr>
                <w:sz w:val="21"/>
              </w:rPr>
            </w:pPr>
            <w:r>
              <w:rPr>
                <w:sz w:val="21"/>
              </w:rPr>
              <w:t>（六十四）严重瑞氏</w:t>
            </w:r>
            <w:r>
              <w:rPr>
                <w:spacing w:val="18"/>
                <w:sz w:val="21"/>
              </w:rPr>
              <w:t>综合症</w:t>
            </w:r>
            <w:r>
              <w:rPr>
                <w:sz w:val="21"/>
              </w:rPr>
              <w:t>（</w:t>
            </w:r>
            <w:r>
              <w:rPr>
                <w:spacing w:val="-82"/>
                <w:sz w:val="21"/>
              </w:rPr>
              <w:t> </w:t>
            </w:r>
            <w:r>
              <w:rPr>
                <w:sz w:val="21"/>
              </w:rPr>
              <w:t>Reye</w:t>
            </w:r>
            <w:r>
              <w:rPr>
                <w:spacing w:val="20"/>
                <w:sz w:val="21"/>
              </w:rPr>
              <w:t> 综合</w:t>
            </w:r>
            <w:r>
              <w:rPr>
                <w:spacing w:val="-11"/>
                <w:sz w:val="21"/>
              </w:rPr>
              <w:t>征，也称赖氏综合征、</w:t>
            </w:r>
            <w:r>
              <w:rPr>
                <w:spacing w:val="-3"/>
                <w:sz w:val="21"/>
              </w:rPr>
              <w:t>雷氏综合征</w:t>
            </w:r>
            <w:r>
              <w:rPr>
                <w:sz w:val="21"/>
              </w:rPr>
              <w:t>）</w:t>
            </w:r>
          </w:p>
        </w:tc>
        <w:tc>
          <w:tcPr>
            <w:tcW w:w="6954" w:type="dxa"/>
          </w:tcPr>
          <w:p>
            <w:pPr>
              <w:pStyle w:val="TableParagraph"/>
              <w:spacing w:line="273" w:lineRule="auto" w:before="143"/>
              <w:ind w:left="53" w:right="313"/>
              <w:jc w:val="both"/>
              <w:rPr>
                <w:sz w:val="21"/>
              </w:rPr>
            </w:pPr>
            <w:r>
              <w:rPr>
                <w:sz w:val="21"/>
              </w:rPr>
              <w:t>瑞氏综合症是线粒体功能障碍性疾病。导致脂肪代谢障碍，引起短链脂肪酸、血氨升高，造成脑水肿。主要临床表现为急性发热、反复呕吐、惊厥及意识障碍等等。瑞氏综合症需由三级医院的专科医生确诊，并符合下列所有条件：</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（1）有脑水肿和颅内压升高的脑脊液检查和影像学检查证据；</w:t>
            </w:r>
          </w:p>
        </w:tc>
      </w:tr>
      <w:tr>
        <w:trPr>
          <w:trHeight w:val="311"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（2）血氨超过正常值的 3 倍；</w:t>
            </w:r>
          </w:p>
        </w:tc>
      </w:tr>
      <w:tr>
        <w:trPr>
          <w:trHeight w:val="312" w:hRule="atLeast"/>
        </w:trPr>
        <w:tc>
          <w:tcPr>
            <w:tcW w:w="2278" w:type="dxa"/>
          </w:tcPr>
          <w:p>
            <w:pPr>
              <w:pStyle w:val="TableParagraph"/>
              <w:ind w:left="0"/>
              <w:rPr>
                <w:rFonts w:ascii="Times New Roman"/>
                <w:sz w:val="20"/>
              </w:rPr>
            </w:pPr>
          </w:p>
        </w:tc>
        <w:tc>
          <w:tcPr>
            <w:tcW w:w="6954" w:type="dxa"/>
          </w:tcPr>
          <w:p>
            <w:pPr>
              <w:pStyle w:val="TableParagraph"/>
              <w:spacing w:line="261" w:lineRule="exact"/>
              <w:ind w:left="53"/>
              <w:rPr>
                <w:sz w:val="21"/>
              </w:rPr>
            </w:pPr>
            <w:r>
              <w:rPr>
                <w:sz w:val="21"/>
              </w:rPr>
              <w:t>（3）临床出现昏迷，病程至少达到疾病分期第 3 期；</w:t>
            </w:r>
          </w:p>
        </w:tc>
      </w:tr>
      <w:tr>
        <w:trPr>
          <w:trHeight w:val="261" w:hRule="atLeast"/>
        </w:trPr>
        <w:tc>
          <w:tcPr>
            <w:tcW w:w="2278" w:type="dxa"/>
          </w:tcPr>
          <w:p>
            <w:pPr>
              <w:pStyle w:val="TableParagraph"/>
              <w:ind w:left="0"/>
              <w:rPr>
                <w:rFonts w:ascii="Times New Roman"/>
                <w:sz w:val="18"/>
              </w:rPr>
            </w:pPr>
          </w:p>
        </w:tc>
        <w:tc>
          <w:tcPr>
            <w:tcW w:w="6954" w:type="dxa"/>
          </w:tcPr>
          <w:p>
            <w:pPr>
              <w:pStyle w:val="TableParagraph"/>
              <w:spacing w:line="242" w:lineRule="exact"/>
              <w:ind w:left="53"/>
              <w:rPr>
                <w:sz w:val="21"/>
              </w:rPr>
            </w:pPr>
            <w:r>
              <w:rPr>
                <w:sz w:val="21"/>
              </w:rPr>
              <w:t>（4）瑞氏综合症的诊断必须经肝脏活检确诊。</w:t>
            </w:r>
          </w:p>
        </w:tc>
      </w:tr>
    </w:tbl>
    <w:p>
      <w:pPr>
        <w:spacing w:after="0" w:line="242" w:lineRule="exact"/>
        <w:rPr>
          <w:sz w:val="21"/>
        </w:rPr>
        <w:sectPr>
          <w:pgSz w:w="11910" w:h="16840"/>
          <w:pgMar w:header="0" w:footer="924" w:top="15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4"/>
      </w:tblGrid>
      <w:tr>
        <w:trPr>
          <w:trHeight w:val="1192" w:hRule="atLeast"/>
        </w:trPr>
        <w:tc>
          <w:tcPr>
            <w:tcW w:w="2225" w:type="dxa"/>
          </w:tcPr>
          <w:p>
            <w:pPr>
              <w:pStyle w:val="TableParagraph"/>
              <w:spacing w:line="204" w:lineRule="exact"/>
              <w:ind w:left="200"/>
              <w:rPr>
                <w:sz w:val="21"/>
              </w:rPr>
            </w:pPr>
            <w:r>
              <w:rPr>
                <w:sz w:val="21"/>
              </w:rPr>
              <w:t>（六十五）严重自身</w:t>
            </w:r>
          </w:p>
          <w:p>
            <w:pPr>
              <w:pStyle w:val="TableParagraph"/>
              <w:spacing w:before="37"/>
              <w:ind w:left="200"/>
              <w:rPr>
                <w:sz w:val="21"/>
              </w:rPr>
            </w:pPr>
            <w:r>
              <w:rPr>
                <w:sz w:val="21"/>
              </w:rPr>
              <w:t>免疫性肝炎</w:t>
            </w:r>
          </w:p>
        </w:tc>
        <w:tc>
          <w:tcPr>
            <w:tcW w:w="7004" w:type="dxa"/>
          </w:tcPr>
          <w:p>
            <w:pPr>
              <w:pStyle w:val="TableParagraph"/>
              <w:spacing w:line="204" w:lineRule="exact"/>
              <w:rPr>
                <w:sz w:val="21"/>
              </w:rPr>
            </w:pPr>
            <w:r>
              <w:rPr>
                <w:sz w:val="21"/>
              </w:rPr>
              <w:t>自身免疫性肝炎是一种原因不明的慢性肝脏的坏死性炎性疾病，机体免</w:t>
            </w:r>
          </w:p>
          <w:p>
            <w:pPr>
              <w:pStyle w:val="TableParagraph"/>
              <w:spacing w:line="273" w:lineRule="auto" w:before="37"/>
              <w:ind w:right="310"/>
              <w:jc w:val="both"/>
              <w:rPr>
                <w:sz w:val="21"/>
              </w:rPr>
            </w:pPr>
            <w:r>
              <w:rPr>
                <w:sz w:val="21"/>
              </w:rPr>
              <w:t>疫机制被破坏，产生针对肝脏自身抗原的抗体导致自身免疫反应，从而破坏肝细胞造成肝脏炎症坏死，进而发展为肝硬化。必须满足所有以下条件：</w:t>
            </w:r>
          </w:p>
        </w:tc>
      </w:tr>
      <w:tr>
        <w:trPr>
          <w:trHeight w:val="324" w:hRule="atLeast"/>
        </w:trPr>
        <w:tc>
          <w:tcPr>
            <w:tcW w:w="2225" w:type="dxa"/>
          </w:tcPr>
          <w:p>
            <w:pPr>
              <w:pStyle w:val="TableParagraph"/>
              <w:ind w:left="0"/>
              <w:rPr>
                <w:rFonts w:ascii="Times New Roman"/>
                <w:sz w:val="20"/>
              </w:rPr>
            </w:pPr>
          </w:p>
        </w:tc>
        <w:tc>
          <w:tcPr>
            <w:tcW w:w="7004" w:type="dxa"/>
          </w:tcPr>
          <w:p>
            <w:pPr>
              <w:pStyle w:val="TableParagraph"/>
              <w:spacing w:line="275" w:lineRule="exact"/>
              <w:rPr>
                <w:sz w:val="21"/>
              </w:rPr>
            </w:pPr>
            <w:r>
              <w:rPr>
                <w:sz w:val="21"/>
              </w:rPr>
              <w:t>（1）高</w:t>
            </w:r>
            <w:r>
              <w:rPr>
                <w:rFonts w:ascii="Arial" w:hAnsi="Arial" w:eastAsia="Arial"/>
                <w:sz w:val="21"/>
              </w:rPr>
              <w:t>γ</w:t>
            </w:r>
            <w:r>
              <w:rPr>
                <w:rFonts w:ascii="Arial" w:hAnsi="Arial" w:eastAsia="Arial"/>
                <w:spacing w:val="52"/>
                <w:sz w:val="21"/>
              </w:rPr>
              <w:t> </w:t>
            </w:r>
            <w:r>
              <w:rPr>
                <w:spacing w:val="-3"/>
                <w:sz w:val="21"/>
              </w:rPr>
              <w:t>球蛋白血症；</w:t>
            </w:r>
          </w:p>
        </w:tc>
      </w:tr>
      <w:tr>
        <w:trPr>
          <w:trHeight w:val="616" w:hRule="atLeast"/>
        </w:trPr>
        <w:tc>
          <w:tcPr>
            <w:tcW w:w="2225" w:type="dxa"/>
          </w:tcPr>
          <w:p>
            <w:pPr>
              <w:pStyle w:val="TableParagraph"/>
              <w:ind w:left="0"/>
              <w:rPr>
                <w:rFonts w:ascii="Times New Roman"/>
                <w:sz w:val="20"/>
              </w:rPr>
            </w:pPr>
          </w:p>
        </w:tc>
        <w:tc>
          <w:tcPr>
            <w:tcW w:w="7004" w:type="dxa"/>
          </w:tcPr>
          <w:p>
            <w:pPr>
              <w:pStyle w:val="TableParagraph"/>
              <w:spacing w:line="247" w:lineRule="exact"/>
              <w:rPr>
                <w:sz w:val="21"/>
              </w:rPr>
            </w:pPr>
            <w:r>
              <w:rPr>
                <w:sz w:val="21"/>
              </w:rPr>
              <w:t>（2）血液中存在高水平的自身免疫抗体，如 ANA（抗核抗体）、SMA（抗</w:t>
            </w:r>
          </w:p>
          <w:p>
            <w:pPr>
              <w:pStyle w:val="TableParagraph"/>
              <w:spacing w:before="37"/>
              <w:rPr>
                <w:sz w:val="21"/>
              </w:rPr>
            </w:pPr>
            <w:r>
              <w:rPr>
                <w:sz w:val="21"/>
              </w:rPr>
              <w:t>平滑肌抗体）、抗 LKM1 抗体或抗-SLA/LP 抗体；</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（3）肝脏活检证实免疫性肝炎；</w:t>
            </w:r>
          </w:p>
        </w:tc>
      </w:tr>
      <w:tr>
        <w:trPr>
          <w:trHeight w:val="468"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（4）临床已经出现腹水、食道静脉曲张和脾肿大等肝硬化表现。</w:t>
            </w:r>
          </w:p>
        </w:tc>
      </w:tr>
      <w:tr>
        <w:trPr>
          <w:trHeight w:val="1404" w:hRule="atLeast"/>
        </w:trPr>
        <w:tc>
          <w:tcPr>
            <w:tcW w:w="2225" w:type="dxa"/>
          </w:tcPr>
          <w:p>
            <w:pPr>
              <w:pStyle w:val="TableParagraph"/>
              <w:spacing w:line="273" w:lineRule="auto" w:before="136"/>
              <w:ind w:left="200" w:right="105"/>
              <w:rPr>
                <w:sz w:val="21"/>
              </w:rPr>
            </w:pPr>
            <w:r>
              <w:rPr>
                <w:sz w:val="21"/>
              </w:rPr>
              <w:t>（六十六）严重慢性缩窄型心包炎</w:t>
            </w:r>
          </w:p>
        </w:tc>
        <w:tc>
          <w:tcPr>
            <w:tcW w:w="7004" w:type="dxa"/>
          </w:tcPr>
          <w:p>
            <w:pPr>
              <w:pStyle w:val="TableParagraph"/>
              <w:spacing w:line="273" w:lineRule="auto" w:before="136"/>
              <w:ind w:right="308"/>
              <w:jc w:val="both"/>
              <w:rPr>
                <w:sz w:val="21"/>
              </w:rPr>
            </w:pPr>
            <w:r>
              <w:rPr>
                <w:sz w:val="21"/>
              </w:rPr>
              <w:t>由于慢性心包炎症导致心包脏层和壁层广泛瘢痕粘连、增厚和钙化，心包腔闭塞，形成一个纤维瘢痕外壳，使心脏和大血管根部受压，阻碍心脏的舒张。被保险人被明确诊断为慢性缩窄性心包炎且必须满足以下所有条件：</w:t>
            </w:r>
          </w:p>
        </w:tc>
      </w:tr>
      <w:tr>
        <w:trPr>
          <w:trHeight w:val="623"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（1）心功能衰竭达到美国纽约心脏病学会心功能状态分级 IV 级，并持</w:t>
            </w:r>
          </w:p>
          <w:p>
            <w:pPr>
              <w:pStyle w:val="TableParagraph"/>
              <w:spacing w:before="37"/>
              <w:rPr>
                <w:sz w:val="21"/>
              </w:rPr>
            </w:pPr>
            <w:r>
              <w:rPr>
                <w:sz w:val="21"/>
              </w:rPr>
              <w:t>续 180 天以上；</w:t>
            </w:r>
          </w:p>
        </w:tc>
      </w:tr>
      <w:tr>
        <w:trPr>
          <w:trHeight w:val="624"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（2）实际接受了以下任何一种手术路径的心包剥脱或心包切除手术：胸</w:t>
            </w:r>
          </w:p>
          <w:p>
            <w:pPr>
              <w:pStyle w:val="TableParagraph"/>
              <w:spacing w:before="37"/>
              <w:rPr>
                <w:sz w:val="21"/>
              </w:rPr>
            </w:pPr>
            <w:r>
              <w:rPr>
                <w:sz w:val="21"/>
              </w:rPr>
              <w:t>骨正中切口；双侧前胸切口；左前胸肋间切口。</w:t>
            </w:r>
          </w:p>
        </w:tc>
      </w:tr>
      <w:tr>
        <w:trPr>
          <w:trHeight w:val="467"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经胸腔镜、胸壁打孔进行的手术、心包粘连松解手术不在保障范围内。</w:t>
            </w:r>
          </w:p>
        </w:tc>
      </w:tr>
      <w:tr>
        <w:trPr>
          <w:trHeight w:val="1404" w:hRule="atLeast"/>
        </w:trPr>
        <w:tc>
          <w:tcPr>
            <w:tcW w:w="2225" w:type="dxa"/>
          </w:tcPr>
          <w:p>
            <w:pPr>
              <w:pStyle w:val="TableParagraph"/>
              <w:spacing w:line="273" w:lineRule="auto" w:before="136"/>
              <w:ind w:left="200" w:right="105"/>
              <w:rPr>
                <w:sz w:val="21"/>
              </w:rPr>
            </w:pPr>
            <w:r>
              <w:rPr>
                <w:sz w:val="21"/>
              </w:rPr>
              <w:t>（六十七）严重的骨髓增生异常综合征</w:t>
            </w:r>
          </w:p>
        </w:tc>
        <w:tc>
          <w:tcPr>
            <w:tcW w:w="7004" w:type="dxa"/>
          </w:tcPr>
          <w:p>
            <w:pPr>
              <w:pStyle w:val="TableParagraph"/>
              <w:spacing w:line="273" w:lineRule="auto" w:before="136"/>
              <w:ind w:right="303"/>
              <w:jc w:val="both"/>
              <w:rPr>
                <w:sz w:val="21"/>
              </w:rPr>
            </w:pPr>
            <w:r>
              <w:rPr>
                <w:spacing w:val="-3"/>
                <w:sz w:val="21"/>
              </w:rPr>
              <w:t>骨髓增生异常综合征</w:t>
            </w:r>
            <w:r>
              <w:rPr>
                <w:sz w:val="21"/>
              </w:rPr>
              <w:t>（myelodysplastic syndromes,MDS）</w:t>
            </w:r>
            <w:r>
              <w:rPr>
                <w:spacing w:val="-3"/>
                <w:sz w:val="21"/>
              </w:rPr>
              <w:t>是起源于造血干细胞的一组异质性髓系克隆性疾病，特点是髓系细胞发育异常，表现为无效造血、难治性血细胞减少，本合同所指的严重的骨髓异常增生综合征需满足下列所有条件：</w:t>
            </w:r>
          </w:p>
        </w:tc>
      </w:tr>
      <w:tr>
        <w:trPr>
          <w:trHeight w:val="623"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（1）由设有专门血液病专科的公立三级甲等医院血液病专科的主治级别</w:t>
            </w:r>
          </w:p>
          <w:p>
            <w:pPr>
              <w:pStyle w:val="TableParagraph"/>
              <w:spacing w:before="37"/>
              <w:rPr>
                <w:sz w:val="21"/>
              </w:rPr>
            </w:pPr>
            <w:r>
              <w:rPr>
                <w:sz w:val="21"/>
              </w:rPr>
              <w:t>以上的专科医生确诊；</w:t>
            </w:r>
          </w:p>
        </w:tc>
      </w:tr>
      <w:tr>
        <w:trPr>
          <w:trHeight w:val="311"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（2）骨髓涂片检查同时符合发育异常细胞比例&gt;10%、原始细胞比例&gt;15%；</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sz w:val="21"/>
              </w:rPr>
              <w:t>（3）已接受至少累计三十日的化疗或已接受骨髓移植治疗。</w:t>
            </w:r>
          </w:p>
        </w:tc>
      </w:tr>
      <w:tr>
        <w:trPr>
          <w:trHeight w:val="312"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b/>
                <w:sz w:val="21"/>
              </w:rPr>
              <w:t>化疗日数的计算以被保险人实际服用、注射化疗药物的天数为准</w:t>
            </w:r>
            <w:r>
              <w:rPr>
                <w:sz w:val="21"/>
              </w:rPr>
              <w:t>。</w:t>
            </w:r>
          </w:p>
        </w:tc>
      </w:tr>
      <w:tr>
        <w:trPr>
          <w:trHeight w:val="467" w:hRule="atLeast"/>
        </w:trPr>
        <w:tc>
          <w:tcPr>
            <w:tcW w:w="2225" w:type="dxa"/>
          </w:tcPr>
          <w:p>
            <w:pPr>
              <w:pStyle w:val="TableParagraph"/>
              <w:ind w:left="0"/>
              <w:rPr>
                <w:rFonts w:ascii="Times New Roman"/>
                <w:sz w:val="20"/>
              </w:rPr>
            </w:pPr>
          </w:p>
        </w:tc>
        <w:tc>
          <w:tcPr>
            <w:tcW w:w="7004" w:type="dxa"/>
          </w:tcPr>
          <w:p>
            <w:pPr>
              <w:pStyle w:val="TableParagraph"/>
              <w:spacing w:line="255" w:lineRule="exact"/>
              <w:rPr>
                <w:sz w:val="21"/>
              </w:rPr>
            </w:pPr>
            <w:r>
              <w:rPr>
                <w:b/>
                <w:sz w:val="21"/>
              </w:rPr>
              <w:t>疑似病例不在保障范围之内</w:t>
            </w:r>
            <w:r>
              <w:rPr>
                <w:sz w:val="21"/>
              </w:rPr>
              <w:t>。</w:t>
            </w:r>
          </w:p>
        </w:tc>
      </w:tr>
      <w:tr>
        <w:trPr>
          <w:trHeight w:val="1092" w:hRule="atLeast"/>
        </w:trPr>
        <w:tc>
          <w:tcPr>
            <w:tcW w:w="2225" w:type="dxa"/>
          </w:tcPr>
          <w:p>
            <w:pPr>
              <w:pStyle w:val="TableParagraph"/>
              <w:spacing w:line="273" w:lineRule="auto" w:before="136"/>
              <w:ind w:left="200" w:right="105"/>
              <w:rPr>
                <w:sz w:val="21"/>
              </w:rPr>
            </w:pPr>
            <w:r>
              <w:rPr>
                <w:sz w:val="21"/>
              </w:rPr>
              <w:t>（六十八）自体造血干细胞移植</w:t>
            </w:r>
          </w:p>
        </w:tc>
        <w:tc>
          <w:tcPr>
            <w:tcW w:w="7004" w:type="dxa"/>
          </w:tcPr>
          <w:p>
            <w:pPr>
              <w:pStyle w:val="TableParagraph"/>
              <w:spacing w:line="273" w:lineRule="auto" w:before="136"/>
              <w:ind w:right="310"/>
              <w:jc w:val="both"/>
              <w:rPr>
                <w:sz w:val="21"/>
              </w:rPr>
            </w:pPr>
            <w:r>
              <w:rPr>
                <w:sz w:val="21"/>
              </w:rPr>
              <w:t>指由于患者自身骨髓造血功能异常或为了达到治疗肿瘤的目的，采集患者自身的一部分造血干细胞，分离并深低温保存，再回输给患者使患者的造血功能和免疫功能重新恢复的一种治疗方法。</w:t>
            </w:r>
          </w:p>
        </w:tc>
      </w:tr>
      <w:tr>
        <w:trPr>
          <w:trHeight w:val="780"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此治疗须在本公司认可医院内由专科医生认为是医疗必须的情况下进</w:t>
            </w:r>
          </w:p>
          <w:p>
            <w:pPr>
              <w:pStyle w:val="TableParagraph"/>
              <w:spacing w:before="37"/>
              <w:rPr>
                <w:b/>
                <w:sz w:val="21"/>
              </w:rPr>
            </w:pPr>
            <w:r>
              <w:rPr>
                <w:b/>
                <w:sz w:val="21"/>
              </w:rPr>
              <w:t>行。</w:t>
            </w:r>
          </w:p>
        </w:tc>
      </w:tr>
      <w:tr>
        <w:trPr>
          <w:trHeight w:val="780" w:hRule="atLeast"/>
        </w:trPr>
        <w:tc>
          <w:tcPr>
            <w:tcW w:w="2225" w:type="dxa"/>
          </w:tcPr>
          <w:p>
            <w:pPr>
              <w:pStyle w:val="TableParagraph"/>
              <w:spacing w:before="136"/>
              <w:ind w:left="200"/>
              <w:rPr>
                <w:sz w:val="21"/>
              </w:rPr>
            </w:pPr>
            <w:r>
              <w:rPr>
                <w:sz w:val="21"/>
              </w:rPr>
              <w:t>（六十九）小肠移植</w:t>
            </w:r>
          </w:p>
        </w:tc>
        <w:tc>
          <w:tcPr>
            <w:tcW w:w="7004" w:type="dxa"/>
          </w:tcPr>
          <w:p>
            <w:pPr>
              <w:pStyle w:val="TableParagraph"/>
              <w:spacing w:line="273" w:lineRule="auto" w:before="136"/>
              <w:ind w:right="310"/>
              <w:rPr>
                <w:sz w:val="21"/>
              </w:rPr>
            </w:pPr>
            <w:r>
              <w:rPr>
                <w:sz w:val="21"/>
              </w:rPr>
              <w:t>指因肠道疾病或外伤，已经实施了在全身麻醉下进行的小肠的异体器官移植手术。</w:t>
            </w:r>
          </w:p>
        </w:tc>
      </w:tr>
      <w:tr>
        <w:trPr>
          <w:trHeight w:val="780" w:hRule="atLeast"/>
        </w:trPr>
        <w:tc>
          <w:tcPr>
            <w:tcW w:w="2225" w:type="dxa"/>
          </w:tcPr>
          <w:p>
            <w:pPr>
              <w:pStyle w:val="TableParagraph"/>
              <w:ind w:left="0"/>
              <w:rPr>
                <w:rFonts w:ascii="Times New Roman"/>
                <w:sz w:val="20"/>
              </w:rPr>
            </w:pPr>
          </w:p>
        </w:tc>
        <w:tc>
          <w:tcPr>
            <w:tcW w:w="7004" w:type="dxa"/>
          </w:tcPr>
          <w:p>
            <w:pPr>
              <w:pStyle w:val="TableParagraph"/>
              <w:spacing w:line="255" w:lineRule="exact"/>
              <w:rPr>
                <w:b/>
                <w:sz w:val="21"/>
              </w:rPr>
            </w:pPr>
            <w:r>
              <w:rPr>
                <w:b/>
                <w:sz w:val="21"/>
              </w:rPr>
              <w:t>此手术须在本公司认可医院内由专科医生认为是医疗必须的情况下进</w:t>
            </w:r>
          </w:p>
          <w:p>
            <w:pPr>
              <w:pStyle w:val="TableParagraph"/>
              <w:spacing w:before="37"/>
              <w:rPr>
                <w:b/>
                <w:sz w:val="21"/>
              </w:rPr>
            </w:pPr>
            <w:r>
              <w:rPr>
                <w:b/>
                <w:sz w:val="21"/>
              </w:rPr>
              <w:t>行。</w:t>
            </w:r>
          </w:p>
        </w:tc>
      </w:tr>
      <w:tr>
        <w:trPr>
          <w:trHeight w:val="729" w:hRule="atLeast"/>
        </w:trPr>
        <w:tc>
          <w:tcPr>
            <w:tcW w:w="2225" w:type="dxa"/>
          </w:tcPr>
          <w:p>
            <w:pPr>
              <w:pStyle w:val="TableParagraph"/>
              <w:spacing w:line="310" w:lineRule="atLeast" w:before="101"/>
              <w:ind w:left="200" w:right="105"/>
              <w:rPr>
                <w:sz w:val="21"/>
              </w:rPr>
            </w:pPr>
            <w:r>
              <w:rPr>
                <w:sz w:val="21"/>
              </w:rPr>
              <w:t>（七十）重症手足口病</w:t>
            </w:r>
          </w:p>
        </w:tc>
        <w:tc>
          <w:tcPr>
            <w:tcW w:w="7004" w:type="dxa"/>
          </w:tcPr>
          <w:p>
            <w:pPr>
              <w:pStyle w:val="TableParagraph"/>
              <w:spacing w:line="310" w:lineRule="atLeast" w:before="101"/>
              <w:ind w:right="198"/>
              <w:rPr>
                <w:sz w:val="21"/>
              </w:rPr>
            </w:pPr>
            <w:r>
              <w:rPr>
                <w:sz w:val="21"/>
              </w:rPr>
              <w:t>由肠道病毒引起的急性传染病，主要症状表现为手、足、口腔等部位的</w:t>
            </w:r>
            <w:r>
              <w:rPr>
                <w:spacing w:val="-7"/>
                <w:sz w:val="21"/>
              </w:rPr>
              <w:t>斑丘疹、疱疹。经本公司认可的医疗机构专科医生确诊为患有手足口病，</w:t>
            </w:r>
          </w:p>
        </w:tc>
      </w:tr>
    </w:tbl>
    <w:p>
      <w:pPr>
        <w:spacing w:after="0" w:line="310" w:lineRule="atLeast"/>
        <w:rPr>
          <w:sz w:val="21"/>
        </w:rPr>
        <w:sectPr>
          <w:pgSz w:w="11910" w:h="16840"/>
          <w:pgMar w:header="0" w:footer="924" w:top="14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7"/>
      </w:tblGrid>
      <w:tr>
        <w:trPr>
          <w:trHeight w:val="313" w:hRule="atLeast"/>
        </w:trPr>
        <w:tc>
          <w:tcPr>
            <w:tcW w:w="2225" w:type="dxa"/>
          </w:tcPr>
          <w:p>
            <w:pPr>
              <w:pStyle w:val="TableParagraph"/>
              <w:ind w:left="0"/>
              <w:rPr>
                <w:rFonts w:ascii="Times New Roman"/>
                <w:sz w:val="20"/>
              </w:rPr>
            </w:pPr>
          </w:p>
        </w:tc>
        <w:tc>
          <w:tcPr>
            <w:tcW w:w="7007" w:type="dxa"/>
          </w:tcPr>
          <w:p>
            <w:pPr>
              <w:pStyle w:val="TableParagraph"/>
              <w:spacing w:line="204" w:lineRule="exact"/>
              <w:rPr>
                <w:sz w:val="21"/>
              </w:rPr>
            </w:pPr>
            <w:r>
              <w:rPr>
                <w:sz w:val="21"/>
              </w:rPr>
              <w:t>并伴有下列三项中的任意一项并发症：</w:t>
            </w:r>
          </w:p>
        </w:tc>
      </w:tr>
      <w:tr>
        <w:trPr>
          <w:trHeight w:val="675" w:hRule="atLeast"/>
        </w:trPr>
        <w:tc>
          <w:tcPr>
            <w:tcW w:w="2225" w:type="dxa"/>
          </w:tcPr>
          <w:p>
            <w:pPr>
              <w:pStyle w:val="TableParagraph"/>
              <w:ind w:left="0"/>
              <w:rPr>
                <w:rFonts w:ascii="Times New Roman"/>
                <w:sz w:val="20"/>
              </w:rPr>
            </w:pPr>
          </w:p>
        </w:tc>
        <w:tc>
          <w:tcPr>
            <w:tcW w:w="7007" w:type="dxa"/>
          </w:tcPr>
          <w:p>
            <w:pPr>
              <w:pStyle w:val="TableParagraph"/>
              <w:spacing w:line="273" w:lineRule="auto" w:before="31"/>
              <w:ind w:right="262"/>
              <w:rPr>
                <w:sz w:val="21"/>
              </w:rPr>
            </w:pPr>
            <w:r>
              <w:rPr>
                <w:sz w:val="21"/>
              </w:rPr>
              <w:t>（1）有脑膜炎或脑炎并发症，且导致意识障碍或瘫痪的临床表现及实验室检查证据；</w:t>
            </w:r>
          </w:p>
        </w:tc>
      </w:tr>
      <w:tr>
        <w:trPr>
          <w:trHeight w:val="623"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（2）有肺炎或肺水肿并发症，且导致呼吸衰竭的临床表现及实验室检查</w:t>
            </w:r>
          </w:p>
          <w:p>
            <w:pPr>
              <w:pStyle w:val="TableParagraph"/>
              <w:spacing w:before="37"/>
              <w:rPr>
                <w:sz w:val="21"/>
              </w:rPr>
            </w:pPr>
            <w:r>
              <w:rPr>
                <w:sz w:val="21"/>
              </w:rPr>
              <w:t>证据；</w:t>
            </w:r>
          </w:p>
        </w:tc>
      </w:tr>
      <w:tr>
        <w:trPr>
          <w:trHeight w:val="780"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（3）有心肌炎并发症，且导致心脏扩大或心力衰竭的临床表现及实验室</w:t>
            </w:r>
          </w:p>
          <w:p>
            <w:pPr>
              <w:pStyle w:val="TableParagraph"/>
              <w:spacing w:before="37"/>
              <w:rPr>
                <w:sz w:val="21"/>
              </w:rPr>
            </w:pPr>
            <w:r>
              <w:rPr>
                <w:sz w:val="21"/>
              </w:rPr>
              <w:t>检查证据。</w:t>
            </w:r>
          </w:p>
        </w:tc>
      </w:tr>
      <w:tr>
        <w:trPr>
          <w:trHeight w:val="1092" w:hRule="atLeast"/>
        </w:trPr>
        <w:tc>
          <w:tcPr>
            <w:tcW w:w="2225" w:type="dxa"/>
          </w:tcPr>
          <w:p>
            <w:pPr>
              <w:pStyle w:val="TableParagraph"/>
              <w:spacing w:line="273" w:lineRule="auto" w:before="136"/>
              <w:ind w:left="200" w:right="105"/>
              <w:jc w:val="both"/>
              <w:rPr>
                <w:sz w:val="21"/>
              </w:rPr>
            </w:pPr>
            <w:r>
              <w:rPr>
                <w:sz w:val="21"/>
              </w:rPr>
              <w:t>（七十一）严重肝豆</w:t>
            </w:r>
            <w:r>
              <w:rPr>
                <w:spacing w:val="-31"/>
                <w:sz w:val="21"/>
              </w:rPr>
              <w:t>状 核 变 性 </w:t>
            </w:r>
            <w:r>
              <w:rPr>
                <w:sz w:val="21"/>
              </w:rPr>
              <w:t>（</w:t>
            </w:r>
            <w:r>
              <w:rPr>
                <w:spacing w:val="-57"/>
                <w:sz w:val="21"/>
              </w:rPr>
              <w:t> </w:t>
            </w:r>
            <w:r>
              <w:rPr>
                <w:sz w:val="21"/>
              </w:rPr>
              <w:t>Wilson 病）</w:t>
            </w:r>
          </w:p>
        </w:tc>
        <w:tc>
          <w:tcPr>
            <w:tcW w:w="7007" w:type="dxa"/>
          </w:tcPr>
          <w:p>
            <w:pPr>
              <w:pStyle w:val="TableParagraph"/>
              <w:spacing w:line="273" w:lineRule="auto" w:before="136"/>
              <w:ind w:right="308"/>
              <w:jc w:val="both"/>
              <w:rPr>
                <w:sz w:val="21"/>
              </w:rPr>
            </w:pPr>
            <w:r>
              <w:rPr>
                <w:sz w:val="21"/>
              </w:rPr>
              <w:t>指由于铜代谢障碍所引起的一种疾病，其特点为肝硬化与双侧脑基底神经节变性同时存在，且须经专科医生明确诊断，并同时必须具备下列情况：</w:t>
            </w:r>
          </w:p>
        </w:tc>
      </w:tr>
      <w:tr>
        <w:trPr>
          <w:trHeight w:val="624"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（1）临床表现包括：进行性加剧的肢体震颤，肌强直，吞咽及发音困难，</w:t>
            </w:r>
          </w:p>
          <w:p>
            <w:pPr>
              <w:pStyle w:val="TableParagraph"/>
              <w:spacing w:before="37"/>
              <w:rPr>
                <w:sz w:val="21"/>
              </w:rPr>
            </w:pPr>
            <w:r>
              <w:rPr>
                <w:sz w:val="21"/>
              </w:rPr>
              <w:t>精神异常；</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（2）角膜色素环（K-F 环）；</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（3）血清铜和血清铜蓝蛋白降低，尿铜增加；</w:t>
            </w:r>
          </w:p>
        </w:tc>
      </w:tr>
      <w:tr>
        <w:trPr>
          <w:trHeight w:val="311"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（4）食管静脉曲张；</w:t>
            </w:r>
          </w:p>
        </w:tc>
      </w:tr>
      <w:tr>
        <w:trPr>
          <w:trHeight w:val="468"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（5）腹水。</w:t>
            </w:r>
          </w:p>
        </w:tc>
      </w:tr>
      <w:tr>
        <w:trPr>
          <w:trHeight w:val="1092" w:hRule="atLeast"/>
        </w:trPr>
        <w:tc>
          <w:tcPr>
            <w:tcW w:w="2225" w:type="dxa"/>
          </w:tcPr>
          <w:p>
            <w:pPr>
              <w:pStyle w:val="TableParagraph"/>
              <w:spacing w:line="273" w:lineRule="auto" w:before="136"/>
              <w:ind w:left="200" w:right="105"/>
              <w:rPr>
                <w:sz w:val="21"/>
              </w:rPr>
            </w:pPr>
            <w:r>
              <w:rPr>
                <w:sz w:val="21"/>
              </w:rPr>
              <w:t>（七十二）骨髓纤维化</w:t>
            </w:r>
          </w:p>
        </w:tc>
        <w:tc>
          <w:tcPr>
            <w:tcW w:w="7007" w:type="dxa"/>
          </w:tcPr>
          <w:p>
            <w:pPr>
              <w:pStyle w:val="TableParagraph"/>
              <w:spacing w:line="273" w:lineRule="auto" w:before="136"/>
              <w:ind w:right="313"/>
              <w:jc w:val="both"/>
              <w:rPr>
                <w:sz w:val="21"/>
              </w:rPr>
            </w:pPr>
            <w:r>
              <w:rPr>
                <w:sz w:val="21"/>
              </w:rPr>
              <w:t>原发性骨髓纤维化为是一种原因不明的克隆性造血干细胞异常所致的慢性骨髓增生性疾病，表现为进行性贫血、脾肿大等症状。本病必须根据骨髓的活组织检查和周围血象检查由血液科专科医生明确诊断。</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诊断标准需要满足下列所有三项条件：</w:t>
            </w:r>
          </w:p>
        </w:tc>
      </w:tr>
      <w:tr>
        <w:trPr>
          <w:trHeight w:val="623"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（1）骨髓活检可见巨核细胞增生及异型性表现，通常伴随网硬蛋白和</w:t>
            </w:r>
          </w:p>
          <w:p>
            <w:pPr>
              <w:pStyle w:val="TableParagraph"/>
              <w:spacing w:before="37"/>
              <w:rPr>
                <w:sz w:val="21"/>
              </w:rPr>
            </w:pPr>
            <w:r>
              <w:rPr>
                <w:sz w:val="21"/>
              </w:rPr>
              <w:t>（或）胶原纤维化。</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（2）Ph 染色体阴性，不符合 PV、CML、MDS 或其他髓系肿瘤表现。</w:t>
            </w:r>
          </w:p>
        </w:tc>
      </w:tr>
      <w:tr>
        <w:trPr>
          <w:trHeight w:val="623"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（3）存在 JAK2/V617F 或其他克隆性标记如 MPL、W515K/L；或不存在克</w:t>
            </w:r>
          </w:p>
          <w:p>
            <w:pPr>
              <w:pStyle w:val="TableParagraph"/>
              <w:spacing w:before="37"/>
              <w:rPr>
                <w:sz w:val="21"/>
              </w:rPr>
            </w:pPr>
            <w:r>
              <w:rPr>
                <w:sz w:val="21"/>
              </w:rPr>
              <w:t>隆性标记，也不存在继发性骨髓纤维化的疾病。</w:t>
            </w:r>
          </w:p>
        </w:tc>
      </w:tr>
      <w:tr>
        <w:trPr>
          <w:trHeight w:val="311"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并且需要满足下列所有条件中的两条：</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（1）外周血出现幼红、幼粒细胞。</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（2）血清乳酸脱氢酶（LDH）水平增高。</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（3）贫血。</w:t>
            </w:r>
          </w:p>
        </w:tc>
      </w:tr>
      <w:tr>
        <w:trPr>
          <w:trHeight w:val="312"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（4）脾大。</w:t>
            </w:r>
          </w:p>
        </w:tc>
      </w:tr>
      <w:tr>
        <w:trPr>
          <w:trHeight w:val="467" w:hRule="atLeast"/>
        </w:trPr>
        <w:tc>
          <w:tcPr>
            <w:tcW w:w="2225" w:type="dxa"/>
          </w:tcPr>
          <w:p>
            <w:pPr>
              <w:pStyle w:val="TableParagraph"/>
              <w:ind w:left="0"/>
              <w:rPr>
                <w:rFonts w:ascii="Times New Roman"/>
                <w:sz w:val="20"/>
              </w:rPr>
            </w:pPr>
          </w:p>
        </w:tc>
        <w:tc>
          <w:tcPr>
            <w:tcW w:w="7007" w:type="dxa"/>
          </w:tcPr>
          <w:p>
            <w:pPr>
              <w:pStyle w:val="TableParagraph"/>
              <w:spacing w:line="255" w:lineRule="exact"/>
              <w:rPr>
                <w:b/>
                <w:sz w:val="21"/>
              </w:rPr>
            </w:pPr>
            <w:r>
              <w:rPr>
                <w:b/>
                <w:sz w:val="21"/>
              </w:rPr>
              <w:t>任何其它病因导致的继发性骨髓纤维化不在保障范围内。</w:t>
            </w:r>
          </w:p>
        </w:tc>
      </w:tr>
      <w:tr>
        <w:trPr>
          <w:trHeight w:val="1092" w:hRule="atLeast"/>
        </w:trPr>
        <w:tc>
          <w:tcPr>
            <w:tcW w:w="2225" w:type="dxa"/>
          </w:tcPr>
          <w:p>
            <w:pPr>
              <w:pStyle w:val="TableParagraph"/>
              <w:spacing w:line="273" w:lineRule="auto" w:before="136"/>
              <w:ind w:left="200" w:right="106"/>
              <w:rPr>
                <w:sz w:val="21"/>
              </w:rPr>
            </w:pPr>
            <w:r>
              <w:rPr>
                <w:sz w:val="21"/>
              </w:rPr>
              <w:t>（七十三）亚急性硬化性全脑炎</w:t>
            </w:r>
          </w:p>
        </w:tc>
        <w:tc>
          <w:tcPr>
            <w:tcW w:w="7007" w:type="dxa"/>
          </w:tcPr>
          <w:p>
            <w:pPr>
              <w:pStyle w:val="TableParagraph"/>
              <w:spacing w:line="273" w:lineRule="auto" w:before="136"/>
              <w:ind w:right="313"/>
              <w:jc w:val="both"/>
              <w:rPr>
                <w:sz w:val="21"/>
              </w:rPr>
            </w:pPr>
            <w:r>
              <w:rPr>
                <w:sz w:val="21"/>
              </w:rPr>
              <w:t>是麻疹或麻疹样病毒所致的一种中枢神经系统慢性感染。中枢神经系统呈现灰质和白质破坏为特征的慢性和急性混合存在的炎症。必须满足以下所有条件：</w:t>
            </w:r>
          </w:p>
        </w:tc>
      </w:tr>
      <w:tr>
        <w:trPr>
          <w:trHeight w:val="623"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（1）脑电图存在周期性复合波，且脑脊液 r-球蛋白升高，以及脑脊液和</w:t>
            </w:r>
          </w:p>
          <w:p>
            <w:pPr>
              <w:pStyle w:val="TableParagraph"/>
              <w:spacing w:before="37"/>
              <w:rPr>
                <w:sz w:val="21"/>
              </w:rPr>
            </w:pPr>
            <w:r>
              <w:rPr>
                <w:sz w:val="21"/>
              </w:rPr>
              <w:t>血清中麻疹抗体滴定度升高；</w:t>
            </w:r>
          </w:p>
        </w:tc>
      </w:tr>
      <w:tr>
        <w:trPr>
          <w:trHeight w:val="573" w:hRule="atLeast"/>
        </w:trPr>
        <w:tc>
          <w:tcPr>
            <w:tcW w:w="2225" w:type="dxa"/>
          </w:tcPr>
          <w:p>
            <w:pPr>
              <w:pStyle w:val="TableParagraph"/>
              <w:ind w:left="0"/>
              <w:rPr>
                <w:rFonts w:ascii="Times New Roman"/>
                <w:sz w:val="20"/>
              </w:rPr>
            </w:pPr>
          </w:p>
        </w:tc>
        <w:tc>
          <w:tcPr>
            <w:tcW w:w="7007" w:type="dxa"/>
          </w:tcPr>
          <w:p>
            <w:pPr>
              <w:pStyle w:val="TableParagraph"/>
              <w:spacing w:line="255" w:lineRule="exact"/>
              <w:rPr>
                <w:sz w:val="21"/>
              </w:rPr>
            </w:pPr>
            <w:r>
              <w:rPr>
                <w:sz w:val="21"/>
              </w:rPr>
              <w:t>（2）被保险人出现运动障碍，自主生活能力完全丧失，疾病确诊后经过</w:t>
            </w:r>
          </w:p>
          <w:p>
            <w:pPr>
              <w:pStyle w:val="TableParagraph"/>
              <w:spacing w:line="262" w:lineRule="exact" w:before="37"/>
              <w:rPr>
                <w:sz w:val="21"/>
              </w:rPr>
            </w:pPr>
            <w:r>
              <w:rPr>
                <w:sz w:val="21"/>
              </w:rPr>
              <w:t>治疗 180 天仍无法独立完成六项基本日常生活活动中的三项或三项以上。</w:t>
            </w:r>
          </w:p>
        </w:tc>
      </w:tr>
    </w:tbl>
    <w:p>
      <w:pPr>
        <w:spacing w:after="0" w:line="262" w:lineRule="exact"/>
        <w:rPr>
          <w:sz w:val="21"/>
        </w:rPr>
        <w:sectPr>
          <w:pgSz w:w="11910" w:h="16840"/>
          <w:pgMar w:header="0" w:footer="924" w:top="14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6959"/>
      </w:tblGrid>
      <w:tr>
        <w:trPr>
          <w:trHeight w:val="1197" w:hRule="atLeast"/>
        </w:trPr>
        <w:tc>
          <w:tcPr>
            <w:tcW w:w="2225" w:type="dxa"/>
          </w:tcPr>
          <w:p>
            <w:pPr>
              <w:pStyle w:val="TableParagraph"/>
              <w:spacing w:line="204" w:lineRule="exact"/>
              <w:ind w:left="200"/>
              <w:rPr>
                <w:sz w:val="21"/>
              </w:rPr>
            </w:pPr>
            <w:r>
              <w:rPr>
                <w:sz w:val="21"/>
              </w:rPr>
              <w:t>（七十四）进行性多</w:t>
            </w:r>
          </w:p>
          <w:p>
            <w:pPr>
              <w:pStyle w:val="TableParagraph"/>
              <w:spacing w:before="37"/>
              <w:ind w:left="200"/>
              <w:rPr>
                <w:sz w:val="21"/>
              </w:rPr>
            </w:pPr>
            <w:r>
              <w:rPr>
                <w:sz w:val="21"/>
              </w:rPr>
              <w:t>灶性白质脑病</w:t>
            </w:r>
          </w:p>
        </w:tc>
        <w:tc>
          <w:tcPr>
            <w:tcW w:w="6959" w:type="dxa"/>
          </w:tcPr>
          <w:p>
            <w:pPr>
              <w:pStyle w:val="TableParagraph"/>
              <w:spacing w:line="204" w:lineRule="exact"/>
              <w:rPr>
                <w:sz w:val="21"/>
              </w:rPr>
            </w:pPr>
            <w:r>
              <w:rPr>
                <w:sz w:val="21"/>
              </w:rPr>
              <w:t>指一种罕见亚急性脱髓鞘疾病，其病原体多为乳头多瘤空泡病毒（JCV）。</w:t>
            </w:r>
          </w:p>
          <w:p>
            <w:pPr>
              <w:pStyle w:val="TableParagraph"/>
              <w:spacing w:line="273" w:lineRule="auto" w:before="37"/>
              <w:ind w:right="256"/>
              <w:jc w:val="both"/>
              <w:rPr>
                <w:sz w:val="21"/>
              </w:rPr>
            </w:pPr>
            <w:r>
              <w:rPr>
                <w:sz w:val="21"/>
              </w:rPr>
              <w:t>主要见于自身免疫功能低下的患者，因机会性感染致病。必须由神经科</w:t>
            </w:r>
            <w:r>
              <w:rPr>
                <w:spacing w:val="-4"/>
                <w:sz w:val="21"/>
              </w:rPr>
              <w:t>专科医生根据脑组织活检确诊，且疾病确诊 </w:t>
            </w:r>
            <w:r>
              <w:rPr>
                <w:sz w:val="21"/>
              </w:rPr>
              <w:t>180</w:t>
            </w:r>
            <w:r>
              <w:rPr>
                <w:spacing w:val="-2"/>
                <w:sz w:val="21"/>
              </w:rPr>
              <w:t> 天后仍遗留下列一种或</w:t>
            </w:r>
            <w:r>
              <w:rPr>
                <w:spacing w:val="-3"/>
                <w:sz w:val="21"/>
              </w:rPr>
              <w:t>一种以上障碍：</w:t>
            </w:r>
          </w:p>
        </w:tc>
      </w:tr>
      <w:tr>
        <w:trPr>
          <w:trHeight w:val="312" w:hRule="atLeast"/>
        </w:trPr>
        <w:tc>
          <w:tcPr>
            <w:tcW w:w="2225" w:type="dxa"/>
          </w:tcPr>
          <w:p>
            <w:pPr>
              <w:pStyle w:val="TableParagraph"/>
              <w:ind w:left="0"/>
              <w:rPr>
                <w:rFonts w:ascii="Times New Roman"/>
                <w:sz w:val="20"/>
              </w:rPr>
            </w:pPr>
          </w:p>
        </w:tc>
        <w:tc>
          <w:tcPr>
            <w:tcW w:w="6959" w:type="dxa"/>
          </w:tcPr>
          <w:p>
            <w:pPr>
              <w:pStyle w:val="TableParagraph"/>
              <w:tabs>
                <w:tab w:pos="843" w:val="left" w:leader="none"/>
              </w:tabs>
              <w:spacing w:line="255" w:lineRule="exact"/>
              <w:rPr>
                <w:sz w:val="21"/>
              </w:rPr>
            </w:pPr>
            <w:r>
              <w:rPr>
                <w:sz w:val="21"/>
              </w:rPr>
              <w:t>（1）</w:t>
              <w:tab/>
            </w:r>
            <w:r>
              <w:rPr>
                <w:spacing w:val="-3"/>
                <w:sz w:val="21"/>
              </w:rPr>
              <w:t>一肢或一肢以上肢体机能完全丧失；</w:t>
            </w:r>
          </w:p>
        </w:tc>
      </w:tr>
      <w:tr>
        <w:trPr>
          <w:trHeight w:val="312" w:hRule="atLeast"/>
        </w:trPr>
        <w:tc>
          <w:tcPr>
            <w:tcW w:w="2225" w:type="dxa"/>
          </w:tcPr>
          <w:p>
            <w:pPr>
              <w:pStyle w:val="TableParagraph"/>
              <w:ind w:left="0"/>
              <w:rPr>
                <w:rFonts w:ascii="Times New Roman"/>
                <w:sz w:val="20"/>
              </w:rPr>
            </w:pPr>
          </w:p>
        </w:tc>
        <w:tc>
          <w:tcPr>
            <w:tcW w:w="6959" w:type="dxa"/>
          </w:tcPr>
          <w:p>
            <w:pPr>
              <w:pStyle w:val="TableParagraph"/>
              <w:tabs>
                <w:tab w:pos="843" w:val="left" w:leader="none"/>
              </w:tabs>
              <w:spacing w:line="255" w:lineRule="exact"/>
              <w:rPr>
                <w:sz w:val="21"/>
              </w:rPr>
            </w:pPr>
            <w:r>
              <w:rPr>
                <w:sz w:val="21"/>
              </w:rPr>
              <w:t>（2）</w:t>
              <w:tab/>
            </w:r>
            <w:r>
              <w:rPr>
                <w:spacing w:val="-3"/>
                <w:sz w:val="21"/>
              </w:rPr>
              <w:t>语言能力或咀嚼吞咽能力完全丧失；</w:t>
            </w:r>
          </w:p>
        </w:tc>
      </w:tr>
      <w:tr>
        <w:trPr>
          <w:trHeight w:val="623" w:hRule="atLeast"/>
        </w:trPr>
        <w:tc>
          <w:tcPr>
            <w:tcW w:w="2225" w:type="dxa"/>
          </w:tcPr>
          <w:p>
            <w:pPr>
              <w:pStyle w:val="TableParagraph"/>
              <w:ind w:left="0"/>
              <w:rPr>
                <w:rFonts w:ascii="Times New Roman"/>
                <w:sz w:val="20"/>
              </w:rPr>
            </w:pPr>
          </w:p>
        </w:tc>
        <w:tc>
          <w:tcPr>
            <w:tcW w:w="6959" w:type="dxa"/>
          </w:tcPr>
          <w:p>
            <w:pPr>
              <w:pStyle w:val="TableParagraph"/>
              <w:spacing w:line="255" w:lineRule="exact"/>
              <w:rPr>
                <w:sz w:val="21"/>
              </w:rPr>
            </w:pPr>
            <w:r>
              <w:rPr>
                <w:sz w:val="21"/>
              </w:rPr>
              <w:t>（3）  自主生活能力完全丧失，无法独立完成六项基本日常生活活动中</w:t>
            </w:r>
          </w:p>
          <w:p>
            <w:pPr>
              <w:pStyle w:val="TableParagraph"/>
              <w:spacing w:before="37"/>
              <w:rPr>
                <w:sz w:val="21"/>
              </w:rPr>
            </w:pPr>
            <w:r>
              <w:rPr>
                <w:sz w:val="21"/>
              </w:rPr>
              <w:t>的三项或三项以上。</w:t>
            </w:r>
          </w:p>
        </w:tc>
      </w:tr>
      <w:tr>
        <w:trPr>
          <w:trHeight w:val="780" w:hRule="atLeast"/>
        </w:trPr>
        <w:tc>
          <w:tcPr>
            <w:tcW w:w="2225" w:type="dxa"/>
          </w:tcPr>
          <w:p>
            <w:pPr>
              <w:pStyle w:val="TableParagraph"/>
              <w:ind w:left="0"/>
              <w:rPr>
                <w:rFonts w:ascii="Times New Roman"/>
                <w:sz w:val="20"/>
              </w:rPr>
            </w:pPr>
          </w:p>
        </w:tc>
        <w:tc>
          <w:tcPr>
            <w:tcW w:w="6959" w:type="dxa"/>
          </w:tcPr>
          <w:p>
            <w:pPr>
              <w:pStyle w:val="TableParagraph"/>
              <w:spacing w:line="255" w:lineRule="exact"/>
              <w:rPr>
                <w:b/>
                <w:sz w:val="21"/>
              </w:rPr>
            </w:pPr>
            <w:r>
              <w:rPr>
                <w:b/>
                <w:sz w:val="21"/>
              </w:rPr>
              <w:t>感染艾滋病病毒或患艾滋病期间所患进行性多灶性白质脑病不在保障范</w:t>
            </w:r>
          </w:p>
          <w:p>
            <w:pPr>
              <w:pStyle w:val="TableParagraph"/>
              <w:spacing w:before="37"/>
              <w:rPr>
                <w:b/>
                <w:sz w:val="21"/>
              </w:rPr>
            </w:pPr>
            <w:r>
              <w:rPr>
                <w:b/>
                <w:sz w:val="21"/>
              </w:rPr>
              <w:t>围内。</w:t>
            </w:r>
          </w:p>
        </w:tc>
      </w:tr>
      <w:tr>
        <w:trPr>
          <w:trHeight w:val="780" w:hRule="atLeast"/>
        </w:trPr>
        <w:tc>
          <w:tcPr>
            <w:tcW w:w="2225" w:type="dxa"/>
          </w:tcPr>
          <w:p>
            <w:pPr>
              <w:pStyle w:val="TableParagraph"/>
              <w:spacing w:line="273" w:lineRule="auto" w:before="136"/>
              <w:ind w:left="200" w:right="105"/>
              <w:rPr>
                <w:sz w:val="21"/>
              </w:rPr>
            </w:pPr>
            <w:r>
              <w:rPr>
                <w:sz w:val="21"/>
              </w:rPr>
              <w:t>（七十五）脊髓小脑变性症</w:t>
            </w:r>
          </w:p>
        </w:tc>
        <w:tc>
          <w:tcPr>
            <w:tcW w:w="6959" w:type="dxa"/>
          </w:tcPr>
          <w:p>
            <w:pPr>
              <w:pStyle w:val="TableParagraph"/>
              <w:spacing w:line="273" w:lineRule="auto" w:before="136"/>
              <w:ind w:right="265"/>
              <w:rPr>
                <w:sz w:val="21"/>
              </w:rPr>
            </w:pPr>
            <w:r>
              <w:rPr>
                <w:sz w:val="21"/>
              </w:rPr>
              <w:t>脊髓小脑变性症为一组以小脑萎缩和共济失调为主要临床特点的疾病。必须符合所有以下条件：</w:t>
            </w:r>
          </w:p>
        </w:tc>
      </w:tr>
      <w:tr>
        <w:trPr>
          <w:trHeight w:val="312" w:hRule="atLeast"/>
        </w:trPr>
        <w:tc>
          <w:tcPr>
            <w:tcW w:w="2225" w:type="dxa"/>
          </w:tcPr>
          <w:p>
            <w:pPr>
              <w:pStyle w:val="TableParagraph"/>
              <w:ind w:left="0"/>
              <w:rPr>
                <w:rFonts w:ascii="Times New Roman"/>
                <w:sz w:val="20"/>
              </w:rPr>
            </w:pPr>
          </w:p>
        </w:tc>
        <w:tc>
          <w:tcPr>
            <w:tcW w:w="6959" w:type="dxa"/>
          </w:tcPr>
          <w:p>
            <w:pPr>
              <w:pStyle w:val="TableParagraph"/>
              <w:spacing w:line="255" w:lineRule="exact"/>
              <w:rPr>
                <w:sz w:val="21"/>
              </w:rPr>
            </w:pPr>
            <w:r>
              <w:rPr>
                <w:sz w:val="21"/>
              </w:rPr>
              <w:t>（1）脊髓小脑变性症必须由医院诊断，并有以下证据支持：</w:t>
            </w:r>
          </w:p>
        </w:tc>
      </w:tr>
      <w:tr>
        <w:trPr>
          <w:trHeight w:val="311" w:hRule="atLeast"/>
        </w:trPr>
        <w:tc>
          <w:tcPr>
            <w:tcW w:w="2225" w:type="dxa"/>
          </w:tcPr>
          <w:p>
            <w:pPr>
              <w:pStyle w:val="TableParagraph"/>
              <w:ind w:left="0"/>
              <w:rPr>
                <w:rFonts w:ascii="Times New Roman"/>
                <w:sz w:val="20"/>
              </w:rPr>
            </w:pPr>
          </w:p>
        </w:tc>
        <w:tc>
          <w:tcPr>
            <w:tcW w:w="6959" w:type="dxa"/>
          </w:tcPr>
          <w:p>
            <w:pPr>
              <w:pStyle w:val="TableParagraph"/>
              <w:spacing w:line="255" w:lineRule="exact"/>
              <w:rPr>
                <w:sz w:val="21"/>
              </w:rPr>
            </w:pPr>
            <w:r>
              <w:rPr>
                <w:sz w:val="21"/>
              </w:rPr>
              <w:t>① 影像学检查证实存在小脑萎缩；</w:t>
            </w:r>
          </w:p>
        </w:tc>
      </w:tr>
      <w:tr>
        <w:trPr>
          <w:trHeight w:val="312" w:hRule="atLeast"/>
        </w:trPr>
        <w:tc>
          <w:tcPr>
            <w:tcW w:w="2225" w:type="dxa"/>
          </w:tcPr>
          <w:p>
            <w:pPr>
              <w:pStyle w:val="TableParagraph"/>
              <w:ind w:left="0"/>
              <w:rPr>
                <w:rFonts w:ascii="Times New Roman"/>
                <w:sz w:val="20"/>
              </w:rPr>
            </w:pPr>
          </w:p>
        </w:tc>
        <w:tc>
          <w:tcPr>
            <w:tcW w:w="6959" w:type="dxa"/>
          </w:tcPr>
          <w:p>
            <w:pPr>
              <w:pStyle w:val="TableParagraph"/>
              <w:spacing w:line="255" w:lineRule="exact"/>
              <w:rPr>
                <w:sz w:val="21"/>
              </w:rPr>
            </w:pPr>
            <w:r>
              <w:rPr>
                <w:sz w:val="21"/>
              </w:rPr>
              <w:t>② 临床表现存在共济失调、语言障碍和肌张力异常。</w:t>
            </w:r>
          </w:p>
        </w:tc>
      </w:tr>
      <w:tr>
        <w:trPr>
          <w:trHeight w:val="805" w:hRule="atLeast"/>
        </w:trPr>
        <w:tc>
          <w:tcPr>
            <w:tcW w:w="2225" w:type="dxa"/>
          </w:tcPr>
          <w:p>
            <w:pPr>
              <w:pStyle w:val="TableParagraph"/>
              <w:ind w:left="0"/>
              <w:rPr>
                <w:rFonts w:ascii="Times New Roman"/>
                <w:sz w:val="20"/>
              </w:rPr>
            </w:pPr>
          </w:p>
        </w:tc>
        <w:tc>
          <w:tcPr>
            <w:tcW w:w="6959" w:type="dxa"/>
          </w:tcPr>
          <w:p>
            <w:pPr>
              <w:pStyle w:val="TableParagraph"/>
              <w:spacing w:line="255" w:lineRule="exact"/>
              <w:rPr>
                <w:sz w:val="21"/>
              </w:rPr>
            </w:pPr>
            <w:r>
              <w:rPr>
                <w:sz w:val="21"/>
              </w:rPr>
              <w:t>（2）被保险人运动功能严重障碍，自主生活能力完全丧失，无法独立完</w:t>
            </w:r>
          </w:p>
          <w:p>
            <w:pPr>
              <w:pStyle w:val="TableParagraph"/>
              <w:spacing w:before="37"/>
              <w:rPr>
                <w:sz w:val="21"/>
              </w:rPr>
            </w:pPr>
            <w:r>
              <w:rPr>
                <w:sz w:val="21"/>
              </w:rPr>
              <w:t>成六项基本日常生活活动中的三项或三项以上。</w:t>
            </w:r>
          </w:p>
        </w:tc>
      </w:tr>
      <w:tr>
        <w:trPr>
          <w:trHeight w:val="2209" w:hRule="atLeast"/>
        </w:trPr>
        <w:tc>
          <w:tcPr>
            <w:tcW w:w="2225" w:type="dxa"/>
          </w:tcPr>
          <w:p>
            <w:pPr>
              <w:pStyle w:val="TableParagraph"/>
              <w:spacing w:line="273" w:lineRule="auto" w:before="161"/>
              <w:ind w:left="200" w:right="105"/>
              <w:rPr>
                <w:sz w:val="21"/>
              </w:rPr>
            </w:pPr>
            <w:r>
              <w:rPr>
                <w:sz w:val="21"/>
              </w:rPr>
              <w:t>（七十六）严重肌营养不良症</w:t>
            </w:r>
          </w:p>
        </w:tc>
        <w:tc>
          <w:tcPr>
            <w:tcW w:w="6959" w:type="dxa"/>
          </w:tcPr>
          <w:p>
            <w:pPr>
              <w:pStyle w:val="TableParagraph"/>
              <w:spacing w:line="273" w:lineRule="auto" w:before="161"/>
              <w:ind w:right="265"/>
              <w:rPr>
                <w:sz w:val="21"/>
              </w:rPr>
            </w:pPr>
            <w:r>
              <w:rPr>
                <w:sz w:val="21"/>
              </w:rPr>
              <w:t>指一组原发于肌肉的疾病，临床表现为与神经系统无关的肌肉无力和肌肉萎缩。且须满足下列全部条件：</w:t>
            </w:r>
          </w:p>
          <w:p>
            <w:pPr>
              <w:pStyle w:val="TableParagraph"/>
              <w:spacing w:line="273" w:lineRule="auto" w:before="8"/>
              <w:ind w:right="206"/>
              <w:rPr>
                <w:sz w:val="21"/>
              </w:rPr>
            </w:pPr>
            <w:r>
              <w:rPr>
                <w:sz w:val="21"/>
              </w:rPr>
              <w:t>（1）肌肉组织活检结果满足肌营养不良症的肌肉细胞变性、坏死等阳性改变；</w:t>
            </w:r>
          </w:p>
          <w:p>
            <w:pPr>
              <w:pStyle w:val="TableParagraph"/>
              <w:spacing w:line="273" w:lineRule="auto" w:before="7"/>
              <w:ind w:right="214"/>
              <w:rPr>
                <w:sz w:val="21"/>
              </w:rPr>
            </w:pPr>
            <w:r>
              <w:rPr>
                <w:sz w:val="21"/>
              </w:rPr>
              <w:t>（2）自主生活能力完全丧失，无法独立完成六项基本日常生活活动中的三项或三项以上。</w:t>
            </w:r>
          </w:p>
        </w:tc>
      </w:tr>
      <w:tr>
        <w:trPr>
          <w:trHeight w:val="780" w:hRule="atLeast"/>
        </w:trPr>
        <w:tc>
          <w:tcPr>
            <w:tcW w:w="2225" w:type="dxa"/>
            <w:vMerge w:val="restart"/>
          </w:tcPr>
          <w:p>
            <w:pPr>
              <w:pStyle w:val="TableParagraph"/>
              <w:spacing w:line="273" w:lineRule="auto" w:before="136"/>
              <w:ind w:left="200" w:right="105"/>
              <w:jc w:val="both"/>
              <w:rPr>
                <w:sz w:val="21"/>
              </w:rPr>
            </w:pPr>
            <w:r>
              <w:rPr>
                <w:sz w:val="21"/>
              </w:rPr>
              <w:t>（七十七）因器官移植导致的感染艾滋病病毒或患艾滋病</w:t>
            </w:r>
          </w:p>
        </w:tc>
        <w:tc>
          <w:tcPr>
            <w:tcW w:w="6959" w:type="dxa"/>
          </w:tcPr>
          <w:p>
            <w:pPr>
              <w:pStyle w:val="TableParagraph"/>
              <w:spacing w:line="273" w:lineRule="auto" w:before="136"/>
              <w:ind w:right="265"/>
              <w:rPr>
                <w:sz w:val="21"/>
              </w:rPr>
            </w:pPr>
            <w:r>
              <w:rPr>
                <w:sz w:val="21"/>
              </w:rPr>
              <w:t>指因进行器官移植而感染上艾滋病病毒或患艾滋病，且须满足下列全部条件：</w:t>
            </w:r>
          </w:p>
        </w:tc>
      </w:tr>
      <w:tr>
        <w:trPr>
          <w:trHeight w:val="624" w:hRule="atLeast"/>
        </w:trPr>
        <w:tc>
          <w:tcPr>
            <w:tcW w:w="2225" w:type="dxa"/>
            <w:vMerge/>
            <w:tcBorders>
              <w:top w:val="nil"/>
            </w:tcBorders>
          </w:tcPr>
          <w:p>
            <w:pPr>
              <w:rPr>
                <w:sz w:val="2"/>
                <w:szCs w:val="2"/>
              </w:rPr>
            </w:pPr>
          </w:p>
        </w:tc>
        <w:tc>
          <w:tcPr>
            <w:tcW w:w="6959" w:type="dxa"/>
          </w:tcPr>
          <w:p>
            <w:pPr>
              <w:pStyle w:val="TableParagraph"/>
              <w:spacing w:line="255" w:lineRule="exact"/>
              <w:rPr>
                <w:sz w:val="21"/>
              </w:rPr>
            </w:pPr>
            <w:r>
              <w:rPr>
                <w:sz w:val="21"/>
              </w:rPr>
              <w:t>（1）在保障起始日之后，被保险人因治疗必需而实施器官移植，并且因</w:t>
            </w:r>
          </w:p>
          <w:p>
            <w:pPr>
              <w:pStyle w:val="TableParagraph"/>
              <w:spacing w:before="37"/>
              <w:rPr>
                <w:sz w:val="21"/>
              </w:rPr>
            </w:pPr>
            <w:r>
              <w:rPr>
                <w:sz w:val="21"/>
              </w:rPr>
              <w:t>器官移植而感染艾滋病病毒或患艾滋病；</w:t>
            </w:r>
          </w:p>
        </w:tc>
      </w:tr>
      <w:tr>
        <w:trPr>
          <w:trHeight w:val="936" w:hRule="atLeast"/>
        </w:trPr>
        <w:tc>
          <w:tcPr>
            <w:tcW w:w="2225" w:type="dxa"/>
          </w:tcPr>
          <w:p>
            <w:pPr>
              <w:pStyle w:val="TableParagraph"/>
              <w:ind w:left="0"/>
              <w:rPr>
                <w:rFonts w:ascii="Times New Roman"/>
                <w:sz w:val="20"/>
              </w:rPr>
            </w:pPr>
          </w:p>
        </w:tc>
        <w:tc>
          <w:tcPr>
            <w:tcW w:w="6959" w:type="dxa"/>
          </w:tcPr>
          <w:p>
            <w:pPr>
              <w:pStyle w:val="TableParagraph"/>
              <w:spacing w:line="255" w:lineRule="exact"/>
              <w:rPr>
                <w:sz w:val="21"/>
              </w:rPr>
            </w:pPr>
            <w:r>
              <w:rPr>
                <w:sz w:val="21"/>
              </w:rPr>
              <w:t>（2）提供器官移植治疗的器官移植中心或医院出具的此次因器官移植感</w:t>
            </w:r>
          </w:p>
          <w:p>
            <w:pPr>
              <w:pStyle w:val="TableParagraph"/>
              <w:spacing w:line="273" w:lineRule="auto" w:before="37"/>
              <w:ind w:right="265"/>
              <w:rPr>
                <w:sz w:val="21"/>
              </w:rPr>
            </w:pPr>
            <w:r>
              <w:rPr>
                <w:sz w:val="21"/>
              </w:rPr>
              <w:t>染艾滋病病毒或患艾滋病，属于医疗事故的报告，或者法院终审裁定为医疗事故并且已经发生法律效力的；</w:t>
            </w:r>
          </w:p>
        </w:tc>
      </w:tr>
      <w:tr>
        <w:trPr>
          <w:trHeight w:val="311" w:hRule="atLeast"/>
        </w:trPr>
        <w:tc>
          <w:tcPr>
            <w:tcW w:w="2225" w:type="dxa"/>
          </w:tcPr>
          <w:p>
            <w:pPr>
              <w:pStyle w:val="TableParagraph"/>
              <w:ind w:left="0"/>
              <w:rPr>
                <w:rFonts w:ascii="Times New Roman"/>
                <w:sz w:val="20"/>
              </w:rPr>
            </w:pPr>
          </w:p>
        </w:tc>
        <w:tc>
          <w:tcPr>
            <w:tcW w:w="6959" w:type="dxa"/>
          </w:tcPr>
          <w:p>
            <w:pPr>
              <w:pStyle w:val="TableParagraph"/>
              <w:spacing w:line="255" w:lineRule="exact"/>
              <w:rPr>
                <w:sz w:val="21"/>
              </w:rPr>
            </w:pPr>
            <w:r>
              <w:rPr>
                <w:sz w:val="21"/>
              </w:rPr>
              <w:t>（3）提供器官移植治疗的器官移植中心或医院必须拥有合法经营执照。</w:t>
            </w:r>
          </w:p>
        </w:tc>
      </w:tr>
      <w:tr>
        <w:trPr>
          <w:trHeight w:val="780" w:hRule="atLeast"/>
        </w:trPr>
        <w:tc>
          <w:tcPr>
            <w:tcW w:w="2225" w:type="dxa"/>
          </w:tcPr>
          <w:p>
            <w:pPr>
              <w:pStyle w:val="TableParagraph"/>
              <w:ind w:left="0"/>
              <w:rPr>
                <w:rFonts w:ascii="Times New Roman"/>
                <w:sz w:val="20"/>
              </w:rPr>
            </w:pPr>
          </w:p>
        </w:tc>
        <w:tc>
          <w:tcPr>
            <w:tcW w:w="6959" w:type="dxa"/>
          </w:tcPr>
          <w:p>
            <w:pPr>
              <w:pStyle w:val="TableParagraph"/>
              <w:spacing w:line="255" w:lineRule="exact"/>
              <w:rPr>
                <w:b/>
                <w:sz w:val="21"/>
              </w:rPr>
            </w:pPr>
            <w:r>
              <w:rPr>
                <w:b/>
                <w:sz w:val="21"/>
              </w:rPr>
              <w:t>任何因其他传播方式（包括：性传播或静脉注射毒品）导致的感染艾滋</w:t>
            </w:r>
          </w:p>
          <w:p>
            <w:pPr>
              <w:pStyle w:val="TableParagraph"/>
              <w:spacing w:before="37"/>
              <w:rPr>
                <w:b/>
                <w:sz w:val="21"/>
              </w:rPr>
            </w:pPr>
            <w:r>
              <w:rPr>
                <w:b/>
                <w:sz w:val="21"/>
              </w:rPr>
              <w:t>病病毒或患艾滋病不在保障范围内。</w:t>
            </w:r>
          </w:p>
        </w:tc>
      </w:tr>
      <w:tr>
        <w:trPr>
          <w:trHeight w:val="1977" w:hRule="atLeast"/>
        </w:trPr>
        <w:tc>
          <w:tcPr>
            <w:tcW w:w="2225" w:type="dxa"/>
          </w:tcPr>
          <w:p>
            <w:pPr>
              <w:pStyle w:val="TableParagraph"/>
              <w:spacing w:line="273" w:lineRule="auto" w:before="136"/>
              <w:ind w:left="200" w:right="106"/>
              <w:rPr>
                <w:sz w:val="21"/>
              </w:rPr>
            </w:pPr>
            <w:r>
              <w:rPr>
                <w:sz w:val="21"/>
              </w:rPr>
              <w:t>（七十八）路易体痴呆</w:t>
            </w:r>
          </w:p>
        </w:tc>
        <w:tc>
          <w:tcPr>
            <w:tcW w:w="6959" w:type="dxa"/>
          </w:tcPr>
          <w:p>
            <w:pPr>
              <w:pStyle w:val="TableParagraph"/>
              <w:spacing w:line="273" w:lineRule="auto" w:before="136"/>
              <w:ind w:right="265"/>
              <w:jc w:val="both"/>
              <w:rPr>
                <w:sz w:val="21"/>
              </w:rPr>
            </w:pPr>
            <w:r>
              <w:rPr>
                <w:sz w:val="21"/>
              </w:rPr>
              <w:t>指一组在临床和病理表现上以波动性认知功能障碍、视幻觉和帕金森综合征为临床特点，以路易体为病理特征的神经变性疾病。被保险人自主生活能力完全丧失，无法独立完成六项基本日常生活活动中的三项或三项以上，日常生活必须持续受到他人监护。导致痴呆的疾病必须明确诊断，并且有完整的临床、实验室和影像学检查结果证实。神经官能症，</w:t>
            </w:r>
          </w:p>
          <w:p>
            <w:pPr>
              <w:pStyle w:val="TableParagraph"/>
              <w:spacing w:line="262" w:lineRule="exact" w:before="8"/>
              <w:jc w:val="both"/>
              <w:rPr>
                <w:sz w:val="21"/>
              </w:rPr>
            </w:pPr>
            <w:r>
              <w:rPr>
                <w:b/>
                <w:sz w:val="21"/>
              </w:rPr>
              <w:t>精神疾病及酒精中毒所致脑损害不在保障范围内</w:t>
            </w:r>
            <w:r>
              <w:rPr>
                <w:sz w:val="21"/>
              </w:rPr>
              <w:t>。</w:t>
            </w:r>
          </w:p>
        </w:tc>
      </w:tr>
    </w:tbl>
    <w:p>
      <w:pPr>
        <w:spacing w:after="0" w:line="262" w:lineRule="exact"/>
        <w:jc w:val="both"/>
        <w:rPr>
          <w:sz w:val="21"/>
        </w:rPr>
        <w:sectPr>
          <w:pgSz w:w="11910" w:h="16840"/>
          <w:pgMar w:header="0" w:footer="924" w:top="1480" w:bottom="1120" w:left="1600" w:right="90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6893"/>
      </w:tblGrid>
      <w:tr>
        <w:trPr>
          <w:trHeight w:val="1353" w:hRule="atLeast"/>
        </w:trPr>
        <w:tc>
          <w:tcPr>
            <w:tcW w:w="2225" w:type="dxa"/>
          </w:tcPr>
          <w:p>
            <w:pPr>
              <w:pStyle w:val="TableParagraph"/>
              <w:spacing w:line="204" w:lineRule="exact"/>
              <w:ind w:left="200"/>
              <w:rPr>
                <w:sz w:val="21"/>
              </w:rPr>
            </w:pPr>
            <w:r>
              <w:rPr>
                <w:sz w:val="21"/>
              </w:rPr>
              <w:t>（七十九）皮质基底</w:t>
            </w:r>
          </w:p>
          <w:p>
            <w:pPr>
              <w:pStyle w:val="TableParagraph"/>
              <w:spacing w:before="37"/>
              <w:ind w:left="200"/>
              <w:rPr>
                <w:sz w:val="21"/>
              </w:rPr>
            </w:pPr>
            <w:r>
              <w:rPr>
                <w:sz w:val="21"/>
              </w:rPr>
              <w:t>节变性</w:t>
            </w:r>
          </w:p>
        </w:tc>
        <w:tc>
          <w:tcPr>
            <w:tcW w:w="6893" w:type="dxa"/>
          </w:tcPr>
          <w:p>
            <w:pPr>
              <w:pStyle w:val="TableParagraph"/>
              <w:spacing w:line="204" w:lineRule="exact"/>
              <w:rPr>
                <w:sz w:val="21"/>
              </w:rPr>
            </w:pPr>
            <w:r>
              <w:rPr>
                <w:sz w:val="21"/>
              </w:rPr>
              <w:t>指一种慢性进展性神经变性疾病，以不对称发作的无动性强直综合征、</w:t>
            </w:r>
          </w:p>
          <w:p>
            <w:pPr>
              <w:pStyle w:val="TableParagraph"/>
              <w:spacing w:line="273" w:lineRule="auto" w:before="37"/>
              <w:ind w:right="199"/>
              <w:jc w:val="both"/>
              <w:rPr>
                <w:sz w:val="21"/>
              </w:rPr>
            </w:pPr>
            <w:r>
              <w:rPr>
                <w:sz w:val="21"/>
              </w:rPr>
              <w:t>失用、肌张力障碍及姿势异常为其临床特征。须经临床医生明确诊断， 被保险人自主生活能力完全丧失，无法独立完成六项基本日常生活活动中的三项或三项以上，日常生活必须持续受到他人监护。</w:t>
            </w:r>
          </w:p>
        </w:tc>
      </w:tr>
      <w:tr>
        <w:trPr>
          <w:trHeight w:val="467" w:hRule="atLeast"/>
        </w:trPr>
        <w:tc>
          <w:tcPr>
            <w:tcW w:w="2225" w:type="dxa"/>
            <w:vMerge w:val="restart"/>
          </w:tcPr>
          <w:p>
            <w:pPr>
              <w:pStyle w:val="TableParagraph"/>
              <w:spacing w:line="273" w:lineRule="auto" w:before="136"/>
              <w:ind w:left="200" w:right="105"/>
              <w:rPr>
                <w:sz w:val="21"/>
              </w:rPr>
            </w:pPr>
            <w:r>
              <w:rPr>
                <w:sz w:val="21"/>
              </w:rPr>
              <w:t>（八十）肺孢子菌肺炎</w:t>
            </w:r>
          </w:p>
        </w:tc>
        <w:tc>
          <w:tcPr>
            <w:tcW w:w="6893" w:type="dxa"/>
          </w:tcPr>
          <w:p>
            <w:pPr>
              <w:pStyle w:val="TableParagraph"/>
              <w:spacing w:before="136"/>
              <w:rPr>
                <w:sz w:val="21"/>
              </w:rPr>
            </w:pPr>
            <w:r>
              <w:rPr>
                <w:sz w:val="21"/>
              </w:rPr>
              <w:t>指由肺孢子菌引起的间质性浆细胞性肺炎。并须满足下列全部条件：</w:t>
            </w:r>
          </w:p>
        </w:tc>
      </w:tr>
      <w:tr>
        <w:trPr>
          <w:trHeight w:val="312" w:hRule="atLeast"/>
        </w:trPr>
        <w:tc>
          <w:tcPr>
            <w:tcW w:w="2225" w:type="dxa"/>
            <w:vMerge/>
            <w:tcBorders>
              <w:top w:val="nil"/>
            </w:tcBorders>
          </w:tcPr>
          <w:p>
            <w:pPr>
              <w:rPr>
                <w:sz w:val="2"/>
                <w:szCs w:val="2"/>
              </w:rPr>
            </w:pPr>
          </w:p>
        </w:tc>
        <w:tc>
          <w:tcPr>
            <w:tcW w:w="6893" w:type="dxa"/>
          </w:tcPr>
          <w:p>
            <w:pPr>
              <w:pStyle w:val="TableParagraph"/>
              <w:spacing w:line="255" w:lineRule="exact"/>
              <w:rPr>
                <w:sz w:val="21"/>
              </w:rPr>
            </w:pPr>
            <w:r>
              <w:rPr>
                <w:sz w:val="21"/>
              </w:rPr>
              <w:t>1) 第一秒末用力呼气量（FEV1）小于 1 升；</w:t>
            </w:r>
          </w:p>
        </w:tc>
      </w:tr>
      <w:tr>
        <w:trPr>
          <w:trHeight w:val="311" w:hRule="atLeast"/>
        </w:trPr>
        <w:tc>
          <w:tcPr>
            <w:tcW w:w="2225" w:type="dxa"/>
          </w:tcPr>
          <w:p>
            <w:pPr>
              <w:pStyle w:val="TableParagraph"/>
              <w:ind w:left="0"/>
              <w:rPr>
                <w:rFonts w:ascii="Times New Roman"/>
                <w:sz w:val="20"/>
              </w:rPr>
            </w:pPr>
          </w:p>
        </w:tc>
        <w:tc>
          <w:tcPr>
            <w:tcW w:w="6893" w:type="dxa"/>
          </w:tcPr>
          <w:p>
            <w:pPr>
              <w:pStyle w:val="TableParagraph"/>
              <w:spacing w:line="255" w:lineRule="exact"/>
              <w:rPr>
                <w:sz w:val="21"/>
              </w:rPr>
            </w:pPr>
            <w:r>
              <w:rPr>
                <w:sz w:val="21"/>
              </w:rPr>
              <w:t>2) 气道内阻力增加，至少达到 0.5 kPa/l/s；</w:t>
            </w:r>
          </w:p>
        </w:tc>
      </w:tr>
      <w:tr>
        <w:trPr>
          <w:trHeight w:val="312" w:hRule="atLeast"/>
        </w:trPr>
        <w:tc>
          <w:tcPr>
            <w:tcW w:w="2225" w:type="dxa"/>
          </w:tcPr>
          <w:p>
            <w:pPr>
              <w:pStyle w:val="TableParagraph"/>
              <w:ind w:left="0"/>
              <w:rPr>
                <w:rFonts w:ascii="Times New Roman"/>
                <w:sz w:val="20"/>
              </w:rPr>
            </w:pPr>
          </w:p>
        </w:tc>
        <w:tc>
          <w:tcPr>
            <w:tcW w:w="6893" w:type="dxa"/>
          </w:tcPr>
          <w:p>
            <w:pPr>
              <w:pStyle w:val="TableParagraph"/>
              <w:spacing w:line="255" w:lineRule="exact"/>
              <w:rPr>
                <w:sz w:val="21"/>
              </w:rPr>
            </w:pPr>
            <w:r>
              <w:rPr>
                <w:sz w:val="21"/>
              </w:rPr>
              <w:t>3) 残气容积占肺总量(TLC)的 60%以上；</w:t>
            </w:r>
          </w:p>
        </w:tc>
      </w:tr>
      <w:tr>
        <w:trPr>
          <w:trHeight w:val="312" w:hRule="atLeast"/>
        </w:trPr>
        <w:tc>
          <w:tcPr>
            <w:tcW w:w="2225" w:type="dxa"/>
          </w:tcPr>
          <w:p>
            <w:pPr>
              <w:pStyle w:val="TableParagraph"/>
              <w:ind w:left="0"/>
              <w:rPr>
                <w:rFonts w:ascii="Times New Roman"/>
                <w:sz w:val="20"/>
              </w:rPr>
            </w:pPr>
          </w:p>
        </w:tc>
        <w:tc>
          <w:tcPr>
            <w:tcW w:w="6893" w:type="dxa"/>
          </w:tcPr>
          <w:p>
            <w:pPr>
              <w:pStyle w:val="TableParagraph"/>
              <w:spacing w:line="255" w:lineRule="exact"/>
              <w:rPr>
                <w:sz w:val="21"/>
              </w:rPr>
            </w:pPr>
            <w:r>
              <w:rPr>
                <w:sz w:val="21"/>
              </w:rPr>
              <w:t>4) 胸内气体容积升高，超过 170 (基值的百分比)；</w:t>
            </w:r>
          </w:p>
        </w:tc>
      </w:tr>
      <w:tr>
        <w:trPr>
          <w:trHeight w:val="312" w:hRule="atLeast"/>
        </w:trPr>
        <w:tc>
          <w:tcPr>
            <w:tcW w:w="2225" w:type="dxa"/>
          </w:tcPr>
          <w:p>
            <w:pPr>
              <w:pStyle w:val="TableParagraph"/>
              <w:ind w:left="0"/>
              <w:rPr>
                <w:rFonts w:ascii="Times New Roman"/>
                <w:sz w:val="20"/>
              </w:rPr>
            </w:pPr>
          </w:p>
        </w:tc>
        <w:tc>
          <w:tcPr>
            <w:tcW w:w="6893" w:type="dxa"/>
          </w:tcPr>
          <w:p>
            <w:pPr>
              <w:pStyle w:val="TableParagraph"/>
              <w:spacing w:line="255" w:lineRule="exact"/>
              <w:rPr>
                <w:sz w:val="21"/>
              </w:rPr>
            </w:pPr>
            <w:r>
              <w:rPr>
                <w:sz w:val="21"/>
              </w:rPr>
              <w:t>5) PaO2&lt;60mmHg，PaCO2&gt;50mmHg。</w:t>
            </w:r>
          </w:p>
        </w:tc>
      </w:tr>
      <w:tr>
        <w:trPr>
          <w:trHeight w:val="261" w:hRule="atLeast"/>
        </w:trPr>
        <w:tc>
          <w:tcPr>
            <w:tcW w:w="2225" w:type="dxa"/>
          </w:tcPr>
          <w:p>
            <w:pPr>
              <w:pStyle w:val="TableParagraph"/>
              <w:ind w:left="0"/>
              <w:rPr>
                <w:rFonts w:ascii="Times New Roman"/>
                <w:sz w:val="18"/>
              </w:rPr>
            </w:pPr>
          </w:p>
        </w:tc>
        <w:tc>
          <w:tcPr>
            <w:tcW w:w="6893" w:type="dxa"/>
          </w:tcPr>
          <w:p>
            <w:pPr>
              <w:pStyle w:val="TableParagraph"/>
              <w:spacing w:line="242" w:lineRule="exact"/>
              <w:rPr>
                <w:b/>
                <w:sz w:val="21"/>
              </w:rPr>
            </w:pPr>
            <w:r>
              <w:rPr>
                <w:b/>
                <w:sz w:val="21"/>
              </w:rPr>
              <w:t>感染艾滋病病毒或患艾滋病期间所患肺孢子菌肺炎不在保障范围内。</w:t>
            </w:r>
          </w:p>
        </w:tc>
      </w:tr>
    </w:tbl>
    <w:p>
      <w:pPr>
        <w:pStyle w:val="BodyText"/>
        <w:spacing w:before="3"/>
        <w:ind w:left="0"/>
        <w:rPr>
          <w:rFonts w:ascii="Times New Roman"/>
          <w:sz w:val="29"/>
        </w:rPr>
      </w:pPr>
    </w:p>
    <w:p>
      <w:pPr>
        <w:pStyle w:val="BodyText"/>
        <w:spacing w:line="326" w:lineRule="auto" w:before="37" w:after="57"/>
        <w:ind w:left="200" w:right="811"/>
        <w:jc w:val="both"/>
      </w:pPr>
      <w:r>
        <w:rPr>
          <w:spacing w:val="-7"/>
        </w:rPr>
        <w:t>对于未成年被保险人是指符合以下疾病定义所述条件的疾病、疾病状态或手术，并由专科医</w:t>
      </w:r>
      <w:r>
        <w:rPr>
          <w:spacing w:val="-11"/>
        </w:rPr>
        <w:t>生明确诊断，共计二十种。其中第一种至第十五种为中国保险行业协会在其制定的《重大疾</w:t>
      </w:r>
      <w:r>
        <w:rPr>
          <w:spacing w:val="-6"/>
        </w:rPr>
        <w:t>病保险的疾病定义使用规范》中所规定的疾病：</w:t>
      </w: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6824"/>
      </w:tblGrid>
      <w:tr>
        <w:trPr>
          <w:trHeight w:val="1197" w:hRule="atLeast"/>
        </w:trPr>
        <w:tc>
          <w:tcPr>
            <w:tcW w:w="2225" w:type="dxa"/>
          </w:tcPr>
          <w:p>
            <w:pPr>
              <w:pStyle w:val="TableParagraph"/>
              <w:spacing w:line="211" w:lineRule="exact"/>
              <w:ind w:left="200"/>
              <w:rPr>
                <w:sz w:val="21"/>
              </w:rPr>
            </w:pPr>
            <w:r>
              <w:rPr>
                <w:sz w:val="21"/>
              </w:rPr>
              <w:t>（一）恶性肿瘤</w:t>
            </w:r>
          </w:p>
        </w:tc>
        <w:tc>
          <w:tcPr>
            <w:tcW w:w="6824" w:type="dxa"/>
          </w:tcPr>
          <w:p>
            <w:pPr>
              <w:pStyle w:val="TableParagraph"/>
              <w:spacing w:line="211" w:lineRule="exact"/>
              <w:rPr>
                <w:sz w:val="21"/>
              </w:rPr>
            </w:pPr>
            <w:r>
              <w:rPr>
                <w:sz w:val="21"/>
              </w:rPr>
              <w:t>指恶性细胞不受控制的进行性增长和扩散，浸润和破坏周围正常组织，</w:t>
            </w:r>
          </w:p>
          <w:p>
            <w:pPr>
              <w:pStyle w:val="TableParagraph"/>
              <w:spacing w:line="273" w:lineRule="auto" w:before="37"/>
              <w:ind w:right="198"/>
              <w:jc w:val="both"/>
              <w:rPr>
                <w:sz w:val="21"/>
              </w:rPr>
            </w:pPr>
            <w:r>
              <w:rPr>
                <w:sz w:val="21"/>
              </w:rPr>
              <w:t>可以经血管、淋巴管和体腔扩散转移到身体其它部位的疾病。经病理学检查结果明确诊断，临床诊断属于世界卫生组织《疾病和有关健康问题的国际统计分类》（ICD-10）的恶性肿瘤范畴。</w:t>
            </w:r>
          </w:p>
        </w:tc>
      </w:tr>
      <w:tr>
        <w:trPr>
          <w:trHeight w:val="312" w:hRule="atLeast"/>
        </w:trPr>
        <w:tc>
          <w:tcPr>
            <w:tcW w:w="2225" w:type="dxa"/>
          </w:tcPr>
          <w:p>
            <w:pPr>
              <w:pStyle w:val="TableParagraph"/>
              <w:ind w:left="0"/>
              <w:rPr>
                <w:rFonts w:ascii="Times New Roman"/>
                <w:sz w:val="20"/>
              </w:rPr>
            </w:pPr>
          </w:p>
        </w:tc>
        <w:tc>
          <w:tcPr>
            <w:tcW w:w="6824" w:type="dxa"/>
          </w:tcPr>
          <w:p>
            <w:pPr>
              <w:pStyle w:val="TableParagraph"/>
              <w:spacing w:line="261" w:lineRule="exact"/>
              <w:rPr>
                <w:b/>
                <w:sz w:val="21"/>
              </w:rPr>
            </w:pPr>
            <w:r>
              <w:rPr>
                <w:b/>
                <w:sz w:val="21"/>
              </w:rPr>
              <w:t>下列疾病不在保障范围内：</w:t>
            </w:r>
          </w:p>
        </w:tc>
      </w:tr>
      <w:tr>
        <w:trPr>
          <w:trHeight w:val="312" w:hRule="atLeast"/>
        </w:trPr>
        <w:tc>
          <w:tcPr>
            <w:tcW w:w="2225" w:type="dxa"/>
          </w:tcPr>
          <w:p>
            <w:pPr>
              <w:pStyle w:val="TableParagraph"/>
              <w:ind w:left="0"/>
              <w:rPr>
                <w:rFonts w:ascii="Times New Roman"/>
                <w:sz w:val="20"/>
              </w:rPr>
            </w:pPr>
          </w:p>
        </w:tc>
        <w:tc>
          <w:tcPr>
            <w:tcW w:w="6824" w:type="dxa"/>
          </w:tcPr>
          <w:p>
            <w:pPr>
              <w:pStyle w:val="TableParagraph"/>
              <w:spacing w:line="262" w:lineRule="exact"/>
              <w:rPr>
                <w:b/>
                <w:sz w:val="21"/>
              </w:rPr>
            </w:pPr>
            <w:r>
              <w:rPr>
                <w:b/>
                <w:sz w:val="21"/>
              </w:rPr>
              <w:t>（1）原位癌；</w:t>
            </w:r>
          </w:p>
        </w:tc>
      </w:tr>
      <w:tr>
        <w:trPr>
          <w:trHeight w:val="312" w:hRule="atLeast"/>
        </w:trPr>
        <w:tc>
          <w:tcPr>
            <w:tcW w:w="2225" w:type="dxa"/>
          </w:tcPr>
          <w:p>
            <w:pPr>
              <w:pStyle w:val="TableParagraph"/>
              <w:ind w:left="0"/>
              <w:rPr>
                <w:rFonts w:ascii="Times New Roman"/>
                <w:sz w:val="20"/>
              </w:rPr>
            </w:pPr>
          </w:p>
        </w:tc>
        <w:tc>
          <w:tcPr>
            <w:tcW w:w="6824" w:type="dxa"/>
          </w:tcPr>
          <w:p>
            <w:pPr>
              <w:pStyle w:val="TableParagraph"/>
              <w:spacing w:line="261" w:lineRule="exact"/>
              <w:rPr>
                <w:b/>
                <w:sz w:val="21"/>
              </w:rPr>
            </w:pPr>
            <w:r>
              <w:rPr>
                <w:b/>
                <w:sz w:val="21"/>
              </w:rPr>
              <w:t>（2）相当于 Binet 分期方案 A 期程度的慢性淋巴细胞白血病；</w:t>
            </w:r>
          </w:p>
        </w:tc>
      </w:tr>
      <w:tr>
        <w:trPr>
          <w:trHeight w:val="312" w:hRule="atLeast"/>
        </w:trPr>
        <w:tc>
          <w:tcPr>
            <w:tcW w:w="2225" w:type="dxa"/>
          </w:tcPr>
          <w:p>
            <w:pPr>
              <w:pStyle w:val="TableParagraph"/>
              <w:ind w:left="0"/>
              <w:rPr>
                <w:rFonts w:ascii="Times New Roman"/>
                <w:sz w:val="20"/>
              </w:rPr>
            </w:pPr>
          </w:p>
        </w:tc>
        <w:tc>
          <w:tcPr>
            <w:tcW w:w="6824" w:type="dxa"/>
          </w:tcPr>
          <w:p>
            <w:pPr>
              <w:pStyle w:val="TableParagraph"/>
              <w:spacing w:line="261" w:lineRule="exact"/>
              <w:rPr>
                <w:b/>
                <w:sz w:val="21"/>
              </w:rPr>
            </w:pPr>
            <w:r>
              <w:rPr>
                <w:b/>
                <w:sz w:val="21"/>
              </w:rPr>
              <w:t>（3）相当于 Ann Arbor 分期方案 I 期程度的何杰金氏病；</w:t>
            </w:r>
          </w:p>
        </w:tc>
      </w:tr>
      <w:tr>
        <w:trPr>
          <w:trHeight w:val="311" w:hRule="atLeast"/>
        </w:trPr>
        <w:tc>
          <w:tcPr>
            <w:tcW w:w="2225" w:type="dxa"/>
          </w:tcPr>
          <w:p>
            <w:pPr>
              <w:pStyle w:val="TableParagraph"/>
              <w:ind w:left="0"/>
              <w:rPr>
                <w:rFonts w:ascii="Times New Roman"/>
                <w:sz w:val="20"/>
              </w:rPr>
            </w:pPr>
          </w:p>
        </w:tc>
        <w:tc>
          <w:tcPr>
            <w:tcW w:w="6824" w:type="dxa"/>
          </w:tcPr>
          <w:p>
            <w:pPr>
              <w:pStyle w:val="TableParagraph"/>
              <w:spacing w:line="261" w:lineRule="exact"/>
              <w:rPr>
                <w:b/>
                <w:sz w:val="21"/>
              </w:rPr>
            </w:pPr>
            <w:r>
              <w:rPr>
                <w:b/>
                <w:sz w:val="21"/>
              </w:rPr>
              <w:t>（4）皮肤癌（不包括恶性黑色素瘤及已发生转移的皮肤癌）；</w:t>
            </w:r>
          </w:p>
        </w:tc>
      </w:tr>
      <w:tr>
        <w:trPr>
          <w:trHeight w:val="311" w:hRule="atLeast"/>
        </w:trPr>
        <w:tc>
          <w:tcPr>
            <w:tcW w:w="2225" w:type="dxa"/>
          </w:tcPr>
          <w:p>
            <w:pPr>
              <w:pStyle w:val="TableParagraph"/>
              <w:ind w:left="0"/>
              <w:rPr>
                <w:rFonts w:ascii="Times New Roman"/>
                <w:sz w:val="20"/>
              </w:rPr>
            </w:pPr>
          </w:p>
        </w:tc>
        <w:tc>
          <w:tcPr>
            <w:tcW w:w="6824" w:type="dxa"/>
          </w:tcPr>
          <w:p>
            <w:pPr>
              <w:pStyle w:val="TableParagraph"/>
              <w:spacing w:line="261" w:lineRule="exact"/>
              <w:rPr>
                <w:b/>
                <w:sz w:val="21"/>
              </w:rPr>
            </w:pPr>
            <w:r>
              <w:rPr>
                <w:b/>
                <w:position w:val="1"/>
                <w:sz w:val="21"/>
              </w:rPr>
              <w:t>（5）TNM 分期为 T</w:t>
            </w:r>
            <w:r>
              <w:rPr>
                <w:b/>
                <w:sz w:val="11"/>
              </w:rPr>
              <w:t>1</w:t>
            </w:r>
            <w:r>
              <w:rPr>
                <w:b/>
                <w:position w:val="1"/>
                <w:sz w:val="21"/>
              </w:rPr>
              <w:t>N</w:t>
            </w:r>
            <w:r>
              <w:rPr>
                <w:b/>
                <w:sz w:val="11"/>
              </w:rPr>
              <w:t>0</w:t>
            </w:r>
            <w:r>
              <w:rPr>
                <w:b/>
                <w:position w:val="1"/>
                <w:sz w:val="21"/>
              </w:rPr>
              <w:t>M</w:t>
            </w:r>
            <w:r>
              <w:rPr>
                <w:b/>
                <w:sz w:val="11"/>
              </w:rPr>
              <w:t>0 </w:t>
            </w:r>
            <w:r>
              <w:rPr>
                <w:b/>
                <w:position w:val="1"/>
                <w:sz w:val="21"/>
              </w:rPr>
              <w:t>期或更轻分期的前列腺癌；</w:t>
            </w:r>
          </w:p>
        </w:tc>
      </w:tr>
      <w:tr>
        <w:trPr>
          <w:trHeight w:val="468" w:hRule="atLeast"/>
        </w:trPr>
        <w:tc>
          <w:tcPr>
            <w:tcW w:w="2225" w:type="dxa"/>
          </w:tcPr>
          <w:p>
            <w:pPr>
              <w:pStyle w:val="TableParagraph"/>
              <w:ind w:left="0"/>
              <w:rPr>
                <w:rFonts w:ascii="Times New Roman"/>
                <w:sz w:val="20"/>
              </w:rPr>
            </w:pPr>
          </w:p>
        </w:tc>
        <w:tc>
          <w:tcPr>
            <w:tcW w:w="6824" w:type="dxa"/>
          </w:tcPr>
          <w:p>
            <w:pPr>
              <w:pStyle w:val="TableParagraph"/>
              <w:spacing w:line="261" w:lineRule="exact"/>
              <w:rPr>
                <w:b/>
                <w:sz w:val="21"/>
              </w:rPr>
            </w:pPr>
            <w:r>
              <w:rPr>
                <w:b/>
                <w:sz w:val="21"/>
              </w:rPr>
              <w:t>（6）感染艾滋病病毒或患艾滋病期间所患恶性肿瘤。</w:t>
            </w:r>
          </w:p>
        </w:tc>
      </w:tr>
      <w:tr>
        <w:trPr>
          <w:trHeight w:val="780" w:hRule="atLeast"/>
        </w:trPr>
        <w:tc>
          <w:tcPr>
            <w:tcW w:w="2225" w:type="dxa"/>
            <w:vMerge w:val="restart"/>
          </w:tcPr>
          <w:p>
            <w:pPr>
              <w:pStyle w:val="TableParagraph"/>
              <w:spacing w:line="273" w:lineRule="auto" w:before="142"/>
              <w:ind w:left="200" w:right="105"/>
              <w:jc w:val="both"/>
              <w:rPr>
                <w:sz w:val="21"/>
              </w:rPr>
            </w:pPr>
            <w:r>
              <w:rPr>
                <w:sz w:val="21"/>
              </w:rPr>
              <w:t>（二）重大器官移植术或造血干细胞移植术</w:t>
            </w:r>
          </w:p>
        </w:tc>
        <w:tc>
          <w:tcPr>
            <w:tcW w:w="6824" w:type="dxa"/>
          </w:tcPr>
          <w:p>
            <w:pPr>
              <w:pStyle w:val="TableParagraph"/>
              <w:spacing w:line="273" w:lineRule="auto" w:before="142"/>
              <w:ind w:right="198"/>
              <w:rPr>
                <w:sz w:val="21"/>
              </w:rPr>
            </w:pPr>
            <w:r>
              <w:rPr>
                <w:sz w:val="21"/>
              </w:rPr>
              <w:t>重大器官移植术，指因相应器官功能衰竭，已经实施了肾脏、肝脏、心脏或肺脏的异体移植手术。</w:t>
            </w:r>
          </w:p>
        </w:tc>
      </w:tr>
      <w:tr>
        <w:trPr>
          <w:trHeight w:val="1092" w:hRule="atLeast"/>
        </w:trPr>
        <w:tc>
          <w:tcPr>
            <w:tcW w:w="2225" w:type="dxa"/>
            <w:vMerge/>
            <w:tcBorders>
              <w:top w:val="nil"/>
            </w:tcBorders>
          </w:tcPr>
          <w:p>
            <w:pPr>
              <w:rPr>
                <w:sz w:val="2"/>
                <w:szCs w:val="2"/>
              </w:rPr>
            </w:pPr>
          </w:p>
        </w:tc>
        <w:tc>
          <w:tcPr>
            <w:tcW w:w="6824" w:type="dxa"/>
          </w:tcPr>
          <w:p>
            <w:pPr>
              <w:pStyle w:val="TableParagraph"/>
              <w:spacing w:line="261" w:lineRule="exact"/>
              <w:rPr>
                <w:sz w:val="21"/>
              </w:rPr>
            </w:pPr>
            <w:r>
              <w:rPr>
                <w:sz w:val="21"/>
              </w:rPr>
              <w:t>造血干细胞移植术，指因造血功能损害或造血系统恶性肿瘤，已经实施</w:t>
            </w:r>
          </w:p>
          <w:p>
            <w:pPr>
              <w:pStyle w:val="TableParagraph"/>
              <w:spacing w:line="273" w:lineRule="auto" w:before="37"/>
              <w:ind w:right="198"/>
              <w:rPr>
                <w:sz w:val="21"/>
              </w:rPr>
            </w:pPr>
            <w:r>
              <w:rPr>
                <w:sz w:val="21"/>
              </w:rPr>
              <w:t>了造血干细胞（包括骨髓造血干细胞、外周血造血干细胞和脐血造血干细胞）的异体移植手术。</w:t>
            </w:r>
          </w:p>
        </w:tc>
      </w:tr>
      <w:tr>
        <w:trPr>
          <w:trHeight w:val="1220" w:hRule="atLeast"/>
        </w:trPr>
        <w:tc>
          <w:tcPr>
            <w:tcW w:w="2225" w:type="dxa"/>
          </w:tcPr>
          <w:p>
            <w:pPr>
              <w:pStyle w:val="TableParagraph"/>
              <w:spacing w:line="273" w:lineRule="auto" w:before="142"/>
              <w:ind w:left="200" w:right="105"/>
              <w:jc w:val="both"/>
              <w:rPr>
                <w:sz w:val="21"/>
              </w:rPr>
            </w:pPr>
            <w:r>
              <w:rPr>
                <w:sz w:val="21"/>
              </w:rPr>
              <w:t>（</w:t>
            </w:r>
            <w:r>
              <w:rPr>
                <w:spacing w:val="-3"/>
                <w:sz w:val="21"/>
              </w:rPr>
              <w:t>三</w:t>
            </w:r>
            <w:r>
              <w:rPr>
                <w:spacing w:val="-92"/>
                <w:sz w:val="21"/>
              </w:rPr>
              <w:t>）</w:t>
            </w:r>
            <w:r>
              <w:rPr>
                <w:spacing w:val="-22"/>
                <w:sz w:val="21"/>
              </w:rPr>
              <w:t>终末期肾病</w:t>
            </w:r>
            <w:r>
              <w:rPr>
                <w:spacing w:val="-3"/>
                <w:sz w:val="21"/>
              </w:rPr>
              <w:t>（</w:t>
            </w:r>
            <w:r>
              <w:rPr>
                <w:sz w:val="21"/>
              </w:rPr>
              <w:t>或称慢性肾功能衰竭尿</w:t>
            </w:r>
            <w:r>
              <w:rPr>
                <w:spacing w:val="-1"/>
                <w:sz w:val="21"/>
              </w:rPr>
              <w:t>毒症期</w:t>
            </w:r>
            <w:r>
              <w:rPr>
                <w:sz w:val="21"/>
              </w:rPr>
              <w:t>）</w:t>
            </w:r>
          </w:p>
        </w:tc>
        <w:tc>
          <w:tcPr>
            <w:tcW w:w="6824" w:type="dxa"/>
          </w:tcPr>
          <w:p>
            <w:pPr>
              <w:pStyle w:val="TableParagraph"/>
              <w:spacing w:line="273" w:lineRule="auto" w:before="142"/>
              <w:ind w:right="198"/>
              <w:rPr>
                <w:sz w:val="21"/>
              </w:rPr>
            </w:pPr>
            <w:r>
              <w:rPr>
                <w:sz w:val="21"/>
              </w:rPr>
              <w:t>指双肾功能慢性不可逆性衰竭，达到尿毒症期，经诊断后已经进行了至少 90 天的规律性透析治疗或实施了肾脏移植手术。</w:t>
            </w:r>
          </w:p>
        </w:tc>
      </w:tr>
      <w:tr>
        <w:trPr>
          <w:trHeight w:val="908" w:hRule="atLeast"/>
        </w:trPr>
        <w:tc>
          <w:tcPr>
            <w:tcW w:w="2225" w:type="dxa"/>
          </w:tcPr>
          <w:p>
            <w:pPr>
              <w:pStyle w:val="TableParagraph"/>
              <w:spacing w:before="115"/>
              <w:ind w:left="200"/>
              <w:rPr>
                <w:sz w:val="21"/>
              </w:rPr>
            </w:pPr>
            <w:r>
              <w:rPr>
                <w:sz w:val="21"/>
              </w:rPr>
              <w:t>（四）多个肢体缺失</w:t>
            </w:r>
          </w:p>
        </w:tc>
        <w:tc>
          <w:tcPr>
            <w:tcW w:w="6824" w:type="dxa"/>
          </w:tcPr>
          <w:p>
            <w:pPr>
              <w:pStyle w:val="TableParagraph"/>
              <w:spacing w:before="115"/>
              <w:rPr>
                <w:sz w:val="21"/>
              </w:rPr>
            </w:pPr>
            <w:r>
              <w:rPr>
                <w:sz w:val="21"/>
              </w:rPr>
              <w:t>指因疾病或意外伤害导致两个或两个以上肢体自腕关节或踝关节近端</w:t>
            </w:r>
          </w:p>
          <w:p>
            <w:pPr>
              <w:pStyle w:val="TableParagraph"/>
              <w:spacing w:before="37"/>
              <w:rPr>
                <w:sz w:val="21"/>
              </w:rPr>
            </w:pPr>
            <w:r>
              <w:rPr>
                <w:sz w:val="21"/>
              </w:rPr>
              <w:t>（靠近躯干端）以上完全性断离。</w:t>
            </w:r>
          </w:p>
        </w:tc>
      </w:tr>
      <w:tr>
        <w:trPr>
          <w:trHeight w:val="780" w:hRule="atLeast"/>
        </w:trPr>
        <w:tc>
          <w:tcPr>
            <w:tcW w:w="2225" w:type="dxa"/>
          </w:tcPr>
          <w:p>
            <w:pPr>
              <w:pStyle w:val="TableParagraph"/>
              <w:spacing w:line="273" w:lineRule="auto" w:before="142"/>
              <w:ind w:left="200" w:right="105"/>
              <w:rPr>
                <w:sz w:val="21"/>
              </w:rPr>
            </w:pPr>
            <w:r>
              <w:rPr>
                <w:sz w:val="21"/>
              </w:rPr>
              <w:t>（五）急性或亚急性重症肝炎</w:t>
            </w:r>
          </w:p>
        </w:tc>
        <w:tc>
          <w:tcPr>
            <w:tcW w:w="6824" w:type="dxa"/>
          </w:tcPr>
          <w:p>
            <w:pPr>
              <w:pStyle w:val="TableParagraph"/>
              <w:spacing w:line="273" w:lineRule="auto" w:before="142"/>
              <w:ind w:right="198"/>
              <w:rPr>
                <w:sz w:val="21"/>
              </w:rPr>
            </w:pPr>
            <w:r>
              <w:rPr>
                <w:sz w:val="21"/>
              </w:rPr>
              <w:t>指因肝炎病毒感染引起肝脏组织弥漫性坏死，导致急性肝功能衰竭，且经血清学或病毒学检查证实，并须满足下列全部条件：</w:t>
            </w:r>
          </w:p>
        </w:tc>
      </w:tr>
      <w:tr>
        <w:trPr>
          <w:trHeight w:val="261" w:hRule="atLeast"/>
        </w:trPr>
        <w:tc>
          <w:tcPr>
            <w:tcW w:w="2225" w:type="dxa"/>
          </w:tcPr>
          <w:p>
            <w:pPr>
              <w:pStyle w:val="TableParagraph"/>
              <w:ind w:left="0"/>
              <w:rPr>
                <w:rFonts w:ascii="Times New Roman"/>
                <w:sz w:val="18"/>
              </w:rPr>
            </w:pPr>
          </w:p>
        </w:tc>
        <w:tc>
          <w:tcPr>
            <w:tcW w:w="6824" w:type="dxa"/>
          </w:tcPr>
          <w:p>
            <w:pPr>
              <w:pStyle w:val="TableParagraph"/>
              <w:spacing w:line="242" w:lineRule="exact"/>
              <w:rPr>
                <w:sz w:val="21"/>
              </w:rPr>
            </w:pPr>
            <w:r>
              <w:rPr>
                <w:sz w:val="21"/>
              </w:rPr>
              <w:t>（1）重度黄疸或黄疸迅速加重；</w:t>
            </w:r>
          </w:p>
        </w:tc>
      </w:tr>
    </w:tbl>
    <w:p>
      <w:pPr>
        <w:spacing w:after="0" w:line="242" w:lineRule="exact"/>
        <w:rPr>
          <w:sz w:val="21"/>
        </w:rPr>
        <w:sectPr>
          <w:pgSz w:w="11910" w:h="16840"/>
          <w:pgMar w:header="0" w:footer="924" w:top="1480" w:bottom="1120" w:left="1600" w:right="98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7006"/>
      </w:tblGrid>
      <w:tr>
        <w:trPr>
          <w:trHeight w:val="261" w:hRule="atLeast"/>
        </w:trPr>
        <w:tc>
          <w:tcPr>
            <w:tcW w:w="2225" w:type="dxa"/>
          </w:tcPr>
          <w:p>
            <w:pPr>
              <w:pStyle w:val="TableParagraph"/>
              <w:ind w:left="0"/>
              <w:rPr>
                <w:rFonts w:ascii="Times New Roman"/>
                <w:sz w:val="18"/>
              </w:rPr>
            </w:pPr>
          </w:p>
        </w:tc>
        <w:tc>
          <w:tcPr>
            <w:tcW w:w="7006" w:type="dxa"/>
          </w:tcPr>
          <w:p>
            <w:pPr>
              <w:pStyle w:val="TableParagraph"/>
              <w:spacing w:line="204" w:lineRule="exact"/>
              <w:rPr>
                <w:sz w:val="21"/>
              </w:rPr>
            </w:pPr>
            <w:r>
              <w:rPr>
                <w:sz w:val="21"/>
              </w:rPr>
              <w:t>（2）肝性脑病；</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（3）B 超或其它影像学检查显示肝脏体积急速萎缩；</w:t>
            </w:r>
          </w:p>
        </w:tc>
      </w:tr>
      <w:tr>
        <w:trPr>
          <w:trHeight w:val="467"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（4）肝功能指标进行性恶化。</w:t>
            </w:r>
          </w:p>
        </w:tc>
      </w:tr>
      <w:tr>
        <w:trPr>
          <w:trHeight w:val="1403" w:hRule="atLeast"/>
        </w:trPr>
        <w:tc>
          <w:tcPr>
            <w:tcW w:w="2225" w:type="dxa"/>
          </w:tcPr>
          <w:p>
            <w:pPr>
              <w:pStyle w:val="TableParagraph"/>
              <w:spacing w:before="136"/>
              <w:ind w:left="200"/>
              <w:rPr>
                <w:sz w:val="21"/>
              </w:rPr>
            </w:pPr>
            <w:r>
              <w:rPr>
                <w:sz w:val="21"/>
              </w:rPr>
              <w:t>（六）良性脑肿瘤</w:t>
            </w:r>
          </w:p>
        </w:tc>
        <w:tc>
          <w:tcPr>
            <w:tcW w:w="7006" w:type="dxa"/>
          </w:tcPr>
          <w:p>
            <w:pPr>
              <w:pStyle w:val="TableParagraph"/>
              <w:spacing w:line="273" w:lineRule="auto" w:before="136"/>
              <w:ind w:right="198"/>
              <w:rPr>
                <w:sz w:val="21"/>
              </w:rPr>
            </w:pPr>
            <w:r>
              <w:rPr>
                <w:spacing w:val="-3"/>
                <w:sz w:val="21"/>
              </w:rPr>
              <w:t>指脑的良性肿瘤，已经引起颅内压增高，临床表现为视神经乳头水肿、</w:t>
            </w:r>
            <w:r>
              <w:rPr>
                <w:w w:val="100"/>
                <w:sz w:val="21"/>
              </w:rPr>
              <w:t>精</w:t>
            </w:r>
            <w:r>
              <w:rPr>
                <w:spacing w:val="-23"/>
                <w:w w:val="100"/>
                <w:sz w:val="21"/>
              </w:rPr>
              <w:t>神症状、癫痫及运动感觉障碍等，并危及生命。须由头颅断层扫描</w:t>
            </w:r>
            <w:r>
              <w:rPr>
                <w:w w:val="100"/>
                <w:sz w:val="21"/>
              </w:rPr>
              <w:t>（C</w:t>
            </w:r>
            <w:r>
              <w:rPr>
                <w:spacing w:val="-3"/>
                <w:w w:val="100"/>
                <w:sz w:val="21"/>
              </w:rPr>
              <w:t>T</w:t>
            </w:r>
            <w:r>
              <w:rPr>
                <w:spacing w:val="-89"/>
                <w:w w:val="100"/>
                <w:sz w:val="21"/>
              </w:rPr>
              <w:t>）、</w:t>
            </w:r>
            <w:r>
              <w:rPr>
                <w:sz w:val="21"/>
              </w:rPr>
              <w:t>核</w:t>
            </w:r>
            <w:r>
              <w:rPr>
                <w:spacing w:val="-4"/>
                <w:sz w:val="21"/>
              </w:rPr>
              <w:t>磁共振检查</w:t>
            </w:r>
            <w:r>
              <w:rPr>
                <w:spacing w:val="-3"/>
                <w:sz w:val="21"/>
              </w:rPr>
              <w:t>（MRI）</w:t>
            </w:r>
            <w:r>
              <w:rPr>
                <w:spacing w:val="-4"/>
                <w:sz w:val="21"/>
              </w:rPr>
              <w:t>或正电子发射断层扫描</w:t>
            </w:r>
            <w:r>
              <w:rPr>
                <w:spacing w:val="-3"/>
                <w:sz w:val="21"/>
              </w:rPr>
              <w:t>（PET）等影像学检查证实， 并须满足下列至少一项条件：</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（1）实际实施了开颅进行的脑肿瘤完全切除或部分切除的手术；</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（2）实际实施了对脑肿瘤进行的放射治疗。</w:t>
            </w:r>
          </w:p>
        </w:tc>
      </w:tr>
      <w:tr>
        <w:trPr>
          <w:trHeight w:val="468" w:hRule="atLeast"/>
        </w:trPr>
        <w:tc>
          <w:tcPr>
            <w:tcW w:w="2225" w:type="dxa"/>
          </w:tcPr>
          <w:p>
            <w:pPr>
              <w:pStyle w:val="TableParagraph"/>
              <w:ind w:left="0"/>
              <w:rPr>
                <w:rFonts w:ascii="Times New Roman"/>
                <w:sz w:val="20"/>
              </w:rPr>
            </w:pPr>
          </w:p>
        </w:tc>
        <w:tc>
          <w:tcPr>
            <w:tcW w:w="7006" w:type="dxa"/>
          </w:tcPr>
          <w:p>
            <w:pPr>
              <w:pStyle w:val="TableParagraph"/>
              <w:spacing w:line="255" w:lineRule="exact"/>
              <w:rPr>
                <w:b/>
                <w:sz w:val="21"/>
              </w:rPr>
            </w:pPr>
            <w:r>
              <w:rPr>
                <w:b/>
                <w:sz w:val="21"/>
              </w:rPr>
              <w:t>脑垂体瘤、脑囊肿、脑血管性疾病不在保障范围内。</w:t>
            </w:r>
          </w:p>
        </w:tc>
      </w:tr>
      <w:tr>
        <w:trPr>
          <w:trHeight w:val="468" w:hRule="atLeast"/>
        </w:trPr>
        <w:tc>
          <w:tcPr>
            <w:tcW w:w="2225" w:type="dxa"/>
            <w:vMerge w:val="restart"/>
          </w:tcPr>
          <w:p>
            <w:pPr>
              <w:pStyle w:val="TableParagraph"/>
              <w:spacing w:line="273" w:lineRule="auto" w:before="136"/>
              <w:ind w:left="200" w:right="27"/>
              <w:rPr>
                <w:sz w:val="21"/>
              </w:rPr>
            </w:pPr>
            <w:r>
              <w:rPr>
                <w:sz w:val="21"/>
              </w:rPr>
              <w:t>（七） 慢性肝功能衰竭失代偿期</w:t>
            </w:r>
          </w:p>
        </w:tc>
        <w:tc>
          <w:tcPr>
            <w:tcW w:w="7006" w:type="dxa"/>
          </w:tcPr>
          <w:p>
            <w:pPr>
              <w:pStyle w:val="TableParagraph"/>
              <w:spacing w:before="136"/>
              <w:rPr>
                <w:sz w:val="21"/>
              </w:rPr>
            </w:pPr>
            <w:r>
              <w:rPr>
                <w:sz w:val="21"/>
              </w:rPr>
              <w:t>指因慢性肝脏疾病导致肝功能衰竭。须满足下列全部条件：</w:t>
            </w:r>
          </w:p>
        </w:tc>
      </w:tr>
      <w:tr>
        <w:trPr>
          <w:trHeight w:val="312" w:hRule="atLeast"/>
        </w:trPr>
        <w:tc>
          <w:tcPr>
            <w:tcW w:w="2225" w:type="dxa"/>
            <w:vMerge/>
            <w:tcBorders>
              <w:top w:val="nil"/>
            </w:tcBorders>
          </w:tcPr>
          <w:p>
            <w:pPr>
              <w:rPr>
                <w:sz w:val="2"/>
                <w:szCs w:val="2"/>
              </w:rPr>
            </w:pPr>
          </w:p>
        </w:tc>
        <w:tc>
          <w:tcPr>
            <w:tcW w:w="7006" w:type="dxa"/>
          </w:tcPr>
          <w:p>
            <w:pPr>
              <w:pStyle w:val="TableParagraph"/>
              <w:spacing w:line="255" w:lineRule="exact"/>
              <w:rPr>
                <w:sz w:val="21"/>
              </w:rPr>
            </w:pPr>
            <w:r>
              <w:rPr>
                <w:sz w:val="21"/>
              </w:rPr>
              <w:t>（1）持续性黄疸；</w:t>
            </w:r>
          </w:p>
        </w:tc>
      </w:tr>
      <w:tr>
        <w:trPr>
          <w:trHeight w:val="311"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（2）腹水；</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（3）肝性脑病；</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（4）充血性脾肿大伴脾功能亢进或食管胃底静脉曲张。</w:t>
            </w:r>
          </w:p>
        </w:tc>
      </w:tr>
      <w:tr>
        <w:trPr>
          <w:trHeight w:val="468"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b/>
                <w:sz w:val="21"/>
              </w:rPr>
              <w:t>因酗酒或药物滥用导致的肝功能衰竭不在保障范围内</w:t>
            </w:r>
            <w:r>
              <w:rPr>
                <w:sz w:val="21"/>
              </w:rPr>
              <w:t>。</w:t>
            </w:r>
          </w:p>
        </w:tc>
      </w:tr>
      <w:tr>
        <w:trPr>
          <w:trHeight w:val="780" w:hRule="atLeast"/>
        </w:trPr>
        <w:tc>
          <w:tcPr>
            <w:tcW w:w="2225" w:type="dxa"/>
          </w:tcPr>
          <w:p>
            <w:pPr>
              <w:pStyle w:val="TableParagraph"/>
              <w:spacing w:line="273" w:lineRule="auto" w:before="136"/>
              <w:ind w:left="200" w:right="105"/>
              <w:rPr>
                <w:sz w:val="21"/>
              </w:rPr>
            </w:pPr>
            <w:r>
              <w:rPr>
                <w:sz w:val="21"/>
              </w:rPr>
              <w:t>（八）脑炎后遗症或脑膜炎后遗症</w:t>
            </w:r>
          </w:p>
        </w:tc>
        <w:tc>
          <w:tcPr>
            <w:tcW w:w="7006" w:type="dxa"/>
          </w:tcPr>
          <w:p>
            <w:pPr>
              <w:pStyle w:val="TableParagraph"/>
              <w:spacing w:line="273" w:lineRule="auto" w:before="136"/>
              <w:ind w:right="200"/>
              <w:rPr>
                <w:sz w:val="21"/>
              </w:rPr>
            </w:pPr>
            <w:r>
              <w:rPr>
                <w:spacing w:val="-3"/>
                <w:sz w:val="21"/>
              </w:rPr>
              <w:t>指因患脑炎或脑膜炎导致的神经系统永久性的功能障碍。神经系统永久 </w:t>
            </w:r>
            <w:r>
              <w:rPr>
                <w:spacing w:val="-8"/>
                <w:sz w:val="21"/>
              </w:rPr>
              <w:t>性的功能障碍，指疾病确诊 </w:t>
            </w:r>
            <w:r>
              <w:rPr>
                <w:sz w:val="21"/>
              </w:rPr>
              <w:t>180</w:t>
            </w:r>
            <w:r>
              <w:rPr>
                <w:spacing w:val="-9"/>
                <w:sz w:val="21"/>
              </w:rPr>
              <w:t> 天后，仍遗留下列一种或一种以上障碍：</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（1）一肢或一肢以上肢体机能完全丧失；</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（2）语言能力或咀嚼吞咽能力完全丧失；</w:t>
            </w:r>
          </w:p>
        </w:tc>
      </w:tr>
      <w:tr>
        <w:trPr>
          <w:trHeight w:val="780"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（3）自主生活能力完全丧失，无法独立完成六项基本日常生活活动中的</w:t>
            </w:r>
          </w:p>
          <w:p>
            <w:pPr>
              <w:pStyle w:val="TableParagraph"/>
              <w:spacing w:before="37"/>
              <w:rPr>
                <w:sz w:val="21"/>
              </w:rPr>
            </w:pPr>
            <w:r>
              <w:rPr>
                <w:sz w:val="21"/>
              </w:rPr>
              <w:t>三项或三项以上。</w:t>
            </w:r>
          </w:p>
        </w:tc>
      </w:tr>
      <w:tr>
        <w:trPr>
          <w:trHeight w:val="1092" w:hRule="atLeast"/>
        </w:trPr>
        <w:tc>
          <w:tcPr>
            <w:tcW w:w="2225" w:type="dxa"/>
          </w:tcPr>
          <w:p>
            <w:pPr>
              <w:pStyle w:val="TableParagraph"/>
              <w:spacing w:before="136"/>
              <w:ind w:left="200"/>
              <w:rPr>
                <w:sz w:val="21"/>
              </w:rPr>
            </w:pPr>
            <w:r>
              <w:rPr>
                <w:sz w:val="21"/>
              </w:rPr>
              <w:t>（九）深度昏迷</w:t>
            </w:r>
          </w:p>
        </w:tc>
        <w:tc>
          <w:tcPr>
            <w:tcW w:w="7006" w:type="dxa"/>
          </w:tcPr>
          <w:p>
            <w:pPr>
              <w:pStyle w:val="TableParagraph"/>
              <w:spacing w:line="273" w:lineRule="auto" w:before="136"/>
              <w:ind w:right="382"/>
              <w:rPr>
                <w:sz w:val="21"/>
              </w:rPr>
            </w:pPr>
            <w:r>
              <w:rPr>
                <w:spacing w:val="-3"/>
                <w:sz w:val="21"/>
              </w:rPr>
              <w:t>指因疾病或意外伤害导致意识丧失,对外界刺激和体内需求均无反应,昏迷程度按照格拉斯哥昏迷分级</w:t>
            </w:r>
            <w:r>
              <w:rPr>
                <w:sz w:val="21"/>
              </w:rPr>
              <w:t>（Glasgow coma scale）</w:t>
            </w:r>
            <w:r>
              <w:rPr>
                <w:spacing w:val="-15"/>
                <w:sz w:val="21"/>
              </w:rPr>
              <w:t>结果为 </w:t>
            </w:r>
            <w:r>
              <w:rPr>
                <w:sz w:val="21"/>
              </w:rPr>
              <w:t>5</w:t>
            </w:r>
            <w:r>
              <w:rPr>
                <w:spacing w:val="-26"/>
                <w:sz w:val="21"/>
              </w:rPr>
              <w:t> 分或 </w:t>
            </w:r>
            <w:r>
              <w:rPr>
                <w:sz w:val="21"/>
              </w:rPr>
              <w:t>5</w:t>
            </w:r>
          </w:p>
          <w:p>
            <w:pPr>
              <w:pStyle w:val="TableParagraph"/>
              <w:spacing w:before="8"/>
              <w:rPr>
                <w:sz w:val="21"/>
              </w:rPr>
            </w:pPr>
            <w:r>
              <w:rPr>
                <w:sz w:val="21"/>
              </w:rPr>
              <w:t>分以下，且已经持续使用呼吸机及其它生命维持系统 96 小时以上。</w:t>
            </w:r>
          </w:p>
        </w:tc>
      </w:tr>
      <w:tr>
        <w:trPr>
          <w:trHeight w:val="467" w:hRule="atLeast"/>
        </w:trPr>
        <w:tc>
          <w:tcPr>
            <w:tcW w:w="2225" w:type="dxa"/>
          </w:tcPr>
          <w:p>
            <w:pPr>
              <w:pStyle w:val="TableParagraph"/>
              <w:ind w:left="0"/>
              <w:rPr>
                <w:rFonts w:ascii="Times New Roman"/>
                <w:sz w:val="20"/>
              </w:rPr>
            </w:pPr>
          </w:p>
        </w:tc>
        <w:tc>
          <w:tcPr>
            <w:tcW w:w="7006" w:type="dxa"/>
          </w:tcPr>
          <w:p>
            <w:pPr>
              <w:pStyle w:val="TableParagraph"/>
              <w:spacing w:line="255" w:lineRule="exact"/>
              <w:rPr>
                <w:b/>
                <w:sz w:val="21"/>
              </w:rPr>
            </w:pPr>
            <w:r>
              <w:rPr>
                <w:b/>
                <w:sz w:val="21"/>
              </w:rPr>
              <w:t>因酗酒或药物滥用导致的深度昏迷不在保障范围内。</w:t>
            </w:r>
          </w:p>
        </w:tc>
      </w:tr>
      <w:tr>
        <w:trPr>
          <w:trHeight w:val="1248" w:hRule="atLeast"/>
        </w:trPr>
        <w:tc>
          <w:tcPr>
            <w:tcW w:w="2225" w:type="dxa"/>
          </w:tcPr>
          <w:p>
            <w:pPr>
              <w:pStyle w:val="TableParagraph"/>
              <w:spacing w:before="136"/>
              <w:ind w:left="200"/>
              <w:rPr>
                <w:sz w:val="21"/>
              </w:rPr>
            </w:pPr>
            <w:r>
              <w:rPr>
                <w:sz w:val="21"/>
              </w:rPr>
              <w:t>（十）瘫痪</w:t>
            </w:r>
          </w:p>
        </w:tc>
        <w:tc>
          <w:tcPr>
            <w:tcW w:w="7006" w:type="dxa"/>
          </w:tcPr>
          <w:p>
            <w:pPr>
              <w:pStyle w:val="TableParagraph"/>
              <w:spacing w:line="273" w:lineRule="auto" w:before="136"/>
              <w:ind w:right="380"/>
              <w:jc w:val="both"/>
              <w:rPr>
                <w:sz w:val="21"/>
              </w:rPr>
            </w:pPr>
            <w:r>
              <w:rPr>
                <w:spacing w:val="-3"/>
                <w:sz w:val="21"/>
              </w:rPr>
              <w:t>指因疾病或意外伤害导致两肢或两肢以上肢体机能永久完全丧失。肢体</w:t>
            </w:r>
            <w:r>
              <w:rPr>
                <w:spacing w:val="-6"/>
                <w:sz w:val="21"/>
              </w:rPr>
              <w:t>机能永久完全丧失，指疾病确诊 </w:t>
            </w:r>
            <w:r>
              <w:rPr>
                <w:sz w:val="21"/>
              </w:rPr>
              <w:t>180</w:t>
            </w:r>
            <w:r>
              <w:rPr>
                <w:spacing w:val="-12"/>
                <w:sz w:val="21"/>
              </w:rPr>
              <w:t> 天后或意外伤害发生 </w:t>
            </w:r>
            <w:r>
              <w:rPr>
                <w:sz w:val="21"/>
              </w:rPr>
              <w:t>180</w:t>
            </w:r>
            <w:r>
              <w:rPr>
                <w:spacing w:val="-11"/>
                <w:sz w:val="21"/>
              </w:rPr>
              <w:t> 天后，每</w:t>
            </w:r>
            <w:r>
              <w:rPr>
                <w:spacing w:val="-6"/>
                <w:sz w:val="21"/>
              </w:rPr>
              <w:t>肢三大关节中的两大关节仍然完全僵硬，或不能随意识活动。</w:t>
            </w:r>
          </w:p>
        </w:tc>
      </w:tr>
      <w:tr>
        <w:trPr>
          <w:trHeight w:val="1403" w:hRule="atLeast"/>
        </w:trPr>
        <w:tc>
          <w:tcPr>
            <w:tcW w:w="2225" w:type="dxa"/>
          </w:tcPr>
          <w:p>
            <w:pPr>
              <w:pStyle w:val="TableParagraph"/>
              <w:spacing w:before="136"/>
              <w:ind w:left="200"/>
              <w:rPr>
                <w:sz w:val="21"/>
              </w:rPr>
            </w:pPr>
            <w:r>
              <w:rPr>
                <w:sz w:val="21"/>
              </w:rPr>
              <w:t>（十一）严重脑损伤</w:t>
            </w:r>
          </w:p>
        </w:tc>
        <w:tc>
          <w:tcPr>
            <w:tcW w:w="7006" w:type="dxa"/>
          </w:tcPr>
          <w:p>
            <w:pPr>
              <w:pStyle w:val="TableParagraph"/>
              <w:spacing w:line="273" w:lineRule="auto" w:before="136"/>
              <w:ind w:right="279"/>
              <w:rPr>
                <w:sz w:val="21"/>
              </w:rPr>
            </w:pPr>
            <w:r>
              <w:rPr>
                <w:sz w:val="21"/>
              </w:rPr>
              <w:t>指因头部遭受机械性外力，引起脑重要部位损伤，导致神经系统永久性的功能障碍。须由头颅断层扫描（CT）、核磁共振检查（MRI）或正电子发射断层扫描（PET）等影像学检查证实。神经系统永久性的功能障碍， 指脑损伤 180 天后，仍遗留下列一种或一种以上障碍：</w:t>
            </w:r>
          </w:p>
        </w:tc>
      </w:tr>
      <w:tr>
        <w:trPr>
          <w:trHeight w:val="312"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（1）一肢或一肢以上肢体机能完全丧失；</w:t>
            </w:r>
          </w:p>
        </w:tc>
      </w:tr>
      <w:tr>
        <w:trPr>
          <w:trHeight w:val="311"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（2）语言能力或咀嚼吞咽能力完全丧失；</w:t>
            </w:r>
          </w:p>
        </w:tc>
      </w:tr>
      <w:tr>
        <w:trPr>
          <w:trHeight w:val="574" w:hRule="atLeast"/>
        </w:trPr>
        <w:tc>
          <w:tcPr>
            <w:tcW w:w="2225" w:type="dxa"/>
          </w:tcPr>
          <w:p>
            <w:pPr>
              <w:pStyle w:val="TableParagraph"/>
              <w:ind w:left="0"/>
              <w:rPr>
                <w:rFonts w:ascii="Times New Roman"/>
                <w:sz w:val="20"/>
              </w:rPr>
            </w:pPr>
          </w:p>
        </w:tc>
        <w:tc>
          <w:tcPr>
            <w:tcW w:w="7006" w:type="dxa"/>
          </w:tcPr>
          <w:p>
            <w:pPr>
              <w:pStyle w:val="TableParagraph"/>
              <w:spacing w:line="255" w:lineRule="exact"/>
              <w:rPr>
                <w:sz w:val="21"/>
              </w:rPr>
            </w:pPr>
            <w:r>
              <w:rPr>
                <w:sz w:val="21"/>
              </w:rPr>
              <w:t>（3）自主生活能力完全丧失，无法独立完成六项基本日常生活活动中的</w:t>
            </w:r>
          </w:p>
          <w:p>
            <w:pPr>
              <w:pStyle w:val="TableParagraph"/>
              <w:spacing w:line="262" w:lineRule="exact" w:before="37"/>
              <w:rPr>
                <w:sz w:val="21"/>
              </w:rPr>
            </w:pPr>
            <w:r>
              <w:rPr>
                <w:sz w:val="21"/>
              </w:rPr>
              <w:t>三项或三项以上。</w:t>
            </w:r>
          </w:p>
        </w:tc>
      </w:tr>
    </w:tbl>
    <w:p>
      <w:pPr>
        <w:spacing w:after="0" w:line="262" w:lineRule="exact"/>
        <w:rPr>
          <w:sz w:val="21"/>
        </w:rPr>
        <w:sectPr>
          <w:pgSz w:w="11910" w:h="16840"/>
          <w:pgMar w:header="0" w:footer="924" w:top="1480" w:bottom="1120" w:left="1600" w:right="86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25"/>
        <w:gridCol w:w="6925"/>
      </w:tblGrid>
      <w:tr>
        <w:trPr>
          <w:trHeight w:val="729" w:hRule="atLeast"/>
        </w:trPr>
        <w:tc>
          <w:tcPr>
            <w:tcW w:w="2225" w:type="dxa"/>
          </w:tcPr>
          <w:p>
            <w:pPr>
              <w:pStyle w:val="TableParagraph"/>
              <w:spacing w:line="204" w:lineRule="exact"/>
              <w:ind w:left="200"/>
              <w:rPr>
                <w:sz w:val="21"/>
              </w:rPr>
            </w:pPr>
            <w:r>
              <w:rPr>
                <w:sz w:val="21"/>
              </w:rPr>
              <w:t>（十二）严重Ⅲ度烧</w:t>
            </w:r>
          </w:p>
          <w:p>
            <w:pPr>
              <w:pStyle w:val="TableParagraph"/>
              <w:spacing w:before="37"/>
              <w:ind w:left="200"/>
              <w:rPr>
                <w:sz w:val="21"/>
              </w:rPr>
            </w:pPr>
            <w:r>
              <w:rPr>
                <w:w w:val="100"/>
                <w:sz w:val="21"/>
              </w:rPr>
              <w:t>伤</w:t>
            </w:r>
          </w:p>
        </w:tc>
        <w:tc>
          <w:tcPr>
            <w:tcW w:w="6925" w:type="dxa"/>
          </w:tcPr>
          <w:p>
            <w:pPr>
              <w:pStyle w:val="TableParagraph"/>
              <w:spacing w:line="204" w:lineRule="exact"/>
              <w:rPr>
                <w:sz w:val="21"/>
              </w:rPr>
            </w:pPr>
            <w:r>
              <w:rPr>
                <w:sz w:val="21"/>
              </w:rPr>
              <w:t>指烧伤程度为Ⅲ度，且Ⅲ度烧伤的面积达到全身体表面积的 20％或 20%</w:t>
            </w:r>
          </w:p>
          <w:p>
            <w:pPr>
              <w:pStyle w:val="TableParagraph"/>
              <w:spacing w:before="37"/>
              <w:rPr>
                <w:sz w:val="21"/>
              </w:rPr>
            </w:pPr>
            <w:r>
              <w:rPr>
                <w:sz w:val="21"/>
              </w:rPr>
              <w:t>以上。体表面积根据《中国新九分法》计算。</w:t>
            </w:r>
          </w:p>
        </w:tc>
      </w:tr>
      <w:tr>
        <w:trPr>
          <w:trHeight w:val="1248" w:hRule="atLeast"/>
        </w:trPr>
        <w:tc>
          <w:tcPr>
            <w:tcW w:w="2225" w:type="dxa"/>
          </w:tcPr>
          <w:p>
            <w:pPr>
              <w:pStyle w:val="TableParagraph"/>
              <w:spacing w:line="273" w:lineRule="auto" w:before="136"/>
              <w:ind w:left="200" w:right="105"/>
              <w:rPr>
                <w:sz w:val="21"/>
              </w:rPr>
            </w:pPr>
            <w:r>
              <w:rPr>
                <w:sz w:val="21"/>
              </w:rPr>
              <w:t>（十三）严重原发性肺动脉高压</w:t>
            </w:r>
          </w:p>
        </w:tc>
        <w:tc>
          <w:tcPr>
            <w:tcW w:w="6925" w:type="dxa"/>
          </w:tcPr>
          <w:p>
            <w:pPr>
              <w:pStyle w:val="TableParagraph"/>
              <w:spacing w:line="273" w:lineRule="auto" w:before="136"/>
              <w:ind w:right="299"/>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560" w:hRule="atLeast"/>
        </w:trPr>
        <w:tc>
          <w:tcPr>
            <w:tcW w:w="2225" w:type="dxa"/>
          </w:tcPr>
          <w:p>
            <w:pPr>
              <w:pStyle w:val="TableParagraph"/>
              <w:spacing w:line="273" w:lineRule="auto" w:before="136"/>
              <w:ind w:left="200" w:right="105"/>
              <w:rPr>
                <w:sz w:val="21"/>
              </w:rPr>
            </w:pPr>
            <w:r>
              <w:rPr>
                <w:sz w:val="21"/>
              </w:rPr>
              <w:t>（十四）严重运动神经元病</w:t>
            </w:r>
          </w:p>
        </w:tc>
        <w:tc>
          <w:tcPr>
            <w:tcW w:w="6925" w:type="dxa"/>
          </w:tcPr>
          <w:p>
            <w:pPr>
              <w:pStyle w:val="TableParagraph"/>
              <w:spacing w:line="273" w:lineRule="auto" w:before="136"/>
              <w:ind w:right="299"/>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780" w:hRule="atLeast"/>
        </w:trPr>
        <w:tc>
          <w:tcPr>
            <w:tcW w:w="2225" w:type="dxa"/>
          </w:tcPr>
          <w:p>
            <w:pPr>
              <w:pStyle w:val="TableParagraph"/>
              <w:spacing w:line="273" w:lineRule="auto" w:before="136"/>
              <w:ind w:left="200" w:right="105"/>
              <w:rPr>
                <w:sz w:val="21"/>
              </w:rPr>
            </w:pPr>
            <w:r>
              <w:rPr>
                <w:sz w:val="21"/>
              </w:rPr>
              <w:t>（十五）重型再生障碍性贫血</w:t>
            </w:r>
          </w:p>
        </w:tc>
        <w:tc>
          <w:tcPr>
            <w:tcW w:w="6925" w:type="dxa"/>
          </w:tcPr>
          <w:p>
            <w:pPr>
              <w:pStyle w:val="TableParagraph"/>
              <w:spacing w:line="273" w:lineRule="auto" w:before="136"/>
              <w:ind w:right="299"/>
              <w:rPr>
                <w:sz w:val="21"/>
              </w:rPr>
            </w:pPr>
            <w:r>
              <w:rPr>
                <w:sz w:val="21"/>
              </w:rPr>
              <w:t>指因骨髓造血功能慢性持续性衰竭导致的贫血、中性粒细胞减少及血小板减少。须满足下列全部条件：</w:t>
            </w:r>
          </w:p>
        </w:tc>
      </w:tr>
      <w:tr>
        <w:trPr>
          <w:trHeight w:val="311"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（1）骨髓穿刺检查或骨髓活检结果支持诊断；</w:t>
            </w:r>
          </w:p>
        </w:tc>
      </w:tr>
      <w:tr>
        <w:trPr>
          <w:trHeight w:val="312"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（2）外周血象须具备以下三项条件：</w:t>
            </w:r>
          </w:p>
        </w:tc>
      </w:tr>
      <w:tr>
        <w:trPr>
          <w:trHeight w:val="312" w:hRule="atLeast"/>
        </w:trPr>
        <w:tc>
          <w:tcPr>
            <w:tcW w:w="2225" w:type="dxa"/>
          </w:tcPr>
          <w:p>
            <w:pPr>
              <w:pStyle w:val="TableParagraph"/>
              <w:ind w:left="0"/>
              <w:rPr>
                <w:rFonts w:ascii="Times New Roman"/>
                <w:sz w:val="20"/>
              </w:rPr>
            </w:pPr>
          </w:p>
        </w:tc>
        <w:tc>
          <w:tcPr>
            <w:tcW w:w="6925" w:type="dxa"/>
          </w:tcPr>
          <w:p>
            <w:pPr>
              <w:pStyle w:val="TableParagraph"/>
              <w:tabs>
                <w:tab w:pos="3152" w:val="left" w:leader="none"/>
              </w:tabs>
              <w:spacing w:line="255" w:lineRule="exact"/>
              <w:rPr>
                <w:sz w:val="21"/>
              </w:rPr>
            </w:pPr>
            <w:r>
              <w:rPr>
                <w:sz w:val="21"/>
              </w:rPr>
              <w:t>①</w:t>
            </w:r>
            <w:r>
              <w:rPr>
                <w:spacing w:val="2"/>
                <w:sz w:val="21"/>
              </w:rPr>
              <w:t> </w:t>
            </w:r>
            <w:r>
              <w:rPr>
                <w:spacing w:val="-3"/>
                <w:sz w:val="21"/>
              </w:rPr>
              <w:t>中</w:t>
            </w:r>
            <w:r>
              <w:rPr>
                <w:sz w:val="21"/>
              </w:rPr>
              <w:t>性</w:t>
            </w:r>
            <w:r>
              <w:rPr>
                <w:spacing w:val="-3"/>
                <w:sz w:val="21"/>
              </w:rPr>
              <w:t>粒</w:t>
            </w:r>
            <w:r>
              <w:rPr>
                <w:sz w:val="21"/>
              </w:rPr>
              <w:t>细</w:t>
            </w:r>
            <w:r>
              <w:rPr>
                <w:spacing w:val="-3"/>
                <w:sz w:val="21"/>
              </w:rPr>
              <w:t>胞</w:t>
            </w:r>
            <w:r>
              <w:rPr>
                <w:sz w:val="21"/>
              </w:rPr>
              <w:t>绝</w:t>
            </w:r>
            <w:r>
              <w:rPr>
                <w:spacing w:val="-3"/>
                <w:sz w:val="21"/>
              </w:rPr>
              <w:t>对</w:t>
            </w:r>
            <w:r>
              <w:rPr>
                <w:sz w:val="21"/>
              </w:rPr>
              <w:t>值≤0.5×</w:t>
              <w:tab/>
              <w:t>/L；</w:t>
            </w:r>
          </w:p>
        </w:tc>
      </w:tr>
      <w:tr>
        <w:trPr>
          <w:trHeight w:val="312"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② 网织红细胞＜1%；</w:t>
            </w:r>
          </w:p>
        </w:tc>
      </w:tr>
      <w:tr>
        <w:trPr>
          <w:trHeight w:val="467" w:hRule="atLeast"/>
        </w:trPr>
        <w:tc>
          <w:tcPr>
            <w:tcW w:w="2225" w:type="dxa"/>
          </w:tcPr>
          <w:p>
            <w:pPr>
              <w:pStyle w:val="TableParagraph"/>
              <w:ind w:left="0"/>
              <w:rPr>
                <w:rFonts w:ascii="Times New Roman"/>
                <w:sz w:val="20"/>
              </w:rPr>
            </w:pPr>
          </w:p>
        </w:tc>
        <w:tc>
          <w:tcPr>
            <w:tcW w:w="6925" w:type="dxa"/>
          </w:tcPr>
          <w:p>
            <w:pPr>
              <w:pStyle w:val="TableParagraph"/>
              <w:tabs>
                <w:tab w:pos="2627" w:val="left" w:leader="none"/>
              </w:tabs>
              <w:spacing w:line="255" w:lineRule="exact"/>
              <w:rPr>
                <w:sz w:val="21"/>
              </w:rPr>
            </w:pPr>
            <w:r>
              <w:rPr>
                <w:sz w:val="21"/>
              </w:rPr>
              <w:t>③</w:t>
            </w:r>
            <w:r>
              <w:rPr>
                <w:spacing w:val="2"/>
                <w:sz w:val="21"/>
              </w:rPr>
              <w:t> </w:t>
            </w:r>
            <w:r>
              <w:rPr>
                <w:spacing w:val="-3"/>
                <w:sz w:val="21"/>
              </w:rPr>
              <w:t>血</w:t>
            </w:r>
            <w:r>
              <w:rPr>
                <w:sz w:val="21"/>
              </w:rPr>
              <w:t>小</w:t>
            </w:r>
            <w:r>
              <w:rPr>
                <w:spacing w:val="-3"/>
                <w:sz w:val="21"/>
              </w:rPr>
              <w:t>板</w:t>
            </w:r>
            <w:r>
              <w:rPr>
                <w:sz w:val="21"/>
              </w:rPr>
              <w:t>绝</w:t>
            </w:r>
            <w:r>
              <w:rPr>
                <w:spacing w:val="-3"/>
                <w:sz w:val="21"/>
              </w:rPr>
              <w:t>对</w:t>
            </w:r>
            <w:r>
              <w:rPr>
                <w:sz w:val="21"/>
              </w:rPr>
              <w:t>值≤20×</w:t>
              <w:tab/>
              <w:t>/L。</w:t>
            </w:r>
          </w:p>
        </w:tc>
      </w:tr>
      <w:tr>
        <w:trPr>
          <w:trHeight w:val="468" w:hRule="atLeast"/>
        </w:trPr>
        <w:tc>
          <w:tcPr>
            <w:tcW w:w="2225" w:type="dxa"/>
            <w:vMerge w:val="restart"/>
          </w:tcPr>
          <w:p>
            <w:pPr>
              <w:pStyle w:val="TableParagraph"/>
              <w:spacing w:line="273" w:lineRule="auto" w:before="136"/>
              <w:ind w:left="200" w:right="105"/>
              <w:rPr>
                <w:sz w:val="21"/>
              </w:rPr>
            </w:pPr>
            <w:r>
              <w:rPr>
                <w:sz w:val="21"/>
              </w:rPr>
              <w:t>（十六）严重感染性心内膜炎</w:t>
            </w:r>
          </w:p>
        </w:tc>
        <w:tc>
          <w:tcPr>
            <w:tcW w:w="6925" w:type="dxa"/>
          </w:tcPr>
          <w:p>
            <w:pPr>
              <w:pStyle w:val="TableParagraph"/>
              <w:spacing w:before="136"/>
              <w:rPr>
                <w:sz w:val="21"/>
              </w:rPr>
            </w:pPr>
            <w:r>
              <w:rPr>
                <w:sz w:val="21"/>
              </w:rPr>
              <w:t>因感染性微生物造成心脏内膜发炎，并符合下</w:t>
            </w:r>
            <w:r>
              <w:rPr>
                <w:rFonts w:ascii="Arial" w:eastAsia="Arial"/>
                <w:w w:val="115"/>
                <w:sz w:val="21"/>
              </w:rPr>
              <w:t>列</w:t>
            </w:r>
            <w:r>
              <w:rPr>
                <w:sz w:val="21"/>
              </w:rPr>
              <w:t>所有条件:</w:t>
            </w:r>
          </w:p>
        </w:tc>
      </w:tr>
      <w:tr>
        <w:trPr>
          <w:trHeight w:val="312" w:hRule="atLeast"/>
        </w:trPr>
        <w:tc>
          <w:tcPr>
            <w:tcW w:w="2225" w:type="dxa"/>
            <w:vMerge/>
            <w:tcBorders>
              <w:top w:val="nil"/>
            </w:tcBorders>
          </w:tcPr>
          <w:p>
            <w:pPr>
              <w:rPr>
                <w:sz w:val="2"/>
                <w:szCs w:val="2"/>
              </w:rPr>
            </w:pPr>
          </w:p>
        </w:tc>
        <w:tc>
          <w:tcPr>
            <w:tcW w:w="6925" w:type="dxa"/>
          </w:tcPr>
          <w:p>
            <w:pPr>
              <w:pStyle w:val="TableParagraph"/>
              <w:spacing w:line="255" w:lineRule="exact"/>
              <w:rPr>
                <w:sz w:val="21"/>
              </w:rPr>
            </w:pPr>
            <w:r>
              <w:rPr>
                <w:sz w:val="21"/>
              </w:rPr>
              <w:t>（1）以下方法之一血液培养测试结果为阳性，证实存在感染性微生物：</w:t>
            </w:r>
          </w:p>
        </w:tc>
      </w:tr>
      <w:tr>
        <w:trPr>
          <w:trHeight w:val="312"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① 微生物：在赘生物或心脏内脓疡经培养或组织检查证实有微生物；</w:t>
            </w:r>
          </w:p>
        </w:tc>
      </w:tr>
      <w:tr>
        <w:trPr>
          <w:trHeight w:val="312" w:hRule="atLeast"/>
        </w:trPr>
        <w:tc>
          <w:tcPr>
            <w:tcW w:w="2225" w:type="dxa"/>
          </w:tcPr>
          <w:p>
            <w:pPr>
              <w:pStyle w:val="TableParagraph"/>
              <w:ind w:left="0"/>
              <w:rPr>
                <w:rFonts w:ascii="Times New Roman"/>
                <w:sz w:val="20"/>
              </w:rPr>
            </w:pPr>
          </w:p>
        </w:tc>
        <w:tc>
          <w:tcPr>
            <w:tcW w:w="6925" w:type="dxa"/>
          </w:tcPr>
          <w:p>
            <w:pPr>
              <w:pStyle w:val="TableParagraph"/>
              <w:spacing w:line="270" w:lineRule="exact"/>
              <w:rPr>
                <w:sz w:val="21"/>
              </w:rPr>
            </w:pPr>
            <w:r>
              <w:rPr>
                <w:sz w:val="21"/>
              </w:rPr>
              <w:t>② 病</w:t>
            </w:r>
            <w:r>
              <w:rPr>
                <w:rFonts w:ascii="Arial" w:hAnsi="Arial" w:eastAsia="Arial"/>
                <w:w w:val="115"/>
                <w:sz w:val="21"/>
              </w:rPr>
              <w:t>理</w:t>
            </w:r>
            <w:r>
              <w:rPr>
                <w:sz w:val="21"/>
              </w:rPr>
              <w:t>性病灶：组织检查证实赘生物或心脏内脓疡有活动性心内膜炎；</w:t>
            </w:r>
          </w:p>
        </w:tc>
      </w:tr>
      <w:tr>
        <w:trPr>
          <w:trHeight w:val="311"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③ 分别两次血液培养证实有微生物，且与心内膜炎符合；</w:t>
            </w:r>
          </w:p>
        </w:tc>
      </w:tr>
      <w:tr>
        <w:trPr>
          <w:trHeight w:val="624" w:hRule="atLeast"/>
        </w:trPr>
        <w:tc>
          <w:tcPr>
            <w:tcW w:w="2225" w:type="dxa"/>
          </w:tcPr>
          <w:p>
            <w:pPr>
              <w:pStyle w:val="TableParagraph"/>
              <w:ind w:left="0"/>
              <w:rPr>
                <w:rFonts w:ascii="Times New Roman"/>
                <w:sz w:val="20"/>
              </w:rPr>
            </w:pPr>
          </w:p>
        </w:tc>
        <w:tc>
          <w:tcPr>
            <w:tcW w:w="6925" w:type="dxa"/>
          </w:tcPr>
          <w:p>
            <w:pPr>
              <w:pStyle w:val="TableParagraph"/>
              <w:spacing w:line="270" w:lineRule="exact"/>
              <w:rPr>
                <w:sz w:val="21"/>
              </w:rPr>
            </w:pPr>
            <w:r>
              <w:rPr>
                <w:sz w:val="21"/>
              </w:rPr>
              <w:t>（2）</w:t>
            </w:r>
            <w:r>
              <w:rPr>
                <w:spacing w:val="-3"/>
                <w:sz w:val="21"/>
              </w:rPr>
              <w:t>心内膜炎引起中</w:t>
            </w:r>
            <w:r>
              <w:rPr>
                <w:rFonts w:ascii="Arial" w:eastAsia="Arial"/>
                <w:spacing w:val="-3"/>
                <w:sz w:val="21"/>
              </w:rPr>
              <w:t>度</w:t>
            </w:r>
            <w:r>
              <w:rPr>
                <w:spacing w:val="-3"/>
                <w:sz w:val="21"/>
              </w:rPr>
              <w:t>心瓣膜闭锁</w:t>
            </w:r>
            <w:r>
              <w:rPr>
                <w:rFonts w:ascii="Arial" w:eastAsia="Arial"/>
                <w:spacing w:val="-3"/>
                <w:sz w:val="21"/>
              </w:rPr>
              <w:t>不</w:t>
            </w:r>
            <w:r>
              <w:rPr>
                <w:sz w:val="21"/>
              </w:rPr>
              <w:t>全</w:t>
            </w:r>
            <w:r>
              <w:rPr>
                <w:spacing w:val="-3"/>
                <w:sz w:val="21"/>
              </w:rPr>
              <w:t>（</w:t>
            </w:r>
            <w:r>
              <w:rPr>
                <w:spacing w:val="-2"/>
                <w:sz w:val="21"/>
              </w:rPr>
              <w:t>指返</w:t>
            </w:r>
            <w:r>
              <w:rPr>
                <w:rFonts w:ascii="Arial" w:eastAsia="Arial"/>
                <w:sz w:val="21"/>
              </w:rPr>
              <w:t>流</w:t>
            </w:r>
            <w:r>
              <w:rPr>
                <w:sz w:val="21"/>
              </w:rPr>
              <w:t>分数   20</w:t>
            </w:r>
            <w:r>
              <w:rPr>
                <w:spacing w:val="-3"/>
                <w:sz w:val="21"/>
              </w:rPr>
              <w:t>%或以上</w:t>
            </w:r>
            <w:r>
              <w:rPr>
                <w:sz w:val="21"/>
              </w:rPr>
              <w:t>）</w:t>
            </w:r>
            <w:r>
              <w:rPr>
                <w:spacing w:val="-2"/>
                <w:sz w:val="21"/>
              </w:rPr>
              <w:t>或中</w:t>
            </w:r>
          </w:p>
          <w:p>
            <w:pPr>
              <w:pStyle w:val="TableParagraph"/>
              <w:spacing w:before="22"/>
              <w:rPr>
                <w:sz w:val="21"/>
              </w:rPr>
            </w:pPr>
            <w:r>
              <w:rPr>
                <w:rFonts w:ascii="Arial" w:eastAsia="Arial"/>
                <w:sz w:val="21"/>
              </w:rPr>
              <w:t>度</w:t>
            </w:r>
            <w:r>
              <w:rPr>
                <w:sz w:val="21"/>
              </w:rPr>
              <w:t>心瓣膜狭窄（指心瓣膜开口范围少于或等于正常的 30%）；</w:t>
            </w:r>
          </w:p>
        </w:tc>
      </w:tr>
      <w:tr>
        <w:trPr>
          <w:trHeight w:val="467"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（3）心内膜炎及心瓣膜损毁程度需经由心脏专科医生确诊。</w:t>
            </w:r>
          </w:p>
        </w:tc>
      </w:tr>
      <w:tr>
        <w:trPr>
          <w:trHeight w:val="1404" w:hRule="atLeast"/>
        </w:trPr>
        <w:tc>
          <w:tcPr>
            <w:tcW w:w="2225" w:type="dxa"/>
          </w:tcPr>
          <w:p>
            <w:pPr>
              <w:pStyle w:val="TableParagraph"/>
              <w:spacing w:before="136"/>
              <w:ind w:left="200"/>
              <w:rPr>
                <w:sz w:val="21"/>
              </w:rPr>
            </w:pPr>
            <w:r>
              <w:rPr>
                <w:sz w:val="21"/>
              </w:rPr>
              <w:t>（十七）重症肌无力</w:t>
            </w:r>
          </w:p>
        </w:tc>
        <w:tc>
          <w:tcPr>
            <w:tcW w:w="6925" w:type="dxa"/>
          </w:tcPr>
          <w:p>
            <w:pPr>
              <w:pStyle w:val="TableParagraph"/>
              <w:spacing w:line="273" w:lineRule="auto" w:before="136"/>
              <w:ind w:right="299"/>
              <w:jc w:val="both"/>
              <w:rPr>
                <w:sz w:val="21"/>
              </w:rPr>
            </w:pPr>
            <w:r>
              <w:rPr>
                <w:sz w:val="21"/>
              </w:rPr>
              <w:t>指一种神经与肌肉接头部位传递障碍的自身免疫性疾病，临床特征是局部或全身横纹肌于活动时易于疲劳无力，颅神经眼外肌最易累及，也可涉及呼吸肌、下肢近端肌群乃至全身肌肉，须经神经专科医生确诊。其诊断必须同时具有下列情况：</w:t>
            </w:r>
          </w:p>
        </w:tc>
      </w:tr>
      <w:tr>
        <w:trPr>
          <w:trHeight w:val="311"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（1）经药物治疗和胸腺切除治疗一年以上仍无法控制病情；</w:t>
            </w:r>
          </w:p>
        </w:tc>
      </w:tr>
      <w:tr>
        <w:trPr>
          <w:trHeight w:val="780"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（2）自主生活能力完全丧失，无法独立完成六项基本日常生活活动中的</w:t>
            </w:r>
          </w:p>
          <w:p>
            <w:pPr>
              <w:pStyle w:val="TableParagraph"/>
              <w:spacing w:before="37"/>
              <w:rPr>
                <w:sz w:val="21"/>
              </w:rPr>
            </w:pPr>
            <w:r>
              <w:rPr>
                <w:sz w:val="21"/>
              </w:rPr>
              <w:t>三项或三项以上。</w:t>
            </w:r>
          </w:p>
        </w:tc>
      </w:tr>
      <w:tr>
        <w:trPr>
          <w:trHeight w:val="780" w:hRule="atLeast"/>
        </w:trPr>
        <w:tc>
          <w:tcPr>
            <w:tcW w:w="2225" w:type="dxa"/>
            <w:vMerge w:val="restart"/>
          </w:tcPr>
          <w:p>
            <w:pPr>
              <w:pStyle w:val="TableParagraph"/>
              <w:spacing w:line="273" w:lineRule="auto" w:before="136"/>
              <w:ind w:left="200" w:right="105"/>
              <w:jc w:val="both"/>
              <w:rPr>
                <w:sz w:val="21"/>
              </w:rPr>
            </w:pPr>
            <w:r>
              <w:rPr>
                <w:sz w:val="21"/>
              </w:rPr>
              <w:t>（十八）胰岛素依赖型糖尿病（Ｉ型糖尿病）</w:t>
            </w:r>
          </w:p>
        </w:tc>
        <w:tc>
          <w:tcPr>
            <w:tcW w:w="6925" w:type="dxa"/>
          </w:tcPr>
          <w:p>
            <w:pPr>
              <w:pStyle w:val="TableParagraph"/>
              <w:spacing w:line="273" w:lineRule="auto" w:before="136"/>
              <w:ind w:right="299"/>
              <w:rPr>
                <w:sz w:val="21"/>
              </w:rPr>
            </w:pPr>
            <w:r>
              <w:rPr>
                <w:sz w:val="21"/>
              </w:rPr>
              <w:t>经内分泌专科医生明确诊断为胰岛素依赖型糖尿病（Ｉ型糖尿病），且须同时满足下列条件：</w:t>
            </w:r>
          </w:p>
        </w:tc>
      </w:tr>
      <w:tr>
        <w:trPr>
          <w:trHeight w:val="312" w:hRule="atLeast"/>
        </w:trPr>
        <w:tc>
          <w:tcPr>
            <w:tcW w:w="2225" w:type="dxa"/>
            <w:vMerge/>
            <w:tcBorders>
              <w:top w:val="nil"/>
            </w:tcBorders>
          </w:tcPr>
          <w:p>
            <w:pPr>
              <w:rPr>
                <w:sz w:val="2"/>
                <w:szCs w:val="2"/>
              </w:rPr>
            </w:pPr>
          </w:p>
        </w:tc>
        <w:tc>
          <w:tcPr>
            <w:tcW w:w="6925" w:type="dxa"/>
          </w:tcPr>
          <w:p>
            <w:pPr>
              <w:pStyle w:val="TableParagraph"/>
              <w:spacing w:line="255" w:lineRule="exact"/>
              <w:rPr>
                <w:sz w:val="21"/>
              </w:rPr>
            </w:pPr>
            <w:r>
              <w:rPr>
                <w:sz w:val="21"/>
              </w:rPr>
              <w:t>（1）必须持续性地依赖外源性胰岛素维持生命至少 180 天以上；</w:t>
            </w:r>
          </w:p>
        </w:tc>
      </w:tr>
      <w:tr>
        <w:trPr>
          <w:trHeight w:val="311"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（2）血胰岛素测定、血 C 肽测定或尿 C 肽测定结果异常；</w:t>
            </w:r>
          </w:p>
        </w:tc>
      </w:tr>
      <w:tr>
        <w:trPr>
          <w:trHeight w:val="312"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（3）出现下述三种并发症之一或一种以上：</w:t>
            </w:r>
          </w:p>
        </w:tc>
      </w:tr>
      <w:tr>
        <w:trPr>
          <w:trHeight w:val="312" w:hRule="atLeast"/>
        </w:trPr>
        <w:tc>
          <w:tcPr>
            <w:tcW w:w="2225" w:type="dxa"/>
          </w:tcPr>
          <w:p>
            <w:pPr>
              <w:pStyle w:val="TableParagraph"/>
              <w:ind w:left="0"/>
              <w:rPr>
                <w:rFonts w:ascii="Times New Roman"/>
                <w:sz w:val="20"/>
              </w:rPr>
            </w:pPr>
          </w:p>
        </w:tc>
        <w:tc>
          <w:tcPr>
            <w:tcW w:w="6925" w:type="dxa"/>
          </w:tcPr>
          <w:p>
            <w:pPr>
              <w:pStyle w:val="TableParagraph"/>
              <w:spacing w:line="255" w:lineRule="exact"/>
              <w:rPr>
                <w:sz w:val="21"/>
              </w:rPr>
            </w:pPr>
            <w:r>
              <w:rPr>
                <w:sz w:val="21"/>
              </w:rPr>
              <w:t>① 并发增殖性视网膜病变；</w:t>
            </w:r>
          </w:p>
        </w:tc>
      </w:tr>
      <w:tr>
        <w:trPr>
          <w:trHeight w:val="261" w:hRule="atLeast"/>
        </w:trPr>
        <w:tc>
          <w:tcPr>
            <w:tcW w:w="2225" w:type="dxa"/>
          </w:tcPr>
          <w:p>
            <w:pPr>
              <w:pStyle w:val="TableParagraph"/>
              <w:ind w:left="0"/>
              <w:rPr>
                <w:rFonts w:ascii="Times New Roman"/>
                <w:sz w:val="18"/>
              </w:rPr>
            </w:pPr>
          </w:p>
        </w:tc>
        <w:tc>
          <w:tcPr>
            <w:tcW w:w="6925" w:type="dxa"/>
          </w:tcPr>
          <w:p>
            <w:pPr>
              <w:pStyle w:val="TableParagraph"/>
              <w:spacing w:line="242" w:lineRule="exact"/>
              <w:rPr>
                <w:sz w:val="21"/>
              </w:rPr>
            </w:pPr>
            <w:r>
              <w:rPr>
                <w:sz w:val="21"/>
              </w:rPr>
              <w:t>② 并发心脏病变，并须植入心脏起搏器进行治疗；</w:t>
            </w:r>
          </w:p>
        </w:tc>
      </w:tr>
    </w:tbl>
    <w:p>
      <w:pPr>
        <w:rPr>
          <w:sz w:val="2"/>
          <w:szCs w:val="2"/>
        </w:rPr>
      </w:pPr>
      <w:r>
        <w:rPr/>
        <w:drawing>
          <wp:anchor distT="0" distB="0" distL="0" distR="0" allowOverlap="1" layoutInCell="1" locked="0" behindDoc="1" simplePos="0" relativeHeight="268374455">
            <wp:simplePos x="0" y="0"/>
            <wp:positionH relativeFrom="page">
              <wp:posOffset>4248150</wp:posOffset>
            </wp:positionH>
            <wp:positionV relativeFrom="page">
              <wp:posOffset>4048124</wp:posOffset>
            </wp:positionV>
            <wp:extent cx="239207" cy="210502"/>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239207" cy="210502"/>
                    </a:xfrm>
                    <a:prstGeom prst="rect">
                      <a:avLst/>
                    </a:prstGeom>
                  </pic:spPr>
                </pic:pic>
              </a:graphicData>
            </a:graphic>
          </wp:anchor>
        </w:drawing>
      </w:r>
      <w:r>
        <w:rPr/>
        <w:drawing>
          <wp:anchor distT="0" distB="0" distL="0" distR="0" allowOverlap="1" layoutInCell="1" locked="0" behindDoc="1" simplePos="0" relativeHeight="268374479">
            <wp:simplePos x="0" y="0"/>
            <wp:positionH relativeFrom="page">
              <wp:posOffset>3943350</wp:posOffset>
            </wp:positionH>
            <wp:positionV relativeFrom="page">
              <wp:posOffset>4480559</wp:posOffset>
            </wp:positionV>
            <wp:extent cx="239485" cy="201167"/>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239485" cy="201167"/>
                    </a:xfrm>
                    <a:prstGeom prst="rect">
                      <a:avLst/>
                    </a:prstGeom>
                  </pic:spPr>
                </pic:pic>
              </a:graphicData>
            </a:graphic>
          </wp:anchor>
        </w:drawing>
      </w:r>
    </w:p>
    <w:p>
      <w:pPr>
        <w:spacing w:after="0"/>
        <w:rPr>
          <w:sz w:val="2"/>
          <w:szCs w:val="2"/>
        </w:rPr>
        <w:sectPr>
          <w:pgSz w:w="11910" w:h="16840"/>
          <w:pgMar w:header="0" w:footer="924" w:top="1480" w:bottom="1120" w:left="1600" w:right="940"/>
        </w:sectPr>
      </w:pPr>
    </w:p>
    <w:tbl>
      <w:tblPr>
        <w:tblW w:w="0" w:type="auto"/>
        <w:jc w:val="left"/>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13"/>
        <w:gridCol w:w="6728"/>
      </w:tblGrid>
      <w:tr>
        <w:trPr>
          <w:trHeight w:val="417" w:hRule="atLeast"/>
        </w:trPr>
        <w:tc>
          <w:tcPr>
            <w:tcW w:w="2213" w:type="dxa"/>
          </w:tcPr>
          <w:p>
            <w:pPr>
              <w:pStyle w:val="TableParagraph"/>
              <w:ind w:left="0"/>
              <w:rPr>
                <w:rFonts w:ascii="Times New Roman"/>
                <w:sz w:val="20"/>
              </w:rPr>
            </w:pPr>
          </w:p>
        </w:tc>
        <w:tc>
          <w:tcPr>
            <w:tcW w:w="6728" w:type="dxa"/>
          </w:tcPr>
          <w:p>
            <w:pPr>
              <w:pStyle w:val="TableParagraph"/>
              <w:spacing w:line="204" w:lineRule="exact"/>
              <w:ind w:left="118"/>
              <w:rPr>
                <w:sz w:val="21"/>
              </w:rPr>
            </w:pPr>
            <w:r>
              <w:rPr>
                <w:sz w:val="21"/>
              </w:rPr>
              <w:t>① 至少一个脚趾发生坏疽并已达到手术切除指征。</w:t>
            </w:r>
          </w:p>
        </w:tc>
      </w:tr>
      <w:tr>
        <w:trPr>
          <w:trHeight w:val="779" w:hRule="atLeast"/>
        </w:trPr>
        <w:tc>
          <w:tcPr>
            <w:tcW w:w="2213" w:type="dxa"/>
          </w:tcPr>
          <w:p>
            <w:pPr>
              <w:pStyle w:val="TableParagraph"/>
              <w:spacing w:line="273" w:lineRule="auto" w:before="136"/>
              <w:ind w:left="200" w:right="117"/>
              <w:rPr>
                <w:sz w:val="21"/>
              </w:rPr>
            </w:pPr>
            <w:r>
              <w:rPr>
                <w:sz w:val="21"/>
              </w:rPr>
              <w:t>（十九）严重肠道疾病并发症</w:t>
            </w:r>
          </w:p>
        </w:tc>
        <w:tc>
          <w:tcPr>
            <w:tcW w:w="6728" w:type="dxa"/>
          </w:tcPr>
          <w:p>
            <w:pPr>
              <w:pStyle w:val="TableParagraph"/>
              <w:spacing w:before="136"/>
              <w:ind w:left="118"/>
              <w:rPr>
                <w:sz w:val="21"/>
              </w:rPr>
            </w:pPr>
            <w:r>
              <w:rPr>
                <w:sz w:val="21"/>
              </w:rPr>
              <w:t>严重肠道疾病或外伤导致小肠损害并发症，必须满足以下所有条件：</w:t>
            </w:r>
          </w:p>
        </w:tc>
      </w:tr>
      <w:tr>
        <w:trPr>
          <w:trHeight w:val="312" w:hRule="atLeast"/>
        </w:trPr>
        <w:tc>
          <w:tcPr>
            <w:tcW w:w="2213" w:type="dxa"/>
          </w:tcPr>
          <w:p>
            <w:pPr>
              <w:pStyle w:val="TableParagraph"/>
              <w:ind w:left="0"/>
              <w:rPr>
                <w:rFonts w:ascii="Times New Roman"/>
                <w:sz w:val="20"/>
              </w:rPr>
            </w:pPr>
          </w:p>
        </w:tc>
        <w:tc>
          <w:tcPr>
            <w:tcW w:w="6728" w:type="dxa"/>
          </w:tcPr>
          <w:p>
            <w:pPr>
              <w:pStyle w:val="TableParagraph"/>
              <w:spacing w:line="255" w:lineRule="exact"/>
              <w:ind w:left="118"/>
              <w:rPr>
                <w:sz w:val="21"/>
              </w:rPr>
            </w:pPr>
            <w:r>
              <w:rPr>
                <w:sz w:val="21"/>
              </w:rPr>
              <w:t>（1）至少切除了三分之二小肠；</w:t>
            </w:r>
          </w:p>
        </w:tc>
      </w:tr>
      <w:tr>
        <w:trPr>
          <w:trHeight w:val="468" w:hRule="atLeast"/>
        </w:trPr>
        <w:tc>
          <w:tcPr>
            <w:tcW w:w="2213" w:type="dxa"/>
          </w:tcPr>
          <w:p>
            <w:pPr>
              <w:pStyle w:val="TableParagraph"/>
              <w:ind w:left="0"/>
              <w:rPr>
                <w:rFonts w:ascii="Times New Roman"/>
                <w:sz w:val="20"/>
              </w:rPr>
            </w:pPr>
          </w:p>
        </w:tc>
        <w:tc>
          <w:tcPr>
            <w:tcW w:w="6728" w:type="dxa"/>
          </w:tcPr>
          <w:p>
            <w:pPr>
              <w:pStyle w:val="TableParagraph"/>
              <w:spacing w:line="255" w:lineRule="exact"/>
              <w:ind w:left="118"/>
              <w:rPr>
                <w:sz w:val="21"/>
              </w:rPr>
            </w:pPr>
            <w:r>
              <w:rPr>
                <w:sz w:val="21"/>
              </w:rPr>
              <w:t>（2）完全肠外营养支持 3 个月以上。</w:t>
            </w:r>
          </w:p>
        </w:tc>
      </w:tr>
      <w:tr>
        <w:trPr>
          <w:trHeight w:val="779" w:hRule="atLeast"/>
        </w:trPr>
        <w:tc>
          <w:tcPr>
            <w:tcW w:w="2213" w:type="dxa"/>
          </w:tcPr>
          <w:p>
            <w:pPr>
              <w:pStyle w:val="TableParagraph"/>
              <w:spacing w:line="273" w:lineRule="auto" w:before="136"/>
              <w:ind w:left="200" w:right="117"/>
              <w:rPr>
                <w:sz w:val="21"/>
              </w:rPr>
            </w:pPr>
            <w:r>
              <w:rPr>
                <w:sz w:val="21"/>
              </w:rPr>
              <w:t>（二十）成骨不全症第三型</w:t>
            </w:r>
          </w:p>
        </w:tc>
        <w:tc>
          <w:tcPr>
            <w:tcW w:w="6728" w:type="dxa"/>
          </w:tcPr>
          <w:p>
            <w:pPr>
              <w:pStyle w:val="TableParagraph"/>
              <w:spacing w:before="136"/>
              <w:ind w:left="118"/>
              <w:rPr>
                <w:sz w:val="21"/>
              </w:rPr>
            </w:pPr>
            <w:r>
              <w:rPr>
                <w:sz w:val="21"/>
              </w:rPr>
              <w:t>成骨不全症第三型须由专科医生明确诊断，同时符合下列所有条件：</w:t>
            </w:r>
          </w:p>
        </w:tc>
      </w:tr>
      <w:tr>
        <w:trPr>
          <w:trHeight w:val="624" w:hRule="atLeast"/>
        </w:trPr>
        <w:tc>
          <w:tcPr>
            <w:tcW w:w="2213" w:type="dxa"/>
          </w:tcPr>
          <w:p>
            <w:pPr>
              <w:pStyle w:val="TableParagraph"/>
              <w:ind w:left="0"/>
              <w:rPr>
                <w:rFonts w:ascii="Times New Roman"/>
                <w:sz w:val="20"/>
              </w:rPr>
            </w:pPr>
          </w:p>
        </w:tc>
        <w:tc>
          <w:tcPr>
            <w:tcW w:w="6728" w:type="dxa"/>
          </w:tcPr>
          <w:p>
            <w:pPr>
              <w:pStyle w:val="TableParagraph"/>
              <w:spacing w:line="255" w:lineRule="exact"/>
              <w:ind w:left="118"/>
              <w:rPr>
                <w:sz w:val="21"/>
              </w:rPr>
            </w:pPr>
            <w:r>
              <w:rPr>
                <w:sz w:val="21"/>
              </w:rPr>
              <w:t>（1）就成骨不全症第三型之诊断进行的皮肤切片的病理检查结果为阳</w:t>
            </w:r>
          </w:p>
          <w:p>
            <w:pPr>
              <w:pStyle w:val="TableParagraph"/>
              <w:spacing w:before="37"/>
              <w:ind w:left="118"/>
              <w:rPr>
                <w:sz w:val="21"/>
              </w:rPr>
            </w:pPr>
            <w:r>
              <w:rPr>
                <w:sz w:val="21"/>
              </w:rPr>
              <w:t>性；</w:t>
            </w:r>
          </w:p>
        </w:tc>
      </w:tr>
      <w:tr>
        <w:trPr>
          <w:trHeight w:val="312" w:hRule="atLeast"/>
        </w:trPr>
        <w:tc>
          <w:tcPr>
            <w:tcW w:w="2213" w:type="dxa"/>
          </w:tcPr>
          <w:p>
            <w:pPr>
              <w:pStyle w:val="TableParagraph"/>
              <w:ind w:left="0"/>
              <w:rPr>
                <w:rFonts w:ascii="Times New Roman"/>
                <w:sz w:val="20"/>
              </w:rPr>
            </w:pPr>
          </w:p>
        </w:tc>
        <w:tc>
          <w:tcPr>
            <w:tcW w:w="6728" w:type="dxa"/>
          </w:tcPr>
          <w:p>
            <w:pPr>
              <w:pStyle w:val="TableParagraph"/>
              <w:spacing w:line="255" w:lineRule="exact"/>
              <w:ind w:left="118"/>
              <w:rPr>
                <w:sz w:val="21"/>
              </w:rPr>
            </w:pPr>
            <w:r>
              <w:rPr>
                <w:sz w:val="21"/>
              </w:rPr>
              <w:t>（2）X 光片结果显示多处骨折及逐步脊柱后侧凸畸形；</w:t>
            </w:r>
          </w:p>
        </w:tc>
      </w:tr>
      <w:tr>
        <w:trPr>
          <w:trHeight w:val="261" w:hRule="atLeast"/>
        </w:trPr>
        <w:tc>
          <w:tcPr>
            <w:tcW w:w="2213" w:type="dxa"/>
          </w:tcPr>
          <w:p>
            <w:pPr>
              <w:pStyle w:val="TableParagraph"/>
              <w:ind w:left="0"/>
              <w:rPr>
                <w:rFonts w:ascii="Times New Roman"/>
                <w:sz w:val="18"/>
              </w:rPr>
            </w:pPr>
          </w:p>
        </w:tc>
        <w:tc>
          <w:tcPr>
            <w:tcW w:w="6728" w:type="dxa"/>
          </w:tcPr>
          <w:p>
            <w:pPr>
              <w:pStyle w:val="TableParagraph"/>
              <w:spacing w:line="242" w:lineRule="exact"/>
              <w:ind w:left="118"/>
              <w:rPr>
                <w:sz w:val="21"/>
              </w:rPr>
            </w:pPr>
            <w:r>
              <w:rPr>
                <w:sz w:val="21"/>
              </w:rPr>
              <w:t>（3）有证明是因此疾病引致发育迟缓及听力损伤。</w:t>
            </w:r>
          </w:p>
        </w:tc>
      </w:tr>
    </w:tbl>
    <w:p>
      <w:pPr>
        <w:pStyle w:val="BodyText"/>
        <w:spacing w:before="10"/>
        <w:ind w:left="0"/>
        <w:rPr>
          <w:sz w:val="25"/>
        </w:rPr>
      </w:pPr>
    </w:p>
    <w:p>
      <w:pPr>
        <w:pStyle w:val="BodyText"/>
        <w:spacing w:line="326" w:lineRule="auto" w:before="36"/>
        <w:ind w:left="934" w:right="631" w:hanging="735"/>
        <w:jc w:val="both"/>
      </w:pPr>
      <w:r>
        <w:rPr/>
        <w:t>注：1、肢体机能完全丧失指肢体的三大关节中的两大关节僵硬，或不能随意识活动。肢体是指包括肩关节的整个上肢或包括髋关节的整个下肢。</w:t>
      </w:r>
    </w:p>
    <w:p>
      <w:pPr>
        <w:pStyle w:val="BodyText"/>
        <w:spacing w:before="23"/>
        <w:ind w:left="620"/>
      </w:pPr>
      <w:r>
        <w:rPr/>
        <w:t>2、语言能力或咀嚼吞咽能力完全丧失</w:t>
      </w:r>
    </w:p>
    <w:p>
      <w:pPr>
        <w:pStyle w:val="BodyText"/>
        <w:spacing w:line="326" w:lineRule="auto"/>
        <w:ind w:left="934" w:right="528"/>
      </w:pPr>
      <w:r>
        <w:rPr>
          <w:spacing w:val="-8"/>
        </w:rPr>
        <w:t>语言能力完全丧失，指无法发出四种语音</w:t>
      </w:r>
      <w:r>
        <w:rPr/>
        <w:t>（</w:t>
      </w:r>
      <w:r>
        <w:rPr>
          <w:spacing w:val="-9"/>
        </w:rPr>
        <w:t>包括口唇音、齿舌音、口盖音和喉头音</w:t>
      </w:r>
      <w:r>
        <w:rPr/>
        <w:t>） </w:t>
      </w:r>
      <w:r>
        <w:rPr>
          <w:spacing w:val="-3"/>
        </w:rPr>
        <w:t>中的任何三种、或声带全部切除，或因大脑语言中枢受伤害而患失语症。</w:t>
      </w:r>
    </w:p>
    <w:p>
      <w:pPr>
        <w:pStyle w:val="BodyText"/>
        <w:spacing w:line="326" w:lineRule="auto" w:before="24"/>
        <w:ind w:left="934" w:right="634"/>
      </w:pPr>
      <w:r>
        <w:rPr/>
        <w:t>咀嚼吞咽能力完全丧失，指因牙齿以外的原因导致器质障碍或机能障碍，以致不能作咀嚼吞咽运动，除流质食物外不能摄取或吞咽的状态。</w:t>
      </w:r>
    </w:p>
    <w:p>
      <w:pPr>
        <w:pStyle w:val="BodyText"/>
        <w:spacing w:line="326" w:lineRule="auto" w:before="24"/>
        <w:ind w:left="934" w:right="631" w:hanging="315"/>
        <w:jc w:val="both"/>
      </w:pPr>
      <w:r>
        <w:rPr/>
        <w:t>3、六项基本日常生活活动是指：（1）穿衣：自己能够穿衣及脱衣；（2）移动：自己从一个房间到另一个房间；（3）行动：自己上下床或上下轮椅；（4）如厕：自己控制进行大小便；（5）进食：自己从已准备好的碗或碟中取食物放入口中；（6） 洗澡：自己进行淋浴或盆浴。</w:t>
      </w:r>
    </w:p>
    <w:p>
      <w:pPr>
        <w:pStyle w:val="BodyText"/>
        <w:spacing w:line="326" w:lineRule="auto" w:before="24"/>
        <w:ind w:left="934" w:right="633" w:hanging="315"/>
        <w:jc w:val="both"/>
      </w:pPr>
      <w:r>
        <w:rPr/>
        <w:t>4</w:t>
      </w:r>
      <w:r>
        <w:rPr>
          <w:spacing w:val="-4"/>
        </w:rPr>
        <w:t>、永久不可逆指自疾病确诊或意外伤害发生之日起，经过积极治疗 </w:t>
      </w:r>
      <w:r>
        <w:rPr/>
        <w:t>180</w:t>
      </w:r>
      <w:r>
        <w:rPr>
          <w:spacing w:val="-7"/>
        </w:rPr>
        <w:t> 天后，仍无法</w:t>
      </w:r>
      <w:r>
        <w:rPr>
          <w:spacing w:val="-5"/>
        </w:rPr>
        <w:t>通过现有医疗手段恢复。</w:t>
      </w:r>
    </w:p>
    <w:p>
      <w:pPr>
        <w:pStyle w:val="BodyText"/>
        <w:tabs>
          <w:tab w:pos="920" w:val="left" w:leader="none"/>
        </w:tabs>
        <w:spacing w:line="268" w:lineRule="exact" w:before="0"/>
        <w:ind w:left="200"/>
      </w:pPr>
      <w:r>
        <w:rPr/>
        <w:t>四、</w:t>
        <w:tab/>
        <w:t>专科</w:t>
      </w:r>
      <w:r>
        <w:rPr>
          <w:spacing w:val="-3"/>
        </w:rPr>
        <w:t>医</w:t>
      </w:r>
      <w:r>
        <w:rPr/>
        <w:t>生</w:t>
      </w:r>
      <w:r>
        <w:rPr>
          <w:spacing w:val="-3"/>
        </w:rPr>
        <w:t>：</w:t>
      </w:r>
      <w:r>
        <w:rPr/>
        <w:t>指</w:t>
      </w:r>
      <w:r>
        <w:rPr>
          <w:spacing w:val="-3"/>
        </w:rPr>
        <w:t>满</w:t>
      </w:r>
      <w:r>
        <w:rPr/>
        <w:t>足</w:t>
      </w:r>
      <w:r>
        <w:rPr>
          <w:spacing w:val="-3"/>
        </w:rPr>
        <w:t>下</w:t>
      </w:r>
      <w:r>
        <w:rPr/>
        <w:t>列</w:t>
      </w:r>
      <w:r>
        <w:rPr>
          <w:spacing w:val="-3"/>
        </w:rPr>
        <w:t>四</w:t>
      </w:r>
      <w:r>
        <w:rPr/>
        <w:t>项资</w:t>
      </w:r>
      <w:r>
        <w:rPr>
          <w:spacing w:val="-3"/>
        </w:rPr>
        <w:t>格</w:t>
      </w:r>
      <w:r>
        <w:rPr/>
        <w:t>条</w:t>
      </w:r>
      <w:r>
        <w:rPr>
          <w:spacing w:val="-3"/>
        </w:rPr>
        <w:t>件</w:t>
      </w:r>
      <w:r>
        <w:rPr/>
        <w:t>的</w:t>
      </w:r>
      <w:r>
        <w:rPr>
          <w:spacing w:val="-3"/>
        </w:rPr>
        <w:t>医</w:t>
      </w:r>
      <w:r>
        <w:rPr/>
        <w:t>生</w:t>
      </w:r>
      <w:r>
        <w:rPr>
          <w:spacing w:val="-3"/>
        </w:rPr>
        <w:t>或</w:t>
      </w:r>
      <w:r>
        <w:rPr/>
        <w:t>医</w:t>
      </w:r>
      <w:r>
        <w:rPr>
          <w:spacing w:val="-3"/>
        </w:rPr>
        <w:t>师</w:t>
      </w:r>
      <w:r>
        <w:rPr/>
        <w:t>：</w:t>
      </w:r>
    </w:p>
    <w:p>
      <w:pPr>
        <w:pStyle w:val="BodyText"/>
        <w:spacing w:line="273" w:lineRule="auto" w:before="37"/>
        <w:ind w:left="934" w:right="631" w:hanging="104"/>
        <w:jc w:val="both"/>
      </w:pPr>
      <w:r>
        <w:rPr>
          <w:spacing w:val="-6"/>
        </w:rPr>
        <w:t>（1）</w:t>
      </w:r>
      <w:r>
        <w:rPr>
          <w:spacing w:val="-7"/>
        </w:rPr>
        <w:t>具有有效的中华人民共和国《医师资格证书》；</w:t>
      </w:r>
      <w:r>
        <w:rPr>
          <w:spacing w:val="-13"/>
        </w:rPr>
        <w:t>（2）</w:t>
      </w:r>
      <w:r>
        <w:rPr>
          <w:spacing w:val="-3"/>
        </w:rPr>
        <w:t>具有有效的中华人民共和</w:t>
      </w:r>
      <w:r>
        <w:rPr>
          <w:spacing w:val="-9"/>
        </w:rPr>
        <w:t>国《医师执业证书》，并按期到相关部门登记注册；</w:t>
      </w:r>
      <w:r>
        <w:rPr>
          <w:spacing w:val="-13"/>
        </w:rPr>
        <w:t>（3）</w:t>
      </w:r>
      <w:r>
        <w:rPr>
          <w:spacing w:val="-3"/>
        </w:rPr>
        <w:t>具有有效的中华人民共和</w:t>
      </w:r>
      <w:r>
        <w:rPr>
          <w:spacing w:val="-7"/>
        </w:rPr>
        <w:t>国主治医师或主治医师以上职称的《医师职称证书》；</w:t>
      </w:r>
      <w:r>
        <w:rPr>
          <w:spacing w:val="-16"/>
        </w:rPr>
        <w:t>（4）</w:t>
      </w:r>
      <w:r>
        <w:rPr>
          <w:spacing w:val="-3"/>
        </w:rPr>
        <w:t>在二级或二级以上医院的相应科室从事临床工作三年以上。</w:t>
      </w:r>
    </w:p>
    <w:p>
      <w:pPr>
        <w:pStyle w:val="BodyText"/>
        <w:spacing w:line="326" w:lineRule="auto" w:before="38"/>
        <w:ind w:left="920" w:right="633" w:hanging="720"/>
        <w:jc w:val="both"/>
      </w:pPr>
      <w:r>
        <w:rPr>
          <w:spacing w:val="-6"/>
        </w:rPr>
        <w:t>五、  毒品：指中华人民共和国刑法规定的鸦片、海洛因、甲基苯丙胺</w:t>
      </w:r>
      <w:r>
        <w:rPr>
          <w:spacing w:val="-3"/>
        </w:rPr>
        <w:t>（</w:t>
      </w:r>
      <w:r>
        <w:rPr>
          <w:spacing w:val="-2"/>
        </w:rPr>
        <w:t>冰毒</w:t>
      </w:r>
      <w:r>
        <w:rPr>
          <w:spacing w:val="-108"/>
        </w:rPr>
        <w:t>）</w:t>
      </w:r>
      <w:r>
        <w:rPr>
          <w:spacing w:val="-8"/>
        </w:rPr>
        <w:t>、吗啡、大麻、可卡因以及国家规定管制的其他能够使人形成瘾癖的麻醉药品和精神药品，但</w:t>
      </w:r>
      <w:r>
        <w:rPr>
          <w:spacing w:val="-5"/>
        </w:rPr>
        <w:t>不包括由医生开具并遵医嘱使用的用于治疗疾病但含有毒品成分的处方药品。</w:t>
      </w:r>
    </w:p>
    <w:p>
      <w:pPr>
        <w:pStyle w:val="BodyText"/>
        <w:spacing w:line="326" w:lineRule="auto" w:before="23"/>
        <w:ind w:left="920" w:right="634" w:hanging="720"/>
        <w:jc w:val="both"/>
      </w:pPr>
      <w:r>
        <w:rPr>
          <w:spacing w:val="-3"/>
        </w:rPr>
        <w:t>六、  酒后驾驶：指经检测或鉴定，发生事故时车辆驾驶人员每百毫升血液中的酒精含量达到或超过一定的标准，公安机关交通管理部门依据《道路交通安全法》的规定认定为饮酒后驾驶或醉酒后驾驶。</w:t>
      </w:r>
    </w:p>
    <w:p>
      <w:pPr>
        <w:pStyle w:val="BodyText"/>
        <w:spacing w:line="326" w:lineRule="auto" w:before="24"/>
        <w:ind w:left="920" w:right="633" w:hanging="720"/>
        <w:jc w:val="both"/>
      </w:pPr>
      <w:r>
        <w:rPr>
          <w:w w:val="100"/>
        </w:rPr>
        <w:t>七、</w:t>
      </w:r>
      <w:r>
        <w:rPr>
          <w:spacing w:val="-6"/>
        </w:rPr>
        <w:t>   </w:t>
      </w:r>
      <w:r>
        <w:rPr>
          <w:spacing w:val="-7"/>
          <w:w w:val="100"/>
        </w:rPr>
        <w:t>无合法有效驾驶证驾驶：指发生保险事故时被保险人符合下列情形之一的：</w:t>
      </w:r>
      <w:r>
        <w:rPr>
          <w:spacing w:val="-2"/>
          <w:w w:val="100"/>
        </w:rPr>
        <w:t>（</w:t>
      </w:r>
      <w:r>
        <w:rPr>
          <w:w w:val="100"/>
        </w:rPr>
        <w:t>1）没</w:t>
      </w:r>
      <w:r>
        <w:rPr>
          <w:spacing w:val="-16"/>
          <w:w w:val="100"/>
        </w:rPr>
        <w:t>有驾驶证驾驶；</w:t>
      </w:r>
      <w:r>
        <w:rPr>
          <w:w w:val="100"/>
        </w:rPr>
        <w:t>（</w:t>
      </w:r>
      <w:r>
        <w:rPr>
          <w:spacing w:val="-3"/>
          <w:w w:val="100"/>
        </w:rPr>
        <w:t>2</w:t>
      </w:r>
      <w:r>
        <w:rPr>
          <w:w w:val="100"/>
        </w:rPr>
        <w:t>）</w:t>
      </w:r>
      <w:r>
        <w:rPr>
          <w:spacing w:val="-9"/>
          <w:w w:val="100"/>
        </w:rPr>
        <w:t>驾驶与驾驶证准驾车型不相符合的车辆；</w:t>
      </w:r>
      <w:r>
        <w:rPr>
          <w:w w:val="100"/>
        </w:rPr>
        <w:t>（3）</w:t>
      </w:r>
      <w:r>
        <w:rPr>
          <w:spacing w:val="-3"/>
          <w:w w:val="100"/>
        </w:rPr>
        <w:t>持审验不合格的</w:t>
      </w:r>
    </w:p>
    <w:p>
      <w:pPr>
        <w:spacing w:after="0" w:line="326" w:lineRule="auto"/>
        <w:jc w:val="both"/>
        <w:sectPr>
          <w:pgSz w:w="11910" w:h="16840"/>
          <w:pgMar w:header="0" w:footer="924" w:top="1480" w:bottom="1120" w:left="1600" w:right="1160"/>
        </w:sectPr>
      </w:pPr>
    </w:p>
    <w:p>
      <w:pPr>
        <w:pStyle w:val="BodyText"/>
        <w:spacing w:line="326" w:lineRule="auto" w:before="20"/>
        <w:ind w:left="840" w:right="116"/>
      </w:pPr>
      <w:r>
        <w:rPr>
          <w:spacing w:val="-19"/>
          <w:w w:val="100"/>
        </w:rPr>
        <w:t>驾驶证驾驶；</w:t>
      </w:r>
      <w:r>
        <w:rPr>
          <w:w w:val="100"/>
        </w:rPr>
        <w:t>（4</w:t>
      </w:r>
      <w:r>
        <w:rPr>
          <w:spacing w:val="-3"/>
          <w:w w:val="100"/>
        </w:rPr>
        <w:t>）</w:t>
      </w:r>
      <w:r>
        <w:rPr>
          <w:spacing w:val="-7"/>
          <w:w w:val="100"/>
        </w:rPr>
        <w:t>未经公安机关交通管理部门同意，持未审验的驾驶证驾驶；</w:t>
      </w:r>
      <w:r>
        <w:rPr>
          <w:w w:val="100"/>
        </w:rPr>
        <w:t>（5）</w:t>
      </w:r>
      <w:r>
        <w:rPr/>
        <w:t>持学习驾驶证学习驾车时，无教练员随车指导，或不按指定时间、路线学习驾车；</w:t>
      </w:r>
    </w:p>
    <w:p>
      <w:pPr>
        <w:pStyle w:val="BodyText"/>
        <w:spacing w:before="23"/>
        <w:ind w:left="840"/>
      </w:pPr>
      <w:r>
        <w:rPr/>
        <w:t>（6）公安机关交通管理部门规定的其他无有效驾驶证驾驶的情况。</w:t>
      </w:r>
    </w:p>
    <w:p>
      <w:pPr>
        <w:pStyle w:val="BodyText"/>
        <w:tabs>
          <w:tab w:pos="840" w:val="left" w:leader="none"/>
        </w:tabs>
        <w:spacing w:line="326" w:lineRule="auto"/>
        <w:ind w:left="840" w:right="110" w:hanging="720"/>
      </w:pPr>
      <w:r>
        <w:rPr>
          <w:w w:val="100"/>
        </w:rPr>
        <w:t>八、</w:t>
      </w:r>
      <w:r>
        <w:rPr/>
        <w:tab/>
      </w:r>
      <w:r>
        <w:rPr>
          <w:w w:val="100"/>
        </w:rPr>
        <w:t>无有效行驶证</w:t>
      </w:r>
      <w:r>
        <w:rPr>
          <w:spacing w:val="-2"/>
          <w:w w:val="100"/>
        </w:rPr>
        <w:t>：</w:t>
      </w:r>
      <w:r>
        <w:rPr>
          <w:w w:val="100"/>
        </w:rPr>
        <w:t>指发生</w:t>
      </w:r>
      <w:r>
        <w:rPr>
          <w:spacing w:val="-3"/>
          <w:w w:val="100"/>
        </w:rPr>
        <w:t>保</w:t>
      </w:r>
      <w:r>
        <w:rPr>
          <w:w w:val="100"/>
        </w:rPr>
        <w:t>险事故时机动</w:t>
      </w:r>
      <w:r>
        <w:rPr>
          <w:spacing w:val="-3"/>
          <w:w w:val="100"/>
        </w:rPr>
        <w:t>车</w:t>
      </w:r>
      <w:r>
        <w:rPr>
          <w:w w:val="100"/>
        </w:rPr>
        <w:t>符合下</w:t>
      </w:r>
      <w:r>
        <w:rPr>
          <w:spacing w:val="-3"/>
          <w:w w:val="100"/>
        </w:rPr>
        <w:t>列</w:t>
      </w:r>
      <w:r>
        <w:rPr>
          <w:w w:val="100"/>
        </w:rPr>
        <w:t>情形之一</w:t>
      </w:r>
      <w:r>
        <w:rPr>
          <w:spacing w:val="-3"/>
          <w:w w:val="100"/>
        </w:rPr>
        <w:t>的</w:t>
      </w:r>
      <w:r>
        <w:rPr>
          <w:spacing w:val="-104"/>
          <w:w w:val="100"/>
        </w:rPr>
        <w:t>：</w:t>
      </w:r>
      <w:r>
        <w:rPr>
          <w:w w:val="100"/>
        </w:rPr>
        <w:t>（1）</w:t>
      </w:r>
      <w:r>
        <w:rPr>
          <w:spacing w:val="-3"/>
          <w:w w:val="100"/>
        </w:rPr>
        <w:t>没</w:t>
      </w:r>
      <w:r>
        <w:rPr>
          <w:w w:val="100"/>
        </w:rPr>
        <w:t>有</w:t>
      </w:r>
      <w:r>
        <w:rPr>
          <w:spacing w:val="-3"/>
          <w:w w:val="100"/>
        </w:rPr>
        <w:t>公</w:t>
      </w:r>
      <w:r>
        <w:rPr>
          <w:w w:val="100"/>
        </w:rPr>
        <w:t>安机关交通管理部门</w:t>
      </w:r>
      <w:r>
        <w:rPr>
          <w:spacing w:val="-3"/>
          <w:w w:val="100"/>
        </w:rPr>
        <w:t>核</w:t>
      </w:r>
      <w:r>
        <w:rPr>
          <w:w w:val="100"/>
        </w:rPr>
        <w:t>发的行</w:t>
      </w:r>
      <w:r>
        <w:rPr>
          <w:spacing w:val="-3"/>
          <w:w w:val="100"/>
        </w:rPr>
        <w:t>驶</w:t>
      </w:r>
      <w:r>
        <w:rPr>
          <w:w w:val="100"/>
        </w:rPr>
        <w:t>证、机动车号</w:t>
      </w:r>
      <w:r>
        <w:rPr>
          <w:spacing w:val="-3"/>
          <w:w w:val="100"/>
        </w:rPr>
        <w:t>牌</w:t>
      </w:r>
      <w:r>
        <w:rPr>
          <w:w w:val="100"/>
        </w:rPr>
        <w:t>或检验</w:t>
      </w:r>
      <w:r>
        <w:rPr>
          <w:spacing w:val="-3"/>
          <w:w w:val="100"/>
        </w:rPr>
        <w:t>合</w:t>
      </w:r>
      <w:r>
        <w:rPr>
          <w:w w:val="100"/>
        </w:rPr>
        <w:t>格标</w:t>
      </w:r>
      <w:r>
        <w:rPr>
          <w:spacing w:val="-3"/>
          <w:w w:val="100"/>
        </w:rPr>
        <w:t>志</w:t>
      </w:r>
      <w:r>
        <w:rPr>
          <w:spacing w:val="-104"/>
          <w:w w:val="100"/>
        </w:rPr>
        <w:t>；</w:t>
      </w:r>
      <w:r>
        <w:rPr>
          <w:w w:val="100"/>
        </w:rPr>
        <w:t>（2）安全</w:t>
      </w:r>
      <w:r>
        <w:rPr>
          <w:spacing w:val="-3"/>
          <w:w w:val="100"/>
        </w:rPr>
        <w:t>技</w:t>
      </w:r>
      <w:r>
        <w:rPr>
          <w:w w:val="100"/>
        </w:rPr>
        <w:t>术</w:t>
      </w:r>
      <w:r>
        <w:rPr>
          <w:spacing w:val="-3"/>
          <w:w w:val="100"/>
        </w:rPr>
        <w:t>检</w:t>
      </w:r>
      <w:r>
        <w:rPr>
          <w:w w:val="100"/>
        </w:rPr>
        <w:t>验不合格</w:t>
      </w:r>
      <w:r>
        <w:rPr>
          <w:spacing w:val="-17"/>
          <w:w w:val="100"/>
        </w:rPr>
        <w:t>、</w:t>
      </w:r>
      <w:r>
        <w:rPr>
          <w:spacing w:val="-3"/>
          <w:w w:val="100"/>
        </w:rPr>
        <w:t>未</w:t>
      </w:r>
      <w:r>
        <w:rPr>
          <w:w w:val="100"/>
        </w:rPr>
        <w:t>按</w:t>
      </w:r>
      <w:r>
        <w:rPr>
          <w:spacing w:val="-3"/>
          <w:w w:val="100"/>
        </w:rPr>
        <w:t>期</w:t>
      </w:r>
      <w:r>
        <w:rPr>
          <w:w w:val="100"/>
        </w:rPr>
        <w:t>或</w:t>
      </w:r>
      <w:r>
        <w:rPr>
          <w:spacing w:val="-3"/>
          <w:w w:val="100"/>
        </w:rPr>
        <w:t>未</w:t>
      </w:r>
      <w:r>
        <w:rPr>
          <w:w w:val="100"/>
        </w:rPr>
        <w:t>按</w:t>
      </w:r>
      <w:r>
        <w:rPr>
          <w:spacing w:val="-3"/>
          <w:w w:val="100"/>
        </w:rPr>
        <w:t>规</w:t>
      </w:r>
      <w:r>
        <w:rPr>
          <w:w w:val="100"/>
        </w:rPr>
        <w:t>定</w:t>
      </w:r>
      <w:r>
        <w:rPr>
          <w:spacing w:val="-3"/>
          <w:w w:val="100"/>
        </w:rPr>
        <w:t>进</w:t>
      </w:r>
      <w:r>
        <w:rPr>
          <w:w w:val="100"/>
        </w:rPr>
        <w:t>行安</w:t>
      </w:r>
      <w:r>
        <w:rPr>
          <w:spacing w:val="-3"/>
          <w:w w:val="100"/>
        </w:rPr>
        <w:t>全</w:t>
      </w:r>
      <w:r>
        <w:rPr>
          <w:w w:val="100"/>
        </w:rPr>
        <w:t>技</w:t>
      </w:r>
      <w:r>
        <w:rPr>
          <w:spacing w:val="-3"/>
          <w:w w:val="100"/>
        </w:rPr>
        <w:t>术</w:t>
      </w:r>
      <w:r>
        <w:rPr>
          <w:w w:val="100"/>
        </w:rPr>
        <w:t>检</w:t>
      </w:r>
      <w:r>
        <w:rPr>
          <w:spacing w:val="-3"/>
          <w:w w:val="100"/>
        </w:rPr>
        <w:t>验</w:t>
      </w:r>
      <w:r>
        <w:rPr>
          <w:spacing w:val="-123"/>
          <w:w w:val="100"/>
        </w:rPr>
        <w:t>；</w:t>
      </w:r>
      <w:r>
        <w:rPr>
          <w:w w:val="100"/>
        </w:rPr>
        <w:t>（3</w:t>
      </w:r>
      <w:r>
        <w:rPr>
          <w:spacing w:val="-20"/>
          <w:w w:val="100"/>
        </w:rPr>
        <w:t>）</w:t>
      </w:r>
      <w:r>
        <w:rPr>
          <w:spacing w:val="-3"/>
          <w:w w:val="100"/>
        </w:rPr>
        <w:t>在</w:t>
      </w:r>
      <w:r>
        <w:rPr>
          <w:w w:val="100"/>
        </w:rPr>
        <w:t>停驶</w:t>
      </w:r>
      <w:r>
        <w:rPr>
          <w:spacing w:val="-3"/>
          <w:w w:val="100"/>
        </w:rPr>
        <w:t>期</w:t>
      </w:r>
      <w:r>
        <w:rPr>
          <w:w w:val="100"/>
        </w:rPr>
        <w:t>间</w:t>
      </w:r>
      <w:r>
        <w:rPr>
          <w:spacing w:val="-3"/>
          <w:w w:val="100"/>
        </w:rPr>
        <w:t>行</w:t>
      </w:r>
      <w:r>
        <w:rPr>
          <w:w w:val="100"/>
        </w:rPr>
        <w:t>驶</w:t>
      </w:r>
      <w:r>
        <w:rPr>
          <w:spacing w:val="-123"/>
          <w:w w:val="100"/>
        </w:rPr>
        <w:t>；</w:t>
      </w:r>
      <w:r>
        <w:rPr>
          <w:spacing w:val="-3"/>
          <w:w w:val="100"/>
        </w:rPr>
        <w:t>（</w:t>
      </w:r>
      <w:r>
        <w:rPr>
          <w:w w:val="100"/>
        </w:rPr>
        <w:t>4</w:t>
      </w:r>
      <w:r>
        <w:rPr>
          <w:spacing w:val="-17"/>
          <w:w w:val="100"/>
        </w:rPr>
        <w:t>）</w:t>
      </w:r>
      <w:r>
        <w:rPr>
          <w:spacing w:val="-3"/>
          <w:w w:val="100"/>
        </w:rPr>
        <w:t>使用</w:t>
      </w:r>
      <w:r>
        <w:rPr>
          <w:w w:val="100"/>
        </w:rPr>
        <w:t>伪造</w:t>
      </w:r>
      <w:r>
        <w:rPr>
          <w:spacing w:val="-3"/>
          <w:w w:val="100"/>
        </w:rPr>
        <w:t>的</w:t>
      </w:r>
      <w:r>
        <w:rPr>
          <w:w w:val="100"/>
        </w:rPr>
        <w:t>、变造的或其他</w:t>
      </w:r>
      <w:r>
        <w:rPr>
          <w:spacing w:val="-3"/>
          <w:w w:val="100"/>
        </w:rPr>
        <w:t>机</w:t>
      </w:r>
      <w:r>
        <w:rPr>
          <w:w w:val="100"/>
        </w:rPr>
        <w:t>动车的</w:t>
      </w:r>
      <w:r>
        <w:rPr>
          <w:spacing w:val="-3"/>
          <w:w w:val="100"/>
        </w:rPr>
        <w:t>行</w:t>
      </w:r>
      <w:r>
        <w:rPr>
          <w:w w:val="100"/>
        </w:rPr>
        <w:t>驶证、号牌或</w:t>
      </w:r>
      <w:r>
        <w:rPr>
          <w:spacing w:val="-3"/>
          <w:w w:val="100"/>
        </w:rPr>
        <w:t>检</w:t>
      </w:r>
      <w:r>
        <w:rPr>
          <w:w w:val="100"/>
        </w:rPr>
        <w:t>验合格</w:t>
      </w:r>
      <w:r>
        <w:rPr>
          <w:spacing w:val="-3"/>
          <w:w w:val="100"/>
        </w:rPr>
        <w:t>标</w:t>
      </w:r>
      <w:r>
        <w:rPr>
          <w:w w:val="100"/>
        </w:rPr>
        <w:t>志</w:t>
      </w:r>
      <w:r>
        <w:rPr>
          <w:spacing w:val="-104"/>
          <w:w w:val="100"/>
        </w:rPr>
        <w:t>；</w:t>
      </w:r>
      <w:r>
        <w:rPr>
          <w:w w:val="100"/>
        </w:rPr>
        <w:t>（5</w:t>
      </w:r>
      <w:r>
        <w:rPr>
          <w:spacing w:val="-3"/>
          <w:w w:val="100"/>
        </w:rPr>
        <w:t>）</w:t>
      </w:r>
      <w:r>
        <w:rPr>
          <w:w w:val="100"/>
        </w:rPr>
        <w:t>未经公安</w:t>
      </w:r>
      <w:r>
        <w:rPr>
          <w:spacing w:val="-3"/>
          <w:w w:val="100"/>
        </w:rPr>
        <w:t>机</w:t>
      </w:r>
      <w:r>
        <w:rPr>
          <w:w w:val="100"/>
        </w:rPr>
        <w:t>关</w:t>
      </w:r>
      <w:r>
        <w:rPr>
          <w:spacing w:val="-3"/>
          <w:w w:val="100"/>
        </w:rPr>
        <w:t>交</w:t>
      </w:r>
      <w:r>
        <w:rPr>
          <w:w w:val="100"/>
        </w:rPr>
        <w:t>通管理部门同意，拼</w:t>
      </w:r>
      <w:r>
        <w:rPr>
          <w:spacing w:val="-3"/>
          <w:w w:val="100"/>
        </w:rPr>
        <w:t>装</w:t>
      </w:r>
      <w:r>
        <w:rPr>
          <w:w w:val="100"/>
        </w:rPr>
        <w:t>机动车</w:t>
      </w:r>
      <w:r>
        <w:rPr>
          <w:spacing w:val="-3"/>
          <w:w w:val="100"/>
        </w:rPr>
        <w:t>或</w:t>
      </w:r>
      <w:r>
        <w:rPr>
          <w:w w:val="100"/>
        </w:rPr>
        <w:t>改变机动车已</w:t>
      </w:r>
      <w:r>
        <w:rPr>
          <w:spacing w:val="-3"/>
          <w:w w:val="100"/>
        </w:rPr>
        <w:t>登</w:t>
      </w:r>
      <w:r>
        <w:rPr>
          <w:w w:val="100"/>
        </w:rPr>
        <w:t>记的结</w:t>
      </w:r>
      <w:r>
        <w:rPr>
          <w:spacing w:val="-3"/>
          <w:w w:val="100"/>
        </w:rPr>
        <w:t>构</w:t>
      </w:r>
      <w:r>
        <w:rPr>
          <w:w w:val="100"/>
        </w:rPr>
        <w:t>、构造或特</w:t>
      </w:r>
      <w:r>
        <w:rPr>
          <w:spacing w:val="-3"/>
          <w:w w:val="100"/>
        </w:rPr>
        <w:t>征</w:t>
      </w:r>
      <w:r>
        <w:rPr>
          <w:spacing w:val="-104"/>
          <w:w w:val="100"/>
        </w:rPr>
        <w:t>；</w:t>
      </w:r>
      <w:r>
        <w:rPr>
          <w:w w:val="100"/>
        </w:rPr>
        <w:t>（6</w:t>
      </w:r>
      <w:r>
        <w:rPr>
          <w:spacing w:val="-3"/>
          <w:w w:val="100"/>
        </w:rPr>
        <w:t>）</w:t>
      </w:r>
      <w:r>
        <w:rPr>
          <w:w w:val="100"/>
        </w:rPr>
        <w:t>公</w:t>
      </w:r>
      <w:r>
        <w:rPr>
          <w:spacing w:val="-3"/>
          <w:w w:val="100"/>
        </w:rPr>
        <w:t>安</w:t>
      </w:r>
      <w:r>
        <w:rPr>
          <w:w w:val="100"/>
        </w:rPr>
        <w:t>机关交</w:t>
      </w:r>
      <w:r>
        <w:rPr/>
        <w:t>通管</w:t>
      </w:r>
      <w:r>
        <w:rPr>
          <w:spacing w:val="-3"/>
        </w:rPr>
        <w:t>理</w:t>
      </w:r>
      <w:r>
        <w:rPr/>
        <w:t>部</w:t>
      </w:r>
      <w:r>
        <w:rPr>
          <w:spacing w:val="-3"/>
        </w:rPr>
        <w:t>门</w:t>
      </w:r>
      <w:r>
        <w:rPr/>
        <w:t>规</w:t>
      </w:r>
      <w:r>
        <w:rPr>
          <w:spacing w:val="-3"/>
        </w:rPr>
        <w:t>定</w:t>
      </w:r>
      <w:r>
        <w:rPr/>
        <w:t>的</w:t>
      </w:r>
      <w:r>
        <w:rPr>
          <w:spacing w:val="-3"/>
        </w:rPr>
        <w:t>其</w:t>
      </w:r>
      <w:r>
        <w:rPr/>
        <w:t>他</w:t>
      </w:r>
      <w:r>
        <w:rPr>
          <w:spacing w:val="-3"/>
        </w:rPr>
        <w:t>无</w:t>
      </w:r>
      <w:r>
        <w:rPr/>
        <w:t>有效</w:t>
      </w:r>
      <w:r>
        <w:rPr>
          <w:spacing w:val="-3"/>
        </w:rPr>
        <w:t>行</w:t>
      </w:r>
      <w:r>
        <w:rPr/>
        <w:t>驶</w:t>
      </w:r>
      <w:r>
        <w:rPr>
          <w:spacing w:val="-3"/>
        </w:rPr>
        <w:t>证</w:t>
      </w:r>
      <w:r>
        <w:rPr/>
        <w:t>件</w:t>
      </w:r>
      <w:r>
        <w:rPr>
          <w:spacing w:val="-3"/>
        </w:rPr>
        <w:t>的</w:t>
      </w:r>
      <w:r>
        <w:rPr/>
        <w:t>情</w:t>
      </w:r>
      <w:r>
        <w:rPr>
          <w:spacing w:val="-3"/>
        </w:rPr>
        <w:t>况</w:t>
      </w:r>
      <w:r>
        <w:rPr/>
        <w:t>。</w:t>
      </w:r>
    </w:p>
    <w:p>
      <w:pPr>
        <w:pStyle w:val="BodyText"/>
        <w:spacing w:line="326" w:lineRule="auto" w:before="24"/>
        <w:ind w:left="840" w:right="211" w:hanging="720"/>
        <w:jc w:val="both"/>
      </w:pPr>
      <w:r>
        <w:rPr>
          <w:w w:val="100"/>
        </w:rPr>
        <w:t>九、</w:t>
      </w:r>
      <w:r>
        <w:rPr>
          <w:spacing w:val="-6"/>
        </w:rPr>
        <w:t>   </w:t>
      </w:r>
      <w:r>
        <w:rPr>
          <w:spacing w:val="-10"/>
          <w:w w:val="100"/>
        </w:rPr>
        <w:t>艾滋病</w:t>
      </w:r>
      <w:r>
        <w:rPr>
          <w:spacing w:val="-1"/>
          <w:w w:val="100"/>
        </w:rPr>
        <w:t>（</w:t>
      </w:r>
      <w:r>
        <w:rPr>
          <w:w w:val="100"/>
        </w:rPr>
        <w:t>A</w:t>
      </w:r>
      <w:r>
        <w:rPr>
          <w:spacing w:val="-3"/>
          <w:w w:val="100"/>
        </w:rPr>
        <w:t>I</w:t>
      </w:r>
      <w:r>
        <w:rPr>
          <w:w w:val="100"/>
        </w:rPr>
        <w:t>D</w:t>
      </w:r>
      <w:r>
        <w:rPr>
          <w:spacing w:val="-1"/>
          <w:w w:val="100"/>
        </w:rPr>
        <w:t>S</w:t>
      </w:r>
      <w:r>
        <w:rPr>
          <w:spacing w:val="-108"/>
          <w:w w:val="100"/>
        </w:rPr>
        <w:t>）</w:t>
      </w:r>
      <w:r>
        <w:rPr>
          <w:spacing w:val="-8"/>
          <w:w w:val="100"/>
        </w:rPr>
        <w:t>：指获得性免疫缺陷综合征。获得性免疫缺陷综合征的定义应按世界</w:t>
      </w:r>
      <w:r>
        <w:rPr>
          <w:spacing w:val="-8"/>
        </w:rPr>
        <w:t>卫生组织制订的定义为准，若在血液样本中发现人类免疫缺陷病毒或其抗体，则可</w:t>
      </w:r>
      <w:r>
        <w:rPr>
          <w:spacing w:val="-5"/>
        </w:rPr>
        <w:t>认定为已患艾滋病或感染艾滋病病毒。</w:t>
      </w:r>
    </w:p>
    <w:p>
      <w:pPr>
        <w:pStyle w:val="BodyText"/>
        <w:tabs>
          <w:tab w:pos="840" w:val="left" w:leader="none"/>
        </w:tabs>
        <w:spacing w:before="23"/>
      </w:pPr>
      <w:r>
        <w:rPr>
          <w:w w:val="100"/>
        </w:rPr>
        <w:t>十、</w:t>
      </w:r>
      <w:r>
        <w:rPr/>
        <w:tab/>
      </w:r>
      <w:r>
        <w:rPr>
          <w:w w:val="100"/>
        </w:rPr>
        <w:t>艾滋</w:t>
      </w:r>
      <w:r>
        <w:rPr>
          <w:spacing w:val="-3"/>
          <w:w w:val="100"/>
        </w:rPr>
        <w:t>病</w:t>
      </w:r>
      <w:r>
        <w:rPr>
          <w:w w:val="100"/>
        </w:rPr>
        <w:t>病</w:t>
      </w:r>
      <w:r>
        <w:rPr>
          <w:spacing w:val="-3"/>
          <w:w w:val="100"/>
        </w:rPr>
        <w:t>毒</w:t>
      </w:r>
      <w:r>
        <w:rPr>
          <w:w w:val="100"/>
        </w:rPr>
        <w:t>：</w:t>
      </w:r>
      <w:r>
        <w:rPr>
          <w:spacing w:val="-3"/>
          <w:w w:val="100"/>
        </w:rPr>
        <w:t>指</w:t>
      </w:r>
      <w:r>
        <w:rPr>
          <w:w w:val="100"/>
        </w:rPr>
        <w:t>人</w:t>
      </w:r>
      <w:r>
        <w:rPr>
          <w:spacing w:val="-3"/>
          <w:w w:val="100"/>
        </w:rPr>
        <w:t>类</w:t>
      </w:r>
      <w:r>
        <w:rPr>
          <w:w w:val="100"/>
        </w:rPr>
        <w:t>免</w:t>
      </w:r>
      <w:r>
        <w:rPr>
          <w:spacing w:val="-3"/>
          <w:w w:val="100"/>
        </w:rPr>
        <w:t>疫</w:t>
      </w:r>
      <w:r>
        <w:rPr>
          <w:w w:val="100"/>
        </w:rPr>
        <w:t>缺陷</w:t>
      </w:r>
      <w:r>
        <w:rPr>
          <w:spacing w:val="-3"/>
          <w:w w:val="100"/>
        </w:rPr>
        <w:t>病</w:t>
      </w:r>
      <w:r>
        <w:rPr>
          <w:w w:val="100"/>
        </w:rPr>
        <w:t>毒</w:t>
      </w:r>
      <w:r>
        <w:rPr>
          <w:spacing w:val="-3"/>
          <w:w w:val="100"/>
        </w:rPr>
        <w:t>（</w:t>
      </w:r>
      <w:r>
        <w:rPr>
          <w:w w:val="100"/>
        </w:rPr>
        <w:t>HIV</w:t>
      </w:r>
      <w:r>
        <w:rPr>
          <w:spacing w:val="-108"/>
          <w:w w:val="100"/>
        </w:rPr>
        <w:t>）。</w:t>
      </w:r>
    </w:p>
    <w:p>
      <w:pPr>
        <w:pStyle w:val="BodyText"/>
        <w:spacing w:line="326" w:lineRule="auto"/>
        <w:ind w:left="840" w:right="214" w:hanging="720"/>
      </w:pPr>
      <w:r>
        <w:rPr/>
        <w:t>十一、 遗传性疾病：指生殖细胞或受精卵的遗传物质（染色体和基因）发生突变或畸变所引起的疾病，通常具有由亲代传至后代的垂直传递的特征。</w:t>
      </w:r>
    </w:p>
    <w:p>
      <w:pPr>
        <w:pStyle w:val="BodyText"/>
        <w:spacing w:line="326" w:lineRule="auto" w:before="24"/>
        <w:ind w:left="840" w:right="214" w:hanging="720"/>
        <w:jc w:val="both"/>
      </w:pPr>
      <w:r>
        <w:rPr/>
        <w:t>十二、 先天性畸形、变形或染色体异常：指被保险人出生时就具有的畸形、变形或染色体异常。先天性畸形、变形和染色体异常依照世界卫生组织《疾病和有关健康问题的国际统计分类》（</w:t>
      </w:r>
      <w:r>
        <w:rPr>
          <w:rFonts w:ascii="Times New Roman" w:eastAsia="Times New Roman"/>
        </w:rPr>
        <w:t>ICD-10</w:t>
      </w:r>
      <w:r>
        <w:rPr/>
        <w:t>）确定。</w:t>
      </w:r>
    </w:p>
    <w:p>
      <w:pPr>
        <w:pStyle w:val="BodyText"/>
        <w:spacing w:line="326" w:lineRule="auto" w:before="0"/>
        <w:ind w:left="840" w:right="105" w:hanging="720"/>
      </w:pPr>
      <w:r>
        <w:rPr>
          <w:spacing w:val="-6"/>
        </w:rPr>
        <w:t>十三、 现金价值：指保险单所具有的价值，通常体现为解除合同时，根据精算原理计算的， 由本公司退还的那部分金额。现金价值</w:t>
      </w:r>
      <w:r>
        <w:rPr/>
        <w:t>＝</w:t>
      </w:r>
      <w:r>
        <w:rPr>
          <w:spacing w:val="-4"/>
        </w:rPr>
        <w:t>保险费×</w:t>
      </w:r>
      <w:r>
        <w:rPr>
          <w:spacing w:val="-7"/>
        </w:rPr>
        <w:t>（1-25%）×（1</w:t>
      </w:r>
      <w:r>
        <w:rPr>
          <w:spacing w:val="-3"/>
        </w:rPr>
        <w:t>-当期已经过天数</w:t>
      </w:r>
    </w:p>
    <w:p>
      <w:pPr>
        <w:pStyle w:val="BodyText"/>
        <w:spacing w:line="326" w:lineRule="auto" w:before="23"/>
        <w:ind w:right="2235" w:firstLine="719"/>
      </w:pPr>
      <w:r>
        <w:rPr>
          <w:spacing w:val="-3"/>
          <w:w w:val="100"/>
        </w:rPr>
        <w:t>÷保险期间天数</w:t>
      </w:r>
      <w:r>
        <w:rPr>
          <w:spacing w:val="-106"/>
          <w:w w:val="100"/>
        </w:rPr>
        <w:t>）</w:t>
      </w:r>
      <w:r>
        <w:rPr>
          <w:spacing w:val="-3"/>
          <w:w w:val="100"/>
        </w:rPr>
        <w:t>，当期已经过天数按照本合同生效日计算。</w:t>
      </w:r>
      <w:r>
        <w:rPr>
          <w:spacing w:val="-3"/>
        </w:rPr>
        <w:t>十四、 不可抗力：指不能预见、不能避免并不能克服的客观情况。</w:t>
      </w:r>
    </w:p>
    <w:sectPr>
      <w:pgSz w:w="11910" w:h="16840"/>
      <w:pgMar w:header="0" w:footer="924" w:top="1420" w:bottom="1200" w:left="1680" w:right="15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宋体">
    <w:altName w:val="宋体"/>
    <w:charset w:val="86"/>
    <w:family w:val="auto"/>
    <w:pitch w:val="variable"/>
  </w:font>
  <w:font w:name="Arial">
    <w:altName w:val="Arial"/>
    <w:charset w:val="0"/>
    <w:family w:val="swiss"/>
    <w:pitch w:val="variable"/>
  </w:font>
  <w:font w:name="Microsoft JhengHei">
    <w:altName w:val="Microsoft JhengHe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2"/>
      </w:rPr>
    </w:pPr>
    <w:r>
      <w:rPr/>
      <w:pict>
        <v:shapetype id="_x0000_t202" o:spt="202" coordsize="21600,21600" path="m,l,21600r21600,l21600,xe">
          <v:stroke joinstyle="miter"/>
          <v:path gradientshapeok="t" o:connecttype="rect"/>
        </v:shapetype>
        <v:shape style="position:absolute;margin-left:89.024002pt;margin-top:780.985596pt;width:128pt;height:11pt;mso-position-horizontal-relative:page;mso-position-vertical-relative:page;z-index:-61072" type="#_x0000_t202" filled="false" stroked="false">
          <v:textbox inset="0,0,0,0">
            <w:txbxContent>
              <w:p>
                <w:pPr>
                  <w:spacing w:line="200" w:lineRule="exact" w:before="0"/>
                  <w:ind w:left="20" w:right="0" w:firstLine="0"/>
                  <w:jc w:val="left"/>
                  <w:rPr>
                    <w:sz w:val="18"/>
                  </w:rPr>
                </w:pPr>
                <w:r>
                  <w:rPr>
                    <w:sz w:val="18"/>
                  </w:rPr>
                  <w:t>英大健康守护团体重大疾病保险</w:t>
                </w:r>
              </w:p>
            </w:txbxContent>
          </v:textbox>
          <w10:wrap type="none"/>
        </v:shape>
      </w:pict>
    </w:r>
    <w:r>
      <w:rPr/>
      <w:pict>
        <v:shape style="position:absolute;margin-left:291.730011pt;margin-top:780.985596pt;width:20pt;height:11pt;mso-position-horizontal-relative:page;mso-position-vertical-relative:page;z-index:-61048"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13.309998pt;margin-top:780.699951pt;width:78.6pt;height:12pt;mso-position-horizontal-relative:page;mso-position-vertical-relative:page;z-index:-61024"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23  </w:t>
                </w:r>
                <w:r>
                  <w:rPr>
                    <w:sz w:val="18"/>
                  </w:rPr>
                  <w:t>页</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99"/>
      <w:ind w:left="120"/>
    </w:pPr>
    <w:rPr>
      <w:rFonts w:ascii="宋体" w:hAnsi="宋体" w:eastAsia="宋体" w:cs="宋体"/>
      <w:sz w:val="21"/>
      <w:szCs w:val="21"/>
    </w:rPr>
  </w:style>
  <w:style w:styleId="Heading1" w:type="paragraph">
    <w:name w:val="Heading 1"/>
    <w:basedOn w:val="Normal"/>
    <w:uiPriority w:val="1"/>
    <w:qFormat/>
    <w:pPr>
      <w:ind w:left="120"/>
      <w:outlineLvl w:val="1"/>
    </w:pPr>
    <w:rPr>
      <w:rFonts w:ascii="宋体" w:hAnsi="宋体" w:eastAsia="宋体" w:cs="宋体"/>
      <w:b/>
      <w:bCs/>
      <w:sz w:val="24"/>
      <w:szCs w:val="24"/>
    </w:rPr>
  </w:style>
  <w:style w:styleId="Heading2" w:type="paragraph">
    <w:name w:val="Heading 2"/>
    <w:basedOn w:val="Normal"/>
    <w:uiPriority w:val="1"/>
    <w:qFormat/>
    <w:pPr>
      <w:spacing w:before="24"/>
      <w:ind w:left="120"/>
      <w:outlineLvl w:val="2"/>
    </w:pPr>
    <w:rPr>
      <w:rFonts w:ascii="宋体" w:hAnsi="宋体" w:eastAsia="宋体" w:cs="宋体"/>
      <w:b/>
      <w:bCs/>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ind w:left="106"/>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康美英</dc:creator>
  <dcterms:created xsi:type="dcterms:W3CDTF">2018-10-19T22:08:33Z</dcterms:created>
  <dcterms:modified xsi:type="dcterms:W3CDTF">2018-10-19T22:08:33Z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2017-03-20T00:00:00Z</vt:filetime>
  </property>
  <property fmtid="{D5CDD505-2E9C-101B-9397-08002B2CF9AE}" pid="3" name="Creator">
    <vt:lpwstr>Microsoft® Office Word 2007</vt:lpwstr>
  </property>
  <property fmtid="{D5CDD505-2E9C-101B-9397-08002B2CF9AE}" pid="4" name="LastSaved">
    <vt:filetime>2018-10-19T00:00:00Z</vt:filetime>
  </property>
</Properties>
</file>